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6"/>
        <w:rPr>
          <w:rFonts w:hint="default" w:ascii="Times New Roman" w:hAnsi="Times New Roman" w:cs="Times New Roman"/>
          <w:color w:val="auto"/>
          <w:highlight w:val="none"/>
        </w:rPr>
      </w:pPr>
      <w:bookmarkStart w:id="12" w:name="_GoBack"/>
      <w:bookmarkEnd w:id="12"/>
    </w:p>
    <w:p>
      <w:pPr>
        <w:pStyle w:val="21"/>
        <w:rPr>
          <w:rFonts w:hint="default" w:ascii="Times New Roman" w:hAnsi="Times New Roman" w:cs="Times New Roman"/>
          <w:color w:val="auto"/>
          <w:highlight w:val="none"/>
        </w:rPr>
      </w:pPr>
    </w:p>
    <w:p>
      <w:pPr>
        <w:jc w:val="center"/>
        <w:rPr>
          <w:rFonts w:hint="default" w:ascii="Times New Roman" w:hAnsi="Times New Roman" w:cs="Times New Roman"/>
          <w:b/>
          <w:color w:val="auto"/>
          <w:sz w:val="44"/>
          <w:szCs w:val="44"/>
          <w:highlight w:val="none"/>
        </w:rPr>
      </w:pPr>
    </w:p>
    <w:p>
      <w:pPr>
        <w:pStyle w:val="36"/>
        <w:rPr>
          <w:rFonts w:hint="default" w:ascii="Times New Roman" w:hAnsi="Times New Roman" w:eastAsia="仿宋_GB2312" w:cs="Times New Roman"/>
          <w:color w:val="auto"/>
          <w:highlight w:val="none"/>
          <w:lang w:eastAsia="zh-CN"/>
        </w:rPr>
      </w:pPr>
    </w:p>
    <w:p>
      <w:pPr>
        <w:pStyle w:val="21"/>
        <w:rPr>
          <w:rFonts w:hint="default" w:ascii="Times New Roman" w:hAnsi="Times New Roman" w:cs="Times New Roman"/>
          <w:color w:val="auto"/>
          <w:highlight w:val="none"/>
          <w:lang w:eastAsia="zh-CN"/>
        </w:rPr>
      </w:pPr>
    </w:p>
    <w:p>
      <w:pPr>
        <w:jc w:val="center"/>
        <w:rPr>
          <w:rFonts w:hint="default" w:ascii="Times New Roman" w:hAnsi="Times New Roman" w:cs="Times New Roman"/>
          <w:b/>
          <w:color w:val="auto"/>
          <w:sz w:val="44"/>
          <w:szCs w:val="44"/>
          <w:highlight w:val="none"/>
        </w:rPr>
      </w:pPr>
    </w:p>
    <w:p>
      <w:pPr>
        <w:jc w:val="center"/>
        <w:rPr>
          <w:rFonts w:hint="default" w:ascii="Times New Roman" w:hAnsi="Times New Roman" w:cs="Times New Roman"/>
          <w:b/>
          <w:color w:val="auto"/>
          <w:sz w:val="44"/>
          <w:szCs w:val="44"/>
          <w:highlight w:val="none"/>
        </w:rPr>
      </w:pPr>
      <w:r>
        <w:rPr>
          <w:rFonts w:hint="default" w:ascii="Times New Roman" w:hAnsi="Times New Roman" w:cs="Times New Roman"/>
          <w:b/>
          <w:color w:val="auto"/>
          <w:sz w:val="44"/>
          <w:szCs w:val="44"/>
          <w:highlight w:val="none"/>
        </w:rPr>
        <w:t>江苏高淳农村商业银行股份有限公司</w:t>
      </w:r>
    </w:p>
    <w:p>
      <w:pPr>
        <w:jc w:val="center"/>
        <w:rPr>
          <w:rFonts w:hint="default" w:ascii="Times New Roman" w:hAnsi="Times New Roman" w:eastAsia="华文中宋" w:cs="Times New Roman"/>
          <w:color w:val="auto"/>
          <w:sz w:val="36"/>
          <w:szCs w:val="36"/>
          <w:highlight w:val="none"/>
        </w:rPr>
      </w:pPr>
      <w:r>
        <w:rPr>
          <w:rFonts w:hint="default" w:ascii="Times New Roman" w:hAnsi="Times New Roman" w:cs="Times New Roman"/>
          <w:b/>
          <w:color w:val="auto"/>
          <w:sz w:val="44"/>
          <w:szCs w:val="44"/>
          <w:highlight w:val="none"/>
          <w:lang w:val="en-US" w:eastAsia="zh-CN"/>
        </w:rPr>
        <w:t>2026年上半年</w:t>
      </w:r>
      <w:r>
        <w:rPr>
          <w:rFonts w:hint="default" w:ascii="Times New Roman" w:hAnsi="Times New Roman" w:cs="Times New Roman"/>
          <w:b/>
          <w:color w:val="auto"/>
          <w:sz w:val="44"/>
          <w:szCs w:val="44"/>
          <w:highlight w:val="none"/>
        </w:rPr>
        <w:t>信息披露报告</w:t>
      </w:r>
    </w:p>
    <w:p>
      <w:pPr>
        <w:jc w:val="center"/>
        <w:rPr>
          <w:rFonts w:hint="default" w:ascii="Times New Roman" w:hAnsi="Times New Roman" w:eastAsia="华文中宋" w:cs="Times New Roman"/>
          <w:color w:val="auto"/>
          <w:sz w:val="36"/>
          <w:szCs w:val="36"/>
          <w:highlight w:val="none"/>
        </w:rPr>
      </w:pPr>
    </w:p>
    <w:p>
      <w:pPr>
        <w:jc w:val="center"/>
        <w:rPr>
          <w:rFonts w:hint="default" w:ascii="Times New Roman" w:hAnsi="Times New Roman" w:eastAsia="华文中宋" w:cs="Times New Roman"/>
          <w:color w:val="auto"/>
          <w:sz w:val="36"/>
          <w:szCs w:val="36"/>
          <w:highlight w:val="none"/>
        </w:rPr>
      </w:pPr>
    </w:p>
    <w:p>
      <w:pPr>
        <w:jc w:val="center"/>
        <w:rPr>
          <w:rFonts w:hint="default" w:ascii="Times New Roman" w:hAnsi="Times New Roman" w:eastAsia="华文中宋" w:cs="Times New Roman"/>
          <w:color w:val="auto"/>
          <w:sz w:val="36"/>
          <w:szCs w:val="36"/>
          <w:highlight w:val="none"/>
        </w:rPr>
      </w:pPr>
    </w:p>
    <w:p>
      <w:pPr>
        <w:jc w:val="center"/>
        <w:rPr>
          <w:rFonts w:hint="default" w:ascii="Times New Roman" w:hAnsi="Times New Roman" w:eastAsia="华文中宋" w:cs="Times New Roman"/>
          <w:color w:val="auto"/>
          <w:sz w:val="36"/>
          <w:szCs w:val="36"/>
          <w:highlight w:val="none"/>
        </w:rPr>
      </w:pPr>
    </w:p>
    <w:p>
      <w:pPr>
        <w:jc w:val="center"/>
        <w:rPr>
          <w:rFonts w:hint="default" w:ascii="Times New Roman" w:hAnsi="Times New Roman" w:eastAsia="华文中宋" w:cs="Times New Roman"/>
          <w:color w:val="auto"/>
          <w:sz w:val="36"/>
          <w:szCs w:val="36"/>
          <w:highlight w:val="none"/>
        </w:rPr>
      </w:pPr>
    </w:p>
    <w:p>
      <w:pPr>
        <w:jc w:val="center"/>
        <w:rPr>
          <w:rFonts w:hint="default" w:ascii="Times New Roman" w:hAnsi="Times New Roman" w:eastAsia="华文中宋" w:cs="Times New Roman"/>
          <w:color w:val="auto"/>
          <w:sz w:val="36"/>
          <w:szCs w:val="36"/>
          <w:highlight w:val="none"/>
        </w:rPr>
      </w:pPr>
    </w:p>
    <w:p>
      <w:pPr>
        <w:jc w:val="center"/>
        <w:rPr>
          <w:rFonts w:hint="default" w:ascii="Times New Roman" w:hAnsi="Times New Roman" w:eastAsia="华文中宋" w:cs="Times New Roman"/>
          <w:color w:val="auto"/>
          <w:sz w:val="36"/>
          <w:szCs w:val="36"/>
          <w:highlight w:val="none"/>
        </w:rPr>
      </w:pPr>
    </w:p>
    <w:p>
      <w:pPr>
        <w:pStyle w:val="12"/>
        <w:rPr>
          <w:rFonts w:hint="default" w:ascii="Times New Roman" w:hAnsi="Times New Roman" w:cs="Times New Roman"/>
          <w:color w:val="auto"/>
          <w:highlight w:val="none"/>
        </w:rPr>
      </w:pPr>
    </w:p>
    <w:p>
      <w:pPr>
        <w:jc w:val="center"/>
        <w:rPr>
          <w:rFonts w:hint="default" w:ascii="Times New Roman" w:hAnsi="Times New Roman" w:eastAsia="华文中宋" w:cs="Times New Roman"/>
          <w:color w:val="auto"/>
          <w:sz w:val="36"/>
          <w:szCs w:val="36"/>
          <w:highlight w:val="none"/>
        </w:rPr>
      </w:pPr>
    </w:p>
    <w:p>
      <w:pPr>
        <w:jc w:val="center"/>
        <w:rPr>
          <w:rFonts w:hint="default" w:ascii="Times New Roman" w:hAnsi="Times New Roman" w:eastAsia="华文中宋" w:cs="Times New Roman"/>
          <w:color w:val="auto"/>
          <w:sz w:val="36"/>
          <w:szCs w:val="36"/>
          <w:highlight w:val="none"/>
        </w:rPr>
      </w:pPr>
    </w:p>
    <w:p>
      <w:pPr>
        <w:jc w:val="center"/>
        <w:rPr>
          <w:rFonts w:hint="default" w:ascii="Times New Roman" w:hAnsi="Times New Roman" w:eastAsia="华文中宋" w:cs="Times New Roman"/>
          <w:color w:val="auto"/>
          <w:sz w:val="36"/>
          <w:szCs w:val="36"/>
          <w:highlight w:val="none"/>
        </w:rPr>
      </w:pPr>
    </w:p>
    <w:p>
      <w:pPr>
        <w:jc w:val="center"/>
        <w:rPr>
          <w:rFonts w:hint="default" w:ascii="Times New Roman" w:hAnsi="Times New Roman" w:eastAsia="华文中宋" w:cs="Times New Roman"/>
          <w:color w:val="auto"/>
          <w:sz w:val="36"/>
          <w:szCs w:val="36"/>
          <w:highlight w:val="none"/>
        </w:rPr>
      </w:pPr>
    </w:p>
    <w:p>
      <w:pPr>
        <w:pStyle w:val="12"/>
        <w:rPr>
          <w:rFonts w:hint="default" w:ascii="Times New Roman" w:hAnsi="Times New Roman" w:cs="Times New Roman"/>
          <w:color w:val="auto"/>
          <w:highlight w:val="none"/>
        </w:rPr>
      </w:pPr>
    </w:p>
    <w:p>
      <w:pPr>
        <w:pStyle w:val="12"/>
        <w:rPr>
          <w:rFonts w:hint="default" w:ascii="Times New Roman" w:hAnsi="Times New Roman" w:cs="Times New Roman"/>
          <w:color w:val="auto"/>
          <w:highlight w:val="none"/>
        </w:rPr>
      </w:pPr>
    </w:p>
    <w:p>
      <w:pPr>
        <w:rPr>
          <w:rFonts w:hint="default" w:ascii="Times New Roman" w:hAnsi="Times New Roman" w:eastAsia="华文中宋" w:cs="Times New Roman"/>
          <w:color w:val="auto"/>
          <w:sz w:val="36"/>
          <w:szCs w:val="36"/>
          <w:highlight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华文中宋" w:cs="Times New Roman"/>
          <w:color w:val="auto"/>
          <w:sz w:val="36"/>
          <w:szCs w:val="36"/>
          <w:highlight w:val="none"/>
          <w:lang w:eastAsia="zh-CN"/>
        </w:rPr>
      </w:pPr>
      <w:r>
        <w:rPr>
          <w:rFonts w:hint="default" w:ascii="Times New Roman" w:hAnsi="Times New Roman" w:eastAsia="华文中宋" w:cs="Times New Roman"/>
          <w:color w:val="auto"/>
          <w:sz w:val="36"/>
          <w:szCs w:val="36"/>
          <w:highlight w:val="none"/>
        </w:rPr>
        <w:t>公司年度大事记</w:t>
      </w:r>
    </w:p>
    <w:p>
      <w:pPr>
        <w:keepNext w:val="0"/>
        <w:keepLines w:val="0"/>
        <w:pageBreakBefore w:val="0"/>
        <w:widowControl w:val="0"/>
        <w:kinsoku/>
        <w:wordWrap/>
        <w:overflowPunct/>
        <w:topLinePunct w:val="0"/>
        <w:autoSpaceDE/>
        <w:autoSpaceDN/>
        <w:bidi w:val="0"/>
        <w:adjustRightInd/>
        <w:snapToGrid/>
        <w:spacing w:line="560" w:lineRule="exact"/>
        <w:ind w:firstLine="764" w:firstLineChars="200"/>
        <w:jc w:val="both"/>
        <w:textAlignment w:val="auto"/>
        <w:rPr>
          <w:rFonts w:hint="default" w:ascii="Times New Roman" w:hAnsi="Times New Roman" w:eastAsia="华文中宋" w:cs="Times New Roman"/>
          <w:color w:val="auto"/>
          <w:sz w:val="36"/>
          <w:szCs w:val="36"/>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firstLine="644" w:firstLineChars="200"/>
        <w:jc w:val="both"/>
        <w:textAlignment w:val="auto"/>
        <w:outlineLvl w:val="9"/>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rPr>
        <w:t>1.202</w:t>
      </w:r>
      <w:r>
        <w:rPr>
          <w:rFonts w:hint="default" w:ascii="Times New Roman" w:hAnsi="Times New Roman" w:eastAsia="仿宋_GB2312" w:cs="Times New Roman"/>
          <w:color w:val="auto"/>
          <w:sz w:val="30"/>
          <w:szCs w:val="30"/>
          <w:highlight w:val="none"/>
          <w:lang w:val="en-US" w:eastAsia="zh-CN"/>
        </w:rPr>
        <w:t>6</w:t>
      </w:r>
      <w:r>
        <w:rPr>
          <w:rFonts w:hint="default" w:ascii="Times New Roman" w:hAnsi="Times New Roman" w:eastAsia="仿宋_GB2312" w:cs="Times New Roman"/>
          <w:color w:val="auto"/>
          <w:sz w:val="30"/>
          <w:szCs w:val="30"/>
          <w:highlight w:val="none"/>
        </w:rPr>
        <w:t>年1月</w:t>
      </w:r>
      <w:r>
        <w:rPr>
          <w:rFonts w:hint="default" w:ascii="Times New Roman" w:hAnsi="Times New Roman" w:eastAsia="仿宋_GB2312" w:cs="Times New Roman"/>
          <w:color w:val="auto"/>
          <w:sz w:val="30"/>
          <w:szCs w:val="30"/>
          <w:highlight w:val="none"/>
          <w:lang w:eastAsia="zh-CN"/>
        </w:rPr>
        <w:t>，</w:t>
      </w:r>
      <w:r>
        <w:rPr>
          <w:rFonts w:hint="default" w:ascii="Times New Roman" w:hAnsi="Times New Roman" w:eastAsia="仿宋_GB2312" w:cs="Times New Roman"/>
          <w:color w:val="auto"/>
          <w:sz w:val="30"/>
          <w:szCs w:val="30"/>
          <w:highlight w:val="none"/>
          <w:lang w:val="en-US" w:eastAsia="zh-CN"/>
        </w:rPr>
        <w:t>组织</w:t>
      </w:r>
      <w:r>
        <w:rPr>
          <w:rFonts w:hint="default" w:ascii="Times New Roman" w:hAnsi="Times New Roman" w:eastAsia="仿宋_GB2312" w:cs="Times New Roman"/>
          <w:color w:val="auto"/>
          <w:sz w:val="30"/>
          <w:szCs w:val="30"/>
          <w:highlight w:val="none"/>
        </w:rPr>
        <w:t>召开高淳农商银行202</w:t>
      </w:r>
      <w:r>
        <w:rPr>
          <w:rFonts w:hint="default" w:ascii="Times New Roman" w:hAnsi="Times New Roman" w:eastAsia="仿宋_GB2312" w:cs="Times New Roman"/>
          <w:color w:val="auto"/>
          <w:sz w:val="30"/>
          <w:szCs w:val="30"/>
          <w:highlight w:val="none"/>
          <w:lang w:val="en-US" w:eastAsia="zh-CN"/>
        </w:rPr>
        <w:t>6</w:t>
      </w:r>
      <w:r>
        <w:rPr>
          <w:rFonts w:hint="default" w:ascii="Times New Roman" w:hAnsi="Times New Roman" w:eastAsia="仿宋_GB2312" w:cs="Times New Roman"/>
          <w:color w:val="auto"/>
          <w:sz w:val="30"/>
          <w:szCs w:val="30"/>
          <w:highlight w:val="none"/>
        </w:rPr>
        <w:t>年度工作会议</w:t>
      </w:r>
      <w:r>
        <w:rPr>
          <w:rFonts w:hint="default" w:ascii="Times New Roman" w:hAnsi="Times New Roman" w:eastAsia="仿宋_GB2312" w:cs="Times New Roman"/>
          <w:color w:val="auto"/>
          <w:sz w:val="30"/>
          <w:szCs w:val="30"/>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firstLine="644" w:firstLineChars="200"/>
        <w:jc w:val="both"/>
        <w:textAlignment w:val="auto"/>
        <w:outlineLvl w:val="9"/>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2.</w:t>
      </w:r>
      <w:r>
        <w:rPr>
          <w:rFonts w:hint="default" w:ascii="Times New Roman" w:hAnsi="Times New Roman" w:eastAsia="仿宋_GB2312" w:cs="Times New Roman"/>
          <w:color w:val="auto"/>
          <w:sz w:val="30"/>
          <w:szCs w:val="30"/>
          <w:highlight w:val="none"/>
        </w:rPr>
        <w:t>202</w:t>
      </w:r>
      <w:r>
        <w:rPr>
          <w:rFonts w:hint="default" w:ascii="Times New Roman" w:hAnsi="Times New Roman" w:eastAsia="仿宋_GB2312" w:cs="Times New Roman"/>
          <w:color w:val="auto"/>
          <w:sz w:val="30"/>
          <w:szCs w:val="30"/>
          <w:highlight w:val="none"/>
          <w:lang w:val="en-US" w:eastAsia="zh-CN"/>
        </w:rPr>
        <w:t>6</w:t>
      </w:r>
      <w:r>
        <w:rPr>
          <w:rFonts w:hint="default" w:ascii="Times New Roman" w:hAnsi="Times New Roman" w:eastAsia="仿宋_GB2312" w:cs="Times New Roman"/>
          <w:color w:val="auto"/>
          <w:sz w:val="30"/>
          <w:szCs w:val="30"/>
          <w:highlight w:val="none"/>
        </w:rPr>
        <w:t>年1月</w:t>
      </w:r>
      <w:r>
        <w:rPr>
          <w:rFonts w:hint="default" w:ascii="Times New Roman" w:hAnsi="Times New Roman" w:eastAsia="仿宋_GB2312" w:cs="Times New Roman"/>
          <w:color w:val="auto"/>
          <w:sz w:val="30"/>
          <w:szCs w:val="30"/>
          <w:highlight w:val="none"/>
          <w:lang w:eastAsia="zh-CN"/>
        </w:rPr>
        <w:t>，</w:t>
      </w:r>
      <w:r>
        <w:rPr>
          <w:rFonts w:hint="default" w:ascii="Times New Roman" w:hAnsi="Times New Roman" w:eastAsia="仿宋_GB2312" w:cs="Times New Roman"/>
          <w:color w:val="auto"/>
          <w:sz w:val="30"/>
          <w:szCs w:val="30"/>
          <w:highlight w:val="none"/>
          <w:lang w:val="en-US" w:eastAsia="zh-CN"/>
        </w:rPr>
        <w:t>举办</w:t>
      </w:r>
      <w:r>
        <w:rPr>
          <w:rFonts w:hint="default" w:ascii="Times New Roman" w:hAnsi="Times New Roman" w:eastAsia="仿宋_GB2312" w:cs="Times New Roman"/>
          <w:color w:val="auto"/>
          <w:sz w:val="30"/>
          <w:szCs w:val="30"/>
          <w:highlight w:val="none"/>
        </w:rPr>
        <w:t>高淳农商银行2026年迎新春文艺汇演暨颁奖典礼</w:t>
      </w:r>
      <w:r>
        <w:rPr>
          <w:rFonts w:hint="default" w:ascii="Times New Roman" w:hAnsi="Times New Roman" w:eastAsia="仿宋_GB2312" w:cs="Times New Roman"/>
          <w:color w:val="auto"/>
          <w:sz w:val="30"/>
          <w:szCs w:val="30"/>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firstLine="644" w:firstLineChars="200"/>
        <w:jc w:val="both"/>
        <w:textAlignment w:val="auto"/>
        <w:outlineLvl w:val="9"/>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lang w:val="en-US" w:eastAsia="zh-CN"/>
        </w:rPr>
        <w:t>3.2026年3月，组织</w:t>
      </w:r>
      <w:r>
        <w:rPr>
          <w:rFonts w:hint="default" w:ascii="Times New Roman" w:hAnsi="Times New Roman" w:eastAsia="仿宋_GB2312" w:cs="Times New Roman"/>
          <w:color w:val="auto"/>
          <w:sz w:val="30"/>
          <w:szCs w:val="30"/>
          <w:highlight w:val="none"/>
        </w:rPr>
        <w:t>召开高淳农商银行2026年“开门红”业务推进暨作风建设会议</w:t>
      </w:r>
      <w:r>
        <w:rPr>
          <w:rFonts w:hint="default" w:ascii="Times New Roman" w:hAnsi="Times New Roman" w:eastAsia="仿宋_GB2312" w:cs="Times New Roman"/>
          <w:color w:val="auto"/>
          <w:sz w:val="30"/>
          <w:szCs w:val="30"/>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firstLine="644" w:firstLineChars="200"/>
        <w:jc w:val="both"/>
        <w:textAlignment w:val="auto"/>
        <w:outlineLvl w:val="9"/>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lang w:val="en-US" w:eastAsia="zh-CN"/>
        </w:rPr>
        <w:t>4.2026年3月，与区公安局联合开展</w:t>
      </w:r>
      <w:r>
        <w:rPr>
          <w:rFonts w:hint="default" w:ascii="Times New Roman" w:hAnsi="Times New Roman" w:eastAsia="仿宋_GB2312" w:cs="Times New Roman"/>
          <w:color w:val="auto"/>
          <w:sz w:val="30"/>
          <w:szCs w:val="30"/>
          <w:highlight w:val="none"/>
          <w:lang w:eastAsia="zh-CN"/>
        </w:rPr>
        <w:t>“</w:t>
      </w:r>
      <w:r>
        <w:rPr>
          <w:rFonts w:hint="default" w:ascii="Times New Roman" w:hAnsi="Times New Roman" w:eastAsia="仿宋_GB2312" w:cs="Times New Roman"/>
          <w:color w:val="auto"/>
          <w:sz w:val="30"/>
          <w:szCs w:val="30"/>
          <w:highlight w:val="none"/>
          <w:lang w:val="en-US" w:eastAsia="zh-CN"/>
        </w:rPr>
        <w:t>巾帼建功新时代 警银共建谱新篇</w:t>
      </w:r>
      <w:r>
        <w:rPr>
          <w:rFonts w:hint="default" w:ascii="Times New Roman" w:hAnsi="Times New Roman" w:eastAsia="仿宋_GB2312" w:cs="Times New Roman"/>
          <w:color w:val="auto"/>
          <w:sz w:val="30"/>
          <w:szCs w:val="30"/>
          <w:highlight w:val="none"/>
          <w:lang w:eastAsia="zh-CN"/>
        </w:rPr>
        <w:t>”</w:t>
      </w:r>
      <w:r>
        <w:rPr>
          <w:rFonts w:hint="default" w:ascii="Times New Roman" w:hAnsi="Times New Roman" w:eastAsia="仿宋_GB2312" w:cs="Times New Roman"/>
          <w:color w:val="auto"/>
          <w:sz w:val="30"/>
          <w:szCs w:val="30"/>
          <w:highlight w:val="none"/>
          <w:lang w:val="en-US" w:eastAsia="zh-CN"/>
        </w:rPr>
        <w:t>妇女节主题活动。</w:t>
      </w:r>
    </w:p>
    <w:p>
      <w:pPr>
        <w:keepNext w:val="0"/>
        <w:keepLines w:val="0"/>
        <w:pageBreakBefore w:val="0"/>
        <w:widowControl w:val="0"/>
        <w:kinsoku/>
        <w:wordWrap/>
        <w:overflowPunct/>
        <w:topLinePunct w:val="0"/>
        <w:autoSpaceDE/>
        <w:autoSpaceDN/>
        <w:bidi w:val="0"/>
        <w:adjustRightInd/>
        <w:snapToGrid/>
        <w:spacing w:line="560" w:lineRule="exact"/>
        <w:ind w:left="0" w:firstLine="644" w:firstLineChars="200"/>
        <w:jc w:val="both"/>
        <w:textAlignment w:val="auto"/>
        <w:outlineLvl w:val="9"/>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5.2026年3月，组织</w:t>
      </w:r>
      <w:r>
        <w:rPr>
          <w:rFonts w:hint="default" w:ascii="Times New Roman" w:hAnsi="Times New Roman" w:eastAsia="仿宋_GB2312" w:cs="Times New Roman"/>
          <w:color w:val="auto"/>
          <w:sz w:val="30"/>
          <w:szCs w:val="30"/>
          <w:highlight w:val="none"/>
        </w:rPr>
        <w:t>召</w:t>
      </w:r>
      <w:r>
        <w:rPr>
          <w:rFonts w:hint="default" w:ascii="Times New Roman" w:hAnsi="Times New Roman" w:eastAsia="仿宋_GB2312" w:cs="Times New Roman"/>
          <w:color w:val="auto"/>
          <w:sz w:val="30"/>
          <w:szCs w:val="30"/>
          <w:highlight w:val="none"/>
          <w:lang w:val="en-US" w:eastAsia="zh-CN"/>
        </w:rPr>
        <w:t>开高淳农商银行2026年度</w:t>
      </w:r>
      <w:r>
        <w:rPr>
          <w:rFonts w:hint="eastAsia" w:ascii="Times New Roman" w:hAnsi="Times New Roman" w:eastAsia="仿宋_GB2312" w:cs="Times New Roman"/>
          <w:color w:val="auto"/>
          <w:sz w:val="30"/>
          <w:szCs w:val="30"/>
          <w:highlight w:val="none"/>
          <w:lang w:val="en-US" w:eastAsia="zh-CN"/>
        </w:rPr>
        <w:t>第一次</w:t>
      </w:r>
      <w:r>
        <w:rPr>
          <w:rFonts w:hint="default" w:ascii="Times New Roman" w:hAnsi="Times New Roman" w:eastAsia="仿宋_GB2312" w:cs="Times New Roman"/>
          <w:color w:val="auto"/>
          <w:sz w:val="30"/>
          <w:szCs w:val="30"/>
          <w:highlight w:val="none"/>
          <w:lang w:val="en-US" w:eastAsia="zh-CN"/>
        </w:rPr>
        <w:t>股东会。</w:t>
      </w:r>
    </w:p>
    <w:p>
      <w:pPr>
        <w:pStyle w:val="36"/>
        <w:keepNext w:val="0"/>
        <w:keepLines w:val="0"/>
        <w:pageBreakBefore w:val="0"/>
        <w:kinsoku/>
        <w:wordWrap/>
        <w:overflowPunct/>
        <w:topLinePunct w:val="0"/>
        <w:autoSpaceDE/>
        <w:autoSpaceDN/>
        <w:bidi w:val="0"/>
        <w:adjustRightInd/>
        <w:snapToGrid/>
        <w:spacing w:line="560" w:lineRule="exact"/>
        <w:ind w:left="0" w:firstLine="684"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sz w:val="30"/>
          <w:szCs w:val="30"/>
          <w:highlight w:val="none"/>
          <w:lang w:val="en-US" w:eastAsia="zh-CN"/>
        </w:rPr>
        <w:t>6.</w:t>
      </w:r>
      <w:r>
        <w:rPr>
          <w:rFonts w:hint="default" w:ascii="Times New Roman" w:hAnsi="Times New Roman" w:eastAsia="仿宋_GB2312" w:cs="Times New Roman"/>
          <w:color w:val="auto"/>
          <w:sz w:val="30"/>
          <w:szCs w:val="30"/>
          <w:highlight w:val="none"/>
          <w:lang w:val="en-US" w:eastAsia="zh-CN"/>
        </w:rPr>
        <w:t>2026年3月</w:t>
      </w:r>
      <w:r>
        <w:rPr>
          <w:rFonts w:hint="default" w:ascii="Times New Roman" w:hAnsi="Times New Roman" w:cs="Times New Roman"/>
          <w:color w:val="auto"/>
          <w:sz w:val="30"/>
          <w:szCs w:val="30"/>
          <w:highlight w:val="none"/>
          <w:lang w:val="en-US" w:eastAsia="zh-CN"/>
        </w:rPr>
        <w:t>，</w:t>
      </w:r>
      <w:r>
        <w:rPr>
          <w:rFonts w:hint="default" w:ascii="Times New Roman" w:hAnsi="Times New Roman" w:eastAsia="仿宋_GB2312" w:cs="Times New Roman"/>
          <w:color w:val="auto"/>
          <w:spacing w:val="0"/>
          <w:kern w:val="2"/>
          <w:sz w:val="30"/>
          <w:szCs w:val="30"/>
          <w:highlight w:val="none"/>
          <w:lang w:val="en-US" w:eastAsia="zh-CN" w:bidi="ar-SA"/>
        </w:rPr>
        <w:t>省委金融办至我行开展调研。</w:t>
      </w:r>
    </w:p>
    <w:p>
      <w:pPr>
        <w:keepNext w:val="0"/>
        <w:keepLines w:val="0"/>
        <w:pageBreakBefore w:val="0"/>
        <w:widowControl w:val="0"/>
        <w:kinsoku/>
        <w:wordWrap/>
        <w:overflowPunct/>
        <w:topLinePunct w:val="0"/>
        <w:autoSpaceDE/>
        <w:autoSpaceDN/>
        <w:bidi w:val="0"/>
        <w:adjustRightInd/>
        <w:snapToGrid/>
        <w:spacing w:line="560" w:lineRule="exact"/>
        <w:ind w:left="0" w:firstLine="644" w:firstLineChars="200"/>
        <w:jc w:val="both"/>
        <w:textAlignment w:val="auto"/>
        <w:outlineLvl w:val="9"/>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7.2026年4月，组织召开高淳农商银行2026年旺季工作总结暨二季度经营工作会议。</w:t>
      </w:r>
    </w:p>
    <w:p>
      <w:pPr>
        <w:pStyle w:val="36"/>
        <w:keepNext w:val="0"/>
        <w:keepLines w:val="0"/>
        <w:pageBreakBefore w:val="0"/>
        <w:kinsoku/>
        <w:wordWrap/>
        <w:overflowPunct/>
        <w:topLinePunct w:val="0"/>
        <w:autoSpaceDE/>
        <w:autoSpaceDN/>
        <w:bidi w:val="0"/>
        <w:adjustRightInd/>
        <w:snapToGrid/>
        <w:spacing w:line="560" w:lineRule="exact"/>
        <w:ind w:left="0" w:firstLine="684" w:firstLineChars="200"/>
        <w:jc w:val="both"/>
        <w:textAlignment w:val="auto"/>
        <w:rPr>
          <w:rFonts w:hint="default" w:ascii="Times New Roman" w:hAnsi="Times New Roman" w:eastAsia="仿宋_GB2312" w:cs="Times New Roman"/>
          <w:color w:val="auto"/>
          <w:spacing w:val="0"/>
          <w:kern w:val="2"/>
          <w:sz w:val="30"/>
          <w:szCs w:val="30"/>
          <w:highlight w:val="none"/>
          <w:lang w:val="en-US" w:eastAsia="zh-CN" w:bidi="ar-SA"/>
        </w:rPr>
      </w:pPr>
      <w:r>
        <w:rPr>
          <w:rFonts w:hint="default" w:ascii="Times New Roman" w:hAnsi="Times New Roman" w:cs="Times New Roman"/>
          <w:color w:val="auto"/>
          <w:sz w:val="30"/>
          <w:szCs w:val="30"/>
          <w:highlight w:val="none"/>
          <w:lang w:val="en-US" w:eastAsia="zh-CN"/>
        </w:rPr>
        <w:t>8.</w:t>
      </w:r>
      <w:r>
        <w:rPr>
          <w:rFonts w:hint="default" w:ascii="Times New Roman" w:hAnsi="Times New Roman" w:eastAsia="仿宋_GB2312" w:cs="Times New Roman"/>
          <w:color w:val="auto"/>
          <w:sz w:val="30"/>
          <w:szCs w:val="30"/>
          <w:highlight w:val="none"/>
          <w:lang w:val="en-US" w:eastAsia="zh-CN"/>
        </w:rPr>
        <w:t>2026年4月</w:t>
      </w:r>
      <w:r>
        <w:rPr>
          <w:rFonts w:hint="default" w:ascii="Times New Roman" w:hAnsi="Times New Roman" w:eastAsia="仿宋_GB2312" w:cs="Times New Roman"/>
          <w:color w:val="auto"/>
          <w:spacing w:val="0"/>
          <w:kern w:val="2"/>
          <w:sz w:val="30"/>
          <w:szCs w:val="30"/>
          <w:highlight w:val="none"/>
          <w:lang w:val="en-US" w:eastAsia="zh-CN" w:bidi="ar-SA"/>
        </w:rPr>
        <w:t>，分四批组织全行员工开展2026年春游活动。</w:t>
      </w:r>
    </w:p>
    <w:p>
      <w:pPr>
        <w:keepNext w:val="0"/>
        <w:keepLines w:val="0"/>
        <w:pageBreakBefore w:val="0"/>
        <w:widowControl w:val="0"/>
        <w:kinsoku/>
        <w:wordWrap/>
        <w:overflowPunct/>
        <w:topLinePunct w:val="0"/>
        <w:autoSpaceDE/>
        <w:autoSpaceDN/>
        <w:bidi w:val="0"/>
        <w:adjustRightInd/>
        <w:snapToGrid/>
        <w:spacing w:line="560" w:lineRule="exact"/>
        <w:ind w:left="0" w:firstLine="644" w:firstLineChars="200"/>
        <w:jc w:val="both"/>
        <w:textAlignment w:val="auto"/>
        <w:outlineLvl w:val="9"/>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lang w:val="en-US" w:eastAsia="zh-CN"/>
        </w:rPr>
        <w:t>9.2026年4月，组织召开高淳农商银行树立践行正确政绩观学习教育读书班暨党委理论学习中心组（扩大）学习会</w:t>
      </w:r>
      <w:r>
        <w:rPr>
          <w:rFonts w:hint="default" w:ascii="Times New Roman" w:hAnsi="Times New Roman" w:eastAsia="仿宋_GB2312" w:cs="Times New Roman"/>
          <w:color w:val="auto"/>
          <w:sz w:val="30"/>
          <w:szCs w:val="30"/>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firstLine="644" w:firstLineChars="200"/>
        <w:jc w:val="both"/>
        <w:textAlignment w:val="auto"/>
        <w:outlineLvl w:val="9"/>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10.2026年5月，高淳农商银行“淳享会客厅”正式揭牌启用。</w:t>
      </w:r>
    </w:p>
    <w:p>
      <w:pPr>
        <w:keepNext w:val="0"/>
        <w:keepLines w:val="0"/>
        <w:pageBreakBefore w:val="0"/>
        <w:widowControl w:val="0"/>
        <w:kinsoku/>
        <w:wordWrap/>
        <w:overflowPunct/>
        <w:topLinePunct w:val="0"/>
        <w:autoSpaceDE/>
        <w:autoSpaceDN/>
        <w:bidi w:val="0"/>
        <w:adjustRightInd/>
        <w:snapToGrid/>
        <w:spacing w:line="560" w:lineRule="exact"/>
        <w:ind w:left="0" w:firstLine="644" w:firstLineChars="200"/>
        <w:jc w:val="both"/>
        <w:textAlignment w:val="auto"/>
        <w:outlineLvl w:val="9"/>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11.2026年5月，荣获高淳区美丽活力繁荣幸福现代化建设“先进集体”称号。</w:t>
      </w:r>
    </w:p>
    <w:p>
      <w:pPr>
        <w:keepNext w:val="0"/>
        <w:keepLines w:val="0"/>
        <w:pageBreakBefore w:val="0"/>
        <w:widowControl w:val="0"/>
        <w:kinsoku/>
        <w:wordWrap/>
        <w:overflowPunct/>
        <w:topLinePunct w:val="0"/>
        <w:autoSpaceDE/>
        <w:autoSpaceDN/>
        <w:bidi w:val="0"/>
        <w:adjustRightInd/>
        <w:snapToGrid/>
        <w:spacing w:line="560" w:lineRule="exact"/>
        <w:ind w:left="0" w:firstLine="644" w:firstLineChars="200"/>
        <w:jc w:val="both"/>
        <w:textAlignment w:val="auto"/>
        <w:outlineLvl w:val="9"/>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12.2026年5月，与联合银行信息科技部联合举办“奋进‘十五五’</w:t>
      </w:r>
      <w:r>
        <w:rPr>
          <w:rFonts w:hint="eastAsia" w:ascii="Times New Roman" w:hAnsi="Times New Roman" w:eastAsia="仿宋_GB2312" w:cs="Times New Roman"/>
          <w:color w:val="auto"/>
          <w:sz w:val="30"/>
          <w:szCs w:val="30"/>
          <w:highlight w:val="none"/>
          <w:lang w:val="en-US" w:eastAsia="zh-CN"/>
        </w:rPr>
        <w:t xml:space="preserve"> </w:t>
      </w:r>
      <w:r>
        <w:rPr>
          <w:rFonts w:hint="default" w:ascii="Times New Roman" w:hAnsi="Times New Roman" w:eastAsia="仿宋_GB2312" w:cs="Times New Roman"/>
          <w:color w:val="auto"/>
          <w:sz w:val="30"/>
          <w:szCs w:val="30"/>
          <w:highlight w:val="none"/>
          <w:lang w:val="en-US" w:eastAsia="zh-CN"/>
        </w:rPr>
        <w:t>科技谱新篇”主题宣传活动。</w:t>
      </w:r>
    </w:p>
    <w:p>
      <w:pPr>
        <w:keepNext w:val="0"/>
        <w:keepLines w:val="0"/>
        <w:pageBreakBefore w:val="0"/>
        <w:widowControl w:val="0"/>
        <w:kinsoku/>
        <w:wordWrap/>
        <w:overflowPunct/>
        <w:topLinePunct w:val="0"/>
        <w:autoSpaceDE/>
        <w:autoSpaceDN/>
        <w:bidi w:val="0"/>
        <w:adjustRightInd/>
        <w:snapToGrid/>
        <w:spacing w:line="560" w:lineRule="exact"/>
        <w:ind w:left="0" w:firstLine="644" w:firstLineChars="200"/>
        <w:jc w:val="both"/>
        <w:textAlignment w:val="auto"/>
        <w:outlineLvl w:val="9"/>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13.2026年5月，组织召开高淳农商银行第四届职工代表大会第十一次会议暨第四届工会会员代表大会。</w:t>
      </w:r>
    </w:p>
    <w:p>
      <w:pPr>
        <w:keepNext w:val="0"/>
        <w:keepLines w:val="0"/>
        <w:pageBreakBefore w:val="0"/>
        <w:widowControl w:val="0"/>
        <w:kinsoku/>
        <w:wordWrap/>
        <w:overflowPunct/>
        <w:topLinePunct w:val="0"/>
        <w:autoSpaceDE/>
        <w:autoSpaceDN/>
        <w:bidi w:val="0"/>
        <w:adjustRightInd/>
        <w:snapToGrid/>
        <w:spacing w:line="560" w:lineRule="exact"/>
        <w:ind w:left="0" w:firstLine="644" w:firstLineChars="200"/>
        <w:jc w:val="both"/>
        <w:textAlignment w:val="auto"/>
        <w:outlineLvl w:val="9"/>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14.2026年6月，分两批次组织开展2026年“六一”亲子游活动。</w:t>
      </w:r>
    </w:p>
    <w:p>
      <w:pPr>
        <w:keepNext w:val="0"/>
        <w:keepLines w:val="0"/>
        <w:pageBreakBefore w:val="0"/>
        <w:widowControl w:val="0"/>
        <w:kinsoku/>
        <w:wordWrap/>
        <w:overflowPunct/>
        <w:topLinePunct w:val="0"/>
        <w:autoSpaceDE/>
        <w:autoSpaceDN/>
        <w:bidi w:val="0"/>
        <w:adjustRightInd/>
        <w:snapToGrid/>
        <w:spacing w:line="560" w:lineRule="exact"/>
        <w:ind w:left="0" w:firstLine="644" w:firstLineChars="200"/>
        <w:jc w:val="both"/>
        <w:textAlignment w:val="auto"/>
        <w:outlineLvl w:val="9"/>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15.2026年6月，组织召开高淳农商银行2026年案防警示大会。</w:t>
      </w:r>
    </w:p>
    <w:p>
      <w:pPr>
        <w:pStyle w:val="36"/>
        <w:rPr>
          <w:rFonts w:hint="default" w:ascii="Times New Roman" w:hAnsi="Times New Roman" w:cs="Times New Roman"/>
          <w:color w:val="auto"/>
          <w:highlight w:val="none"/>
        </w:rPr>
      </w:pPr>
    </w:p>
    <w:p>
      <w:pPr>
        <w:pStyle w:val="21"/>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pStyle w:val="36"/>
        <w:rPr>
          <w:rFonts w:hint="default" w:ascii="Times New Roman" w:hAnsi="Times New Roman" w:cs="Times New Roman"/>
          <w:color w:val="auto"/>
          <w:highlight w:val="none"/>
        </w:rPr>
      </w:pPr>
    </w:p>
    <w:p>
      <w:pPr>
        <w:pStyle w:val="21"/>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pStyle w:val="36"/>
        <w:rPr>
          <w:rFonts w:hint="default" w:ascii="Times New Roman" w:hAnsi="Times New Roman" w:cs="Times New Roman"/>
          <w:color w:val="auto"/>
          <w:highlight w:val="none"/>
        </w:rPr>
      </w:pPr>
    </w:p>
    <w:p>
      <w:pPr>
        <w:pStyle w:val="21"/>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pStyle w:val="36"/>
        <w:rPr>
          <w:rFonts w:hint="default" w:ascii="Times New Roman" w:hAnsi="Times New Roman" w:cs="Times New Roman"/>
          <w:color w:val="auto"/>
          <w:highlight w:val="none"/>
        </w:rPr>
      </w:pPr>
    </w:p>
    <w:p>
      <w:pPr>
        <w:pStyle w:val="21"/>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pStyle w:val="36"/>
        <w:rPr>
          <w:rFonts w:hint="default" w:ascii="Times New Roman" w:hAnsi="Times New Roman" w:cs="Times New Roman"/>
          <w:color w:val="auto"/>
          <w:highlight w:val="none"/>
        </w:rPr>
      </w:pPr>
    </w:p>
    <w:p>
      <w:pPr>
        <w:pStyle w:val="21"/>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pStyle w:val="36"/>
        <w:rPr>
          <w:rFonts w:hint="default" w:ascii="Times New Roman" w:hAnsi="Times New Roman" w:cs="Times New Roman"/>
          <w:color w:val="auto"/>
          <w:highlight w:val="none"/>
        </w:rPr>
      </w:pPr>
    </w:p>
    <w:p>
      <w:pPr>
        <w:pStyle w:val="36"/>
        <w:rPr>
          <w:rFonts w:hint="default" w:ascii="Times New Roman" w:hAnsi="Times New Roman" w:cs="Times New Roman"/>
          <w:color w:val="auto"/>
          <w:highlight w:val="none"/>
        </w:rPr>
      </w:pPr>
    </w:p>
    <w:p>
      <w:pPr>
        <w:pStyle w:val="21"/>
        <w:rPr>
          <w:rFonts w:hint="default"/>
        </w:rPr>
      </w:pPr>
    </w:p>
    <w:p>
      <w:pPr>
        <w:pStyle w:val="21"/>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jc w:val="center"/>
        <w:rPr>
          <w:rFonts w:hint="default" w:ascii="Times New Roman" w:hAnsi="Times New Roman" w:eastAsia="华文中宋" w:cs="Times New Roman"/>
          <w:color w:val="auto"/>
          <w:sz w:val="36"/>
          <w:szCs w:val="36"/>
          <w:highlight w:val="none"/>
        </w:rPr>
      </w:pPr>
      <w:r>
        <w:rPr>
          <w:rFonts w:hint="default" w:ascii="Times New Roman" w:hAnsi="Times New Roman" w:eastAsia="华文中宋" w:cs="Times New Roman"/>
          <w:color w:val="auto"/>
          <w:sz w:val="36"/>
          <w:szCs w:val="36"/>
          <w:highlight w:val="none"/>
        </w:rPr>
        <w:t>目  录</w:t>
      </w:r>
    </w:p>
    <w:p>
      <w:pPr>
        <w:jc w:val="center"/>
        <w:rPr>
          <w:rFonts w:hint="default" w:ascii="Times New Roman" w:hAnsi="Times New Roman" w:eastAsia="黑体" w:cs="Times New Roman"/>
          <w:color w:val="auto"/>
          <w:sz w:val="36"/>
          <w:szCs w:val="36"/>
          <w:highlight w:val="none"/>
        </w:rPr>
      </w:pPr>
    </w:p>
    <w:p>
      <w:pPr>
        <w:keepNext w:val="0"/>
        <w:keepLines w:val="0"/>
        <w:pageBreakBefore w:val="0"/>
        <w:widowControl w:val="0"/>
        <w:kinsoku/>
        <w:wordWrap/>
        <w:overflowPunct/>
        <w:topLinePunct w:val="0"/>
        <w:autoSpaceDE/>
        <w:autoSpaceDN/>
        <w:bidi w:val="0"/>
        <w:adjustRightInd/>
        <w:snapToGrid/>
        <w:ind w:left="0" w:firstLine="966" w:firstLineChars="300"/>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声明与提示</w:t>
      </w:r>
    </w:p>
    <w:p>
      <w:pPr>
        <w:keepNext w:val="0"/>
        <w:keepLines w:val="0"/>
        <w:pageBreakBefore w:val="0"/>
        <w:widowControl w:val="0"/>
        <w:kinsoku/>
        <w:wordWrap/>
        <w:overflowPunct/>
        <w:topLinePunct w:val="0"/>
        <w:autoSpaceDE/>
        <w:autoSpaceDN/>
        <w:bidi w:val="0"/>
        <w:adjustRightInd/>
        <w:snapToGrid/>
        <w:ind w:left="0" w:firstLine="966" w:firstLineChars="300"/>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第一节  公司概况</w:t>
      </w:r>
    </w:p>
    <w:p>
      <w:pPr>
        <w:keepNext w:val="0"/>
        <w:keepLines w:val="0"/>
        <w:pageBreakBefore w:val="0"/>
        <w:widowControl w:val="0"/>
        <w:kinsoku/>
        <w:wordWrap/>
        <w:overflowPunct/>
        <w:topLinePunct w:val="0"/>
        <w:autoSpaceDE/>
        <w:autoSpaceDN/>
        <w:bidi w:val="0"/>
        <w:adjustRightInd/>
        <w:snapToGrid/>
        <w:ind w:left="0" w:firstLine="966" w:firstLineChars="300"/>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第二节  会计数据及财务指标摘要</w:t>
      </w:r>
    </w:p>
    <w:p>
      <w:pPr>
        <w:keepNext w:val="0"/>
        <w:keepLines w:val="0"/>
        <w:pageBreakBefore w:val="0"/>
        <w:widowControl w:val="0"/>
        <w:kinsoku/>
        <w:wordWrap/>
        <w:overflowPunct/>
        <w:topLinePunct w:val="0"/>
        <w:autoSpaceDE/>
        <w:autoSpaceDN/>
        <w:bidi w:val="0"/>
        <w:adjustRightInd/>
        <w:snapToGrid/>
        <w:ind w:left="0" w:firstLine="966" w:firstLineChars="300"/>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第三节  管理层讨论与分析</w:t>
      </w:r>
    </w:p>
    <w:p>
      <w:pPr>
        <w:keepNext w:val="0"/>
        <w:keepLines w:val="0"/>
        <w:pageBreakBefore w:val="0"/>
        <w:widowControl w:val="0"/>
        <w:kinsoku/>
        <w:wordWrap/>
        <w:overflowPunct/>
        <w:topLinePunct w:val="0"/>
        <w:autoSpaceDE/>
        <w:autoSpaceDN/>
        <w:bidi w:val="0"/>
        <w:adjustRightInd/>
        <w:snapToGrid/>
        <w:ind w:left="0" w:firstLine="966" w:firstLineChars="300"/>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第四节  重要事项</w:t>
      </w:r>
    </w:p>
    <w:p>
      <w:pPr>
        <w:keepNext w:val="0"/>
        <w:keepLines w:val="0"/>
        <w:pageBreakBefore w:val="0"/>
        <w:widowControl w:val="0"/>
        <w:kinsoku/>
        <w:wordWrap/>
        <w:overflowPunct/>
        <w:topLinePunct w:val="0"/>
        <w:autoSpaceDE/>
        <w:autoSpaceDN/>
        <w:bidi w:val="0"/>
        <w:adjustRightInd/>
        <w:snapToGrid/>
        <w:ind w:left="0" w:firstLine="966" w:firstLineChars="300"/>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第五节  股本变动及股东情况</w:t>
      </w:r>
    </w:p>
    <w:p>
      <w:pPr>
        <w:keepNext w:val="0"/>
        <w:keepLines w:val="0"/>
        <w:pageBreakBefore w:val="0"/>
        <w:widowControl w:val="0"/>
        <w:kinsoku/>
        <w:wordWrap/>
        <w:overflowPunct/>
        <w:topLinePunct w:val="0"/>
        <w:autoSpaceDE/>
        <w:autoSpaceDN/>
        <w:bidi w:val="0"/>
        <w:adjustRightInd/>
        <w:snapToGrid/>
        <w:ind w:left="0" w:firstLine="966" w:firstLineChars="300"/>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第六节  董事、高级管理人员及核心员工情况</w:t>
      </w:r>
    </w:p>
    <w:p>
      <w:pPr>
        <w:keepNext w:val="0"/>
        <w:keepLines w:val="0"/>
        <w:pageBreakBefore w:val="0"/>
        <w:widowControl w:val="0"/>
        <w:kinsoku/>
        <w:wordWrap/>
        <w:overflowPunct/>
        <w:topLinePunct w:val="0"/>
        <w:autoSpaceDE/>
        <w:autoSpaceDN/>
        <w:bidi w:val="0"/>
        <w:adjustRightInd/>
        <w:snapToGrid/>
        <w:ind w:left="0" w:firstLine="966" w:firstLineChars="300"/>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第七节</w:t>
      </w:r>
      <w:r>
        <w:rPr>
          <w:rFonts w:hint="default" w:ascii="Times New Roman" w:hAnsi="Times New Roman" w:eastAsia="仿宋_GB2312" w:cs="Times New Roman"/>
          <w:color w:val="auto"/>
          <w:sz w:val="30"/>
          <w:szCs w:val="30"/>
          <w:highlight w:val="none"/>
          <w:lang w:val="en-US" w:eastAsia="zh-CN"/>
        </w:rPr>
        <w:t xml:space="preserve">  </w:t>
      </w:r>
      <w:r>
        <w:rPr>
          <w:rFonts w:hint="default" w:ascii="Times New Roman" w:hAnsi="Times New Roman" w:eastAsia="仿宋_GB2312" w:cs="Times New Roman"/>
          <w:color w:val="auto"/>
          <w:sz w:val="30"/>
          <w:szCs w:val="30"/>
          <w:highlight w:val="none"/>
        </w:rPr>
        <w:t>法人治理结构</w:t>
      </w:r>
    </w:p>
    <w:p>
      <w:pPr>
        <w:keepNext w:val="0"/>
        <w:keepLines w:val="0"/>
        <w:pageBreakBefore w:val="0"/>
        <w:widowControl w:val="0"/>
        <w:kinsoku/>
        <w:wordWrap/>
        <w:overflowPunct/>
        <w:topLinePunct w:val="0"/>
        <w:autoSpaceDE/>
        <w:autoSpaceDN/>
        <w:bidi w:val="0"/>
        <w:adjustRightInd/>
        <w:snapToGrid/>
        <w:ind w:left="0" w:firstLine="966" w:firstLineChars="300"/>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第八节  财务报告</w:t>
      </w:r>
    </w:p>
    <w:p>
      <w:pPr>
        <w:keepNext w:val="0"/>
        <w:keepLines w:val="0"/>
        <w:pageBreakBefore w:val="0"/>
        <w:widowControl w:val="0"/>
        <w:kinsoku/>
        <w:wordWrap/>
        <w:overflowPunct/>
        <w:topLinePunct w:val="0"/>
        <w:autoSpaceDE/>
        <w:autoSpaceDN/>
        <w:bidi w:val="0"/>
        <w:adjustRightInd/>
        <w:snapToGrid/>
        <w:ind w:left="0" w:firstLine="966" w:firstLineChars="300"/>
        <w:textAlignment w:val="auto"/>
        <w:outlineLvl w:val="9"/>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第九节  财务报表附注</w:t>
      </w:r>
    </w:p>
    <w:p>
      <w:pPr>
        <w:widowControl/>
        <w:spacing w:before="150" w:after="150"/>
        <w:ind w:right="300"/>
        <w:jc w:val="center"/>
        <w:rPr>
          <w:rFonts w:hint="default" w:ascii="Times New Roman" w:hAnsi="Times New Roman" w:eastAsia="黑体" w:cs="Times New Roman"/>
          <w:color w:val="auto"/>
          <w:kern w:val="0"/>
          <w:sz w:val="32"/>
          <w:szCs w:val="32"/>
          <w:highlight w:val="none"/>
          <w:lang w:eastAsia="zh-CN"/>
        </w:rPr>
      </w:pPr>
      <w:r>
        <w:rPr>
          <w:rFonts w:hint="default" w:ascii="Times New Roman" w:hAnsi="Times New Roman" w:eastAsia="黑体" w:cs="Times New Roman"/>
          <w:color w:val="auto"/>
          <w:kern w:val="0"/>
          <w:sz w:val="32"/>
          <w:szCs w:val="32"/>
          <w:highlight w:val="none"/>
        </w:rPr>
        <w:br w:type="page"/>
      </w:r>
      <w:r>
        <w:rPr>
          <w:rFonts w:hint="default" w:ascii="Times New Roman" w:hAnsi="Times New Roman" w:eastAsia="黑体" w:cs="Times New Roman"/>
          <w:color w:val="auto"/>
          <w:kern w:val="0"/>
          <w:sz w:val="32"/>
          <w:szCs w:val="32"/>
          <w:highlight w:val="none"/>
        </w:rPr>
        <w:t>释义</w:t>
      </w:r>
    </w:p>
    <w:tbl>
      <w:tblPr>
        <w:tblStyle w:val="25"/>
        <w:tblW w:w="946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2"/>
        <w:gridCol w:w="726"/>
        <w:gridCol w:w="4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4062" w:type="dxa"/>
          </w:tcPr>
          <w:p>
            <w:pPr>
              <w:widowControl/>
              <w:spacing w:before="150" w:after="150"/>
              <w:ind w:right="300"/>
              <w:jc w:val="center"/>
              <w:rPr>
                <w:rFonts w:hint="default" w:ascii="Times New Roman" w:hAnsi="Times New Roman" w:eastAsia="仿宋_GB2312" w:cs="Times New Roman"/>
                <w:b/>
                <w:bCs/>
                <w:color w:val="auto"/>
                <w:kern w:val="0"/>
                <w:szCs w:val="21"/>
                <w:highlight w:val="none"/>
              </w:rPr>
            </w:pPr>
            <w:r>
              <w:rPr>
                <w:rFonts w:hint="default" w:ascii="Times New Roman" w:hAnsi="Times New Roman" w:eastAsia="仿宋_GB2312" w:cs="Times New Roman"/>
                <w:b/>
                <w:bCs/>
                <w:color w:val="auto"/>
                <w:kern w:val="0"/>
                <w:szCs w:val="21"/>
                <w:highlight w:val="none"/>
              </w:rPr>
              <w:t>释义项目</w:t>
            </w:r>
          </w:p>
        </w:tc>
        <w:tc>
          <w:tcPr>
            <w:tcW w:w="726" w:type="dxa"/>
          </w:tcPr>
          <w:p>
            <w:pPr>
              <w:widowControl/>
              <w:spacing w:before="150" w:after="150"/>
              <w:ind w:right="300"/>
              <w:jc w:val="center"/>
              <w:rPr>
                <w:rFonts w:hint="default" w:ascii="Times New Roman" w:hAnsi="Times New Roman" w:eastAsia="仿宋_GB2312" w:cs="Times New Roman"/>
                <w:b/>
                <w:bCs/>
                <w:color w:val="auto"/>
                <w:kern w:val="0"/>
                <w:szCs w:val="21"/>
                <w:highlight w:val="none"/>
              </w:rPr>
            </w:pPr>
          </w:p>
        </w:tc>
        <w:tc>
          <w:tcPr>
            <w:tcW w:w="4680" w:type="dxa"/>
          </w:tcPr>
          <w:p>
            <w:pPr>
              <w:widowControl/>
              <w:spacing w:before="150" w:after="150"/>
              <w:ind w:right="300"/>
              <w:jc w:val="center"/>
              <w:rPr>
                <w:rFonts w:hint="default" w:ascii="Times New Roman" w:hAnsi="Times New Roman" w:eastAsia="仿宋_GB2312" w:cs="Times New Roman"/>
                <w:b/>
                <w:bCs/>
                <w:color w:val="auto"/>
                <w:kern w:val="0"/>
                <w:szCs w:val="21"/>
                <w:highlight w:val="none"/>
              </w:rPr>
            </w:pPr>
            <w:r>
              <w:rPr>
                <w:rFonts w:hint="default" w:ascii="Times New Roman" w:hAnsi="Times New Roman" w:eastAsia="仿宋_GB2312" w:cs="Times New Roman"/>
                <w:b/>
                <w:bCs/>
                <w:color w:val="auto"/>
                <w:kern w:val="0"/>
                <w:szCs w:val="21"/>
                <w:highlight w:val="none"/>
              </w:rPr>
              <w:t>释义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4062"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本行、我行、公司、高淳农商银行</w:t>
            </w:r>
          </w:p>
        </w:tc>
        <w:tc>
          <w:tcPr>
            <w:tcW w:w="726"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指</w:t>
            </w:r>
          </w:p>
        </w:tc>
        <w:tc>
          <w:tcPr>
            <w:tcW w:w="4680"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江苏高淳农村商业银行股份有限公司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4062"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人民银行</w:t>
            </w:r>
          </w:p>
        </w:tc>
        <w:tc>
          <w:tcPr>
            <w:tcW w:w="726"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指</w:t>
            </w:r>
          </w:p>
        </w:tc>
        <w:tc>
          <w:tcPr>
            <w:tcW w:w="4680"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中国人民银行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4062"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国家金融监管总局</w:t>
            </w:r>
          </w:p>
        </w:tc>
        <w:tc>
          <w:tcPr>
            <w:tcW w:w="726"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指</w:t>
            </w:r>
          </w:p>
        </w:tc>
        <w:tc>
          <w:tcPr>
            <w:tcW w:w="4680"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国家金融监督管理总局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4062"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中国证监会</w:t>
            </w:r>
          </w:p>
        </w:tc>
        <w:tc>
          <w:tcPr>
            <w:tcW w:w="726"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指</w:t>
            </w:r>
          </w:p>
        </w:tc>
        <w:tc>
          <w:tcPr>
            <w:tcW w:w="4680"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中国证券监督管理委员会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4062"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银保监会、中国银保监会</w:t>
            </w:r>
          </w:p>
        </w:tc>
        <w:tc>
          <w:tcPr>
            <w:tcW w:w="726"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指</w:t>
            </w:r>
          </w:p>
        </w:tc>
        <w:tc>
          <w:tcPr>
            <w:tcW w:w="4680"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中国银行保险业监督管理委员会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4062"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lang w:eastAsia="zh-CN"/>
              </w:rPr>
            </w:pPr>
            <w:r>
              <w:rPr>
                <w:rFonts w:hint="default" w:ascii="Times New Roman" w:hAnsi="Times New Roman" w:eastAsia="仿宋_GB2312" w:cs="Times New Roman"/>
                <w:color w:val="auto"/>
                <w:kern w:val="0"/>
                <w:szCs w:val="21"/>
                <w:highlight w:val="none"/>
                <w:lang w:eastAsia="zh-CN"/>
              </w:rPr>
              <w:t>联合银行</w:t>
            </w:r>
          </w:p>
        </w:tc>
        <w:tc>
          <w:tcPr>
            <w:tcW w:w="726"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指</w:t>
            </w:r>
          </w:p>
        </w:tc>
        <w:tc>
          <w:tcPr>
            <w:tcW w:w="4680"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lang w:eastAsia="zh-CN"/>
              </w:rPr>
            </w:pPr>
            <w:r>
              <w:rPr>
                <w:rFonts w:hint="default" w:ascii="Times New Roman" w:hAnsi="Times New Roman" w:eastAsia="仿宋_GB2312" w:cs="Times New Roman"/>
                <w:color w:val="auto"/>
                <w:kern w:val="0"/>
                <w:szCs w:val="21"/>
                <w:highlight w:val="none"/>
                <w:lang w:eastAsia="zh-CN"/>
              </w:rPr>
              <w:t>江苏农村商业联合银行股份有限公司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4062"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报告期</w:t>
            </w:r>
          </w:p>
        </w:tc>
        <w:tc>
          <w:tcPr>
            <w:tcW w:w="726"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指</w:t>
            </w:r>
          </w:p>
        </w:tc>
        <w:tc>
          <w:tcPr>
            <w:tcW w:w="4680"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2026</w:t>
            </w:r>
            <w:r>
              <w:rPr>
                <w:rFonts w:hint="default" w:ascii="Times New Roman" w:hAnsi="Times New Roman" w:eastAsia="仿宋_GB2312" w:cs="Times New Roman"/>
                <w:color w:val="auto"/>
                <w:kern w:val="0"/>
                <w:szCs w:val="21"/>
                <w:highlight w:val="none"/>
              </w:rPr>
              <w:t>年1月1日至</w:t>
            </w:r>
            <w:r>
              <w:rPr>
                <w:rFonts w:hint="default" w:ascii="Times New Roman" w:hAnsi="Times New Roman" w:eastAsia="仿宋_GB2312" w:cs="Times New Roman"/>
                <w:color w:val="auto"/>
                <w:kern w:val="0"/>
                <w:szCs w:val="21"/>
                <w:highlight w:val="none"/>
                <w:lang w:val="en-US" w:eastAsia="zh-CN"/>
              </w:rPr>
              <w:t>2026</w:t>
            </w:r>
            <w:r>
              <w:rPr>
                <w:rFonts w:hint="default" w:ascii="Times New Roman" w:hAnsi="Times New Roman" w:eastAsia="仿宋_GB2312" w:cs="Times New Roman"/>
                <w:color w:val="auto"/>
                <w:kern w:val="0"/>
                <w:szCs w:val="21"/>
                <w:highlight w:val="none"/>
              </w:rPr>
              <w:t>年</w:t>
            </w:r>
            <w:r>
              <w:rPr>
                <w:rFonts w:hint="default" w:ascii="Times New Roman" w:hAnsi="Times New Roman" w:eastAsia="仿宋_GB2312" w:cs="Times New Roman"/>
                <w:color w:val="auto"/>
                <w:kern w:val="0"/>
                <w:szCs w:val="21"/>
                <w:highlight w:val="none"/>
                <w:lang w:val="en-US" w:eastAsia="zh-CN"/>
              </w:rPr>
              <w:t>6</w:t>
            </w:r>
            <w:r>
              <w:rPr>
                <w:rFonts w:hint="default" w:ascii="Times New Roman" w:hAnsi="Times New Roman" w:eastAsia="仿宋_GB2312" w:cs="Times New Roman"/>
                <w:color w:val="auto"/>
                <w:kern w:val="0"/>
                <w:szCs w:val="21"/>
                <w:highlight w:val="none"/>
              </w:rPr>
              <w:t>月</w:t>
            </w:r>
            <w:r>
              <w:rPr>
                <w:rFonts w:hint="default" w:ascii="Times New Roman" w:hAnsi="Times New Roman" w:eastAsia="仿宋_GB2312" w:cs="Times New Roman"/>
                <w:color w:val="auto"/>
                <w:kern w:val="0"/>
                <w:szCs w:val="21"/>
                <w:highlight w:val="none"/>
                <w:lang w:val="en-US" w:eastAsia="zh-CN"/>
              </w:rPr>
              <w:t>30</w:t>
            </w:r>
            <w:r>
              <w:rPr>
                <w:rFonts w:hint="default" w:ascii="Times New Roman" w:hAnsi="Times New Roman" w:eastAsia="仿宋_GB2312" w:cs="Times New Roman"/>
                <w:color w:val="auto"/>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4062"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元、万元、亿元</w:t>
            </w:r>
          </w:p>
        </w:tc>
        <w:tc>
          <w:tcPr>
            <w:tcW w:w="726"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指</w:t>
            </w:r>
          </w:p>
        </w:tc>
        <w:tc>
          <w:tcPr>
            <w:tcW w:w="4680" w:type="dxa"/>
            <w:tcBorders>
              <w:top w:val="single" w:color="auto" w:sz="4" w:space="0"/>
              <w:left w:val="single" w:color="auto" w:sz="4" w:space="0"/>
              <w:bottom w:val="single" w:color="auto" w:sz="4" w:space="0"/>
              <w:right w:val="single" w:color="auto" w:sz="4" w:space="0"/>
            </w:tcBorders>
            <w:vAlign w:val="center"/>
          </w:tcPr>
          <w:p>
            <w:pPr>
              <w:widowControl/>
              <w:spacing w:before="150" w:after="150"/>
              <w:ind w:right="300"/>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人民币元、人民币万元、人民币亿元</w:t>
            </w:r>
          </w:p>
        </w:tc>
      </w:tr>
    </w:tbl>
    <w:p>
      <w:pPr>
        <w:widowControl/>
        <w:spacing w:before="150" w:after="150"/>
        <w:ind w:right="300"/>
        <w:jc w:val="center"/>
        <w:rPr>
          <w:rFonts w:hint="default" w:ascii="Times New Roman" w:hAnsi="Times New Roman" w:eastAsia="黑体" w:cs="Times New Roman"/>
          <w:color w:val="auto"/>
          <w:kern w:val="0"/>
          <w:sz w:val="32"/>
          <w:szCs w:val="32"/>
          <w:highlight w:val="none"/>
        </w:rPr>
      </w:pPr>
    </w:p>
    <w:p>
      <w:pPr>
        <w:widowControl/>
        <w:spacing w:before="150" w:after="150"/>
        <w:ind w:right="300" w:firstLine="573" w:firstLineChars="168"/>
        <w:jc w:val="center"/>
        <w:rPr>
          <w:rFonts w:hint="default" w:ascii="Times New Roman" w:hAnsi="Times New Roman" w:eastAsia="黑体" w:cs="Times New Roman"/>
          <w:color w:val="auto"/>
          <w:kern w:val="0"/>
          <w:sz w:val="32"/>
          <w:szCs w:val="32"/>
          <w:highlight w:val="none"/>
        </w:rPr>
      </w:pPr>
    </w:p>
    <w:p>
      <w:pPr>
        <w:widowControl/>
        <w:spacing w:before="150" w:after="150"/>
        <w:ind w:right="300" w:firstLine="573" w:firstLineChars="168"/>
        <w:jc w:val="center"/>
        <w:rPr>
          <w:rFonts w:hint="default" w:ascii="Times New Roman" w:hAnsi="Times New Roman" w:eastAsia="黑体" w:cs="Times New Roman"/>
          <w:color w:val="auto"/>
          <w:kern w:val="0"/>
          <w:sz w:val="32"/>
          <w:szCs w:val="32"/>
          <w:highlight w:val="none"/>
        </w:rPr>
      </w:pPr>
    </w:p>
    <w:p>
      <w:pPr>
        <w:widowControl/>
        <w:spacing w:before="150" w:after="150"/>
        <w:ind w:right="300" w:firstLine="573" w:firstLineChars="168"/>
        <w:jc w:val="center"/>
        <w:rPr>
          <w:rFonts w:hint="default" w:ascii="Times New Roman" w:hAnsi="Times New Roman" w:eastAsia="黑体" w:cs="Times New Roman"/>
          <w:color w:val="auto"/>
          <w:kern w:val="0"/>
          <w:sz w:val="32"/>
          <w:szCs w:val="32"/>
          <w:highlight w:val="none"/>
        </w:rPr>
      </w:pPr>
    </w:p>
    <w:p>
      <w:pPr>
        <w:widowControl/>
        <w:spacing w:before="150" w:after="150"/>
        <w:ind w:right="300"/>
        <w:rPr>
          <w:rFonts w:hint="default" w:ascii="Times New Roman" w:hAnsi="Times New Roman" w:eastAsia="黑体" w:cs="Times New Roman"/>
          <w:color w:val="auto"/>
          <w:kern w:val="0"/>
          <w:sz w:val="32"/>
          <w:szCs w:val="32"/>
          <w:highlight w:val="none"/>
        </w:rPr>
      </w:pPr>
    </w:p>
    <w:p>
      <w:pPr>
        <w:widowControl/>
        <w:spacing w:before="150" w:after="150"/>
        <w:ind w:right="300"/>
        <w:rPr>
          <w:rFonts w:hint="default" w:ascii="Times New Roman" w:hAnsi="Times New Roman" w:eastAsia="黑体" w:cs="Times New Roman"/>
          <w:color w:val="auto"/>
          <w:kern w:val="0"/>
          <w:sz w:val="32"/>
          <w:szCs w:val="32"/>
          <w:highlight w:val="none"/>
        </w:rPr>
      </w:pPr>
    </w:p>
    <w:p>
      <w:pPr>
        <w:widowControl/>
        <w:spacing w:before="150" w:after="150"/>
        <w:ind w:right="300"/>
        <w:jc w:val="center"/>
        <w:rPr>
          <w:rFonts w:hint="default" w:ascii="Times New Roman" w:hAnsi="Times New Roman" w:eastAsia="黑体" w:cs="Times New Roman"/>
          <w:color w:val="auto"/>
          <w:kern w:val="0"/>
          <w:sz w:val="32"/>
          <w:szCs w:val="32"/>
          <w:highlight w:val="none"/>
          <w:lang w:eastAsia="zh-CN"/>
        </w:rPr>
      </w:pPr>
      <w:r>
        <w:rPr>
          <w:rFonts w:hint="default" w:ascii="Times New Roman" w:hAnsi="Times New Roman" w:eastAsia="黑体" w:cs="Times New Roman"/>
          <w:color w:val="auto"/>
          <w:kern w:val="0"/>
          <w:sz w:val="32"/>
          <w:szCs w:val="32"/>
          <w:highlight w:val="none"/>
        </w:rPr>
        <w:br w:type="page"/>
      </w:r>
      <w:r>
        <w:rPr>
          <w:rFonts w:hint="default" w:ascii="Times New Roman" w:hAnsi="Times New Roman" w:eastAsia="黑体" w:cs="Times New Roman"/>
          <w:color w:val="auto"/>
          <w:kern w:val="0"/>
          <w:sz w:val="32"/>
          <w:szCs w:val="32"/>
          <w:highlight w:val="none"/>
        </w:rPr>
        <w:t>声明与提示</w:t>
      </w:r>
    </w:p>
    <w:p>
      <w:pPr>
        <w:pStyle w:val="101"/>
        <w:keepNext w:val="0"/>
        <w:keepLines w:val="0"/>
        <w:pageBreakBefore w:val="0"/>
        <w:widowControl w:val="0"/>
        <w:shd w:val="clear" w:color="auto" w:fill="auto"/>
        <w:kinsoku/>
        <w:wordWrap/>
        <w:overflowPunct/>
        <w:topLinePunct w:val="0"/>
        <w:autoSpaceDE/>
        <w:autoSpaceDN/>
        <w:bidi w:val="0"/>
        <w:adjustRightInd/>
        <w:snapToGrid/>
        <w:spacing w:before="0" w:line="480" w:lineRule="exact"/>
        <w:ind w:left="102" w:right="261" w:firstLine="499"/>
        <w:jc w:val="both"/>
        <w:textAlignment w:val="auto"/>
        <w:rPr>
          <w:rFonts w:hint="default" w:ascii="Times New Roman" w:hAnsi="Times New Roman" w:eastAsia="仿宋_GB2312" w:cs="Times New Roman"/>
          <w:color w:val="auto"/>
          <w:spacing w:val="0"/>
          <w:sz w:val="28"/>
          <w:szCs w:val="28"/>
          <w:highlight w:val="none"/>
        </w:rPr>
      </w:pPr>
      <w:bookmarkStart w:id="0" w:name="bookmark5"/>
      <w:r>
        <w:rPr>
          <w:rFonts w:hint="default" w:ascii="Times New Roman" w:hAnsi="Times New Roman" w:eastAsia="仿宋_GB2312" w:cs="Times New Roman"/>
          <w:color w:val="auto"/>
          <w:spacing w:val="0"/>
          <w:sz w:val="28"/>
          <w:szCs w:val="28"/>
          <w:highlight w:val="none"/>
        </w:rPr>
        <w:t>【声明】公司董事会及其董事</w:t>
      </w:r>
      <w:r>
        <w:rPr>
          <w:rFonts w:hint="default" w:ascii="Times New Roman" w:hAnsi="Times New Roman" w:eastAsia="仿宋_GB2312" w:cs="Times New Roman"/>
          <w:color w:val="auto"/>
          <w:spacing w:val="0"/>
          <w:sz w:val="28"/>
          <w:szCs w:val="28"/>
          <w:highlight w:val="none"/>
          <w:lang w:eastAsia="zh-CN"/>
        </w:rPr>
        <w:t>、</w:t>
      </w:r>
      <w:r>
        <w:rPr>
          <w:rFonts w:hint="default" w:ascii="Times New Roman" w:hAnsi="Times New Roman" w:eastAsia="仿宋_GB2312" w:cs="Times New Roman"/>
          <w:color w:val="auto"/>
          <w:spacing w:val="0"/>
          <w:sz w:val="28"/>
          <w:szCs w:val="28"/>
          <w:highlight w:val="none"/>
        </w:rPr>
        <w:t>公司高级管理人员保证本报告所载资料不存在任何虚假记载、误导性陈述或者重大遗漏，并对其内容的真实性、准确性和完整性承担个别及连带责任。</w:t>
      </w:r>
      <w:bookmarkEnd w:id="0"/>
    </w:p>
    <w:p>
      <w:pPr>
        <w:pStyle w:val="101"/>
        <w:keepNext w:val="0"/>
        <w:keepLines w:val="0"/>
        <w:pageBreakBefore w:val="0"/>
        <w:widowControl w:val="0"/>
        <w:shd w:val="clear" w:color="auto" w:fill="auto"/>
        <w:kinsoku/>
        <w:wordWrap/>
        <w:overflowPunct/>
        <w:topLinePunct w:val="0"/>
        <w:autoSpaceDE/>
        <w:autoSpaceDN/>
        <w:bidi w:val="0"/>
        <w:adjustRightInd/>
        <w:snapToGrid/>
        <w:spacing w:before="0" w:after="327" w:line="480" w:lineRule="exact"/>
        <w:ind w:left="102" w:right="261" w:firstLine="499"/>
        <w:jc w:val="both"/>
        <w:textAlignment w:val="auto"/>
        <w:rPr>
          <w:rFonts w:hint="default" w:ascii="Times New Roman" w:hAnsi="Times New Roman" w:eastAsia="仿宋_GB2312" w:cs="Times New Roman"/>
          <w:color w:val="auto"/>
          <w:spacing w:val="0"/>
          <w:sz w:val="28"/>
          <w:szCs w:val="28"/>
          <w:highlight w:val="none"/>
        </w:rPr>
      </w:pPr>
      <w:r>
        <w:rPr>
          <w:rFonts w:hint="default" w:ascii="Times New Roman" w:hAnsi="Times New Roman" w:eastAsia="仿宋_GB2312" w:cs="Times New Roman"/>
          <w:color w:val="auto"/>
          <w:spacing w:val="0"/>
          <w:sz w:val="28"/>
          <w:szCs w:val="28"/>
          <w:highlight w:val="none"/>
        </w:rPr>
        <w:t>公司负责人</w:t>
      </w:r>
      <w:r>
        <w:rPr>
          <w:rFonts w:hint="default" w:ascii="Times New Roman" w:hAnsi="Times New Roman" w:eastAsia="仿宋_GB2312" w:cs="Times New Roman"/>
          <w:color w:val="auto"/>
          <w:spacing w:val="0"/>
          <w:sz w:val="28"/>
          <w:szCs w:val="28"/>
          <w:highlight w:val="none"/>
          <w:lang w:eastAsia="zh-CN"/>
        </w:rPr>
        <w:t>端淳华</w:t>
      </w:r>
      <w:r>
        <w:rPr>
          <w:rFonts w:hint="default" w:ascii="Times New Roman" w:hAnsi="Times New Roman" w:eastAsia="仿宋_GB2312" w:cs="Times New Roman"/>
          <w:color w:val="auto"/>
          <w:spacing w:val="0"/>
          <w:sz w:val="28"/>
          <w:szCs w:val="28"/>
          <w:highlight w:val="none"/>
        </w:rPr>
        <w:t>、主管会计工作负责人</w:t>
      </w:r>
      <w:r>
        <w:rPr>
          <w:rFonts w:hint="default" w:ascii="Times New Roman" w:hAnsi="Times New Roman" w:eastAsia="仿宋_GB2312" w:cs="Times New Roman"/>
          <w:color w:val="auto"/>
          <w:spacing w:val="0"/>
          <w:sz w:val="28"/>
          <w:szCs w:val="28"/>
          <w:highlight w:val="none"/>
          <w:lang w:val="en-US" w:eastAsia="zh-CN"/>
        </w:rPr>
        <w:t>周毅</w:t>
      </w:r>
      <w:r>
        <w:rPr>
          <w:rFonts w:hint="default" w:ascii="Times New Roman" w:hAnsi="Times New Roman" w:eastAsia="仿宋_GB2312" w:cs="Times New Roman"/>
          <w:color w:val="auto"/>
          <w:spacing w:val="0"/>
          <w:sz w:val="28"/>
          <w:szCs w:val="28"/>
          <w:highlight w:val="none"/>
        </w:rPr>
        <w:t>及会计机构负责人（会计主管人员）</w:t>
      </w:r>
      <w:r>
        <w:rPr>
          <w:rFonts w:hint="default" w:ascii="Times New Roman" w:hAnsi="Times New Roman" w:eastAsia="仿宋_GB2312" w:cs="Times New Roman"/>
          <w:color w:val="auto"/>
          <w:spacing w:val="0"/>
          <w:sz w:val="28"/>
          <w:szCs w:val="28"/>
          <w:highlight w:val="none"/>
          <w:lang w:val="en-US" w:eastAsia="zh-CN"/>
        </w:rPr>
        <w:t>胡剑</w:t>
      </w:r>
      <w:r>
        <w:rPr>
          <w:rFonts w:hint="default" w:ascii="Times New Roman" w:hAnsi="Times New Roman" w:eastAsia="仿宋_GB2312" w:cs="Times New Roman"/>
          <w:color w:val="auto"/>
          <w:spacing w:val="0"/>
          <w:sz w:val="28"/>
          <w:szCs w:val="28"/>
          <w:highlight w:val="none"/>
        </w:rPr>
        <w:t>保证年度报告中财务报告的真实、准确、完整。</w:t>
      </w:r>
    </w:p>
    <w:tbl>
      <w:tblPr>
        <w:tblStyle w:val="25"/>
        <w:tblW w:w="90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4"/>
        <w:gridCol w:w="20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6964" w:type="dxa"/>
            <w:vAlign w:val="center"/>
          </w:tcPr>
          <w:p>
            <w:pPr>
              <w:widowControl/>
              <w:spacing w:before="150" w:after="150"/>
              <w:ind w:right="300"/>
              <w:jc w:val="center"/>
              <w:rPr>
                <w:rFonts w:hint="default" w:ascii="Times New Roman" w:hAnsi="Times New Roman" w:eastAsia="仿宋_GB2312" w:cs="Times New Roman"/>
                <w:b/>
                <w:bCs/>
                <w:color w:val="auto"/>
                <w:kern w:val="0"/>
                <w:szCs w:val="21"/>
                <w:highlight w:val="none"/>
              </w:rPr>
            </w:pPr>
            <w:r>
              <w:rPr>
                <w:rFonts w:hint="default" w:ascii="Times New Roman" w:hAnsi="Times New Roman" w:eastAsia="仿宋_GB2312" w:cs="Times New Roman"/>
                <w:b/>
                <w:bCs/>
                <w:color w:val="auto"/>
                <w:kern w:val="0"/>
                <w:szCs w:val="21"/>
                <w:highlight w:val="none"/>
              </w:rPr>
              <w:t>事项</w:t>
            </w:r>
          </w:p>
        </w:tc>
        <w:tc>
          <w:tcPr>
            <w:tcW w:w="2036" w:type="dxa"/>
            <w:tcBorders>
              <w:left w:val="single" w:color="auto" w:sz="4" w:space="0"/>
              <w:bottom w:val="single" w:color="auto" w:sz="4" w:space="0"/>
            </w:tcBorders>
            <w:vAlign w:val="center"/>
          </w:tcPr>
          <w:p>
            <w:pPr>
              <w:widowControl/>
              <w:spacing w:before="150" w:after="150"/>
              <w:ind w:right="300"/>
              <w:jc w:val="center"/>
              <w:rPr>
                <w:rFonts w:hint="default" w:ascii="Times New Roman" w:hAnsi="Times New Roman" w:eastAsia="仿宋_GB2312" w:cs="Times New Roman"/>
                <w:b/>
                <w:bCs/>
                <w:color w:val="auto"/>
                <w:kern w:val="0"/>
                <w:szCs w:val="21"/>
                <w:highlight w:val="none"/>
              </w:rPr>
            </w:pPr>
            <w:r>
              <w:rPr>
                <w:rFonts w:hint="default" w:ascii="Times New Roman" w:hAnsi="Times New Roman" w:eastAsia="仿宋_GB2312" w:cs="Times New Roman"/>
                <w:b/>
                <w:bCs/>
                <w:color w:val="auto"/>
                <w:kern w:val="0"/>
                <w:szCs w:val="21"/>
                <w:highlight w:val="none"/>
              </w:rPr>
              <w:t>是或否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exact"/>
          <w:jc w:val="center"/>
        </w:trPr>
        <w:tc>
          <w:tcPr>
            <w:tcW w:w="6964" w:type="dxa"/>
            <w:tcBorders>
              <w:top w:val="single" w:color="auto" w:sz="4" w:space="0"/>
              <w:left w:val="single" w:color="auto" w:sz="4" w:space="0"/>
              <w:bottom w:val="single" w:color="auto" w:sz="4" w:space="0"/>
              <w:right w:val="single" w:color="auto" w:sz="4" w:space="0"/>
            </w:tcBorders>
            <w:vAlign w:val="center"/>
          </w:tcPr>
          <w:p>
            <w:pPr>
              <w:pStyle w:val="101"/>
              <w:shd w:val="clear" w:color="auto" w:fill="auto"/>
              <w:spacing w:before="0" w:line="340" w:lineRule="exact"/>
              <w:ind w:right="261"/>
              <w:jc w:val="both"/>
              <w:rPr>
                <w:rFonts w:hint="default" w:ascii="Times New Roman" w:hAnsi="Times New Roman" w:cs="Times New Roman"/>
                <w:color w:val="auto"/>
                <w:sz w:val="21"/>
                <w:szCs w:val="21"/>
                <w:highlight w:val="none"/>
              </w:rPr>
            </w:pPr>
            <w:r>
              <w:rPr>
                <w:rFonts w:hint="default" w:ascii="Times New Roman" w:hAnsi="Times New Roman" w:eastAsia="仿宋_GB2312" w:cs="Times New Roman"/>
                <w:color w:val="auto"/>
                <w:spacing w:val="0"/>
                <w:sz w:val="21"/>
                <w:szCs w:val="21"/>
                <w:highlight w:val="none"/>
              </w:rPr>
              <w:t>是否存在董事、高级管理人员对</w:t>
            </w:r>
            <w:r>
              <w:rPr>
                <w:rFonts w:hint="default" w:ascii="Times New Roman" w:hAnsi="Times New Roman" w:eastAsia="仿宋_GB2312" w:cs="Times New Roman"/>
                <w:color w:val="auto"/>
                <w:spacing w:val="0"/>
                <w:sz w:val="21"/>
                <w:szCs w:val="21"/>
                <w:highlight w:val="none"/>
                <w:lang w:val="en-US" w:eastAsia="zh-CN"/>
              </w:rPr>
              <w:t>半</w:t>
            </w:r>
            <w:r>
              <w:rPr>
                <w:rFonts w:hint="default" w:ascii="Times New Roman" w:hAnsi="Times New Roman" w:eastAsia="仿宋_GB2312" w:cs="Times New Roman"/>
                <w:color w:val="auto"/>
                <w:spacing w:val="0"/>
                <w:sz w:val="21"/>
                <w:szCs w:val="21"/>
                <w:highlight w:val="none"/>
              </w:rPr>
              <w:t>年度报告内容存在异议或无法保证其真实、准确、完整</w:t>
            </w:r>
          </w:p>
        </w:tc>
        <w:tc>
          <w:tcPr>
            <w:tcW w:w="2036" w:type="dxa"/>
            <w:tcBorders>
              <w:top w:val="single" w:color="auto" w:sz="4" w:space="0"/>
              <w:left w:val="single" w:color="auto" w:sz="4" w:space="0"/>
              <w:bottom w:val="single" w:color="auto" w:sz="4" w:space="0"/>
              <w:right w:val="single" w:color="auto" w:sz="4" w:space="0"/>
            </w:tcBorders>
            <w:vAlign w:val="center"/>
          </w:tcPr>
          <w:p>
            <w:pPr>
              <w:pStyle w:val="101"/>
              <w:shd w:val="clear" w:color="auto" w:fill="auto"/>
              <w:spacing w:before="0" w:line="340" w:lineRule="exact"/>
              <w:ind w:right="261"/>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 xml:space="preserve">□是 </w:t>
            </w:r>
            <w:r>
              <w:rPr>
                <w:rFonts w:hint="default" w:ascii="Times New Roman" w:hAnsi="Times New Roman" w:eastAsia="仿宋_GB2312" w:cs="Times New Roman"/>
                <w:color w:val="auto"/>
                <w:spacing w:val="0"/>
                <w:sz w:val="21"/>
                <w:szCs w:val="21"/>
                <w:highlight w:val="none"/>
              </w:rPr>
              <w:sym w:font="Wingdings" w:char="F0FE"/>
            </w:r>
            <w:r>
              <w:rPr>
                <w:rFonts w:hint="default" w:ascii="Times New Roman" w:hAnsi="Times New Roman" w:eastAsia="仿宋_GB2312" w:cs="Times New Roman"/>
                <w:color w:val="auto"/>
                <w:spacing w:val="0"/>
                <w:sz w:val="21"/>
                <w:szCs w:val="21"/>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6" w:hRule="exact"/>
          <w:jc w:val="center"/>
        </w:trPr>
        <w:tc>
          <w:tcPr>
            <w:tcW w:w="6964" w:type="dxa"/>
            <w:tcBorders>
              <w:top w:val="single" w:color="auto" w:sz="4" w:space="0"/>
              <w:left w:val="single" w:color="auto" w:sz="4" w:space="0"/>
              <w:bottom w:val="single" w:color="auto" w:sz="4" w:space="0"/>
              <w:right w:val="single" w:color="auto" w:sz="4" w:space="0"/>
            </w:tcBorders>
            <w:vAlign w:val="center"/>
          </w:tcPr>
          <w:p>
            <w:pPr>
              <w:pStyle w:val="101"/>
              <w:shd w:val="clear" w:color="auto" w:fill="auto"/>
              <w:spacing w:before="0" w:line="340" w:lineRule="exact"/>
              <w:ind w:right="261"/>
              <w:jc w:val="both"/>
              <w:rPr>
                <w:rFonts w:hint="default" w:ascii="Times New Roman" w:hAnsi="Times New Roman" w:cs="Times New Roman"/>
                <w:color w:val="auto"/>
                <w:sz w:val="21"/>
                <w:szCs w:val="21"/>
                <w:highlight w:val="none"/>
              </w:rPr>
            </w:pPr>
            <w:r>
              <w:rPr>
                <w:rFonts w:hint="default" w:ascii="Times New Roman" w:hAnsi="Times New Roman" w:eastAsia="仿宋_GB2312" w:cs="Times New Roman"/>
                <w:color w:val="auto"/>
                <w:spacing w:val="0"/>
                <w:sz w:val="21"/>
                <w:szCs w:val="21"/>
                <w:highlight w:val="none"/>
              </w:rPr>
              <w:t>是否存在未出席董事会审议</w:t>
            </w:r>
            <w:r>
              <w:rPr>
                <w:rFonts w:hint="default" w:ascii="Times New Roman" w:hAnsi="Times New Roman" w:eastAsia="仿宋_GB2312" w:cs="Times New Roman"/>
                <w:color w:val="auto"/>
                <w:spacing w:val="0"/>
                <w:sz w:val="21"/>
                <w:szCs w:val="21"/>
                <w:highlight w:val="none"/>
                <w:lang w:val="en-US" w:eastAsia="zh-CN"/>
              </w:rPr>
              <w:t>半</w:t>
            </w:r>
            <w:r>
              <w:rPr>
                <w:rFonts w:hint="default" w:ascii="Times New Roman" w:hAnsi="Times New Roman" w:eastAsia="仿宋_GB2312" w:cs="Times New Roman"/>
                <w:color w:val="auto"/>
                <w:spacing w:val="0"/>
                <w:sz w:val="21"/>
                <w:szCs w:val="21"/>
                <w:highlight w:val="none"/>
              </w:rPr>
              <w:t>年度报告的董事</w:t>
            </w:r>
          </w:p>
        </w:tc>
        <w:tc>
          <w:tcPr>
            <w:tcW w:w="2036" w:type="dxa"/>
            <w:tcBorders>
              <w:top w:val="single" w:color="auto" w:sz="4" w:space="0"/>
              <w:left w:val="single" w:color="auto" w:sz="4" w:space="0"/>
              <w:bottom w:val="single" w:color="auto" w:sz="4" w:space="0"/>
              <w:right w:val="single" w:color="auto" w:sz="4" w:space="0"/>
            </w:tcBorders>
            <w:vAlign w:val="center"/>
          </w:tcPr>
          <w:p>
            <w:pPr>
              <w:pStyle w:val="101"/>
              <w:shd w:val="clear" w:color="auto" w:fill="auto"/>
              <w:spacing w:before="0" w:line="340" w:lineRule="exact"/>
              <w:ind w:right="261"/>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sym w:font="Wingdings 2" w:char="00A3"/>
            </w:r>
            <w:r>
              <w:rPr>
                <w:rFonts w:hint="default" w:ascii="Times New Roman" w:hAnsi="Times New Roman" w:eastAsia="仿宋_GB2312" w:cs="Times New Roman"/>
                <w:color w:val="auto"/>
                <w:spacing w:val="0"/>
                <w:sz w:val="21"/>
                <w:szCs w:val="21"/>
                <w:highlight w:val="none"/>
              </w:rPr>
              <w:t xml:space="preserve">是 </w:t>
            </w:r>
            <w:r>
              <w:rPr>
                <w:rFonts w:hint="default" w:ascii="Times New Roman" w:hAnsi="Times New Roman" w:eastAsia="仿宋_GB2312" w:cs="Times New Roman"/>
                <w:color w:val="auto"/>
                <w:spacing w:val="0"/>
                <w:sz w:val="21"/>
                <w:szCs w:val="21"/>
                <w:highlight w:val="none"/>
              </w:rPr>
              <w:sym w:font="Wingdings 2" w:char="0052"/>
            </w:r>
            <w:r>
              <w:rPr>
                <w:rFonts w:hint="default" w:ascii="Times New Roman" w:hAnsi="Times New Roman" w:eastAsia="仿宋_GB2312" w:cs="Times New Roman"/>
                <w:color w:val="auto"/>
                <w:spacing w:val="0"/>
                <w:sz w:val="21"/>
                <w:szCs w:val="21"/>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6964" w:type="dxa"/>
            <w:tcBorders>
              <w:top w:val="single" w:color="auto" w:sz="4" w:space="0"/>
              <w:left w:val="single" w:color="auto" w:sz="4" w:space="0"/>
              <w:bottom w:val="single" w:color="auto" w:sz="4" w:space="0"/>
              <w:right w:val="single" w:color="auto" w:sz="4" w:space="0"/>
            </w:tcBorders>
            <w:vAlign w:val="center"/>
          </w:tcPr>
          <w:p>
            <w:pPr>
              <w:pStyle w:val="101"/>
              <w:shd w:val="clear" w:color="auto" w:fill="auto"/>
              <w:spacing w:before="0" w:line="340" w:lineRule="exact"/>
              <w:ind w:right="261"/>
              <w:jc w:val="both"/>
              <w:rPr>
                <w:rFonts w:hint="default" w:ascii="Times New Roman" w:hAnsi="Times New Roman" w:cs="Times New Roman"/>
                <w:color w:val="auto"/>
                <w:sz w:val="21"/>
                <w:szCs w:val="21"/>
                <w:highlight w:val="none"/>
              </w:rPr>
            </w:pPr>
            <w:r>
              <w:rPr>
                <w:rFonts w:hint="default" w:ascii="Times New Roman" w:hAnsi="Times New Roman" w:eastAsia="仿宋_GB2312" w:cs="Times New Roman"/>
                <w:color w:val="auto"/>
                <w:spacing w:val="0"/>
                <w:sz w:val="21"/>
                <w:szCs w:val="21"/>
                <w:highlight w:val="none"/>
              </w:rPr>
              <w:t>是否存在豁免披露事项</w:t>
            </w:r>
          </w:p>
        </w:tc>
        <w:tc>
          <w:tcPr>
            <w:tcW w:w="2036" w:type="dxa"/>
            <w:tcBorders>
              <w:top w:val="single" w:color="auto" w:sz="4" w:space="0"/>
              <w:left w:val="single" w:color="auto" w:sz="4" w:space="0"/>
              <w:bottom w:val="single" w:color="auto" w:sz="4" w:space="0"/>
              <w:right w:val="single" w:color="auto" w:sz="4" w:space="0"/>
            </w:tcBorders>
            <w:vAlign w:val="center"/>
          </w:tcPr>
          <w:p>
            <w:pPr>
              <w:pStyle w:val="101"/>
              <w:shd w:val="clear" w:color="auto" w:fill="auto"/>
              <w:spacing w:before="0" w:line="340" w:lineRule="exact"/>
              <w:ind w:right="261"/>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sym w:font="Wingdings 2" w:char="0052"/>
            </w:r>
            <w:r>
              <w:rPr>
                <w:rFonts w:hint="default" w:ascii="Times New Roman" w:hAnsi="Times New Roman" w:eastAsia="仿宋_GB2312" w:cs="Times New Roman"/>
                <w:color w:val="auto"/>
                <w:spacing w:val="0"/>
                <w:sz w:val="21"/>
                <w:szCs w:val="21"/>
                <w:highlight w:val="none"/>
              </w:rPr>
              <w:t xml:space="preserve">是 </w:t>
            </w:r>
            <w:r>
              <w:rPr>
                <w:rFonts w:hint="default" w:ascii="Times New Roman" w:hAnsi="Times New Roman" w:eastAsia="仿宋_GB2312" w:cs="Times New Roman"/>
                <w:color w:val="auto"/>
                <w:spacing w:val="0"/>
                <w:sz w:val="21"/>
                <w:szCs w:val="21"/>
                <w:highlight w:val="none"/>
              </w:rPr>
              <w:sym w:font="Wingdings" w:char="00A8"/>
            </w:r>
            <w:r>
              <w:rPr>
                <w:rFonts w:hint="default" w:ascii="Times New Roman" w:hAnsi="Times New Roman" w:eastAsia="仿宋_GB2312" w:cs="Times New Roman"/>
                <w:color w:val="auto"/>
                <w:spacing w:val="0"/>
                <w:sz w:val="21"/>
                <w:szCs w:val="21"/>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6964" w:type="dxa"/>
            <w:tcBorders>
              <w:top w:val="single" w:color="auto" w:sz="4" w:space="0"/>
              <w:left w:val="single" w:color="auto" w:sz="4" w:space="0"/>
              <w:bottom w:val="single" w:color="auto" w:sz="4" w:space="0"/>
              <w:right w:val="single" w:color="auto" w:sz="4" w:space="0"/>
            </w:tcBorders>
            <w:vAlign w:val="center"/>
          </w:tcPr>
          <w:p>
            <w:pPr>
              <w:pStyle w:val="101"/>
              <w:shd w:val="clear" w:color="auto" w:fill="auto"/>
              <w:spacing w:before="0" w:line="340" w:lineRule="exact"/>
              <w:ind w:right="261"/>
              <w:jc w:val="both"/>
              <w:rPr>
                <w:rFonts w:hint="default" w:ascii="Times New Roman" w:hAnsi="Times New Roman" w:cs="Times New Roman"/>
                <w:color w:val="auto"/>
                <w:sz w:val="21"/>
                <w:szCs w:val="21"/>
                <w:highlight w:val="none"/>
              </w:rPr>
            </w:pPr>
            <w:r>
              <w:rPr>
                <w:rFonts w:hint="default" w:ascii="Times New Roman" w:hAnsi="Times New Roman" w:eastAsia="仿宋_GB2312" w:cs="Times New Roman"/>
                <w:color w:val="auto"/>
                <w:spacing w:val="0"/>
                <w:sz w:val="21"/>
                <w:szCs w:val="21"/>
                <w:highlight w:val="none"/>
              </w:rPr>
              <w:t>是否审计</w:t>
            </w:r>
          </w:p>
        </w:tc>
        <w:tc>
          <w:tcPr>
            <w:tcW w:w="2036" w:type="dxa"/>
            <w:tcBorders>
              <w:top w:val="single" w:color="auto" w:sz="4" w:space="0"/>
              <w:left w:val="single" w:color="auto" w:sz="4" w:space="0"/>
              <w:bottom w:val="single" w:color="auto" w:sz="4" w:space="0"/>
              <w:right w:val="single" w:color="auto" w:sz="4" w:space="0"/>
            </w:tcBorders>
            <w:vAlign w:val="center"/>
          </w:tcPr>
          <w:p>
            <w:pPr>
              <w:pStyle w:val="101"/>
              <w:shd w:val="clear" w:color="auto" w:fill="auto"/>
              <w:spacing w:before="0" w:line="340" w:lineRule="exact"/>
              <w:ind w:right="261"/>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sym w:font="Wingdings" w:char="00A8"/>
            </w:r>
            <w:r>
              <w:rPr>
                <w:rFonts w:hint="default" w:ascii="Times New Roman" w:hAnsi="Times New Roman" w:eastAsia="仿宋_GB2312" w:cs="Times New Roman"/>
                <w:color w:val="auto"/>
                <w:spacing w:val="0"/>
                <w:sz w:val="21"/>
                <w:szCs w:val="21"/>
                <w:highlight w:val="none"/>
              </w:rPr>
              <w:t xml:space="preserve">是 </w:t>
            </w:r>
            <w:r>
              <w:rPr>
                <w:rFonts w:hint="default" w:ascii="Times New Roman" w:hAnsi="Times New Roman" w:eastAsia="仿宋_GB2312" w:cs="Times New Roman"/>
                <w:color w:val="auto"/>
                <w:spacing w:val="0"/>
                <w:sz w:val="21"/>
                <w:szCs w:val="21"/>
                <w:highlight w:val="none"/>
              </w:rPr>
              <w:sym w:font="Wingdings 2" w:char="0052"/>
            </w:r>
            <w:r>
              <w:rPr>
                <w:rFonts w:hint="default" w:ascii="Times New Roman" w:hAnsi="Times New Roman" w:eastAsia="仿宋_GB2312" w:cs="Times New Roman"/>
                <w:color w:val="auto"/>
                <w:spacing w:val="0"/>
                <w:sz w:val="21"/>
                <w:szCs w:val="21"/>
                <w:highlight w:val="none"/>
              </w:rPr>
              <w:t>否</w:t>
            </w:r>
          </w:p>
        </w:tc>
      </w:tr>
    </w:tbl>
    <w:p>
      <w:pPr>
        <w:pStyle w:val="101"/>
        <w:shd w:val="clear" w:color="auto" w:fill="auto"/>
        <w:spacing w:before="525" w:line="220" w:lineRule="exact"/>
        <w:ind w:left="100"/>
        <w:jc w:val="left"/>
        <w:rPr>
          <w:rFonts w:hint="default" w:ascii="Times New Roman" w:hAnsi="Times New Roman" w:cs="Times New Roman"/>
          <w:color w:val="auto"/>
          <w:highlight w:val="none"/>
        </w:rPr>
      </w:pPr>
      <w:bookmarkStart w:id="1" w:name="bookmark6"/>
      <w:r>
        <w:rPr>
          <w:rFonts w:hint="default" w:ascii="Times New Roman" w:hAnsi="Times New Roman" w:cs="Times New Roman"/>
          <w:color w:val="auto"/>
          <w:highlight w:val="none"/>
        </w:rPr>
        <w:t>【备查文件目录】</w:t>
      </w:r>
      <w:bookmarkEnd w:id="1"/>
    </w:p>
    <w:tbl>
      <w:tblPr>
        <w:tblStyle w:val="25"/>
        <w:tblW w:w="92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1"/>
        <w:gridCol w:w="69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71" w:type="dxa"/>
          </w:tcPr>
          <w:p>
            <w:pPr>
              <w:pStyle w:val="101"/>
              <w:shd w:val="clear" w:color="auto" w:fill="auto"/>
              <w:spacing w:before="0" w:line="340" w:lineRule="exact"/>
              <w:ind w:right="261"/>
              <w:jc w:val="center"/>
              <w:rPr>
                <w:rFonts w:hint="default" w:ascii="Times New Roman" w:hAnsi="Times New Roman" w:eastAsia="黑体" w:cs="Times New Roman"/>
                <w:color w:val="auto"/>
                <w:spacing w:val="0"/>
                <w:sz w:val="24"/>
                <w:szCs w:val="24"/>
                <w:highlight w:val="none"/>
              </w:rPr>
            </w:pPr>
            <w:r>
              <w:rPr>
                <w:rFonts w:hint="default" w:ascii="Times New Roman" w:hAnsi="Times New Roman" w:eastAsia="黑体" w:cs="Times New Roman"/>
                <w:color w:val="auto"/>
                <w:spacing w:val="0"/>
                <w:sz w:val="24"/>
                <w:szCs w:val="24"/>
                <w:highlight w:val="none"/>
              </w:rPr>
              <w:t>文件存放地点</w:t>
            </w:r>
          </w:p>
        </w:tc>
        <w:tc>
          <w:tcPr>
            <w:tcW w:w="6999" w:type="dxa"/>
            <w:vAlign w:val="center"/>
          </w:tcPr>
          <w:p>
            <w:pPr>
              <w:pStyle w:val="101"/>
              <w:shd w:val="clear" w:color="auto" w:fill="auto"/>
              <w:spacing w:before="0" w:line="340" w:lineRule="exact"/>
              <w:ind w:right="261"/>
              <w:jc w:val="center"/>
              <w:rPr>
                <w:rFonts w:hint="default" w:ascii="Times New Roman" w:hAnsi="Times New Roman" w:eastAsia="黑体" w:cs="Times New Roman"/>
                <w:color w:val="auto"/>
                <w:spacing w:val="0"/>
                <w:sz w:val="24"/>
                <w:szCs w:val="24"/>
                <w:highlight w:val="none"/>
              </w:rPr>
            </w:pPr>
            <w:r>
              <w:rPr>
                <w:rFonts w:hint="default" w:ascii="Times New Roman" w:hAnsi="Times New Roman" w:eastAsia="黑体" w:cs="Times New Roman"/>
                <w:color w:val="auto"/>
                <w:spacing w:val="0"/>
                <w:sz w:val="24"/>
                <w:szCs w:val="24"/>
                <w:highlight w:val="none"/>
              </w:rPr>
              <w:t>公司董事会办公室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1" w:hRule="atLeast"/>
          <w:jc w:val="center"/>
        </w:trPr>
        <w:tc>
          <w:tcPr>
            <w:tcW w:w="2271" w:type="dxa"/>
            <w:tcBorders>
              <w:top w:val="single" w:color="auto" w:sz="4" w:space="0"/>
              <w:left w:val="single" w:color="auto" w:sz="4" w:space="0"/>
              <w:bottom w:val="single" w:color="auto" w:sz="4" w:space="0"/>
              <w:right w:val="single" w:color="auto" w:sz="4" w:space="0"/>
            </w:tcBorders>
            <w:vAlign w:val="center"/>
          </w:tcPr>
          <w:p>
            <w:pPr>
              <w:pStyle w:val="101"/>
              <w:shd w:val="clear" w:color="auto" w:fill="auto"/>
              <w:spacing w:before="0" w:line="340" w:lineRule="exact"/>
              <w:ind w:right="261"/>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备查文件：</w:t>
            </w:r>
          </w:p>
        </w:tc>
        <w:tc>
          <w:tcPr>
            <w:tcW w:w="6999" w:type="dxa"/>
            <w:tcBorders>
              <w:top w:val="single" w:color="auto" w:sz="4" w:space="0"/>
              <w:left w:val="single" w:color="auto" w:sz="4" w:space="0"/>
              <w:bottom w:val="single" w:color="auto" w:sz="4" w:space="0"/>
              <w:right w:val="single" w:color="auto" w:sz="4" w:space="0"/>
            </w:tcBorders>
          </w:tcPr>
          <w:p>
            <w:pPr>
              <w:pStyle w:val="101"/>
              <w:shd w:val="clear" w:color="auto" w:fill="auto"/>
              <w:spacing w:before="0" w:line="340" w:lineRule="exact"/>
              <w:ind w:right="261"/>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z w:val="21"/>
                <w:szCs w:val="21"/>
                <w:highlight w:val="none"/>
              </w:rPr>
              <w:t>(</w:t>
            </w:r>
            <w:r>
              <w:rPr>
                <w:rFonts w:hint="default" w:ascii="Times New Roman" w:hAnsi="Times New Roman" w:eastAsia="仿宋_GB2312" w:cs="Times New Roman"/>
                <w:color w:val="auto"/>
                <w:spacing w:val="0"/>
                <w:sz w:val="21"/>
                <w:szCs w:val="21"/>
                <w:highlight w:val="none"/>
              </w:rPr>
              <w:t>一）载有公司负责人、主管会计工作负责人、会计机构负责人（会计主管人员）签名并盖章的财务报表。</w:t>
            </w:r>
          </w:p>
          <w:p>
            <w:pPr>
              <w:pStyle w:val="101"/>
              <w:shd w:val="clear" w:color="auto" w:fill="auto"/>
              <w:spacing w:before="0" w:line="340" w:lineRule="exact"/>
              <w:ind w:right="261"/>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z w:val="21"/>
                <w:szCs w:val="21"/>
                <w:highlight w:val="none"/>
              </w:rPr>
              <w:t>(</w:t>
            </w:r>
            <w:r>
              <w:rPr>
                <w:rFonts w:hint="default" w:ascii="Times New Roman" w:hAnsi="Times New Roman" w:eastAsia="仿宋_GB2312" w:cs="Times New Roman"/>
                <w:color w:val="auto"/>
                <w:spacing w:val="0"/>
                <w:sz w:val="21"/>
                <w:szCs w:val="21"/>
                <w:highlight w:val="none"/>
              </w:rPr>
              <w:t>二）报告期内在指定信息披露平台上公开披露过的所有公司文件的正本及公告的原稿</w:t>
            </w:r>
          </w:p>
        </w:tc>
      </w:tr>
    </w:tbl>
    <w:p>
      <w:pPr>
        <w:widowControl/>
        <w:spacing w:before="150" w:after="150"/>
        <w:ind w:right="300" w:firstLine="573" w:firstLineChars="168"/>
        <w:jc w:val="center"/>
        <w:rPr>
          <w:rFonts w:hint="default" w:ascii="Times New Roman" w:hAnsi="Times New Roman" w:eastAsia="黑体" w:cs="Times New Roman"/>
          <w:color w:val="auto"/>
          <w:kern w:val="0"/>
          <w:sz w:val="32"/>
          <w:szCs w:val="32"/>
          <w:highlight w:val="none"/>
        </w:rPr>
      </w:pPr>
    </w:p>
    <w:p>
      <w:pPr>
        <w:widowControl/>
        <w:spacing w:line="480" w:lineRule="exact"/>
        <w:ind w:right="300" w:firstLine="573" w:firstLineChars="168"/>
        <w:jc w:val="center"/>
        <w:rPr>
          <w:rFonts w:hint="default" w:ascii="Times New Roman" w:hAnsi="Times New Roman" w:eastAsia="黑体" w:cs="Times New Roman"/>
          <w:color w:val="auto"/>
          <w:kern w:val="0"/>
          <w:sz w:val="32"/>
          <w:szCs w:val="32"/>
          <w:highlight w:val="none"/>
          <w:lang w:eastAsia="zh-CN"/>
        </w:rPr>
      </w:pPr>
      <w:r>
        <w:rPr>
          <w:rFonts w:hint="default" w:ascii="Times New Roman" w:hAnsi="Times New Roman" w:eastAsia="黑体" w:cs="Times New Roman"/>
          <w:color w:val="auto"/>
          <w:kern w:val="0"/>
          <w:sz w:val="32"/>
          <w:szCs w:val="32"/>
          <w:highlight w:val="none"/>
        </w:rPr>
        <w:br w:type="page"/>
      </w:r>
      <w:r>
        <w:rPr>
          <w:rFonts w:hint="default" w:ascii="Times New Roman" w:hAnsi="Times New Roman" w:eastAsia="黑体" w:cs="Times New Roman"/>
          <w:color w:val="auto"/>
          <w:kern w:val="0"/>
          <w:sz w:val="32"/>
          <w:szCs w:val="32"/>
          <w:highlight w:val="none"/>
        </w:rPr>
        <w:t>第一节  公司概况</w:t>
      </w:r>
    </w:p>
    <w:p>
      <w:pPr>
        <w:pStyle w:val="101"/>
        <w:shd w:val="clear" w:color="auto" w:fill="auto"/>
        <w:tabs>
          <w:tab w:val="left" w:pos="975"/>
        </w:tabs>
        <w:spacing w:before="0" w:line="480" w:lineRule="exact"/>
        <w:ind w:firstLine="644" w:firstLineChars="200"/>
        <w:jc w:val="both"/>
        <w:rPr>
          <w:rFonts w:hint="default" w:ascii="Times New Roman" w:hAnsi="Times New Roman" w:eastAsia="黑体" w:cs="Times New Roman"/>
          <w:bCs/>
          <w:color w:val="auto"/>
          <w:sz w:val="28"/>
          <w:szCs w:val="28"/>
          <w:highlight w:val="none"/>
        </w:rPr>
      </w:pPr>
      <w:bookmarkStart w:id="2" w:name="bookmark8"/>
      <w:bookmarkStart w:id="3" w:name="bookmark9"/>
    </w:p>
    <w:p>
      <w:pPr>
        <w:pStyle w:val="101"/>
        <w:shd w:val="clear" w:color="auto" w:fill="auto"/>
        <w:tabs>
          <w:tab w:val="left" w:pos="975"/>
        </w:tabs>
        <w:spacing w:before="0" w:line="480" w:lineRule="exact"/>
        <w:ind w:firstLine="644" w:firstLineChars="200"/>
        <w:jc w:val="both"/>
        <w:rPr>
          <w:rFonts w:hint="default" w:ascii="Times New Roman" w:hAnsi="Times New Roman" w:eastAsia="黑体" w:cs="Times New Roman"/>
          <w:bCs/>
          <w:color w:val="auto"/>
          <w:sz w:val="28"/>
          <w:szCs w:val="28"/>
          <w:highlight w:val="none"/>
        </w:rPr>
      </w:pPr>
      <w:r>
        <w:rPr>
          <w:rFonts w:hint="default" w:ascii="Times New Roman" w:hAnsi="Times New Roman" w:eastAsia="黑体" w:cs="Times New Roman"/>
          <w:bCs/>
          <w:color w:val="auto"/>
          <w:sz w:val="28"/>
          <w:szCs w:val="28"/>
          <w:highlight w:val="none"/>
        </w:rPr>
        <w:t>一、基本信息</w:t>
      </w:r>
      <w:bookmarkEnd w:id="2"/>
      <w:bookmarkEnd w:id="3"/>
    </w:p>
    <w:tbl>
      <w:tblPr>
        <w:tblStyle w:val="25"/>
        <w:tblW w:w="847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2429"/>
        <w:gridCol w:w="60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26" w:hRule="exact"/>
          <w:jc w:val="center"/>
        </w:trPr>
        <w:tc>
          <w:tcPr>
            <w:tcW w:w="2429" w:type="dxa"/>
            <w:tcBorders>
              <w:top w:val="single" w:color="auto" w:sz="4" w:space="0"/>
              <w:left w:val="single" w:color="auto" w:sz="4" w:space="0"/>
            </w:tcBorders>
            <w:shd w:val="clear" w:color="auto" w:fill="FFFFFF"/>
          </w:tcPr>
          <w:p>
            <w:pPr>
              <w:pStyle w:val="101"/>
              <w:shd w:val="clear" w:color="auto" w:fill="auto"/>
              <w:spacing w:before="0" w:line="340" w:lineRule="exact"/>
              <w:ind w:right="261"/>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公司中文全称</w:t>
            </w:r>
          </w:p>
        </w:tc>
        <w:tc>
          <w:tcPr>
            <w:tcW w:w="6041" w:type="dxa"/>
            <w:tcBorders>
              <w:top w:val="single" w:color="auto" w:sz="4" w:space="0"/>
              <w:left w:val="single" w:color="auto" w:sz="4" w:space="0"/>
              <w:right w:val="single" w:color="auto" w:sz="4" w:space="0"/>
            </w:tcBorders>
            <w:shd w:val="clear" w:color="auto" w:fill="FFFFFF"/>
          </w:tcPr>
          <w:p>
            <w:pPr>
              <w:pStyle w:val="101"/>
              <w:shd w:val="clear" w:color="auto" w:fill="auto"/>
              <w:spacing w:before="0" w:line="340" w:lineRule="exact"/>
              <w:ind w:right="261"/>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江苏高淳农村商业银行股份有限公司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22" w:hRule="exact"/>
          <w:jc w:val="center"/>
        </w:trPr>
        <w:tc>
          <w:tcPr>
            <w:tcW w:w="2429" w:type="dxa"/>
            <w:tcBorders>
              <w:top w:val="single" w:color="auto" w:sz="4" w:space="0"/>
              <w:left w:val="single" w:color="auto" w:sz="4" w:space="0"/>
            </w:tcBorders>
            <w:shd w:val="clear" w:color="auto" w:fill="FFFFFF"/>
          </w:tcPr>
          <w:p>
            <w:pPr>
              <w:pStyle w:val="101"/>
              <w:shd w:val="clear" w:color="auto" w:fill="auto"/>
              <w:spacing w:before="0" w:line="340" w:lineRule="exact"/>
              <w:ind w:right="261"/>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英文名称</w:t>
            </w:r>
          </w:p>
        </w:tc>
        <w:tc>
          <w:tcPr>
            <w:tcW w:w="6041" w:type="dxa"/>
            <w:tcBorders>
              <w:top w:val="single" w:color="auto" w:sz="4" w:space="0"/>
              <w:left w:val="single" w:color="auto" w:sz="4" w:space="0"/>
              <w:right w:val="single" w:color="auto" w:sz="4" w:space="0"/>
            </w:tcBorders>
            <w:shd w:val="clear" w:color="auto" w:fill="FFFFFF"/>
          </w:tcPr>
          <w:p>
            <w:pPr>
              <w:pStyle w:val="101"/>
              <w:shd w:val="clear" w:color="auto" w:fill="auto"/>
              <w:spacing w:before="0" w:line="340" w:lineRule="exact"/>
              <w:ind w:right="261"/>
              <w:jc w:val="both"/>
              <w:rPr>
                <w:rFonts w:hint="default" w:ascii="Times New Roman" w:hAnsi="Times New Roman" w:eastAsia="仿宋_GB2312" w:cs="Times New Roman"/>
                <w:color w:val="auto"/>
                <w:spacing w:val="0"/>
                <w:sz w:val="21"/>
                <w:szCs w:val="21"/>
                <w:highlight w:val="none"/>
                <w:lang w:val="en-US" w:eastAsia="zh-CN"/>
              </w:rPr>
            </w:pPr>
            <w:r>
              <w:rPr>
                <w:rFonts w:hint="default" w:ascii="Times New Roman" w:hAnsi="Times New Roman" w:eastAsia="仿宋_GB2312" w:cs="Times New Roman"/>
                <w:color w:val="auto"/>
                <w:spacing w:val="0"/>
                <w:sz w:val="21"/>
                <w:szCs w:val="21"/>
                <w:highlight w:val="none"/>
              </w:rPr>
              <w:t>Jiangsu Gaochun Rural Commercial Bank CO.,LTD.</w:t>
            </w:r>
            <w:r>
              <w:rPr>
                <w:rFonts w:hint="default" w:ascii="Times New Roman" w:hAnsi="Times New Roman" w:eastAsia="仿宋_GB2312" w:cs="Times New Roman"/>
                <w:color w:val="auto"/>
                <w:spacing w:val="0"/>
                <w:sz w:val="21"/>
                <w:szCs w:val="21"/>
                <w:highlight w:val="no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22" w:hRule="exact"/>
          <w:jc w:val="center"/>
        </w:trPr>
        <w:tc>
          <w:tcPr>
            <w:tcW w:w="2429" w:type="dxa"/>
            <w:tcBorders>
              <w:top w:val="single" w:color="auto" w:sz="4" w:space="0"/>
              <w:left w:val="single" w:color="auto" w:sz="4" w:space="0"/>
            </w:tcBorders>
            <w:shd w:val="clear" w:color="auto" w:fill="FFFFFF"/>
          </w:tcPr>
          <w:p>
            <w:pPr>
              <w:pStyle w:val="101"/>
              <w:shd w:val="clear" w:color="auto" w:fill="auto"/>
              <w:spacing w:before="0" w:line="340" w:lineRule="exact"/>
              <w:ind w:right="261"/>
              <w:jc w:val="both"/>
              <w:rPr>
                <w:rFonts w:hint="default" w:ascii="Times New Roman" w:hAnsi="Times New Roman" w:eastAsia="仿宋_GB2312" w:cs="Times New Roman"/>
                <w:color w:val="auto"/>
                <w:spacing w:val="0"/>
                <w:sz w:val="21"/>
                <w:szCs w:val="21"/>
                <w:highlight w:val="none"/>
                <w:lang w:eastAsia="zh-CN"/>
              </w:rPr>
            </w:pPr>
            <w:r>
              <w:rPr>
                <w:rFonts w:hint="default" w:ascii="Times New Roman" w:hAnsi="Times New Roman" w:eastAsia="仿宋_GB2312" w:cs="Times New Roman"/>
                <w:color w:val="auto"/>
                <w:spacing w:val="0"/>
                <w:sz w:val="21"/>
                <w:szCs w:val="21"/>
                <w:highlight w:val="none"/>
                <w:lang w:eastAsia="zh-CN"/>
              </w:rPr>
              <w:t>英文缩写</w:t>
            </w:r>
          </w:p>
        </w:tc>
        <w:tc>
          <w:tcPr>
            <w:tcW w:w="6041" w:type="dxa"/>
            <w:tcBorders>
              <w:top w:val="single" w:color="auto" w:sz="4" w:space="0"/>
              <w:left w:val="single" w:color="auto" w:sz="4" w:space="0"/>
              <w:right w:val="single" w:color="auto" w:sz="4" w:space="0"/>
            </w:tcBorders>
            <w:shd w:val="clear" w:color="auto" w:fill="FFFFFF"/>
          </w:tcPr>
          <w:p>
            <w:pPr>
              <w:pStyle w:val="101"/>
              <w:shd w:val="clear" w:color="auto" w:fill="auto"/>
              <w:spacing w:before="0" w:line="340" w:lineRule="exact"/>
              <w:ind w:right="261"/>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GCRCB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31" w:hRule="exact"/>
          <w:jc w:val="center"/>
        </w:trPr>
        <w:tc>
          <w:tcPr>
            <w:tcW w:w="2429" w:type="dxa"/>
            <w:tcBorders>
              <w:top w:val="single" w:color="auto" w:sz="4" w:space="0"/>
              <w:left w:val="single" w:color="auto" w:sz="4" w:space="0"/>
            </w:tcBorders>
            <w:shd w:val="clear" w:color="auto" w:fill="FFFFFF"/>
          </w:tcPr>
          <w:p>
            <w:pPr>
              <w:pStyle w:val="101"/>
              <w:shd w:val="clear" w:color="auto" w:fill="auto"/>
              <w:spacing w:before="0" w:line="340" w:lineRule="exact"/>
              <w:ind w:right="261"/>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法定代表人</w:t>
            </w:r>
          </w:p>
        </w:tc>
        <w:tc>
          <w:tcPr>
            <w:tcW w:w="6041" w:type="dxa"/>
            <w:tcBorders>
              <w:top w:val="single" w:color="auto" w:sz="4" w:space="0"/>
              <w:left w:val="single" w:color="auto" w:sz="4" w:space="0"/>
              <w:right w:val="single" w:color="auto" w:sz="4" w:space="0"/>
            </w:tcBorders>
            <w:shd w:val="clear" w:color="auto" w:fill="FFFFFF"/>
          </w:tcPr>
          <w:p>
            <w:pPr>
              <w:pStyle w:val="101"/>
              <w:shd w:val="clear" w:color="auto" w:fill="auto"/>
              <w:spacing w:before="0" w:line="340" w:lineRule="exact"/>
              <w:ind w:right="261"/>
              <w:jc w:val="both"/>
              <w:rPr>
                <w:rFonts w:hint="default" w:ascii="Times New Roman" w:hAnsi="Times New Roman" w:eastAsia="仿宋_GB2312" w:cs="Times New Roman"/>
                <w:color w:val="auto"/>
                <w:spacing w:val="0"/>
                <w:sz w:val="21"/>
                <w:szCs w:val="21"/>
                <w:highlight w:val="none"/>
                <w:lang w:eastAsia="zh-CN"/>
              </w:rPr>
            </w:pPr>
            <w:r>
              <w:rPr>
                <w:rFonts w:hint="default" w:ascii="Times New Roman" w:hAnsi="Times New Roman" w:eastAsia="仿宋_GB2312" w:cs="Times New Roman"/>
                <w:color w:val="auto"/>
                <w:spacing w:val="0"/>
                <w:sz w:val="21"/>
                <w:szCs w:val="21"/>
                <w:highlight w:val="none"/>
                <w:lang w:eastAsia="zh-CN"/>
              </w:rPr>
              <w:t>端淳华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36" w:hRule="exact"/>
          <w:jc w:val="center"/>
        </w:trPr>
        <w:tc>
          <w:tcPr>
            <w:tcW w:w="2429" w:type="dxa"/>
            <w:tcBorders>
              <w:top w:val="single" w:color="auto" w:sz="4" w:space="0"/>
              <w:left w:val="single" w:color="auto" w:sz="4" w:space="0"/>
              <w:bottom w:val="single" w:color="auto" w:sz="4" w:space="0"/>
            </w:tcBorders>
            <w:shd w:val="clear" w:color="auto" w:fill="FFFFFF"/>
          </w:tcPr>
          <w:p>
            <w:pPr>
              <w:pStyle w:val="101"/>
              <w:shd w:val="clear" w:color="auto" w:fill="auto"/>
              <w:spacing w:before="0" w:line="340" w:lineRule="exact"/>
              <w:ind w:right="261"/>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办公地址</w:t>
            </w:r>
          </w:p>
        </w:tc>
        <w:tc>
          <w:tcPr>
            <w:tcW w:w="6041" w:type="dxa"/>
            <w:tcBorders>
              <w:top w:val="single" w:color="auto" w:sz="4" w:space="0"/>
              <w:left w:val="single" w:color="auto" w:sz="4" w:space="0"/>
              <w:bottom w:val="single" w:color="auto" w:sz="4" w:space="0"/>
              <w:right w:val="single" w:color="auto" w:sz="4" w:space="0"/>
            </w:tcBorders>
            <w:shd w:val="clear" w:color="auto" w:fill="FFFFFF"/>
          </w:tcPr>
          <w:p>
            <w:pPr>
              <w:pStyle w:val="101"/>
              <w:shd w:val="clear" w:color="auto" w:fill="auto"/>
              <w:spacing w:before="0" w:line="340" w:lineRule="exact"/>
              <w:ind w:right="261"/>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江苏省南京市高淳区宝塔路123号</w:t>
            </w:r>
          </w:p>
        </w:tc>
      </w:tr>
    </w:tbl>
    <w:p>
      <w:pPr>
        <w:pStyle w:val="101"/>
        <w:shd w:val="clear" w:color="auto" w:fill="auto"/>
        <w:tabs>
          <w:tab w:val="left" w:pos="975"/>
        </w:tabs>
        <w:spacing w:before="0" w:line="480" w:lineRule="exact"/>
        <w:ind w:firstLine="644" w:firstLineChars="200"/>
        <w:jc w:val="left"/>
        <w:rPr>
          <w:rFonts w:hint="default" w:ascii="Times New Roman" w:hAnsi="Times New Roman" w:eastAsia="黑体" w:cs="Times New Roman"/>
          <w:bCs/>
          <w:color w:val="auto"/>
          <w:sz w:val="28"/>
          <w:szCs w:val="28"/>
          <w:highlight w:val="none"/>
        </w:rPr>
      </w:pPr>
      <w:bookmarkStart w:id="4" w:name="bookmark10"/>
      <w:r>
        <w:rPr>
          <w:rFonts w:hint="default" w:ascii="Times New Roman" w:hAnsi="Times New Roman" w:eastAsia="黑体" w:cs="Times New Roman"/>
          <w:bCs/>
          <w:color w:val="auto"/>
          <w:sz w:val="28"/>
          <w:szCs w:val="28"/>
          <w:highlight w:val="none"/>
        </w:rPr>
        <w:t>二、联系方式</w:t>
      </w:r>
      <w:bookmarkEnd w:id="4"/>
    </w:p>
    <w:tbl>
      <w:tblPr>
        <w:tblStyle w:val="25"/>
        <w:tblW w:w="847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3562"/>
        <w:gridCol w:w="49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26" w:hRule="exact"/>
          <w:jc w:val="center"/>
        </w:trPr>
        <w:tc>
          <w:tcPr>
            <w:tcW w:w="3562" w:type="dxa"/>
            <w:tcBorders>
              <w:top w:val="single" w:color="auto" w:sz="4" w:space="0"/>
              <w:left w:val="single" w:color="auto" w:sz="4" w:space="0"/>
            </w:tcBorders>
            <w:shd w:val="clear" w:color="auto" w:fill="FFFFFF"/>
            <w:vAlign w:val="center"/>
          </w:tcPr>
          <w:p>
            <w:pPr>
              <w:pStyle w:val="101"/>
              <w:shd w:val="clear" w:color="auto" w:fill="auto"/>
              <w:spacing w:before="0" w:line="220" w:lineRule="exact"/>
              <w:ind w:left="140"/>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董事会秘书或信息披露负责人</w:t>
            </w:r>
          </w:p>
        </w:tc>
        <w:tc>
          <w:tcPr>
            <w:tcW w:w="4908" w:type="dxa"/>
            <w:tcBorders>
              <w:top w:val="single" w:color="auto" w:sz="4" w:space="0"/>
              <w:left w:val="single" w:color="auto" w:sz="4" w:space="0"/>
              <w:right w:val="single" w:color="auto" w:sz="4" w:space="0"/>
            </w:tcBorders>
            <w:shd w:val="clear" w:color="auto" w:fill="FFFFFF"/>
            <w:vAlign w:val="center"/>
          </w:tcPr>
          <w:p>
            <w:pPr>
              <w:pStyle w:val="101"/>
              <w:shd w:val="clear" w:color="auto" w:fill="auto"/>
              <w:spacing w:before="0" w:line="220" w:lineRule="exact"/>
              <w:jc w:val="both"/>
              <w:rPr>
                <w:rFonts w:hint="default" w:ascii="Times New Roman" w:hAnsi="Times New Roman" w:eastAsia="仿宋_GB2312" w:cs="Times New Roman"/>
                <w:color w:val="auto"/>
                <w:spacing w:val="0"/>
                <w:sz w:val="21"/>
                <w:szCs w:val="21"/>
                <w:highlight w:val="none"/>
                <w:lang w:eastAsia="zh-CN"/>
              </w:rPr>
            </w:pPr>
            <w:r>
              <w:rPr>
                <w:rFonts w:hint="default" w:ascii="Times New Roman" w:hAnsi="Times New Roman" w:eastAsia="仿宋_GB2312" w:cs="Times New Roman"/>
                <w:color w:val="auto"/>
                <w:spacing w:val="0"/>
                <w:sz w:val="21"/>
                <w:szCs w:val="21"/>
                <w:highlight w:val="none"/>
                <w:lang w:eastAsia="zh-CN"/>
              </w:rPr>
              <w:t>王新闻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22" w:hRule="exact"/>
          <w:jc w:val="center"/>
        </w:trPr>
        <w:tc>
          <w:tcPr>
            <w:tcW w:w="3562" w:type="dxa"/>
            <w:tcBorders>
              <w:top w:val="single" w:color="auto" w:sz="4" w:space="0"/>
              <w:left w:val="single" w:color="auto" w:sz="4" w:space="0"/>
            </w:tcBorders>
            <w:shd w:val="clear" w:color="auto" w:fill="FFFFFF"/>
            <w:vAlign w:val="center"/>
          </w:tcPr>
          <w:p>
            <w:pPr>
              <w:pStyle w:val="101"/>
              <w:shd w:val="clear" w:color="auto" w:fill="auto"/>
              <w:spacing w:before="0" w:line="220" w:lineRule="exact"/>
              <w:ind w:left="140"/>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电话</w:t>
            </w:r>
          </w:p>
        </w:tc>
        <w:tc>
          <w:tcPr>
            <w:tcW w:w="4908" w:type="dxa"/>
            <w:tcBorders>
              <w:top w:val="single" w:color="auto" w:sz="4" w:space="0"/>
              <w:left w:val="single" w:color="auto" w:sz="4" w:space="0"/>
              <w:right w:val="single" w:color="auto" w:sz="4" w:space="0"/>
            </w:tcBorders>
            <w:shd w:val="clear" w:color="auto" w:fill="FFFFFF"/>
            <w:vAlign w:val="center"/>
          </w:tcPr>
          <w:p>
            <w:pPr>
              <w:pStyle w:val="101"/>
              <w:shd w:val="clear" w:color="auto" w:fill="auto"/>
              <w:spacing w:before="0" w:line="200" w:lineRule="exact"/>
              <w:jc w:val="both"/>
              <w:rPr>
                <w:rFonts w:hint="default" w:ascii="Times New Roman" w:hAnsi="Times New Roman" w:eastAsia="仿宋_GB2312" w:cs="Times New Roman"/>
                <w:color w:val="auto"/>
                <w:spacing w:val="0"/>
                <w:sz w:val="21"/>
                <w:szCs w:val="21"/>
                <w:highlight w:val="none"/>
                <w:lang w:val="en-US" w:eastAsia="zh-CN"/>
              </w:rPr>
            </w:pPr>
            <w:r>
              <w:rPr>
                <w:rFonts w:hint="default" w:ascii="Times New Roman" w:hAnsi="Times New Roman" w:eastAsia="仿宋_GB2312" w:cs="Times New Roman"/>
                <w:color w:val="auto"/>
                <w:sz w:val="21"/>
                <w:szCs w:val="21"/>
                <w:highlight w:val="none"/>
              </w:rPr>
              <w:t>025-57305</w:t>
            </w:r>
            <w:r>
              <w:rPr>
                <w:rFonts w:hint="default" w:ascii="Times New Roman" w:hAnsi="Times New Roman" w:eastAsia="仿宋_GB2312" w:cs="Times New Roman"/>
                <w:color w:val="auto"/>
                <w:sz w:val="21"/>
                <w:szCs w:val="21"/>
                <w:highlight w:val="none"/>
                <w:lang w:val="en-US" w:eastAsia="zh-CN"/>
              </w:rPr>
              <w:t>102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22" w:hRule="exact"/>
          <w:jc w:val="center"/>
        </w:trPr>
        <w:tc>
          <w:tcPr>
            <w:tcW w:w="3562" w:type="dxa"/>
            <w:tcBorders>
              <w:top w:val="single" w:color="auto" w:sz="4" w:space="0"/>
              <w:left w:val="single" w:color="auto" w:sz="4" w:space="0"/>
            </w:tcBorders>
            <w:shd w:val="clear" w:color="auto" w:fill="FFFFFF"/>
            <w:vAlign w:val="center"/>
          </w:tcPr>
          <w:p>
            <w:pPr>
              <w:pStyle w:val="101"/>
              <w:shd w:val="clear" w:color="auto" w:fill="auto"/>
              <w:spacing w:before="0" w:line="220" w:lineRule="exact"/>
              <w:ind w:left="140"/>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传真</w:t>
            </w:r>
          </w:p>
        </w:tc>
        <w:tc>
          <w:tcPr>
            <w:tcW w:w="4908" w:type="dxa"/>
            <w:tcBorders>
              <w:top w:val="single" w:color="auto" w:sz="4" w:space="0"/>
              <w:left w:val="single" w:color="auto" w:sz="4" w:space="0"/>
              <w:right w:val="single" w:color="auto" w:sz="4" w:space="0"/>
            </w:tcBorders>
            <w:shd w:val="clear" w:color="auto" w:fill="FFFFFF"/>
            <w:vAlign w:val="center"/>
          </w:tcPr>
          <w:p>
            <w:pPr>
              <w:pStyle w:val="101"/>
              <w:shd w:val="clear" w:color="auto" w:fill="auto"/>
              <w:spacing w:before="0" w:line="200" w:lineRule="exact"/>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z w:val="21"/>
                <w:szCs w:val="21"/>
                <w:highlight w:val="none"/>
              </w:rPr>
              <w:t>025-57330630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22" w:hRule="exact"/>
          <w:jc w:val="center"/>
        </w:trPr>
        <w:tc>
          <w:tcPr>
            <w:tcW w:w="3562" w:type="dxa"/>
            <w:tcBorders>
              <w:top w:val="single" w:color="auto" w:sz="4" w:space="0"/>
              <w:left w:val="single" w:color="auto" w:sz="4" w:space="0"/>
            </w:tcBorders>
            <w:shd w:val="clear" w:color="auto" w:fill="FFFFFF"/>
            <w:vAlign w:val="center"/>
          </w:tcPr>
          <w:p>
            <w:pPr>
              <w:pStyle w:val="101"/>
              <w:shd w:val="clear" w:color="auto" w:fill="auto"/>
              <w:spacing w:before="0" w:line="220" w:lineRule="exact"/>
              <w:ind w:left="140"/>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电子邮箱</w:t>
            </w:r>
          </w:p>
        </w:tc>
        <w:tc>
          <w:tcPr>
            <w:tcW w:w="4908" w:type="dxa"/>
            <w:tcBorders>
              <w:top w:val="single" w:color="auto" w:sz="4" w:space="0"/>
              <w:left w:val="single" w:color="auto" w:sz="4" w:space="0"/>
              <w:right w:val="single" w:color="auto" w:sz="4" w:space="0"/>
            </w:tcBorders>
            <w:shd w:val="clear" w:color="auto" w:fill="FFFFFF"/>
            <w:vAlign w:val="center"/>
          </w:tcPr>
          <w:p>
            <w:pPr>
              <w:pStyle w:val="101"/>
              <w:shd w:val="clear" w:color="auto" w:fill="auto"/>
              <w:spacing w:before="0" w:line="220" w:lineRule="exact"/>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lang w:val="en-US" w:eastAsia="zh-CN"/>
              </w:rPr>
              <w:t>61634379</w:t>
            </w:r>
            <w:r>
              <w:rPr>
                <w:rFonts w:hint="default" w:ascii="Times New Roman" w:hAnsi="Times New Roman" w:eastAsia="仿宋_GB2312" w:cs="Times New Roman"/>
                <w:color w:val="auto"/>
                <w:spacing w:val="0"/>
                <w:sz w:val="21"/>
                <w:szCs w:val="21"/>
                <w:highlight w:val="none"/>
              </w:rPr>
              <w:t>@</w:t>
            </w:r>
            <w:r>
              <w:rPr>
                <w:rFonts w:hint="default" w:ascii="Times New Roman" w:hAnsi="Times New Roman" w:eastAsia="仿宋_GB2312" w:cs="Times New Roman"/>
                <w:color w:val="auto"/>
                <w:spacing w:val="0"/>
                <w:sz w:val="21"/>
                <w:szCs w:val="21"/>
                <w:highlight w:val="none"/>
                <w:lang w:val="en-US" w:eastAsia="zh-CN"/>
              </w:rPr>
              <w:t>qq</w:t>
            </w:r>
            <w:r>
              <w:rPr>
                <w:rFonts w:hint="default" w:ascii="Times New Roman" w:hAnsi="Times New Roman" w:eastAsia="仿宋_GB2312" w:cs="Times New Roman"/>
                <w:color w:val="auto"/>
                <w:spacing w:val="0"/>
                <w:sz w:val="21"/>
                <w:szCs w:val="21"/>
                <w:highlight w:val="none"/>
              </w:rPr>
              <w:t>.com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22" w:hRule="exact"/>
          <w:jc w:val="center"/>
        </w:trPr>
        <w:tc>
          <w:tcPr>
            <w:tcW w:w="3562" w:type="dxa"/>
            <w:tcBorders>
              <w:top w:val="single" w:color="auto" w:sz="4" w:space="0"/>
              <w:left w:val="single" w:color="auto" w:sz="4" w:space="0"/>
            </w:tcBorders>
            <w:shd w:val="clear" w:color="auto" w:fill="FFFFFF"/>
            <w:vAlign w:val="center"/>
          </w:tcPr>
          <w:p>
            <w:pPr>
              <w:pStyle w:val="101"/>
              <w:shd w:val="clear" w:color="auto" w:fill="auto"/>
              <w:spacing w:before="0" w:line="220" w:lineRule="exact"/>
              <w:ind w:left="140"/>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公司网址</w:t>
            </w:r>
          </w:p>
        </w:tc>
        <w:tc>
          <w:tcPr>
            <w:tcW w:w="4908" w:type="dxa"/>
            <w:tcBorders>
              <w:top w:val="single" w:color="auto" w:sz="4" w:space="0"/>
              <w:left w:val="single" w:color="auto" w:sz="4" w:space="0"/>
              <w:right w:val="single" w:color="auto" w:sz="4" w:space="0"/>
            </w:tcBorders>
            <w:shd w:val="clear" w:color="auto" w:fill="FFFFFF"/>
            <w:vAlign w:val="center"/>
          </w:tcPr>
          <w:p>
            <w:pPr>
              <w:pStyle w:val="101"/>
              <w:shd w:val="clear" w:color="auto" w:fill="auto"/>
              <w:spacing w:before="0" w:line="220" w:lineRule="exact"/>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www.jsgcbank.com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22" w:hRule="exact"/>
          <w:jc w:val="center"/>
        </w:trPr>
        <w:tc>
          <w:tcPr>
            <w:tcW w:w="3562" w:type="dxa"/>
            <w:tcBorders>
              <w:top w:val="single" w:color="auto" w:sz="4" w:space="0"/>
              <w:left w:val="single" w:color="auto" w:sz="4" w:space="0"/>
            </w:tcBorders>
            <w:shd w:val="clear" w:color="auto" w:fill="FFFFFF"/>
            <w:vAlign w:val="center"/>
          </w:tcPr>
          <w:p>
            <w:pPr>
              <w:pStyle w:val="101"/>
              <w:shd w:val="clear" w:color="auto" w:fill="auto"/>
              <w:spacing w:before="0" w:line="220" w:lineRule="exact"/>
              <w:ind w:left="140"/>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联系地址及邮政编码</w:t>
            </w:r>
          </w:p>
        </w:tc>
        <w:tc>
          <w:tcPr>
            <w:tcW w:w="4908" w:type="dxa"/>
            <w:tcBorders>
              <w:top w:val="single" w:color="auto" w:sz="4" w:space="0"/>
              <w:left w:val="single" w:color="auto" w:sz="4" w:space="0"/>
              <w:right w:val="single" w:color="auto" w:sz="4" w:space="0"/>
            </w:tcBorders>
            <w:shd w:val="clear" w:color="auto" w:fill="FFFFFF"/>
            <w:vAlign w:val="center"/>
          </w:tcPr>
          <w:p>
            <w:pPr>
              <w:pStyle w:val="101"/>
              <w:shd w:val="clear" w:color="auto" w:fill="auto"/>
              <w:spacing w:before="0" w:line="220" w:lineRule="exact"/>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江苏省南京市高淳区宝塔路123号</w:t>
            </w:r>
            <w:r>
              <w:rPr>
                <w:rFonts w:hint="default" w:ascii="Times New Roman" w:hAnsi="Times New Roman" w:eastAsia="仿宋_GB2312" w:cs="Times New Roman"/>
                <w:color w:val="auto"/>
                <w:sz w:val="21"/>
                <w:szCs w:val="21"/>
                <w:highlight w:val="none"/>
              </w:rPr>
              <w:t>，211300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22" w:hRule="exact"/>
          <w:jc w:val="center"/>
        </w:trPr>
        <w:tc>
          <w:tcPr>
            <w:tcW w:w="3562" w:type="dxa"/>
            <w:tcBorders>
              <w:top w:val="single" w:color="auto" w:sz="4" w:space="0"/>
              <w:left w:val="single" w:color="auto" w:sz="4" w:space="0"/>
            </w:tcBorders>
            <w:shd w:val="clear" w:color="auto" w:fill="FFFFFF"/>
            <w:vAlign w:val="center"/>
          </w:tcPr>
          <w:p>
            <w:pPr>
              <w:pStyle w:val="101"/>
              <w:shd w:val="clear" w:color="auto" w:fill="auto"/>
              <w:spacing w:before="0" w:line="220" w:lineRule="exact"/>
              <w:ind w:left="140"/>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公司指定信息披露平台的网址</w:t>
            </w:r>
          </w:p>
        </w:tc>
        <w:tc>
          <w:tcPr>
            <w:tcW w:w="4908" w:type="dxa"/>
            <w:tcBorders>
              <w:top w:val="single" w:color="auto" w:sz="4" w:space="0"/>
              <w:left w:val="single" w:color="auto" w:sz="4" w:space="0"/>
              <w:right w:val="single" w:color="auto" w:sz="4" w:space="0"/>
            </w:tcBorders>
            <w:shd w:val="clear" w:color="auto" w:fill="FFFFFF"/>
            <w:vAlign w:val="center"/>
          </w:tcPr>
          <w:p>
            <w:pP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szCs w:val="21"/>
                <w:highlight w:val="none"/>
              </w:rPr>
              <w:t>www.jsgcbank.com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31" w:hRule="exact"/>
          <w:jc w:val="center"/>
        </w:trPr>
        <w:tc>
          <w:tcPr>
            <w:tcW w:w="3562" w:type="dxa"/>
            <w:tcBorders>
              <w:top w:val="single" w:color="auto" w:sz="4" w:space="0"/>
              <w:left w:val="single" w:color="auto" w:sz="4" w:space="0"/>
              <w:bottom w:val="single" w:color="auto" w:sz="4" w:space="0"/>
            </w:tcBorders>
            <w:shd w:val="clear" w:color="auto" w:fill="FFFFFF"/>
            <w:vAlign w:val="center"/>
          </w:tcPr>
          <w:p>
            <w:pPr>
              <w:pStyle w:val="101"/>
              <w:shd w:val="clear" w:color="auto" w:fill="auto"/>
              <w:spacing w:before="0" w:line="220" w:lineRule="exact"/>
              <w:ind w:left="140"/>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公司年度报告备置地</w:t>
            </w:r>
          </w:p>
        </w:tc>
        <w:tc>
          <w:tcPr>
            <w:tcW w:w="4908"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01"/>
              <w:shd w:val="clear" w:color="auto" w:fill="auto"/>
              <w:spacing w:before="0" w:line="220" w:lineRule="exact"/>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董事会办公室</w:t>
            </w:r>
          </w:p>
        </w:tc>
      </w:tr>
    </w:tbl>
    <w:p>
      <w:pPr>
        <w:pStyle w:val="101"/>
        <w:shd w:val="clear" w:color="auto" w:fill="auto"/>
        <w:tabs>
          <w:tab w:val="left" w:pos="975"/>
        </w:tabs>
        <w:spacing w:before="0" w:line="480" w:lineRule="exact"/>
        <w:ind w:firstLine="644" w:firstLineChars="200"/>
        <w:jc w:val="left"/>
        <w:rPr>
          <w:rFonts w:hint="default" w:ascii="Times New Roman" w:hAnsi="Times New Roman" w:eastAsia="黑体" w:cs="Times New Roman"/>
          <w:bCs/>
          <w:color w:val="auto"/>
          <w:sz w:val="28"/>
          <w:szCs w:val="28"/>
          <w:highlight w:val="none"/>
        </w:rPr>
      </w:pPr>
      <w:bookmarkStart w:id="5" w:name="bookmark11"/>
      <w:r>
        <w:rPr>
          <w:rFonts w:hint="default" w:ascii="Times New Roman" w:hAnsi="Times New Roman" w:eastAsia="黑体" w:cs="Times New Roman"/>
          <w:bCs/>
          <w:color w:val="auto"/>
          <w:sz w:val="28"/>
          <w:szCs w:val="28"/>
          <w:highlight w:val="none"/>
        </w:rPr>
        <w:t>三、企业信息</w:t>
      </w:r>
      <w:bookmarkEnd w:id="5"/>
    </w:p>
    <w:tbl>
      <w:tblPr>
        <w:tblStyle w:val="25"/>
        <w:tblW w:w="847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3095"/>
        <w:gridCol w:w="53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26" w:hRule="exact"/>
          <w:jc w:val="center"/>
        </w:trPr>
        <w:tc>
          <w:tcPr>
            <w:tcW w:w="3095" w:type="dxa"/>
            <w:tcBorders>
              <w:top w:val="single" w:color="auto" w:sz="4" w:space="0"/>
              <w:left w:val="single" w:color="auto" w:sz="4" w:space="0"/>
            </w:tcBorders>
            <w:shd w:val="clear" w:color="auto" w:fill="FFFFFF"/>
            <w:vAlign w:val="center"/>
          </w:tcPr>
          <w:p>
            <w:pPr>
              <w:pStyle w:val="101"/>
              <w:shd w:val="clear" w:color="auto" w:fill="auto"/>
              <w:spacing w:before="0" w:line="220" w:lineRule="exact"/>
              <w:ind w:left="120"/>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成立时间</w:t>
            </w:r>
          </w:p>
        </w:tc>
        <w:tc>
          <w:tcPr>
            <w:tcW w:w="5375" w:type="dxa"/>
            <w:tcBorders>
              <w:top w:val="single" w:color="auto" w:sz="4" w:space="0"/>
              <w:left w:val="single" w:color="auto" w:sz="4" w:space="0"/>
              <w:right w:val="single" w:color="auto" w:sz="4" w:space="0"/>
            </w:tcBorders>
            <w:shd w:val="clear" w:color="auto" w:fill="FFFFFF"/>
            <w:vAlign w:val="center"/>
          </w:tcPr>
          <w:p>
            <w:pPr>
              <w:pStyle w:val="101"/>
              <w:shd w:val="clear" w:color="auto" w:fill="auto"/>
              <w:spacing w:before="0" w:line="220" w:lineRule="exact"/>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z w:val="21"/>
                <w:szCs w:val="21"/>
                <w:highlight w:val="none"/>
              </w:rPr>
              <w:t>2011</w:t>
            </w:r>
            <w:r>
              <w:rPr>
                <w:rFonts w:hint="default" w:ascii="Times New Roman" w:hAnsi="Times New Roman" w:eastAsia="仿宋_GB2312" w:cs="Times New Roman"/>
                <w:color w:val="auto"/>
                <w:spacing w:val="0"/>
                <w:sz w:val="21"/>
                <w:szCs w:val="21"/>
                <w:highlight w:val="none"/>
              </w:rPr>
              <w:t>年</w:t>
            </w:r>
            <w:r>
              <w:rPr>
                <w:rFonts w:hint="default" w:ascii="Times New Roman" w:hAnsi="Times New Roman" w:eastAsia="仿宋_GB2312" w:cs="Times New Roman"/>
                <w:color w:val="auto"/>
                <w:sz w:val="21"/>
                <w:szCs w:val="21"/>
                <w:highlight w:val="none"/>
              </w:rPr>
              <w:t>11</w:t>
            </w:r>
            <w:r>
              <w:rPr>
                <w:rFonts w:hint="default" w:ascii="Times New Roman" w:hAnsi="Times New Roman" w:eastAsia="仿宋_GB2312" w:cs="Times New Roman"/>
                <w:color w:val="auto"/>
                <w:spacing w:val="0"/>
                <w:sz w:val="21"/>
                <w:szCs w:val="21"/>
                <w:highlight w:val="none"/>
              </w:rPr>
              <w:t>月2</w:t>
            </w:r>
            <w:r>
              <w:rPr>
                <w:rFonts w:hint="default" w:ascii="Times New Roman" w:hAnsi="Times New Roman" w:eastAsia="仿宋_GB2312" w:cs="Times New Roman"/>
                <w:color w:val="auto"/>
                <w:sz w:val="21"/>
                <w:szCs w:val="21"/>
                <w:highlight w:val="none"/>
              </w:rPr>
              <w:t>8</w:t>
            </w:r>
            <w:r>
              <w:rPr>
                <w:rFonts w:hint="default" w:ascii="Times New Roman" w:hAnsi="Times New Roman" w:eastAsia="仿宋_GB2312" w:cs="Times New Roman"/>
                <w:color w:val="auto"/>
                <w:spacing w:val="0"/>
                <w:sz w:val="21"/>
                <w:szCs w:val="21"/>
                <w:highlight w:val="none"/>
              </w:rPr>
              <w:t>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22" w:hRule="exact"/>
          <w:jc w:val="center"/>
        </w:trPr>
        <w:tc>
          <w:tcPr>
            <w:tcW w:w="3095" w:type="dxa"/>
            <w:tcBorders>
              <w:top w:val="single" w:color="auto" w:sz="4" w:space="0"/>
              <w:left w:val="single" w:color="auto" w:sz="4" w:space="0"/>
            </w:tcBorders>
            <w:shd w:val="clear" w:color="auto" w:fill="FFFFFF"/>
            <w:vAlign w:val="center"/>
          </w:tcPr>
          <w:p>
            <w:pPr>
              <w:pStyle w:val="101"/>
              <w:shd w:val="clear" w:color="auto" w:fill="auto"/>
              <w:spacing w:before="0" w:line="220" w:lineRule="exact"/>
              <w:ind w:left="120"/>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主要产品与服务项目</w:t>
            </w:r>
          </w:p>
        </w:tc>
        <w:tc>
          <w:tcPr>
            <w:tcW w:w="5375" w:type="dxa"/>
            <w:tcBorders>
              <w:top w:val="single" w:color="auto" w:sz="4" w:space="0"/>
              <w:left w:val="single" w:color="auto" w:sz="4" w:space="0"/>
              <w:right w:val="single" w:color="auto" w:sz="4" w:space="0"/>
            </w:tcBorders>
            <w:shd w:val="clear" w:color="auto" w:fill="FFFFFF"/>
            <w:vAlign w:val="center"/>
          </w:tcPr>
          <w:p>
            <w:pPr>
              <w:pStyle w:val="101"/>
              <w:shd w:val="clear" w:color="auto" w:fill="auto"/>
              <w:spacing w:before="0" w:line="220" w:lineRule="exact"/>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公司业务、零售业务及资金业务等货币银行业务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36" w:hRule="exact"/>
          <w:jc w:val="center"/>
        </w:trPr>
        <w:tc>
          <w:tcPr>
            <w:tcW w:w="3095" w:type="dxa"/>
            <w:tcBorders>
              <w:top w:val="single" w:color="auto" w:sz="4" w:space="0"/>
              <w:left w:val="single" w:color="auto" w:sz="4" w:space="0"/>
            </w:tcBorders>
            <w:shd w:val="clear" w:color="auto" w:fill="FFFFFF"/>
            <w:vAlign w:val="center"/>
          </w:tcPr>
          <w:p>
            <w:pPr>
              <w:pStyle w:val="101"/>
              <w:shd w:val="clear" w:color="auto" w:fill="auto"/>
              <w:spacing w:before="0" w:line="220" w:lineRule="exact"/>
              <w:ind w:left="120"/>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普通股总股本（股）</w:t>
            </w:r>
          </w:p>
        </w:tc>
        <w:tc>
          <w:tcPr>
            <w:tcW w:w="5375" w:type="dxa"/>
            <w:tcBorders>
              <w:top w:val="single" w:color="auto" w:sz="4" w:space="0"/>
              <w:left w:val="single" w:color="auto" w:sz="4" w:space="0"/>
              <w:right w:val="single" w:color="auto" w:sz="4" w:space="0"/>
            </w:tcBorders>
            <w:shd w:val="clear" w:color="auto" w:fill="FFFFFF"/>
            <w:vAlign w:val="center"/>
          </w:tcPr>
          <w:p>
            <w:pPr>
              <w:pStyle w:val="101"/>
              <w:shd w:val="clear" w:color="auto" w:fill="auto"/>
              <w:spacing w:before="0" w:line="200" w:lineRule="exact"/>
              <w:jc w:val="both"/>
              <w:rPr>
                <w:rFonts w:hint="default" w:ascii="Times New Roman" w:hAnsi="Times New Roman" w:eastAsia="仿宋_GB2312" w:cs="Times New Roman"/>
                <w:color w:val="auto"/>
                <w:spacing w:val="0"/>
                <w:sz w:val="21"/>
                <w:szCs w:val="21"/>
                <w:highlight w:val="none"/>
                <w:lang w:val="en-US" w:eastAsia="zh-CN"/>
              </w:rPr>
            </w:pPr>
            <w:r>
              <w:rPr>
                <w:rFonts w:hint="default" w:ascii="Times New Roman" w:hAnsi="Times New Roman" w:eastAsia="仿宋_GB2312" w:cs="Times New Roman"/>
                <w:color w:val="auto"/>
                <w:spacing w:val="0"/>
                <w:sz w:val="21"/>
                <w:szCs w:val="21"/>
                <w:highlight w:val="none"/>
                <w:lang w:val="en-US" w:eastAsia="zh-CN"/>
              </w:rPr>
              <w:t>539299038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36" w:hRule="exact"/>
          <w:jc w:val="center"/>
        </w:trPr>
        <w:tc>
          <w:tcPr>
            <w:tcW w:w="3095" w:type="dxa"/>
            <w:tcBorders>
              <w:top w:val="single" w:color="auto" w:sz="4" w:space="0"/>
              <w:left w:val="single" w:color="auto" w:sz="4" w:space="0"/>
            </w:tcBorders>
            <w:shd w:val="clear" w:color="auto" w:fill="FFFFFF"/>
            <w:vAlign w:val="center"/>
          </w:tcPr>
          <w:p>
            <w:pPr>
              <w:pStyle w:val="101"/>
              <w:shd w:val="clear" w:color="auto" w:fill="auto"/>
              <w:spacing w:before="0" w:line="220" w:lineRule="exact"/>
              <w:ind w:left="120"/>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优先股总股本（股）</w:t>
            </w:r>
          </w:p>
        </w:tc>
        <w:tc>
          <w:tcPr>
            <w:tcW w:w="5375" w:type="dxa"/>
            <w:tcBorders>
              <w:top w:val="single" w:color="auto" w:sz="4" w:space="0"/>
              <w:left w:val="single" w:color="auto" w:sz="4" w:space="0"/>
              <w:right w:val="single" w:color="auto" w:sz="4" w:space="0"/>
            </w:tcBorders>
            <w:shd w:val="clear" w:color="auto" w:fill="FFFFFF"/>
            <w:vAlign w:val="center"/>
          </w:tcPr>
          <w:p>
            <w:pPr>
              <w:pStyle w:val="101"/>
              <w:shd w:val="clear" w:color="auto" w:fill="auto"/>
              <w:spacing w:before="0" w:line="200" w:lineRule="exact"/>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z w:val="21"/>
                <w:szCs w:val="21"/>
                <w:highlight w:val="none"/>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31" w:hRule="exact"/>
          <w:jc w:val="center"/>
        </w:trPr>
        <w:tc>
          <w:tcPr>
            <w:tcW w:w="3095" w:type="dxa"/>
            <w:tcBorders>
              <w:top w:val="single" w:color="auto" w:sz="4" w:space="0"/>
              <w:left w:val="single" w:color="auto" w:sz="4" w:space="0"/>
            </w:tcBorders>
            <w:shd w:val="clear" w:color="auto" w:fill="FFFFFF"/>
            <w:vAlign w:val="center"/>
          </w:tcPr>
          <w:p>
            <w:pPr>
              <w:pStyle w:val="101"/>
              <w:shd w:val="clear" w:color="auto" w:fill="auto"/>
              <w:spacing w:before="0" w:line="220" w:lineRule="exact"/>
              <w:ind w:left="120"/>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做市商数量</w:t>
            </w:r>
          </w:p>
        </w:tc>
        <w:tc>
          <w:tcPr>
            <w:tcW w:w="5375" w:type="dxa"/>
            <w:tcBorders>
              <w:top w:val="single" w:color="auto" w:sz="4" w:space="0"/>
              <w:left w:val="single" w:color="auto" w:sz="4" w:space="0"/>
              <w:right w:val="single" w:color="auto" w:sz="4" w:space="0"/>
            </w:tcBorders>
            <w:shd w:val="clear" w:color="auto" w:fill="FFFFFF"/>
            <w:vAlign w:val="center"/>
          </w:tcPr>
          <w:p>
            <w:pPr>
              <w:pStyle w:val="101"/>
              <w:shd w:val="clear" w:color="auto" w:fill="auto"/>
              <w:spacing w:before="0" w:line="200" w:lineRule="exact"/>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z w:val="21"/>
                <w:szCs w:val="21"/>
                <w:highlight w:val="none"/>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22" w:hRule="exact"/>
          <w:jc w:val="center"/>
        </w:trPr>
        <w:tc>
          <w:tcPr>
            <w:tcW w:w="3095" w:type="dxa"/>
            <w:tcBorders>
              <w:top w:val="single" w:color="auto" w:sz="4" w:space="0"/>
              <w:left w:val="single" w:color="auto" w:sz="4" w:space="0"/>
            </w:tcBorders>
            <w:shd w:val="clear" w:color="auto" w:fill="FFFFFF"/>
            <w:vAlign w:val="center"/>
          </w:tcPr>
          <w:p>
            <w:pPr>
              <w:pStyle w:val="101"/>
              <w:shd w:val="clear" w:color="auto" w:fill="auto"/>
              <w:spacing w:before="0" w:line="220" w:lineRule="exact"/>
              <w:ind w:left="120"/>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控股股东</w:t>
            </w:r>
          </w:p>
        </w:tc>
        <w:tc>
          <w:tcPr>
            <w:tcW w:w="5375" w:type="dxa"/>
            <w:tcBorders>
              <w:top w:val="single" w:color="auto" w:sz="4" w:space="0"/>
              <w:left w:val="single" w:color="auto" w:sz="4" w:space="0"/>
              <w:right w:val="single" w:color="auto" w:sz="4" w:space="0"/>
            </w:tcBorders>
            <w:shd w:val="clear" w:color="auto" w:fill="FFFFFF"/>
            <w:vAlign w:val="center"/>
          </w:tcPr>
          <w:p>
            <w:pPr>
              <w:pStyle w:val="101"/>
              <w:shd w:val="clear" w:color="auto" w:fill="auto"/>
              <w:spacing w:before="0" w:line="220" w:lineRule="exact"/>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21" w:hRule="exact"/>
          <w:jc w:val="center"/>
        </w:trPr>
        <w:tc>
          <w:tcPr>
            <w:tcW w:w="3095" w:type="dxa"/>
            <w:tcBorders>
              <w:top w:val="single" w:color="auto" w:sz="4" w:space="0"/>
              <w:left w:val="single" w:color="auto" w:sz="4" w:space="0"/>
              <w:bottom w:val="single" w:color="auto" w:sz="4" w:space="0"/>
            </w:tcBorders>
            <w:shd w:val="clear" w:color="auto" w:fill="FFFFFF"/>
            <w:vAlign w:val="center"/>
          </w:tcPr>
          <w:p>
            <w:pPr>
              <w:pStyle w:val="101"/>
              <w:shd w:val="clear" w:color="auto" w:fill="auto"/>
              <w:spacing w:before="0" w:line="220" w:lineRule="exact"/>
              <w:ind w:left="120"/>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实际控制人及其一致行动人</w:t>
            </w:r>
          </w:p>
        </w:tc>
        <w:tc>
          <w:tcPr>
            <w:tcW w:w="5375"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01"/>
              <w:shd w:val="clear" w:color="auto" w:fill="auto"/>
              <w:spacing w:before="0" w:line="220" w:lineRule="exact"/>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无</w:t>
            </w:r>
          </w:p>
        </w:tc>
      </w:tr>
    </w:tbl>
    <w:p>
      <w:pPr>
        <w:pStyle w:val="101"/>
        <w:shd w:val="clear" w:color="auto" w:fill="auto"/>
        <w:tabs>
          <w:tab w:val="left" w:pos="975"/>
        </w:tabs>
        <w:spacing w:before="0" w:line="480" w:lineRule="exact"/>
        <w:ind w:firstLine="644" w:firstLineChars="200"/>
        <w:jc w:val="left"/>
        <w:rPr>
          <w:rFonts w:hint="default" w:ascii="Times New Roman" w:hAnsi="Times New Roman" w:eastAsia="黑体" w:cs="Times New Roman"/>
          <w:bCs/>
          <w:color w:val="auto"/>
          <w:sz w:val="28"/>
          <w:szCs w:val="28"/>
          <w:highlight w:val="none"/>
        </w:rPr>
      </w:pPr>
      <w:bookmarkStart w:id="6" w:name="bookmark12"/>
      <w:r>
        <w:rPr>
          <w:rFonts w:hint="default" w:ascii="Times New Roman" w:hAnsi="Times New Roman" w:eastAsia="黑体" w:cs="Times New Roman"/>
          <w:bCs/>
          <w:color w:val="auto"/>
          <w:sz w:val="28"/>
          <w:szCs w:val="28"/>
          <w:highlight w:val="none"/>
        </w:rPr>
        <w:t>四、注册情况</w:t>
      </w:r>
      <w:bookmarkEnd w:id="6"/>
    </w:p>
    <w:tbl>
      <w:tblPr>
        <w:tblStyle w:val="25"/>
        <w:tblW w:w="847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2258"/>
        <w:gridCol w:w="3682"/>
        <w:gridCol w:w="25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89" w:hRule="exact"/>
          <w:jc w:val="center"/>
        </w:trPr>
        <w:tc>
          <w:tcPr>
            <w:tcW w:w="2258" w:type="dxa"/>
            <w:tcBorders>
              <w:top w:val="single" w:color="auto" w:sz="4" w:space="0"/>
              <w:left w:val="single" w:color="auto" w:sz="4" w:space="0"/>
            </w:tcBorders>
            <w:shd w:val="clear" w:color="auto" w:fill="FFFFFF"/>
            <w:vAlign w:val="center"/>
          </w:tcPr>
          <w:p>
            <w:pPr>
              <w:pStyle w:val="101"/>
              <w:shd w:val="clear" w:color="auto" w:fill="auto"/>
              <w:spacing w:before="0" w:line="220" w:lineRule="exact"/>
              <w:jc w:val="center"/>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项目</w:t>
            </w:r>
          </w:p>
        </w:tc>
        <w:tc>
          <w:tcPr>
            <w:tcW w:w="3682" w:type="dxa"/>
            <w:tcBorders>
              <w:top w:val="single" w:color="auto" w:sz="4" w:space="0"/>
              <w:left w:val="single" w:color="auto" w:sz="4" w:space="0"/>
              <w:bottom w:val="single" w:color="auto" w:sz="4" w:space="0"/>
            </w:tcBorders>
            <w:shd w:val="clear" w:color="auto" w:fill="FFFFFF"/>
            <w:vAlign w:val="center"/>
          </w:tcPr>
          <w:p>
            <w:pPr>
              <w:pStyle w:val="101"/>
              <w:shd w:val="clear" w:color="auto" w:fill="auto"/>
              <w:spacing w:before="0" w:line="220" w:lineRule="exact"/>
              <w:jc w:val="center"/>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内容</w:t>
            </w:r>
          </w:p>
        </w:tc>
        <w:tc>
          <w:tcPr>
            <w:tcW w:w="253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01"/>
              <w:shd w:val="clear" w:color="auto" w:fill="auto"/>
              <w:spacing w:before="0" w:line="220" w:lineRule="exact"/>
              <w:jc w:val="center"/>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报告期内是否变更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97" w:hRule="exact"/>
          <w:jc w:val="center"/>
        </w:trPr>
        <w:tc>
          <w:tcPr>
            <w:tcW w:w="2258" w:type="dxa"/>
            <w:tcBorders>
              <w:top w:val="single" w:color="auto" w:sz="4" w:space="0"/>
              <w:left w:val="single" w:color="auto" w:sz="4" w:space="0"/>
              <w:bottom w:val="single" w:color="auto" w:sz="4" w:space="0"/>
            </w:tcBorders>
            <w:shd w:val="clear" w:color="auto" w:fill="FFFFFF"/>
            <w:vAlign w:val="center"/>
          </w:tcPr>
          <w:p>
            <w:pPr>
              <w:pStyle w:val="101"/>
              <w:shd w:val="clear" w:color="auto" w:fill="auto"/>
              <w:spacing w:before="0" w:line="220" w:lineRule="exact"/>
              <w:ind w:left="120"/>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统一社会信用代码</w:t>
            </w:r>
          </w:p>
        </w:tc>
        <w:tc>
          <w:tcPr>
            <w:tcW w:w="3682" w:type="dxa"/>
            <w:tcBorders>
              <w:top w:val="single" w:color="auto" w:sz="4" w:space="0"/>
              <w:left w:val="single" w:color="auto" w:sz="4" w:space="0"/>
              <w:bottom w:val="single" w:color="auto" w:sz="4" w:space="0"/>
            </w:tcBorders>
            <w:shd w:val="clear" w:color="auto" w:fill="FFFFFF"/>
            <w:vAlign w:val="center"/>
          </w:tcPr>
          <w:p>
            <w:pPr>
              <w:pStyle w:val="101"/>
              <w:shd w:val="clear" w:color="auto" w:fill="auto"/>
              <w:spacing w:before="0" w:line="220" w:lineRule="exact"/>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91320100585085846K</w:t>
            </w:r>
          </w:p>
        </w:tc>
        <w:tc>
          <w:tcPr>
            <w:tcW w:w="253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01"/>
              <w:shd w:val="clear" w:color="auto" w:fill="auto"/>
              <w:spacing w:before="0" w:line="220" w:lineRule="exact"/>
              <w:jc w:val="center"/>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97" w:hRule="exact"/>
          <w:jc w:val="center"/>
        </w:trPr>
        <w:tc>
          <w:tcPr>
            <w:tcW w:w="2258" w:type="dxa"/>
            <w:tcBorders>
              <w:top w:val="single" w:color="auto" w:sz="4" w:space="0"/>
              <w:left w:val="single" w:color="auto" w:sz="4" w:space="0"/>
              <w:bottom w:val="single" w:color="auto" w:sz="4" w:space="0"/>
            </w:tcBorders>
            <w:shd w:val="clear" w:color="auto" w:fill="FFFFFF"/>
            <w:vAlign w:val="center"/>
          </w:tcPr>
          <w:p>
            <w:pPr>
              <w:pStyle w:val="101"/>
              <w:shd w:val="clear" w:color="auto" w:fill="auto"/>
              <w:spacing w:before="0" w:line="220" w:lineRule="exact"/>
              <w:ind w:left="120"/>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金融许可证机构编码</w:t>
            </w:r>
          </w:p>
        </w:tc>
        <w:tc>
          <w:tcPr>
            <w:tcW w:w="3682" w:type="dxa"/>
            <w:tcBorders>
              <w:top w:val="single" w:color="auto" w:sz="4" w:space="0"/>
              <w:left w:val="single" w:color="auto" w:sz="4" w:space="0"/>
              <w:bottom w:val="single" w:color="auto" w:sz="4" w:space="0"/>
            </w:tcBorders>
            <w:shd w:val="clear" w:color="auto" w:fill="FFFFFF"/>
            <w:vAlign w:val="center"/>
          </w:tcPr>
          <w:p>
            <w:pPr>
              <w:pStyle w:val="101"/>
              <w:shd w:val="clear" w:color="auto" w:fill="auto"/>
              <w:spacing w:before="0" w:line="220" w:lineRule="exact"/>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B1261H232010001</w:t>
            </w:r>
          </w:p>
        </w:tc>
        <w:tc>
          <w:tcPr>
            <w:tcW w:w="253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01"/>
              <w:shd w:val="clear" w:color="auto" w:fill="auto"/>
              <w:spacing w:before="0" w:line="220" w:lineRule="exact"/>
              <w:jc w:val="center"/>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97" w:hRule="exact"/>
          <w:jc w:val="center"/>
        </w:trPr>
        <w:tc>
          <w:tcPr>
            <w:tcW w:w="2258" w:type="dxa"/>
            <w:tcBorders>
              <w:top w:val="single" w:color="auto" w:sz="4" w:space="0"/>
              <w:left w:val="single" w:color="auto" w:sz="4" w:space="0"/>
              <w:bottom w:val="single" w:color="auto" w:sz="4" w:space="0"/>
            </w:tcBorders>
            <w:shd w:val="clear" w:color="auto" w:fill="FFFFFF"/>
            <w:vAlign w:val="center"/>
          </w:tcPr>
          <w:p>
            <w:pPr>
              <w:pStyle w:val="101"/>
              <w:shd w:val="clear" w:color="auto" w:fill="auto"/>
              <w:spacing w:before="0" w:line="220" w:lineRule="exact"/>
              <w:ind w:left="120"/>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注册地址</w:t>
            </w:r>
          </w:p>
        </w:tc>
        <w:tc>
          <w:tcPr>
            <w:tcW w:w="3682" w:type="dxa"/>
            <w:tcBorders>
              <w:top w:val="single" w:color="auto" w:sz="4" w:space="0"/>
              <w:left w:val="single" w:color="auto" w:sz="4" w:space="0"/>
              <w:bottom w:val="single" w:color="auto" w:sz="4" w:space="0"/>
            </w:tcBorders>
            <w:shd w:val="clear" w:color="auto" w:fill="FFFFFF"/>
            <w:vAlign w:val="center"/>
          </w:tcPr>
          <w:p>
            <w:pPr>
              <w:pStyle w:val="101"/>
              <w:shd w:val="clear" w:color="auto" w:fill="auto"/>
              <w:spacing w:before="0" w:line="220" w:lineRule="exact"/>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江苏省南京市高淳区宝塔路123号</w:t>
            </w:r>
          </w:p>
        </w:tc>
        <w:tc>
          <w:tcPr>
            <w:tcW w:w="253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01"/>
              <w:shd w:val="clear" w:color="auto" w:fill="auto"/>
              <w:spacing w:before="0" w:line="220" w:lineRule="exact"/>
              <w:jc w:val="center"/>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Ex>
        <w:trPr>
          <w:trHeight w:val="397" w:hRule="exact"/>
          <w:jc w:val="center"/>
        </w:trPr>
        <w:tc>
          <w:tcPr>
            <w:tcW w:w="2258" w:type="dxa"/>
            <w:tcBorders>
              <w:top w:val="single" w:color="auto" w:sz="4" w:space="0"/>
              <w:left w:val="single" w:color="auto" w:sz="4" w:space="0"/>
              <w:bottom w:val="single" w:color="auto" w:sz="4" w:space="0"/>
            </w:tcBorders>
            <w:shd w:val="clear" w:color="auto" w:fill="FFFFFF"/>
            <w:vAlign w:val="center"/>
          </w:tcPr>
          <w:p>
            <w:pPr>
              <w:pStyle w:val="101"/>
              <w:shd w:val="clear" w:color="auto" w:fill="auto"/>
              <w:spacing w:before="0" w:line="220" w:lineRule="exact"/>
              <w:ind w:left="120"/>
              <w:jc w:val="both"/>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注册资本（元）</w:t>
            </w:r>
          </w:p>
        </w:tc>
        <w:tc>
          <w:tcPr>
            <w:tcW w:w="3682" w:type="dxa"/>
            <w:tcBorders>
              <w:top w:val="single" w:color="auto" w:sz="4" w:space="0"/>
              <w:left w:val="single" w:color="auto" w:sz="4" w:space="0"/>
              <w:bottom w:val="single" w:color="auto" w:sz="4" w:space="0"/>
            </w:tcBorders>
            <w:shd w:val="clear" w:color="auto" w:fill="FFFFFF"/>
            <w:vAlign w:val="center"/>
          </w:tcPr>
          <w:p>
            <w:pPr>
              <w:pStyle w:val="101"/>
              <w:shd w:val="clear" w:color="auto" w:fill="auto"/>
              <w:spacing w:before="0" w:line="220" w:lineRule="exact"/>
              <w:jc w:val="both"/>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pacing w:val="0"/>
                <w:sz w:val="21"/>
                <w:szCs w:val="21"/>
                <w:highlight w:val="none"/>
                <w:lang w:val="en-US" w:eastAsia="zh-CN"/>
              </w:rPr>
              <w:t>539299038</w:t>
            </w:r>
            <w:r>
              <w:rPr>
                <w:rFonts w:hint="default" w:ascii="Times New Roman" w:hAnsi="Times New Roman" w:eastAsia="仿宋_GB2312" w:cs="Times New Roman"/>
                <w:color w:val="auto"/>
                <w:sz w:val="21"/>
                <w:szCs w:val="21"/>
                <w:highlight w:val="none"/>
              </w:rPr>
              <w:t>.00</w:t>
            </w:r>
          </w:p>
        </w:tc>
        <w:tc>
          <w:tcPr>
            <w:tcW w:w="253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01"/>
              <w:shd w:val="clear" w:color="auto" w:fill="auto"/>
              <w:spacing w:before="0" w:line="220" w:lineRule="exact"/>
              <w:jc w:val="center"/>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是</w:t>
            </w:r>
          </w:p>
        </w:tc>
      </w:tr>
    </w:tbl>
    <w:p>
      <w:pPr>
        <w:pStyle w:val="101"/>
        <w:shd w:val="clear" w:color="auto" w:fill="auto"/>
        <w:tabs>
          <w:tab w:val="left" w:pos="975"/>
        </w:tabs>
        <w:spacing w:before="0" w:line="480" w:lineRule="exact"/>
        <w:ind w:firstLine="644" w:firstLineChars="200"/>
        <w:jc w:val="left"/>
        <w:rPr>
          <w:rFonts w:hint="default" w:ascii="Times New Roman" w:hAnsi="Times New Roman" w:eastAsia="黑体" w:cs="Times New Roman"/>
          <w:bCs/>
          <w:color w:val="auto"/>
          <w:sz w:val="28"/>
          <w:szCs w:val="28"/>
          <w:highlight w:val="none"/>
        </w:rPr>
      </w:pPr>
      <w:r>
        <w:rPr>
          <w:rFonts w:hint="default" w:ascii="Times New Roman" w:hAnsi="Times New Roman" w:eastAsia="黑体" w:cs="Times New Roman"/>
          <w:bCs/>
          <w:color w:val="auto"/>
          <w:sz w:val="28"/>
          <w:szCs w:val="28"/>
          <w:highlight w:val="none"/>
        </w:rPr>
        <w:t>五、自愿披露</w:t>
      </w:r>
    </w:p>
    <w:p>
      <w:pPr>
        <w:autoSpaceDE w:val="0"/>
        <w:autoSpaceDN w:val="0"/>
        <w:adjustRightInd w:val="0"/>
        <w:spacing w:line="480" w:lineRule="exact"/>
        <w:ind w:firstLine="604" w:firstLineChars="200"/>
        <w:rPr>
          <w:rStyle w:val="106"/>
          <w:rFonts w:hint="default" w:ascii="Times New Roman" w:hAnsi="Times New Roman" w:eastAsia="仿宋_GB2312" w:cs="Times New Roman"/>
          <w:color w:val="auto"/>
          <w:spacing w:val="0"/>
          <w:sz w:val="28"/>
          <w:szCs w:val="28"/>
          <w:highlight w:val="none"/>
        </w:rPr>
      </w:pPr>
      <w:r>
        <w:rPr>
          <w:rStyle w:val="106"/>
          <w:rFonts w:hint="default" w:ascii="Times New Roman" w:hAnsi="Times New Roman" w:eastAsia="仿宋_GB2312" w:cs="Times New Roman"/>
          <w:color w:val="auto"/>
          <w:spacing w:val="0"/>
          <w:sz w:val="28"/>
          <w:szCs w:val="28"/>
          <w:highlight w:val="none"/>
        </w:rPr>
        <w:t>□适用 √不适用</w:t>
      </w:r>
    </w:p>
    <w:p>
      <w:pPr>
        <w:pStyle w:val="101"/>
        <w:shd w:val="clear" w:color="auto" w:fill="auto"/>
        <w:tabs>
          <w:tab w:val="left" w:pos="975"/>
        </w:tabs>
        <w:spacing w:before="0" w:line="480" w:lineRule="exact"/>
        <w:ind w:firstLine="644" w:firstLineChars="200"/>
        <w:jc w:val="left"/>
        <w:rPr>
          <w:rFonts w:hint="default" w:ascii="Times New Roman" w:hAnsi="Times New Roman" w:eastAsia="黑体" w:cs="Times New Roman"/>
          <w:bCs/>
          <w:color w:val="auto"/>
          <w:sz w:val="28"/>
          <w:szCs w:val="28"/>
          <w:highlight w:val="none"/>
        </w:rPr>
      </w:pPr>
      <w:r>
        <w:rPr>
          <w:rFonts w:hint="default" w:ascii="Times New Roman" w:hAnsi="Times New Roman" w:eastAsia="黑体" w:cs="Times New Roman"/>
          <w:bCs/>
          <w:color w:val="auto"/>
          <w:sz w:val="28"/>
          <w:szCs w:val="28"/>
          <w:highlight w:val="none"/>
        </w:rPr>
        <w:t>六、报告期后更新情况</w:t>
      </w:r>
    </w:p>
    <w:p>
      <w:pPr>
        <w:autoSpaceDE w:val="0"/>
        <w:autoSpaceDN w:val="0"/>
        <w:adjustRightInd w:val="0"/>
        <w:spacing w:line="480" w:lineRule="exact"/>
        <w:ind w:firstLine="604" w:firstLineChars="200"/>
        <w:rPr>
          <w:rFonts w:hint="default" w:ascii="Times New Roman" w:hAnsi="Times New Roman" w:eastAsia="黑体" w:cs="Times New Roman"/>
          <w:color w:val="auto"/>
          <w:kern w:val="0"/>
          <w:sz w:val="32"/>
          <w:szCs w:val="32"/>
          <w:highlight w:val="none"/>
        </w:rPr>
      </w:pPr>
      <w:r>
        <w:rPr>
          <w:rStyle w:val="106"/>
          <w:rFonts w:hint="default" w:ascii="Times New Roman" w:hAnsi="Times New Roman" w:eastAsia="仿宋_GB2312" w:cs="Times New Roman"/>
          <w:color w:val="auto"/>
          <w:spacing w:val="0"/>
          <w:sz w:val="28"/>
          <w:szCs w:val="28"/>
          <w:highlight w:val="none"/>
        </w:rPr>
        <w:t>□适用 √不适用</w:t>
      </w:r>
    </w:p>
    <w:p>
      <w:pPr>
        <w:autoSpaceDE w:val="0"/>
        <w:autoSpaceDN w:val="0"/>
        <w:adjustRightInd w:val="0"/>
        <w:spacing w:line="480" w:lineRule="exact"/>
        <w:jc w:val="center"/>
        <w:rPr>
          <w:rFonts w:hint="default" w:ascii="Times New Roman" w:hAnsi="Times New Roman" w:eastAsia="黑体" w:cs="Times New Roman"/>
          <w:color w:val="auto"/>
          <w:kern w:val="0"/>
          <w:sz w:val="32"/>
          <w:szCs w:val="32"/>
          <w:highlight w:val="none"/>
        </w:rPr>
      </w:pPr>
      <w:r>
        <w:rPr>
          <w:rFonts w:hint="default" w:ascii="Times New Roman" w:hAnsi="Times New Roman" w:eastAsia="黑体" w:cs="Times New Roman"/>
          <w:color w:val="auto"/>
          <w:kern w:val="0"/>
          <w:sz w:val="32"/>
          <w:szCs w:val="32"/>
          <w:highlight w:val="none"/>
        </w:rPr>
        <w:t>第二节  会计数据和财务指标摘要</w:t>
      </w:r>
    </w:p>
    <w:p>
      <w:pPr>
        <w:autoSpaceDE w:val="0"/>
        <w:autoSpaceDN w:val="0"/>
        <w:adjustRightInd w:val="0"/>
        <w:spacing w:line="480" w:lineRule="exact"/>
        <w:ind w:firstLine="604" w:firstLineChars="200"/>
        <w:jc w:val="center"/>
        <w:rPr>
          <w:rFonts w:hint="default" w:ascii="Times New Roman" w:hAnsi="Times New Roman" w:eastAsia="黑体" w:cs="Times New Roman"/>
          <w:bCs/>
          <w:color w:val="auto"/>
          <w:sz w:val="28"/>
          <w:szCs w:val="28"/>
          <w:highlight w:val="none"/>
        </w:rPr>
      </w:pPr>
    </w:p>
    <w:p>
      <w:pPr>
        <w:autoSpaceDE w:val="0"/>
        <w:autoSpaceDN w:val="0"/>
        <w:adjustRightInd w:val="0"/>
        <w:spacing w:line="480" w:lineRule="exact"/>
        <w:ind w:firstLine="604" w:firstLineChars="200"/>
        <w:jc w:val="left"/>
        <w:rPr>
          <w:rFonts w:hint="default" w:ascii="Times New Roman" w:hAnsi="Times New Roman" w:eastAsia="仿宋_GB2312" w:cs="Times New Roman"/>
          <w:color w:val="auto"/>
          <w:kern w:val="0"/>
          <w:szCs w:val="21"/>
          <w:highlight w:val="none"/>
        </w:rPr>
      </w:pPr>
      <w:r>
        <w:rPr>
          <w:rFonts w:hint="default" w:ascii="Times New Roman" w:hAnsi="Times New Roman" w:eastAsia="黑体" w:cs="Times New Roman"/>
          <w:bCs/>
          <w:color w:val="auto"/>
          <w:sz w:val="28"/>
          <w:szCs w:val="28"/>
          <w:highlight w:val="none"/>
        </w:rPr>
        <w:t>一、基本财务指标</w:t>
      </w:r>
      <w:r>
        <w:rPr>
          <w:rFonts w:hint="default" w:ascii="Times New Roman" w:hAnsi="Times New Roman" w:eastAsia="黑体" w:cs="Times New Roman"/>
          <w:bCs/>
          <w:color w:val="auto"/>
          <w:sz w:val="28"/>
          <w:szCs w:val="28"/>
          <w:highlight w:val="none"/>
          <w:lang w:val="en-US" w:eastAsia="zh-CN"/>
        </w:rPr>
        <w:t xml:space="preserve">                          </w:t>
      </w:r>
      <w:r>
        <w:rPr>
          <w:rFonts w:hint="default" w:ascii="Times New Roman" w:hAnsi="Times New Roman" w:eastAsia="仿宋_GB2312" w:cs="Times New Roman"/>
          <w:color w:val="auto"/>
          <w:kern w:val="0"/>
          <w:szCs w:val="21"/>
          <w:highlight w:val="none"/>
        </w:rPr>
        <w:t>单位：元</w:t>
      </w:r>
    </w:p>
    <w:tbl>
      <w:tblPr>
        <w:tblStyle w:val="25"/>
        <w:tblW w:w="917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84"/>
        <w:gridCol w:w="2163"/>
        <w:gridCol w:w="2431"/>
        <w:gridCol w:w="17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jc w:val="center"/>
        </w:trPr>
        <w:tc>
          <w:tcPr>
            <w:tcW w:w="2784" w:type="dxa"/>
            <w:tcBorders>
              <w:top w:val="single" w:color="auto" w:sz="4" w:space="0"/>
              <w:left w:val="single" w:color="auto" w:sz="4" w:space="0"/>
              <w:bottom w:val="single" w:color="auto" w:sz="4" w:space="0"/>
              <w:right w:val="single" w:color="auto" w:sz="4" w:space="0"/>
            </w:tcBorders>
            <w:shd w:val="clear" w:color="000000" w:fill="D8D8D8"/>
            <w:vAlign w:val="center"/>
          </w:tcPr>
          <w:p>
            <w:pPr>
              <w:spacing w:line="360" w:lineRule="exact"/>
              <w:jc w:val="center"/>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项目名称</w:t>
            </w:r>
          </w:p>
        </w:tc>
        <w:tc>
          <w:tcPr>
            <w:tcW w:w="2163" w:type="dxa"/>
            <w:tcBorders>
              <w:top w:val="single" w:color="auto" w:sz="4" w:space="0"/>
              <w:left w:val="single" w:color="auto" w:sz="4" w:space="0"/>
              <w:bottom w:val="single" w:color="auto" w:sz="4" w:space="0"/>
              <w:right w:val="single" w:color="auto" w:sz="4" w:space="0"/>
            </w:tcBorders>
            <w:shd w:val="clear" w:color="000000" w:fill="D8D8D8"/>
            <w:vAlign w:val="center"/>
          </w:tcPr>
          <w:p>
            <w:pPr>
              <w:spacing w:line="360" w:lineRule="exact"/>
              <w:jc w:val="center"/>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本期/本期期末</w:t>
            </w:r>
          </w:p>
        </w:tc>
        <w:tc>
          <w:tcPr>
            <w:tcW w:w="2431" w:type="dxa"/>
            <w:tcBorders>
              <w:top w:val="single" w:color="auto" w:sz="4" w:space="0"/>
              <w:left w:val="single" w:color="auto" w:sz="4" w:space="0"/>
              <w:bottom w:val="single" w:color="auto" w:sz="4" w:space="0"/>
              <w:right w:val="single" w:color="auto" w:sz="4" w:space="0"/>
            </w:tcBorders>
            <w:shd w:val="clear" w:color="000000" w:fill="D8D8D8"/>
            <w:vAlign w:val="center"/>
          </w:tcPr>
          <w:p>
            <w:pPr>
              <w:spacing w:line="360" w:lineRule="exact"/>
              <w:jc w:val="center"/>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上年同期/本期期初</w:t>
            </w:r>
          </w:p>
        </w:tc>
        <w:tc>
          <w:tcPr>
            <w:tcW w:w="1795" w:type="dxa"/>
            <w:tcBorders>
              <w:top w:val="single" w:color="auto" w:sz="4" w:space="0"/>
              <w:left w:val="single" w:color="auto" w:sz="4" w:space="0"/>
              <w:bottom w:val="single" w:color="auto" w:sz="4" w:space="0"/>
              <w:right w:val="single" w:color="auto" w:sz="4" w:space="0"/>
            </w:tcBorders>
            <w:shd w:val="clear" w:color="000000" w:fill="D8D8D8"/>
            <w:vAlign w:val="center"/>
          </w:tcPr>
          <w:p>
            <w:pPr>
              <w:spacing w:line="360" w:lineRule="exact"/>
              <w:jc w:val="center"/>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增减比例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 w:hRule="atLeast"/>
          <w:jc w:val="center"/>
        </w:trPr>
        <w:tc>
          <w:tcPr>
            <w:tcW w:w="278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营业收入</w:t>
            </w:r>
          </w:p>
        </w:tc>
        <w:tc>
          <w:tcPr>
            <w:tcW w:w="21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518,374,107.14</w:t>
            </w:r>
          </w:p>
        </w:tc>
        <w:tc>
          <w:tcPr>
            <w:tcW w:w="24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604,688,602.69</w:t>
            </w:r>
          </w:p>
        </w:tc>
        <w:tc>
          <w:tcPr>
            <w:tcW w:w="1795" w:type="dxa"/>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right"/>
              <w:textAlignment w:val="bottom"/>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-14.27%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 w:hRule="atLeast"/>
          <w:jc w:val="center"/>
        </w:trPr>
        <w:tc>
          <w:tcPr>
            <w:tcW w:w="278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利润总额</w:t>
            </w:r>
          </w:p>
        </w:tc>
        <w:tc>
          <w:tcPr>
            <w:tcW w:w="21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46,940,537.91</w:t>
            </w:r>
          </w:p>
        </w:tc>
        <w:tc>
          <w:tcPr>
            <w:tcW w:w="24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80,867,214.44</w:t>
            </w:r>
          </w:p>
        </w:tc>
        <w:tc>
          <w:tcPr>
            <w:tcW w:w="1795" w:type="dxa"/>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right"/>
              <w:textAlignment w:val="bottom"/>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-41.95%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 w:hRule="atLeast"/>
          <w:jc w:val="center"/>
        </w:trPr>
        <w:tc>
          <w:tcPr>
            <w:tcW w:w="278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净资产收益率</w:t>
            </w:r>
          </w:p>
        </w:tc>
        <w:tc>
          <w:tcPr>
            <w:tcW w:w="21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3.18%</w:t>
            </w:r>
          </w:p>
        </w:tc>
        <w:tc>
          <w:tcPr>
            <w:tcW w:w="24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5.41%</w:t>
            </w:r>
          </w:p>
        </w:tc>
        <w:tc>
          <w:tcPr>
            <w:tcW w:w="1795" w:type="dxa"/>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right"/>
              <w:textAlignment w:val="bottom"/>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 w:hRule="atLeast"/>
          <w:jc w:val="center"/>
        </w:trPr>
        <w:tc>
          <w:tcPr>
            <w:tcW w:w="278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基本每股收益（元/</w:t>
            </w:r>
            <w:r>
              <w:rPr>
                <w:rFonts w:hint="default" w:ascii="Times New Roman" w:hAnsi="Times New Roman" w:eastAsia="宋体" w:cs="Times New Roman"/>
                <w:color w:val="auto"/>
                <w:sz w:val="21"/>
                <w:szCs w:val="21"/>
                <w:highlight w:val="none"/>
                <w:u w:val="none"/>
                <w:lang w:val="en-US" w:eastAsia="zh-CN"/>
              </w:rPr>
              <w:t>股）</w:t>
            </w:r>
          </w:p>
        </w:tc>
        <w:tc>
          <w:tcPr>
            <w:tcW w:w="21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0.07</w:t>
            </w:r>
          </w:p>
        </w:tc>
        <w:tc>
          <w:tcPr>
            <w:tcW w:w="24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0.13</w:t>
            </w:r>
          </w:p>
        </w:tc>
        <w:tc>
          <w:tcPr>
            <w:tcW w:w="1795" w:type="dxa"/>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right"/>
              <w:textAlignment w:val="bottom"/>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-46.15%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 w:hRule="atLeast"/>
          <w:jc w:val="center"/>
        </w:trPr>
        <w:tc>
          <w:tcPr>
            <w:tcW w:w="278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资产总计</w:t>
            </w:r>
          </w:p>
        </w:tc>
        <w:tc>
          <w:tcPr>
            <w:tcW w:w="21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29,589,068,367.55</w:t>
            </w:r>
          </w:p>
        </w:tc>
        <w:tc>
          <w:tcPr>
            <w:tcW w:w="24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27,047,302,848.33</w:t>
            </w:r>
          </w:p>
        </w:tc>
        <w:tc>
          <w:tcPr>
            <w:tcW w:w="1795" w:type="dxa"/>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right"/>
              <w:textAlignment w:val="bottom"/>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9.40%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8" w:hRule="atLeast"/>
          <w:jc w:val="center"/>
        </w:trPr>
        <w:tc>
          <w:tcPr>
            <w:tcW w:w="278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负债总计</w:t>
            </w:r>
          </w:p>
        </w:tc>
        <w:tc>
          <w:tcPr>
            <w:tcW w:w="21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27,080,183,009.71</w:t>
            </w:r>
          </w:p>
        </w:tc>
        <w:tc>
          <w:tcPr>
            <w:tcW w:w="24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24,544,266,969.72</w:t>
            </w:r>
          </w:p>
        </w:tc>
        <w:tc>
          <w:tcPr>
            <w:tcW w:w="1795" w:type="dxa"/>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right"/>
              <w:textAlignment w:val="bottom"/>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 w:hRule="atLeast"/>
          <w:jc w:val="center"/>
        </w:trPr>
        <w:tc>
          <w:tcPr>
            <w:tcW w:w="278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净资产</w:t>
            </w:r>
          </w:p>
        </w:tc>
        <w:tc>
          <w:tcPr>
            <w:tcW w:w="21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2,508,885,357.84</w:t>
            </w:r>
          </w:p>
        </w:tc>
        <w:tc>
          <w:tcPr>
            <w:tcW w:w="24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2,503,035,878.61</w:t>
            </w:r>
          </w:p>
        </w:tc>
        <w:tc>
          <w:tcPr>
            <w:tcW w:w="1795" w:type="dxa"/>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right"/>
              <w:textAlignment w:val="bottom"/>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 w:hRule="atLeast"/>
          <w:jc w:val="center"/>
        </w:trPr>
        <w:tc>
          <w:tcPr>
            <w:tcW w:w="278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每股净资产（元/</w:t>
            </w:r>
            <w:r>
              <w:rPr>
                <w:rFonts w:hint="default" w:ascii="Times New Roman" w:hAnsi="Times New Roman" w:eastAsia="宋体" w:cs="Times New Roman"/>
                <w:color w:val="auto"/>
                <w:sz w:val="21"/>
                <w:szCs w:val="21"/>
                <w:highlight w:val="none"/>
                <w:u w:val="none"/>
                <w:lang w:val="en-US" w:eastAsia="zh-CN"/>
              </w:rPr>
              <w:t>股）</w:t>
            </w:r>
          </w:p>
        </w:tc>
        <w:tc>
          <w:tcPr>
            <w:tcW w:w="21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4.65</w:t>
            </w:r>
          </w:p>
        </w:tc>
        <w:tc>
          <w:tcPr>
            <w:tcW w:w="24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4.83</w:t>
            </w:r>
          </w:p>
        </w:tc>
        <w:tc>
          <w:tcPr>
            <w:tcW w:w="1795" w:type="dxa"/>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right"/>
              <w:textAlignment w:val="bottom"/>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3" w:hRule="atLeast"/>
          <w:jc w:val="center"/>
        </w:trPr>
        <w:tc>
          <w:tcPr>
            <w:tcW w:w="278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总资产增长率</w:t>
            </w:r>
          </w:p>
        </w:tc>
        <w:tc>
          <w:tcPr>
            <w:tcW w:w="21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9.40%</w:t>
            </w:r>
          </w:p>
        </w:tc>
        <w:tc>
          <w:tcPr>
            <w:tcW w:w="24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8.99%</w:t>
            </w:r>
          </w:p>
        </w:tc>
        <w:tc>
          <w:tcPr>
            <w:tcW w:w="1795" w:type="dxa"/>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right"/>
              <w:textAlignment w:val="bottom"/>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0.41%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 w:hRule="atLeast"/>
          <w:jc w:val="center"/>
        </w:trPr>
        <w:tc>
          <w:tcPr>
            <w:tcW w:w="278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营业收入增长率</w:t>
            </w:r>
          </w:p>
        </w:tc>
        <w:tc>
          <w:tcPr>
            <w:tcW w:w="21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-14.27%</w:t>
            </w:r>
          </w:p>
        </w:tc>
        <w:tc>
          <w:tcPr>
            <w:tcW w:w="24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19.85%</w:t>
            </w:r>
          </w:p>
        </w:tc>
        <w:tc>
          <w:tcPr>
            <w:tcW w:w="1795" w:type="dxa"/>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right"/>
              <w:textAlignment w:val="bottom"/>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-34.12%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 w:hRule="atLeast"/>
          <w:jc w:val="center"/>
        </w:trPr>
        <w:tc>
          <w:tcPr>
            <w:tcW w:w="278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净利润增长率</w:t>
            </w:r>
          </w:p>
        </w:tc>
        <w:tc>
          <w:tcPr>
            <w:tcW w:w="216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-41.81%</w:t>
            </w:r>
          </w:p>
        </w:tc>
        <w:tc>
          <w:tcPr>
            <w:tcW w:w="243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21.97%</w:t>
            </w:r>
          </w:p>
        </w:tc>
        <w:tc>
          <w:tcPr>
            <w:tcW w:w="1795" w:type="dxa"/>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right"/>
              <w:textAlignment w:val="bottom"/>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-63.78%</w:t>
            </w:r>
          </w:p>
        </w:tc>
      </w:tr>
    </w:tbl>
    <w:p>
      <w:pPr>
        <w:autoSpaceDE w:val="0"/>
        <w:autoSpaceDN w:val="0"/>
        <w:adjustRightInd w:val="0"/>
        <w:ind w:firstLine="604" w:firstLineChars="200"/>
        <w:jc w:val="left"/>
        <w:rPr>
          <w:rFonts w:hint="default" w:ascii="Times New Roman" w:hAnsi="Times New Roman" w:eastAsia="黑体" w:cs="Times New Roman"/>
          <w:bCs/>
          <w:color w:val="auto"/>
          <w:sz w:val="28"/>
          <w:szCs w:val="28"/>
          <w:highlight w:val="none"/>
          <w:lang w:val="en-US" w:eastAsia="zh-CN"/>
        </w:rPr>
      </w:pPr>
      <w:r>
        <w:rPr>
          <w:rFonts w:hint="default" w:ascii="Times New Roman" w:hAnsi="Times New Roman" w:eastAsia="黑体" w:cs="Times New Roman"/>
          <w:bCs/>
          <w:color w:val="auto"/>
          <w:sz w:val="28"/>
          <w:szCs w:val="28"/>
          <w:highlight w:val="none"/>
        </w:rPr>
        <w:t>二、行业主要财务及监管指标</w:t>
      </w:r>
      <w:r>
        <w:rPr>
          <w:rFonts w:hint="default" w:ascii="Times New Roman" w:hAnsi="Times New Roman" w:eastAsia="黑体" w:cs="Times New Roman"/>
          <w:bCs/>
          <w:color w:val="auto"/>
          <w:sz w:val="28"/>
          <w:szCs w:val="28"/>
          <w:highlight w:val="none"/>
          <w:lang w:val="en-US" w:eastAsia="zh-CN"/>
        </w:rPr>
        <w:t xml:space="preserve">                 </w:t>
      </w:r>
      <w:r>
        <w:rPr>
          <w:rFonts w:hint="default" w:ascii="Times New Roman" w:hAnsi="Times New Roman" w:eastAsia="仿宋_GB2312" w:cs="Times New Roman"/>
          <w:color w:val="auto"/>
          <w:kern w:val="0"/>
          <w:szCs w:val="21"/>
          <w:highlight w:val="none"/>
        </w:rPr>
        <w:t>单位：元</w:t>
      </w:r>
    </w:p>
    <w:tbl>
      <w:tblPr>
        <w:tblStyle w:val="25"/>
        <w:tblW w:w="91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27"/>
        <w:gridCol w:w="1843"/>
        <w:gridCol w:w="1701"/>
        <w:gridCol w:w="23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3" w:hRule="atLeast"/>
          <w:jc w:val="center"/>
        </w:trPr>
        <w:tc>
          <w:tcPr>
            <w:tcW w:w="3227" w:type="dxa"/>
            <w:tcBorders>
              <w:top w:val="single" w:color="auto" w:sz="4" w:space="0"/>
              <w:left w:val="single" w:color="auto" w:sz="4" w:space="0"/>
              <w:bottom w:val="single" w:color="auto" w:sz="4" w:space="0"/>
              <w:right w:val="single" w:color="auto" w:sz="4" w:space="0"/>
            </w:tcBorders>
            <w:shd w:val="clear" w:color="auto" w:fill="D7D7D7"/>
            <w:vAlign w:val="center"/>
          </w:tcPr>
          <w:p>
            <w:pPr>
              <w:spacing w:line="360" w:lineRule="exact"/>
              <w:jc w:val="center"/>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项目</w:t>
            </w:r>
          </w:p>
        </w:tc>
        <w:tc>
          <w:tcPr>
            <w:tcW w:w="1843" w:type="dxa"/>
            <w:tcBorders>
              <w:top w:val="single" w:color="auto" w:sz="4" w:space="0"/>
              <w:left w:val="single" w:color="auto" w:sz="4" w:space="0"/>
              <w:bottom w:val="single" w:color="auto" w:sz="4" w:space="0"/>
              <w:right w:val="single" w:color="auto" w:sz="4" w:space="0"/>
            </w:tcBorders>
            <w:shd w:val="clear" w:color="auto" w:fill="D7D7D7"/>
            <w:vAlign w:val="center"/>
          </w:tcPr>
          <w:p>
            <w:pPr>
              <w:spacing w:line="360" w:lineRule="exact"/>
              <w:jc w:val="center"/>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本期期末</w:t>
            </w:r>
          </w:p>
        </w:tc>
        <w:tc>
          <w:tcPr>
            <w:tcW w:w="1701" w:type="dxa"/>
            <w:tcBorders>
              <w:top w:val="single" w:color="auto" w:sz="4" w:space="0"/>
              <w:left w:val="single" w:color="auto" w:sz="4" w:space="0"/>
              <w:bottom w:val="single" w:color="auto" w:sz="4" w:space="0"/>
              <w:right w:val="single" w:color="auto" w:sz="4" w:space="0"/>
            </w:tcBorders>
            <w:shd w:val="clear" w:color="auto" w:fill="D7D7D7"/>
            <w:vAlign w:val="center"/>
          </w:tcPr>
          <w:p>
            <w:pPr>
              <w:spacing w:line="360" w:lineRule="exact"/>
              <w:jc w:val="center"/>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本期期初</w:t>
            </w:r>
          </w:p>
        </w:tc>
        <w:tc>
          <w:tcPr>
            <w:tcW w:w="2337" w:type="dxa"/>
            <w:tcBorders>
              <w:top w:val="single" w:color="auto" w:sz="4" w:space="0"/>
              <w:left w:val="single" w:color="auto" w:sz="4" w:space="0"/>
              <w:bottom w:val="single" w:color="auto" w:sz="4" w:space="0"/>
              <w:right w:val="single" w:color="auto" w:sz="4" w:space="0"/>
            </w:tcBorders>
            <w:shd w:val="clear" w:color="auto" w:fill="D7D7D7"/>
            <w:vAlign w:val="center"/>
          </w:tcPr>
          <w:p>
            <w:pPr>
              <w:spacing w:line="360" w:lineRule="exact"/>
              <w:jc w:val="center"/>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增减比例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资本充足率</w:t>
            </w:r>
          </w:p>
        </w:tc>
        <w:tc>
          <w:tcPr>
            <w:tcW w:w="184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14.26%</w:t>
            </w:r>
          </w:p>
        </w:tc>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15.65%</w:t>
            </w:r>
          </w:p>
        </w:tc>
        <w:tc>
          <w:tcPr>
            <w:tcW w:w="233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一级资本充足率</w:t>
            </w:r>
          </w:p>
        </w:tc>
        <w:tc>
          <w:tcPr>
            <w:tcW w:w="184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13.13%</w:t>
            </w:r>
          </w:p>
        </w:tc>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14.50%</w:t>
            </w:r>
          </w:p>
        </w:tc>
        <w:tc>
          <w:tcPr>
            <w:tcW w:w="233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核心一级资本充足率</w:t>
            </w:r>
          </w:p>
        </w:tc>
        <w:tc>
          <w:tcPr>
            <w:tcW w:w="184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13.13%</w:t>
            </w:r>
          </w:p>
        </w:tc>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14.50%</w:t>
            </w:r>
          </w:p>
        </w:tc>
        <w:tc>
          <w:tcPr>
            <w:tcW w:w="233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不良贷款率</w:t>
            </w:r>
          </w:p>
        </w:tc>
        <w:tc>
          <w:tcPr>
            <w:tcW w:w="184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1.43%</w:t>
            </w:r>
          </w:p>
        </w:tc>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1.15%</w:t>
            </w:r>
          </w:p>
        </w:tc>
        <w:tc>
          <w:tcPr>
            <w:tcW w:w="233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存贷比</w:t>
            </w:r>
          </w:p>
        </w:tc>
        <w:tc>
          <w:tcPr>
            <w:tcW w:w="184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66.72%</w:t>
            </w:r>
          </w:p>
        </w:tc>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66.69%</w:t>
            </w:r>
          </w:p>
        </w:tc>
        <w:tc>
          <w:tcPr>
            <w:tcW w:w="233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流动性比例</w:t>
            </w:r>
          </w:p>
        </w:tc>
        <w:tc>
          <w:tcPr>
            <w:tcW w:w="184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85.47%</w:t>
            </w:r>
          </w:p>
        </w:tc>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118.78%</w:t>
            </w:r>
          </w:p>
        </w:tc>
        <w:tc>
          <w:tcPr>
            <w:tcW w:w="233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-33.31%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单一最大客户贷款集中度</w:t>
            </w:r>
          </w:p>
        </w:tc>
        <w:tc>
          <w:tcPr>
            <w:tcW w:w="184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7.35%</w:t>
            </w:r>
          </w:p>
        </w:tc>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7.04%</w:t>
            </w:r>
          </w:p>
        </w:tc>
        <w:tc>
          <w:tcPr>
            <w:tcW w:w="233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最大十家客户贷款集中度</w:t>
            </w:r>
          </w:p>
        </w:tc>
        <w:tc>
          <w:tcPr>
            <w:tcW w:w="184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59.96%</w:t>
            </w:r>
          </w:p>
        </w:tc>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55.76%</w:t>
            </w:r>
          </w:p>
        </w:tc>
        <w:tc>
          <w:tcPr>
            <w:tcW w:w="233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正常类贷款迁徙率</w:t>
            </w:r>
          </w:p>
        </w:tc>
        <w:tc>
          <w:tcPr>
            <w:tcW w:w="184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2.79%</w:t>
            </w:r>
          </w:p>
        </w:tc>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3.08%</w:t>
            </w:r>
          </w:p>
        </w:tc>
        <w:tc>
          <w:tcPr>
            <w:tcW w:w="233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关注类贷款迁徙率</w:t>
            </w:r>
          </w:p>
        </w:tc>
        <w:tc>
          <w:tcPr>
            <w:tcW w:w="184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31.37%</w:t>
            </w:r>
          </w:p>
        </w:tc>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41.54%</w:t>
            </w:r>
          </w:p>
        </w:tc>
        <w:tc>
          <w:tcPr>
            <w:tcW w:w="233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次级类贷款迁徙率</w:t>
            </w:r>
          </w:p>
        </w:tc>
        <w:tc>
          <w:tcPr>
            <w:tcW w:w="184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82.34%</w:t>
            </w:r>
          </w:p>
        </w:tc>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67.48%</w:t>
            </w:r>
          </w:p>
        </w:tc>
        <w:tc>
          <w:tcPr>
            <w:tcW w:w="233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可疑类贷款迁徙率</w:t>
            </w:r>
          </w:p>
        </w:tc>
        <w:tc>
          <w:tcPr>
            <w:tcW w:w="184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89.79%</w:t>
            </w:r>
          </w:p>
        </w:tc>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92.34%</w:t>
            </w:r>
          </w:p>
        </w:tc>
        <w:tc>
          <w:tcPr>
            <w:tcW w:w="233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拨备覆盖率</w:t>
            </w:r>
          </w:p>
        </w:tc>
        <w:tc>
          <w:tcPr>
            <w:tcW w:w="184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187.15%</w:t>
            </w:r>
          </w:p>
        </w:tc>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252.15%</w:t>
            </w:r>
          </w:p>
        </w:tc>
        <w:tc>
          <w:tcPr>
            <w:tcW w:w="233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-65.00%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拨贷比</w:t>
            </w:r>
          </w:p>
        </w:tc>
        <w:tc>
          <w:tcPr>
            <w:tcW w:w="184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2.67%</w:t>
            </w:r>
          </w:p>
        </w:tc>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2.89%</w:t>
            </w:r>
          </w:p>
        </w:tc>
        <w:tc>
          <w:tcPr>
            <w:tcW w:w="233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成本收入比</w:t>
            </w:r>
          </w:p>
        </w:tc>
        <w:tc>
          <w:tcPr>
            <w:tcW w:w="184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29.84%</w:t>
            </w:r>
          </w:p>
        </w:tc>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36.55%</w:t>
            </w:r>
          </w:p>
        </w:tc>
        <w:tc>
          <w:tcPr>
            <w:tcW w:w="233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-6.71%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净利差</w:t>
            </w:r>
          </w:p>
        </w:tc>
        <w:tc>
          <w:tcPr>
            <w:tcW w:w="184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1.55%</w:t>
            </w:r>
          </w:p>
        </w:tc>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1.66%</w:t>
            </w:r>
          </w:p>
        </w:tc>
        <w:tc>
          <w:tcPr>
            <w:tcW w:w="233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净息差</w:t>
            </w:r>
          </w:p>
        </w:tc>
        <w:tc>
          <w:tcPr>
            <w:tcW w:w="184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1.70%</w:t>
            </w:r>
          </w:p>
        </w:tc>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1.87%</w:t>
            </w:r>
          </w:p>
        </w:tc>
        <w:tc>
          <w:tcPr>
            <w:tcW w:w="233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-0.17%</w:t>
            </w:r>
          </w:p>
        </w:tc>
      </w:tr>
    </w:tbl>
    <w:p>
      <w:pPr>
        <w:autoSpaceDE w:val="0"/>
        <w:autoSpaceDN w:val="0"/>
        <w:adjustRightInd w:val="0"/>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注：披露指标计算口径如下：</w:t>
      </w:r>
    </w:p>
    <w:p>
      <w:pPr>
        <w:autoSpaceDE w:val="0"/>
        <w:autoSpaceDN w:val="0"/>
        <w:adjustRightInd w:val="0"/>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1.资本充足率：资本净额／（风险加权资产＋12.5 倍的市场风险资本）×100%</w:t>
      </w:r>
    </w:p>
    <w:p>
      <w:pPr>
        <w:autoSpaceDE w:val="0"/>
        <w:autoSpaceDN w:val="0"/>
        <w:adjustRightInd w:val="0"/>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2.一级资本充足率：一级资本净额／（风险加权资产＋12.5 倍的市场风险资本）×100%</w:t>
      </w:r>
    </w:p>
    <w:p>
      <w:pPr>
        <w:autoSpaceDE w:val="0"/>
        <w:autoSpaceDN w:val="0"/>
        <w:adjustRightInd w:val="0"/>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3.核心一级资本充足率：核心一级资本净额／（风险加权资产＋12.5 倍的市场风险资本）×100%</w:t>
      </w:r>
    </w:p>
    <w:p>
      <w:pPr>
        <w:autoSpaceDE w:val="0"/>
        <w:autoSpaceDN w:val="0"/>
        <w:adjustRightInd w:val="0"/>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4.不良贷款率：（次级类贷款+可疑类贷款+损失类贷款）/各项贷款×100％</w:t>
      </w:r>
    </w:p>
    <w:p>
      <w:pPr>
        <w:autoSpaceDE w:val="0"/>
        <w:autoSpaceDN w:val="0"/>
        <w:adjustRightInd w:val="0"/>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5.存贷比：期末贷款余额／期末存款余额×100%</w:t>
      </w:r>
    </w:p>
    <w:p>
      <w:pPr>
        <w:autoSpaceDE w:val="0"/>
        <w:autoSpaceDN w:val="0"/>
        <w:adjustRightInd w:val="0"/>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6.流动性比例：流动性资产/流动性负债×100%</w:t>
      </w:r>
    </w:p>
    <w:p>
      <w:pPr>
        <w:autoSpaceDE w:val="0"/>
        <w:autoSpaceDN w:val="0"/>
        <w:adjustRightInd w:val="0"/>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7.单一最大客户贷款集中度：最大一家客户授信总额/资本净额×100%</w:t>
      </w:r>
    </w:p>
    <w:p>
      <w:pPr>
        <w:autoSpaceDE w:val="0"/>
        <w:autoSpaceDN w:val="0"/>
        <w:adjustRightInd w:val="0"/>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8.最大十家客户贷款集中度：最大十家客户授信总额／资本净额×100%</w:t>
      </w:r>
    </w:p>
    <w:p>
      <w:pPr>
        <w:autoSpaceDE w:val="0"/>
        <w:autoSpaceDN w:val="0"/>
        <w:adjustRightInd w:val="0"/>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9.正常类贷款迁徙率：年初正常类贷款向下迁徙金额+年初正常类，报告期内转为不良类并处置的金额／年初正常类贷款余额×100%</w:t>
      </w:r>
    </w:p>
    <w:p>
      <w:pPr>
        <w:autoSpaceDE w:val="0"/>
        <w:autoSpaceDN w:val="0"/>
        <w:adjustRightInd w:val="0"/>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10.关注类贷款迁徙率：（年初关注类贷款向下迁徙金额+年初关注类，报告期内转为不良类并处置的金额）／年初关注类贷款余额×100%</w:t>
      </w:r>
    </w:p>
    <w:p>
      <w:pPr>
        <w:autoSpaceDE w:val="0"/>
        <w:autoSpaceDN w:val="0"/>
        <w:adjustRightInd w:val="0"/>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11.次级类贷款迁徙率：（年初次级类贷款向下迁徙金额+年初次级类，报告期内转为可疑类和损失类并处置的金额）／年初次级类贷款余额×100%</w:t>
      </w:r>
    </w:p>
    <w:p>
      <w:pPr>
        <w:autoSpaceDE w:val="0"/>
        <w:autoSpaceDN w:val="0"/>
        <w:adjustRightInd w:val="0"/>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12.可疑类贷款迁徙率：（年初可疑类贷款向下迁徙金额+年初可疑类，报告期内转为损失类并处置的金额）／年初可疑类贷款余额×100%</w:t>
      </w:r>
    </w:p>
    <w:p>
      <w:pPr>
        <w:autoSpaceDE w:val="0"/>
        <w:autoSpaceDN w:val="0"/>
        <w:adjustRightInd w:val="0"/>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13.拨备覆盖率：贷款减值准备余额/不良贷款余额×100%</w:t>
      </w:r>
    </w:p>
    <w:p>
      <w:pPr>
        <w:autoSpaceDE w:val="0"/>
        <w:autoSpaceDN w:val="0"/>
        <w:adjustRightInd w:val="0"/>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14.拨贷比：贷款减值准备余额/各项贷款余额×100%</w:t>
      </w:r>
    </w:p>
    <w:p>
      <w:pPr>
        <w:autoSpaceDE w:val="0"/>
        <w:autoSpaceDN w:val="0"/>
        <w:adjustRightInd w:val="0"/>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15.成本收入比：（营业支出-税金及附加-资产减值损失）/营业净收入×100%</w:t>
      </w:r>
    </w:p>
    <w:p>
      <w:pPr>
        <w:autoSpaceDE w:val="0"/>
        <w:autoSpaceDN w:val="0"/>
        <w:adjustRightInd w:val="0"/>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16.净利差：（利息收入/生息资产平均余额-利息支出/付息负债平均余额）×100%</w:t>
      </w:r>
    </w:p>
    <w:p>
      <w:pPr>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17.净息差：利息净收入/生息资产平均余额×100%</w:t>
      </w:r>
    </w:p>
    <w:p>
      <w:pPr>
        <w:jc w:val="left"/>
        <w:rPr>
          <w:rFonts w:hint="default" w:ascii="Times New Roman" w:hAnsi="Times New Roman" w:eastAsia="仿宋_GB2312" w:cs="Times New Roman"/>
          <w:color w:val="auto"/>
          <w:spacing w:val="0"/>
          <w:kern w:val="0"/>
          <w:sz w:val="21"/>
          <w:szCs w:val="21"/>
          <w:highlight w:val="none"/>
          <w:lang w:val="en-US" w:eastAsia="zh-CN" w:bidi="ar-SA"/>
        </w:rPr>
      </w:pPr>
      <w:r>
        <w:rPr>
          <w:rFonts w:hint="eastAsia" w:ascii="Times New Roman" w:hAnsi="Times New Roman" w:eastAsia="仿宋_GB2312" w:cs="Times New Roman"/>
          <w:color w:val="auto"/>
          <w:spacing w:val="0"/>
          <w:kern w:val="0"/>
          <w:sz w:val="21"/>
          <w:szCs w:val="21"/>
          <w:highlight w:val="none"/>
          <w:lang w:val="en-US" w:eastAsia="zh-CN" w:bidi="ar-SA"/>
        </w:rPr>
        <w:t>因经济结构调整、同业竞争加剧等影响，贷款需求不足，存款成本提升，存贷利差收窄，不良管控压力加大，盈利能力承压，部分指标下降。</w:t>
      </w:r>
    </w:p>
    <w:p>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default" w:ascii="Times New Roman" w:hAnsi="Times New Roman" w:eastAsia="黑体" w:cs="Times New Roman"/>
          <w:color w:val="auto"/>
          <w:kern w:val="0"/>
          <w:sz w:val="32"/>
          <w:szCs w:val="32"/>
          <w:highlight w:val="none"/>
        </w:rPr>
      </w:pPr>
      <w:r>
        <w:rPr>
          <w:rFonts w:hint="default" w:ascii="Times New Roman" w:hAnsi="Times New Roman" w:eastAsia="黑体" w:cs="Times New Roman"/>
          <w:color w:val="auto"/>
          <w:kern w:val="0"/>
          <w:sz w:val="32"/>
          <w:szCs w:val="32"/>
          <w:highlight w:val="none"/>
        </w:rPr>
        <w:t>第三节  管理层讨论与分析</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jc w:val="left"/>
        <w:textAlignment w:val="auto"/>
        <w:rPr>
          <w:rFonts w:hint="default" w:ascii="Times New Roman" w:hAnsi="Times New Roman" w:eastAsia="仿宋_GB2312" w:cs="Times New Roman"/>
          <w:b/>
          <w:color w:val="auto"/>
          <w:sz w:val="28"/>
          <w:szCs w:val="28"/>
          <w:highlight w:val="none"/>
        </w:rPr>
      </w:pP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jc w:val="left"/>
        <w:textAlignment w:val="auto"/>
        <w:rPr>
          <w:rFonts w:hint="default" w:ascii="Times New Roman" w:hAnsi="Times New Roman" w:eastAsia="黑体" w:cs="Times New Roman"/>
          <w:bCs/>
          <w:color w:val="auto"/>
          <w:sz w:val="28"/>
          <w:szCs w:val="28"/>
          <w:highlight w:val="none"/>
          <w:lang w:eastAsia="zh-CN"/>
        </w:rPr>
      </w:pPr>
      <w:r>
        <w:rPr>
          <w:rFonts w:hint="default" w:ascii="Times New Roman" w:hAnsi="Times New Roman" w:eastAsia="黑体" w:cs="Times New Roman"/>
          <w:bCs/>
          <w:color w:val="auto"/>
          <w:sz w:val="28"/>
          <w:szCs w:val="28"/>
          <w:highlight w:val="none"/>
        </w:rPr>
        <w:t>一、商业模式</w:t>
      </w:r>
    </w:p>
    <w:p>
      <w:pPr>
        <w:spacing w:line="480" w:lineRule="exact"/>
        <w:ind w:firstLine="604" w:firstLineChars="200"/>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高淳农商银行成立以来</w:t>
      </w:r>
      <w:r>
        <w:rPr>
          <w:rFonts w:hint="default" w:ascii="Times New Roman" w:hAnsi="Times New Roman" w:eastAsia="仿宋_GB2312" w:cs="Times New Roman"/>
          <w:bCs/>
          <w:color w:val="auto"/>
          <w:sz w:val="28"/>
          <w:szCs w:val="28"/>
          <w:highlight w:val="none"/>
          <w:lang w:eastAsia="zh-CN"/>
        </w:rPr>
        <w:t>，</w:t>
      </w:r>
      <w:r>
        <w:rPr>
          <w:rFonts w:hint="default" w:ascii="Times New Roman" w:hAnsi="Times New Roman" w:eastAsia="仿宋_GB2312" w:cs="Times New Roman"/>
          <w:bCs/>
          <w:color w:val="auto"/>
          <w:sz w:val="28"/>
          <w:szCs w:val="28"/>
          <w:highlight w:val="none"/>
        </w:rPr>
        <w:t>始终坚守支农支小市场定位，持续深化普惠金融服务，不断丰富金融产品，全力提升金融服务质效，积极助力乡村振兴战略实施，大力支持“三农”、小微和地方经济发展，在高淳区域拥有较高的品牌认同度、丰富的市场经验、高效的营销网络和广泛的客户群体，整体保持健康、稳定发展。根据辖区内产业分布特点和城乡居民金融需求，建立由总行、支行、客户经理三级联动的市场服务体系，构建以物理网点为主、电子银行渠道为辅的广覆盖、多层级金融服务网络。本行以吸收存款为主要负债业务，以发放贷款为主要资产业务。收入来源主要为利息收入、中间业务收入等。经依法批准与登记，本行经营范围为：吸收公众存款；发放短期、中期和长期贷款；办理国内外结算；办理票据承兑与贴现；代理发行、代理兑付、承销政府债券；买卖政府债券、金融债券；从事同行拆借；从事银行卡业务；代理收付款项及代理保险业务；提供保管箱服务；经中国银行业监督管理机构批准的其他业务。</w:t>
      </w:r>
    </w:p>
    <w:p>
      <w:pPr>
        <w:spacing w:line="480" w:lineRule="exact"/>
        <w:ind w:firstLine="604" w:firstLineChars="200"/>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报告期内、报告期后至报告披露日，本行的商业模式较上年度未发生变化。</w:t>
      </w:r>
    </w:p>
    <w:p>
      <w:pPr>
        <w:spacing w:line="480" w:lineRule="exact"/>
        <w:ind w:firstLine="604" w:firstLineChars="200"/>
        <w:rPr>
          <w:rFonts w:hint="default" w:ascii="Times New Roman" w:hAnsi="Times New Roman" w:eastAsia="宋体" w:cs="Times New Roman"/>
          <w:b/>
          <w:color w:val="auto"/>
          <w:highlight w:val="none"/>
        </w:rPr>
      </w:pPr>
      <w:r>
        <w:rPr>
          <w:rFonts w:hint="default" w:ascii="Times New Roman" w:hAnsi="Times New Roman" w:eastAsia="仿宋_GB2312" w:cs="Times New Roman"/>
          <w:b/>
          <w:color w:val="auto"/>
          <w:sz w:val="28"/>
          <w:szCs w:val="28"/>
          <w:highlight w:val="none"/>
        </w:rPr>
        <w:t>商业模式变化情况：</w:t>
      </w:r>
    </w:p>
    <w:p>
      <w:pPr>
        <w:autoSpaceDE w:val="0"/>
        <w:autoSpaceDN w:val="0"/>
        <w:adjustRightInd w:val="0"/>
        <w:spacing w:line="480" w:lineRule="exact"/>
        <w:ind w:firstLine="604" w:firstLineChars="200"/>
        <w:rPr>
          <w:rFonts w:hint="default" w:ascii="Times New Roman" w:hAnsi="Times New Roman" w:eastAsia="仿宋_GB2312" w:cs="Times New Roman"/>
          <w:color w:val="auto"/>
          <w:spacing w:val="0"/>
          <w:sz w:val="28"/>
          <w:szCs w:val="28"/>
          <w:highlight w:val="none"/>
        </w:rPr>
      </w:pPr>
      <w:r>
        <w:rPr>
          <w:rFonts w:hint="default" w:ascii="Times New Roman" w:hAnsi="Times New Roman" w:eastAsia="仿宋_GB2312" w:cs="Times New Roman"/>
          <w:color w:val="auto"/>
          <w:spacing w:val="0"/>
          <w:w w:val="100"/>
          <w:position w:val="0"/>
          <w:sz w:val="28"/>
          <w:szCs w:val="28"/>
          <w:highlight w:val="none"/>
          <w:u w:val="none"/>
          <w:lang w:val="zh-CN"/>
        </w:rPr>
        <w:t>□适用 √不适用</w:t>
      </w:r>
    </w:p>
    <w:p>
      <w:pPr>
        <w:autoSpaceDE w:val="0"/>
        <w:autoSpaceDN w:val="0"/>
        <w:adjustRightInd w:val="0"/>
        <w:spacing w:line="480" w:lineRule="exact"/>
        <w:ind w:firstLine="604" w:firstLineChars="200"/>
        <w:rPr>
          <w:rFonts w:hint="default" w:ascii="Times New Roman" w:hAnsi="Times New Roman" w:eastAsia="黑体" w:cs="Times New Roman"/>
          <w:b/>
          <w:color w:val="auto"/>
          <w:sz w:val="28"/>
          <w:szCs w:val="28"/>
          <w:highlight w:val="none"/>
          <w:lang w:eastAsia="zh-CN"/>
        </w:rPr>
      </w:pPr>
      <w:r>
        <w:rPr>
          <w:rFonts w:hint="default" w:ascii="Times New Roman" w:hAnsi="Times New Roman" w:eastAsia="黑体" w:cs="Times New Roman"/>
          <w:bCs/>
          <w:color w:val="auto"/>
          <w:sz w:val="28"/>
          <w:szCs w:val="28"/>
          <w:highlight w:val="none"/>
        </w:rPr>
        <w:t>二、经营情况回顾</w:t>
      </w:r>
    </w:p>
    <w:p>
      <w:pPr>
        <w:keepNext w:val="0"/>
        <w:keepLines w:val="0"/>
        <w:pageBreakBefore w:val="0"/>
        <w:widowControl w:val="0"/>
        <w:kinsoku/>
        <w:wordWrap/>
        <w:overflowPunct/>
        <w:topLinePunct w:val="0"/>
        <w:autoSpaceDE/>
        <w:autoSpaceDN/>
        <w:bidi w:val="0"/>
        <w:adjustRightInd/>
        <w:snapToGrid/>
        <w:spacing w:line="480" w:lineRule="exact"/>
        <w:ind w:firstLine="604" w:firstLineChars="200"/>
        <w:textAlignment w:val="auto"/>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sz w:val="28"/>
          <w:szCs w:val="28"/>
          <w:highlight w:val="none"/>
          <w:lang w:val="en-US" w:eastAsia="zh-CN"/>
        </w:rPr>
        <w:t>2026年上半</w:t>
      </w:r>
      <w:r>
        <w:rPr>
          <w:rFonts w:hint="default" w:ascii="Times New Roman" w:hAnsi="Times New Roman" w:eastAsia="仿宋_GB2312" w:cs="Times New Roman"/>
          <w:bCs/>
          <w:color w:val="auto"/>
          <w:sz w:val="28"/>
          <w:szCs w:val="28"/>
          <w:highlight w:val="none"/>
          <w:lang w:val="en-US" w:eastAsia="zh-CN"/>
        </w:rPr>
        <w:t>年，</w:t>
      </w:r>
      <w:r>
        <w:rPr>
          <w:rFonts w:hint="default" w:ascii="Times New Roman" w:hAnsi="Times New Roman" w:eastAsia="仿宋_GB2312" w:cs="Times New Roman"/>
          <w:bCs/>
          <w:color w:val="auto"/>
          <w:sz w:val="28"/>
          <w:szCs w:val="28"/>
          <w:highlight w:val="none"/>
        </w:rPr>
        <w:t>面对</w:t>
      </w:r>
      <w:r>
        <w:rPr>
          <w:rFonts w:hint="default" w:ascii="Times New Roman" w:hAnsi="Times New Roman" w:eastAsia="仿宋_GB2312" w:cs="Times New Roman"/>
          <w:bCs/>
          <w:color w:val="auto"/>
          <w:sz w:val="28"/>
          <w:szCs w:val="28"/>
          <w:highlight w:val="none"/>
          <w:lang w:val="en-US" w:eastAsia="zh-CN"/>
        </w:rPr>
        <w:t>持续收窄的净息差和日益激烈的同业竞争</w:t>
      </w:r>
      <w:r>
        <w:rPr>
          <w:rFonts w:hint="default" w:ascii="Times New Roman" w:hAnsi="Times New Roman" w:eastAsia="仿宋_GB2312" w:cs="Times New Roman"/>
          <w:bCs/>
          <w:color w:val="auto"/>
          <w:sz w:val="28"/>
          <w:szCs w:val="28"/>
          <w:highlight w:val="none"/>
        </w:rPr>
        <w:t>，全行上下认真贯彻落实联合银行、监管部门和总行党委工作部署，</w:t>
      </w:r>
      <w:r>
        <w:rPr>
          <w:rFonts w:hint="default" w:ascii="Times New Roman" w:hAnsi="Times New Roman" w:eastAsia="仿宋_GB2312" w:cs="Times New Roman"/>
          <w:bCs/>
          <w:color w:val="auto"/>
          <w:sz w:val="28"/>
          <w:szCs w:val="28"/>
          <w:highlight w:val="none"/>
          <w:lang w:val="en-US" w:eastAsia="zh-CN"/>
        </w:rPr>
        <w:t>紧紧围绕年度目标，</w:t>
      </w:r>
      <w:r>
        <w:rPr>
          <w:rFonts w:hint="default" w:ascii="Times New Roman" w:hAnsi="Times New Roman" w:eastAsia="仿宋_GB2312" w:cs="Times New Roman"/>
          <w:bCs/>
          <w:color w:val="auto"/>
          <w:sz w:val="28"/>
          <w:szCs w:val="28"/>
          <w:highlight w:val="none"/>
        </w:rPr>
        <w:t>坚守市场定位、聚焦主责主业，各项工作取得了一定成效。</w:t>
      </w:r>
    </w:p>
    <w:p>
      <w:pPr>
        <w:keepNext w:val="0"/>
        <w:keepLines w:val="0"/>
        <w:pageBreakBefore w:val="0"/>
        <w:widowControl w:val="0"/>
        <w:kinsoku/>
        <w:wordWrap/>
        <w:overflowPunct/>
        <w:topLinePunct w:val="0"/>
        <w:autoSpaceDE/>
        <w:autoSpaceDN/>
        <w:bidi w:val="0"/>
        <w:adjustRightInd/>
        <w:snapToGrid/>
        <w:spacing w:line="480" w:lineRule="exact"/>
        <w:ind w:left="0" w:firstLine="604" w:firstLineChars="200"/>
        <w:jc w:val="both"/>
        <w:textAlignment w:val="auto"/>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（一）规模总量持续增长。</w:t>
      </w:r>
      <w:r>
        <w:rPr>
          <w:rFonts w:hint="default" w:ascii="Times New Roman" w:hAnsi="Times New Roman" w:eastAsia="仿宋_GB2312" w:cs="Times New Roman"/>
          <w:color w:val="auto"/>
          <w:sz w:val="28"/>
          <w:szCs w:val="28"/>
          <w:highlight w:val="none"/>
          <w:lang w:val="en-US" w:eastAsia="zh-CN"/>
        </w:rPr>
        <w:t>截至6月末，全行资产总额295.89亿元，比年初增加25.42亿元、增长9.40%。各项存款余额237.38亿元，比年初增加14.69亿元、增长6.60%。各项存款日均235.42亿元，同比增加20.05亿元、增长9.31%。各项贷款余额174.12亿元（不含拆借16亿元），比年初增加10.20亿元、增长6.22%；剔除票据贴现后贷款余额165.16亿元，比年初增加9.52亿元、增长6.12%；各项贷款日均172.44亿元，同比增加15.12亿元、增长9.61%。</w:t>
      </w:r>
    </w:p>
    <w:p>
      <w:pPr>
        <w:keepNext w:val="0"/>
        <w:keepLines w:val="0"/>
        <w:pageBreakBefore w:val="0"/>
        <w:widowControl w:val="0"/>
        <w:kinsoku/>
        <w:wordWrap/>
        <w:overflowPunct/>
        <w:topLinePunct w:val="0"/>
        <w:autoSpaceDE/>
        <w:autoSpaceDN/>
        <w:bidi w:val="0"/>
        <w:adjustRightInd/>
        <w:snapToGrid/>
        <w:spacing w:line="480" w:lineRule="exact"/>
        <w:ind w:left="0" w:firstLine="604" w:firstLineChars="200"/>
        <w:jc w:val="both"/>
        <w:textAlignment w:val="auto"/>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（二）主营业务扎实开展。</w:t>
      </w:r>
      <w:r>
        <w:rPr>
          <w:rFonts w:hint="default" w:ascii="Times New Roman" w:hAnsi="Times New Roman" w:eastAsia="仿宋_GB2312" w:cs="Times New Roman"/>
          <w:color w:val="auto"/>
          <w:sz w:val="28"/>
          <w:szCs w:val="28"/>
          <w:highlight w:val="none"/>
          <w:lang w:val="en-US" w:eastAsia="zh-CN"/>
        </w:rPr>
        <w:t>对公业务方面。截至6月末，对公贷款（不含贴现及转贴现）余额123.13亿元，比年初增加16.42亿元、增长15.39%，增幅高于全省平均增幅4.68个百分点，排名全省第22位。其中，制造业贷款余额36.55亿元，比年初增加4.43亿元，占比20.99%，比年初上升1.40个百分点。对公信贷客户1199户，比年初增加37户、增长3.18%。零售业务方面。个人存款余额196.49亿元，比年初增加12.24亿元、增长6.64%，增幅高于全省0.79个百分点，排名全省第16位。非存AUM业务总额10.85亿元，比年初增加2.34亿元、增长27.5%，其中：代销理财余额10.51亿元，代销保险及贵金属销售金额3455万元。完成全年预算的72.33%，超出联合银行劳动竞赛序时进度22.33个百分点。</w:t>
      </w:r>
    </w:p>
    <w:p>
      <w:pPr>
        <w:keepNext w:val="0"/>
        <w:keepLines w:val="0"/>
        <w:pageBreakBefore w:val="0"/>
        <w:widowControl w:val="0"/>
        <w:kinsoku/>
        <w:wordWrap/>
        <w:overflowPunct/>
        <w:topLinePunct w:val="0"/>
        <w:autoSpaceDE/>
        <w:autoSpaceDN/>
        <w:bidi w:val="0"/>
        <w:adjustRightInd/>
        <w:snapToGrid/>
        <w:spacing w:line="480" w:lineRule="exact"/>
        <w:ind w:left="0" w:firstLine="604" w:firstLineChars="200"/>
        <w:jc w:val="both"/>
        <w:textAlignment w:val="auto"/>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（三）不良清收稳步推进。</w:t>
      </w:r>
      <w:r>
        <w:rPr>
          <w:rFonts w:hint="default" w:ascii="Times New Roman" w:hAnsi="Times New Roman" w:eastAsia="仿宋_GB2312" w:cs="Times New Roman"/>
          <w:color w:val="auto"/>
          <w:sz w:val="28"/>
          <w:szCs w:val="28"/>
          <w:highlight w:val="none"/>
          <w:lang w:val="en-US" w:eastAsia="zh-CN"/>
        </w:rPr>
        <w:t>面对不良贷款压力，全行坚持清收与盘活并重。截至6月末，累计收回表外不良贷款本息4297.52万元，其中本金3737.37万元，利息560.15万元。建筑业不良贷款余额2776.62万元，比年初减少462.78万元，水运业不良贷款余额20.20万元，比年初减少128.51万元，重点领域风险得到有效压降。</w:t>
      </w:r>
    </w:p>
    <w:p>
      <w:pPr>
        <w:keepNext w:val="0"/>
        <w:keepLines w:val="0"/>
        <w:pageBreakBefore w:val="0"/>
        <w:widowControl w:val="0"/>
        <w:kinsoku/>
        <w:wordWrap/>
        <w:overflowPunct/>
        <w:topLinePunct w:val="0"/>
        <w:autoSpaceDE/>
        <w:autoSpaceDN/>
        <w:bidi w:val="0"/>
        <w:adjustRightInd/>
        <w:snapToGrid/>
        <w:spacing w:line="480" w:lineRule="exact"/>
        <w:ind w:left="0" w:firstLine="604" w:firstLineChars="200"/>
        <w:jc w:val="both"/>
        <w:textAlignment w:val="auto"/>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（四）降本增效成效显现。</w:t>
      </w:r>
      <w:r>
        <w:rPr>
          <w:rFonts w:hint="default" w:ascii="Times New Roman" w:hAnsi="Times New Roman" w:eastAsia="仿宋_GB2312" w:cs="Times New Roman"/>
          <w:color w:val="auto"/>
          <w:sz w:val="28"/>
          <w:szCs w:val="28"/>
          <w:highlight w:val="none"/>
          <w:lang w:val="en-US" w:eastAsia="zh-CN"/>
        </w:rPr>
        <w:t>截至6月末，实现各项财务收入51846.55万元；中间业务收入686.46万元，同比增加361.48万元、增长111.23%；</w:t>
      </w:r>
      <w:r>
        <w:rPr>
          <w:rFonts w:hint="default" w:ascii="Times New Roman" w:hAnsi="Times New Roman" w:eastAsia="仿宋_GB2312" w:cs="Times New Roman"/>
          <w:color w:val="auto"/>
          <w:sz w:val="28"/>
          <w:szCs w:val="28"/>
          <w:highlight w:val="none"/>
          <w:lang w:val="zh-CN" w:eastAsia="zh-CN"/>
        </w:rPr>
        <w:t>实现利润总额</w:t>
      </w:r>
      <w:r>
        <w:rPr>
          <w:rFonts w:hint="default" w:ascii="Times New Roman" w:hAnsi="Times New Roman" w:eastAsia="仿宋_GB2312" w:cs="Times New Roman"/>
          <w:color w:val="auto"/>
          <w:sz w:val="28"/>
          <w:szCs w:val="28"/>
          <w:highlight w:val="none"/>
          <w:lang w:val="en-US" w:eastAsia="zh-CN"/>
        </w:rPr>
        <w:t>4694.05</w:t>
      </w:r>
      <w:r>
        <w:rPr>
          <w:rFonts w:hint="default" w:ascii="Times New Roman" w:hAnsi="Times New Roman" w:eastAsia="仿宋_GB2312" w:cs="Times New Roman"/>
          <w:color w:val="auto"/>
          <w:sz w:val="28"/>
          <w:szCs w:val="28"/>
          <w:highlight w:val="none"/>
          <w:lang w:val="zh-CN" w:eastAsia="zh-CN"/>
        </w:rPr>
        <w:t>万元；净利润</w:t>
      </w:r>
      <w:r>
        <w:rPr>
          <w:rFonts w:hint="default" w:ascii="Times New Roman" w:hAnsi="Times New Roman" w:eastAsia="仿宋_GB2312" w:cs="Times New Roman"/>
          <w:color w:val="auto"/>
          <w:sz w:val="28"/>
          <w:szCs w:val="28"/>
          <w:highlight w:val="none"/>
          <w:lang w:val="en-US" w:eastAsia="zh-CN"/>
        </w:rPr>
        <w:t>3981.83</w:t>
      </w:r>
      <w:r>
        <w:rPr>
          <w:rFonts w:hint="default" w:ascii="Times New Roman" w:hAnsi="Times New Roman" w:eastAsia="仿宋_GB2312" w:cs="Times New Roman"/>
          <w:color w:val="auto"/>
          <w:sz w:val="28"/>
          <w:szCs w:val="28"/>
          <w:highlight w:val="none"/>
          <w:lang w:val="zh-CN" w:eastAsia="zh-CN"/>
        </w:rPr>
        <w:t>万元；净资产收益率3.18%，资产利润率0.28%</w:t>
      </w:r>
      <w:r>
        <w:rPr>
          <w:rFonts w:hint="default" w:ascii="Times New Roman" w:hAnsi="Times New Roman" w:eastAsia="仿宋_GB2312" w:cs="Times New Roman"/>
          <w:color w:val="auto"/>
          <w:sz w:val="28"/>
          <w:szCs w:val="28"/>
          <w:highlight w:val="none"/>
          <w:lang w:val="en-US" w:eastAsia="zh-CN"/>
        </w:rPr>
        <w:t>。存款付息率1.43%，同比下降0.29个百分点。净息差1.69%。</w:t>
      </w:r>
    </w:p>
    <w:p>
      <w:pPr>
        <w:keepNext w:val="0"/>
        <w:keepLines w:val="0"/>
        <w:pageBreakBefore w:val="0"/>
        <w:widowControl w:val="0"/>
        <w:kinsoku/>
        <w:wordWrap/>
        <w:overflowPunct/>
        <w:topLinePunct w:val="0"/>
        <w:autoSpaceDE/>
        <w:autoSpaceDN/>
        <w:bidi w:val="0"/>
        <w:adjustRightInd/>
        <w:snapToGrid/>
        <w:spacing w:line="480" w:lineRule="exact"/>
        <w:ind w:left="0" w:firstLine="604" w:firstLineChars="200"/>
        <w:jc w:val="both"/>
        <w:textAlignment w:val="auto"/>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sz w:val="28"/>
          <w:szCs w:val="28"/>
          <w:highlight w:val="none"/>
          <w:lang w:val="en-US" w:eastAsia="zh-CN"/>
        </w:rPr>
        <w:t>总体来看，上半年，面对宏观经济结构调整、金融监管持续收紧、同业竞争日趋加剧的外部环境，全行上下迎难而上、奋力拼搏，各项工作总体保持较好的发展态势，荣获“江苏省五四红旗团委”、南京市“民营企业满意银行”等荣誉。</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黑体" w:cs="Times New Roman"/>
          <w:bCs/>
          <w:color w:val="auto"/>
          <w:sz w:val="28"/>
          <w:szCs w:val="28"/>
          <w:highlight w:val="none"/>
          <w:lang w:eastAsia="zh-CN"/>
        </w:rPr>
      </w:pPr>
      <w:r>
        <w:rPr>
          <w:rFonts w:hint="default" w:ascii="Times New Roman" w:hAnsi="Times New Roman" w:eastAsia="黑体" w:cs="Times New Roman"/>
          <w:bCs/>
          <w:color w:val="auto"/>
          <w:sz w:val="28"/>
          <w:szCs w:val="28"/>
          <w:highlight w:val="none"/>
        </w:rPr>
        <w:t>三、风险与价值</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本行面临信用风险、流动性风险、操作风险、声誉风险、市场风险、银行账簿利率风险、战略风险、信息科技风险等各类风险。报告期内，本行持续贯彻全面风险管理理念，健全风险管理体系。</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
          <w:bCs w:val="0"/>
          <w:color w:val="auto"/>
          <w:sz w:val="28"/>
          <w:szCs w:val="28"/>
          <w:highlight w:val="none"/>
        </w:rPr>
      </w:pPr>
      <w:r>
        <w:rPr>
          <w:rFonts w:hint="default" w:ascii="Times New Roman" w:hAnsi="Times New Roman" w:eastAsia="仿宋_GB2312" w:cs="Times New Roman"/>
          <w:b/>
          <w:bCs w:val="0"/>
          <w:color w:val="auto"/>
          <w:sz w:val="28"/>
          <w:szCs w:val="28"/>
          <w:highlight w:val="none"/>
        </w:rPr>
        <w:t>（一）全面风险管理</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本行将信用风险管理列为年度重点工作之一，确保主要风险监管指标持续达标，守住能力底线、业务底线和人的底线，确保全年不发生重大风险事件。明确贷后资金管理、贷后检查内容和频率、风险监测和处置、风险分类、贷款利息及到期催收、不良贷款管理与信贷档案管理等要求，确保信贷资金安全，推动稳健经营。</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本行严格贯彻落实</w:t>
      </w:r>
      <w:r>
        <w:rPr>
          <w:rFonts w:hint="default" w:ascii="Times New Roman" w:hAnsi="Times New Roman" w:eastAsia="仿宋_GB2312" w:cs="Times New Roman"/>
          <w:bCs/>
          <w:color w:val="auto"/>
          <w:sz w:val="28"/>
          <w:szCs w:val="28"/>
          <w:highlight w:val="none"/>
          <w:lang w:eastAsia="zh-CN"/>
        </w:rPr>
        <w:t>《江苏省农村商业银行系统2026年风险管理工作指导意见》</w:t>
      </w:r>
      <w:r>
        <w:rPr>
          <w:rFonts w:hint="default" w:ascii="Times New Roman" w:hAnsi="Times New Roman" w:eastAsia="仿宋_GB2312" w:cs="Times New Roman"/>
          <w:bCs/>
          <w:color w:val="auto"/>
          <w:sz w:val="28"/>
          <w:szCs w:val="28"/>
          <w:highlight w:val="none"/>
        </w:rPr>
        <w:t>，不断完善全面风险管理体系，</w:t>
      </w:r>
      <w:r>
        <w:rPr>
          <w:rFonts w:hint="default" w:ascii="Times New Roman" w:hAnsi="Times New Roman" w:eastAsia="仿宋_GB2312" w:cs="Times New Roman"/>
          <w:bCs/>
          <w:color w:val="auto"/>
          <w:sz w:val="28"/>
          <w:szCs w:val="28"/>
          <w:highlight w:val="none"/>
          <w:lang w:eastAsia="zh-CN"/>
        </w:rPr>
        <w:t>制定</w:t>
      </w:r>
      <w:r>
        <w:rPr>
          <w:rFonts w:hint="default" w:ascii="Times New Roman" w:hAnsi="Times New Roman" w:eastAsia="仿宋_GB2312" w:cs="Times New Roman"/>
          <w:bCs/>
          <w:color w:val="auto"/>
          <w:sz w:val="28"/>
          <w:szCs w:val="28"/>
          <w:highlight w:val="none"/>
        </w:rPr>
        <w:t>《高淳农商银行2026年风险管理工作实施意见》，主动应对各类风险挑战，精准识别风险隐患，稳妥有序推进风险化解处置，强化底线思维，保持业务发展与风险控制的平衡性。</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lang w:eastAsia="zh-CN"/>
        </w:rPr>
        <w:t>报告期内，本行</w:t>
      </w:r>
      <w:r>
        <w:rPr>
          <w:rFonts w:hint="default" w:ascii="Times New Roman" w:hAnsi="Times New Roman" w:eastAsia="仿宋_GB2312" w:cs="Times New Roman"/>
          <w:bCs/>
          <w:color w:val="auto"/>
          <w:sz w:val="28"/>
          <w:szCs w:val="28"/>
          <w:highlight w:val="none"/>
        </w:rPr>
        <w:t>制定并发文《高淳农商银行2026年风险偏好陈述书》，合理设定风险偏好和风险限额指标体系，2026年偏好与限额指标共93个，其中风险偏好四大类23项指标，风险限额四大类70项指标，以风险偏好与限额管理系统、机构风险画像系统为抓手，开展多维度的风险监测与系统管控。</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
          <w:bCs w:val="0"/>
          <w:color w:val="auto"/>
          <w:sz w:val="28"/>
          <w:szCs w:val="28"/>
          <w:highlight w:val="none"/>
          <w:lang w:val="en-US" w:eastAsia="zh-CN"/>
        </w:rPr>
      </w:pPr>
      <w:r>
        <w:rPr>
          <w:rFonts w:hint="default" w:ascii="Times New Roman" w:hAnsi="Times New Roman" w:eastAsia="仿宋_GB2312" w:cs="Times New Roman"/>
          <w:b/>
          <w:bCs w:val="0"/>
          <w:color w:val="auto"/>
          <w:sz w:val="28"/>
          <w:szCs w:val="28"/>
          <w:highlight w:val="none"/>
        </w:rPr>
        <w:t>（二）信用风险</w:t>
      </w:r>
      <w:r>
        <w:rPr>
          <w:rFonts w:hint="default" w:ascii="Times New Roman" w:hAnsi="Times New Roman" w:eastAsia="仿宋_GB2312" w:cs="Times New Roman"/>
          <w:b/>
          <w:bCs w:val="0"/>
          <w:color w:val="auto"/>
          <w:sz w:val="28"/>
          <w:szCs w:val="28"/>
          <w:highlight w:val="none"/>
          <w:lang w:eastAsia="zh-CN"/>
        </w:rPr>
        <w:t>管理</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信用风险是指借款人或交易对方因种种原因，不愿或无力履行合同条件而构成违约，致使银行或交易对方遭受损失的可能性。信用风险主要存在于对公、对私业务和资金业务之中。报告期内，本行针对信用风险主要采取以下措施：</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1.完善信用风险管理体系。强化信贷管理，通过控制信贷投向和投量指引基层营销方向，明确大力支持、审慎支持、防控退出的行业及客户群，逐步优化信贷结构；对信贷资产进行准确分类，通过现场与非现场分析手段，获取借款人财务信息，注重第一还款来源。</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2.加强信用风险迎前管理。全面摸清风险底数，加大不良贷款入账与处置力度，在全辖范围内组织开展资产质量真实性排查工作，根据排查情况制定全行隐患贷款清单，按照不同情况提前落实风险处置预案。按月下发高违约概率E类客户清单，制定并下发E类客户授信“减退”管理要求。</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Cs/>
          <w:color w:val="auto"/>
          <w:sz w:val="28"/>
          <w:szCs w:val="28"/>
          <w:highlight w:val="none"/>
          <w:lang w:val="en-US" w:eastAsia="zh-CN"/>
        </w:rPr>
      </w:pPr>
      <w:r>
        <w:rPr>
          <w:rFonts w:hint="default" w:ascii="Times New Roman" w:hAnsi="Times New Roman" w:eastAsia="仿宋_GB2312" w:cs="Times New Roman"/>
          <w:bCs/>
          <w:color w:val="auto"/>
          <w:sz w:val="28"/>
          <w:szCs w:val="28"/>
          <w:highlight w:val="none"/>
        </w:rPr>
        <w:t>3.加大对逾欠息贷款的管控力度。组织逾欠息较高的网点负责人召开逾欠息贷款清降专项推进会，有效推进风险化解处置，加大瑕疵贷款处置力度。按月下发《资产质量管控的风险提示》，督促管户机构对逾欠息贷款加大催收力度，防止资产质量进一步下迁。</w:t>
      </w:r>
      <w:r>
        <w:rPr>
          <w:rFonts w:hint="default" w:ascii="Times New Roman" w:hAnsi="Times New Roman" w:eastAsia="仿宋_GB2312" w:cs="Times New Roman"/>
          <w:bCs/>
          <w:color w:val="auto"/>
          <w:sz w:val="28"/>
          <w:szCs w:val="28"/>
          <w:highlight w:val="none"/>
          <w:lang w:val="en-US" w:eastAsia="zh-CN"/>
        </w:rPr>
        <w:t xml:space="preserve">  </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
          <w:bCs w:val="0"/>
          <w:color w:val="auto"/>
          <w:sz w:val="28"/>
          <w:szCs w:val="28"/>
          <w:highlight w:val="none"/>
          <w:lang w:eastAsia="zh-CN"/>
        </w:rPr>
      </w:pPr>
      <w:r>
        <w:rPr>
          <w:rFonts w:hint="default" w:ascii="Times New Roman" w:hAnsi="Times New Roman" w:eastAsia="仿宋_GB2312" w:cs="Times New Roman"/>
          <w:b/>
          <w:bCs w:val="0"/>
          <w:color w:val="auto"/>
          <w:sz w:val="28"/>
          <w:szCs w:val="28"/>
          <w:highlight w:val="none"/>
        </w:rPr>
        <w:t>（三）流动性风险</w:t>
      </w:r>
      <w:r>
        <w:rPr>
          <w:rFonts w:hint="default" w:ascii="Times New Roman" w:hAnsi="Times New Roman" w:eastAsia="仿宋_GB2312" w:cs="Times New Roman"/>
          <w:b/>
          <w:bCs w:val="0"/>
          <w:color w:val="auto"/>
          <w:sz w:val="28"/>
          <w:szCs w:val="28"/>
          <w:highlight w:val="none"/>
          <w:lang w:eastAsia="zh-CN"/>
        </w:rPr>
        <w:t>管理</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流动性风险是指无法及时获得或者无法以合理成本获得充足资金，以偿付到期债务或其他支付义务、满足资产增长或其他业务发展需要的风险。</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本行流动性风险管理的目标是通过建立适时、合理、有效的流动性风险管理机制，不断完善资产负债管理系统，实现对流动性风险的识别、计量、监测和控制，将流动性风险控制在本行可以接受的范围之内，实现资金安全性、流动性与效益性的合理平衡，推动本行持续、安全、稳健运行。一是加强负债业务稳定性管理。审慎确定负债结构和规模，在做强存款的前提下，合理提升主动负债能力，确保负债总量适度、来源稳定、结构多元。二是加强同业负债限制性管理。抑制同业负债增长过快和期限错配风险，采取多种措施降低同业融资的期限集中度和依赖度，稳步有效去杠杆。三是优化资产负债匹配性管理。树立业务发展稳健性和业务结构合理性理念，合理配置长期稳定负债、高流动性或短期资产，确保资产负债总量合理和期限结构优化。</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流动性风险定量指标。报告期内，本行流动性比例期末值为85.47%，比年初下降33.31个百分点；流动性匹配率为187.93%，比年初下降6.62个百分点；核心负债依存度79.18%，比年初上升15.05个百分点；流动性缺口率为18.87%，比年初上升40.5个百分点；优质流动性资产充足率为402.75%，较年初下降6.94个百分点，符合行内管理与监管要求。</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报告期内，本行保持了稳定的流动性水平。我行资产负债期限结构的安排兼顾了安全性和盈利性的平衡，既能够满足日常支付及业务经营发展的需要，也能够控制维护流动性需要的成本在合理的范围。我行流动性管理部门与金融市场部保持紧密配合，通过合理配置同业资产负债期限错配，在合理配置存贷款主业期限结构的同时，在必要的时候通过同业业务配置使得流动性缺口得到补充，满足了流动性需求。</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
          <w:bCs w:val="0"/>
          <w:color w:val="auto"/>
          <w:sz w:val="28"/>
          <w:szCs w:val="28"/>
          <w:highlight w:val="none"/>
          <w:lang w:eastAsia="zh-CN"/>
        </w:rPr>
      </w:pPr>
      <w:r>
        <w:rPr>
          <w:rFonts w:hint="default" w:ascii="Times New Roman" w:hAnsi="Times New Roman" w:eastAsia="仿宋_GB2312" w:cs="Times New Roman"/>
          <w:b/>
          <w:bCs w:val="0"/>
          <w:color w:val="auto"/>
          <w:sz w:val="28"/>
          <w:szCs w:val="28"/>
          <w:highlight w:val="none"/>
        </w:rPr>
        <w:t>（四）操作风险</w:t>
      </w:r>
      <w:r>
        <w:rPr>
          <w:rFonts w:hint="default" w:ascii="Times New Roman" w:hAnsi="Times New Roman" w:eastAsia="仿宋_GB2312" w:cs="Times New Roman"/>
          <w:b/>
          <w:bCs w:val="0"/>
          <w:color w:val="auto"/>
          <w:sz w:val="28"/>
          <w:szCs w:val="28"/>
          <w:highlight w:val="none"/>
          <w:lang w:eastAsia="zh-CN"/>
        </w:rPr>
        <w:t>管理</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操作风险是指由不完善或有问题的内部程序、人员、系统或外部事件所造成损失的风险。本行针对操作风险采取以下措施：</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1.不断完善制度流程体系。坚持业务发展、内控优先、制度先行的原则，紧密围绕监管政策的最新变化，在信贷审批、运营管理、风险管理等关键领域，开展制度的“立改废”工作，确保业务发展与风险管控同步推进。截至6月末，共新增制度18个、修订制度37个、废止制度40个。同时委托外部专业公司对关键制度的流程进行系统梳理，已绘制流程图82个，为制度落地提供了有力支撑。</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2.不断深化案防风险治理。突出重点领域、重要环节、重要岗位的案件风险排查，针对近年来案件或违规高发多发的存款业务、信贷业务、票据业务、柜面业务、创新业务、资金业务、消费者权益保护等重点领域，由相关职能部门制定相应检查方案，深入开展延伸排查，借助系统管理工具，做实风险排查工作，对发现问题严肃问责，限时整改。</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3.持续加强员工行为管理。召开全员案防警示教育大会，通过主要领导讲合规、观看警示教育片、法律专家授课等形式，让全员深受教育、明晰纪律红线。借助省版合规管理平台定期核查员工账户交易流水，动态监测疑点数据，深入开展员工家访谈话、客户回访等专项行动，结合征信、涉诉等排查，重点监控员工与客户非正常资金往来、对外担保及经商办企业等现象，从严约束员工行为。</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
          <w:color w:val="auto"/>
          <w:sz w:val="28"/>
          <w:szCs w:val="28"/>
          <w:highlight w:val="none"/>
          <w:lang w:eastAsia="zh-CN"/>
        </w:rPr>
      </w:pPr>
      <w:r>
        <w:rPr>
          <w:rFonts w:hint="default" w:ascii="Times New Roman" w:hAnsi="Times New Roman" w:eastAsia="仿宋_GB2312" w:cs="Times New Roman"/>
          <w:bCs/>
          <w:color w:val="auto"/>
          <w:sz w:val="28"/>
          <w:szCs w:val="28"/>
          <w:highlight w:val="none"/>
        </w:rPr>
        <w:t>4.持续提升审查评估质效。严格落实重大事项合规审核机制，坚持应审尽审，切实把好风险准入关口，从源头防范操作风险。安排专人从合同价款、权责划分、违约处理等方面强化对合同内容的深入审查，及时出具针对性的修订意见。切实做好合规咨询评估，新产品发布前及时出具合规评估报告，限时解答支行在信贷业务和柜面操作等方面的疑难问题，有效保障了经营管理活动的合法合规。</w:t>
      </w:r>
      <w:r>
        <w:rPr>
          <w:rFonts w:hint="default" w:ascii="Times New Roman" w:hAnsi="Times New Roman" w:eastAsia="仿宋_GB2312" w:cs="Times New Roman"/>
          <w:bCs/>
          <w:color w:val="auto"/>
          <w:sz w:val="28"/>
          <w:szCs w:val="28"/>
          <w:highlight w:val="none"/>
          <w:lang w:val="en-US" w:eastAsia="zh-CN"/>
        </w:rPr>
        <w:t xml:space="preserve">   </w:t>
      </w:r>
      <w:r>
        <w:rPr>
          <w:rFonts w:hint="default" w:ascii="Times New Roman" w:hAnsi="Times New Roman" w:eastAsia="仿宋_GB2312" w:cs="Times New Roman"/>
          <w:bCs/>
          <w:color w:val="auto"/>
          <w:sz w:val="28"/>
          <w:szCs w:val="28"/>
          <w:highlight w:val="none"/>
          <w:lang w:val="en-US" w:eastAsia="zh-CN"/>
        </w:rPr>
        <w:tab/>
      </w:r>
      <w:r>
        <w:rPr>
          <w:rFonts w:hint="default" w:ascii="Times New Roman" w:hAnsi="Times New Roman" w:eastAsia="仿宋_GB2312" w:cs="Times New Roman"/>
          <w:bCs/>
          <w:color w:val="auto"/>
          <w:sz w:val="28"/>
          <w:szCs w:val="28"/>
          <w:highlight w:val="none"/>
          <w:lang w:val="en-US" w:eastAsia="zh-CN"/>
        </w:rPr>
        <w:tab/>
      </w:r>
      <w:r>
        <w:rPr>
          <w:rFonts w:hint="default" w:ascii="Times New Roman" w:hAnsi="Times New Roman" w:eastAsia="仿宋_GB2312" w:cs="Times New Roman"/>
          <w:b/>
          <w:color w:val="auto"/>
          <w:sz w:val="28"/>
          <w:szCs w:val="28"/>
          <w:highlight w:val="none"/>
        </w:rPr>
        <w:t>（五）声誉风险</w:t>
      </w:r>
      <w:r>
        <w:rPr>
          <w:rFonts w:hint="default" w:ascii="Times New Roman" w:hAnsi="Times New Roman" w:eastAsia="仿宋_GB2312" w:cs="Times New Roman"/>
          <w:b/>
          <w:color w:val="auto"/>
          <w:sz w:val="28"/>
          <w:szCs w:val="28"/>
          <w:highlight w:val="none"/>
          <w:lang w:eastAsia="zh-CN"/>
        </w:rPr>
        <w:t>管理</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声誉风险是指由商业银行经营、管理及其他行为或外部事件导致利益相关方对商业银行负面评价的风险。本行通过线上、线下开展金融消费者权益保护知识普及教育活动，加强金融消费者权益保护工作培训，规范提供金融产品和服务行为，不断提高全员服务意识，加强金融知识的普及宣传。</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1.</w:t>
      </w:r>
      <w:r>
        <w:rPr>
          <w:rFonts w:hint="default" w:ascii="Times New Roman" w:hAnsi="Times New Roman" w:eastAsia="仿宋_GB2312" w:cs="Times New Roman"/>
          <w:bCs/>
          <w:color w:val="auto"/>
          <w:sz w:val="28"/>
          <w:szCs w:val="28"/>
          <w:highlight w:val="none"/>
          <w:lang w:eastAsia="zh-CN"/>
        </w:rPr>
        <w:t>深化内部行为管控，筑牢声誉风险防线。结合合规管理部门员工行为专项排查工作，细化家访谈话、员工账户交易监测、与客户非正常资金往来等核心排查场景，通过线下实地核查与线上数据筛查相结合，全面识别八小时内外异常行为，严防因员工违规操作引发声誉事件。持续深化合规文化培育，通过典型违规案例警示剖析、合规知识常态化培训，破除员工侥幸心理，强化全员合规自觉，从行为源头降低声誉风险发生概率</w:t>
      </w:r>
      <w:r>
        <w:rPr>
          <w:rFonts w:hint="default" w:ascii="Times New Roman" w:hAnsi="Times New Roman" w:eastAsia="仿宋_GB2312" w:cs="Times New Roman"/>
          <w:bCs/>
          <w:color w:val="auto"/>
          <w:sz w:val="28"/>
          <w:szCs w:val="28"/>
          <w:highlight w:val="none"/>
        </w:rPr>
        <w:t>。</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2.夯实前端服务基础，落实首办服务责任。全面推行首办负责制，强化首次接访人员的直接责任，确保合理诉求一次性办结。定期组织业务技能和文明服务培训，提高全员综合素质。公开业务办理流程和服务收费标准，严格履行服务承诺，自觉接受外部监督。坚持新时代“枫桥经验”工作方法，积极参与行业调解和多元纠纷解决，推动消费投诉前端化解，切实保障金融消费者合法权益。</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
          <w:color w:val="auto"/>
          <w:sz w:val="28"/>
          <w:szCs w:val="28"/>
          <w:highlight w:val="none"/>
          <w:lang w:eastAsia="zh-CN"/>
        </w:rPr>
      </w:pPr>
      <w:r>
        <w:rPr>
          <w:rFonts w:hint="default" w:ascii="Times New Roman" w:hAnsi="Times New Roman" w:eastAsia="仿宋_GB2312" w:cs="Times New Roman"/>
          <w:b/>
          <w:color w:val="auto"/>
          <w:sz w:val="28"/>
          <w:szCs w:val="28"/>
          <w:highlight w:val="none"/>
        </w:rPr>
        <w:t>（六）市场风险</w:t>
      </w:r>
      <w:r>
        <w:rPr>
          <w:rFonts w:hint="default" w:ascii="Times New Roman" w:hAnsi="Times New Roman" w:eastAsia="仿宋_GB2312" w:cs="Times New Roman"/>
          <w:b/>
          <w:color w:val="auto"/>
          <w:sz w:val="28"/>
          <w:szCs w:val="28"/>
          <w:highlight w:val="none"/>
          <w:lang w:eastAsia="zh-CN"/>
        </w:rPr>
        <w:t>管理</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市场风险是指因市场价格（利率、汇率、股票价格和商品价格）的不利变动而使本行的表内业务和表外业务发生损失的风险。分为利率风险、汇率风险（包括黄金）、股票价格风险和商品价格风险。本行针对市场风险主要采取以下措施：</w:t>
      </w:r>
    </w:p>
    <w:p>
      <w:pPr>
        <w:keepNext w:val="0"/>
        <w:keepLines w:val="0"/>
        <w:pageBreakBefore w:val="0"/>
        <w:widowControl w:val="0"/>
        <w:numPr>
          <w:ilvl w:val="0"/>
          <w:numId w:val="1"/>
        </w:numPr>
        <w:kinsoku/>
        <w:wordWrap/>
        <w:overflowPunct/>
        <w:topLinePunct w:val="0"/>
        <w:autoSpaceDE w:val="0"/>
        <w:autoSpaceDN w:val="0"/>
        <w:bidi w:val="0"/>
        <w:adjustRightInd w:val="0"/>
        <w:snapToGrid/>
        <w:spacing w:line="480" w:lineRule="exact"/>
        <w:ind w:left="0" w:firstLine="604"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日常风险治理层面。本行依托业务系统、本币交易平台、DM债市通、Wind金融终端等专业平台搭建智能化监测体系，聚焦债券、资金交易等核心业务，常态化开展盯市监测，动态跟踪资产市值、估值、久期、利差等核心市场指标。结合市场形势变化常态化开展压力测试，精准研判极端场景下的风险抵御能力。同时严格对标监管标准，细化同业业务风险限额及预警阈值，依托系统实现风险数据自动抓取、动态预警、闭环处置，实现市场风险前置化、智能化管控。</w:t>
      </w:r>
    </w:p>
    <w:p>
      <w:pPr>
        <w:keepNext w:val="0"/>
        <w:keepLines w:val="0"/>
        <w:pageBreakBefore w:val="0"/>
        <w:widowControl w:val="0"/>
        <w:kinsoku/>
        <w:wordWrap/>
        <w:overflowPunct/>
        <w:topLinePunct w:val="0"/>
        <w:autoSpaceDE w:val="0"/>
        <w:autoSpaceDN w:val="0"/>
        <w:bidi w:val="0"/>
        <w:adjustRightInd w:val="0"/>
        <w:snapToGrid/>
        <w:spacing w:line="480" w:lineRule="exact"/>
        <w:ind w:left="0" w:firstLine="604" w:firstLineChars="200"/>
        <w:textAlignment w:val="auto"/>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2.业务准入风险管控层面。本行建立标准化同业合作管理体系，对全部交易对手实行统一名单制管理与常态化信用核查。通过定期评估合作机构经营资质、信用状况及风险水平，动态迭代合作名单，及时清退高风险合作主体。同时搭建分层级资金业务风险限额体系，结合本行风险承受能力，明确整体业务、账户及产品层级管控限额，严格规范同业投资业务准入标准、资产配置方向，从业务源头筑牢风险防线。</w:t>
      </w:r>
    </w:p>
    <w:p>
      <w:pPr>
        <w:keepNext w:val="0"/>
        <w:keepLines w:val="0"/>
        <w:pageBreakBefore w:val="0"/>
        <w:widowControl w:val="0"/>
        <w:kinsoku/>
        <w:wordWrap/>
        <w:overflowPunct/>
        <w:topLinePunct w:val="0"/>
        <w:bidi w:val="0"/>
        <w:snapToGrid/>
        <w:spacing w:line="480" w:lineRule="exact"/>
        <w:ind w:firstLine="604" w:firstLineChars="200"/>
        <w:textAlignment w:val="auto"/>
        <w:rPr>
          <w:rFonts w:hint="default" w:ascii="Times New Roman" w:hAnsi="Times New Roman" w:eastAsia="黑体" w:cs="Times New Roman"/>
          <w:b/>
          <w:color w:val="auto"/>
          <w:sz w:val="28"/>
          <w:szCs w:val="28"/>
          <w:highlight w:val="none"/>
          <w:lang w:eastAsia="zh-CN"/>
        </w:rPr>
      </w:pPr>
      <w:r>
        <w:rPr>
          <w:rFonts w:hint="default" w:ascii="Times New Roman" w:hAnsi="Times New Roman" w:eastAsia="黑体" w:cs="Times New Roman"/>
          <w:bCs/>
          <w:color w:val="auto"/>
          <w:sz w:val="28"/>
          <w:szCs w:val="28"/>
          <w:highlight w:val="none"/>
        </w:rPr>
        <w:t>四、企业社会责任</w:t>
      </w:r>
    </w:p>
    <w:p>
      <w:pPr>
        <w:pStyle w:val="20"/>
        <w:keepNext w:val="0"/>
        <w:keepLines w:val="0"/>
        <w:pageBreakBefore w:val="0"/>
        <w:widowControl w:val="0"/>
        <w:suppressLineNumbers w:val="0"/>
        <w:kinsoku/>
        <w:wordWrap/>
        <w:overflowPunct/>
        <w:topLinePunct w:val="0"/>
        <w:autoSpaceDE/>
        <w:autoSpaceDN/>
        <w:bidi w:val="0"/>
        <w:adjustRightInd/>
        <w:snapToGrid/>
        <w:spacing w:beforeAutospacing="0" w:afterAutospacing="0" w:line="480" w:lineRule="exact"/>
        <w:ind w:left="0" w:firstLine="604" w:firstLineChars="200"/>
        <w:jc w:val="both"/>
        <w:textAlignment w:val="auto"/>
        <w:outlineLvl w:val="9"/>
        <w:rPr>
          <w:rFonts w:hint="default" w:ascii="Times New Roman" w:hAnsi="Times New Roman" w:eastAsia="仿宋_GB2312" w:cs="Times New Roman"/>
          <w:bCs/>
          <w:color w:val="auto"/>
          <w:kern w:val="0"/>
          <w:sz w:val="28"/>
          <w:szCs w:val="28"/>
          <w:highlight w:val="none"/>
          <w:lang w:val="en-US" w:eastAsia="zh-CN" w:bidi="ar-SA"/>
        </w:rPr>
      </w:pPr>
      <w:r>
        <w:rPr>
          <w:rFonts w:hint="default" w:ascii="Times New Roman" w:hAnsi="Times New Roman" w:eastAsia="仿宋_GB2312" w:cs="Times New Roman"/>
          <w:b/>
          <w:bCs w:val="0"/>
          <w:color w:val="auto"/>
          <w:kern w:val="0"/>
          <w:sz w:val="28"/>
          <w:szCs w:val="28"/>
          <w:highlight w:val="none"/>
          <w:lang w:val="en-US" w:eastAsia="zh-CN" w:bidi="ar-SA"/>
        </w:rPr>
        <w:t>（一）切实加大信贷支持。</w:t>
      </w:r>
      <w:r>
        <w:rPr>
          <w:rFonts w:hint="default" w:ascii="Times New Roman" w:hAnsi="Times New Roman" w:eastAsia="仿宋_GB2312" w:cs="Times New Roman"/>
          <w:bCs/>
          <w:color w:val="auto"/>
          <w:kern w:val="0"/>
          <w:sz w:val="28"/>
          <w:szCs w:val="28"/>
          <w:highlight w:val="none"/>
          <w:lang w:val="en-US" w:eastAsia="zh-CN" w:bidi="ar-SA"/>
        </w:rPr>
        <w:t>紧扣区委、区政府“一区三园”建设部署，全面摸排汽车零部件集聚区、都市食品、新型显示、医疗器械等重点产业存量企业与落地新项目，定制园区专属综合金融服务方案。二季度，走访全区外贸类、科技类、普惠类链属客户、绿色金融类客户等1110户，走访覆盖率超90%。截至6月末，全行制造业企业贷款36.55亿元，较年初增长4.43亿元、增幅13.79%；科技型企业贷款24.73亿元，较年初增长4.89亿元、增幅24.65%；绿色贷款6.63亿元，较年初增长1.4亿元、增幅26.77%，金融服务实体经济质效持续提升。</w:t>
      </w:r>
    </w:p>
    <w:p>
      <w:pPr>
        <w:pStyle w:val="20"/>
        <w:keepNext w:val="0"/>
        <w:keepLines w:val="0"/>
        <w:pageBreakBefore w:val="0"/>
        <w:widowControl w:val="0"/>
        <w:suppressLineNumbers w:val="0"/>
        <w:kinsoku/>
        <w:wordWrap/>
        <w:overflowPunct/>
        <w:topLinePunct w:val="0"/>
        <w:autoSpaceDE/>
        <w:autoSpaceDN/>
        <w:bidi w:val="0"/>
        <w:adjustRightInd/>
        <w:snapToGrid/>
        <w:spacing w:beforeAutospacing="0" w:afterAutospacing="0" w:line="480" w:lineRule="exact"/>
        <w:ind w:left="0" w:firstLine="604" w:firstLineChars="200"/>
        <w:jc w:val="both"/>
        <w:textAlignment w:val="auto"/>
        <w:outlineLvl w:val="9"/>
        <w:rPr>
          <w:rFonts w:hint="default" w:ascii="Times New Roman" w:hAnsi="Times New Roman" w:eastAsia="仿宋_GB2312" w:cs="Times New Roman"/>
          <w:bCs/>
          <w:color w:val="auto"/>
          <w:kern w:val="0"/>
          <w:sz w:val="28"/>
          <w:szCs w:val="28"/>
          <w:highlight w:val="none"/>
          <w:lang w:val="en-US" w:eastAsia="zh-CN" w:bidi="ar-SA"/>
        </w:rPr>
      </w:pPr>
      <w:r>
        <w:rPr>
          <w:rFonts w:hint="default" w:ascii="Times New Roman" w:hAnsi="Times New Roman" w:eastAsia="仿宋_GB2312" w:cs="Times New Roman"/>
          <w:b/>
          <w:bCs w:val="0"/>
          <w:color w:val="auto"/>
          <w:kern w:val="0"/>
          <w:sz w:val="28"/>
          <w:szCs w:val="28"/>
          <w:highlight w:val="none"/>
          <w:lang w:val="en-US" w:eastAsia="zh-CN" w:bidi="ar-SA"/>
        </w:rPr>
        <w:t>（二）积极助力特色产业。</w:t>
      </w:r>
      <w:r>
        <w:rPr>
          <w:rFonts w:hint="default" w:ascii="Times New Roman" w:hAnsi="Times New Roman" w:eastAsia="仿宋_GB2312" w:cs="Times New Roman"/>
          <w:bCs/>
          <w:color w:val="auto"/>
          <w:kern w:val="0"/>
          <w:sz w:val="28"/>
          <w:szCs w:val="28"/>
          <w:highlight w:val="none"/>
          <w:lang w:val="en-US" w:eastAsia="zh-CN" w:bidi="ar-SA"/>
        </w:rPr>
        <w:t>以专属产品“蟹链贷”“蟹农贷”“蟹商贷”为抓手，以核心企业为枢纽，构建覆盖育种、养殖、收购、加工、销售全链条金融服务模式。“蟹链贷”方面，依托青松合作联社上下游交易数据，将232户中小养殖户纳入白名单、新增授信5160万元，实现产业链863户关联市场主体走访全覆盖、用信转化率达80.6%。“蟹农贷”方面，以纯信用为主，简化办贷流程，累计发放6669笔、金额22.71亿元，惠及养殖户3095户、覆盖全区60%以上规模养殖户；“蟹商贷”方面，额度最高300万元，实现旺季资金“秒到账”；与此同时，成立“金蟹党支部”，服务覆盖产业链客户超2900户，“固城湖螃蟹市场”商户服务覆盖率超95%，累计发放产业链贷款6.55亿元。累计为蟹农、蟹企减少利息支出超3200万元，有力支撑了固城湖螃蟹品牌做大做强。</w:t>
      </w:r>
    </w:p>
    <w:p>
      <w:pPr>
        <w:pStyle w:val="20"/>
        <w:keepNext w:val="0"/>
        <w:keepLines w:val="0"/>
        <w:pageBreakBefore w:val="0"/>
        <w:widowControl w:val="0"/>
        <w:suppressLineNumbers w:val="0"/>
        <w:kinsoku/>
        <w:wordWrap/>
        <w:overflowPunct/>
        <w:topLinePunct w:val="0"/>
        <w:autoSpaceDE/>
        <w:autoSpaceDN/>
        <w:bidi w:val="0"/>
        <w:adjustRightInd/>
        <w:snapToGrid/>
        <w:spacing w:beforeAutospacing="0" w:afterAutospacing="0" w:line="480" w:lineRule="exact"/>
        <w:ind w:left="0" w:firstLine="604" w:firstLineChars="200"/>
        <w:jc w:val="both"/>
        <w:textAlignment w:val="auto"/>
        <w:outlineLvl w:val="9"/>
        <w:rPr>
          <w:rFonts w:hint="default" w:ascii="Times New Roman" w:hAnsi="Times New Roman" w:eastAsia="仿宋_GB2312" w:cs="Times New Roman"/>
          <w:bCs/>
          <w:color w:val="auto"/>
          <w:kern w:val="0"/>
          <w:sz w:val="28"/>
          <w:szCs w:val="28"/>
          <w:highlight w:val="none"/>
          <w:lang w:val="en-US" w:eastAsia="zh-CN" w:bidi="ar-SA"/>
        </w:rPr>
      </w:pPr>
      <w:r>
        <w:rPr>
          <w:rFonts w:hint="default" w:ascii="Times New Roman" w:hAnsi="Times New Roman" w:eastAsia="仿宋_GB2312" w:cs="Times New Roman"/>
          <w:b/>
          <w:bCs w:val="0"/>
          <w:color w:val="auto"/>
          <w:kern w:val="0"/>
          <w:sz w:val="28"/>
          <w:szCs w:val="28"/>
          <w:highlight w:val="none"/>
          <w:lang w:val="en-US" w:eastAsia="zh-CN" w:bidi="ar-SA"/>
        </w:rPr>
        <w:t>（三）强化普惠金融供给</w:t>
      </w:r>
      <w:r>
        <w:rPr>
          <w:rFonts w:hint="default" w:ascii="Times New Roman" w:hAnsi="Times New Roman" w:eastAsia="仿宋_GB2312" w:cs="Times New Roman"/>
          <w:bCs/>
          <w:color w:val="auto"/>
          <w:kern w:val="0"/>
          <w:sz w:val="28"/>
          <w:szCs w:val="28"/>
          <w:highlight w:val="none"/>
          <w:lang w:val="en-US" w:eastAsia="zh-CN" w:bidi="ar-SA"/>
        </w:rPr>
        <w:t>。着力支持新型农业经营主体。聚焦家庭农场、农民专业合作社、村集体经济组织，推出“淳信”系列信用贷款专属产品，今年以来，累计投放民营信用贷款10.96亿元。截至6月末，为全区77家农民专业合作社授信1.35亿元、用信1.24亿元、用信率达91.85%，对合作社社员延伸授信57户、2600万元。用心做好便民服务。强化普惠金融服务点建设，在全区设立服务点114个，建成示范点24个，支持取现、转账、消费、查询及苏服办140项政务查询办理功能，建成红色党建特色主题服务点，引入“E路有我”电商助农服务，上半年办理各类业务27.87万笔、金额2.03亿元。以营业网点、总行部门为基础，组建“小圆服务队”26支，全员纳入“小圆服务队”范畴，组织便民服务、宣讲教学、公益活动等644次、服务2160人次。扎实提升适老金融服务水平，全行20家“基础型适老网点”通过省银协验收。目前已实现全区城乡金融服务全覆盖，以“网点+服务点+上门服务”三位一体网络，有效打通了农村金融服务的“最后一公里”。积极提高服务效率。优化办贷流程，100万元及以内授信审批当日完成，100万元至300万元授信审批平均1个工作日完成，有效节约客户办贷时间。简化开户流程，深化对公账户简易开户，推行“一人现场+一人远程”灵活尽调，确保开户总耗时不超过72小时、账户审核不超过20分钟。</w:t>
      </w:r>
    </w:p>
    <w:p>
      <w:pPr>
        <w:keepNext w:val="0"/>
        <w:keepLines w:val="0"/>
        <w:pageBreakBefore w:val="0"/>
        <w:widowControl w:val="0"/>
        <w:pBdr>
          <w:bottom w:val="single" w:color="FFFFFF" w:sz="8" w:space="29"/>
        </w:pBdr>
        <w:kinsoku/>
        <w:wordWrap/>
        <w:overflowPunct/>
        <w:topLinePunct w:val="0"/>
        <w:autoSpaceDE/>
        <w:autoSpaceDN/>
        <w:bidi w:val="0"/>
        <w:adjustRightInd/>
        <w:snapToGrid/>
        <w:spacing w:line="480" w:lineRule="exact"/>
        <w:ind w:firstLine="604" w:firstLineChars="200"/>
        <w:contextualSpacing/>
        <w:jc w:val="both"/>
        <w:textAlignment w:val="auto"/>
        <w:rPr>
          <w:rFonts w:hint="default" w:ascii="Times New Roman" w:hAnsi="Times New Roman" w:eastAsia="仿宋_GB2312" w:cs="Times New Roman"/>
          <w:bCs/>
          <w:color w:val="auto"/>
          <w:kern w:val="0"/>
          <w:sz w:val="28"/>
          <w:szCs w:val="28"/>
          <w:highlight w:val="none"/>
          <w:lang w:val="en-US" w:eastAsia="zh-CN" w:bidi="ar-SA"/>
        </w:rPr>
      </w:pPr>
      <w:r>
        <w:rPr>
          <w:rFonts w:hint="default" w:ascii="Times New Roman" w:hAnsi="Times New Roman" w:eastAsia="仿宋_GB2312" w:cs="Times New Roman"/>
          <w:b/>
          <w:bCs w:val="0"/>
          <w:color w:val="auto"/>
          <w:kern w:val="0"/>
          <w:sz w:val="28"/>
          <w:szCs w:val="28"/>
          <w:highlight w:val="none"/>
          <w:lang w:val="en-US" w:eastAsia="zh-CN" w:bidi="ar-SA"/>
        </w:rPr>
        <w:t>（四）防范化解金融风险。</w:t>
      </w:r>
      <w:r>
        <w:rPr>
          <w:rFonts w:hint="default" w:ascii="Times New Roman" w:hAnsi="Times New Roman" w:eastAsia="仿宋_GB2312" w:cs="Times New Roman"/>
          <w:bCs/>
          <w:color w:val="auto"/>
          <w:kern w:val="0"/>
          <w:sz w:val="28"/>
          <w:szCs w:val="28"/>
          <w:highlight w:val="none"/>
          <w:lang w:val="en-US" w:eastAsia="zh-CN" w:bidi="ar-SA"/>
        </w:rPr>
        <w:t>全力防控化解信用风险。持续推进全面风险管理，组织资产质量真实性排查，制定隐患贷款清单，加大对逾欠息贷款的管控力度，按月下发《资产质量管控风险提示》，结息后按日下发逾欠息贷款清单，扎实开展不良贷款清收专项行动，积极推进不良贷款批量转让工作。全力抓好安全稳定经营。落实安全生产工作责任制，坚决克服松懈思想和侥幸心理，坚持问题导向、目标导向，从严从实抓好日常检查监督，全面深入常态做好隐患排查，抓好各类安全隐患整改，确保安全管理工作制度执行到位。高度重视来信来访、投诉处理等工作，做好与客户群众的沟通说明，及时反馈办理结果，推动安全经营形势持续稳定向好。</w:t>
      </w:r>
    </w:p>
    <w:p>
      <w:pPr>
        <w:keepNext w:val="0"/>
        <w:keepLines w:val="0"/>
        <w:pageBreakBefore w:val="0"/>
        <w:widowControl w:val="0"/>
        <w:pBdr>
          <w:bottom w:val="single" w:color="FFFFFF" w:sz="8" w:space="29"/>
        </w:pBdr>
        <w:kinsoku/>
        <w:wordWrap/>
        <w:overflowPunct/>
        <w:topLinePunct w:val="0"/>
        <w:autoSpaceDE/>
        <w:autoSpaceDN/>
        <w:bidi w:val="0"/>
        <w:adjustRightInd/>
        <w:snapToGrid/>
        <w:spacing w:line="480" w:lineRule="exact"/>
        <w:ind w:firstLine="604" w:firstLineChars="200"/>
        <w:contextualSpacing/>
        <w:jc w:val="both"/>
        <w:textAlignment w:val="auto"/>
        <w:rPr>
          <w:rFonts w:hint="default" w:ascii="Times New Roman" w:hAnsi="Times New Roman" w:eastAsia="仿宋_GB2312" w:cs="Times New Roman"/>
          <w:bCs/>
          <w:color w:val="auto"/>
          <w:kern w:val="0"/>
          <w:sz w:val="28"/>
          <w:szCs w:val="28"/>
          <w:highlight w:val="none"/>
          <w:lang w:val="en-US" w:eastAsia="zh-CN" w:bidi="ar-SA"/>
        </w:rPr>
      </w:pPr>
      <w:r>
        <w:rPr>
          <w:rFonts w:hint="default" w:ascii="Times New Roman" w:hAnsi="Times New Roman" w:eastAsia="仿宋_GB2312" w:cs="Times New Roman"/>
          <w:b/>
          <w:color w:val="auto"/>
          <w:kern w:val="0"/>
          <w:sz w:val="28"/>
          <w:szCs w:val="28"/>
          <w:highlight w:val="none"/>
          <w:lang w:val="en-US" w:eastAsia="zh-CN" w:bidi="ar-SA"/>
        </w:rPr>
        <w:t>（五）保护消费者权益。</w:t>
      </w:r>
      <w:r>
        <w:rPr>
          <w:rFonts w:hint="default" w:ascii="Times New Roman" w:hAnsi="Times New Roman" w:eastAsia="仿宋_GB2312" w:cs="Times New Roman"/>
          <w:bCs/>
          <w:color w:val="auto"/>
          <w:kern w:val="0"/>
          <w:sz w:val="28"/>
          <w:szCs w:val="28"/>
          <w:highlight w:val="none"/>
          <w:lang w:val="en-US" w:eastAsia="zh-CN" w:bidi="ar-SA"/>
        </w:rPr>
        <w:t>及时有效处理各类线上线下金融消费者投诉。</w:t>
      </w:r>
      <w:r>
        <w:rPr>
          <w:rFonts w:hint="default" w:ascii="Times New Roman" w:hAnsi="Times New Roman" w:eastAsia="仿宋_GB2312" w:cs="Times New Roman"/>
          <w:bCs/>
          <w:color w:val="auto"/>
          <w:kern w:val="0"/>
          <w:sz w:val="28"/>
          <w:szCs w:val="28"/>
          <w:highlight w:val="none"/>
          <w:lang w:val="zh-CN" w:eastAsia="zh-CN" w:bidi="ar-SA"/>
        </w:rPr>
        <w:t>上半年，共接到金融消费者投诉55笔，处理55笔，未处理0笔，客户满意度为100%。</w:t>
      </w:r>
      <w:r>
        <w:rPr>
          <w:rFonts w:hint="default" w:ascii="Times New Roman" w:hAnsi="Times New Roman" w:eastAsia="仿宋_GB2312" w:cs="Times New Roman"/>
          <w:bCs/>
          <w:color w:val="auto"/>
          <w:kern w:val="0"/>
          <w:sz w:val="28"/>
          <w:szCs w:val="28"/>
          <w:highlight w:val="none"/>
          <w:lang w:val="en-US" w:eastAsia="zh-CN" w:bidi="ar-SA"/>
        </w:rPr>
        <w:t>进一步完善金融消费者权益保护工作机制，落实金融消费者权益保护工作部门和人员的工作职责，完善金融消费者权益保护工作流程，建立信息共享、经验交流、联合宣传、协同处置等合作机制，践行保护金融消费者合法权益的责任，维护公平、公正的市场环境，在金融消费者权益保护工作中坚持以人为本、服务至上，依法维护金融消费者的合法权益。</w:t>
      </w:r>
    </w:p>
    <w:p>
      <w:pPr>
        <w:keepNext w:val="0"/>
        <w:keepLines w:val="0"/>
        <w:pageBreakBefore w:val="0"/>
        <w:widowControl w:val="0"/>
        <w:pBdr>
          <w:bottom w:val="single" w:color="FFFFFF" w:sz="8" w:space="29"/>
        </w:pBdr>
        <w:kinsoku/>
        <w:wordWrap/>
        <w:overflowPunct/>
        <w:topLinePunct w:val="0"/>
        <w:autoSpaceDE/>
        <w:autoSpaceDN/>
        <w:bidi w:val="0"/>
        <w:adjustRightInd/>
        <w:snapToGrid/>
        <w:spacing w:line="480" w:lineRule="exact"/>
        <w:ind w:firstLine="604" w:firstLineChars="200"/>
        <w:contextualSpacing/>
        <w:jc w:val="both"/>
        <w:textAlignment w:val="auto"/>
        <w:rPr>
          <w:rFonts w:hint="default" w:ascii="Times New Roman" w:hAnsi="Times New Roman" w:eastAsia="仿宋_GB2312" w:cs="Times New Roman"/>
          <w:bCs/>
          <w:color w:val="auto"/>
          <w:kern w:val="0"/>
          <w:sz w:val="28"/>
          <w:szCs w:val="28"/>
          <w:highlight w:val="none"/>
          <w:lang w:val="en-US" w:eastAsia="zh-CN" w:bidi="ar-SA"/>
        </w:rPr>
      </w:pPr>
      <w:r>
        <w:rPr>
          <w:rFonts w:hint="default" w:ascii="Times New Roman" w:hAnsi="Times New Roman" w:eastAsia="仿宋_GB2312" w:cs="Times New Roman"/>
          <w:b/>
          <w:color w:val="auto"/>
          <w:kern w:val="0"/>
          <w:sz w:val="28"/>
          <w:szCs w:val="28"/>
          <w:highlight w:val="none"/>
          <w:lang w:val="en-US" w:eastAsia="zh-CN" w:bidi="ar-SA"/>
        </w:rPr>
        <w:t>（六）开展志愿服务。</w:t>
      </w:r>
      <w:r>
        <w:rPr>
          <w:rFonts w:hint="default" w:ascii="Times New Roman" w:hAnsi="Times New Roman" w:eastAsia="仿宋_GB2312" w:cs="Times New Roman"/>
          <w:b w:val="0"/>
          <w:bCs/>
          <w:color w:val="auto"/>
          <w:kern w:val="0"/>
          <w:sz w:val="28"/>
          <w:szCs w:val="28"/>
          <w:highlight w:val="none"/>
          <w:lang w:val="en-US" w:eastAsia="zh-CN" w:bidi="ar-SA"/>
        </w:rPr>
        <w:t>聚焦社会责任，用行动传递温暖。充分发挥“宁小峰”驿站作用，为外卖员提供暖心服务和休憩之所，积极开展客户健康检测、“小小银行家”等公益活动，践行金融为民使命初心。积极推进挂钩帮扶工作，支持固城街道义保村美丽乡村建设资金10万元；走访慰问困难党员群众30余户，发放慰问资金2.1万元；支持阳江中心小学、汶溪小学奖学金共1.5万元；开展困难学生慰问，金额共计1.2万元；支持区妇联关心关爱资金，金额2万元；上半年公益投入共计16.8万元，地方银行责任担当进一步彰显。</w:t>
      </w:r>
    </w:p>
    <w:p>
      <w:pPr>
        <w:pStyle w:val="115"/>
        <w:keepNext w:val="0"/>
        <w:keepLines w:val="0"/>
        <w:pageBreakBefore w:val="0"/>
        <w:widowControl w:val="0"/>
        <w:pBdr>
          <w:bottom w:val="single" w:color="FFFFFF" w:sz="8" w:space="29"/>
        </w:pBdr>
        <w:kinsoku/>
        <w:wordWrap/>
        <w:overflowPunct/>
        <w:topLinePunct w:val="0"/>
        <w:autoSpaceDE/>
        <w:autoSpaceDN/>
        <w:bidi w:val="0"/>
        <w:adjustRightInd/>
        <w:snapToGrid/>
        <w:spacing w:line="480" w:lineRule="exact"/>
        <w:ind w:firstLine="604" w:firstLineChars="200"/>
        <w:contextualSpacing/>
        <w:jc w:val="both"/>
        <w:textAlignment w:val="auto"/>
        <w:rPr>
          <w:rFonts w:hint="default" w:ascii="Times New Roman" w:hAnsi="Times New Roman" w:eastAsia="黑体" w:cs="Times New Roman"/>
          <w:bCs/>
          <w:color w:val="auto"/>
          <w:sz w:val="28"/>
          <w:szCs w:val="28"/>
          <w:highlight w:val="none"/>
        </w:rPr>
      </w:pPr>
      <w:r>
        <w:rPr>
          <w:rFonts w:hint="default" w:ascii="Times New Roman" w:hAnsi="Times New Roman" w:eastAsia="黑体" w:cs="Times New Roman"/>
          <w:bCs/>
          <w:color w:val="auto"/>
          <w:sz w:val="28"/>
          <w:szCs w:val="28"/>
          <w:highlight w:val="none"/>
        </w:rPr>
        <w:t>五、对非标准审计意见审计报告的说明</w:t>
      </w:r>
    </w:p>
    <w:p>
      <w:pPr>
        <w:pStyle w:val="115"/>
        <w:keepNext w:val="0"/>
        <w:keepLines w:val="0"/>
        <w:pageBreakBefore w:val="0"/>
        <w:widowControl w:val="0"/>
        <w:pBdr>
          <w:bottom w:val="single" w:color="FFFFFF" w:sz="8" w:space="29"/>
        </w:pBdr>
        <w:kinsoku/>
        <w:wordWrap/>
        <w:overflowPunct/>
        <w:topLinePunct w:val="0"/>
        <w:autoSpaceDE/>
        <w:autoSpaceDN/>
        <w:bidi w:val="0"/>
        <w:adjustRightInd/>
        <w:snapToGrid/>
        <w:spacing w:line="520" w:lineRule="exact"/>
        <w:ind w:firstLine="604" w:firstLineChars="200"/>
        <w:contextualSpacing/>
        <w:jc w:val="both"/>
        <w:textAlignment w:val="auto"/>
        <w:rPr>
          <w:rFonts w:hint="default" w:ascii="Times New Roman" w:hAnsi="Times New Roman" w:cs="Times New Roman"/>
          <w:color w:val="auto"/>
          <w:sz w:val="28"/>
          <w:szCs w:val="28"/>
          <w:highlight w:val="none"/>
        </w:rPr>
      </w:pPr>
      <w:r>
        <w:rPr>
          <w:rStyle w:val="106"/>
          <w:rFonts w:hint="default" w:ascii="Times New Roman" w:hAnsi="Times New Roman" w:eastAsia="仿宋_GB2312" w:cs="Times New Roman"/>
          <w:color w:val="auto"/>
          <w:spacing w:val="0"/>
          <w:sz w:val="28"/>
          <w:szCs w:val="28"/>
          <w:highlight w:val="none"/>
        </w:rPr>
        <w:t>□适用 √不适用</w:t>
      </w:r>
    </w:p>
    <w:p>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outlineLvl w:val="9"/>
        <w:rPr>
          <w:rFonts w:hint="default" w:ascii="Times New Roman" w:hAnsi="Times New Roman" w:eastAsia="黑体" w:cs="Times New Roman"/>
          <w:color w:val="auto"/>
          <w:kern w:val="0"/>
          <w:sz w:val="32"/>
          <w:szCs w:val="32"/>
          <w:highlight w:val="none"/>
        </w:rPr>
      </w:pPr>
      <w:r>
        <w:rPr>
          <w:rFonts w:hint="default" w:ascii="Times New Roman" w:hAnsi="Times New Roman" w:eastAsia="黑体" w:cs="Times New Roman"/>
          <w:color w:val="auto"/>
          <w:kern w:val="0"/>
          <w:sz w:val="32"/>
          <w:szCs w:val="32"/>
          <w:highlight w:val="none"/>
        </w:rPr>
        <w:t>第四节  重要事项</w:t>
      </w:r>
    </w:p>
    <w:p>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outlineLvl w:val="9"/>
        <w:rPr>
          <w:rFonts w:hint="default" w:ascii="Times New Roman" w:hAnsi="Times New Roman" w:eastAsia="黑体" w:cs="Times New Roman"/>
          <w:color w:val="auto"/>
          <w:kern w:val="0"/>
          <w:sz w:val="32"/>
          <w:szCs w:val="32"/>
          <w:highlight w:val="none"/>
        </w:rPr>
      </w:pPr>
    </w:p>
    <w:p>
      <w:pPr>
        <w:keepNext w:val="0"/>
        <w:keepLines w:val="0"/>
        <w:pageBreakBefore w:val="0"/>
        <w:widowControl w:val="0"/>
        <w:kinsoku/>
        <w:wordWrap/>
        <w:overflowPunct/>
        <w:topLinePunct w:val="0"/>
        <w:bidi w:val="0"/>
        <w:snapToGrid/>
        <w:spacing w:line="480" w:lineRule="exact"/>
        <w:ind w:firstLine="644" w:firstLineChars="200"/>
        <w:jc w:val="left"/>
        <w:textAlignment w:val="auto"/>
        <w:outlineLvl w:val="9"/>
        <w:rPr>
          <w:rFonts w:hint="default" w:ascii="Times New Roman" w:hAnsi="Times New Roman" w:eastAsia="黑体" w:cs="Times New Roman"/>
          <w:bCs/>
          <w:color w:val="auto"/>
          <w:spacing w:val="10"/>
          <w:sz w:val="28"/>
          <w:szCs w:val="28"/>
          <w:highlight w:val="none"/>
          <w:lang w:eastAsia="zh-CN"/>
        </w:rPr>
      </w:pPr>
      <w:r>
        <w:rPr>
          <w:rFonts w:hint="default" w:ascii="Times New Roman" w:hAnsi="Times New Roman" w:eastAsia="黑体" w:cs="Times New Roman"/>
          <w:bCs/>
          <w:color w:val="auto"/>
          <w:spacing w:val="10"/>
          <w:sz w:val="28"/>
          <w:szCs w:val="28"/>
          <w:highlight w:val="none"/>
        </w:rPr>
        <w:t>一、重要事项索引</w:t>
      </w:r>
    </w:p>
    <w:tbl>
      <w:tblPr>
        <w:tblStyle w:val="25"/>
        <w:tblW w:w="91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94"/>
        <w:gridCol w:w="1410"/>
        <w:gridCol w:w="14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2" w:hRule="exact"/>
          <w:jc w:val="center"/>
        </w:trPr>
        <w:tc>
          <w:tcPr>
            <w:tcW w:w="6294" w:type="dxa"/>
            <w:tcBorders>
              <w:top w:val="single" w:color="auto" w:sz="4" w:space="0"/>
              <w:left w:val="single" w:color="auto" w:sz="4" w:space="0"/>
              <w:bottom w:val="single" w:color="auto" w:sz="4" w:space="0"/>
              <w:right w:val="single" w:color="auto" w:sz="4" w:space="0"/>
            </w:tcBorders>
            <w:vAlign w:val="center"/>
          </w:tcPr>
          <w:p>
            <w:pPr>
              <w:spacing w:line="220" w:lineRule="exact"/>
              <w:ind w:left="120"/>
              <w:jc w:val="center"/>
              <w:rPr>
                <w:rFonts w:hint="default" w:ascii="Times New Roman" w:hAnsi="Times New Roman" w:eastAsia="仿宋_GB2312" w:cs="Times New Roman"/>
                <w:b/>
                <w:color w:val="auto"/>
                <w:szCs w:val="21"/>
                <w:highlight w:val="none"/>
              </w:rPr>
            </w:pPr>
            <w:r>
              <w:rPr>
                <w:rFonts w:hint="default" w:ascii="Times New Roman" w:hAnsi="Times New Roman" w:eastAsia="黑体" w:cs="Times New Roman"/>
                <w:color w:val="auto"/>
                <w:kern w:val="0"/>
                <w:sz w:val="24"/>
                <w:szCs w:val="24"/>
                <w:highlight w:val="none"/>
              </w:rPr>
              <w:t>事项</w:t>
            </w:r>
          </w:p>
        </w:tc>
        <w:tc>
          <w:tcPr>
            <w:tcW w:w="1410" w:type="dxa"/>
            <w:tcBorders>
              <w:top w:val="single" w:color="auto" w:sz="4" w:space="0"/>
              <w:left w:val="single" w:color="auto" w:sz="4" w:space="0"/>
              <w:bottom w:val="single" w:color="auto" w:sz="4" w:space="0"/>
              <w:right w:val="single" w:color="auto" w:sz="4" w:space="0"/>
            </w:tcBorders>
            <w:vAlign w:val="center"/>
          </w:tcPr>
          <w:p>
            <w:pPr>
              <w:spacing w:line="220" w:lineRule="exact"/>
              <w:ind w:left="120"/>
              <w:jc w:val="center"/>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是或否</w:t>
            </w:r>
          </w:p>
        </w:tc>
        <w:tc>
          <w:tcPr>
            <w:tcW w:w="1404" w:type="dxa"/>
            <w:tcBorders>
              <w:top w:val="single" w:color="auto" w:sz="4" w:space="0"/>
              <w:left w:val="single" w:color="auto" w:sz="4" w:space="0"/>
              <w:bottom w:val="single" w:color="auto" w:sz="4" w:space="0"/>
              <w:right w:val="single" w:color="auto" w:sz="4" w:space="0"/>
            </w:tcBorders>
            <w:vAlign w:val="center"/>
          </w:tcPr>
          <w:p>
            <w:pPr>
              <w:spacing w:line="220" w:lineRule="exact"/>
              <w:ind w:left="120"/>
              <w:jc w:val="center"/>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6294"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20" w:lineRule="exact"/>
              <w:ind w:left="120"/>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是否存在重大诉讼、仲裁事项</w:t>
            </w:r>
          </w:p>
        </w:tc>
        <w:tc>
          <w:tcPr>
            <w:tcW w:w="1410"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340" w:lineRule="exact"/>
              <w:ind w:right="261"/>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 xml:space="preserve">□是 </w:t>
            </w:r>
            <w:r>
              <w:rPr>
                <w:rFonts w:hint="default" w:ascii="Times New Roman" w:hAnsi="Times New Roman" w:eastAsia="仿宋_GB2312" w:cs="Times New Roman"/>
                <w:color w:val="auto"/>
                <w:spacing w:val="0"/>
                <w:kern w:val="2"/>
                <w:sz w:val="21"/>
                <w:szCs w:val="21"/>
                <w:highlight w:val="none"/>
                <w:lang w:val="en-US" w:eastAsia="zh-CN" w:bidi="ar-SA"/>
              </w:rPr>
              <w:sym w:font="Wingdings" w:char="F0FE"/>
            </w:r>
            <w:r>
              <w:rPr>
                <w:rFonts w:hint="default" w:ascii="Times New Roman" w:hAnsi="Times New Roman" w:eastAsia="仿宋_GB2312" w:cs="Times New Roman"/>
                <w:color w:val="auto"/>
                <w:spacing w:val="0"/>
                <w:kern w:val="2"/>
                <w:sz w:val="21"/>
                <w:szCs w:val="21"/>
                <w:highlight w:val="none"/>
                <w:lang w:val="en-US" w:eastAsia="zh-CN" w:bidi="ar-SA"/>
              </w:rPr>
              <w:t>否</w:t>
            </w:r>
          </w:p>
        </w:tc>
        <w:tc>
          <w:tcPr>
            <w:tcW w:w="1404"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before="289" w:beforeLines="100"/>
              <w:jc w:val="left"/>
              <w:rPr>
                <w:rFonts w:hint="default" w:ascii="Times New Roman" w:hAnsi="Times New Roman" w:eastAsia="黑体" w:cs="Times New Roman"/>
                <w:color w:val="auto"/>
                <w:kern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6294"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20" w:lineRule="exact"/>
              <w:ind w:left="120"/>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是否存在对外担保事项</w:t>
            </w:r>
          </w:p>
        </w:tc>
        <w:tc>
          <w:tcPr>
            <w:tcW w:w="1410"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340" w:lineRule="exact"/>
              <w:ind w:right="261"/>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 xml:space="preserve">□是 </w:t>
            </w:r>
            <w:r>
              <w:rPr>
                <w:rFonts w:hint="default" w:ascii="Times New Roman" w:hAnsi="Times New Roman" w:eastAsia="仿宋_GB2312" w:cs="Times New Roman"/>
                <w:color w:val="auto"/>
                <w:spacing w:val="0"/>
                <w:kern w:val="2"/>
                <w:sz w:val="21"/>
                <w:szCs w:val="21"/>
                <w:highlight w:val="none"/>
                <w:lang w:val="en-US" w:eastAsia="zh-CN" w:bidi="ar-SA"/>
              </w:rPr>
              <w:sym w:font="Wingdings" w:char="F0FE"/>
            </w:r>
            <w:r>
              <w:rPr>
                <w:rFonts w:hint="default" w:ascii="Times New Roman" w:hAnsi="Times New Roman" w:eastAsia="仿宋_GB2312" w:cs="Times New Roman"/>
                <w:color w:val="auto"/>
                <w:spacing w:val="0"/>
                <w:kern w:val="2"/>
                <w:sz w:val="21"/>
                <w:szCs w:val="21"/>
                <w:highlight w:val="none"/>
                <w:lang w:val="en-US" w:eastAsia="zh-CN" w:bidi="ar-SA"/>
              </w:rPr>
              <w:t>否</w:t>
            </w:r>
          </w:p>
        </w:tc>
        <w:tc>
          <w:tcPr>
            <w:tcW w:w="1404"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before="289" w:beforeLines="100"/>
              <w:jc w:val="left"/>
              <w:rPr>
                <w:rFonts w:hint="default" w:ascii="Times New Roman" w:hAnsi="Times New Roman" w:eastAsia="黑体" w:cs="Times New Roman"/>
                <w:color w:val="auto"/>
                <w:kern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1" w:hRule="exact"/>
          <w:jc w:val="center"/>
        </w:trPr>
        <w:tc>
          <w:tcPr>
            <w:tcW w:w="6294"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20" w:lineRule="exact"/>
              <w:ind w:left="120"/>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是否存在股东及其关联方占用或转移公司资金、资产及其他资源的情况</w:t>
            </w:r>
          </w:p>
        </w:tc>
        <w:tc>
          <w:tcPr>
            <w:tcW w:w="1410"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340" w:lineRule="exact"/>
              <w:ind w:right="261"/>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 xml:space="preserve">□是 </w:t>
            </w:r>
            <w:r>
              <w:rPr>
                <w:rFonts w:hint="default" w:ascii="Times New Roman" w:hAnsi="Times New Roman" w:eastAsia="仿宋_GB2312" w:cs="Times New Roman"/>
                <w:color w:val="auto"/>
                <w:spacing w:val="0"/>
                <w:kern w:val="2"/>
                <w:sz w:val="21"/>
                <w:szCs w:val="21"/>
                <w:highlight w:val="none"/>
                <w:lang w:val="en-US" w:eastAsia="zh-CN" w:bidi="ar-SA"/>
              </w:rPr>
              <w:sym w:font="Wingdings" w:char="F0FE"/>
            </w:r>
            <w:r>
              <w:rPr>
                <w:rFonts w:hint="default" w:ascii="Times New Roman" w:hAnsi="Times New Roman" w:eastAsia="仿宋_GB2312" w:cs="Times New Roman"/>
                <w:color w:val="auto"/>
                <w:spacing w:val="0"/>
                <w:kern w:val="2"/>
                <w:sz w:val="21"/>
                <w:szCs w:val="21"/>
                <w:highlight w:val="none"/>
                <w:lang w:val="en-US" w:eastAsia="zh-CN" w:bidi="ar-SA"/>
              </w:rPr>
              <w:t>否</w:t>
            </w:r>
          </w:p>
        </w:tc>
        <w:tc>
          <w:tcPr>
            <w:tcW w:w="1404"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before="289" w:beforeLines="100"/>
              <w:jc w:val="left"/>
              <w:rPr>
                <w:rFonts w:hint="default" w:ascii="Times New Roman" w:hAnsi="Times New Roman" w:eastAsia="黑体" w:cs="Times New Roman"/>
                <w:color w:val="auto"/>
                <w:kern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6294"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20" w:lineRule="exact"/>
              <w:ind w:left="120"/>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是否存在日常性关联交易事项</w:t>
            </w:r>
          </w:p>
        </w:tc>
        <w:tc>
          <w:tcPr>
            <w:tcW w:w="1410"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340" w:lineRule="exact"/>
              <w:ind w:right="261"/>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sym w:font="Wingdings" w:char="F0FE"/>
            </w:r>
            <w:r>
              <w:rPr>
                <w:rFonts w:hint="default" w:ascii="Times New Roman" w:hAnsi="Times New Roman" w:eastAsia="仿宋_GB2312" w:cs="Times New Roman"/>
                <w:color w:val="auto"/>
                <w:spacing w:val="0"/>
                <w:kern w:val="2"/>
                <w:sz w:val="21"/>
                <w:szCs w:val="21"/>
                <w:highlight w:val="none"/>
                <w:lang w:val="en-US" w:eastAsia="zh-CN" w:bidi="ar-SA"/>
              </w:rPr>
              <w:t>是 □否</w:t>
            </w:r>
          </w:p>
        </w:tc>
        <w:tc>
          <w:tcPr>
            <w:tcW w:w="1404" w:type="dxa"/>
            <w:tcBorders>
              <w:top w:val="single" w:color="auto" w:sz="4" w:space="0"/>
              <w:left w:val="single" w:color="auto" w:sz="4" w:space="0"/>
              <w:bottom w:val="single" w:color="auto" w:sz="4" w:space="0"/>
              <w:right w:val="single" w:color="auto" w:sz="4" w:space="0"/>
            </w:tcBorders>
            <w:vAlign w:val="center"/>
          </w:tcPr>
          <w:p>
            <w:pPr>
              <w:spacing w:line="340" w:lineRule="exact"/>
              <w:ind w:right="261"/>
              <w:jc w:val="left"/>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二、（一）</w:t>
            </w:r>
          </w:p>
          <w:p>
            <w:pPr>
              <w:spacing w:line="340" w:lineRule="exact"/>
              <w:ind w:right="261"/>
              <w:jc w:val="left"/>
              <w:rPr>
                <w:rFonts w:hint="default" w:ascii="Times New Roman" w:hAnsi="Times New Roman" w:eastAsia="仿宋_GB2312"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6294"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20" w:lineRule="exact"/>
              <w:ind w:left="120"/>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是否存在偶发性关联交易事项</w:t>
            </w:r>
          </w:p>
        </w:tc>
        <w:tc>
          <w:tcPr>
            <w:tcW w:w="1410"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340" w:lineRule="exact"/>
              <w:ind w:right="261"/>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 xml:space="preserve">□是 </w:t>
            </w:r>
            <w:r>
              <w:rPr>
                <w:rFonts w:hint="default" w:ascii="Times New Roman" w:hAnsi="Times New Roman" w:eastAsia="仿宋_GB2312" w:cs="Times New Roman"/>
                <w:color w:val="auto"/>
                <w:spacing w:val="0"/>
                <w:kern w:val="2"/>
                <w:sz w:val="21"/>
                <w:szCs w:val="21"/>
                <w:highlight w:val="none"/>
                <w:lang w:val="en-US" w:eastAsia="zh-CN" w:bidi="ar-SA"/>
              </w:rPr>
              <w:sym w:font="Wingdings" w:char="F0FE"/>
            </w:r>
            <w:r>
              <w:rPr>
                <w:rFonts w:hint="default" w:ascii="Times New Roman" w:hAnsi="Times New Roman" w:eastAsia="仿宋_GB2312" w:cs="Times New Roman"/>
                <w:color w:val="auto"/>
                <w:spacing w:val="0"/>
                <w:kern w:val="2"/>
                <w:sz w:val="21"/>
                <w:szCs w:val="21"/>
                <w:highlight w:val="none"/>
                <w:lang w:val="en-US" w:eastAsia="zh-CN" w:bidi="ar-SA"/>
              </w:rPr>
              <w:t>否</w:t>
            </w:r>
          </w:p>
        </w:tc>
        <w:tc>
          <w:tcPr>
            <w:tcW w:w="1404" w:type="dxa"/>
            <w:tcBorders>
              <w:top w:val="single" w:color="auto" w:sz="4" w:space="0"/>
              <w:left w:val="single" w:color="auto" w:sz="4" w:space="0"/>
              <w:bottom w:val="single" w:color="auto" w:sz="4" w:space="0"/>
              <w:right w:val="single" w:color="auto" w:sz="4" w:space="0"/>
            </w:tcBorders>
            <w:vAlign w:val="center"/>
          </w:tcPr>
          <w:p>
            <w:pPr>
              <w:spacing w:line="220" w:lineRule="exact"/>
              <w:jc w:val="left"/>
              <w:rPr>
                <w:rFonts w:hint="default" w:ascii="Times New Roman" w:hAnsi="Times New Roman" w:eastAsia="仿宋_GB2312" w:cs="Times New Roman"/>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1" w:hRule="exact"/>
          <w:jc w:val="center"/>
        </w:trPr>
        <w:tc>
          <w:tcPr>
            <w:tcW w:w="6294"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20" w:lineRule="exact"/>
              <w:ind w:left="120"/>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是否存在经股东会审议过的收购、出售资产、对外投资、企业合并事项</w:t>
            </w:r>
          </w:p>
        </w:tc>
        <w:tc>
          <w:tcPr>
            <w:tcW w:w="1410"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340" w:lineRule="exact"/>
              <w:ind w:right="261"/>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 xml:space="preserve">□是 </w:t>
            </w:r>
            <w:r>
              <w:rPr>
                <w:rFonts w:hint="default" w:ascii="Times New Roman" w:hAnsi="Times New Roman" w:eastAsia="仿宋_GB2312" w:cs="Times New Roman"/>
                <w:color w:val="auto"/>
                <w:spacing w:val="0"/>
                <w:kern w:val="2"/>
                <w:sz w:val="21"/>
                <w:szCs w:val="21"/>
                <w:highlight w:val="none"/>
                <w:lang w:val="en-US" w:eastAsia="zh-CN" w:bidi="ar-SA"/>
              </w:rPr>
              <w:sym w:font="Wingdings" w:char="F0FE"/>
            </w:r>
            <w:r>
              <w:rPr>
                <w:rFonts w:hint="default" w:ascii="Times New Roman" w:hAnsi="Times New Roman" w:eastAsia="仿宋_GB2312" w:cs="Times New Roman"/>
                <w:color w:val="auto"/>
                <w:spacing w:val="0"/>
                <w:kern w:val="2"/>
                <w:sz w:val="21"/>
                <w:szCs w:val="21"/>
                <w:highlight w:val="none"/>
                <w:lang w:val="en-US" w:eastAsia="zh-CN" w:bidi="ar-SA"/>
              </w:rPr>
              <w:t>否</w:t>
            </w:r>
          </w:p>
        </w:tc>
        <w:tc>
          <w:tcPr>
            <w:tcW w:w="1404" w:type="dxa"/>
            <w:tcBorders>
              <w:top w:val="single" w:color="auto" w:sz="4" w:space="0"/>
              <w:left w:val="single" w:color="auto" w:sz="4" w:space="0"/>
              <w:bottom w:val="single" w:color="auto" w:sz="4" w:space="0"/>
              <w:right w:val="single" w:color="auto" w:sz="4" w:space="0"/>
            </w:tcBorders>
            <w:vAlign w:val="center"/>
          </w:tcPr>
          <w:p>
            <w:pPr>
              <w:spacing w:line="220" w:lineRule="exact"/>
              <w:jc w:val="left"/>
              <w:rPr>
                <w:rFonts w:hint="default" w:ascii="Times New Roman" w:hAnsi="Times New Roman" w:eastAsia="仿宋_GB2312" w:cs="Times New Roman"/>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6294"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20" w:lineRule="exact"/>
              <w:ind w:left="120"/>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是否存在股权激励事项</w:t>
            </w:r>
          </w:p>
        </w:tc>
        <w:tc>
          <w:tcPr>
            <w:tcW w:w="1410"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340" w:lineRule="exact"/>
              <w:ind w:right="261"/>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 xml:space="preserve">□是 </w:t>
            </w:r>
            <w:r>
              <w:rPr>
                <w:rFonts w:hint="default" w:ascii="Times New Roman" w:hAnsi="Times New Roman" w:eastAsia="仿宋_GB2312" w:cs="Times New Roman"/>
                <w:color w:val="auto"/>
                <w:spacing w:val="0"/>
                <w:kern w:val="2"/>
                <w:sz w:val="21"/>
                <w:szCs w:val="21"/>
                <w:highlight w:val="none"/>
                <w:lang w:val="en-US" w:eastAsia="zh-CN" w:bidi="ar-SA"/>
              </w:rPr>
              <w:sym w:font="Wingdings" w:char="F0FE"/>
            </w:r>
            <w:r>
              <w:rPr>
                <w:rFonts w:hint="default" w:ascii="Times New Roman" w:hAnsi="Times New Roman" w:eastAsia="仿宋_GB2312" w:cs="Times New Roman"/>
                <w:color w:val="auto"/>
                <w:spacing w:val="0"/>
                <w:kern w:val="2"/>
                <w:sz w:val="21"/>
                <w:szCs w:val="21"/>
                <w:highlight w:val="none"/>
                <w:lang w:val="en-US" w:eastAsia="zh-CN" w:bidi="ar-SA"/>
              </w:rPr>
              <w:t>否</w:t>
            </w:r>
          </w:p>
        </w:tc>
        <w:tc>
          <w:tcPr>
            <w:tcW w:w="1404"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before="289" w:beforeLines="100"/>
              <w:jc w:val="left"/>
              <w:rPr>
                <w:rFonts w:hint="default" w:ascii="Times New Roman" w:hAnsi="Times New Roman" w:eastAsia="黑体" w:cs="Times New Roman"/>
                <w:color w:val="auto"/>
                <w:kern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6294"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20" w:lineRule="exact"/>
              <w:ind w:left="120"/>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是否存在已披露的承诺事项</w:t>
            </w:r>
          </w:p>
        </w:tc>
        <w:tc>
          <w:tcPr>
            <w:tcW w:w="1410"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340" w:lineRule="exact"/>
              <w:ind w:right="261"/>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 xml:space="preserve">□是 </w:t>
            </w:r>
            <w:r>
              <w:rPr>
                <w:rFonts w:hint="default" w:ascii="Times New Roman" w:hAnsi="Times New Roman" w:eastAsia="仿宋_GB2312" w:cs="Times New Roman"/>
                <w:color w:val="auto"/>
                <w:spacing w:val="0"/>
                <w:kern w:val="2"/>
                <w:sz w:val="21"/>
                <w:szCs w:val="21"/>
                <w:highlight w:val="none"/>
                <w:lang w:val="en-US" w:eastAsia="zh-CN" w:bidi="ar-SA"/>
              </w:rPr>
              <w:sym w:font="Wingdings" w:char="F0FE"/>
            </w:r>
            <w:r>
              <w:rPr>
                <w:rFonts w:hint="default" w:ascii="Times New Roman" w:hAnsi="Times New Roman" w:eastAsia="仿宋_GB2312" w:cs="Times New Roman"/>
                <w:color w:val="auto"/>
                <w:spacing w:val="0"/>
                <w:kern w:val="2"/>
                <w:sz w:val="21"/>
                <w:szCs w:val="21"/>
                <w:highlight w:val="none"/>
                <w:lang w:val="en-US" w:eastAsia="zh-CN" w:bidi="ar-SA"/>
              </w:rPr>
              <w:t>否</w:t>
            </w:r>
          </w:p>
        </w:tc>
        <w:tc>
          <w:tcPr>
            <w:tcW w:w="1404"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before="289" w:beforeLines="100"/>
              <w:jc w:val="left"/>
              <w:rPr>
                <w:rFonts w:hint="default" w:ascii="Times New Roman" w:hAnsi="Times New Roman" w:eastAsia="黑体" w:cs="Times New Roman"/>
                <w:color w:val="auto"/>
                <w:kern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6294"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20" w:lineRule="exact"/>
              <w:ind w:left="120"/>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是否存在资产被查封、扣押、冻结或者被抵押、质押的情况</w:t>
            </w:r>
          </w:p>
        </w:tc>
        <w:tc>
          <w:tcPr>
            <w:tcW w:w="1410"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340" w:lineRule="exact"/>
              <w:ind w:right="261"/>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 xml:space="preserve">□是 </w:t>
            </w:r>
            <w:r>
              <w:rPr>
                <w:rFonts w:hint="default" w:ascii="Times New Roman" w:hAnsi="Times New Roman" w:eastAsia="仿宋_GB2312" w:cs="Times New Roman"/>
                <w:color w:val="auto"/>
                <w:spacing w:val="0"/>
                <w:kern w:val="2"/>
                <w:sz w:val="21"/>
                <w:szCs w:val="21"/>
                <w:highlight w:val="none"/>
                <w:lang w:val="en-US" w:eastAsia="zh-CN" w:bidi="ar-SA"/>
              </w:rPr>
              <w:sym w:font="Wingdings" w:char="F0FE"/>
            </w:r>
            <w:r>
              <w:rPr>
                <w:rFonts w:hint="default" w:ascii="Times New Roman" w:hAnsi="Times New Roman" w:eastAsia="仿宋_GB2312" w:cs="Times New Roman"/>
                <w:color w:val="auto"/>
                <w:spacing w:val="0"/>
                <w:kern w:val="2"/>
                <w:sz w:val="21"/>
                <w:szCs w:val="21"/>
                <w:highlight w:val="none"/>
                <w:lang w:val="en-US" w:eastAsia="zh-CN" w:bidi="ar-SA"/>
              </w:rPr>
              <w:t>否</w:t>
            </w:r>
          </w:p>
        </w:tc>
        <w:tc>
          <w:tcPr>
            <w:tcW w:w="1404"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before="289" w:beforeLines="100"/>
              <w:jc w:val="left"/>
              <w:rPr>
                <w:rFonts w:hint="default" w:ascii="Times New Roman" w:hAnsi="Times New Roman" w:eastAsia="黑体" w:cs="Times New Roman"/>
                <w:color w:val="auto"/>
                <w:kern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6294"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20" w:lineRule="exact"/>
              <w:ind w:left="120"/>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是否存在被调查处罚的事项</w:t>
            </w:r>
          </w:p>
        </w:tc>
        <w:tc>
          <w:tcPr>
            <w:tcW w:w="1410"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340" w:lineRule="exact"/>
              <w:ind w:right="261"/>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 xml:space="preserve">□是 </w:t>
            </w:r>
            <w:r>
              <w:rPr>
                <w:rFonts w:hint="default" w:ascii="Times New Roman" w:hAnsi="Times New Roman" w:eastAsia="仿宋_GB2312" w:cs="Times New Roman"/>
                <w:color w:val="auto"/>
                <w:spacing w:val="0"/>
                <w:kern w:val="2"/>
                <w:sz w:val="21"/>
                <w:szCs w:val="21"/>
                <w:highlight w:val="none"/>
                <w:lang w:val="en-US" w:eastAsia="zh-CN" w:bidi="ar-SA"/>
              </w:rPr>
              <w:sym w:font="Wingdings" w:char="F0FE"/>
            </w:r>
            <w:r>
              <w:rPr>
                <w:rFonts w:hint="default" w:ascii="Times New Roman" w:hAnsi="Times New Roman" w:eastAsia="仿宋_GB2312" w:cs="Times New Roman"/>
                <w:color w:val="auto"/>
                <w:spacing w:val="0"/>
                <w:kern w:val="2"/>
                <w:sz w:val="21"/>
                <w:szCs w:val="21"/>
                <w:highlight w:val="none"/>
                <w:lang w:val="en-US" w:eastAsia="zh-CN" w:bidi="ar-SA"/>
              </w:rPr>
              <w:t>否</w:t>
            </w:r>
          </w:p>
        </w:tc>
        <w:tc>
          <w:tcPr>
            <w:tcW w:w="1404"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before="289" w:beforeLines="100"/>
              <w:jc w:val="left"/>
              <w:rPr>
                <w:rFonts w:hint="default" w:ascii="Times New Roman" w:hAnsi="Times New Roman" w:eastAsia="黑体" w:cs="Times New Roman"/>
                <w:color w:val="auto"/>
                <w:kern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6294"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20" w:lineRule="exact"/>
              <w:ind w:left="120"/>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是否存在失信情况</w:t>
            </w:r>
          </w:p>
        </w:tc>
        <w:tc>
          <w:tcPr>
            <w:tcW w:w="1410"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340" w:lineRule="exact"/>
              <w:ind w:right="261"/>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 xml:space="preserve">□是 </w:t>
            </w:r>
            <w:r>
              <w:rPr>
                <w:rFonts w:hint="default" w:ascii="Times New Roman" w:hAnsi="Times New Roman" w:eastAsia="仿宋_GB2312" w:cs="Times New Roman"/>
                <w:color w:val="auto"/>
                <w:spacing w:val="0"/>
                <w:kern w:val="2"/>
                <w:sz w:val="21"/>
                <w:szCs w:val="21"/>
                <w:highlight w:val="none"/>
                <w:lang w:val="en-US" w:eastAsia="zh-CN" w:bidi="ar-SA"/>
              </w:rPr>
              <w:sym w:font="Wingdings" w:char="F0FE"/>
            </w:r>
            <w:r>
              <w:rPr>
                <w:rFonts w:hint="default" w:ascii="Times New Roman" w:hAnsi="Times New Roman" w:eastAsia="仿宋_GB2312" w:cs="Times New Roman"/>
                <w:color w:val="auto"/>
                <w:spacing w:val="0"/>
                <w:kern w:val="2"/>
                <w:sz w:val="21"/>
                <w:szCs w:val="21"/>
                <w:highlight w:val="none"/>
                <w:lang w:val="en-US" w:eastAsia="zh-CN" w:bidi="ar-SA"/>
              </w:rPr>
              <w:t>否</w:t>
            </w:r>
          </w:p>
        </w:tc>
        <w:tc>
          <w:tcPr>
            <w:tcW w:w="1404"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before="289" w:beforeLines="100"/>
              <w:jc w:val="left"/>
              <w:rPr>
                <w:rFonts w:hint="default" w:ascii="Times New Roman" w:hAnsi="Times New Roman" w:eastAsia="黑体" w:cs="Times New Roman"/>
                <w:color w:val="auto"/>
                <w:kern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6294"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20" w:lineRule="exact"/>
              <w:ind w:left="120"/>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是否存在利润分配或公积金转增股本的情况</w:t>
            </w:r>
          </w:p>
        </w:tc>
        <w:tc>
          <w:tcPr>
            <w:tcW w:w="1410"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340" w:lineRule="exact"/>
              <w:ind w:right="261"/>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sym w:font="Wingdings" w:char="F0FE"/>
            </w:r>
            <w:r>
              <w:rPr>
                <w:rFonts w:hint="default" w:ascii="Times New Roman" w:hAnsi="Times New Roman" w:eastAsia="仿宋_GB2312" w:cs="Times New Roman"/>
                <w:color w:val="auto"/>
                <w:spacing w:val="0"/>
                <w:kern w:val="2"/>
                <w:sz w:val="21"/>
                <w:szCs w:val="21"/>
                <w:highlight w:val="none"/>
                <w:lang w:val="en-US" w:eastAsia="zh-CN" w:bidi="ar-SA"/>
              </w:rPr>
              <w:t>是 □否</w:t>
            </w:r>
          </w:p>
        </w:tc>
        <w:tc>
          <w:tcPr>
            <w:tcW w:w="1404" w:type="dxa"/>
            <w:tcBorders>
              <w:top w:val="single" w:color="auto" w:sz="4" w:space="0"/>
              <w:left w:val="single" w:color="auto" w:sz="4" w:space="0"/>
              <w:bottom w:val="single" w:color="auto" w:sz="4" w:space="0"/>
              <w:right w:val="single" w:color="auto" w:sz="4" w:space="0"/>
            </w:tcBorders>
            <w:vAlign w:val="center"/>
          </w:tcPr>
          <w:p>
            <w:pPr>
              <w:spacing w:line="340" w:lineRule="exact"/>
              <w:ind w:right="261"/>
              <w:jc w:val="left"/>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二、（二）</w:t>
            </w:r>
          </w:p>
          <w:p>
            <w:pPr>
              <w:spacing w:line="340" w:lineRule="exact"/>
              <w:ind w:right="261"/>
              <w:jc w:val="left"/>
              <w:rPr>
                <w:rFonts w:hint="default" w:ascii="Times New Roman" w:hAnsi="Times New Roman" w:eastAsia="仿宋_GB2312"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6294"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20" w:lineRule="exact"/>
              <w:ind w:left="120"/>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是否存在普通股股票发行事项</w:t>
            </w:r>
          </w:p>
        </w:tc>
        <w:tc>
          <w:tcPr>
            <w:tcW w:w="1410"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340" w:lineRule="exact"/>
              <w:ind w:right="261"/>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 xml:space="preserve">□是 </w:t>
            </w:r>
            <w:r>
              <w:rPr>
                <w:rFonts w:hint="default" w:ascii="Times New Roman" w:hAnsi="Times New Roman" w:eastAsia="仿宋_GB2312" w:cs="Times New Roman"/>
                <w:color w:val="auto"/>
                <w:spacing w:val="0"/>
                <w:kern w:val="2"/>
                <w:sz w:val="21"/>
                <w:szCs w:val="21"/>
                <w:highlight w:val="none"/>
                <w:lang w:val="en-US" w:eastAsia="zh-CN" w:bidi="ar-SA"/>
              </w:rPr>
              <w:sym w:font="Wingdings" w:char="F0FE"/>
            </w:r>
            <w:r>
              <w:rPr>
                <w:rFonts w:hint="default" w:ascii="Times New Roman" w:hAnsi="Times New Roman" w:eastAsia="仿宋_GB2312" w:cs="Times New Roman"/>
                <w:color w:val="auto"/>
                <w:spacing w:val="0"/>
                <w:kern w:val="2"/>
                <w:sz w:val="21"/>
                <w:szCs w:val="21"/>
                <w:highlight w:val="none"/>
                <w:lang w:val="en-US" w:eastAsia="zh-CN" w:bidi="ar-SA"/>
              </w:rPr>
              <w:t>否</w:t>
            </w:r>
          </w:p>
        </w:tc>
        <w:tc>
          <w:tcPr>
            <w:tcW w:w="1404" w:type="dxa"/>
            <w:tcBorders>
              <w:top w:val="single" w:color="auto" w:sz="4" w:space="0"/>
              <w:left w:val="single" w:color="auto" w:sz="4" w:space="0"/>
              <w:bottom w:val="single" w:color="auto" w:sz="4" w:space="0"/>
              <w:right w:val="single" w:color="auto" w:sz="4" w:space="0"/>
            </w:tcBorders>
            <w:vAlign w:val="center"/>
          </w:tcPr>
          <w:p>
            <w:pPr>
              <w:spacing w:line="340" w:lineRule="exact"/>
              <w:ind w:right="261"/>
              <w:jc w:val="left"/>
              <w:rPr>
                <w:rFonts w:hint="default" w:ascii="Times New Roman" w:hAnsi="Times New Roman" w:eastAsia="仿宋_GB2312" w:cs="Times New Roman"/>
                <w:color w:val="auto"/>
                <w:szCs w:val="21"/>
                <w:highlight w:val="none"/>
              </w:rPr>
            </w:pPr>
          </w:p>
          <w:p>
            <w:pPr>
              <w:spacing w:line="340" w:lineRule="exact"/>
              <w:ind w:right="261"/>
              <w:jc w:val="left"/>
              <w:rPr>
                <w:rFonts w:hint="default" w:ascii="Times New Roman" w:hAnsi="Times New Roman" w:eastAsia="仿宋_GB2312"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6294"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20" w:lineRule="exact"/>
              <w:ind w:left="120"/>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是否存在存续至本期的债券融资事项</w:t>
            </w:r>
          </w:p>
        </w:tc>
        <w:tc>
          <w:tcPr>
            <w:tcW w:w="1410"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340" w:lineRule="exact"/>
              <w:ind w:right="261"/>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 xml:space="preserve">□是 </w:t>
            </w:r>
            <w:r>
              <w:rPr>
                <w:rFonts w:hint="default" w:ascii="Times New Roman" w:hAnsi="Times New Roman" w:eastAsia="仿宋_GB2312" w:cs="Times New Roman"/>
                <w:color w:val="auto"/>
                <w:spacing w:val="0"/>
                <w:kern w:val="2"/>
                <w:sz w:val="21"/>
                <w:szCs w:val="21"/>
                <w:highlight w:val="none"/>
                <w:lang w:val="en-US" w:eastAsia="zh-CN" w:bidi="ar-SA"/>
              </w:rPr>
              <w:sym w:font="Wingdings" w:char="F0FE"/>
            </w:r>
            <w:r>
              <w:rPr>
                <w:rFonts w:hint="default" w:ascii="Times New Roman" w:hAnsi="Times New Roman" w:eastAsia="仿宋_GB2312" w:cs="Times New Roman"/>
                <w:color w:val="auto"/>
                <w:spacing w:val="0"/>
                <w:kern w:val="2"/>
                <w:sz w:val="21"/>
                <w:szCs w:val="21"/>
                <w:highlight w:val="none"/>
                <w:lang w:val="en-US" w:eastAsia="zh-CN" w:bidi="ar-SA"/>
              </w:rPr>
              <w:t>否</w:t>
            </w:r>
          </w:p>
        </w:tc>
        <w:tc>
          <w:tcPr>
            <w:tcW w:w="1404"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before="289" w:beforeLines="100"/>
              <w:jc w:val="left"/>
              <w:rPr>
                <w:rFonts w:hint="default" w:ascii="Times New Roman" w:hAnsi="Times New Roman" w:eastAsia="黑体" w:cs="Times New Roman"/>
                <w:color w:val="auto"/>
                <w:kern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6294"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20" w:lineRule="exact"/>
              <w:ind w:left="120"/>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是否存在存续至本期的可转换债券相关情况</w:t>
            </w:r>
          </w:p>
        </w:tc>
        <w:tc>
          <w:tcPr>
            <w:tcW w:w="1410"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340" w:lineRule="exact"/>
              <w:ind w:right="261"/>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 xml:space="preserve">□是 </w:t>
            </w:r>
            <w:r>
              <w:rPr>
                <w:rFonts w:hint="default" w:ascii="Times New Roman" w:hAnsi="Times New Roman" w:eastAsia="仿宋_GB2312" w:cs="Times New Roman"/>
                <w:color w:val="auto"/>
                <w:spacing w:val="0"/>
                <w:kern w:val="2"/>
                <w:sz w:val="21"/>
                <w:szCs w:val="21"/>
                <w:highlight w:val="none"/>
                <w:lang w:val="en-US" w:eastAsia="zh-CN" w:bidi="ar-SA"/>
              </w:rPr>
              <w:sym w:font="Wingdings" w:char="F0FE"/>
            </w:r>
            <w:r>
              <w:rPr>
                <w:rFonts w:hint="default" w:ascii="Times New Roman" w:hAnsi="Times New Roman" w:eastAsia="仿宋_GB2312" w:cs="Times New Roman"/>
                <w:color w:val="auto"/>
                <w:spacing w:val="0"/>
                <w:kern w:val="2"/>
                <w:sz w:val="21"/>
                <w:szCs w:val="21"/>
                <w:highlight w:val="none"/>
                <w:lang w:val="en-US" w:eastAsia="zh-CN" w:bidi="ar-SA"/>
              </w:rPr>
              <w:t>否</w:t>
            </w:r>
          </w:p>
        </w:tc>
        <w:tc>
          <w:tcPr>
            <w:tcW w:w="1404" w:type="dxa"/>
            <w:tcBorders>
              <w:top w:val="single" w:color="auto" w:sz="4" w:space="0"/>
              <w:left w:val="single" w:color="auto" w:sz="4" w:space="0"/>
              <w:bottom w:val="single" w:color="auto" w:sz="4" w:space="0"/>
              <w:right w:val="single" w:color="auto" w:sz="4" w:space="0"/>
            </w:tcBorders>
            <w:vAlign w:val="center"/>
          </w:tcPr>
          <w:p>
            <w:pPr>
              <w:spacing w:line="340" w:lineRule="exact"/>
              <w:ind w:right="261"/>
              <w:jc w:val="left"/>
              <w:rPr>
                <w:rFonts w:hint="default" w:ascii="Times New Roman" w:hAnsi="Times New Roman" w:eastAsia="仿宋_GB2312"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6294"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20" w:lineRule="exact"/>
              <w:ind w:left="120"/>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是否存在自愿披露的其他重要事项</w:t>
            </w:r>
          </w:p>
        </w:tc>
        <w:tc>
          <w:tcPr>
            <w:tcW w:w="1410"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340" w:lineRule="exact"/>
              <w:ind w:right="261"/>
              <w:jc w:val="left"/>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sym w:font="Wingdings" w:char="F0FE"/>
            </w:r>
            <w:r>
              <w:rPr>
                <w:rFonts w:hint="default" w:ascii="Times New Roman" w:hAnsi="Times New Roman" w:eastAsia="仿宋_GB2312" w:cs="Times New Roman"/>
                <w:color w:val="auto"/>
                <w:spacing w:val="0"/>
                <w:kern w:val="2"/>
                <w:sz w:val="21"/>
                <w:szCs w:val="21"/>
                <w:highlight w:val="none"/>
                <w:lang w:val="en-US" w:eastAsia="zh-CN" w:bidi="ar-SA"/>
              </w:rPr>
              <w:t>是 □否</w:t>
            </w:r>
          </w:p>
        </w:tc>
        <w:tc>
          <w:tcPr>
            <w:tcW w:w="1404" w:type="dxa"/>
            <w:tcBorders>
              <w:top w:val="single" w:color="auto" w:sz="4" w:space="0"/>
              <w:left w:val="single" w:color="auto" w:sz="4" w:space="0"/>
              <w:bottom w:val="single" w:color="auto" w:sz="4" w:space="0"/>
              <w:right w:val="single" w:color="auto" w:sz="4" w:space="0"/>
            </w:tcBorders>
            <w:vAlign w:val="center"/>
          </w:tcPr>
          <w:p>
            <w:pPr>
              <w:spacing w:line="340" w:lineRule="exact"/>
              <w:ind w:right="261"/>
              <w:jc w:val="left"/>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二、（三）</w:t>
            </w:r>
          </w:p>
          <w:p>
            <w:pPr>
              <w:spacing w:line="340" w:lineRule="exact"/>
              <w:ind w:right="261"/>
              <w:jc w:val="left"/>
              <w:rPr>
                <w:rFonts w:hint="default" w:ascii="Times New Roman" w:hAnsi="Times New Roman" w:eastAsia="仿宋_GB2312" w:cs="Times New Roman"/>
                <w:color w:val="auto"/>
                <w:szCs w:val="21"/>
                <w:highlight w:val="none"/>
              </w:rPr>
            </w:pPr>
          </w:p>
        </w:tc>
      </w:tr>
    </w:tbl>
    <w:p>
      <w:pPr>
        <w:keepNext w:val="0"/>
        <w:keepLines w:val="0"/>
        <w:pageBreakBefore w:val="0"/>
        <w:widowControl w:val="0"/>
        <w:kinsoku/>
        <w:wordWrap/>
        <w:overflowPunct/>
        <w:topLinePunct w:val="0"/>
        <w:autoSpaceDE/>
        <w:autoSpaceDN/>
        <w:bidi w:val="0"/>
        <w:adjustRightInd/>
        <w:snapToGrid/>
        <w:ind w:firstLine="644" w:firstLineChars="200"/>
        <w:textAlignment w:val="auto"/>
        <w:outlineLvl w:val="9"/>
        <w:rPr>
          <w:rFonts w:hint="default" w:ascii="Times New Roman" w:hAnsi="Times New Roman" w:eastAsia="黑体" w:cs="Times New Roman"/>
          <w:bCs/>
          <w:color w:val="auto"/>
          <w:spacing w:val="10"/>
          <w:sz w:val="28"/>
          <w:szCs w:val="28"/>
          <w:highlight w:val="none"/>
        </w:rPr>
      </w:pPr>
      <w:r>
        <w:rPr>
          <w:rFonts w:hint="default" w:ascii="Times New Roman" w:hAnsi="Times New Roman" w:eastAsia="黑体" w:cs="Times New Roman"/>
          <w:bCs/>
          <w:color w:val="auto"/>
          <w:spacing w:val="10"/>
          <w:sz w:val="28"/>
          <w:szCs w:val="28"/>
          <w:highlight w:val="none"/>
        </w:rPr>
        <w:t>二、重要事项详情</w:t>
      </w:r>
      <w:bookmarkStart w:id="7" w:name="bookmark30"/>
    </w:p>
    <w:p>
      <w:pPr>
        <w:keepNext w:val="0"/>
        <w:keepLines w:val="0"/>
        <w:pageBreakBefore w:val="0"/>
        <w:widowControl w:val="0"/>
        <w:kinsoku/>
        <w:wordWrap/>
        <w:overflowPunct/>
        <w:topLinePunct w:val="0"/>
        <w:autoSpaceDE/>
        <w:autoSpaceDN/>
        <w:bidi w:val="0"/>
        <w:adjustRightInd/>
        <w:snapToGrid/>
        <w:spacing w:line="480" w:lineRule="exact"/>
        <w:ind w:firstLine="604" w:firstLineChars="200"/>
        <w:textAlignment w:val="auto"/>
        <w:outlineLvl w:val="9"/>
        <w:rPr>
          <w:rFonts w:hint="default" w:ascii="Times New Roman" w:hAnsi="Times New Roman" w:eastAsia="仿宋_GB2312" w:cs="Times New Roman"/>
          <w:b/>
          <w:color w:val="auto"/>
          <w:spacing w:val="0"/>
          <w:sz w:val="28"/>
          <w:szCs w:val="28"/>
          <w:highlight w:val="none"/>
          <w:lang w:eastAsia="zh-CN"/>
        </w:rPr>
      </w:pPr>
      <w:r>
        <w:rPr>
          <w:rFonts w:hint="default" w:ascii="Times New Roman" w:hAnsi="Times New Roman" w:eastAsia="仿宋_GB2312" w:cs="Times New Roman"/>
          <w:b/>
          <w:color w:val="auto"/>
          <w:spacing w:val="0"/>
          <w:sz w:val="28"/>
          <w:szCs w:val="28"/>
          <w:highlight w:val="none"/>
          <w:lang w:eastAsia="zh-CN"/>
        </w:rPr>
        <w:t>（</w:t>
      </w:r>
      <w:r>
        <w:rPr>
          <w:rFonts w:hint="default" w:ascii="Times New Roman" w:hAnsi="Times New Roman" w:eastAsia="仿宋_GB2312" w:cs="Times New Roman"/>
          <w:b/>
          <w:color w:val="auto"/>
          <w:spacing w:val="0"/>
          <w:sz w:val="28"/>
          <w:szCs w:val="28"/>
          <w:highlight w:val="none"/>
          <w:lang w:val="en-US" w:eastAsia="zh-CN"/>
        </w:rPr>
        <w:t>一</w:t>
      </w:r>
      <w:r>
        <w:rPr>
          <w:rFonts w:hint="default" w:ascii="Times New Roman" w:hAnsi="Times New Roman" w:eastAsia="仿宋_GB2312" w:cs="Times New Roman"/>
          <w:b/>
          <w:color w:val="auto"/>
          <w:spacing w:val="0"/>
          <w:sz w:val="28"/>
          <w:szCs w:val="28"/>
          <w:highlight w:val="none"/>
          <w:lang w:eastAsia="zh-CN"/>
        </w:rPr>
        <w:t>）</w:t>
      </w:r>
      <w:r>
        <w:rPr>
          <w:rFonts w:hint="default" w:ascii="Times New Roman" w:hAnsi="Times New Roman" w:eastAsia="仿宋_GB2312" w:cs="Times New Roman"/>
          <w:b/>
          <w:color w:val="auto"/>
          <w:spacing w:val="0"/>
          <w:sz w:val="28"/>
          <w:szCs w:val="28"/>
          <w:highlight w:val="none"/>
        </w:rPr>
        <w:t>报告期内公司发生的日常性关联交易情况</w:t>
      </w:r>
      <w:bookmarkEnd w:id="7"/>
    </w:p>
    <w:p>
      <w:pPr>
        <w:pStyle w:val="111"/>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6552" w:firstLineChars="2600"/>
        <w:jc w:val="right"/>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单位：元</w:t>
      </w:r>
    </w:p>
    <w:tbl>
      <w:tblPr>
        <w:tblStyle w:val="25"/>
        <w:tblW w:w="91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3240"/>
        <w:gridCol w:w="3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exact"/>
          <w:jc w:val="center"/>
        </w:trPr>
        <w:tc>
          <w:tcPr>
            <w:tcW w:w="2448"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119"/>
              <w:jc w:val="center"/>
              <w:textAlignment w:val="auto"/>
              <w:rPr>
                <w:rFonts w:hint="default" w:ascii="Times New Roman" w:hAnsi="Times New Roman" w:eastAsia="仿宋_GB2312" w:cs="Times New Roman"/>
                <w:b/>
                <w:color w:val="auto"/>
                <w:szCs w:val="21"/>
                <w:highlight w:val="none"/>
              </w:rPr>
            </w:pPr>
            <w:r>
              <w:rPr>
                <w:rFonts w:hint="default" w:ascii="Times New Roman" w:hAnsi="Times New Roman" w:eastAsia="黑体" w:cs="Times New Roman"/>
                <w:bCs/>
                <w:color w:val="auto"/>
                <w:sz w:val="24"/>
                <w:szCs w:val="24"/>
                <w:highlight w:val="none"/>
              </w:rPr>
              <w:t>具体事项类型</w:t>
            </w:r>
          </w:p>
        </w:tc>
        <w:tc>
          <w:tcPr>
            <w:tcW w:w="324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119"/>
              <w:jc w:val="center"/>
              <w:textAlignment w:val="auto"/>
              <w:rPr>
                <w:rFonts w:hint="default" w:ascii="Times New Roman" w:hAnsi="Times New Roman" w:eastAsia="黑体" w:cs="Times New Roman"/>
                <w:bCs/>
                <w:color w:val="auto"/>
                <w:sz w:val="24"/>
                <w:szCs w:val="24"/>
                <w:highlight w:val="none"/>
              </w:rPr>
            </w:pPr>
            <w:r>
              <w:rPr>
                <w:rFonts w:hint="default" w:ascii="Times New Roman" w:hAnsi="Times New Roman" w:eastAsia="黑体" w:cs="Times New Roman"/>
                <w:bCs/>
                <w:color w:val="auto"/>
                <w:sz w:val="24"/>
                <w:szCs w:val="24"/>
                <w:highlight w:val="none"/>
              </w:rPr>
              <w:t>预计金额</w:t>
            </w:r>
          </w:p>
        </w:tc>
        <w:tc>
          <w:tcPr>
            <w:tcW w:w="342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119"/>
              <w:jc w:val="center"/>
              <w:textAlignment w:val="auto"/>
              <w:rPr>
                <w:rFonts w:hint="default" w:ascii="Times New Roman" w:hAnsi="Times New Roman" w:eastAsia="黑体" w:cs="Times New Roman"/>
                <w:bCs/>
                <w:color w:val="auto"/>
                <w:sz w:val="24"/>
                <w:szCs w:val="24"/>
                <w:highlight w:val="none"/>
              </w:rPr>
            </w:pPr>
            <w:r>
              <w:rPr>
                <w:rFonts w:hint="default" w:ascii="Times New Roman" w:hAnsi="Times New Roman" w:eastAsia="黑体" w:cs="Times New Roman"/>
                <w:bCs/>
                <w:color w:val="auto"/>
                <w:sz w:val="24"/>
                <w:szCs w:val="24"/>
                <w:highlight w:val="none"/>
              </w:rPr>
              <w:t>发生金额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2448" w:type="dxa"/>
            <w:tcBorders>
              <w:top w:val="single" w:color="auto" w:sz="4" w:space="0"/>
              <w:left w:val="single" w:color="auto" w:sz="4" w:space="0"/>
              <w:bottom w:val="single" w:color="auto" w:sz="4" w:space="0"/>
              <w:right w:val="single" w:color="auto" w:sz="4" w:space="0"/>
            </w:tcBorders>
            <w:vAlign w:val="center"/>
          </w:tcPr>
          <w:p>
            <w:pPr>
              <w:pStyle w:val="101"/>
              <w:shd w:val="clear" w:color="auto" w:fill="auto"/>
              <w:spacing w:before="0" w:line="220" w:lineRule="exact"/>
              <w:jc w:val="center"/>
              <w:rPr>
                <w:rFonts w:hint="default" w:ascii="Times New Roman" w:hAnsi="Times New Roman" w:eastAsia="仿宋_GB2312" w:cs="Times New Roman"/>
                <w:color w:val="auto"/>
                <w:spacing w:val="0"/>
                <w:sz w:val="21"/>
                <w:szCs w:val="21"/>
                <w:highlight w:val="none"/>
              </w:rPr>
            </w:pPr>
            <w:r>
              <w:rPr>
                <w:rFonts w:hint="default" w:ascii="Times New Roman" w:hAnsi="Times New Roman" w:eastAsia="仿宋_GB2312" w:cs="Times New Roman"/>
                <w:color w:val="auto"/>
                <w:spacing w:val="0"/>
                <w:sz w:val="21"/>
                <w:szCs w:val="21"/>
                <w:highlight w:val="none"/>
              </w:rPr>
              <w:t>贷款类关联交易</w:t>
            </w:r>
          </w:p>
        </w:tc>
        <w:tc>
          <w:tcPr>
            <w:tcW w:w="3240" w:type="dxa"/>
            <w:tcBorders>
              <w:top w:val="single" w:color="auto" w:sz="4" w:space="0"/>
              <w:left w:val="single" w:color="auto" w:sz="4" w:space="0"/>
              <w:bottom w:val="single" w:color="auto" w:sz="4" w:space="0"/>
              <w:right w:val="single" w:color="auto" w:sz="4" w:space="0"/>
            </w:tcBorders>
            <w:vAlign w:val="center"/>
          </w:tcPr>
          <w:p>
            <w:pPr>
              <w:spacing w:line="340" w:lineRule="exact"/>
              <w:ind w:right="261"/>
              <w:jc w:val="center"/>
              <w:rPr>
                <w:rFonts w:hint="default" w:ascii="Times New Roman" w:hAnsi="Times New Roman" w:eastAsia="仿宋_GB2312" w:cs="Times New Roman"/>
                <w:color w:val="auto"/>
                <w:szCs w:val="21"/>
                <w:highlight w:val="none"/>
                <w:lang w:val="en-US"/>
              </w:rPr>
            </w:pPr>
            <w:r>
              <w:rPr>
                <w:rFonts w:hint="default" w:ascii="Times New Roman" w:hAnsi="Times New Roman" w:eastAsia="仿宋_GB2312" w:cs="Times New Roman"/>
                <w:color w:val="auto"/>
                <w:kern w:val="0"/>
                <w:szCs w:val="21"/>
                <w:highlight w:val="none"/>
                <w:lang w:val="en-US" w:eastAsia="zh-CN"/>
              </w:rPr>
              <w:t xml:space="preserve">  135000000</w:t>
            </w:r>
          </w:p>
        </w:tc>
        <w:tc>
          <w:tcPr>
            <w:tcW w:w="3420" w:type="dxa"/>
            <w:tcBorders>
              <w:top w:val="single" w:color="auto" w:sz="4" w:space="0"/>
              <w:left w:val="single" w:color="auto" w:sz="4" w:space="0"/>
              <w:bottom w:val="single" w:color="auto" w:sz="4" w:space="0"/>
              <w:right w:val="single" w:color="auto" w:sz="4" w:space="0"/>
            </w:tcBorders>
            <w:vAlign w:val="center"/>
          </w:tcPr>
          <w:p>
            <w:pPr>
              <w:spacing w:line="340" w:lineRule="exact"/>
              <w:ind w:right="261"/>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  132045760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2448" w:type="dxa"/>
            <w:tcBorders>
              <w:top w:val="single" w:color="auto" w:sz="4" w:space="0"/>
              <w:left w:val="single" w:color="auto" w:sz="4" w:space="0"/>
              <w:bottom w:val="single" w:color="auto" w:sz="4" w:space="0"/>
              <w:right w:val="single" w:color="auto" w:sz="4" w:space="0"/>
            </w:tcBorders>
            <w:vAlign w:val="center"/>
          </w:tcPr>
          <w:p>
            <w:pPr>
              <w:spacing w:line="220" w:lineRule="exact"/>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银行承兑汇票</w:t>
            </w:r>
          </w:p>
        </w:tc>
        <w:tc>
          <w:tcPr>
            <w:tcW w:w="3240" w:type="dxa"/>
            <w:tcBorders>
              <w:top w:val="single" w:color="auto" w:sz="4" w:space="0"/>
              <w:left w:val="single" w:color="auto" w:sz="4" w:space="0"/>
              <w:bottom w:val="single" w:color="auto" w:sz="4" w:space="0"/>
              <w:right w:val="single" w:color="auto" w:sz="4" w:space="0"/>
            </w:tcBorders>
            <w:vAlign w:val="center"/>
          </w:tcPr>
          <w:p>
            <w:pPr>
              <w:spacing w:line="22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不适用</w:t>
            </w:r>
          </w:p>
        </w:tc>
        <w:tc>
          <w:tcPr>
            <w:tcW w:w="3420" w:type="dxa"/>
            <w:tcBorders>
              <w:top w:val="single" w:color="auto" w:sz="4" w:space="0"/>
              <w:left w:val="single" w:color="auto" w:sz="4" w:space="0"/>
              <w:bottom w:val="single" w:color="auto" w:sz="4" w:space="0"/>
              <w:right w:val="single" w:color="auto" w:sz="4" w:space="0"/>
            </w:tcBorders>
            <w:vAlign w:val="center"/>
          </w:tcPr>
          <w:p>
            <w:pPr>
              <w:spacing w:line="220" w:lineRule="exact"/>
              <w:jc w:val="center"/>
              <w:rPr>
                <w:rFonts w:hint="default" w:ascii="Times New Roman" w:hAnsi="Times New Roman" w:eastAsia="仿宋_GB2312" w:cs="Times New Roman"/>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exact"/>
          <w:jc w:val="center"/>
        </w:trPr>
        <w:tc>
          <w:tcPr>
            <w:tcW w:w="2448" w:type="dxa"/>
            <w:tcBorders>
              <w:top w:val="single" w:color="auto" w:sz="4" w:space="0"/>
              <w:left w:val="single" w:color="auto" w:sz="4" w:space="0"/>
              <w:bottom w:val="single" w:color="auto" w:sz="4" w:space="0"/>
              <w:right w:val="single" w:color="auto" w:sz="4" w:space="0"/>
            </w:tcBorders>
            <w:vAlign w:val="center"/>
          </w:tcPr>
          <w:p>
            <w:pPr>
              <w:spacing w:line="220" w:lineRule="exact"/>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lang w:val="en-US" w:eastAsia="zh-CN"/>
              </w:rPr>
              <w:t>同业</w:t>
            </w:r>
            <w:r>
              <w:rPr>
                <w:rFonts w:hint="default" w:ascii="Times New Roman" w:hAnsi="Times New Roman" w:eastAsia="仿宋_GB2312" w:cs="Times New Roman"/>
                <w:color w:val="auto"/>
                <w:szCs w:val="21"/>
                <w:highlight w:val="none"/>
              </w:rPr>
              <w:t>类关联交易</w:t>
            </w:r>
          </w:p>
        </w:tc>
        <w:tc>
          <w:tcPr>
            <w:tcW w:w="3240" w:type="dxa"/>
            <w:tcBorders>
              <w:top w:val="single" w:color="auto" w:sz="4" w:space="0"/>
              <w:left w:val="single" w:color="auto" w:sz="4" w:space="0"/>
              <w:bottom w:val="single" w:color="auto" w:sz="4" w:space="0"/>
              <w:right w:val="single" w:color="auto" w:sz="4" w:space="0"/>
            </w:tcBorders>
            <w:vAlign w:val="center"/>
          </w:tcPr>
          <w:p>
            <w:pPr>
              <w:spacing w:line="22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4</w:t>
            </w:r>
            <w:r>
              <w:rPr>
                <w:rFonts w:hint="default" w:ascii="Times New Roman" w:hAnsi="Times New Roman" w:eastAsia="仿宋_GB2312" w:cs="Times New Roman"/>
                <w:color w:val="auto"/>
                <w:kern w:val="0"/>
                <w:szCs w:val="21"/>
                <w:highlight w:val="none"/>
              </w:rPr>
              <w:t>00000000</w:t>
            </w:r>
          </w:p>
        </w:tc>
        <w:tc>
          <w:tcPr>
            <w:tcW w:w="3420" w:type="dxa"/>
            <w:tcBorders>
              <w:top w:val="single" w:color="auto" w:sz="4" w:space="0"/>
              <w:left w:val="single" w:color="auto" w:sz="4" w:space="0"/>
              <w:bottom w:val="single" w:color="auto" w:sz="4" w:space="0"/>
              <w:right w:val="single" w:color="auto" w:sz="4" w:space="0"/>
            </w:tcBorders>
            <w:vAlign w:val="center"/>
          </w:tcPr>
          <w:p>
            <w:pPr>
              <w:spacing w:line="22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4</w:t>
            </w:r>
            <w:r>
              <w:rPr>
                <w:rFonts w:hint="default" w:ascii="Times New Roman" w:hAnsi="Times New Roman" w:eastAsia="仿宋_GB2312" w:cs="Times New Roman"/>
                <w:color w:val="auto"/>
                <w:kern w:val="0"/>
                <w:szCs w:val="21"/>
                <w:highlight w:val="none"/>
              </w:rPr>
              <w:t>00000000</w:t>
            </w:r>
          </w:p>
        </w:tc>
      </w:tr>
    </w:tbl>
    <w:p>
      <w:pPr>
        <w:keepNext w:val="0"/>
        <w:keepLines w:val="0"/>
        <w:pageBreakBefore w:val="0"/>
        <w:widowControl w:val="0"/>
        <w:kinsoku/>
        <w:wordWrap/>
        <w:overflowPunct/>
        <w:topLinePunct w:val="0"/>
        <w:autoSpaceDE/>
        <w:autoSpaceDN/>
        <w:bidi w:val="0"/>
        <w:adjustRightInd/>
        <w:snapToGrid/>
        <w:spacing w:line="480" w:lineRule="exact"/>
        <w:ind w:left="0" w:firstLine="604" w:firstLineChars="200"/>
        <w:textAlignment w:val="auto"/>
        <w:outlineLvl w:val="9"/>
        <w:rPr>
          <w:rFonts w:hint="default" w:ascii="Times New Roman" w:hAnsi="Times New Roman" w:eastAsia="仿宋_GB2312" w:cs="Times New Roman"/>
          <w:color w:val="auto"/>
          <w:spacing w:val="0"/>
          <w:kern w:val="0"/>
          <w:sz w:val="28"/>
          <w:szCs w:val="28"/>
          <w:highlight w:val="none"/>
        </w:rPr>
      </w:pPr>
      <w:r>
        <w:rPr>
          <w:rFonts w:hint="default" w:ascii="Times New Roman" w:hAnsi="Times New Roman" w:eastAsia="仿宋_GB2312" w:cs="Times New Roman"/>
          <w:color w:val="auto"/>
          <w:spacing w:val="0"/>
          <w:kern w:val="0"/>
          <w:sz w:val="28"/>
          <w:szCs w:val="28"/>
          <w:highlight w:val="none"/>
        </w:rPr>
        <w:t>本行关联交易是指本行与关联方之间发生的利益转移事项。</w:t>
      </w:r>
    </w:p>
    <w:p>
      <w:pPr>
        <w:keepNext w:val="0"/>
        <w:keepLines w:val="0"/>
        <w:pageBreakBefore w:val="0"/>
        <w:widowControl w:val="0"/>
        <w:kinsoku/>
        <w:wordWrap/>
        <w:overflowPunct/>
        <w:topLinePunct w:val="0"/>
        <w:autoSpaceDE/>
        <w:autoSpaceDN/>
        <w:bidi w:val="0"/>
        <w:adjustRightInd/>
        <w:snapToGrid/>
        <w:spacing w:line="600" w:lineRule="exact"/>
        <w:ind w:firstLine="604" w:firstLineChars="200"/>
        <w:textAlignment w:val="auto"/>
        <w:outlineLvl w:val="9"/>
        <w:rPr>
          <w:rFonts w:hint="default" w:ascii="Times New Roman" w:hAnsi="Times New Roman" w:eastAsia="仿宋_GB2312" w:cs="Times New Roman"/>
          <w:b/>
          <w:color w:val="auto"/>
          <w:sz w:val="28"/>
          <w:szCs w:val="28"/>
          <w:highlight w:val="none"/>
          <w:lang w:eastAsia="zh-CN"/>
        </w:rPr>
      </w:pPr>
      <w:r>
        <w:rPr>
          <w:rFonts w:hint="default" w:ascii="Times New Roman" w:hAnsi="Times New Roman" w:eastAsia="仿宋_GB2312" w:cs="Times New Roman"/>
          <w:b/>
          <w:color w:val="auto"/>
          <w:sz w:val="28"/>
          <w:szCs w:val="28"/>
          <w:highlight w:val="none"/>
          <w:lang w:eastAsia="zh-CN"/>
        </w:rPr>
        <w:t>（</w:t>
      </w:r>
      <w:r>
        <w:rPr>
          <w:rFonts w:hint="default" w:ascii="Times New Roman" w:hAnsi="Times New Roman" w:eastAsia="仿宋_GB2312" w:cs="Times New Roman"/>
          <w:b/>
          <w:color w:val="auto"/>
          <w:sz w:val="28"/>
          <w:szCs w:val="28"/>
          <w:highlight w:val="none"/>
          <w:lang w:val="en-US" w:eastAsia="zh-CN"/>
        </w:rPr>
        <w:t>二</w:t>
      </w:r>
      <w:r>
        <w:rPr>
          <w:rFonts w:hint="default" w:ascii="Times New Roman" w:hAnsi="Times New Roman" w:eastAsia="仿宋_GB2312" w:cs="Times New Roman"/>
          <w:b/>
          <w:color w:val="auto"/>
          <w:sz w:val="28"/>
          <w:szCs w:val="28"/>
          <w:highlight w:val="none"/>
          <w:lang w:eastAsia="zh-CN"/>
        </w:rPr>
        <w:t>）</w:t>
      </w:r>
      <w:r>
        <w:rPr>
          <w:rFonts w:hint="default" w:ascii="Times New Roman" w:hAnsi="Times New Roman" w:eastAsia="仿宋_GB2312" w:cs="Times New Roman"/>
          <w:b/>
          <w:color w:val="auto"/>
          <w:sz w:val="28"/>
          <w:szCs w:val="28"/>
          <w:highlight w:val="none"/>
        </w:rPr>
        <w:t>利润分配与公积金转增股本的情况</w:t>
      </w:r>
    </w:p>
    <w:p>
      <w:pPr>
        <w:keepNext w:val="0"/>
        <w:keepLines w:val="0"/>
        <w:pageBreakBefore w:val="0"/>
        <w:widowControl w:val="0"/>
        <w:shd w:val="clear" w:color="auto" w:fill="auto"/>
        <w:kinsoku/>
        <w:wordWrap/>
        <w:overflowPunct/>
        <w:topLinePunct w:val="0"/>
        <w:bidi w:val="0"/>
        <w:snapToGrid/>
        <w:spacing w:line="480" w:lineRule="exact"/>
        <w:ind w:left="0" w:firstLine="604" w:firstLineChars="200"/>
        <w:jc w:val="left"/>
        <w:textAlignment w:val="auto"/>
        <w:outlineLvl w:val="9"/>
        <w:rPr>
          <w:rFonts w:hint="default" w:ascii="Times New Roman" w:hAnsi="Times New Roman" w:eastAsia="仿宋_GB2312" w:cs="Times New Roman"/>
          <w:b/>
          <w:color w:val="auto"/>
          <w:spacing w:val="0"/>
          <w:kern w:val="2"/>
          <w:sz w:val="28"/>
          <w:szCs w:val="28"/>
          <w:highlight w:val="none"/>
          <w:lang w:val="en-US" w:eastAsia="zh-CN" w:bidi="ar-SA"/>
        </w:rPr>
      </w:pPr>
      <w:r>
        <w:rPr>
          <w:rFonts w:hint="default" w:ascii="Times New Roman" w:hAnsi="Times New Roman" w:eastAsia="仿宋_GB2312" w:cs="Times New Roman"/>
          <w:b/>
          <w:color w:val="auto"/>
          <w:spacing w:val="0"/>
          <w:kern w:val="2"/>
          <w:sz w:val="28"/>
          <w:szCs w:val="28"/>
          <w:highlight w:val="none"/>
          <w:lang w:val="en-US" w:eastAsia="zh-CN" w:bidi="ar-SA"/>
        </w:rPr>
        <w:t>1.报告期内的利润分配与公积金转增股本情况</w:t>
      </w:r>
    </w:p>
    <w:p>
      <w:pPr>
        <w:keepNext w:val="0"/>
        <w:keepLines w:val="0"/>
        <w:pageBreakBefore w:val="0"/>
        <w:widowControl w:val="0"/>
        <w:kinsoku/>
        <w:wordWrap/>
        <w:overflowPunct/>
        <w:topLinePunct w:val="0"/>
        <w:autoSpaceDE w:val="0"/>
        <w:autoSpaceDN w:val="0"/>
        <w:bidi w:val="0"/>
        <w:adjustRightInd w:val="0"/>
        <w:snapToGrid/>
        <w:spacing w:line="480" w:lineRule="exact"/>
        <w:ind w:left="0" w:firstLine="604" w:firstLineChars="200"/>
        <w:jc w:val="left"/>
        <w:textAlignment w:val="auto"/>
        <w:outlineLvl w:val="9"/>
        <w:rPr>
          <w:rFonts w:hint="default" w:ascii="Times New Roman" w:hAnsi="Times New Roman" w:eastAsia="仿宋_GB2312" w:cs="Times New Roman"/>
          <w:color w:val="auto"/>
          <w:kern w:val="0"/>
          <w:sz w:val="28"/>
          <w:szCs w:val="28"/>
          <w:highlight w:val="none"/>
        </w:rPr>
      </w:pPr>
      <w:r>
        <w:rPr>
          <w:rFonts w:hint="default" w:ascii="Times New Roman" w:hAnsi="Times New Roman" w:eastAsia="仿宋_GB2312" w:cs="Times New Roman"/>
          <w:color w:val="auto"/>
          <w:spacing w:val="0"/>
          <w:w w:val="100"/>
          <w:position w:val="0"/>
          <w:sz w:val="28"/>
          <w:szCs w:val="28"/>
          <w:highlight w:val="none"/>
          <w:u w:val="none"/>
          <w:lang w:val="zh-CN"/>
        </w:rPr>
        <w:t xml:space="preserve">√适用 </w:t>
      </w:r>
      <w:r>
        <w:rPr>
          <w:rFonts w:hint="default" w:ascii="Times New Roman" w:hAnsi="Times New Roman" w:eastAsia="仿宋_GB2312" w:cs="Times New Roman"/>
          <w:color w:val="auto"/>
          <w:spacing w:val="0"/>
          <w:w w:val="100"/>
          <w:position w:val="0"/>
          <w:sz w:val="28"/>
          <w:szCs w:val="28"/>
          <w:highlight w:val="none"/>
          <w:u w:val="none"/>
          <w:lang w:val="en-US" w:eastAsia="zh-CN"/>
        </w:rPr>
        <w:t xml:space="preserve"> </w:t>
      </w:r>
      <w:r>
        <w:rPr>
          <w:rFonts w:hint="default" w:ascii="Times New Roman" w:hAnsi="Times New Roman" w:eastAsia="仿宋_GB2312" w:cs="Times New Roman"/>
          <w:color w:val="auto"/>
          <w:spacing w:val="0"/>
          <w:w w:val="100"/>
          <w:position w:val="0"/>
          <w:sz w:val="28"/>
          <w:szCs w:val="28"/>
          <w:highlight w:val="none"/>
          <w:u w:val="none"/>
          <w:lang w:val="zh-CN"/>
        </w:rPr>
        <w:t>□不适用</w:t>
      </w:r>
    </w:p>
    <w:tbl>
      <w:tblPr>
        <w:tblStyle w:val="25"/>
        <w:tblW w:w="91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9"/>
        <w:gridCol w:w="2767"/>
        <w:gridCol w:w="1985"/>
        <w:gridCol w:w="23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2019"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480" w:lineRule="exact"/>
              <w:jc w:val="center"/>
              <w:rPr>
                <w:rFonts w:hint="default" w:ascii="Times New Roman" w:hAnsi="Times New Roman" w:eastAsia="黑体" w:cs="Times New Roman"/>
                <w:bCs/>
                <w:color w:val="auto"/>
                <w:spacing w:val="0"/>
                <w:kern w:val="2"/>
                <w:sz w:val="24"/>
                <w:szCs w:val="24"/>
                <w:highlight w:val="none"/>
                <w:lang w:val="en-US" w:eastAsia="zh-CN" w:bidi="ar-SA"/>
              </w:rPr>
            </w:pPr>
            <w:r>
              <w:rPr>
                <w:rFonts w:hint="default" w:ascii="Times New Roman" w:hAnsi="Times New Roman" w:eastAsia="黑体" w:cs="Times New Roman"/>
                <w:bCs/>
                <w:color w:val="auto"/>
                <w:spacing w:val="0"/>
                <w:kern w:val="2"/>
                <w:sz w:val="24"/>
                <w:szCs w:val="24"/>
                <w:highlight w:val="none"/>
                <w:lang w:val="en-US" w:eastAsia="zh-CN" w:bidi="ar-SA"/>
              </w:rPr>
              <w:t>股利分配日期</w:t>
            </w:r>
          </w:p>
        </w:tc>
        <w:tc>
          <w:tcPr>
            <w:tcW w:w="2767"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480" w:lineRule="exact"/>
              <w:jc w:val="center"/>
              <w:rPr>
                <w:rFonts w:hint="default" w:ascii="Times New Roman" w:hAnsi="Times New Roman" w:eastAsia="黑体" w:cs="Times New Roman"/>
                <w:bCs/>
                <w:color w:val="auto"/>
                <w:spacing w:val="0"/>
                <w:kern w:val="2"/>
                <w:sz w:val="24"/>
                <w:szCs w:val="24"/>
                <w:highlight w:val="none"/>
                <w:lang w:val="en-US" w:eastAsia="zh-CN" w:bidi="ar-SA"/>
              </w:rPr>
            </w:pPr>
            <w:r>
              <w:rPr>
                <w:rFonts w:hint="default" w:ascii="Times New Roman" w:hAnsi="Times New Roman" w:eastAsia="黑体" w:cs="Times New Roman"/>
                <w:bCs/>
                <w:color w:val="auto"/>
                <w:spacing w:val="0"/>
                <w:kern w:val="2"/>
                <w:sz w:val="24"/>
                <w:szCs w:val="24"/>
                <w:highlight w:val="none"/>
                <w:lang w:val="en-US" w:eastAsia="zh-CN" w:bidi="ar-SA"/>
              </w:rPr>
              <w:t>每10股派现数 (含税)</w:t>
            </w:r>
          </w:p>
        </w:tc>
        <w:tc>
          <w:tcPr>
            <w:tcW w:w="1985"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480" w:lineRule="exact"/>
              <w:jc w:val="center"/>
              <w:rPr>
                <w:rFonts w:hint="default" w:ascii="Times New Roman" w:hAnsi="Times New Roman" w:eastAsia="黑体" w:cs="Times New Roman"/>
                <w:bCs/>
                <w:color w:val="auto"/>
                <w:spacing w:val="0"/>
                <w:kern w:val="2"/>
                <w:sz w:val="24"/>
                <w:szCs w:val="24"/>
                <w:highlight w:val="none"/>
                <w:lang w:val="en-US" w:eastAsia="zh-CN" w:bidi="ar-SA"/>
              </w:rPr>
            </w:pPr>
            <w:r>
              <w:rPr>
                <w:rFonts w:hint="default" w:ascii="Times New Roman" w:hAnsi="Times New Roman" w:eastAsia="黑体" w:cs="Times New Roman"/>
                <w:bCs/>
                <w:color w:val="auto"/>
                <w:spacing w:val="0"/>
                <w:kern w:val="2"/>
                <w:sz w:val="24"/>
                <w:szCs w:val="24"/>
                <w:highlight w:val="none"/>
                <w:lang w:val="en-US" w:eastAsia="zh-CN" w:bidi="ar-SA"/>
              </w:rPr>
              <w:t>每10股送股数</w:t>
            </w:r>
          </w:p>
        </w:tc>
        <w:tc>
          <w:tcPr>
            <w:tcW w:w="2337"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480" w:lineRule="exact"/>
              <w:jc w:val="center"/>
              <w:rPr>
                <w:rFonts w:hint="default" w:ascii="Times New Roman" w:hAnsi="Times New Roman" w:eastAsia="黑体" w:cs="Times New Roman"/>
                <w:bCs/>
                <w:color w:val="auto"/>
                <w:spacing w:val="0"/>
                <w:kern w:val="2"/>
                <w:sz w:val="24"/>
                <w:szCs w:val="24"/>
                <w:highlight w:val="none"/>
                <w:lang w:val="en-US" w:eastAsia="zh-CN" w:bidi="ar-SA"/>
              </w:rPr>
            </w:pPr>
            <w:r>
              <w:rPr>
                <w:rFonts w:hint="default" w:ascii="Times New Roman" w:hAnsi="Times New Roman" w:eastAsia="黑体" w:cs="Times New Roman"/>
                <w:bCs/>
                <w:color w:val="auto"/>
                <w:spacing w:val="0"/>
                <w:kern w:val="2"/>
                <w:sz w:val="24"/>
                <w:szCs w:val="24"/>
                <w:highlight w:val="none"/>
                <w:lang w:val="en-US" w:eastAsia="zh-CN" w:bidi="ar-SA"/>
              </w:rPr>
              <w:t>每10股转增数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3" w:hRule="atLeast"/>
          <w:jc w:val="center"/>
        </w:trPr>
        <w:tc>
          <w:tcPr>
            <w:tcW w:w="2019" w:type="dxa"/>
            <w:tcBorders>
              <w:top w:val="single" w:color="auto" w:sz="4" w:space="0"/>
              <w:left w:val="single" w:color="auto" w:sz="4" w:space="0"/>
              <w:bottom w:val="single" w:color="auto" w:sz="4" w:space="0"/>
              <w:right w:val="single" w:color="auto" w:sz="4" w:space="0"/>
            </w:tcBorders>
          </w:tcPr>
          <w:p>
            <w:pPr>
              <w:spacing w:line="48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2026.5.28</w:t>
            </w:r>
          </w:p>
        </w:tc>
        <w:tc>
          <w:tcPr>
            <w:tcW w:w="2767" w:type="dxa"/>
            <w:tcBorders>
              <w:top w:val="single" w:color="auto" w:sz="4" w:space="0"/>
              <w:left w:val="single" w:color="auto" w:sz="4" w:space="0"/>
              <w:bottom w:val="single" w:color="auto" w:sz="4" w:space="0"/>
              <w:right w:val="single" w:color="auto" w:sz="4" w:space="0"/>
            </w:tcBorders>
          </w:tcPr>
          <w:p>
            <w:pPr>
              <w:spacing w:line="480" w:lineRule="exact"/>
              <w:ind w:firstLine="928" w:firstLineChars="400"/>
              <w:jc w:val="both"/>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0.30</w:t>
            </w:r>
          </w:p>
        </w:tc>
        <w:tc>
          <w:tcPr>
            <w:tcW w:w="1985" w:type="dxa"/>
            <w:tcBorders>
              <w:top w:val="single" w:color="auto" w:sz="4" w:space="0"/>
              <w:left w:val="single" w:color="auto" w:sz="4" w:space="0"/>
              <w:bottom w:val="single" w:color="auto" w:sz="4" w:space="0"/>
              <w:right w:val="single" w:color="auto" w:sz="4" w:space="0"/>
            </w:tcBorders>
          </w:tcPr>
          <w:p>
            <w:pPr>
              <w:spacing w:line="48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0.40</w:t>
            </w:r>
          </w:p>
        </w:tc>
        <w:tc>
          <w:tcPr>
            <w:tcW w:w="2337"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480" w:lineRule="exact"/>
              <w:jc w:val="center"/>
              <w:rPr>
                <w:rFonts w:hint="default" w:ascii="Times New Roman" w:hAnsi="Times New Roman" w:eastAsia="宋体" w:cs="Times New Roman"/>
                <w:color w:val="auto"/>
                <w:kern w:val="0"/>
                <w:sz w:val="22"/>
                <w:highlight w:val="none"/>
              </w:rPr>
            </w:pPr>
          </w:p>
        </w:tc>
      </w:tr>
    </w:tbl>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jc w:val="left"/>
        <w:textAlignment w:val="auto"/>
        <w:rPr>
          <w:rFonts w:hint="default" w:ascii="Times New Roman" w:hAnsi="Times New Roman" w:eastAsia="仿宋_GB2312" w:cs="Times New Roman"/>
          <w:b/>
          <w:color w:val="auto"/>
          <w:sz w:val="28"/>
          <w:szCs w:val="28"/>
          <w:highlight w:val="none"/>
        </w:rPr>
      </w:pPr>
      <w:r>
        <w:rPr>
          <w:rFonts w:hint="default" w:ascii="Times New Roman" w:hAnsi="Times New Roman" w:eastAsia="仿宋_GB2312" w:cs="Times New Roman"/>
          <w:b/>
          <w:color w:val="auto"/>
          <w:sz w:val="28"/>
          <w:szCs w:val="28"/>
          <w:highlight w:val="none"/>
        </w:rPr>
        <w:t>2.报告期内的利润分配预案</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jc w:val="left"/>
        <w:textAlignment w:val="auto"/>
        <w:rPr>
          <w:rFonts w:hint="default" w:ascii="Times New Roman" w:hAnsi="Times New Roman" w:eastAsia="仿宋_GB2312" w:cs="Times New Roman"/>
          <w:color w:val="auto"/>
          <w:kern w:val="0"/>
          <w:sz w:val="28"/>
          <w:szCs w:val="28"/>
          <w:highlight w:val="none"/>
        </w:rPr>
      </w:pPr>
      <w:r>
        <w:rPr>
          <w:rFonts w:hint="default" w:ascii="Times New Roman" w:hAnsi="Times New Roman" w:eastAsia="仿宋_GB2312" w:cs="Times New Roman"/>
          <w:color w:val="auto"/>
          <w:spacing w:val="0"/>
          <w:w w:val="100"/>
          <w:position w:val="0"/>
          <w:sz w:val="28"/>
          <w:szCs w:val="28"/>
          <w:highlight w:val="none"/>
          <w:u w:val="none"/>
          <w:lang w:val="zh-CN"/>
        </w:rPr>
        <w:t>□适用</w:t>
      </w:r>
      <w:r>
        <w:rPr>
          <w:rFonts w:hint="default" w:ascii="Times New Roman" w:hAnsi="Times New Roman" w:eastAsia="仿宋_GB2312" w:cs="Times New Roman"/>
          <w:color w:val="auto"/>
          <w:spacing w:val="0"/>
          <w:w w:val="100"/>
          <w:position w:val="0"/>
          <w:sz w:val="28"/>
          <w:szCs w:val="28"/>
          <w:highlight w:val="none"/>
          <w:u w:val="none"/>
          <w:lang w:val="en-US" w:eastAsia="zh-CN"/>
        </w:rPr>
        <w:t xml:space="preserve"> </w:t>
      </w:r>
      <w:r>
        <w:rPr>
          <w:rFonts w:hint="default" w:ascii="Times New Roman" w:hAnsi="Times New Roman" w:eastAsia="仿宋_GB2312" w:cs="Times New Roman"/>
          <w:color w:val="auto"/>
          <w:spacing w:val="0"/>
          <w:w w:val="100"/>
          <w:position w:val="0"/>
          <w:sz w:val="28"/>
          <w:szCs w:val="28"/>
          <w:highlight w:val="none"/>
          <w:u w:val="none"/>
          <w:lang w:val="zh-CN"/>
        </w:rPr>
        <w:t xml:space="preserve"> √不适用</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jc w:val="left"/>
        <w:textAlignment w:val="auto"/>
        <w:rPr>
          <w:rFonts w:hint="default" w:ascii="Times New Roman" w:hAnsi="Times New Roman" w:eastAsia="仿宋_GB2312" w:cs="Times New Roman"/>
          <w:b/>
          <w:color w:val="auto"/>
          <w:sz w:val="28"/>
          <w:szCs w:val="28"/>
          <w:highlight w:val="none"/>
        </w:rPr>
      </w:pPr>
      <w:r>
        <w:rPr>
          <w:rFonts w:hint="default" w:ascii="Times New Roman" w:hAnsi="Times New Roman" w:eastAsia="仿宋_GB2312" w:cs="Times New Roman"/>
          <w:b/>
          <w:color w:val="auto"/>
          <w:sz w:val="28"/>
          <w:szCs w:val="28"/>
          <w:highlight w:val="none"/>
        </w:rPr>
        <w:t xml:space="preserve">报告期内利润分配与公积金转增股本的执行情况： </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jc w:val="left"/>
        <w:textAlignment w:val="auto"/>
        <w:rPr>
          <w:rFonts w:hint="default" w:ascii="Times New Roman" w:hAnsi="Times New Roman" w:eastAsia="仿宋_GB2312" w:cs="Times New Roman"/>
          <w:color w:val="auto"/>
          <w:spacing w:val="0"/>
          <w:sz w:val="28"/>
          <w:szCs w:val="28"/>
          <w:highlight w:val="none"/>
        </w:rPr>
      </w:pPr>
      <w:r>
        <w:rPr>
          <w:rFonts w:hint="default" w:ascii="Times New Roman" w:hAnsi="Times New Roman" w:eastAsia="仿宋_GB2312" w:cs="Times New Roman"/>
          <w:color w:val="auto"/>
          <w:spacing w:val="0"/>
          <w:w w:val="100"/>
          <w:position w:val="0"/>
          <w:sz w:val="28"/>
          <w:szCs w:val="28"/>
          <w:highlight w:val="none"/>
          <w:u w:val="none"/>
          <w:lang w:val="zh-CN"/>
        </w:rPr>
        <w:t xml:space="preserve">√适用 </w:t>
      </w:r>
      <w:r>
        <w:rPr>
          <w:rFonts w:hint="default" w:ascii="Times New Roman" w:hAnsi="Times New Roman" w:eastAsia="仿宋_GB2312" w:cs="Times New Roman"/>
          <w:color w:val="auto"/>
          <w:spacing w:val="0"/>
          <w:w w:val="100"/>
          <w:position w:val="0"/>
          <w:sz w:val="28"/>
          <w:szCs w:val="28"/>
          <w:highlight w:val="none"/>
          <w:u w:val="none"/>
          <w:lang w:val="en-US" w:eastAsia="zh-CN"/>
        </w:rPr>
        <w:t xml:space="preserve"> </w:t>
      </w:r>
      <w:r>
        <w:rPr>
          <w:rFonts w:hint="default" w:ascii="Times New Roman" w:hAnsi="Times New Roman" w:eastAsia="仿宋_GB2312" w:cs="Times New Roman"/>
          <w:color w:val="auto"/>
          <w:spacing w:val="0"/>
          <w:w w:val="100"/>
          <w:position w:val="0"/>
          <w:sz w:val="28"/>
          <w:szCs w:val="28"/>
          <w:highlight w:val="none"/>
          <w:u w:val="none"/>
          <w:lang w:val="zh-CN"/>
        </w:rPr>
        <w:t>□不适用</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jc w:val="left"/>
        <w:textAlignment w:val="auto"/>
        <w:outlineLvl w:val="9"/>
        <w:rPr>
          <w:rFonts w:hint="default" w:ascii="Times New Roman" w:hAnsi="Times New Roman" w:eastAsia="仿宋_GB2312" w:cs="Times New Roman"/>
          <w:color w:val="auto"/>
          <w:kern w:val="0"/>
          <w:sz w:val="28"/>
          <w:szCs w:val="28"/>
          <w:highlight w:val="none"/>
        </w:rPr>
      </w:pPr>
      <w:r>
        <w:rPr>
          <w:rFonts w:hint="default" w:ascii="Times New Roman" w:hAnsi="Times New Roman" w:eastAsia="仿宋_GB2312" w:cs="Times New Roman"/>
          <w:color w:val="auto"/>
          <w:kern w:val="0"/>
          <w:sz w:val="28"/>
          <w:szCs w:val="28"/>
          <w:highlight w:val="none"/>
          <w:lang w:val="zh-CN"/>
        </w:rPr>
        <w:t>本行于</w:t>
      </w:r>
      <w:r>
        <w:rPr>
          <w:rFonts w:hint="default" w:ascii="Times New Roman" w:hAnsi="Times New Roman" w:eastAsia="仿宋_GB2312" w:cs="Times New Roman"/>
          <w:color w:val="auto"/>
          <w:kern w:val="0"/>
          <w:sz w:val="28"/>
          <w:szCs w:val="28"/>
          <w:highlight w:val="none"/>
          <w:lang w:val="en-US" w:eastAsia="zh-CN"/>
        </w:rPr>
        <w:t>2026</w:t>
      </w:r>
      <w:r>
        <w:rPr>
          <w:rFonts w:hint="default" w:ascii="Times New Roman" w:hAnsi="Times New Roman" w:eastAsia="仿宋_GB2312" w:cs="Times New Roman"/>
          <w:color w:val="auto"/>
          <w:kern w:val="0"/>
          <w:sz w:val="28"/>
          <w:szCs w:val="28"/>
          <w:highlight w:val="none"/>
          <w:lang w:val="zh-CN"/>
        </w:rPr>
        <w:t>年</w:t>
      </w:r>
      <w:r>
        <w:rPr>
          <w:rFonts w:hint="default" w:ascii="Times New Roman" w:hAnsi="Times New Roman" w:eastAsia="仿宋_GB2312" w:cs="Times New Roman"/>
          <w:color w:val="auto"/>
          <w:kern w:val="0"/>
          <w:sz w:val="28"/>
          <w:szCs w:val="28"/>
          <w:highlight w:val="none"/>
          <w:lang w:val="en-US" w:eastAsia="zh-CN"/>
        </w:rPr>
        <w:t>3</w:t>
      </w:r>
      <w:r>
        <w:rPr>
          <w:rFonts w:hint="default" w:ascii="Times New Roman" w:hAnsi="Times New Roman" w:eastAsia="仿宋_GB2312" w:cs="Times New Roman"/>
          <w:color w:val="auto"/>
          <w:kern w:val="0"/>
          <w:sz w:val="28"/>
          <w:szCs w:val="28"/>
          <w:highlight w:val="none"/>
          <w:lang w:val="zh-CN"/>
        </w:rPr>
        <w:t>月</w:t>
      </w:r>
      <w:r>
        <w:rPr>
          <w:rFonts w:hint="default" w:ascii="Times New Roman" w:hAnsi="Times New Roman" w:eastAsia="仿宋_GB2312" w:cs="Times New Roman"/>
          <w:color w:val="auto"/>
          <w:kern w:val="0"/>
          <w:sz w:val="28"/>
          <w:szCs w:val="28"/>
          <w:highlight w:val="none"/>
          <w:lang w:val="en-US" w:eastAsia="zh-CN"/>
        </w:rPr>
        <w:t>26</w:t>
      </w:r>
      <w:r>
        <w:rPr>
          <w:rFonts w:hint="default" w:ascii="Times New Roman" w:hAnsi="Times New Roman" w:eastAsia="仿宋_GB2312" w:cs="Times New Roman"/>
          <w:color w:val="auto"/>
          <w:kern w:val="0"/>
          <w:sz w:val="28"/>
          <w:szCs w:val="28"/>
          <w:highlight w:val="none"/>
          <w:lang w:val="zh-CN"/>
        </w:rPr>
        <w:t>日召开了202</w:t>
      </w:r>
      <w:r>
        <w:rPr>
          <w:rFonts w:hint="default" w:ascii="Times New Roman" w:hAnsi="Times New Roman" w:eastAsia="仿宋_GB2312" w:cs="Times New Roman"/>
          <w:color w:val="auto"/>
          <w:kern w:val="0"/>
          <w:sz w:val="28"/>
          <w:szCs w:val="28"/>
          <w:highlight w:val="none"/>
          <w:lang w:val="en-US" w:eastAsia="zh-CN"/>
        </w:rPr>
        <w:t>6</w:t>
      </w:r>
      <w:r>
        <w:rPr>
          <w:rFonts w:hint="default" w:ascii="Times New Roman" w:hAnsi="Times New Roman" w:eastAsia="仿宋_GB2312" w:cs="Times New Roman"/>
          <w:color w:val="auto"/>
          <w:kern w:val="0"/>
          <w:sz w:val="28"/>
          <w:szCs w:val="28"/>
          <w:highlight w:val="none"/>
          <w:lang w:val="zh-CN"/>
        </w:rPr>
        <w:t>年度</w:t>
      </w:r>
      <w:r>
        <w:rPr>
          <w:rFonts w:hint="eastAsia" w:ascii="Times New Roman" w:hAnsi="Times New Roman" w:eastAsia="仿宋_GB2312" w:cs="Times New Roman"/>
          <w:color w:val="auto"/>
          <w:kern w:val="0"/>
          <w:sz w:val="28"/>
          <w:szCs w:val="28"/>
          <w:highlight w:val="none"/>
          <w:lang w:val="en-US" w:eastAsia="zh-CN"/>
        </w:rPr>
        <w:t>第一次</w:t>
      </w:r>
      <w:r>
        <w:rPr>
          <w:rFonts w:hint="default" w:ascii="Times New Roman" w:hAnsi="Times New Roman" w:eastAsia="仿宋_GB2312" w:cs="Times New Roman"/>
          <w:color w:val="auto"/>
          <w:kern w:val="0"/>
          <w:sz w:val="28"/>
          <w:szCs w:val="28"/>
          <w:highlight w:val="none"/>
          <w:lang w:val="zh-CN"/>
        </w:rPr>
        <w:t>股东会，会议审议通过了《江苏高淳农村商业银行股份有限公司202</w:t>
      </w:r>
      <w:r>
        <w:rPr>
          <w:rFonts w:hint="default" w:ascii="Times New Roman" w:hAnsi="Times New Roman" w:eastAsia="仿宋_GB2312" w:cs="Times New Roman"/>
          <w:color w:val="auto"/>
          <w:kern w:val="0"/>
          <w:sz w:val="28"/>
          <w:szCs w:val="28"/>
          <w:highlight w:val="none"/>
          <w:lang w:val="en-US" w:eastAsia="zh-CN"/>
        </w:rPr>
        <w:t>5</w:t>
      </w:r>
      <w:r>
        <w:rPr>
          <w:rFonts w:hint="default" w:ascii="Times New Roman" w:hAnsi="Times New Roman" w:eastAsia="仿宋_GB2312" w:cs="Times New Roman"/>
          <w:color w:val="auto"/>
          <w:kern w:val="0"/>
          <w:sz w:val="28"/>
          <w:szCs w:val="28"/>
          <w:highlight w:val="none"/>
          <w:lang w:val="zh-CN"/>
        </w:rPr>
        <w:t>年度利润分配方案》。</w:t>
      </w:r>
      <w:r>
        <w:rPr>
          <w:rFonts w:hint="default" w:ascii="Times New Roman" w:hAnsi="Times New Roman" w:eastAsia="仿宋_GB2312" w:cs="Times New Roman"/>
          <w:color w:val="auto"/>
          <w:kern w:val="0"/>
          <w:sz w:val="28"/>
          <w:szCs w:val="28"/>
          <w:highlight w:val="none"/>
        </w:rPr>
        <w:t>报告期内，本行以权益分派权益登记日总股本</w:t>
      </w:r>
      <w:r>
        <w:rPr>
          <w:rFonts w:hint="default" w:ascii="Times New Roman" w:hAnsi="Times New Roman" w:eastAsia="仿宋_GB2312" w:cs="Times New Roman"/>
          <w:color w:val="auto"/>
          <w:kern w:val="0"/>
          <w:sz w:val="28"/>
          <w:szCs w:val="28"/>
          <w:highlight w:val="none"/>
          <w:lang w:val="en-US" w:eastAsia="zh-CN"/>
        </w:rPr>
        <w:t>518557273</w:t>
      </w:r>
      <w:r>
        <w:rPr>
          <w:rFonts w:hint="default" w:ascii="Times New Roman" w:hAnsi="Times New Roman" w:eastAsia="仿宋_GB2312" w:cs="Times New Roman"/>
          <w:color w:val="auto"/>
          <w:kern w:val="0"/>
          <w:sz w:val="28"/>
          <w:szCs w:val="28"/>
          <w:highlight w:val="none"/>
        </w:rPr>
        <w:t>股为基数，向全体股东以每10股派现金</w:t>
      </w:r>
      <w:r>
        <w:rPr>
          <w:rFonts w:hint="default" w:ascii="Times New Roman" w:hAnsi="Times New Roman" w:eastAsia="仿宋_GB2312" w:cs="Times New Roman"/>
          <w:color w:val="auto"/>
          <w:kern w:val="0"/>
          <w:sz w:val="28"/>
          <w:szCs w:val="28"/>
          <w:highlight w:val="none"/>
          <w:lang w:val="en-US" w:eastAsia="zh-CN"/>
        </w:rPr>
        <w:t>0.30</w:t>
      </w:r>
      <w:r>
        <w:rPr>
          <w:rFonts w:hint="default" w:ascii="Times New Roman" w:hAnsi="Times New Roman" w:eastAsia="仿宋_GB2312" w:cs="Times New Roman"/>
          <w:color w:val="auto"/>
          <w:kern w:val="0"/>
          <w:sz w:val="28"/>
          <w:szCs w:val="28"/>
          <w:highlight w:val="none"/>
        </w:rPr>
        <w:t>元，每10股送股</w:t>
      </w:r>
      <w:r>
        <w:rPr>
          <w:rFonts w:hint="default" w:ascii="Times New Roman" w:hAnsi="Times New Roman" w:eastAsia="仿宋_GB2312" w:cs="Times New Roman"/>
          <w:color w:val="auto"/>
          <w:kern w:val="0"/>
          <w:sz w:val="28"/>
          <w:szCs w:val="28"/>
          <w:highlight w:val="none"/>
          <w:lang w:val="en-US" w:eastAsia="zh-CN"/>
        </w:rPr>
        <w:t>0.40</w:t>
      </w:r>
      <w:r>
        <w:rPr>
          <w:rFonts w:hint="default" w:ascii="Times New Roman" w:hAnsi="Times New Roman" w:eastAsia="仿宋_GB2312" w:cs="Times New Roman"/>
          <w:color w:val="auto"/>
          <w:kern w:val="0"/>
          <w:sz w:val="28"/>
          <w:szCs w:val="28"/>
          <w:highlight w:val="none"/>
        </w:rPr>
        <w:t>股。本次权益分派实施的权益登记日为202</w:t>
      </w:r>
      <w:r>
        <w:rPr>
          <w:rFonts w:hint="default" w:ascii="Times New Roman" w:hAnsi="Times New Roman" w:eastAsia="仿宋_GB2312" w:cs="Times New Roman"/>
          <w:color w:val="auto"/>
          <w:kern w:val="0"/>
          <w:sz w:val="28"/>
          <w:szCs w:val="28"/>
          <w:highlight w:val="none"/>
          <w:lang w:val="en-US" w:eastAsia="zh-CN"/>
        </w:rPr>
        <w:t>6</w:t>
      </w:r>
      <w:r>
        <w:rPr>
          <w:rFonts w:hint="default" w:ascii="Times New Roman" w:hAnsi="Times New Roman" w:eastAsia="仿宋_GB2312" w:cs="Times New Roman"/>
          <w:color w:val="auto"/>
          <w:kern w:val="0"/>
          <w:sz w:val="28"/>
          <w:szCs w:val="28"/>
          <w:highlight w:val="none"/>
        </w:rPr>
        <w:t>年</w:t>
      </w:r>
      <w:r>
        <w:rPr>
          <w:rFonts w:hint="default" w:ascii="Times New Roman" w:hAnsi="Times New Roman" w:eastAsia="仿宋_GB2312" w:cs="Times New Roman"/>
          <w:color w:val="auto"/>
          <w:kern w:val="0"/>
          <w:sz w:val="28"/>
          <w:szCs w:val="28"/>
          <w:highlight w:val="none"/>
          <w:lang w:val="en-US" w:eastAsia="zh-CN"/>
        </w:rPr>
        <w:t>1</w:t>
      </w:r>
      <w:r>
        <w:rPr>
          <w:rFonts w:hint="default" w:ascii="Times New Roman" w:hAnsi="Times New Roman" w:eastAsia="仿宋_GB2312" w:cs="Times New Roman"/>
          <w:color w:val="auto"/>
          <w:kern w:val="0"/>
          <w:sz w:val="28"/>
          <w:szCs w:val="28"/>
          <w:highlight w:val="none"/>
        </w:rPr>
        <w:t>月3</w:t>
      </w:r>
      <w:r>
        <w:rPr>
          <w:rFonts w:hint="default" w:ascii="Times New Roman" w:hAnsi="Times New Roman" w:eastAsia="仿宋_GB2312" w:cs="Times New Roman"/>
          <w:color w:val="auto"/>
          <w:kern w:val="0"/>
          <w:sz w:val="28"/>
          <w:szCs w:val="28"/>
          <w:highlight w:val="none"/>
          <w:lang w:val="en-US" w:eastAsia="zh-CN"/>
        </w:rPr>
        <w:t>1</w:t>
      </w:r>
      <w:r>
        <w:rPr>
          <w:rFonts w:hint="default" w:ascii="Times New Roman" w:hAnsi="Times New Roman" w:eastAsia="仿宋_GB2312" w:cs="Times New Roman"/>
          <w:color w:val="auto"/>
          <w:kern w:val="0"/>
          <w:sz w:val="28"/>
          <w:szCs w:val="28"/>
          <w:highlight w:val="none"/>
        </w:rPr>
        <w:t>日，除权除息日为202</w:t>
      </w:r>
      <w:r>
        <w:rPr>
          <w:rFonts w:hint="default" w:ascii="Times New Roman" w:hAnsi="Times New Roman" w:eastAsia="仿宋_GB2312" w:cs="Times New Roman"/>
          <w:color w:val="auto"/>
          <w:kern w:val="0"/>
          <w:sz w:val="28"/>
          <w:szCs w:val="28"/>
          <w:highlight w:val="none"/>
          <w:lang w:val="en-US" w:eastAsia="zh-CN"/>
        </w:rPr>
        <w:t>6</w:t>
      </w:r>
      <w:r>
        <w:rPr>
          <w:rFonts w:hint="default" w:ascii="Times New Roman" w:hAnsi="Times New Roman" w:eastAsia="仿宋_GB2312" w:cs="Times New Roman"/>
          <w:color w:val="auto"/>
          <w:kern w:val="0"/>
          <w:sz w:val="28"/>
          <w:szCs w:val="28"/>
          <w:highlight w:val="none"/>
        </w:rPr>
        <w:t>年</w:t>
      </w:r>
      <w:r>
        <w:rPr>
          <w:rFonts w:hint="default" w:ascii="Times New Roman" w:hAnsi="Times New Roman" w:eastAsia="仿宋_GB2312" w:cs="Times New Roman"/>
          <w:color w:val="auto"/>
          <w:kern w:val="0"/>
          <w:sz w:val="28"/>
          <w:szCs w:val="28"/>
          <w:highlight w:val="none"/>
          <w:lang w:val="en-US" w:eastAsia="zh-CN"/>
        </w:rPr>
        <w:t>2</w:t>
      </w:r>
      <w:r>
        <w:rPr>
          <w:rFonts w:hint="default" w:ascii="Times New Roman" w:hAnsi="Times New Roman" w:eastAsia="仿宋_GB2312" w:cs="Times New Roman"/>
          <w:color w:val="auto"/>
          <w:kern w:val="0"/>
          <w:sz w:val="28"/>
          <w:szCs w:val="28"/>
          <w:highlight w:val="none"/>
        </w:rPr>
        <w:t>月1日。本次权益分派已于202</w:t>
      </w:r>
      <w:r>
        <w:rPr>
          <w:rFonts w:hint="default" w:ascii="Times New Roman" w:hAnsi="Times New Roman" w:eastAsia="仿宋_GB2312" w:cs="Times New Roman"/>
          <w:color w:val="auto"/>
          <w:kern w:val="0"/>
          <w:sz w:val="28"/>
          <w:szCs w:val="28"/>
          <w:highlight w:val="none"/>
          <w:lang w:val="en-US" w:eastAsia="zh-CN"/>
        </w:rPr>
        <w:t>6</w:t>
      </w:r>
      <w:r>
        <w:rPr>
          <w:rFonts w:hint="default" w:ascii="Times New Roman" w:hAnsi="Times New Roman" w:eastAsia="仿宋_GB2312" w:cs="Times New Roman"/>
          <w:color w:val="auto"/>
          <w:kern w:val="0"/>
          <w:sz w:val="28"/>
          <w:szCs w:val="28"/>
          <w:highlight w:val="none"/>
        </w:rPr>
        <w:t>年</w:t>
      </w:r>
      <w:r>
        <w:rPr>
          <w:rFonts w:hint="default" w:ascii="Times New Roman" w:hAnsi="Times New Roman" w:eastAsia="仿宋_GB2312" w:cs="Times New Roman"/>
          <w:color w:val="auto"/>
          <w:kern w:val="0"/>
          <w:sz w:val="28"/>
          <w:szCs w:val="28"/>
          <w:highlight w:val="none"/>
          <w:lang w:val="en-US" w:eastAsia="zh-CN"/>
        </w:rPr>
        <w:t>5</w:t>
      </w:r>
      <w:r>
        <w:rPr>
          <w:rFonts w:hint="default" w:ascii="Times New Roman" w:hAnsi="Times New Roman" w:eastAsia="仿宋_GB2312" w:cs="Times New Roman"/>
          <w:color w:val="auto"/>
          <w:kern w:val="0"/>
          <w:sz w:val="28"/>
          <w:szCs w:val="28"/>
          <w:highlight w:val="none"/>
        </w:rPr>
        <w:t>月</w:t>
      </w:r>
      <w:r>
        <w:rPr>
          <w:rFonts w:hint="default" w:ascii="Times New Roman" w:hAnsi="Times New Roman" w:eastAsia="仿宋_GB2312" w:cs="Times New Roman"/>
          <w:color w:val="auto"/>
          <w:kern w:val="0"/>
          <w:sz w:val="28"/>
          <w:szCs w:val="28"/>
          <w:highlight w:val="none"/>
          <w:lang w:val="en-US" w:eastAsia="zh-CN"/>
        </w:rPr>
        <w:t>28</w:t>
      </w:r>
      <w:r>
        <w:rPr>
          <w:rFonts w:hint="default" w:ascii="Times New Roman" w:hAnsi="Times New Roman" w:eastAsia="仿宋_GB2312" w:cs="Times New Roman"/>
          <w:color w:val="auto"/>
          <w:kern w:val="0"/>
          <w:sz w:val="28"/>
          <w:szCs w:val="28"/>
          <w:highlight w:val="none"/>
        </w:rPr>
        <w:t>日完成。</w:t>
      </w:r>
    </w:p>
    <w:p>
      <w:pPr>
        <w:autoSpaceDE w:val="0"/>
        <w:autoSpaceDN w:val="0"/>
        <w:adjustRightInd w:val="0"/>
        <w:ind w:firstLine="644" w:firstLineChars="200"/>
        <w:jc w:val="left"/>
        <w:rPr>
          <w:rFonts w:hint="default" w:ascii="Times New Roman" w:hAnsi="Times New Roman" w:eastAsia="仿宋_GB2312" w:cs="Times New Roman"/>
          <w:b/>
          <w:color w:val="auto"/>
          <w:spacing w:val="10"/>
          <w:sz w:val="28"/>
          <w:szCs w:val="28"/>
          <w:highlight w:val="none"/>
        </w:rPr>
      </w:pPr>
      <w:r>
        <w:rPr>
          <w:rFonts w:hint="default" w:ascii="Times New Roman" w:hAnsi="Times New Roman" w:eastAsia="仿宋_GB2312" w:cs="Times New Roman"/>
          <w:b/>
          <w:color w:val="auto"/>
          <w:spacing w:val="10"/>
          <w:sz w:val="28"/>
          <w:szCs w:val="28"/>
          <w:highlight w:val="none"/>
        </w:rPr>
        <w:t>（三）其他重要事项</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jc w:val="left"/>
        <w:textAlignment w:val="auto"/>
        <w:rPr>
          <w:rFonts w:hint="default" w:ascii="Times New Roman" w:hAnsi="Times New Roman" w:eastAsia="仿宋_GB2312" w:cs="Times New Roman"/>
          <w:b/>
          <w:color w:val="auto"/>
          <w:sz w:val="28"/>
          <w:szCs w:val="28"/>
          <w:highlight w:val="none"/>
          <w:lang w:eastAsia="zh-CN"/>
        </w:rPr>
      </w:pPr>
      <w:r>
        <w:rPr>
          <w:rFonts w:hint="default" w:ascii="Times New Roman" w:hAnsi="Times New Roman" w:eastAsia="仿宋_GB2312" w:cs="Times New Roman"/>
          <w:b/>
          <w:color w:val="auto"/>
          <w:sz w:val="28"/>
          <w:szCs w:val="28"/>
          <w:highlight w:val="none"/>
        </w:rPr>
        <w:t>主要股东持有的本行股权对外质押情况</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本行主要股东持有的本行股权均未对外质押。</w:t>
      </w:r>
    </w:p>
    <w:p>
      <w:pPr>
        <w:keepNext w:val="0"/>
        <w:keepLines w:val="0"/>
        <w:pageBreakBefore w:val="0"/>
        <w:widowControl w:val="0"/>
        <w:kinsoku/>
        <w:wordWrap/>
        <w:autoSpaceDE w:val="0"/>
        <w:autoSpaceDN w:val="0"/>
        <w:bidi w:val="0"/>
        <w:adjustRightInd w:val="0"/>
        <w:snapToGrid/>
        <w:spacing w:line="480" w:lineRule="exact"/>
        <w:jc w:val="both"/>
        <w:textAlignment w:val="auto"/>
        <w:rPr>
          <w:rFonts w:hint="default" w:ascii="Times New Roman" w:hAnsi="Times New Roman" w:eastAsia="黑体" w:cs="Times New Roman"/>
          <w:color w:val="auto"/>
          <w:kern w:val="0"/>
          <w:sz w:val="32"/>
          <w:szCs w:val="32"/>
          <w:highlight w:val="none"/>
        </w:rPr>
      </w:pPr>
    </w:p>
    <w:p>
      <w:pPr>
        <w:keepNext w:val="0"/>
        <w:keepLines w:val="0"/>
        <w:pageBreakBefore w:val="0"/>
        <w:widowControl w:val="0"/>
        <w:kinsoku/>
        <w:wordWrap/>
        <w:autoSpaceDE w:val="0"/>
        <w:autoSpaceDN w:val="0"/>
        <w:bidi w:val="0"/>
        <w:adjustRightInd w:val="0"/>
        <w:snapToGrid/>
        <w:spacing w:line="480" w:lineRule="exact"/>
        <w:jc w:val="center"/>
        <w:textAlignment w:val="auto"/>
        <w:outlineLvl w:val="9"/>
        <w:rPr>
          <w:rFonts w:hint="default" w:ascii="Times New Roman" w:hAnsi="Times New Roman" w:eastAsia="仿宋_GB2312" w:cs="Times New Roman"/>
          <w:b/>
          <w:color w:val="auto"/>
          <w:spacing w:val="10"/>
          <w:sz w:val="28"/>
          <w:szCs w:val="28"/>
          <w:highlight w:val="none"/>
        </w:rPr>
      </w:pPr>
      <w:r>
        <w:rPr>
          <w:rFonts w:hint="default" w:ascii="Times New Roman" w:hAnsi="Times New Roman" w:eastAsia="黑体" w:cs="Times New Roman"/>
          <w:color w:val="auto"/>
          <w:kern w:val="0"/>
          <w:sz w:val="32"/>
          <w:szCs w:val="32"/>
          <w:highlight w:val="none"/>
        </w:rPr>
        <w:t>第五节  股</w:t>
      </w:r>
      <w:r>
        <w:rPr>
          <w:rFonts w:hint="default" w:ascii="Times New Roman" w:hAnsi="Times New Roman" w:eastAsia="黑体" w:cs="Times New Roman"/>
          <w:color w:val="auto"/>
          <w:kern w:val="0"/>
          <w:sz w:val="32"/>
          <w:szCs w:val="32"/>
          <w:highlight w:val="none"/>
          <w:lang w:val="en-US" w:eastAsia="zh-CN"/>
        </w:rPr>
        <w:t>本</w:t>
      </w:r>
      <w:r>
        <w:rPr>
          <w:rFonts w:hint="default" w:ascii="Times New Roman" w:hAnsi="Times New Roman" w:eastAsia="黑体" w:cs="Times New Roman"/>
          <w:color w:val="auto"/>
          <w:kern w:val="0"/>
          <w:sz w:val="32"/>
          <w:szCs w:val="32"/>
          <w:highlight w:val="none"/>
        </w:rPr>
        <w:t>变动及股</w:t>
      </w:r>
      <w:r>
        <w:rPr>
          <w:rFonts w:hint="default" w:ascii="Times New Roman" w:hAnsi="Times New Roman" w:eastAsia="黑体" w:cs="Times New Roman"/>
          <w:color w:val="auto"/>
          <w:kern w:val="0"/>
          <w:sz w:val="32"/>
          <w:szCs w:val="32"/>
          <w:highlight w:val="none"/>
          <w:lang w:val="en-US" w:eastAsia="zh-CN"/>
        </w:rPr>
        <w:t>东</w:t>
      </w:r>
      <w:r>
        <w:rPr>
          <w:rFonts w:hint="default" w:ascii="Times New Roman" w:hAnsi="Times New Roman" w:eastAsia="黑体" w:cs="Times New Roman"/>
          <w:color w:val="auto"/>
          <w:kern w:val="0"/>
          <w:sz w:val="32"/>
          <w:szCs w:val="32"/>
          <w:highlight w:val="none"/>
        </w:rPr>
        <w:t>情况</w:t>
      </w:r>
    </w:p>
    <w:p>
      <w:pPr>
        <w:keepNext w:val="0"/>
        <w:keepLines w:val="0"/>
        <w:pageBreakBefore w:val="0"/>
        <w:widowControl w:val="0"/>
        <w:kinsoku/>
        <w:wordWrap/>
        <w:overflowPunct w:val="0"/>
        <w:topLinePunct/>
        <w:bidi w:val="0"/>
        <w:snapToGrid/>
        <w:spacing w:line="480" w:lineRule="exact"/>
        <w:ind w:firstLine="644" w:firstLineChars="200"/>
        <w:textAlignment w:val="auto"/>
        <w:outlineLvl w:val="9"/>
        <w:rPr>
          <w:rFonts w:hint="default" w:ascii="Times New Roman" w:hAnsi="Times New Roman" w:eastAsia="黑体" w:cs="Times New Roman"/>
          <w:bCs/>
          <w:color w:val="auto"/>
          <w:spacing w:val="10"/>
          <w:sz w:val="28"/>
          <w:szCs w:val="28"/>
          <w:highlight w:val="none"/>
          <w:lang w:eastAsia="zh-CN"/>
        </w:rPr>
      </w:pPr>
      <w:r>
        <w:rPr>
          <w:rFonts w:hint="default" w:ascii="Times New Roman" w:hAnsi="Times New Roman" w:eastAsia="黑体" w:cs="Times New Roman"/>
          <w:bCs/>
          <w:color w:val="auto"/>
          <w:spacing w:val="10"/>
          <w:sz w:val="28"/>
          <w:szCs w:val="28"/>
          <w:highlight w:val="none"/>
        </w:rPr>
        <w:t>一、普通股股本情况</w:t>
      </w:r>
    </w:p>
    <w:p>
      <w:pPr>
        <w:keepNext w:val="0"/>
        <w:keepLines w:val="0"/>
        <w:pageBreakBefore w:val="0"/>
        <w:widowControl w:val="0"/>
        <w:kinsoku/>
        <w:wordWrap/>
        <w:overflowPunct w:val="0"/>
        <w:topLinePunct/>
        <w:bidi w:val="0"/>
        <w:snapToGrid/>
        <w:spacing w:line="480" w:lineRule="exact"/>
        <w:ind w:firstLine="604" w:firstLineChars="200"/>
        <w:textAlignment w:val="auto"/>
        <w:outlineLvl w:val="9"/>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b/>
          <w:color w:val="auto"/>
          <w:sz w:val="28"/>
          <w:szCs w:val="28"/>
          <w:highlight w:val="none"/>
        </w:rPr>
        <w:t>（一）报告期末普通股股本结构</w:t>
      </w:r>
    </w:p>
    <w:p>
      <w:pPr>
        <w:jc w:val="right"/>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spacing w:val="10"/>
          <w:kern w:val="0"/>
          <w:szCs w:val="21"/>
          <w:highlight w:val="none"/>
        </w:rPr>
        <w:t>单位：股</w:t>
      </w:r>
    </w:p>
    <w:tbl>
      <w:tblPr>
        <w:tblStyle w:val="25"/>
        <w:tblW w:w="887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2160"/>
        <w:gridCol w:w="1350"/>
        <w:gridCol w:w="990"/>
        <w:gridCol w:w="1305"/>
        <w:gridCol w:w="1320"/>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9" w:hRule="exact"/>
          <w:jc w:val="center"/>
        </w:trPr>
        <w:tc>
          <w:tcPr>
            <w:tcW w:w="2952"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bottom"/>
              <w:outlineLvl w:val="9"/>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股份性质</w:t>
            </w:r>
          </w:p>
        </w:tc>
        <w:tc>
          <w:tcPr>
            <w:tcW w:w="2340" w:type="dxa"/>
            <w:gridSpan w:val="2"/>
          </w:tcPr>
          <w:p>
            <w:pPr>
              <w:keepNext w:val="0"/>
              <w:keepLines w:val="0"/>
              <w:pageBreakBefore w:val="0"/>
              <w:widowControl w:val="0"/>
              <w:kinsoku/>
              <w:wordWrap/>
              <w:overflowPunct/>
              <w:topLinePunct w:val="0"/>
              <w:autoSpaceDE/>
              <w:autoSpaceDN/>
              <w:bidi w:val="0"/>
              <w:adjustRightInd/>
              <w:snapToGrid/>
              <w:spacing w:line="400" w:lineRule="exact"/>
              <w:jc w:val="center"/>
              <w:textAlignment w:val="bottom"/>
              <w:outlineLvl w:val="9"/>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期初</w:t>
            </w:r>
          </w:p>
        </w:tc>
        <w:tc>
          <w:tcPr>
            <w:tcW w:w="1305" w:type="dxa"/>
            <w:vMerge w:val="restart"/>
          </w:tcPr>
          <w:p>
            <w:pPr>
              <w:jc w:val="center"/>
              <w:textAlignment w:val="bottom"/>
              <w:rPr>
                <w:rFonts w:hint="default" w:ascii="Times New Roman" w:hAnsi="Times New Roman" w:eastAsia="黑体" w:cs="Times New Roman"/>
                <w:color w:val="auto"/>
                <w:kern w:val="0"/>
                <w:sz w:val="24"/>
                <w:szCs w:val="24"/>
                <w:highlight w:val="none"/>
              </w:rPr>
            </w:pPr>
          </w:p>
          <w:p>
            <w:pPr>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本期变动</w:t>
            </w:r>
          </w:p>
        </w:tc>
        <w:tc>
          <w:tcPr>
            <w:tcW w:w="2277" w:type="dxa"/>
            <w:gridSpan w:val="2"/>
          </w:tcPr>
          <w:p>
            <w:pPr>
              <w:keepNext w:val="0"/>
              <w:keepLines w:val="0"/>
              <w:pageBreakBefore w:val="0"/>
              <w:widowControl w:val="0"/>
              <w:kinsoku/>
              <w:wordWrap/>
              <w:overflowPunct/>
              <w:topLinePunct w:val="0"/>
              <w:autoSpaceDE/>
              <w:autoSpaceDN/>
              <w:bidi w:val="0"/>
              <w:adjustRightInd/>
              <w:snapToGrid/>
              <w:spacing w:line="400" w:lineRule="exact"/>
              <w:jc w:val="center"/>
              <w:textAlignment w:val="bottom"/>
              <w:outlineLvl w:val="9"/>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期末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9" w:hRule="exact"/>
          <w:jc w:val="center"/>
        </w:trPr>
        <w:tc>
          <w:tcPr>
            <w:tcW w:w="2952" w:type="dxa"/>
            <w:gridSpan w:val="2"/>
            <w:vMerge w:val="continue"/>
            <w:tcBorders>
              <w:top w:val="single" w:color="auto" w:sz="4" w:space="0"/>
              <w:left w:val="single" w:color="auto" w:sz="4" w:space="0"/>
              <w:bottom w:val="single" w:color="auto" w:sz="4" w:space="0"/>
              <w:right w:val="single" w:color="auto" w:sz="4" w:space="0"/>
            </w:tcBorders>
          </w:tcPr>
          <w:p>
            <w:pPr>
              <w:rPr>
                <w:rFonts w:hint="default" w:ascii="Times New Roman" w:hAnsi="Times New Roman" w:cs="Times New Roman"/>
              </w:rPr>
            </w:pPr>
          </w:p>
        </w:tc>
        <w:tc>
          <w:tcPr>
            <w:tcW w:w="1350"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400" w:lineRule="exact"/>
              <w:jc w:val="center"/>
              <w:textAlignment w:val="bottom"/>
              <w:outlineLvl w:val="9"/>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数量</w:t>
            </w:r>
          </w:p>
        </w:tc>
        <w:tc>
          <w:tcPr>
            <w:tcW w:w="990"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400" w:lineRule="exact"/>
              <w:jc w:val="center"/>
              <w:textAlignment w:val="bottom"/>
              <w:outlineLvl w:val="9"/>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比例</w:t>
            </w:r>
          </w:p>
        </w:tc>
        <w:tc>
          <w:tcPr>
            <w:tcW w:w="1305" w:type="dxa"/>
            <w:vMerge w:val="continue"/>
            <w:tcBorders>
              <w:top w:val="single" w:color="auto" w:sz="4" w:space="0"/>
              <w:left w:val="single" w:color="auto" w:sz="4" w:space="0"/>
              <w:bottom w:val="single" w:color="auto" w:sz="4" w:space="0"/>
              <w:right w:val="single" w:color="auto" w:sz="4" w:space="0"/>
            </w:tcBorders>
          </w:tcPr>
          <w:p>
            <w:pPr>
              <w:rPr>
                <w:rFonts w:hint="default" w:ascii="Times New Roman" w:hAnsi="Times New Roman" w:cs="Times New Roman"/>
              </w:rPr>
            </w:pPr>
          </w:p>
        </w:tc>
        <w:tc>
          <w:tcPr>
            <w:tcW w:w="1320"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400" w:lineRule="exact"/>
              <w:jc w:val="center"/>
              <w:textAlignment w:val="bottom"/>
              <w:outlineLvl w:val="9"/>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数量</w:t>
            </w:r>
          </w:p>
        </w:tc>
        <w:tc>
          <w:tcPr>
            <w:tcW w:w="95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400" w:lineRule="exact"/>
              <w:jc w:val="center"/>
              <w:textAlignment w:val="bottom"/>
              <w:outlineLvl w:val="9"/>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92" w:type="dxa"/>
            <w:vMerge w:val="restart"/>
            <w:tcBorders>
              <w:top w:val="single" w:color="auto" w:sz="4" w:space="0"/>
              <w:left w:val="single" w:color="auto" w:sz="4" w:space="0"/>
              <w:bottom w:val="single" w:color="auto" w:sz="4" w:space="0"/>
              <w:right w:val="single" w:color="auto" w:sz="4" w:space="0"/>
            </w:tcBorders>
            <w:vAlign w:val="center"/>
          </w:tcPr>
          <w:p>
            <w:pPr>
              <w:spacing w:line="300" w:lineRule="exact"/>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无限售条件股份</w:t>
            </w:r>
          </w:p>
        </w:tc>
        <w:tc>
          <w:tcPr>
            <w:tcW w:w="216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无限售股份总数</w:t>
            </w:r>
          </w:p>
        </w:tc>
        <w:tc>
          <w:tcPr>
            <w:tcW w:w="13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487440540</w:t>
            </w:r>
          </w:p>
        </w:tc>
        <w:tc>
          <w:tcPr>
            <w:tcW w:w="99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94.00%</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2"/>
                <w:szCs w:val="22"/>
                <w:highlight w:val="none"/>
                <w:u w:val="none"/>
                <w:lang w:val="en-US" w:eastAsia="zh-CN"/>
              </w:rPr>
              <w:t>26072007</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2"/>
                <w:sz w:val="22"/>
                <w:szCs w:val="22"/>
                <w:highlight w:val="none"/>
                <w:u w:val="none"/>
                <w:lang w:val="en-US" w:eastAsia="zh-CN" w:bidi="ar-SA"/>
              </w:rPr>
            </w:pPr>
            <w:r>
              <w:rPr>
                <w:rFonts w:hint="default" w:ascii="Times New Roman" w:hAnsi="Times New Roman" w:eastAsia="宋体" w:cs="Times New Roman"/>
                <w:i w:val="0"/>
                <w:iCs w:val="0"/>
                <w:color w:val="auto"/>
                <w:kern w:val="0"/>
                <w:sz w:val="22"/>
                <w:szCs w:val="22"/>
                <w:highlight w:val="none"/>
                <w:u w:val="none"/>
                <w:lang w:val="en-US" w:eastAsia="zh-CN"/>
              </w:rPr>
              <w:t>513512547</w:t>
            </w:r>
          </w:p>
        </w:tc>
        <w:tc>
          <w:tcPr>
            <w:tcW w:w="95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95.22%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92"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216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其中：控股股东、实际控制人</w:t>
            </w:r>
          </w:p>
        </w:tc>
        <w:tc>
          <w:tcPr>
            <w:tcW w:w="135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99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p>
        </w:tc>
        <w:tc>
          <w:tcPr>
            <w:tcW w:w="95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92"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216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董事、高管</w:t>
            </w:r>
          </w:p>
        </w:tc>
        <w:tc>
          <w:tcPr>
            <w:tcW w:w="135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99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p>
        </w:tc>
        <w:tc>
          <w:tcPr>
            <w:tcW w:w="95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92"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216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核心员工</w:t>
            </w:r>
          </w:p>
        </w:tc>
        <w:tc>
          <w:tcPr>
            <w:tcW w:w="135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99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p>
        </w:tc>
        <w:tc>
          <w:tcPr>
            <w:tcW w:w="95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792" w:type="dxa"/>
            <w:vMerge w:val="restart"/>
            <w:tcBorders>
              <w:top w:val="single" w:color="auto" w:sz="4" w:space="0"/>
              <w:left w:val="single" w:color="auto" w:sz="4" w:space="0"/>
              <w:bottom w:val="single" w:color="auto" w:sz="4" w:space="0"/>
              <w:right w:val="single" w:color="auto" w:sz="4" w:space="0"/>
            </w:tcBorders>
            <w:vAlign w:val="center"/>
          </w:tcPr>
          <w:p>
            <w:pPr>
              <w:spacing w:line="300" w:lineRule="exact"/>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有限售条件股份</w:t>
            </w:r>
          </w:p>
        </w:tc>
        <w:tc>
          <w:tcPr>
            <w:tcW w:w="216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有限售股份总数</w:t>
            </w:r>
          </w:p>
        </w:tc>
        <w:tc>
          <w:tcPr>
            <w:tcW w:w="13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0"/>
                <w:szCs w:val="21"/>
                <w:highlight w:val="none"/>
              </w:rPr>
            </w:pPr>
            <w:r>
              <w:rPr>
                <w:rFonts w:hint="default" w:ascii="Times New Roman" w:hAnsi="Times New Roman" w:eastAsia="宋体" w:cs="Times New Roman"/>
                <w:b w:val="0"/>
                <w:bCs/>
                <w:color w:val="auto"/>
                <w:spacing w:val="10"/>
                <w:kern w:val="0"/>
                <w:sz w:val="20"/>
                <w:szCs w:val="20"/>
                <w:highlight w:val="none"/>
                <w:lang w:val="en-US" w:eastAsia="zh-CN"/>
              </w:rPr>
              <w:t>31116733</w:t>
            </w:r>
          </w:p>
        </w:tc>
        <w:tc>
          <w:tcPr>
            <w:tcW w:w="99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6.00%</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-5330242</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25786491</w:t>
            </w:r>
          </w:p>
        </w:tc>
        <w:tc>
          <w:tcPr>
            <w:tcW w:w="95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92"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216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其中：控股股东、实际控制人</w:t>
            </w:r>
          </w:p>
        </w:tc>
        <w:tc>
          <w:tcPr>
            <w:tcW w:w="135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99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p>
        </w:tc>
        <w:tc>
          <w:tcPr>
            <w:tcW w:w="95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92"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216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董事、高管</w:t>
            </w:r>
          </w:p>
        </w:tc>
        <w:tc>
          <w:tcPr>
            <w:tcW w:w="135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宋体" w:cs="Times New Roman"/>
                <w:b w:val="0"/>
                <w:bCs/>
                <w:color w:val="auto"/>
                <w:spacing w:val="10"/>
                <w:kern w:val="0"/>
                <w:sz w:val="20"/>
                <w:szCs w:val="20"/>
                <w:highlight w:val="none"/>
                <w:lang w:val="en-US" w:eastAsia="zh-CN"/>
              </w:rPr>
              <w:t>2014685</w:t>
            </w:r>
          </w:p>
        </w:tc>
        <w:tc>
          <w:tcPr>
            <w:tcW w:w="99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0.39%</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-53502</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1961183</w:t>
            </w:r>
          </w:p>
        </w:tc>
        <w:tc>
          <w:tcPr>
            <w:tcW w:w="95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92"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216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核心员工</w:t>
            </w:r>
          </w:p>
        </w:tc>
        <w:tc>
          <w:tcPr>
            <w:tcW w:w="135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99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p>
        </w:tc>
        <w:tc>
          <w:tcPr>
            <w:tcW w:w="95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2952"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总股本</w:t>
            </w:r>
          </w:p>
        </w:tc>
        <w:tc>
          <w:tcPr>
            <w:tcW w:w="13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rPr>
              <w:t>518557273</w:t>
            </w:r>
          </w:p>
        </w:tc>
        <w:tc>
          <w:tcPr>
            <w:tcW w:w="99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100%</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20741765</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539299038</w:t>
            </w:r>
          </w:p>
        </w:tc>
        <w:tc>
          <w:tcPr>
            <w:tcW w:w="95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jc w:val="center"/>
        </w:trPr>
        <w:tc>
          <w:tcPr>
            <w:tcW w:w="2952"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普通股股东人数</w:t>
            </w:r>
          </w:p>
        </w:tc>
        <w:tc>
          <w:tcPr>
            <w:tcW w:w="135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1187</w:t>
            </w:r>
          </w:p>
        </w:tc>
        <w:tc>
          <w:tcPr>
            <w:tcW w:w="99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c>
          <w:tcPr>
            <w:tcW w:w="1305"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-2</w:t>
            </w:r>
          </w:p>
        </w:tc>
        <w:tc>
          <w:tcPr>
            <w:tcW w:w="132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1185</w:t>
            </w:r>
          </w:p>
        </w:tc>
        <w:tc>
          <w:tcPr>
            <w:tcW w:w="957"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w:t>
            </w:r>
          </w:p>
        </w:tc>
      </w:tr>
    </w:tbl>
    <w:p>
      <w:pPr>
        <w:spacing w:line="300" w:lineRule="exact"/>
        <w:rPr>
          <w:rStyle w:val="106"/>
          <w:rFonts w:hint="default" w:ascii="Times New Roman" w:hAnsi="Times New Roman" w:eastAsia="宋体" w:cs="Times New Roman"/>
          <w:b/>
          <w:color w:val="auto"/>
          <w:highlight w:val="none"/>
        </w:rPr>
      </w:pPr>
    </w:p>
    <w:p>
      <w:pPr>
        <w:keepNext w:val="0"/>
        <w:keepLines w:val="0"/>
        <w:pageBreakBefore w:val="0"/>
        <w:widowControl w:val="0"/>
        <w:kinsoku/>
        <w:wordWrap/>
        <w:overflowPunct/>
        <w:topLinePunct w:val="0"/>
        <w:autoSpaceDE/>
        <w:autoSpaceDN/>
        <w:bidi w:val="0"/>
        <w:adjustRightInd/>
        <w:snapToGrid/>
        <w:spacing w:line="480" w:lineRule="exact"/>
        <w:ind w:firstLine="604" w:firstLineChars="200"/>
        <w:textAlignment w:val="auto"/>
        <w:rPr>
          <w:rFonts w:hint="default" w:ascii="Times New Roman" w:hAnsi="Times New Roman" w:eastAsia="仿宋_GB2312" w:cs="Times New Roman"/>
          <w:b/>
          <w:color w:val="auto"/>
          <w:sz w:val="28"/>
          <w:szCs w:val="28"/>
          <w:highlight w:val="none"/>
        </w:rPr>
      </w:pPr>
      <w:r>
        <w:rPr>
          <w:rFonts w:hint="default" w:ascii="Times New Roman" w:hAnsi="Times New Roman" w:eastAsia="仿宋_GB2312" w:cs="Times New Roman"/>
          <w:b/>
          <w:color w:val="auto"/>
          <w:sz w:val="28"/>
          <w:szCs w:val="28"/>
          <w:highlight w:val="none"/>
        </w:rPr>
        <w:t>（二）报告期末普通股</w:t>
      </w:r>
      <w:r>
        <w:rPr>
          <w:rFonts w:hint="default" w:ascii="Times New Roman" w:hAnsi="Times New Roman" w:eastAsia="仿宋_GB2312" w:cs="Times New Roman"/>
          <w:b/>
          <w:color w:val="auto"/>
          <w:sz w:val="28"/>
          <w:szCs w:val="28"/>
          <w:highlight w:val="none"/>
          <w:lang w:eastAsia="zh-CN"/>
        </w:rPr>
        <w:t>持股</w:t>
      </w:r>
      <w:r>
        <w:rPr>
          <w:rFonts w:hint="default" w:ascii="Times New Roman" w:hAnsi="Times New Roman" w:eastAsia="仿宋_GB2312" w:cs="Times New Roman"/>
          <w:b/>
          <w:color w:val="auto"/>
          <w:sz w:val="28"/>
          <w:szCs w:val="28"/>
          <w:highlight w:val="none"/>
          <w:lang w:val="en-US" w:eastAsia="zh-CN"/>
        </w:rPr>
        <w:t>1%以上股东（含普通股持股前十大股东）</w:t>
      </w:r>
    </w:p>
    <w:p>
      <w:pPr>
        <w:spacing w:line="300" w:lineRule="exact"/>
        <w:jc w:val="right"/>
        <w:rPr>
          <w:rStyle w:val="106"/>
          <w:rFonts w:hint="default" w:ascii="Times New Roman" w:hAnsi="Times New Roman" w:eastAsia="仿宋_GB2312" w:cs="Times New Roman"/>
          <w:bCs/>
          <w:color w:val="auto"/>
          <w:szCs w:val="21"/>
          <w:highlight w:val="none"/>
        </w:rPr>
      </w:pPr>
      <w:r>
        <w:rPr>
          <w:rFonts w:hint="default" w:ascii="Times New Roman" w:hAnsi="Times New Roman" w:eastAsia="仿宋_GB2312" w:cs="Times New Roman"/>
          <w:color w:val="auto"/>
          <w:spacing w:val="10"/>
          <w:kern w:val="0"/>
          <w:szCs w:val="21"/>
          <w:highlight w:val="none"/>
        </w:rPr>
        <w:t>单位：股</w:t>
      </w:r>
    </w:p>
    <w:tbl>
      <w:tblPr>
        <w:tblStyle w:val="25"/>
        <w:tblW w:w="98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1920"/>
        <w:gridCol w:w="1305"/>
        <w:gridCol w:w="1155"/>
        <w:gridCol w:w="1267"/>
        <w:gridCol w:w="968"/>
        <w:gridCol w:w="1293"/>
        <w:gridCol w:w="14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0" w:hRule="atLeast"/>
          <w:jc w:val="center"/>
        </w:trPr>
        <w:tc>
          <w:tcPr>
            <w:tcW w:w="570" w:type="dxa"/>
            <w:vAlign w:val="center"/>
          </w:tcPr>
          <w:p>
            <w:pPr>
              <w:spacing w:line="300" w:lineRule="exact"/>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序号</w:t>
            </w:r>
          </w:p>
        </w:tc>
        <w:tc>
          <w:tcPr>
            <w:tcW w:w="1920" w:type="dxa"/>
            <w:vAlign w:val="center"/>
          </w:tcPr>
          <w:p>
            <w:pPr>
              <w:spacing w:line="300" w:lineRule="exact"/>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股东名称</w:t>
            </w:r>
          </w:p>
        </w:tc>
        <w:tc>
          <w:tcPr>
            <w:tcW w:w="1305" w:type="dxa"/>
            <w:vAlign w:val="center"/>
          </w:tcPr>
          <w:p>
            <w:pPr>
              <w:spacing w:line="300" w:lineRule="exact"/>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期初</w:t>
            </w:r>
          </w:p>
          <w:p>
            <w:pPr>
              <w:spacing w:line="300" w:lineRule="exact"/>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持股数</w:t>
            </w:r>
          </w:p>
        </w:tc>
        <w:tc>
          <w:tcPr>
            <w:tcW w:w="1155" w:type="dxa"/>
            <w:vAlign w:val="center"/>
          </w:tcPr>
          <w:p>
            <w:pPr>
              <w:spacing w:line="300" w:lineRule="exact"/>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持股</w:t>
            </w:r>
          </w:p>
          <w:p>
            <w:pPr>
              <w:spacing w:line="300" w:lineRule="exact"/>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变动</w:t>
            </w:r>
          </w:p>
        </w:tc>
        <w:tc>
          <w:tcPr>
            <w:tcW w:w="1267" w:type="dxa"/>
            <w:vAlign w:val="center"/>
          </w:tcPr>
          <w:p>
            <w:pPr>
              <w:spacing w:line="300" w:lineRule="exact"/>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期末</w:t>
            </w:r>
          </w:p>
          <w:p>
            <w:pPr>
              <w:spacing w:line="300" w:lineRule="exact"/>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持股数</w:t>
            </w:r>
          </w:p>
        </w:tc>
        <w:tc>
          <w:tcPr>
            <w:tcW w:w="968" w:type="dxa"/>
            <w:vAlign w:val="center"/>
          </w:tcPr>
          <w:p>
            <w:pPr>
              <w:spacing w:line="300" w:lineRule="exact"/>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期末持股比例</w:t>
            </w:r>
          </w:p>
        </w:tc>
        <w:tc>
          <w:tcPr>
            <w:tcW w:w="1293" w:type="dxa"/>
            <w:vAlign w:val="center"/>
          </w:tcPr>
          <w:p>
            <w:pPr>
              <w:spacing w:line="300" w:lineRule="exact"/>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期末持有限售股份数量</w:t>
            </w:r>
          </w:p>
        </w:tc>
        <w:tc>
          <w:tcPr>
            <w:tcW w:w="1411" w:type="dxa"/>
            <w:vAlign w:val="center"/>
          </w:tcPr>
          <w:p>
            <w:pPr>
              <w:spacing w:line="300" w:lineRule="exact"/>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期末持有无限售股份数量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 w:hRule="atLeast"/>
          <w:jc w:val="center"/>
        </w:trPr>
        <w:tc>
          <w:tcPr>
            <w:tcW w:w="57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1</w:t>
            </w:r>
          </w:p>
        </w:tc>
        <w:tc>
          <w:tcPr>
            <w:tcW w:w="1920"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江苏紫金农村商业银行股份有限公司</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103712279</w:t>
            </w:r>
          </w:p>
        </w:tc>
        <w:tc>
          <w:tcPr>
            <w:tcW w:w="115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4148491</w:t>
            </w:r>
          </w:p>
        </w:tc>
        <w:tc>
          <w:tcPr>
            <w:tcW w:w="126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107860770</w:t>
            </w:r>
          </w:p>
        </w:tc>
        <w:tc>
          <w:tcPr>
            <w:tcW w:w="96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20.00%</w:t>
            </w:r>
          </w:p>
        </w:tc>
        <w:tc>
          <w:tcPr>
            <w:tcW w:w="1293"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0</w:t>
            </w:r>
          </w:p>
        </w:tc>
        <w:tc>
          <w:tcPr>
            <w:tcW w:w="141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107860770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7" w:hRule="atLeast"/>
          <w:jc w:val="center"/>
        </w:trPr>
        <w:tc>
          <w:tcPr>
            <w:tcW w:w="57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2</w:t>
            </w:r>
          </w:p>
        </w:tc>
        <w:tc>
          <w:tcPr>
            <w:tcW w:w="1920"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南京长江发展股份有限公司</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30691370</w:t>
            </w:r>
          </w:p>
        </w:tc>
        <w:tc>
          <w:tcPr>
            <w:tcW w:w="115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1227654</w:t>
            </w:r>
          </w:p>
        </w:tc>
        <w:tc>
          <w:tcPr>
            <w:tcW w:w="126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31919024</w:t>
            </w:r>
          </w:p>
        </w:tc>
        <w:tc>
          <w:tcPr>
            <w:tcW w:w="96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5.92%</w:t>
            </w:r>
          </w:p>
        </w:tc>
        <w:tc>
          <w:tcPr>
            <w:tcW w:w="1293"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0</w:t>
            </w:r>
          </w:p>
        </w:tc>
        <w:tc>
          <w:tcPr>
            <w:tcW w:w="141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31919024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3</w:t>
            </w:r>
          </w:p>
        </w:tc>
        <w:tc>
          <w:tcPr>
            <w:tcW w:w="1920"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常州乔尔塑料有限公司</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19009619</w:t>
            </w:r>
          </w:p>
        </w:tc>
        <w:tc>
          <w:tcPr>
            <w:tcW w:w="115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760384</w:t>
            </w:r>
          </w:p>
        </w:tc>
        <w:tc>
          <w:tcPr>
            <w:tcW w:w="126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19770003</w:t>
            </w:r>
          </w:p>
        </w:tc>
        <w:tc>
          <w:tcPr>
            <w:tcW w:w="96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3.67%</w:t>
            </w:r>
          </w:p>
        </w:tc>
        <w:tc>
          <w:tcPr>
            <w:tcW w:w="1293"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0</w:t>
            </w:r>
          </w:p>
        </w:tc>
        <w:tc>
          <w:tcPr>
            <w:tcW w:w="141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19770003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4</w:t>
            </w:r>
          </w:p>
        </w:tc>
        <w:tc>
          <w:tcPr>
            <w:tcW w:w="1920"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南京金腾橡塑有限公司</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13323209</w:t>
            </w:r>
          </w:p>
        </w:tc>
        <w:tc>
          <w:tcPr>
            <w:tcW w:w="115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532928</w:t>
            </w:r>
          </w:p>
        </w:tc>
        <w:tc>
          <w:tcPr>
            <w:tcW w:w="126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13856137</w:t>
            </w:r>
          </w:p>
        </w:tc>
        <w:tc>
          <w:tcPr>
            <w:tcW w:w="96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2.57%</w:t>
            </w:r>
          </w:p>
        </w:tc>
        <w:tc>
          <w:tcPr>
            <w:tcW w:w="1293"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0</w:t>
            </w:r>
          </w:p>
        </w:tc>
        <w:tc>
          <w:tcPr>
            <w:tcW w:w="141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13856137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5</w:t>
            </w:r>
          </w:p>
        </w:tc>
        <w:tc>
          <w:tcPr>
            <w:tcW w:w="1920"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南京炼油厂有限责任公司</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12964033</w:t>
            </w:r>
          </w:p>
        </w:tc>
        <w:tc>
          <w:tcPr>
            <w:tcW w:w="115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518561</w:t>
            </w:r>
          </w:p>
        </w:tc>
        <w:tc>
          <w:tcPr>
            <w:tcW w:w="126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13482594</w:t>
            </w:r>
          </w:p>
        </w:tc>
        <w:tc>
          <w:tcPr>
            <w:tcW w:w="96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2.50%</w:t>
            </w:r>
          </w:p>
        </w:tc>
        <w:tc>
          <w:tcPr>
            <w:tcW w:w="1293"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0</w:t>
            </w:r>
          </w:p>
        </w:tc>
        <w:tc>
          <w:tcPr>
            <w:tcW w:w="141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13482594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黑体" w:cs="Times New Roman"/>
                <w:color w:val="auto"/>
                <w:kern w:val="0"/>
                <w:sz w:val="24"/>
                <w:szCs w:val="24"/>
                <w:highlight w:val="none"/>
                <w:lang w:val="en-US" w:eastAsia="zh-CN"/>
              </w:rPr>
            </w:pPr>
            <w:r>
              <w:rPr>
                <w:rFonts w:hint="default" w:ascii="Times New Roman" w:hAnsi="Times New Roman" w:eastAsia="黑体" w:cs="Times New Roman"/>
                <w:color w:val="auto"/>
                <w:kern w:val="0"/>
                <w:sz w:val="24"/>
                <w:szCs w:val="24"/>
                <w:highlight w:val="none"/>
                <w:lang w:val="en-US" w:eastAsia="zh-CN"/>
              </w:rPr>
              <w:t>6</w:t>
            </w:r>
          </w:p>
        </w:tc>
        <w:tc>
          <w:tcPr>
            <w:tcW w:w="1920"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rPr>
              <w:t>南京浦泰房地产开发有限公司</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12964033</w:t>
            </w:r>
          </w:p>
        </w:tc>
        <w:tc>
          <w:tcPr>
            <w:tcW w:w="115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518561</w:t>
            </w:r>
          </w:p>
        </w:tc>
        <w:tc>
          <w:tcPr>
            <w:tcW w:w="126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13482594</w:t>
            </w:r>
          </w:p>
        </w:tc>
        <w:tc>
          <w:tcPr>
            <w:tcW w:w="96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2.50%</w:t>
            </w:r>
          </w:p>
        </w:tc>
        <w:tc>
          <w:tcPr>
            <w:tcW w:w="1293"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0</w:t>
            </w:r>
          </w:p>
        </w:tc>
        <w:tc>
          <w:tcPr>
            <w:tcW w:w="141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13482594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黑体" w:cs="Times New Roman"/>
                <w:color w:val="auto"/>
                <w:kern w:val="0"/>
                <w:sz w:val="24"/>
                <w:szCs w:val="24"/>
                <w:highlight w:val="none"/>
                <w:lang w:val="en-US" w:eastAsia="zh-CN"/>
              </w:rPr>
            </w:pPr>
            <w:r>
              <w:rPr>
                <w:rFonts w:hint="default" w:ascii="Times New Roman" w:hAnsi="Times New Roman" w:eastAsia="黑体" w:cs="Times New Roman"/>
                <w:color w:val="auto"/>
                <w:kern w:val="0"/>
                <w:sz w:val="24"/>
                <w:szCs w:val="24"/>
                <w:highlight w:val="none"/>
                <w:lang w:val="en-US" w:eastAsia="zh-CN"/>
              </w:rPr>
              <w:t>7</w:t>
            </w:r>
          </w:p>
        </w:tc>
        <w:tc>
          <w:tcPr>
            <w:tcW w:w="1920"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rPr>
              <w:t>江苏宝润置业有限公司</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12276546</w:t>
            </w:r>
          </w:p>
        </w:tc>
        <w:tc>
          <w:tcPr>
            <w:tcW w:w="115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491061</w:t>
            </w:r>
          </w:p>
        </w:tc>
        <w:tc>
          <w:tcPr>
            <w:tcW w:w="126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12767607</w:t>
            </w:r>
          </w:p>
        </w:tc>
        <w:tc>
          <w:tcPr>
            <w:tcW w:w="96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2.37%</w:t>
            </w:r>
          </w:p>
        </w:tc>
        <w:tc>
          <w:tcPr>
            <w:tcW w:w="1293"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10000000</w:t>
            </w:r>
          </w:p>
        </w:tc>
        <w:tc>
          <w:tcPr>
            <w:tcW w:w="141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2767607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黑体" w:cs="Times New Roman"/>
                <w:color w:val="auto"/>
                <w:kern w:val="0"/>
                <w:sz w:val="24"/>
                <w:szCs w:val="24"/>
                <w:highlight w:val="none"/>
                <w:lang w:val="en-US" w:eastAsia="zh-CN"/>
              </w:rPr>
            </w:pPr>
            <w:r>
              <w:rPr>
                <w:rFonts w:hint="default" w:ascii="Times New Roman" w:hAnsi="Times New Roman" w:eastAsia="黑体" w:cs="Times New Roman"/>
                <w:color w:val="auto"/>
                <w:kern w:val="0"/>
                <w:sz w:val="24"/>
                <w:szCs w:val="24"/>
                <w:highlight w:val="none"/>
                <w:lang w:val="en-US" w:eastAsia="zh-CN"/>
              </w:rPr>
              <w:t>8</w:t>
            </w:r>
          </w:p>
        </w:tc>
        <w:tc>
          <w:tcPr>
            <w:tcW w:w="1920"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rPr>
              <w:t>南京兴业建设有限公司</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7754375</w:t>
            </w:r>
          </w:p>
        </w:tc>
        <w:tc>
          <w:tcPr>
            <w:tcW w:w="115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310175</w:t>
            </w:r>
          </w:p>
        </w:tc>
        <w:tc>
          <w:tcPr>
            <w:tcW w:w="126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8064550</w:t>
            </w:r>
          </w:p>
        </w:tc>
        <w:tc>
          <w:tcPr>
            <w:tcW w:w="96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1.50%</w:t>
            </w:r>
          </w:p>
        </w:tc>
        <w:tc>
          <w:tcPr>
            <w:tcW w:w="1293"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0</w:t>
            </w:r>
          </w:p>
        </w:tc>
        <w:tc>
          <w:tcPr>
            <w:tcW w:w="141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8064550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黑体" w:cs="Times New Roman"/>
                <w:color w:val="auto"/>
                <w:kern w:val="0"/>
                <w:sz w:val="24"/>
                <w:szCs w:val="24"/>
                <w:highlight w:val="none"/>
                <w:lang w:val="en-US" w:eastAsia="zh-CN"/>
              </w:rPr>
            </w:pPr>
            <w:r>
              <w:rPr>
                <w:rFonts w:hint="default" w:ascii="Times New Roman" w:hAnsi="Times New Roman" w:eastAsia="黑体" w:cs="Times New Roman"/>
                <w:color w:val="auto"/>
                <w:kern w:val="0"/>
                <w:sz w:val="24"/>
                <w:szCs w:val="24"/>
                <w:highlight w:val="none"/>
                <w:lang w:val="en-US" w:eastAsia="zh-CN"/>
              </w:rPr>
              <w:t>9</w:t>
            </w:r>
          </w:p>
        </w:tc>
        <w:tc>
          <w:tcPr>
            <w:tcW w:w="1920"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王起龙</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6138273</w:t>
            </w:r>
          </w:p>
        </w:tc>
        <w:tc>
          <w:tcPr>
            <w:tcW w:w="115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245530</w:t>
            </w:r>
          </w:p>
        </w:tc>
        <w:tc>
          <w:tcPr>
            <w:tcW w:w="126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6383803</w:t>
            </w:r>
          </w:p>
        </w:tc>
        <w:tc>
          <w:tcPr>
            <w:tcW w:w="96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1.18%</w:t>
            </w:r>
          </w:p>
        </w:tc>
        <w:tc>
          <w:tcPr>
            <w:tcW w:w="1293"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0</w:t>
            </w:r>
          </w:p>
        </w:tc>
        <w:tc>
          <w:tcPr>
            <w:tcW w:w="141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6383803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黑体" w:cs="Times New Roman"/>
                <w:color w:val="auto"/>
                <w:kern w:val="0"/>
                <w:sz w:val="24"/>
                <w:szCs w:val="24"/>
                <w:highlight w:val="none"/>
                <w:lang w:val="en-US" w:eastAsia="zh-CN"/>
              </w:rPr>
            </w:pPr>
            <w:r>
              <w:rPr>
                <w:rFonts w:hint="default" w:ascii="Times New Roman" w:hAnsi="Times New Roman" w:eastAsia="黑体" w:cs="Times New Roman"/>
                <w:color w:val="auto"/>
                <w:kern w:val="0"/>
                <w:sz w:val="24"/>
                <w:szCs w:val="24"/>
                <w:highlight w:val="none"/>
                <w:lang w:val="en-US" w:eastAsia="zh-CN"/>
              </w:rPr>
              <w:t>10</w:t>
            </w:r>
          </w:p>
        </w:tc>
        <w:tc>
          <w:tcPr>
            <w:tcW w:w="1920"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江苏祥弘建设有限公司</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6059907</w:t>
            </w:r>
          </w:p>
        </w:tc>
        <w:tc>
          <w:tcPr>
            <w:tcW w:w="115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242396</w:t>
            </w:r>
          </w:p>
        </w:tc>
        <w:tc>
          <w:tcPr>
            <w:tcW w:w="126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6302303</w:t>
            </w:r>
          </w:p>
        </w:tc>
        <w:tc>
          <w:tcPr>
            <w:tcW w:w="96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1.17%</w:t>
            </w:r>
          </w:p>
        </w:tc>
        <w:tc>
          <w:tcPr>
            <w:tcW w:w="1293"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0</w:t>
            </w:r>
          </w:p>
        </w:tc>
        <w:tc>
          <w:tcPr>
            <w:tcW w:w="141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6302303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黑体" w:cs="Times New Roman"/>
                <w:color w:val="auto"/>
                <w:kern w:val="0"/>
                <w:sz w:val="24"/>
                <w:szCs w:val="24"/>
                <w:highlight w:val="none"/>
                <w:lang w:val="en-US" w:eastAsia="zh-CN"/>
              </w:rPr>
            </w:pPr>
            <w:r>
              <w:rPr>
                <w:rFonts w:hint="default" w:ascii="Times New Roman" w:hAnsi="Times New Roman" w:eastAsia="黑体" w:cs="Times New Roman"/>
                <w:color w:val="auto"/>
                <w:kern w:val="0"/>
                <w:sz w:val="24"/>
                <w:szCs w:val="24"/>
                <w:highlight w:val="none"/>
                <w:lang w:val="en-US" w:eastAsia="zh-CN"/>
              </w:rPr>
              <w:t>11</w:t>
            </w:r>
          </w:p>
        </w:tc>
        <w:tc>
          <w:tcPr>
            <w:tcW w:w="1920"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南京淳达科技发展有限公司</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5713942</w:t>
            </w:r>
          </w:p>
        </w:tc>
        <w:tc>
          <w:tcPr>
            <w:tcW w:w="115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228557</w:t>
            </w:r>
          </w:p>
        </w:tc>
        <w:tc>
          <w:tcPr>
            <w:tcW w:w="126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5942499</w:t>
            </w:r>
          </w:p>
        </w:tc>
        <w:tc>
          <w:tcPr>
            <w:tcW w:w="96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1.10%</w:t>
            </w:r>
          </w:p>
        </w:tc>
        <w:tc>
          <w:tcPr>
            <w:tcW w:w="1293"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0</w:t>
            </w:r>
          </w:p>
        </w:tc>
        <w:tc>
          <w:tcPr>
            <w:tcW w:w="141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5942499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490"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合计</w:t>
            </w:r>
          </w:p>
        </w:tc>
        <w:tc>
          <w:tcPr>
            <w:tcW w:w="1305"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230607586</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9224298</w:t>
            </w: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239831884</w:t>
            </w:r>
          </w:p>
        </w:tc>
        <w:tc>
          <w:tcPr>
            <w:tcW w:w="9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44.47%</w:t>
            </w:r>
          </w:p>
        </w:tc>
        <w:tc>
          <w:tcPr>
            <w:tcW w:w="1293"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10000000</w:t>
            </w:r>
          </w:p>
        </w:tc>
        <w:tc>
          <w:tcPr>
            <w:tcW w:w="141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229831884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89" w:type="dxa"/>
            <w:gridSpan w:val="8"/>
            <w:tcBorders>
              <w:top w:val="single" w:color="auto" w:sz="4" w:space="0"/>
              <w:left w:val="single" w:color="auto" w:sz="4" w:space="0"/>
              <w:bottom w:val="single" w:color="auto" w:sz="4" w:space="0"/>
              <w:right w:val="single" w:color="auto" w:sz="4" w:space="0"/>
            </w:tcBorders>
          </w:tcPr>
          <w:p>
            <w:pPr>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前</w:t>
            </w:r>
            <w:r>
              <w:rPr>
                <w:rFonts w:hint="default" w:ascii="Times New Roman" w:hAnsi="Times New Roman" w:eastAsia="仿宋_GB2312" w:cs="Times New Roman"/>
                <w:color w:val="auto"/>
                <w:kern w:val="0"/>
                <w:szCs w:val="21"/>
                <w:highlight w:val="none"/>
                <w:lang w:eastAsia="zh-CN"/>
              </w:rPr>
              <w:t>十</w:t>
            </w:r>
            <w:r>
              <w:rPr>
                <w:rFonts w:hint="default" w:ascii="Times New Roman" w:hAnsi="Times New Roman" w:eastAsia="仿宋_GB2312" w:cs="Times New Roman"/>
                <w:color w:val="auto"/>
                <w:kern w:val="0"/>
                <w:szCs w:val="21"/>
                <w:highlight w:val="none"/>
              </w:rPr>
              <w:t>名或持股10%及以上股东间相互关系说明：本行前</w:t>
            </w:r>
            <w:r>
              <w:rPr>
                <w:rFonts w:hint="default" w:ascii="Times New Roman" w:hAnsi="Times New Roman" w:eastAsia="仿宋_GB2312" w:cs="Times New Roman"/>
                <w:color w:val="auto"/>
                <w:kern w:val="0"/>
                <w:szCs w:val="21"/>
                <w:highlight w:val="none"/>
                <w:lang w:eastAsia="zh-CN"/>
              </w:rPr>
              <w:t>十</w:t>
            </w:r>
            <w:r>
              <w:rPr>
                <w:rFonts w:hint="default" w:ascii="Times New Roman" w:hAnsi="Times New Roman" w:eastAsia="仿宋_GB2312" w:cs="Times New Roman"/>
                <w:color w:val="auto"/>
                <w:kern w:val="0"/>
                <w:szCs w:val="21"/>
                <w:highlight w:val="none"/>
              </w:rPr>
              <w:t>大股东之间无关联关系。</w:t>
            </w:r>
          </w:p>
        </w:tc>
      </w:tr>
    </w:tbl>
    <w:p>
      <w:pPr>
        <w:keepNext w:val="0"/>
        <w:keepLines w:val="0"/>
        <w:pageBreakBefore w:val="0"/>
        <w:widowControl w:val="0"/>
        <w:kinsoku/>
        <w:wordWrap/>
        <w:overflowPunct/>
        <w:topLinePunct w:val="0"/>
        <w:autoSpaceDE/>
        <w:autoSpaceDN/>
        <w:bidi w:val="0"/>
        <w:adjustRightInd/>
        <w:snapToGrid/>
        <w:spacing w:line="480" w:lineRule="exact"/>
        <w:ind w:firstLine="604" w:firstLineChars="200"/>
        <w:textAlignment w:val="auto"/>
        <w:rPr>
          <w:rFonts w:hint="default" w:ascii="Times New Roman" w:hAnsi="Times New Roman" w:eastAsia="黑体" w:cs="Times New Roman"/>
          <w:bCs/>
          <w:color w:val="auto"/>
          <w:sz w:val="28"/>
          <w:szCs w:val="28"/>
          <w:highlight w:val="none"/>
          <w:lang w:val="en-US" w:eastAsia="zh-CN"/>
        </w:rPr>
      </w:pPr>
      <w:r>
        <w:rPr>
          <w:rFonts w:hint="default" w:ascii="Times New Roman" w:hAnsi="Times New Roman" w:eastAsia="黑体" w:cs="Times New Roman"/>
          <w:bCs/>
          <w:color w:val="auto"/>
          <w:sz w:val="28"/>
          <w:szCs w:val="28"/>
          <w:highlight w:val="none"/>
        </w:rPr>
        <w:t>二、</w:t>
      </w:r>
      <w:r>
        <w:rPr>
          <w:rFonts w:hint="default" w:ascii="Times New Roman" w:hAnsi="Times New Roman" w:eastAsia="黑体" w:cs="Times New Roman"/>
          <w:bCs/>
          <w:color w:val="auto"/>
          <w:sz w:val="28"/>
          <w:szCs w:val="28"/>
          <w:highlight w:val="none"/>
          <w:lang w:val="en-US" w:eastAsia="zh-CN"/>
        </w:rPr>
        <w:t>主要股东情况</w:t>
      </w:r>
    </w:p>
    <w:tbl>
      <w:tblPr>
        <w:tblStyle w:val="25"/>
        <w:tblW w:w="93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2250"/>
        <w:gridCol w:w="4487"/>
        <w:gridCol w:w="822"/>
        <w:gridCol w:w="1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5" w:hRule="atLeast"/>
          <w:jc w:val="center"/>
        </w:trPr>
        <w:tc>
          <w:tcPr>
            <w:tcW w:w="600" w:type="dxa"/>
            <w:vAlign w:val="center"/>
          </w:tcPr>
          <w:p>
            <w:pPr>
              <w:spacing w:line="300" w:lineRule="exact"/>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序号</w:t>
            </w:r>
          </w:p>
        </w:tc>
        <w:tc>
          <w:tcPr>
            <w:tcW w:w="2250" w:type="dxa"/>
            <w:vAlign w:val="center"/>
          </w:tcPr>
          <w:p>
            <w:pPr>
              <w:spacing w:line="300" w:lineRule="exact"/>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股东名称</w:t>
            </w:r>
          </w:p>
        </w:tc>
        <w:tc>
          <w:tcPr>
            <w:tcW w:w="4487" w:type="dxa"/>
            <w:vAlign w:val="center"/>
          </w:tcPr>
          <w:p>
            <w:pPr>
              <w:spacing w:line="300" w:lineRule="exact"/>
              <w:jc w:val="center"/>
              <w:textAlignment w:val="bottom"/>
              <w:rPr>
                <w:rFonts w:hint="default" w:ascii="Times New Roman" w:hAnsi="Times New Roman" w:eastAsia="黑体" w:cs="Times New Roman"/>
                <w:color w:val="auto"/>
                <w:kern w:val="0"/>
                <w:sz w:val="24"/>
                <w:szCs w:val="24"/>
                <w:highlight w:val="none"/>
                <w:lang w:val="en-US" w:eastAsia="zh-CN"/>
              </w:rPr>
            </w:pPr>
            <w:r>
              <w:rPr>
                <w:rFonts w:hint="default" w:ascii="Times New Roman" w:hAnsi="Times New Roman" w:eastAsia="黑体" w:cs="Times New Roman"/>
                <w:color w:val="auto"/>
                <w:kern w:val="0"/>
                <w:sz w:val="24"/>
                <w:szCs w:val="24"/>
                <w:highlight w:val="none"/>
                <w:lang w:val="en-US" w:eastAsia="zh-CN"/>
              </w:rPr>
              <w:t>主要股东控制的法人或非法人组织</w:t>
            </w:r>
          </w:p>
        </w:tc>
        <w:tc>
          <w:tcPr>
            <w:tcW w:w="822" w:type="dxa"/>
            <w:vAlign w:val="center"/>
          </w:tcPr>
          <w:p>
            <w:pPr>
              <w:spacing w:line="300" w:lineRule="exact"/>
              <w:jc w:val="center"/>
              <w:textAlignment w:val="bottom"/>
              <w:rPr>
                <w:rFonts w:hint="default" w:ascii="Times New Roman" w:hAnsi="Times New Roman" w:eastAsia="黑体" w:cs="Times New Roman"/>
                <w:color w:val="auto"/>
                <w:kern w:val="0"/>
                <w:sz w:val="24"/>
                <w:szCs w:val="24"/>
                <w:highlight w:val="none"/>
                <w:lang w:val="en-US" w:eastAsia="zh-CN"/>
              </w:rPr>
            </w:pPr>
            <w:r>
              <w:rPr>
                <w:rFonts w:hint="default" w:ascii="Times New Roman" w:hAnsi="Times New Roman" w:eastAsia="黑体" w:cs="Times New Roman"/>
                <w:color w:val="auto"/>
                <w:kern w:val="0"/>
                <w:sz w:val="24"/>
                <w:szCs w:val="24"/>
                <w:highlight w:val="none"/>
                <w:lang w:val="en-US" w:eastAsia="zh-CN"/>
              </w:rPr>
              <w:t>是否</w:t>
            </w:r>
          </w:p>
          <w:p>
            <w:pPr>
              <w:spacing w:line="300" w:lineRule="exact"/>
              <w:jc w:val="center"/>
              <w:textAlignment w:val="bottom"/>
              <w:rPr>
                <w:rFonts w:hint="default" w:ascii="Times New Roman" w:hAnsi="Times New Roman" w:eastAsia="黑体" w:cs="Times New Roman"/>
                <w:color w:val="auto"/>
                <w:kern w:val="0"/>
                <w:sz w:val="24"/>
                <w:szCs w:val="24"/>
                <w:highlight w:val="none"/>
                <w:lang w:val="en-US" w:eastAsia="zh-CN"/>
              </w:rPr>
            </w:pPr>
            <w:r>
              <w:rPr>
                <w:rFonts w:hint="default" w:ascii="Times New Roman" w:hAnsi="Times New Roman" w:eastAsia="黑体" w:cs="Times New Roman"/>
                <w:color w:val="auto"/>
                <w:kern w:val="0"/>
                <w:sz w:val="24"/>
                <w:szCs w:val="24"/>
                <w:highlight w:val="none"/>
                <w:lang w:val="en-US" w:eastAsia="zh-CN"/>
              </w:rPr>
              <w:t>董事</w:t>
            </w:r>
          </w:p>
        </w:tc>
        <w:tc>
          <w:tcPr>
            <w:tcW w:w="1170" w:type="dxa"/>
            <w:vAlign w:val="center"/>
          </w:tcPr>
          <w:p>
            <w:pPr>
              <w:spacing w:line="300" w:lineRule="exact"/>
              <w:jc w:val="center"/>
              <w:textAlignment w:val="bottom"/>
              <w:rPr>
                <w:rFonts w:hint="default" w:ascii="Times New Roman" w:hAnsi="Times New Roman" w:eastAsia="黑体" w:cs="Times New Roman"/>
                <w:color w:val="auto"/>
                <w:kern w:val="0"/>
                <w:sz w:val="24"/>
                <w:szCs w:val="24"/>
                <w:highlight w:val="none"/>
                <w:lang w:val="en-US" w:eastAsia="zh-CN"/>
              </w:rPr>
            </w:pPr>
            <w:r>
              <w:rPr>
                <w:rFonts w:hint="default" w:ascii="Times New Roman" w:hAnsi="Times New Roman" w:eastAsia="黑体" w:cs="Times New Roman"/>
                <w:color w:val="auto"/>
                <w:kern w:val="0"/>
                <w:sz w:val="24"/>
                <w:szCs w:val="24"/>
                <w:highlight w:val="none"/>
                <w:lang w:val="en-US" w:eastAsia="zh-CN"/>
              </w:rPr>
              <w:t>质押或冻结情况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jc w:val="center"/>
        </w:trPr>
        <w:tc>
          <w:tcPr>
            <w:tcW w:w="60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1</w:t>
            </w:r>
          </w:p>
        </w:tc>
        <w:tc>
          <w:tcPr>
            <w:tcW w:w="2250"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江苏紫金农村商业银行股份有限公司</w:t>
            </w:r>
          </w:p>
        </w:tc>
        <w:tc>
          <w:tcPr>
            <w:tcW w:w="448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w:t>
            </w:r>
          </w:p>
        </w:tc>
        <w:tc>
          <w:tcPr>
            <w:tcW w:w="82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董事</w:t>
            </w:r>
          </w:p>
        </w:tc>
        <w:tc>
          <w:tcPr>
            <w:tcW w:w="117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 w:hRule="atLeast"/>
          <w:jc w:val="center"/>
        </w:trPr>
        <w:tc>
          <w:tcPr>
            <w:tcW w:w="600" w:type="dxa"/>
            <w:vMerge w:val="restart"/>
            <w:tcBorders>
              <w:top w:val="single" w:color="auto" w:sz="4" w:space="0"/>
              <w:left w:val="single" w:color="auto" w:sz="4" w:space="0"/>
              <w:right w:val="single" w:color="auto" w:sz="4" w:space="0"/>
            </w:tcBorders>
            <w:vAlign w:val="center"/>
          </w:tcPr>
          <w:p>
            <w:pPr>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2</w:t>
            </w:r>
          </w:p>
        </w:tc>
        <w:tc>
          <w:tcPr>
            <w:tcW w:w="2250" w:type="dxa"/>
            <w:vMerge w:val="restart"/>
            <w:tcBorders>
              <w:top w:val="single" w:color="auto" w:sz="4" w:space="0"/>
              <w:left w:val="single" w:color="auto" w:sz="4" w:space="0"/>
              <w:right w:val="single" w:color="auto" w:sz="4" w:space="0"/>
            </w:tcBorders>
            <w:vAlign w:val="center"/>
          </w:tcPr>
          <w:p>
            <w:pPr>
              <w:widowControl/>
              <w:spacing w:line="280" w:lineRule="exact"/>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南京长江发展股份有限公司</w:t>
            </w:r>
          </w:p>
        </w:tc>
        <w:tc>
          <w:tcPr>
            <w:tcW w:w="448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南京长发房地产开发有限责任公司</w:t>
            </w:r>
          </w:p>
        </w:tc>
        <w:tc>
          <w:tcPr>
            <w:tcW w:w="822" w:type="dxa"/>
            <w:vMerge w:val="restart"/>
            <w:tcBorders>
              <w:top w:val="single" w:color="auto" w:sz="4" w:space="0"/>
              <w:left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董事</w:t>
            </w:r>
          </w:p>
        </w:tc>
        <w:tc>
          <w:tcPr>
            <w:tcW w:w="1170" w:type="dxa"/>
            <w:vMerge w:val="restart"/>
            <w:tcBorders>
              <w:top w:val="single" w:color="auto" w:sz="4" w:space="0"/>
              <w:left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 w:hRule="atLeast"/>
          <w:jc w:val="center"/>
        </w:trPr>
        <w:tc>
          <w:tcPr>
            <w:tcW w:w="60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225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448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南京长江联合贸易有限公司</w:t>
            </w:r>
          </w:p>
        </w:tc>
        <w:tc>
          <w:tcPr>
            <w:tcW w:w="822"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1170" w:type="dxa"/>
            <w:vMerge w:val="continue"/>
            <w:tcBorders>
              <w:left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5" w:hRule="atLeast"/>
          <w:jc w:val="center"/>
        </w:trPr>
        <w:tc>
          <w:tcPr>
            <w:tcW w:w="600" w:type="dxa"/>
            <w:vMerge w:val="restart"/>
            <w:tcBorders>
              <w:top w:val="single" w:color="auto" w:sz="4" w:space="0"/>
              <w:left w:val="single" w:color="auto" w:sz="4" w:space="0"/>
              <w:right w:val="single" w:color="auto" w:sz="4" w:space="0"/>
            </w:tcBorders>
            <w:vAlign w:val="center"/>
          </w:tcPr>
          <w:p>
            <w:pPr>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3</w:t>
            </w:r>
          </w:p>
        </w:tc>
        <w:tc>
          <w:tcPr>
            <w:tcW w:w="2250" w:type="dxa"/>
            <w:vMerge w:val="restart"/>
            <w:tcBorders>
              <w:top w:val="single" w:color="auto" w:sz="4" w:space="0"/>
              <w:left w:val="single" w:color="auto" w:sz="4" w:space="0"/>
              <w:right w:val="single" w:color="auto" w:sz="4" w:space="0"/>
            </w:tcBorders>
            <w:vAlign w:val="center"/>
          </w:tcPr>
          <w:p>
            <w:pPr>
              <w:widowControl/>
              <w:spacing w:line="280" w:lineRule="exact"/>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常州乔尔塑料有限公司</w:t>
            </w:r>
          </w:p>
        </w:tc>
        <w:tc>
          <w:tcPr>
            <w:tcW w:w="448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乔晖科技（上海）有限责任公司</w:t>
            </w:r>
          </w:p>
        </w:tc>
        <w:tc>
          <w:tcPr>
            <w:tcW w:w="822" w:type="dxa"/>
            <w:vMerge w:val="restart"/>
            <w:tcBorders>
              <w:top w:val="single" w:color="auto" w:sz="4" w:space="0"/>
              <w:left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董事</w:t>
            </w:r>
          </w:p>
        </w:tc>
        <w:tc>
          <w:tcPr>
            <w:tcW w:w="1170" w:type="dxa"/>
            <w:vMerge w:val="restart"/>
            <w:tcBorders>
              <w:top w:val="single" w:color="auto" w:sz="4" w:space="0"/>
              <w:left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5" w:hRule="atLeast"/>
          <w:jc w:val="center"/>
        </w:trPr>
        <w:tc>
          <w:tcPr>
            <w:tcW w:w="600" w:type="dxa"/>
            <w:vMerge w:val="continue"/>
            <w:tcBorders>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2250" w:type="dxa"/>
            <w:vMerge w:val="continue"/>
            <w:tcBorders>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448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江苏如意高科新能源有限公司</w:t>
            </w:r>
          </w:p>
        </w:tc>
        <w:tc>
          <w:tcPr>
            <w:tcW w:w="822" w:type="dxa"/>
            <w:vMerge w:val="continue"/>
            <w:tcBorders>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1170" w:type="dxa"/>
            <w:vMerge w:val="continue"/>
            <w:tcBorders>
              <w:left w:val="single" w:color="auto" w:sz="4" w:space="0"/>
              <w:bottom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00" w:type="dxa"/>
            <w:tcBorders>
              <w:top w:val="single" w:color="auto" w:sz="4" w:space="0"/>
              <w:left w:val="single" w:color="auto" w:sz="4" w:space="0"/>
              <w:bottom w:val="single" w:color="auto" w:sz="4" w:space="0"/>
              <w:right w:val="single" w:color="auto" w:sz="4" w:space="0"/>
            </w:tcBorders>
            <w:vAlign w:val="center"/>
          </w:tcPr>
          <w:p>
            <w:pPr>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4</w:t>
            </w:r>
          </w:p>
        </w:tc>
        <w:tc>
          <w:tcPr>
            <w:tcW w:w="2250"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南京金腾橡塑有限公司</w:t>
            </w:r>
          </w:p>
        </w:tc>
        <w:tc>
          <w:tcPr>
            <w:tcW w:w="448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w:t>
            </w:r>
          </w:p>
        </w:tc>
        <w:tc>
          <w:tcPr>
            <w:tcW w:w="82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董事</w:t>
            </w:r>
          </w:p>
        </w:tc>
        <w:tc>
          <w:tcPr>
            <w:tcW w:w="117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 w:hRule="atLeast"/>
          <w:jc w:val="center"/>
        </w:trPr>
        <w:tc>
          <w:tcPr>
            <w:tcW w:w="600" w:type="dxa"/>
            <w:vMerge w:val="restart"/>
            <w:tcBorders>
              <w:top w:val="single" w:color="auto" w:sz="4" w:space="0"/>
              <w:left w:val="single" w:color="auto" w:sz="4" w:space="0"/>
              <w:right w:val="single" w:color="auto" w:sz="4" w:space="0"/>
            </w:tcBorders>
            <w:vAlign w:val="center"/>
          </w:tcPr>
          <w:p>
            <w:pPr>
              <w:jc w:val="center"/>
              <w:textAlignment w:val="bottom"/>
              <w:rPr>
                <w:rFonts w:hint="default" w:ascii="Times New Roman" w:hAnsi="Times New Roman" w:eastAsia="黑体" w:cs="Times New Roman"/>
                <w:color w:val="auto"/>
                <w:kern w:val="0"/>
                <w:sz w:val="24"/>
                <w:szCs w:val="24"/>
                <w:highlight w:val="none"/>
              </w:rPr>
            </w:pPr>
            <w:r>
              <w:rPr>
                <w:rFonts w:hint="default" w:ascii="Times New Roman" w:hAnsi="Times New Roman" w:eastAsia="黑体" w:cs="Times New Roman"/>
                <w:color w:val="auto"/>
                <w:kern w:val="0"/>
                <w:sz w:val="24"/>
                <w:szCs w:val="24"/>
                <w:highlight w:val="none"/>
              </w:rPr>
              <w:t>5</w:t>
            </w:r>
          </w:p>
        </w:tc>
        <w:tc>
          <w:tcPr>
            <w:tcW w:w="2250" w:type="dxa"/>
            <w:vMerge w:val="restart"/>
            <w:tcBorders>
              <w:top w:val="single" w:color="auto" w:sz="4" w:space="0"/>
              <w:left w:val="single" w:color="auto" w:sz="4" w:space="0"/>
              <w:right w:val="single" w:color="auto" w:sz="4" w:space="0"/>
            </w:tcBorders>
            <w:vAlign w:val="center"/>
          </w:tcPr>
          <w:p>
            <w:pPr>
              <w:widowControl/>
              <w:spacing w:line="280" w:lineRule="exact"/>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南京炼油厂有限责任公司</w:t>
            </w:r>
          </w:p>
        </w:tc>
        <w:tc>
          <w:tcPr>
            <w:tcW w:w="448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湖北南炼新材料有限公司</w:t>
            </w:r>
          </w:p>
        </w:tc>
        <w:tc>
          <w:tcPr>
            <w:tcW w:w="822" w:type="dxa"/>
            <w:vMerge w:val="restart"/>
            <w:tcBorders>
              <w:top w:val="single" w:color="auto" w:sz="4" w:space="0"/>
              <w:left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董事</w:t>
            </w:r>
          </w:p>
        </w:tc>
        <w:tc>
          <w:tcPr>
            <w:tcW w:w="1170" w:type="dxa"/>
            <w:vMerge w:val="restart"/>
            <w:tcBorders>
              <w:top w:val="single" w:color="auto" w:sz="4" w:space="0"/>
              <w:left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 w:hRule="atLeast"/>
          <w:jc w:val="center"/>
        </w:trPr>
        <w:tc>
          <w:tcPr>
            <w:tcW w:w="60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225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448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南京万象新材料科技有限责任公司</w:t>
            </w:r>
          </w:p>
        </w:tc>
        <w:tc>
          <w:tcPr>
            <w:tcW w:w="822"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1170" w:type="dxa"/>
            <w:vMerge w:val="continue"/>
            <w:tcBorders>
              <w:left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 w:hRule="atLeast"/>
          <w:jc w:val="center"/>
        </w:trPr>
        <w:tc>
          <w:tcPr>
            <w:tcW w:w="60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225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448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南京栖霞区红叶农村小额贷款有限公司</w:t>
            </w:r>
          </w:p>
        </w:tc>
        <w:tc>
          <w:tcPr>
            <w:tcW w:w="822"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1170" w:type="dxa"/>
            <w:vMerge w:val="continue"/>
            <w:tcBorders>
              <w:left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 w:hRule="atLeast"/>
          <w:jc w:val="center"/>
        </w:trPr>
        <w:tc>
          <w:tcPr>
            <w:tcW w:w="60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225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448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eastAsia="zh-CN"/>
              </w:rPr>
              <w:t>江苏炼兴船务有限公司</w:t>
            </w:r>
          </w:p>
        </w:tc>
        <w:tc>
          <w:tcPr>
            <w:tcW w:w="822"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1170" w:type="dxa"/>
            <w:vMerge w:val="continue"/>
            <w:tcBorders>
              <w:left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 w:hRule="atLeast"/>
          <w:jc w:val="center"/>
        </w:trPr>
        <w:tc>
          <w:tcPr>
            <w:tcW w:w="60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225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448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南京栖霞化工有限公司</w:t>
            </w:r>
          </w:p>
        </w:tc>
        <w:tc>
          <w:tcPr>
            <w:tcW w:w="822"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1170" w:type="dxa"/>
            <w:vMerge w:val="continue"/>
            <w:tcBorders>
              <w:left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 w:hRule="atLeast"/>
          <w:jc w:val="center"/>
        </w:trPr>
        <w:tc>
          <w:tcPr>
            <w:tcW w:w="60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225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448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江苏炼兴新材料股份有限公司</w:t>
            </w:r>
          </w:p>
        </w:tc>
        <w:tc>
          <w:tcPr>
            <w:tcW w:w="822"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1170" w:type="dxa"/>
            <w:vMerge w:val="continue"/>
            <w:tcBorders>
              <w:left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 w:hRule="atLeast"/>
          <w:jc w:val="center"/>
        </w:trPr>
        <w:tc>
          <w:tcPr>
            <w:tcW w:w="60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225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448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 xml:space="preserve">江苏星亚迪环境科技有限公司 </w:t>
            </w:r>
          </w:p>
        </w:tc>
        <w:tc>
          <w:tcPr>
            <w:tcW w:w="822"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1170" w:type="dxa"/>
            <w:vMerge w:val="continue"/>
            <w:tcBorders>
              <w:left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 w:hRule="atLeast"/>
          <w:jc w:val="center"/>
        </w:trPr>
        <w:tc>
          <w:tcPr>
            <w:tcW w:w="60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225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448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南京红叶石化有限公司</w:t>
            </w:r>
          </w:p>
        </w:tc>
        <w:tc>
          <w:tcPr>
            <w:tcW w:w="822"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1170" w:type="dxa"/>
            <w:vMerge w:val="continue"/>
            <w:tcBorders>
              <w:left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 w:hRule="atLeast"/>
          <w:jc w:val="center"/>
        </w:trPr>
        <w:tc>
          <w:tcPr>
            <w:tcW w:w="60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225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448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南京南炼石化有限公司</w:t>
            </w:r>
          </w:p>
        </w:tc>
        <w:tc>
          <w:tcPr>
            <w:tcW w:w="822"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1170" w:type="dxa"/>
            <w:vMerge w:val="continue"/>
            <w:tcBorders>
              <w:left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 w:hRule="atLeast"/>
          <w:jc w:val="center"/>
        </w:trPr>
        <w:tc>
          <w:tcPr>
            <w:tcW w:w="60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225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448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南京南炼物流贸易有限公司</w:t>
            </w:r>
          </w:p>
        </w:tc>
        <w:tc>
          <w:tcPr>
            <w:tcW w:w="822"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1170" w:type="dxa"/>
            <w:vMerge w:val="continue"/>
            <w:tcBorders>
              <w:left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 w:hRule="atLeast"/>
          <w:jc w:val="center"/>
        </w:trPr>
        <w:tc>
          <w:tcPr>
            <w:tcW w:w="60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225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448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南京南炼八卦洲物流有限公司</w:t>
            </w:r>
          </w:p>
        </w:tc>
        <w:tc>
          <w:tcPr>
            <w:tcW w:w="822"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1170" w:type="dxa"/>
            <w:vMerge w:val="continue"/>
            <w:tcBorders>
              <w:left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 w:hRule="atLeast"/>
          <w:jc w:val="center"/>
        </w:trPr>
        <w:tc>
          <w:tcPr>
            <w:tcW w:w="60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225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448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南京南炼宾馆管理有限公司</w:t>
            </w:r>
          </w:p>
        </w:tc>
        <w:tc>
          <w:tcPr>
            <w:tcW w:w="822"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1170" w:type="dxa"/>
            <w:vMerge w:val="continue"/>
            <w:tcBorders>
              <w:left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 w:hRule="atLeast"/>
          <w:jc w:val="center"/>
        </w:trPr>
        <w:tc>
          <w:tcPr>
            <w:tcW w:w="60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225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448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南京金凌石化工程设计有限公司</w:t>
            </w:r>
          </w:p>
        </w:tc>
        <w:tc>
          <w:tcPr>
            <w:tcW w:w="822"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1170" w:type="dxa"/>
            <w:vMerge w:val="continue"/>
            <w:tcBorders>
              <w:left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 w:hRule="atLeast"/>
          <w:jc w:val="center"/>
        </w:trPr>
        <w:tc>
          <w:tcPr>
            <w:tcW w:w="60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225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448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南京南炼华雄园林实业有限公司</w:t>
            </w:r>
          </w:p>
        </w:tc>
        <w:tc>
          <w:tcPr>
            <w:tcW w:w="822"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1170" w:type="dxa"/>
            <w:vMerge w:val="continue"/>
            <w:tcBorders>
              <w:left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 w:hRule="atLeast"/>
          <w:jc w:val="center"/>
        </w:trPr>
        <w:tc>
          <w:tcPr>
            <w:tcW w:w="60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2250"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448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ottom"/>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南京南炼液化气有限公司</w:t>
            </w:r>
          </w:p>
        </w:tc>
        <w:tc>
          <w:tcPr>
            <w:tcW w:w="822"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1170" w:type="dxa"/>
            <w:vMerge w:val="continue"/>
            <w:tcBorders>
              <w:left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00" w:type="dxa"/>
            <w:vMerge w:val="continue"/>
            <w:tcBorders>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2250" w:type="dxa"/>
            <w:vMerge w:val="continue"/>
            <w:tcBorders>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4487" w:type="dxa"/>
            <w:tcBorders>
              <w:top w:val="single" w:color="auto" w:sz="4" w:space="0"/>
              <w:left w:val="single" w:color="auto" w:sz="4" w:space="0"/>
              <w:bottom w:val="single" w:color="auto" w:sz="4" w:space="0"/>
              <w:right w:val="single" w:color="auto" w:sz="4" w:space="0"/>
            </w:tcBorders>
            <w:vAlign w:val="center"/>
          </w:tcPr>
          <w:p>
            <w:pPr>
              <w:widowControl/>
              <w:tabs>
                <w:tab w:val="center" w:pos="2051"/>
                <w:tab w:val="right" w:pos="3984"/>
              </w:tabs>
              <w:jc w:val="center"/>
              <w:textAlignment w:val="bottom"/>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南京南炼石油化工产品经营有限责任公司</w:t>
            </w:r>
          </w:p>
        </w:tc>
        <w:tc>
          <w:tcPr>
            <w:tcW w:w="822" w:type="dxa"/>
            <w:vMerge w:val="continue"/>
            <w:tcBorders>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1170" w:type="dxa"/>
            <w:vMerge w:val="continue"/>
            <w:tcBorders>
              <w:left w:val="single" w:color="auto" w:sz="4" w:space="0"/>
              <w:bottom w:val="single" w:color="auto" w:sz="4" w:space="0"/>
              <w:right w:val="single" w:color="auto" w:sz="4" w:space="0"/>
            </w:tcBorders>
            <w:vAlign w:val="center"/>
          </w:tcPr>
          <w:p>
            <w:pPr>
              <w:rPr>
                <w:rFonts w:hint="default" w:ascii="Times New Roman" w:hAnsi="Times New Roman" w:cs="Times New Roman"/>
              </w:rPr>
            </w:pPr>
          </w:p>
        </w:tc>
      </w:tr>
    </w:tbl>
    <w:p>
      <w:pPr>
        <w:keepNext w:val="0"/>
        <w:keepLines w:val="0"/>
        <w:pageBreakBefore w:val="0"/>
        <w:widowControl w:val="0"/>
        <w:kinsoku/>
        <w:wordWrap/>
        <w:overflowPunct/>
        <w:topLinePunct w:val="0"/>
        <w:bidi w:val="0"/>
        <w:snapToGrid/>
        <w:spacing w:line="480" w:lineRule="exact"/>
        <w:ind w:firstLine="604" w:firstLineChars="200"/>
        <w:textAlignment w:val="auto"/>
        <w:rPr>
          <w:rFonts w:hint="default" w:ascii="Times New Roman" w:hAnsi="Times New Roman" w:eastAsia="黑体" w:cs="Times New Roman"/>
          <w:bCs/>
          <w:color w:val="auto"/>
          <w:sz w:val="28"/>
          <w:szCs w:val="28"/>
          <w:highlight w:val="none"/>
          <w:lang w:eastAsia="zh-CN"/>
        </w:rPr>
      </w:pPr>
      <w:r>
        <w:rPr>
          <w:rFonts w:hint="default" w:ascii="Times New Roman" w:hAnsi="Times New Roman" w:eastAsia="黑体" w:cs="Times New Roman"/>
          <w:bCs/>
          <w:color w:val="auto"/>
          <w:sz w:val="28"/>
          <w:szCs w:val="28"/>
          <w:highlight w:val="none"/>
        </w:rPr>
        <w:t>三、存续至本期的优先股股票相关情况</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jc w:val="left"/>
        <w:textAlignment w:val="auto"/>
        <w:rPr>
          <w:rStyle w:val="106"/>
          <w:rFonts w:hint="default" w:ascii="Times New Roman" w:hAnsi="Times New Roman" w:eastAsia="仿宋_GB2312" w:cs="Times New Roman"/>
          <w:color w:val="auto"/>
          <w:spacing w:val="0"/>
          <w:sz w:val="28"/>
          <w:szCs w:val="28"/>
          <w:highlight w:val="none"/>
        </w:rPr>
      </w:pPr>
      <w:r>
        <w:rPr>
          <w:rStyle w:val="106"/>
          <w:rFonts w:hint="default" w:ascii="Times New Roman" w:hAnsi="Times New Roman" w:eastAsia="仿宋_GB2312" w:cs="Times New Roman"/>
          <w:color w:val="auto"/>
          <w:spacing w:val="0"/>
          <w:sz w:val="28"/>
          <w:szCs w:val="28"/>
          <w:highlight w:val="none"/>
        </w:rPr>
        <w:t>□适用 √不适用</w:t>
      </w:r>
    </w:p>
    <w:p>
      <w:pPr>
        <w:keepNext w:val="0"/>
        <w:keepLines w:val="0"/>
        <w:pageBreakBefore w:val="0"/>
        <w:widowControl w:val="0"/>
        <w:numPr>
          <w:ilvl w:val="0"/>
          <w:numId w:val="2"/>
        </w:numPr>
        <w:kinsoku/>
        <w:wordWrap/>
        <w:overflowPunct/>
        <w:topLinePunct w:val="0"/>
        <w:autoSpaceDE w:val="0"/>
        <w:autoSpaceDN w:val="0"/>
        <w:bidi w:val="0"/>
        <w:adjustRightInd w:val="0"/>
        <w:snapToGrid/>
        <w:spacing w:line="480" w:lineRule="exact"/>
        <w:ind w:left="0" w:firstLine="604" w:firstLineChars="200"/>
        <w:textAlignment w:val="auto"/>
        <w:rPr>
          <w:rFonts w:hint="default" w:ascii="Times New Roman" w:hAnsi="Times New Roman" w:eastAsia="黑体" w:cs="Times New Roman"/>
          <w:bCs/>
          <w:color w:val="auto"/>
          <w:sz w:val="28"/>
          <w:szCs w:val="28"/>
          <w:highlight w:val="none"/>
        </w:rPr>
      </w:pPr>
      <w:r>
        <w:rPr>
          <w:rFonts w:hint="default" w:ascii="Times New Roman" w:hAnsi="Times New Roman" w:eastAsia="黑体" w:cs="Times New Roman"/>
          <w:bCs/>
          <w:color w:val="auto"/>
          <w:sz w:val="28"/>
          <w:szCs w:val="28"/>
          <w:highlight w:val="none"/>
        </w:rPr>
        <w:t>控股股东、实际控制人情况是否合并披露</w:t>
      </w:r>
    </w:p>
    <w:p>
      <w:pPr>
        <w:keepNext w:val="0"/>
        <w:keepLines w:val="0"/>
        <w:pageBreakBefore w:val="0"/>
        <w:widowControl w:val="0"/>
        <w:kinsoku/>
        <w:wordWrap/>
        <w:overflowPunct/>
        <w:topLinePunct w:val="0"/>
        <w:autoSpaceDE w:val="0"/>
        <w:autoSpaceDN w:val="0"/>
        <w:bidi w:val="0"/>
        <w:adjustRightInd w:val="0"/>
        <w:snapToGrid/>
        <w:spacing w:line="480" w:lineRule="exact"/>
        <w:ind w:left="0" w:firstLine="604" w:firstLineChars="200"/>
        <w:textAlignment w:val="auto"/>
        <w:rPr>
          <w:rStyle w:val="106"/>
          <w:rFonts w:hint="default" w:ascii="Times New Roman" w:hAnsi="Times New Roman" w:eastAsia="仿宋_GB2312" w:cs="Times New Roman"/>
          <w:color w:val="auto"/>
          <w:spacing w:val="0"/>
          <w:sz w:val="28"/>
          <w:szCs w:val="28"/>
          <w:highlight w:val="none"/>
        </w:rPr>
      </w:pPr>
      <w:r>
        <w:rPr>
          <w:rStyle w:val="106"/>
          <w:rFonts w:hint="default" w:ascii="Times New Roman" w:hAnsi="Times New Roman" w:eastAsia="仿宋_GB2312" w:cs="Times New Roman"/>
          <w:color w:val="auto"/>
          <w:spacing w:val="0"/>
          <w:sz w:val="28"/>
          <w:szCs w:val="28"/>
          <w:highlight w:val="none"/>
        </w:rPr>
        <w:t>□是 √否</w:t>
      </w:r>
    </w:p>
    <w:p>
      <w:pPr>
        <w:keepNext w:val="0"/>
        <w:keepLines w:val="0"/>
        <w:pageBreakBefore w:val="0"/>
        <w:widowControl w:val="0"/>
        <w:kinsoku/>
        <w:wordWrap/>
        <w:overflowPunct/>
        <w:topLinePunct w:val="0"/>
        <w:bidi w:val="0"/>
        <w:snapToGrid/>
        <w:spacing w:line="480" w:lineRule="exact"/>
        <w:ind w:firstLine="604" w:firstLineChars="200"/>
        <w:textAlignment w:val="auto"/>
        <w:rPr>
          <w:rFonts w:hint="default" w:ascii="Times New Roman" w:hAnsi="Times New Roman" w:eastAsia="仿宋_GB2312" w:cs="Times New Roman"/>
          <w:b/>
          <w:color w:val="auto"/>
          <w:sz w:val="28"/>
          <w:szCs w:val="28"/>
          <w:highlight w:val="none"/>
        </w:rPr>
      </w:pPr>
      <w:r>
        <w:rPr>
          <w:rFonts w:hint="default" w:ascii="Times New Roman" w:hAnsi="Times New Roman" w:eastAsia="仿宋_GB2312" w:cs="Times New Roman"/>
          <w:b/>
          <w:color w:val="auto"/>
          <w:sz w:val="28"/>
          <w:szCs w:val="28"/>
          <w:highlight w:val="none"/>
        </w:rPr>
        <w:t>（一）控股股东情况</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Style w:val="106"/>
          <w:rFonts w:hint="default" w:ascii="Times New Roman" w:hAnsi="Times New Roman" w:eastAsia="仿宋_GB2312" w:cs="Times New Roman"/>
          <w:color w:val="auto"/>
          <w:spacing w:val="0"/>
          <w:sz w:val="28"/>
          <w:szCs w:val="28"/>
          <w:highlight w:val="none"/>
        </w:rPr>
      </w:pPr>
      <w:r>
        <w:rPr>
          <w:rStyle w:val="106"/>
          <w:rFonts w:hint="default" w:ascii="Times New Roman" w:hAnsi="Times New Roman" w:eastAsia="仿宋_GB2312" w:cs="Times New Roman"/>
          <w:color w:val="auto"/>
          <w:spacing w:val="0"/>
          <w:sz w:val="28"/>
          <w:szCs w:val="28"/>
          <w:highlight w:val="none"/>
        </w:rPr>
        <w:t>本行无控股股东，报告期内无变化。</w:t>
      </w:r>
    </w:p>
    <w:p>
      <w:pPr>
        <w:keepNext w:val="0"/>
        <w:keepLines w:val="0"/>
        <w:pageBreakBefore w:val="0"/>
        <w:widowControl w:val="0"/>
        <w:kinsoku/>
        <w:wordWrap/>
        <w:overflowPunct/>
        <w:topLinePunct w:val="0"/>
        <w:bidi w:val="0"/>
        <w:snapToGrid/>
        <w:spacing w:line="480" w:lineRule="exact"/>
        <w:ind w:firstLine="604" w:firstLineChars="200"/>
        <w:textAlignment w:val="auto"/>
        <w:rPr>
          <w:rFonts w:hint="default" w:ascii="Times New Roman" w:hAnsi="Times New Roman" w:eastAsia="仿宋_GB2312" w:cs="Times New Roman"/>
          <w:b/>
          <w:color w:val="auto"/>
          <w:sz w:val="28"/>
          <w:szCs w:val="28"/>
          <w:highlight w:val="none"/>
        </w:rPr>
      </w:pPr>
      <w:r>
        <w:rPr>
          <w:rFonts w:hint="default" w:ascii="Times New Roman" w:hAnsi="Times New Roman" w:eastAsia="仿宋_GB2312" w:cs="Times New Roman"/>
          <w:b/>
          <w:color w:val="auto"/>
          <w:sz w:val="28"/>
          <w:szCs w:val="28"/>
          <w:highlight w:val="none"/>
        </w:rPr>
        <w:t>（二）实际控制人情况</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Style w:val="106"/>
          <w:rFonts w:hint="default" w:ascii="Times New Roman" w:hAnsi="Times New Roman" w:eastAsia="仿宋_GB2312" w:cs="Times New Roman"/>
          <w:color w:val="auto"/>
          <w:spacing w:val="0"/>
          <w:sz w:val="28"/>
          <w:szCs w:val="28"/>
          <w:highlight w:val="none"/>
        </w:rPr>
      </w:pPr>
      <w:r>
        <w:rPr>
          <w:rStyle w:val="106"/>
          <w:rFonts w:hint="default" w:ascii="Times New Roman" w:hAnsi="Times New Roman" w:eastAsia="仿宋_GB2312" w:cs="Times New Roman"/>
          <w:color w:val="auto"/>
          <w:spacing w:val="0"/>
          <w:sz w:val="28"/>
          <w:szCs w:val="28"/>
          <w:highlight w:val="none"/>
        </w:rPr>
        <w:t>本行无实际控制人，报告期内无变化。</w:t>
      </w:r>
    </w:p>
    <w:p>
      <w:pPr>
        <w:pStyle w:val="12"/>
        <w:keepNext w:val="0"/>
        <w:keepLines w:val="0"/>
        <w:pageBreakBefore w:val="0"/>
        <w:widowControl w:val="0"/>
        <w:kinsoku/>
        <w:wordWrap/>
        <w:overflowPunct/>
        <w:topLinePunct w:val="0"/>
        <w:autoSpaceDE/>
        <w:autoSpaceDN/>
        <w:bidi w:val="0"/>
        <w:adjustRightInd/>
        <w:snapToGrid/>
        <w:spacing w:line="480" w:lineRule="exact"/>
        <w:ind w:left="0" w:leftChars="0" w:firstLine="604" w:firstLineChars="200"/>
        <w:textAlignment w:val="auto"/>
        <w:rPr>
          <w:rFonts w:hint="default" w:ascii="Times New Roman" w:hAnsi="Times New Roman" w:eastAsia="黑体" w:cs="Times New Roman"/>
          <w:bCs/>
          <w:color w:val="auto"/>
          <w:sz w:val="28"/>
          <w:szCs w:val="28"/>
          <w:highlight w:val="none"/>
          <w:lang w:eastAsia="zh-CN"/>
        </w:rPr>
      </w:pPr>
      <w:r>
        <w:rPr>
          <w:rFonts w:hint="default" w:ascii="Times New Roman" w:hAnsi="Times New Roman" w:eastAsia="黑体" w:cs="Times New Roman"/>
          <w:bCs/>
          <w:color w:val="auto"/>
          <w:sz w:val="28"/>
          <w:szCs w:val="28"/>
          <w:highlight w:val="none"/>
          <w:lang w:eastAsia="zh-CN"/>
        </w:rPr>
        <w:t>五、</w:t>
      </w:r>
      <w:r>
        <w:rPr>
          <w:rFonts w:hint="default" w:ascii="Times New Roman" w:hAnsi="Times New Roman" w:eastAsia="黑体" w:cs="Times New Roman"/>
          <w:bCs/>
          <w:color w:val="auto"/>
          <w:sz w:val="28"/>
          <w:szCs w:val="28"/>
          <w:highlight w:val="none"/>
        </w:rPr>
        <w:t>自愿披露的其他情况</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jc w:val="left"/>
        <w:textAlignment w:val="auto"/>
        <w:rPr>
          <w:rStyle w:val="106"/>
          <w:rFonts w:hint="default" w:ascii="Times New Roman" w:hAnsi="Times New Roman" w:eastAsia="仿宋_GB2312" w:cs="Times New Roman"/>
          <w:color w:val="auto"/>
          <w:spacing w:val="0"/>
          <w:sz w:val="28"/>
          <w:szCs w:val="28"/>
          <w:highlight w:val="none"/>
        </w:rPr>
      </w:pPr>
      <w:r>
        <w:rPr>
          <w:rStyle w:val="106"/>
          <w:rFonts w:hint="default" w:ascii="Times New Roman" w:hAnsi="Times New Roman" w:eastAsia="仿宋_GB2312" w:cs="Times New Roman"/>
          <w:color w:val="auto"/>
          <w:spacing w:val="0"/>
          <w:sz w:val="28"/>
          <w:szCs w:val="28"/>
          <w:highlight w:val="none"/>
        </w:rPr>
        <w:t>□适用 √不适用</w:t>
      </w:r>
    </w:p>
    <w:p>
      <w:pPr>
        <w:pStyle w:val="36"/>
        <w:rPr>
          <w:rFonts w:hint="default" w:ascii="Times New Roman" w:hAnsi="Times New Roman" w:cs="Times New Roman"/>
          <w:color w:val="auto"/>
          <w:highlight w:val="none"/>
        </w:rPr>
      </w:pPr>
    </w:p>
    <w:p>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default" w:ascii="Times New Roman" w:hAnsi="Times New Roman" w:eastAsia="黑体" w:cs="Times New Roman"/>
          <w:color w:val="auto"/>
          <w:kern w:val="0"/>
          <w:sz w:val="32"/>
          <w:szCs w:val="32"/>
          <w:highlight w:val="none"/>
        </w:rPr>
      </w:pPr>
      <w:r>
        <w:rPr>
          <w:rFonts w:hint="default" w:ascii="Times New Roman" w:hAnsi="Times New Roman" w:eastAsia="黑体" w:cs="Times New Roman"/>
          <w:color w:val="auto"/>
          <w:kern w:val="0"/>
          <w:sz w:val="32"/>
          <w:szCs w:val="32"/>
          <w:highlight w:val="none"/>
        </w:rPr>
        <w:t>第六节  董事、高级管理人员及核心员工情况</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44" w:firstLineChars="200"/>
        <w:textAlignment w:val="auto"/>
        <w:rPr>
          <w:rFonts w:hint="default" w:ascii="Times New Roman" w:hAnsi="Times New Roman" w:eastAsia="仿宋_GB2312" w:cs="Times New Roman"/>
          <w:b/>
          <w:color w:val="auto"/>
          <w:spacing w:val="10"/>
          <w:sz w:val="28"/>
          <w:szCs w:val="28"/>
          <w:highlight w:val="none"/>
        </w:rPr>
      </w:pPr>
    </w:p>
    <w:p>
      <w:pPr>
        <w:keepNext w:val="0"/>
        <w:keepLines w:val="0"/>
        <w:pageBreakBefore w:val="0"/>
        <w:widowControl w:val="0"/>
        <w:numPr>
          <w:ilvl w:val="0"/>
          <w:numId w:val="3"/>
        </w:numPr>
        <w:kinsoku/>
        <w:wordWrap/>
        <w:overflowPunct/>
        <w:topLinePunct w:val="0"/>
        <w:autoSpaceDE w:val="0"/>
        <w:autoSpaceDN w:val="0"/>
        <w:bidi w:val="0"/>
        <w:adjustRightInd w:val="0"/>
        <w:snapToGrid/>
        <w:spacing w:line="480" w:lineRule="exact"/>
        <w:ind w:left="0" w:firstLine="644" w:firstLineChars="200"/>
        <w:textAlignment w:val="auto"/>
        <w:rPr>
          <w:rFonts w:hint="default" w:ascii="Times New Roman" w:hAnsi="Times New Roman" w:eastAsia="黑体" w:cs="Times New Roman"/>
          <w:bCs/>
          <w:color w:val="auto"/>
          <w:spacing w:val="10"/>
          <w:sz w:val="28"/>
          <w:szCs w:val="28"/>
          <w:highlight w:val="none"/>
        </w:rPr>
      </w:pPr>
      <w:r>
        <w:rPr>
          <w:rFonts w:hint="default" w:ascii="Times New Roman" w:hAnsi="Times New Roman" w:eastAsia="黑体" w:cs="Times New Roman"/>
          <w:bCs/>
          <w:color w:val="auto"/>
          <w:spacing w:val="10"/>
          <w:sz w:val="28"/>
          <w:szCs w:val="28"/>
          <w:highlight w:val="none"/>
        </w:rPr>
        <w:t>董事、高级管理人员情况</w:t>
      </w:r>
    </w:p>
    <w:p>
      <w:pPr>
        <w:autoSpaceDE w:val="0"/>
        <w:autoSpaceDN w:val="0"/>
        <w:adjustRightInd w:val="0"/>
        <w:spacing w:line="480" w:lineRule="exact"/>
        <w:ind w:firstLine="644" w:firstLineChars="200"/>
        <w:rPr>
          <w:rFonts w:hint="default" w:ascii="Times New Roman" w:hAnsi="Times New Roman" w:eastAsia="黑体" w:cs="Times New Roman"/>
          <w:bCs/>
          <w:color w:val="auto"/>
          <w:spacing w:val="10"/>
          <w:sz w:val="28"/>
          <w:szCs w:val="28"/>
          <w:highlight w:val="none"/>
        </w:rPr>
      </w:pPr>
      <w:r>
        <w:rPr>
          <w:rFonts w:hint="default" w:ascii="Times New Roman" w:hAnsi="Times New Roman" w:eastAsia="仿宋_GB2312" w:cs="Times New Roman"/>
          <w:b/>
          <w:color w:val="auto"/>
          <w:spacing w:val="10"/>
          <w:sz w:val="28"/>
          <w:szCs w:val="28"/>
          <w:highlight w:val="none"/>
        </w:rPr>
        <w:t>（一）基本情况</w:t>
      </w:r>
    </w:p>
    <w:tbl>
      <w:tblPr>
        <w:tblStyle w:val="25"/>
        <w:tblpPr w:leftFromText="180" w:rightFromText="180" w:vertAnchor="text" w:horzAnchor="page" w:tblpX="1151" w:tblpY="469"/>
        <w:tblOverlap w:val="never"/>
        <w:tblW w:w="98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1605"/>
        <w:gridCol w:w="465"/>
        <w:gridCol w:w="1451"/>
        <w:gridCol w:w="1021"/>
        <w:gridCol w:w="2568"/>
        <w:gridCol w:w="1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trPr>
        <w:tc>
          <w:tcPr>
            <w:tcW w:w="990" w:type="dxa"/>
            <w:shd w:val="clear" w:color="auto" w:fill="auto"/>
            <w:vAlign w:val="center"/>
          </w:tcPr>
          <w:p>
            <w:pPr>
              <w:shd w:val="clear" w:color="auto" w:fill="auto"/>
              <w:autoSpaceDE w:val="0"/>
              <w:autoSpaceDN w:val="0"/>
              <w:adjustRightInd w:val="0"/>
              <w:jc w:val="center"/>
              <w:rPr>
                <w:rFonts w:hint="default" w:ascii="Times New Roman" w:hAnsi="Times New Roman" w:eastAsia="黑体" w:cs="Times New Roman"/>
                <w:bCs/>
                <w:color w:val="auto"/>
                <w:spacing w:val="10"/>
                <w:kern w:val="0"/>
                <w:sz w:val="24"/>
                <w:szCs w:val="24"/>
                <w:highlight w:val="none"/>
                <w:shd w:val="clear" w:color="FFFFFF" w:fill="D9D9D9"/>
              </w:rPr>
            </w:pPr>
            <w:r>
              <w:rPr>
                <w:rFonts w:hint="default" w:ascii="Times New Roman" w:hAnsi="Times New Roman" w:eastAsia="黑体" w:cs="Times New Roman"/>
                <w:bCs/>
                <w:color w:val="auto"/>
                <w:spacing w:val="10"/>
                <w:kern w:val="0"/>
                <w:sz w:val="24"/>
                <w:szCs w:val="24"/>
                <w:highlight w:val="none"/>
                <w:shd w:val="clear" w:color="FFFFFF" w:fill="auto"/>
              </w:rPr>
              <w:t>姓名</w:t>
            </w:r>
          </w:p>
        </w:tc>
        <w:tc>
          <w:tcPr>
            <w:tcW w:w="1605" w:type="dxa"/>
            <w:shd w:val="clear" w:color="auto" w:fill="auto"/>
            <w:vAlign w:val="center"/>
          </w:tcPr>
          <w:p>
            <w:pPr>
              <w:shd w:val="clear" w:color="auto" w:fill="auto"/>
              <w:autoSpaceDE w:val="0"/>
              <w:autoSpaceDN w:val="0"/>
              <w:adjustRightInd w:val="0"/>
              <w:jc w:val="center"/>
              <w:rPr>
                <w:rFonts w:hint="default" w:ascii="Times New Roman" w:hAnsi="Times New Roman" w:eastAsia="黑体" w:cs="Times New Roman"/>
                <w:bCs/>
                <w:color w:val="auto"/>
                <w:spacing w:val="10"/>
                <w:kern w:val="0"/>
                <w:sz w:val="24"/>
                <w:szCs w:val="24"/>
                <w:highlight w:val="none"/>
                <w:shd w:val="clear" w:color="FFFFFF" w:fill="D9D9D9"/>
              </w:rPr>
            </w:pPr>
            <w:r>
              <w:rPr>
                <w:rFonts w:hint="default" w:ascii="Times New Roman" w:hAnsi="Times New Roman" w:eastAsia="黑体" w:cs="Times New Roman"/>
                <w:bCs/>
                <w:color w:val="auto"/>
                <w:spacing w:val="10"/>
                <w:kern w:val="0"/>
                <w:sz w:val="24"/>
                <w:szCs w:val="24"/>
                <w:highlight w:val="none"/>
                <w:shd w:val="clear" w:color="FFFFFF" w:fill="auto"/>
              </w:rPr>
              <w:t>职务</w:t>
            </w:r>
          </w:p>
        </w:tc>
        <w:tc>
          <w:tcPr>
            <w:tcW w:w="465" w:type="dxa"/>
            <w:shd w:val="clear" w:color="auto" w:fill="auto"/>
            <w:vAlign w:val="center"/>
          </w:tcPr>
          <w:p>
            <w:pPr>
              <w:shd w:val="clear" w:color="auto" w:fill="auto"/>
              <w:autoSpaceDE w:val="0"/>
              <w:autoSpaceDN w:val="0"/>
              <w:adjustRightInd w:val="0"/>
              <w:spacing w:line="300" w:lineRule="exact"/>
              <w:jc w:val="center"/>
              <w:rPr>
                <w:rFonts w:hint="default" w:ascii="Times New Roman" w:hAnsi="Times New Roman" w:eastAsia="黑体" w:cs="Times New Roman"/>
                <w:bCs/>
                <w:color w:val="auto"/>
                <w:spacing w:val="10"/>
                <w:kern w:val="0"/>
                <w:sz w:val="24"/>
                <w:szCs w:val="24"/>
                <w:highlight w:val="none"/>
                <w:shd w:val="clear" w:color="FFFFFF" w:fill="D9D9D9"/>
              </w:rPr>
            </w:pPr>
            <w:r>
              <w:rPr>
                <w:rFonts w:hint="default" w:ascii="Times New Roman" w:hAnsi="Times New Roman" w:eastAsia="黑体" w:cs="Times New Roman"/>
                <w:bCs/>
                <w:color w:val="auto"/>
                <w:spacing w:val="10"/>
                <w:kern w:val="0"/>
                <w:sz w:val="24"/>
                <w:szCs w:val="24"/>
                <w:highlight w:val="none"/>
                <w:shd w:val="clear" w:color="FFFFFF" w:fill="auto"/>
              </w:rPr>
              <w:t>性别</w:t>
            </w:r>
          </w:p>
        </w:tc>
        <w:tc>
          <w:tcPr>
            <w:tcW w:w="1451" w:type="dxa"/>
            <w:shd w:val="clear" w:color="auto" w:fill="auto"/>
            <w:vAlign w:val="center"/>
          </w:tcPr>
          <w:p>
            <w:pPr>
              <w:shd w:val="clear" w:color="auto" w:fill="auto"/>
              <w:autoSpaceDE w:val="0"/>
              <w:autoSpaceDN w:val="0"/>
              <w:adjustRightInd w:val="0"/>
              <w:jc w:val="center"/>
              <w:rPr>
                <w:rFonts w:hint="default" w:ascii="Times New Roman" w:hAnsi="Times New Roman" w:eastAsia="黑体" w:cs="Times New Roman"/>
                <w:bCs/>
                <w:color w:val="auto"/>
                <w:spacing w:val="10"/>
                <w:kern w:val="0"/>
                <w:sz w:val="24"/>
                <w:szCs w:val="24"/>
                <w:highlight w:val="none"/>
                <w:shd w:val="clear" w:color="FFFFFF" w:fill="D9D9D9"/>
              </w:rPr>
            </w:pPr>
            <w:r>
              <w:rPr>
                <w:rFonts w:hint="default" w:ascii="Times New Roman" w:hAnsi="Times New Roman" w:eastAsia="黑体" w:cs="Times New Roman"/>
                <w:bCs/>
                <w:color w:val="auto"/>
                <w:spacing w:val="10"/>
                <w:kern w:val="0"/>
                <w:sz w:val="24"/>
                <w:szCs w:val="24"/>
                <w:highlight w:val="none"/>
                <w:shd w:val="clear" w:color="FFFFFF" w:fill="auto"/>
              </w:rPr>
              <w:t>出生日期</w:t>
            </w:r>
          </w:p>
        </w:tc>
        <w:tc>
          <w:tcPr>
            <w:tcW w:w="1021" w:type="dxa"/>
            <w:shd w:val="clear" w:color="auto" w:fill="auto"/>
            <w:vAlign w:val="center"/>
          </w:tcPr>
          <w:p>
            <w:pPr>
              <w:shd w:val="clear" w:color="auto" w:fill="auto"/>
              <w:autoSpaceDE w:val="0"/>
              <w:autoSpaceDN w:val="0"/>
              <w:adjustRightInd w:val="0"/>
              <w:jc w:val="center"/>
              <w:rPr>
                <w:rFonts w:hint="default" w:ascii="Times New Roman" w:hAnsi="Times New Roman" w:eastAsia="黑体" w:cs="Times New Roman"/>
                <w:bCs/>
                <w:color w:val="auto"/>
                <w:spacing w:val="10"/>
                <w:kern w:val="0"/>
                <w:sz w:val="24"/>
                <w:szCs w:val="24"/>
                <w:highlight w:val="none"/>
                <w:shd w:val="clear" w:color="FFFFFF" w:fill="D9D9D9"/>
              </w:rPr>
            </w:pPr>
            <w:r>
              <w:rPr>
                <w:rFonts w:hint="default" w:ascii="Times New Roman" w:hAnsi="Times New Roman" w:eastAsia="黑体" w:cs="Times New Roman"/>
                <w:bCs/>
                <w:color w:val="auto"/>
                <w:spacing w:val="10"/>
                <w:kern w:val="0"/>
                <w:sz w:val="24"/>
                <w:szCs w:val="24"/>
                <w:highlight w:val="none"/>
                <w:shd w:val="clear" w:color="FFFFFF" w:fill="auto"/>
              </w:rPr>
              <w:t>学历</w:t>
            </w:r>
          </w:p>
        </w:tc>
        <w:tc>
          <w:tcPr>
            <w:tcW w:w="2568" w:type="dxa"/>
            <w:shd w:val="clear" w:color="auto" w:fill="auto"/>
            <w:vAlign w:val="center"/>
          </w:tcPr>
          <w:p>
            <w:pPr>
              <w:shd w:val="clear" w:color="auto" w:fill="auto"/>
              <w:autoSpaceDE w:val="0"/>
              <w:autoSpaceDN w:val="0"/>
              <w:adjustRightInd w:val="0"/>
              <w:jc w:val="center"/>
              <w:rPr>
                <w:rFonts w:hint="default" w:ascii="Times New Roman" w:hAnsi="Times New Roman" w:eastAsia="黑体" w:cs="Times New Roman"/>
                <w:bCs/>
                <w:color w:val="auto"/>
                <w:spacing w:val="10"/>
                <w:kern w:val="0"/>
                <w:sz w:val="24"/>
                <w:szCs w:val="24"/>
                <w:highlight w:val="none"/>
                <w:shd w:val="clear" w:color="FFFFFF" w:fill="D9D9D9"/>
              </w:rPr>
            </w:pPr>
            <w:r>
              <w:rPr>
                <w:rFonts w:hint="default" w:ascii="Times New Roman" w:hAnsi="Times New Roman" w:eastAsia="黑体" w:cs="Times New Roman"/>
                <w:bCs/>
                <w:color w:val="auto"/>
                <w:spacing w:val="10"/>
                <w:kern w:val="0"/>
                <w:sz w:val="24"/>
                <w:szCs w:val="24"/>
                <w:highlight w:val="none"/>
                <w:shd w:val="clear" w:color="FFFFFF" w:fill="auto"/>
              </w:rPr>
              <w:t>任期</w:t>
            </w:r>
          </w:p>
        </w:tc>
        <w:tc>
          <w:tcPr>
            <w:tcW w:w="1710" w:type="dxa"/>
            <w:shd w:val="clear" w:color="auto" w:fill="auto"/>
            <w:vAlign w:val="center"/>
          </w:tcPr>
          <w:p>
            <w:pPr>
              <w:shd w:val="clear" w:color="auto" w:fill="auto"/>
              <w:autoSpaceDE w:val="0"/>
              <w:autoSpaceDN w:val="0"/>
              <w:adjustRightInd w:val="0"/>
              <w:spacing w:line="240" w:lineRule="exact"/>
              <w:jc w:val="center"/>
              <w:rPr>
                <w:rFonts w:hint="default" w:ascii="Times New Roman" w:hAnsi="Times New Roman" w:eastAsia="黑体" w:cs="Times New Roman"/>
                <w:bCs/>
                <w:color w:val="auto"/>
                <w:spacing w:val="10"/>
                <w:kern w:val="0"/>
                <w:sz w:val="24"/>
                <w:szCs w:val="24"/>
                <w:highlight w:val="none"/>
                <w:shd w:val="clear" w:color="FFFFFF" w:fill="D9D9D9"/>
              </w:rPr>
            </w:pPr>
            <w:r>
              <w:rPr>
                <w:rFonts w:hint="default" w:ascii="Times New Roman" w:hAnsi="Times New Roman" w:eastAsia="黑体" w:cs="Times New Roman"/>
                <w:bCs/>
                <w:color w:val="auto"/>
                <w:spacing w:val="10"/>
                <w:kern w:val="0"/>
                <w:sz w:val="24"/>
                <w:szCs w:val="24"/>
                <w:highlight w:val="none"/>
                <w:shd w:val="clear" w:color="FFFFFF" w:fill="auto"/>
              </w:rPr>
              <w:t>是否在公司领取薪酬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9" w:hRule="atLeast"/>
        </w:trPr>
        <w:tc>
          <w:tcPr>
            <w:tcW w:w="99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lang w:eastAsia="zh-CN"/>
              </w:rPr>
              <w:t>端淳华</w:t>
            </w:r>
          </w:p>
        </w:tc>
        <w:tc>
          <w:tcPr>
            <w:tcW w:w="160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董事长</w:t>
            </w:r>
          </w:p>
        </w:tc>
        <w:tc>
          <w:tcPr>
            <w:tcW w:w="46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男</w:t>
            </w:r>
          </w:p>
        </w:tc>
        <w:tc>
          <w:tcPr>
            <w:tcW w:w="145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val="en-US" w:eastAsia="zh-CN"/>
              </w:rPr>
            </w:pPr>
            <w:r>
              <w:rPr>
                <w:rFonts w:hint="default" w:ascii="Times New Roman" w:hAnsi="Times New Roman" w:eastAsia="仿宋_GB2312" w:cs="Times New Roman"/>
                <w:color w:val="auto"/>
                <w:spacing w:val="10"/>
                <w:kern w:val="0"/>
                <w:szCs w:val="21"/>
                <w:highlight w:val="none"/>
                <w:shd w:val="clear" w:color="FFFFFF" w:fill="auto"/>
                <w:lang w:val="en-US" w:eastAsia="zh-CN"/>
              </w:rPr>
              <w:t>1972/6/23</w:t>
            </w:r>
          </w:p>
        </w:tc>
        <w:tc>
          <w:tcPr>
            <w:tcW w:w="102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双本科</w:t>
            </w:r>
          </w:p>
        </w:tc>
        <w:tc>
          <w:tcPr>
            <w:tcW w:w="2568"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4</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26</w:t>
            </w: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7</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/2</w:t>
            </w:r>
            <w:r>
              <w:rPr>
                <w:rFonts w:hint="default" w:ascii="Times New Roman" w:hAnsi="Times New Roman" w:eastAsia="仿宋_GB2312" w:cs="Times New Roman"/>
                <w:color w:val="auto"/>
                <w:spacing w:val="10"/>
                <w:kern w:val="0"/>
                <w:szCs w:val="21"/>
                <w:highlight w:val="none"/>
                <w:shd w:val="clear" w:color="FFFFFF" w:fill="auto"/>
                <w:lang w:val="en-US" w:eastAsia="zh-CN"/>
              </w:rPr>
              <w:t>5</w:t>
            </w:r>
          </w:p>
        </w:tc>
        <w:tc>
          <w:tcPr>
            <w:tcW w:w="171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 w:hRule="atLeast"/>
        </w:trPr>
        <w:tc>
          <w:tcPr>
            <w:tcW w:w="99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高旭东</w:t>
            </w:r>
          </w:p>
        </w:tc>
        <w:tc>
          <w:tcPr>
            <w:tcW w:w="160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执行董事</w:t>
            </w:r>
          </w:p>
        </w:tc>
        <w:tc>
          <w:tcPr>
            <w:tcW w:w="465"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男</w:t>
            </w:r>
          </w:p>
        </w:tc>
        <w:tc>
          <w:tcPr>
            <w:tcW w:w="1451"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1974/10/15</w:t>
            </w:r>
          </w:p>
        </w:tc>
        <w:tc>
          <w:tcPr>
            <w:tcW w:w="1021"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本科</w:t>
            </w:r>
          </w:p>
        </w:tc>
        <w:tc>
          <w:tcPr>
            <w:tcW w:w="2568"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4</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26</w:t>
            </w: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7</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/2</w:t>
            </w:r>
            <w:r>
              <w:rPr>
                <w:rFonts w:hint="default" w:ascii="Times New Roman" w:hAnsi="Times New Roman" w:eastAsia="仿宋_GB2312" w:cs="Times New Roman"/>
                <w:color w:val="auto"/>
                <w:spacing w:val="10"/>
                <w:kern w:val="0"/>
                <w:szCs w:val="21"/>
                <w:highlight w:val="none"/>
                <w:shd w:val="clear" w:color="FFFFFF" w:fill="auto"/>
                <w:lang w:val="en-US" w:eastAsia="zh-CN"/>
              </w:rPr>
              <w:t>5</w:t>
            </w:r>
          </w:p>
        </w:tc>
        <w:tc>
          <w:tcPr>
            <w:tcW w:w="171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exact"/>
        </w:trPr>
        <w:tc>
          <w:tcPr>
            <w:tcW w:w="99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default" w:ascii="Times New Roman" w:hAnsi="Times New Roman" w:cs="Times New Roman"/>
              </w:rPr>
            </w:pPr>
          </w:p>
        </w:tc>
        <w:tc>
          <w:tcPr>
            <w:tcW w:w="160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行长</w:t>
            </w:r>
          </w:p>
        </w:tc>
        <w:tc>
          <w:tcPr>
            <w:tcW w:w="465"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default" w:ascii="Times New Roman" w:hAnsi="Times New Roman" w:cs="Times New Roman"/>
              </w:rPr>
            </w:pPr>
          </w:p>
        </w:tc>
        <w:tc>
          <w:tcPr>
            <w:tcW w:w="145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default" w:ascii="Times New Roman" w:hAnsi="Times New Roman" w:cs="Times New Roman"/>
              </w:rPr>
            </w:pPr>
          </w:p>
        </w:tc>
        <w:tc>
          <w:tcPr>
            <w:tcW w:w="102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default" w:ascii="Times New Roman" w:hAnsi="Times New Roman" w:cs="Times New Roman"/>
              </w:rPr>
            </w:pPr>
          </w:p>
        </w:tc>
        <w:tc>
          <w:tcPr>
            <w:tcW w:w="2568"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default" w:ascii="Times New Roman" w:hAnsi="Times New Roman" w:cs="Times New Roman"/>
              </w:rPr>
            </w:pPr>
          </w:p>
        </w:tc>
        <w:tc>
          <w:tcPr>
            <w:tcW w:w="17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lang w:eastAsia="zh-CN"/>
              </w:rPr>
              <w:t>张</w:t>
            </w:r>
            <w:r>
              <w:rPr>
                <w:rFonts w:hint="default" w:ascii="Times New Roman" w:hAnsi="Times New Roman" w:eastAsia="仿宋_GB2312" w:cs="Times New Roman"/>
                <w:color w:val="auto"/>
                <w:spacing w:val="10"/>
                <w:kern w:val="0"/>
                <w:szCs w:val="21"/>
                <w:highlight w:val="none"/>
                <w:shd w:val="clear" w:color="FFFFFF" w:fill="auto"/>
                <w:lang w:val="en-US" w:eastAsia="zh-CN"/>
              </w:rPr>
              <w:t xml:space="preserve"> </w:t>
            </w:r>
            <w:r>
              <w:rPr>
                <w:rFonts w:hint="default" w:ascii="Times New Roman" w:hAnsi="Times New Roman" w:eastAsia="仿宋_GB2312" w:cs="Times New Roman"/>
                <w:color w:val="auto"/>
                <w:spacing w:val="10"/>
                <w:kern w:val="0"/>
                <w:szCs w:val="21"/>
                <w:highlight w:val="none"/>
                <w:shd w:val="clear" w:color="FFFFFF" w:fill="auto"/>
                <w:lang w:eastAsia="zh-CN"/>
              </w:rPr>
              <w:t>毅</w:t>
            </w:r>
          </w:p>
        </w:tc>
        <w:tc>
          <w:tcPr>
            <w:tcW w:w="1605" w:type="dxa"/>
            <w:tcBorders>
              <w:top w:val="single" w:color="auto" w:sz="4" w:space="0"/>
              <w:left w:val="single" w:color="auto" w:sz="4" w:space="0"/>
              <w:bottom w:val="single" w:color="auto" w:sz="4" w:space="0"/>
              <w:right w:val="single" w:color="auto" w:sz="4" w:space="0"/>
            </w:tcBorders>
            <w:shd w:val="clear" w:color="auto" w:fill="auto"/>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lang w:eastAsia="zh-CN"/>
              </w:rPr>
              <w:t>股权</w:t>
            </w:r>
            <w:r>
              <w:rPr>
                <w:rFonts w:hint="default" w:ascii="Times New Roman" w:hAnsi="Times New Roman" w:eastAsia="仿宋_GB2312" w:cs="Times New Roman"/>
                <w:color w:val="auto"/>
                <w:spacing w:val="10"/>
                <w:kern w:val="0"/>
                <w:szCs w:val="21"/>
                <w:highlight w:val="none"/>
                <w:shd w:val="clear" w:color="FFFFFF" w:fill="auto"/>
              </w:rPr>
              <w:t>董事</w:t>
            </w:r>
          </w:p>
        </w:tc>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lang w:eastAsia="zh-CN"/>
              </w:rPr>
              <w:t>女</w:t>
            </w:r>
          </w:p>
        </w:tc>
        <w:tc>
          <w:tcPr>
            <w:tcW w:w="1451" w:type="dxa"/>
            <w:tcBorders>
              <w:top w:val="single" w:color="auto" w:sz="4" w:space="0"/>
              <w:left w:val="single" w:color="auto" w:sz="4" w:space="0"/>
              <w:bottom w:val="single" w:color="auto" w:sz="4" w:space="0"/>
              <w:right w:val="single" w:color="auto" w:sz="4" w:space="0"/>
            </w:tcBorders>
            <w:shd w:val="clear" w:color="auto" w:fill="auto"/>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val="en-US" w:eastAsia="zh-CN"/>
              </w:rPr>
            </w:pPr>
            <w:r>
              <w:rPr>
                <w:rFonts w:hint="default" w:ascii="Times New Roman" w:hAnsi="Times New Roman" w:eastAsia="仿宋_GB2312" w:cs="Times New Roman"/>
                <w:color w:val="auto"/>
                <w:spacing w:val="10"/>
                <w:kern w:val="0"/>
                <w:szCs w:val="21"/>
                <w:highlight w:val="none"/>
                <w:shd w:val="clear" w:color="FFFFFF" w:fill="auto"/>
                <w:lang w:val="en-US" w:eastAsia="zh-CN"/>
              </w:rPr>
              <w:t>1981/8/26</w:t>
            </w:r>
          </w:p>
        </w:tc>
        <w:tc>
          <w:tcPr>
            <w:tcW w:w="10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hd w:val="clear" w:color="auto" w:fill="auto"/>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lang w:eastAsia="zh-CN"/>
              </w:rPr>
              <w:t>硕士</w:t>
            </w:r>
          </w:p>
          <w:p>
            <w:pPr>
              <w:keepNext w:val="0"/>
              <w:keepLines w:val="0"/>
              <w:pageBreakBefore w:val="0"/>
              <w:widowControl w:val="0"/>
              <w:shd w:val="clear" w:color="auto" w:fill="auto"/>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lang w:eastAsia="zh-CN"/>
              </w:rPr>
              <w:t>研究生</w:t>
            </w:r>
          </w:p>
        </w:tc>
        <w:tc>
          <w:tcPr>
            <w:tcW w:w="2568" w:type="dxa"/>
            <w:tcBorders>
              <w:top w:val="single" w:color="auto" w:sz="4" w:space="0"/>
              <w:left w:val="single" w:color="auto" w:sz="4" w:space="0"/>
              <w:bottom w:val="single" w:color="auto" w:sz="4" w:space="0"/>
              <w:right w:val="single" w:color="auto" w:sz="4" w:space="0"/>
            </w:tcBorders>
            <w:shd w:val="clear" w:color="auto" w:fill="auto"/>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5</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16</w:t>
            </w: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7</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/2</w:t>
            </w:r>
            <w:r>
              <w:rPr>
                <w:rFonts w:hint="default" w:ascii="Times New Roman" w:hAnsi="Times New Roman" w:eastAsia="仿宋_GB2312" w:cs="Times New Roman"/>
                <w:color w:val="auto"/>
                <w:spacing w:val="10"/>
                <w:kern w:val="0"/>
                <w:szCs w:val="21"/>
                <w:highlight w:val="none"/>
                <w:shd w:val="clear" w:color="FFFFFF" w:fill="auto"/>
                <w:lang w:val="en-US" w:eastAsia="zh-CN"/>
              </w:rPr>
              <w:t>5</w:t>
            </w:r>
          </w:p>
        </w:tc>
        <w:tc>
          <w:tcPr>
            <w:tcW w:w="1710" w:type="dxa"/>
            <w:tcBorders>
              <w:top w:val="single" w:color="auto" w:sz="4" w:space="0"/>
              <w:left w:val="single" w:color="auto" w:sz="4" w:space="0"/>
              <w:bottom w:val="single" w:color="auto" w:sz="4" w:space="0"/>
              <w:right w:val="single" w:color="auto" w:sz="4" w:space="0"/>
            </w:tcBorders>
            <w:shd w:val="clear" w:color="auto" w:fill="auto"/>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lang w:val="en-US"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99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孔德威</w:t>
            </w:r>
          </w:p>
        </w:tc>
        <w:tc>
          <w:tcPr>
            <w:tcW w:w="160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lang w:eastAsia="zh-CN"/>
              </w:rPr>
              <w:t>股权</w:t>
            </w:r>
            <w:r>
              <w:rPr>
                <w:rFonts w:hint="default" w:ascii="Times New Roman" w:hAnsi="Times New Roman" w:eastAsia="仿宋_GB2312" w:cs="Times New Roman"/>
                <w:color w:val="auto"/>
                <w:spacing w:val="10"/>
                <w:kern w:val="0"/>
                <w:szCs w:val="21"/>
                <w:highlight w:val="none"/>
                <w:shd w:val="clear" w:color="FFFFFF" w:fill="auto"/>
              </w:rPr>
              <w:t>董事</w:t>
            </w:r>
          </w:p>
        </w:tc>
        <w:tc>
          <w:tcPr>
            <w:tcW w:w="46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男</w:t>
            </w:r>
          </w:p>
        </w:tc>
        <w:tc>
          <w:tcPr>
            <w:tcW w:w="145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1956/8/7</w:t>
            </w:r>
          </w:p>
        </w:tc>
        <w:tc>
          <w:tcPr>
            <w:tcW w:w="102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大专</w:t>
            </w:r>
          </w:p>
        </w:tc>
        <w:tc>
          <w:tcPr>
            <w:tcW w:w="2568"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4</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26</w:t>
            </w: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7</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/2</w:t>
            </w:r>
            <w:r>
              <w:rPr>
                <w:rFonts w:hint="default" w:ascii="Times New Roman" w:hAnsi="Times New Roman" w:eastAsia="仿宋_GB2312" w:cs="Times New Roman"/>
                <w:color w:val="auto"/>
                <w:spacing w:val="10"/>
                <w:kern w:val="0"/>
                <w:szCs w:val="21"/>
                <w:highlight w:val="none"/>
                <w:shd w:val="clear" w:color="FFFFFF" w:fill="auto"/>
                <w:lang w:val="en-US" w:eastAsia="zh-CN"/>
              </w:rPr>
              <w:t>5</w:t>
            </w:r>
          </w:p>
        </w:tc>
        <w:tc>
          <w:tcPr>
            <w:tcW w:w="171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1" w:hRule="exact"/>
        </w:trPr>
        <w:tc>
          <w:tcPr>
            <w:tcW w:w="99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lang w:eastAsia="zh-CN"/>
              </w:rPr>
              <w:t>危义忠</w:t>
            </w:r>
          </w:p>
        </w:tc>
        <w:tc>
          <w:tcPr>
            <w:tcW w:w="160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lang w:eastAsia="zh-CN"/>
              </w:rPr>
              <w:t>股权</w:t>
            </w:r>
            <w:r>
              <w:rPr>
                <w:rFonts w:hint="default" w:ascii="Times New Roman" w:hAnsi="Times New Roman" w:eastAsia="仿宋_GB2312" w:cs="Times New Roman"/>
                <w:color w:val="auto"/>
                <w:spacing w:val="10"/>
                <w:kern w:val="0"/>
                <w:szCs w:val="21"/>
                <w:highlight w:val="none"/>
                <w:shd w:val="clear" w:color="FFFFFF" w:fill="auto"/>
              </w:rPr>
              <w:t>董事</w:t>
            </w:r>
          </w:p>
        </w:tc>
        <w:tc>
          <w:tcPr>
            <w:tcW w:w="46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男</w:t>
            </w:r>
          </w:p>
        </w:tc>
        <w:tc>
          <w:tcPr>
            <w:tcW w:w="145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val="en-US" w:eastAsia="zh-CN"/>
              </w:rPr>
            </w:pPr>
            <w:r>
              <w:rPr>
                <w:rFonts w:hint="default" w:ascii="Times New Roman" w:hAnsi="Times New Roman" w:eastAsia="仿宋_GB2312" w:cs="Times New Roman"/>
                <w:color w:val="auto"/>
                <w:spacing w:val="10"/>
                <w:kern w:val="0"/>
                <w:szCs w:val="21"/>
                <w:highlight w:val="none"/>
                <w:shd w:val="clear" w:color="FFFFFF" w:fill="auto"/>
                <w:lang w:val="en-US" w:eastAsia="zh-CN"/>
              </w:rPr>
              <w:t>1966/2/5</w:t>
            </w:r>
          </w:p>
        </w:tc>
        <w:tc>
          <w:tcPr>
            <w:tcW w:w="10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shd w:val="clear" w:color="auto" w:fill="auto"/>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lang w:eastAsia="zh-CN"/>
              </w:rPr>
              <w:t>硕士</w:t>
            </w:r>
          </w:p>
          <w:p>
            <w:pPr>
              <w:keepNext w:val="0"/>
              <w:keepLines w:val="0"/>
              <w:pageBreakBefore w:val="0"/>
              <w:widowControl w:val="0"/>
              <w:shd w:val="clear" w:color="auto" w:fill="auto"/>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lang w:eastAsia="zh-CN"/>
              </w:rPr>
              <w:t>研究生</w:t>
            </w:r>
          </w:p>
        </w:tc>
        <w:tc>
          <w:tcPr>
            <w:tcW w:w="2568"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4</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26</w:t>
            </w: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7</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/2</w:t>
            </w:r>
            <w:r>
              <w:rPr>
                <w:rFonts w:hint="default" w:ascii="Times New Roman" w:hAnsi="Times New Roman" w:eastAsia="仿宋_GB2312" w:cs="Times New Roman"/>
                <w:color w:val="auto"/>
                <w:spacing w:val="10"/>
                <w:kern w:val="0"/>
                <w:szCs w:val="21"/>
                <w:highlight w:val="none"/>
                <w:shd w:val="clear" w:color="FFFFFF" w:fill="auto"/>
                <w:lang w:val="en-US" w:eastAsia="zh-CN"/>
              </w:rPr>
              <w:t>5</w:t>
            </w:r>
          </w:p>
        </w:tc>
        <w:tc>
          <w:tcPr>
            <w:tcW w:w="171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99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 w:val="21"/>
                <w:szCs w:val="21"/>
                <w:highlight w:val="none"/>
                <w:shd w:val="clear" w:color="FFFFFF" w:fill="auto"/>
                <w:lang w:val="en-US" w:eastAsia="zh-CN" w:bidi="ar-SA"/>
              </w:rPr>
            </w:pPr>
            <w:r>
              <w:rPr>
                <w:rFonts w:hint="default" w:ascii="Times New Roman" w:hAnsi="Times New Roman" w:eastAsia="仿宋_GB2312" w:cs="Times New Roman"/>
                <w:color w:val="auto"/>
                <w:spacing w:val="10"/>
                <w:kern w:val="0"/>
                <w:szCs w:val="21"/>
                <w:highlight w:val="none"/>
                <w:shd w:val="clear" w:color="FFFFFF" w:fill="auto"/>
                <w:lang w:eastAsia="zh-CN"/>
              </w:rPr>
              <w:t>鲁振国</w:t>
            </w:r>
          </w:p>
        </w:tc>
        <w:tc>
          <w:tcPr>
            <w:tcW w:w="160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 w:val="21"/>
                <w:szCs w:val="21"/>
                <w:highlight w:val="none"/>
                <w:shd w:val="clear" w:color="FFFFFF" w:fill="auto"/>
                <w:lang w:val="en-US" w:eastAsia="zh-CN" w:bidi="ar-SA"/>
              </w:rPr>
            </w:pPr>
            <w:r>
              <w:rPr>
                <w:rFonts w:hint="default" w:ascii="Times New Roman" w:hAnsi="Times New Roman" w:eastAsia="仿宋_GB2312" w:cs="Times New Roman"/>
                <w:color w:val="auto"/>
                <w:spacing w:val="10"/>
                <w:kern w:val="0"/>
                <w:szCs w:val="21"/>
                <w:highlight w:val="none"/>
                <w:shd w:val="clear" w:color="FFFFFF" w:fill="auto"/>
                <w:lang w:eastAsia="zh-CN"/>
              </w:rPr>
              <w:t>股权</w:t>
            </w:r>
            <w:r>
              <w:rPr>
                <w:rFonts w:hint="default" w:ascii="Times New Roman" w:hAnsi="Times New Roman" w:eastAsia="仿宋_GB2312" w:cs="Times New Roman"/>
                <w:color w:val="auto"/>
                <w:spacing w:val="10"/>
                <w:kern w:val="0"/>
                <w:szCs w:val="21"/>
                <w:highlight w:val="none"/>
                <w:shd w:val="clear" w:color="FFFFFF" w:fill="auto"/>
              </w:rPr>
              <w:t>董事</w:t>
            </w:r>
          </w:p>
        </w:tc>
        <w:tc>
          <w:tcPr>
            <w:tcW w:w="46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 w:val="21"/>
                <w:szCs w:val="21"/>
                <w:highlight w:val="none"/>
                <w:shd w:val="clear" w:color="FFFFFF" w:fill="auto"/>
                <w:lang w:val="en-US" w:eastAsia="zh-CN" w:bidi="ar-SA"/>
              </w:rPr>
            </w:pPr>
            <w:r>
              <w:rPr>
                <w:rFonts w:hint="default" w:ascii="Times New Roman" w:hAnsi="Times New Roman" w:eastAsia="仿宋_GB2312" w:cs="Times New Roman"/>
                <w:color w:val="auto"/>
                <w:spacing w:val="10"/>
                <w:kern w:val="0"/>
                <w:szCs w:val="21"/>
                <w:highlight w:val="none"/>
                <w:shd w:val="clear" w:color="FFFFFF" w:fill="auto"/>
                <w:lang w:eastAsia="zh-CN"/>
              </w:rPr>
              <w:t>男</w:t>
            </w:r>
          </w:p>
        </w:tc>
        <w:tc>
          <w:tcPr>
            <w:tcW w:w="145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 w:val="21"/>
                <w:szCs w:val="21"/>
                <w:highlight w:val="none"/>
                <w:shd w:val="clear" w:color="FFFFFF" w:fill="auto"/>
                <w:lang w:val="en-US" w:eastAsia="zh-CN" w:bidi="ar-SA"/>
              </w:rPr>
            </w:pPr>
            <w:r>
              <w:rPr>
                <w:rFonts w:hint="default" w:ascii="Times New Roman" w:hAnsi="Times New Roman" w:eastAsia="仿宋_GB2312" w:cs="Times New Roman"/>
                <w:color w:val="auto"/>
                <w:spacing w:val="10"/>
                <w:kern w:val="0"/>
                <w:szCs w:val="21"/>
                <w:highlight w:val="none"/>
                <w:shd w:val="clear" w:color="FFFFFF" w:fill="auto"/>
                <w:lang w:val="en-US" w:eastAsia="zh-CN"/>
              </w:rPr>
              <w:t>1976/9/14</w:t>
            </w:r>
          </w:p>
        </w:tc>
        <w:tc>
          <w:tcPr>
            <w:tcW w:w="102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 w:val="21"/>
                <w:szCs w:val="21"/>
                <w:highlight w:val="none"/>
                <w:shd w:val="clear" w:color="FFFFFF" w:fill="auto"/>
                <w:lang w:val="en-US" w:eastAsia="zh-CN" w:bidi="ar-SA"/>
              </w:rPr>
            </w:pPr>
            <w:r>
              <w:rPr>
                <w:rFonts w:hint="default" w:ascii="Times New Roman" w:hAnsi="Times New Roman" w:eastAsia="仿宋_GB2312" w:cs="Times New Roman"/>
                <w:color w:val="auto"/>
                <w:spacing w:val="10"/>
                <w:kern w:val="0"/>
                <w:szCs w:val="21"/>
                <w:highlight w:val="none"/>
                <w:shd w:val="clear" w:color="FFFFFF" w:fill="auto"/>
                <w:lang w:eastAsia="zh-CN"/>
              </w:rPr>
              <w:t>本科</w:t>
            </w:r>
          </w:p>
        </w:tc>
        <w:tc>
          <w:tcPr>
            <w:tcW w:w="2568"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 w:val="21"/>
                <w:szCs w:val="21"/>
                <w:highlight w:val="none"/>
                <w:shd w:val="clear" w:color="FFFFFF" w:fill="auto"/>
                <w:lang w:val="en-US" w:eastAsia="zh-CN" w:bidi="ar-SA"/>
              </w:rPr>
            </w:pPr>
            <w:r>
              <w:rPr>
                <w:rFonts w:hint="default" w:ascii="Times New Roman" w:hAnsi="Times New Roman" w:eastAsia="仿宋_GB2312" w:cs="Times New Roman"/>
                <w:color w:val="auto"/>
                <w:spacing w:val="10"/>
                <w:kern w:val="0"/>
                <w:szCs w:val="21"/>
                <w:highlight w:val="none"/>
                <w:shd w:val="clear" w:color="FFFFFF" w:fill="auto"/>
                <w:lang w:eastAsia="zh-CN"/>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4</w:t>
            </w:r>
            <w:r>
              <w:rPr>
                <w:rFonts w:hint="default" w:ascii="Times New Roman" w:hAnsi="Times New Roman" w:eastAsia="仿宋_GB2312" w:cs="Times New Roman"/>
                <w:color w:val="auto"/>
                <w:spacing w:val="10"/>
                <w:kern w:val="0"/>
                <w:szCs w:val="21"/>
                <w:highlight w:val="none"/>
                <w:shd w:val="clear" w:color="FFFFFF" w:fill="auto"/>
                <w:lang w:eastAsia="zh-CN"/>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lang w:eastAsia="zh-CN"/>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26</w:t>
            </w:r>
            <w:r>
              <w:rPr>
                <w:rFonts w:hint="default" w:ascii="Times New Roman" w:hAnsi="Times New Roman" w:eastAsia="仿宋_GB2312" w:cs="Times New Roman"/>
                <w:color w:val="auto"/>
                <w:spacing w:val="10"/>
                <w:kern w:val="0"/>
                <w:szCs w:val="21"/>
                <w:highlight w:val="none"/>
                <w:shd w:val="clear" w:color="FFFFFF" w:fill="auto"/>
                <w:lang w:eastAsia="zh-CN"/>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7</w:t>
            </w:r>
            <w:r>
              <w:rPr>
                <w:rFonts w:hint="default" w:ascii="Times New Roman" w:hAnsi="Times New Roman" w:eastAsia="仿宋_GB2312" w:cs="Times New Roman"/>
                <w:color w:val="auto"/>
                <w:spacing w:val="10"/>
                <w:kern w:val="0"/>
                <w:szCs w:val="21"/>
                <w:highlight w:val="none"/>
                <w:shd w:val="clear" w:color="FFFFFF" w:fill="auto"/>
                <w:lang w:eastAsia="zh-CN"/>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lang w:eastAsia="zh-CN"/>
              </w:rPr>
              <w:t>/2</w:t>
            </w:r>
            <w:r>
              <w:rPr>
                <w:rFonts w:hint="default" w:ascii="Times New Roman" w:hAnsi="Times New Roman" w:eastAsia="仿宋_GB2312" w:cs="Times New Roman"/>
                <w:color w:val="auto"/>
                <w:spacing w:val="10"/>
                <w:kern w:val="0"/>
                <w:szCs w:val="21"/>
                <w:highlight w:val="none"/>
                <w:shd w:val="clear" w:color="FFFFFF" w:fill="auto"/>
                <w:lang w:val="en-US" w:eastAsia="zh-CN"/>
              </w:rPr>
              <w:t>5</w:t>
            </w:r>
          </w:p>
        </w:tc>
        <w:tc>
          <w:tcPr>
            <w:tcW w:w="171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 w:val="21"/>
                <w:szCs w:val="21"/>
                <w:highlight w:val="none"/>
                <w:shd w:val="clear" w:color="FFFFFF" w:fill="auto"/>
                <w:lang w:val="en-US" w:eastAsia="zh-CN" w:bidi="ar-SA"/>
              </w:rPr>
            </w:pPr>
            <w:r>
              <w:rPr>
                <w:rFonts w:hint="default" w:ascii="Times New Roman" w:hAnsi="Times New Roman" w:eastAsia="仿宋_GB2312" w:cs="Times New Roman"/>
                <w:color w:val="auto"/>
                <w:spacing w:val="10"/>
                <w:kern w:val="0"/>
                <w:szCs w:val="21"/>
                <w:highlight w:val="none"/>
                <w:shd w:val="clear" w:color="FFFFFF" w:fill="auto"/>
                <w:lang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99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lang w:eastAsia="zh-CN"/>
              </w:rPr>
              <w:t>张菊娣</w:t>
            </w:r>
          </w:p>
        </w:tc>
        <w:tc>
          <w:tcPr>
            <w:tcW w:w="160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lang w:eastAsia="zh-CN"/>
              </w:rPr>
              <w:t>股权</w:t>
            </w:r>
            <w:r>
              <w:rPr>
                <w:rFonts w:hint="default" w:ascii="Times New Roman" w:hAnsi="Times New Roman" w:eastAsia="仿宋_GB2312" w:cs="Times New Roman"/>
                <w:color w:val="auto"/>
                <w:spacing w:val="10"/>
                <w:kern w:val="0"/>
                <w:szCs w:val="21"/>
                <w:highlight w:val="none"/>
                <w:shd w:val="clear" w:color="FFFFFF" w:fill="auto"/>
              </w:rPr>
              <w:t>董事</w:t>
            </w:r>
          </w:p>
        </w:tc>
        <w:tc>
          <w:tcPr>
            <w:tcW w:w="46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lang w:eastAsia="zh-CN"/>
              </w:rPr>
              <w:t>女</w:t>
            </w:r>
          </w:p>
        </w:tc>
        <w:tc>
          <w:tcPr>
            <w:tcW w:w="145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val="en-US" w:eastAsia="zh-CN"/>
              </w:rPr>
            </w:pPr>
            <w:r>
              <w:rPr>
                <w:rFonts w:hint="default" w:ascii="Times New Roman" w:hAnsi="Times New Roman" w:eastAsia="仿宋_GB2312" w:cs="Times New Roman"/>
                <w:color w:val="auto"/>
                <w:spacing w:val="10"/>
                <w:kern w:val="0"/>
                <w:szCs w:val="21"/>
                <w:highlight w:val="none"/>
                <w:shd w:val="clear" w:color="FFFFFF" w:fill="auto"/>
                <w:lang w:val="en-US" w:eastAsia="zh-CN"/>
              </w:rPr>
              <w:t>1976/11/25</w:t>
            </w:r>
          </w:p>
        </w:tc>
        <w:tc>
          <w:tcPr>
            <w:tcW w:w="102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lang w:eastAsia="zh-CN"/>
              </w:rPr>
              <w:t>本科</w:t>
            </w:r>
          </w:p>
        </w:tc>
        <w:tc>
          <w:tcPr>
            <w:tcW w:w="2568"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4</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26</w:t>
            </w: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7</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/2</w:t>
            </w:r>
            <w:r>
              <w:rPr>
                <w:rFonts w:hint="default" w:ascii="Times New Roman" w:hAnsi="Times New Roman" w:eastAsia="仿宋_GB2312" w:cs="Times New Roman"/>
                <w:color w:val="auto"/>
                <w:spacing w:val="10"/>
                <w:kern w:val="0"/>
                <w:szCs w:val="21"/>
                <w:highlight w:val="none"/>
                <w:shd w:val="clear" w:color="FFFFFF" w:fill="auto"/>
                <w:lang w:val="en-US" w:eastAsia="zh-CN"/>
              </w:rPr>
              <w:t>5</w:t>
            </w:r>
          </w:p>
        </w:tc>
        <w:tc>
          <w:tcPr>
            <w:tcW w:w="171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99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陈 泉</w:t>
            </w:r>
          </w:p>
        </w:tc>
        <w:tc>
          <w:tcPr>
            <w:tcW w:w="160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独立董事</w:t>
            </w:r>
          </w:p>
        </w:tc>
        <w:tc>
          <w:tcPr>
            <w:tcW w:w="46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男</w:t>
            </w:r>
          </w:p>
        </w:tc>
        <w:tc>
          <w:tcPr>
            <w:tcW w:w="145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1971/4/3</w:t>
            </w:r>
          </w:p>
        </w:tc>
        <w:tc>
          <w:tcPr>
            <w:tcW w:w="102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本科</w:t>
            </w:r>
          </w:p>
        </w:tc>
        <w:tc>
          <w:tcPr>
            <w:tcW w:w="2568"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4</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26</w:t>
            </w: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7</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/2</w:t>
            </w:r>
            <w:r>
              <w:rPr>
                <w:rFonts w:hint="default" w:ascii="Times New Roman" w:hAnsi="Times New Roman" w:eastAsia="仿宋_GB2312" w:cs="Times New Roman"/>
                <w:color w:val="auto"/>
                <w:spacing w:val="10"/>
                <w:kern w:val="0"/>
                <w:szCs w:val="21"/>
                <w:highlight w:val="none"/>
                <w:shd w:val="clear" w:color="FFFFFF" w:fill="auto"/>
                <w:lang w:val="en-US" w:eastAsia="zh-CN"/>
              </w:rPr>
              <w:t>5</w:t>
            </w:r>
          </w:p>
        </w:tc>
        <w:tc>
          <w:tcPr>
            <w:tcW w:w="171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exact"/>
        </w:trPr>
        <w:tc>
          <w:tcPr>
            <w:tcW w:w="99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周 宏</w:t>
            </w:r>
          </w:p>
        </w:tc>
        <w:tc>
          <w:tcPr>
            <w:tcW w:w="160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独立董事</w:t>
            </w:r>
          </w:p>
        </w:tc>
        <w:tc>
          <w:tcPr>
            <w:tcW w:w="46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男</w:t>
            </w:r>
          </w:p>
        </w:tc>
        <w:tc>
          <w:tcPr>
            <w:tcW w:w="145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1965/2/15</w:t>
            </w:r>
          </w:p>
        </w:tc>
        <w:tc>
          <w:tcPr>
            <w:tcW w:w="10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shd w:val="clear" w:color="auto" w:fill="auto"/>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博士</w:t>
            </w:r>
          </w:p>
          <w:p>
            <w:pPr>
              <w:keepNext w:val="0"/>
              <w:keepLines w:val="0"/>
              <w:pageBreakBefore w:val="0"/>
              <w:widowControl w:val="0"/>
              <w:shd w:val="clear" w:color="auto" w:fill="auto"/>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研究生</w:t>
            </w:r>
          </w:p>
        </w:tc>
        <w:tc>
          <w:tcPr>
            <w:tcW w:w="2568"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4</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26</w:t>
            </w: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7</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/2</w:t>
            </w:r>
            <w:r>
              <w:rPr>
                <w:rFonts w:hint="default" w:ascii="Times New Roman" w:hAnsi="Times New Roman" w:eastAsia="仿宋_GB2312" w:cs="Times New Roman"/>
                <w:color w:val="auto"/>
                <w:spacing w:val="10"/>
                <w:kern w:val="0"/>
                <w:szCs w:val="21"/>
                <w:highlight w:val="none"/>
                <w:shd w:val="clear" w:color="FFFFFF" w:fill="auto"/>
                <w:lang w:val="en-US" w:eastAsia="zh-CN"/>
              </w:rPr>
              <w:t>5</w:t>
            </w:r>
          </w:p>
        </w:tc>
        <w:tc>
          <w:tcPr>
            <w:tcW w:w="171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exact"/>
        </w:trPr>
        <w:tc>
          <w:tcPr>
            <w:tcW w:w="99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lang w:eastAsia="zh-CN"/>
              </w:rPr>
              <w:t>庄尚文</w:t>
            </w:r>
          </w:p>
        </w:tc>
        <w:tc>
          <w:tcPr>
            <w:tcW w:w="160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独立董事</w:t>
            </w:r>
          </w:p>
        </w:tc>
        <w:tc>
          <w:tcPr>
            <w:tcW w:w="46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lang w:eastAsia="zh-CN"/>
              </w:rPr>
              <w:t>男</w:t>
            </w:r>
          </w:p>
        </w:tc>
        <w:tc>
          <w:tcPr>
            <w:tcW w:w="145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val="en-US" w:eastAsia="zh-CN"/>
              </w:rPr>
            </w:pPr>
            <w:r>
              <w:rPr>
                <w:rFonts w:hint="default" w:ascii="Times New Roman" w:hAnsi="Times New Roman" w:eastAsia="仿宋_GB2312" w:cs="Times New Roman"/>
                <w:color w:val="auto"/>
                <w:spacing w:val="10"/>
                <w:kern w:val="0"/>
                <w:szCs w:val="21"/>
                <w:highlight w:val="none"/>
                <w:shd w:val="clear" w:color="FFFFFF" w:fill="auto"/>
                <w:lang w:val="en-US" w:eastAsia="zh-CN"/>
              </w:rPr>
              <w:t>1982/9/20</w:t>
            </w:r>
          </w:p>
        </w:tc>
        <w:tc>
          <w:tcPr>
            <w:tcW w:w="10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shd w:val="clear" w:color="auto" w:fill="auto"/>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博士</w:t>
            </w:r>
          </w:p>
          <w:p>
            <w:pPr>
              <w:keepNext w:val="0"/>
              <w:keepLines w:val="0"/>
              <w:pageBreakBefore w:val="0"/>
              <w:widowControl w:val="0"/>
              <w:shd w:val="clear" w:color="auto" w:fill="auto"/>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研究生</w:t>
            </w:r>
          </w:p>
        </w:tc>
        <w:tc>
          <w:tcPr>
            <w:tcW w:w="2568"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4</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26</w:t>
            </w: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7</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/2</w:t>
            </w:r>
            <w:r>
              <w:rPr>
                <w:rFonts w:hint="default" w:ascii="Times New Roman" w:hAnsi="Times New Roman" w:eastAsia="仿宋_GB2312" w:cs="Times New Roman"/>
                <w:color w:val="auto"/>
                <w:spacing w:val="10"/>
                <w:kern w:val="0"/>
                <w:szCs w:val="21"/>
                <w:highlight w:val="none"/>
                <w:shd w:val="clear" w:color="FFFFFF" w:fill="auto"/>
                <w:lang w:val="en-US" w:eastAsia="zh-CN"/>
              </w:rPr>
              <w:t>5</w:t>
            </w:r>
          </w:p>
        </w:tc>
        <w:tc>
          <w:tcPr>
            <w:tcW w:w="171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exact"/>
        </w:trPr>
        <w:tc>
          <w:tcPr>
            <w:tcW w:w="99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lang w:eastAsia="zh-CN"/>
              </w:rPr>
              <w:t>高</w:t>
            </w:r>
            <w:r>
              <w:rPr>
                <w:rFonts w:hint="default" w:ascii="Times New Roman" w:hAnsi="Times New Roman" w:eastAsia="仿宋_GB2312" w:cs="Times New Roman"/>
                <w:color w:val="auto"/>
                <w:spacing w:val="10"/>
                <w:kern w:val="0"/>
                <w:szCs w:val="21"/>
                <w:highlight w:val="none"/>
                <w:shd w:val="clear" w:color="FFFFFF" w:fill="auto"/>
                <w:lang w:val="en-US" w:eastAsia="zh-CN"/>
              </w:rPr>
              <w:t xml:space="preserve"> </w:t>
            </w:r>
            <w:r>
              <w:rPr>
                <w:rFonts w:hint="default" w:ascii="Times New Roman" w:hAnsi="Times New Roman" w:eastAsia="仿宋_GB2312" w:cs="Times New Roman"/>
                <w:color w:val="auto"/>
                <w:spacing w:val="10"/>
                <w:kern w:val="0"/>
                <w:szCs w:val="21"/>
                <w:highlight w:val="none"/>
                <w:shd w:val="clear" w:color="FFFFFF" w:fill="auto"/>
                <w:lang w:eastAsia="zh-CN"/>
              </w:rPr>
              <w:t>波</w:t>
            </w:r>
          </w:p>
        </w:tc>
        <w:tc>
          <w:tcPr>
            <w:tcW w:w="160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独立董事</w:t>
            </w:r>
          </w:p>
        </w:tc>
        <w:tc>
          <w:tcPr>
            <w:tcW w:w="46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lang w:eastAsia="zh-CN"/>
              </w:rPr>
              <w:t>男</w:t>
            </w:r>
          </w:p>
        </w:tc>
        <w:tc>
          <w:tcPr>
            <w:tcW w:w="145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val="en-US" w:eastAsia="zh-CN"/>
              </w:rPr>
            </w:pPr>
            <w:r>
              <w:rPr>
                <w:rFonts w:hint="default" w:ascii="Times New Roman" w:hAnsi="Times New Roman" w:eastAsia="仿宋_GB2312" w:cs="Times New Roman"/>
                <w:color w:val="auto"/>
                <w:spacing w:val="10"/>
                <w:kern w:val="0"/>
                <w:szCs w:val="21"/>
                <w:highlight w:val="none"/>
                <w:shd w:val="clear" w:color="FFFFFF" w:fill="auto"/>
                <w:lang w:val="en-US" w:eastAsia="zh-CN"/>
              </w:rPr>
              <w:t>1962/1/10</w:t>
            </w:r>
          </w:p>
        </w:tc>
        <w:tc>
          <w:tcPr>
            <w:tcW w:w="10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shd w:val="clear" w:color="auto" w:fill="auto"/>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博士</w:t>
            </w:r>
          </w:p>
          <w:p>
            <w:pPr>
              <w:keepNext w:val="0"/>
              <w:keepLines w:val="0"/>
              <w:pageBreakBefore w:val="0"/>
              <w:widowControl w:val="0"/>
              <w:shd w:val="clear" w:color="auto" w:fill="auto"/>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研究生</w:t>
            </w:r>
          </w:p>
        </w:tc>
        <w:tc>
          <w:tcPr>
            <w:tcW w:w="2568"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4</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26</w:t>
            </w: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7</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/2</w:t>
            </w:r>
            <w:r>
              <w:rPr>
                <w:rFonts w:hint="default" w:ascii="Times New Roman" w:hAnsi="Times New Roman" w:eastAsia="仿宋_GB2312" w:cs="Times New Roman"/>
                <w:color w:val="auto"/>
                <w:spacing w:val="10"/>
                <w:kern w:val="0"/>
                <w:szCs w:val="21"/>
                <w:highlight w:val="none"/>
                <w:shd w:val="clear" w:color="FFFFFF" w:fill="auto"/>
                <w:lang w:val="en-US" w:eastAsia="zh-CN"/>
              </w:rPr>
              <w:t>5</w:t>
            </w:r>
          </w:p>
        </w:tc>
        <w:tc>
          <w:tcPr>
            <w:tcW w:w="171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exact"/>
        </w:trPr>
        <w:tc>
          <w:tcPr>
            <w:tcW w:w="99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lang w:eastAsia="zh-CN"/>
              </w:rPr>
              <w:t>应瑞瑶</w:t>
            </w:r>
          </w:p>
        </w:tc>
        <w:tc>
          <w:tcPr>
            <w:tcW w:w="160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独立董事</w:t>
            </w:r>
          </w:p>
        </w:tc>
        <w:tc>
          <w:tcPr>
            <w:tcW w:w="46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男</w:t>
            </w:r>
          </w:p>
        </w:tc>
        <w:tc>
          <w:tcPr>
            <w:tcW w:w="145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val="en-US" w:eastAsia="zh-CN"/>
              </w:rPr>
            </w:pPr>
            <w:r>
              <w:rPr>
                <w:rFonts w:hint="default" w:ascii="Times New Roman" w:hAnsi="Times New Roman" w:eastAsia="仿宋_GB2312" w:cs="Times New Roman"/>
                <w:color w:val="auto"/>
                <w:spacing w:val="10"/>
                <w:kern w:val="0"/>
                <w:szCs w:val="21"/>
                <w:highlight w:val="none"/>
                <w:shd w:val="clear" w:color="FFFFFF" w:fill="auto"/>
                <w:lang w:val="en-US" w:eastAsia="zh-CN"/>
              </w:rPr>
              <w:t>1959/9/20</w:t>
            </w:r>
          </w:p>
        </w:tc>
        <w:tc>
          <w:tcPr>
            <w:tcW w:w="10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shd w:val="clear" w:color="auto" w:fill="auto"/>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博士</w:t>
            </w:r>
          </w:p>
          <w:p>
            <w:pPr>
              <w:keepNext w:val="0"/>
              <w:keepLines w:val="0"/>
              <w:pageBreakBefore w:val="0"/>
              <w:widowControl w:val="0"/>
              <w:shd w:val="clear" w:color="auto" w:fill="auto"/>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研究生</w:t>
            </w:r>
          </w:p>
        </w:tc>
        <w:tc>
          <w:tcPr>
            <w:tcW w:w="2568"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5</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7</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7</w:t>
            </w: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7</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/2</w:t>
            </w:r>
            <w:r>
              <w:rPr>
                <w:rFonts w:hint="default" w:ascii="Times New Roman" w:hAnsi="Times New Roman" w:eastAsia="仿宋_GB2312" w:cs="Times New Roman"/>
                <w:color w:val="auto"/>
                <w:spacing w:val="10"/>
                <w:kern w:val="0"/>
                <w:szCs w:val="21"/>
                <w:highlight w:val="none"/>
                <w:shd w:val="clear" w:color="FFFFFF" w:fill="auto"/>
                <w:lang w:val="en-US" w:eastAsia="zh-CN"/>
              </w:rPr>
              <w:t>5</w:t>
            </w:r>
          </w:p>
        </w:tc>
        <w:tc>
          <w:tcPr>
            <w:tcW w:w="171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exact"/>
        </w:trPr>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lang w:eastAsia="zh-CN"/>
              </w:rPr>
              <w:t>吕</w:t>
            </w:r>
            <w:r>
              <w:rPr>
                <w:rFonts w:hint="default" w:ascii="Times New Roman" w:hAnsi="Times New Roman" w:eastAsia="仿宋_GB2312" w:cs="Times New Roman"/>
                <w:color w:val="auto"/>
                <w:spacing w:val="10"/>
                <w:kern w:val="0"/>
                <w:szCs w:val="21"/>
                <w:highlight w:val="none"/>
                <w:shd w:val="clear" w:color="FFFFFF" w:fill="auto"/>
                <w:lang w:val="en-US" w:eastAsia="zh-CN"/>
              </w:rPr>
              <w:t xml:space="preserve"> </w:t>
            </w:r>
            <w:r>
              <w:rPr>
                <w:rFonts w:hint="default" w:ascii="Times New Roman" w:hAnsi="Times New Roman" w:eastAsia="仿宋_GB2312" w:cs="Times New Roman"/>
                <w:color w:val="auto"/>
                <w:spacing w:val="10"/>
                <w:kern w:val="0"/>
                <w:szCs w:val="21"/>
                <w:highlight w:val="none"/>
                <w:shd w:val="clear" w:color="FFFFFF" w:fill="auto"/>
                <w:lang w:eastAsia="zh-CN"/>
              </w:rPr>
              <w:t>斌</w:t>
            </w:r>
          </w:p>
        </w:tc>
        <w:tc>
          <w:tcPr>
            <w:tcW w:w="1605" w:type="dxa"/>
            <w:tcBorders>
              <w:top w:val="single" w:color="auto" w:sz="4" w:space="0"/>
              <w:left w:val="single" w:color="auto" w:sz="4" w:space="0"/>
              <w:bottom w:val="single" w:color="auto" w:sz="4" w:space="0"/>
              <w:right w:val="single" w:color="auto" w:sz="4" w:space="0"/>
            </w:tcBorders>
            <w:shd w:val="clear" w:color="auto" w:fill="auto"/>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lang w:eastAsia="zh-CN"/>
              </w:rPr>
              <w:t>职工董事</w:t>
            </w:r>
          </w:p>
        </w:tc>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rPr>
              <w:t>男</w:t>
            </w:r>
          </w:p>
        </w:tc>
        <w:tc>
          <w:tcPr>
            <w:tcW w:w="1451" w:type="dxa"/>
            <w:tcBorders>
              <w:top w:val="single" w:color="auto" w:sz="4" w:space="0"/>
              <w:left w:val="single" w:color="auto" w:sz="4" w:space="0"/>
              <w:bottom w:val="single" w:color="auto" w:sz="4" w:space="0"/>
              <w:right w:val="single" w:color="auto" w:sz="4" w:space="0"/>
            </w:tcBorders>
            <w:shd w:val="clear" w:color="auto" w:fill="auto"/>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val="en-US" w:eastAsia="zh-CN"/>
              </w:rPr>
            </w:pPr>
            <w:r>
              <w:rPr>
                <w:rFonts w:hint="default" w:ascii="Times New Roman" w:hAnsi="Times New Roman" w:eastAsia="仿宋_GB2312" w:cs="Times New Roman"/>
                <w:color w:val="auto"/>
                <w:spacing w:val="10"/>
                <w:kern w:val="0"/>
                <w:szCs w:val="21"/>
                <w:highlight w:val="none"/>
                <w:shd w:val="clear" w:color="FFFFFF" w:fill="auto"/>
                <w:lang w:val="en-US" w:eastAsia="zh-CN"/>
              </w:rPr>
              <w:t>1982/7/18</w:t>
            </w:r>
          </w:p>
        </w:tc>
        <w:tc>
          <w:tcPr>
            <w:tcW w:w="10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hd w:val="clear" w:color="auto" w:fill="auto"/>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lang w:eastAsia="zh-CN"/>
              </w:rPr>
              <w:t>本科</w:t>
            </w:r>
          </w:p>
        </w:tc>
        <w:tc>
          <w:tcPr>
            <w:tcW w:w="2568" w:type="dxa"/>
            <w:tcBorders>
              <w:top w:val="single" w:color="auto" w:sz="4" w:space="0"/>
              <w:left w:val="single" w:color="auto" w:sz="4" w:space="0"/>
              <w:bottom w:val="single" w:color="auto" w:sz="4" w:space="0"/>
              <w:right w:val="single" w:color="auto" w:sz="4" w:space="0"/>
            </w:tcBorders>
            <w:shd w:val="clear" w:color="auto" w:fill="auto"/>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5</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16</w:t>
            </w: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7</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/2</w:t>
            </w:r>
            <w:r>
              <w:rPr>
                <w:rFonts w:hint="default" w:ascii="Times New Roman" w:hAnsi="Times New Roman" w:eastAsia="仿宋_GB2312" w:cs="Times New Roman"/>
                <w:color w:val="auto"/>
                <w:spacing w:val="10"/>
                <w:kern w:val="0"/>
                <w:szCs w:val="21"/>
                <w:highlight w:val="none"/>
                <w:shd w:val="clear" w:color="FFFFFF" w:fill="auto"/>
                <w:lang w:val="en-US" w:eastAsia="zh-CN"/>
              </w:rPr>
              <w:t>5</w:t>
            </w:r>
          </w:p>
        </w:tc>
        <w:tc>
          <w:tcPr>
            <w:tcW w:w="1710" w:type="dxa"/>
            <w:tcBorders>
              <w:top w:val="single" w:color="auto" w:sz="4" w:space="0"/>
              <w:left w:val="single" w:color="auto" w:sz="4" w:space="0"/>
              <w:bottom w:val="single" w:color="auto" w:sz="4" w:space="0"/>
              <w:right w:val="single" w:color="auto" w:sz="4" w:space="0"/>
            </w:tcBorders>
            <w:shd w:val="clear" w:color="auto" w:fill="auto"/>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陶</w:t>
            </w:r>
            <w:r>
              <w:rPr>
                <w:rFonts w:hint="default" w:ascii="Times New Roman" w:hAnsi="Times New Roman" w:eastAsia="仿宋_GB2312" w:cs="Times New Roman"/>
                <w:color w:val="auto"/>
                <w:spacing w:val="10"/>
                <w:kern w:val="0"/>
                <w:szCs w:val="21"/>
                <w:highlight w:val="none"/>
                <w:shd w:val="clear" w:color="FFFFFF" w:fill="auto"/>
                <w:lang w:val="en-US" w:eastAsia="zh-CN"/>
              </w:rPr>
              <w:t xml:space="preserve"> </w:t>
            </w:r>
            <w:r>
              <w:rPr>
                <w:rFonts w:hint="default" w:ascii="Times New Roman" w:hAnsi="Times New Roman" w:eastAsia="仿宋_GB2312" w:cs="Times New Roman"/>
                <w:color w:val="auto"/>
                <w:spacing w:val="10"/>
                <w:kern w:val="0"/>
                <w:szCs w:val="21"/>
                <w:highlight w:val="none"/>
                <w:shd w:val="clear" w:color="FFFFFF" w:fill="auto"/>
              </w:rPr>
              <w:t>翔</w:t>
            </w:r>
          </w:p>
        </w:tc>
        <w:tc>
          <w:tcPr>
            <w:tcW w:w="1605" w:type="dxa"/>
            <w:tcBorders>
              <w:top w:val="single" w:color="auto" w:sz="4" w:space="0"/>
              <w:left w:val="single" w:color="auto" w:sz="4" w:space="0"/>
              <w:bottom w:val="single" w:color="auto" w:sz="4" w:space="0"/>
              <w:right w:val="single" w:color="auto" w:sz="4" w:space="0"/>
            </w:tcBorders>
            <w:shd w:val="clear" w:color="auto" w:fill="auto"/>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lang w:eastAsia="zh-CN"/>
              </w:rPr>
              <w:t>纪委书记</w:t>
            </w:r>
          </w:p>
        </w:tc>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男</w:t>
            </w:r>
          </w:p>
        </w:tc>
        <w:tc>
          <w:tcPr>
            <w:tcW w:w="1451" w:type="dxa"/>
            <w:tcBorders>
              <w:top w:val="single" w:color="auto" w:sz="4" w:space="0"/>
              <w:left w:val="single" w:color="auto" w:sz="4" w:space="0"/>
              <w:bottom w:val="single" w:color="auto" w:sz="4" w:space="0"/>
              <w:right w:val="single" w:color="auto" w:sz="4" w:space="0"/>
            </w:tcBorders>
            <w:shd w:val="clear" w:color="auto" w:fill="auto"/>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1971/7/23</w:t>
            </w:r>
          </w:p>
        </w:tc>
        <w:tc>
          <w:tcPr>
            <w:tcW w:w="10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hd w:val="clear" w:color="auto" w:fill="auto"/>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本科</w:t>
            </w:r>
          </w:p>
        </w:tc>
        <w:tc>
          <w:tcPr>
            <w:tcW w:w="2568" w:type="dxa"/>
            <w:tcBorders>
              <w:top w:val="single" w:color="auto" w:sz="4" w:space="0"/>
              <w:left w:val="single" w:color="auto" w:sz="4" w:space="0"/>
              <w:bottom w:val="single" w:color="auto" w:sz="4" w:space="0"/>
              <w:right w:val="single" w:color="auto" w:sz="4" w:space="0"/>
            </w:tcBorders>
            <w:shd w:val="clear" w:color="auto" w:fill="auto"/>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val="en-US" w:eastAsia="zh-CN"/>
              </w:rPr>
            </w:pP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4</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26</w:t>
            </w: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7</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/2</w:t>
            </w:r>
            <w:r>
              <w:rPr>
                <w:rFonts w:hint="default" w:ascii="Times New Roman" w:hAnsi="Times New Roman" w:eastAsia="仿宋_GB2312" w:cs="Times New Roman"/>
                <w:color w:val="auto"/>
                <w:spacing w:val="10"/>
                <w:kern w:val="0"/>
                <w:szCs w:val="21"/>
                <w:highlight w:val="none"/>
                <w:shd w:val="clear" w:color="FFFFFF" w:fill="auto"/>
                <w:lang w:val="en-US" w:eastAsia="zh-CN"/>
              </w:rPr>
              <w:t>5</w:t>
            </w:r>
          </w:p>
        </w:tc>
        <w:tc>
          <w:tcPr>
            <w:tcW w:w="1710" w:type="dxa"/>
            <w:tcBorders>
              <w:top w:val="single" w:color="auto" w:sz="4" w:space="0"/>
              <w:left w:val="single" w:color="auto" w:sz="4" w:space="0"/>
              <w:bottom w:val="single" w:color="auto" w:sz="4" w:space="0"/>
              <w:right w:val="single" w:color="auto" w:sz="4" w:space="0"/>
            </w:tcBorders>
            <w:shd w:val="clear" w:color="auto" w:fill="auto"/>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99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赵顺和</w:t>
            </w:r>
          </w:p>
        </w:tc>
        <w:tc>
          <w:tcPr>
            <w:tcW w:w="160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副行长</w:t>
            </w:r>
          </w:p>
        </w:tc>
        <w:tc>
          <w:tcPr>
            <w:tcW w:w="46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男</w:t>
            </w:r>
          </w:p>
        </w:tc>
        <w:tc>
          <w:tcPr>
            <w:tcW w:w="145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1973/8/19</w:t>
            </w:r>
          </w:p>
        </w:tc>
        <w:tc>
          <w:tcPr>
            <w:tcW w:w="102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本科</w:t>
            </w:r>
          </w:p>
        </w:tc>
        <w:tc>
          <w:tcPr>
            <w:tcW w:w="2568"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4</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26</w:t>
            </w: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7</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/2</w:t>
            </w:r>
            <w:r>
              <w:rPr>
                <w:rFonts w:hint="default" w:ascii="Times New Roman" w:hAnsi="Times New Roman" w:eastAsia="仿宋_GB2312" w:cs="Times New Roman"/>
                <w:color w:val="auto"/>
                <w:spacing w:val="10"/>
                <w:kern w:val="0"/>
                <w:szCs w:val="21"/>
                <w:highlight w:val="none"/>
                <w:shd w:val="clear" w:color="FFFFFF" w:fill="auto"/>
                <w:lang w:val="en-US" w:eastAsia="zh-CN"/>
              </w:rPr>
              <w:t>5</w:t>
            </w:r>
          </w:p>
        </w:tc>
        <w:tc>
          <w:tcPr>
            <w:tcW w:w="171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99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何明健</w:t>
            </w:r>
          </w:p>
        </w:tc>
        <w:tc>
          <w:tcPr>
            <w:tcW w:w="160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副行长</w:t>
            </w:r>
          </w:p>
        </w:tc>
        <w:tc>
          <w:tcPr>
            <w:tcW w:w="46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男</w:t>
            </w:r>
          </w:p>
        </w:tc>
        <w:tc>
          <w:tcPr>
            <w:tcW w:w="145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1986/12/7</w:t>
            </w:r>
          </w:p>
        </w:tc>
        <w:tc>
          <w:tcPr>
            <w:tcW w:w="102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本科</w:t>
            </w:r>
          </w:p>
        </w:tc>
        <w:tc>
          <w:tcPr>
            <w:tcW w:w="2568"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4</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26</w:t>
            </w: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7</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/2</w:t>
            </w:r>
            <w:r>
              <w:rPr>
                <w:rFonts w:hint="default" w:ascii="Times New Roman" w:hAnsi="Times New Roman" w:eastAsia="仿宋_GB2312" w:cs="Times New Roman"/>
                <w:color w:val="auto"/>
                <w:spacing w:val="10"/>
                <w:kern w:val="0"/>
                <w:szCs w:val="21"/>
                <w:highlight w:val="none"/>
                <w:shd w:val="clear" w:color="FFFFFF" w:fill="auto"/>
                <w:lang w:val="en-US" w:eastAsia="zh-CN"/>
              </w:rPr>
              <w:t>5</w:t>
            </w:r>
          </w:p>
        </w:tc>
        <w:tc>
          <w:tcPr>
            <w:tcW w:w="171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99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周</w:t>
            </w:r>
            <w:r>
              <w:rPr>
                <w:rFonts w:hint="default" w:ascii="Times New Roman" w:hAnsi="Times New Roman" w:eastAsia="仿宋_GB2312" w:cs="Times New Roman"/>
                <w:color w:val="auto"/>
                <w:spacing w:val="10"/>
                <w:kern w:val="0"/>
                <w:szCs w:val="21"/>
                <w:highlight w:val="none"/>
                <w:shd w:val="clear" w:color="FFFFFF" w:fill="auto"/>
                <w:lang w:val="en-US" w:eastAsia="zh-CN"/>
              </w:rPr>
              <w:t xml:space="preserve"> </w:t>
            </w:r>
            <w:r>
              <w:rPr>
                <w:rFonts w:hint="default" w:ascii="Times New Roman" w:hAnsi="Times New Roman" w:eastAsia="仿宋_GB2312" w:cs="Times New Roman"/>
                <w:color w:val="auto"/>
                <w:spacing w:val="10"/>
                <w:kern w:val="0"/>
                <w:szCs w:val="21"/>
                <w:highlight w:val="none"/>
                <w:shd w:val="clear" w:color="FFFFFF" w:fill="auto"/>
              </w:rPr>
              <w:t>毅</w:t>
            </w:r>
          </w:p>
        </w:tc>
        <w:tc>
          <w:tcPr>
            <w:tcW w:w="160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副行长</w:t>
            </w:r>
          </w:p>
        </w:tc>
        <w:tc>
          <w:tcPr>
            <w:tcW w:w="46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男</w:t>
            </w:r>
          </w:p>
        </w:tc>
        <w:tc>
          <w:tcPr>
            <w:tcW w:w="145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1982/7/13</w:t>
            </w:r>
          </w:p>
        </w:tc>
        <w:tc>
          <w:tcPr>
            <w:tcW w:w="102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本科</w:t>
            </w:r>
          </w:p>
        </w:tc>
        <w:tc>
          <w:tcPr>
            <w:tcW w:w="2568"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4</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26</w:t>
            </w: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7</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/2</w:t>
            </w:r>
            <w:r>
              <w:rPr>
                <w:rFonts w:hint="default" w:ascii="Times New Roman" w:hAnsi="Times New Roman" w:eastAsia="仿宋_GB2312" w:cs="Times New Roman"/>
                <w:color w:val="auto"/>
                <w:spacing w:val="10"/>
                <w:kern w:val="0"/>
                <w:szCs w:val="21"/>
                <w:highlight w:val="none"/>
                <w:shd w:val="clear" w:color="FFFFFF" w:fill="auto"/>
                <w:lang w:val="en-US" w:eastAsia="zh-CN"/>
              </w:rPr>
              <w:t>5</w:t>
            </w:r>
          </w:p>
        </w:tc>
        <w:tc>
          <w:tcPr>
            <w:tcW w:w="171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99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 w:val="21"/>
                <w:szCs w:val="21"/>
                <w:highlight w:val="none"/>
                <w:shd w:val="clear" w:color="FFFFFF" w:fill="auto"/>
                <w:lang w:val="en-US" w:eastAsia="zh-CN" w:bidi="ar-SA"/>
              </w:rPr>
            </w:pPr>
            <w:r>
              <w:rPr>
                <w:rFonts w:hint="default" w:ascii="Times New Roman" w:hAnsi="Times New Roman" w:eastAsia="仿宋_GB2312" w:cs="Times New Roman"/>
                <w:color w:val="auto"/>
                <w:spacing w:val="10"/>
                <w:kern w:val="0"/>
                <w:szCs w:val="21"/>
                <w:highlight w:val="none"/>
                <w:shd w:val="clear" w:color="FFFFFF" w:fill="auto"/>
                <w:lang w:eastAsia="zh-CN"/>
              </w:rPr>
              <w:t>芮</w:t>
            </w:r>
            <w:r>
              <w:rPr>
                <w:rFonts w:hint="default" w:ascii="Times New Roman" w:hAnsi="Times New Roman" w:eastAsia="仿宋_GB2312" w:cs="Times New Roman"/>
                <w:color w:val="auto"/>
                <w:spacing w:val="10"/>
                <w:kern w:val="0"/>
                <w:szCs w:val="21"/>
                <w:highlight w:val="none"/>
                <w:shd w:val="clear" w:color="FFFFFF" w:fill="auto"/>
                <w:lang w:val="en-US" w:eastAsia="zh-CN"/>
              </w:rPr>
              <w:t xml:space="preserve"> 斌</w:t>
            </w:r>
          </w:p>
        </w:tc>
        <w:tc>
          <w:tcPr>
            <w:tcW w:w="160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 w:val="21"/>
                <w:szCs w:val="21"/>
                <w:highlight w:val="none"/>
                <w:shd w:val="clear" w:color="FFFFFF" w:fill="auto"/>
                <w:lang w:val="en-US" w:eastAsia="zh-CN" w:bidi="ar-SA"/>
              </w:rPr>
            </w:pPr>
            <w:r>
              <w:rPr>
                <w:rFonts w:hint="default" w:ascii="Times New Roman" w:hAnsi="Times New Roman" w:eastAsia="仿宋_GB2312" w:cs="Times New Roman"/>
                <w:color w:val="auto"/>
                <w:spacing w:val="10"/>
                <w:kern w:val="0"/>
                <w:szCs w:val="21"/>
                <w:highlight w:val="none"/>
                <w:shd w:val="clear" w:color="FFFFFF" w:fill="auto"/>
                <w:lang w:eastAsia="zh-CN"/>
              </w:rPr>
              <w:t>副行长</w:t>
            </w:r>
          </w:p>
        </w:tc>
        <w:tc>
          <w:tcPr>
            <w:tcW w:w="46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 w:val="21"/>
                <w:szCs w:val="21"/>
                <w:highlight w:val="none"/>
                <w:shd w:val="clear" w:color="FFFFFF" w:fill="auto"/>
                <w:lang w:val="en-US" w:eastAsia="zh-CN" w:bidi="ar-SA"/>
              </w:rPr>
            </w:pPr>
            <w:r>
              <w:rPr>
                <w:rFonts w:hint="default" w:ascii="Times New Roman" w:hAnsi="Times New Roman" w:eastAsia="仿宋_GB2312" w:cs="Times New Roman"/>
                <w:color w:val="auto"/>
                <w:spacing w:val="10"/>
                <w:kern w:val="0"/>
                <w:szCs w:val="21"/>
                <w:highlight w:val="none"/>
                <w:shd w:val="clear" w:color="FFFFFF" w:fill="auto"/>
                <w:lang w:eastAsia="zh-CN"/>
              </w:rPr>
              <w:t>男</w:t>
            </w:r>
          </w:p>
        </w:tc>
        <w:tc>
          <w:tcPr>
            <w:tcW w:w="145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 w:val="21"/>
                <w:szCs w:val="21"/>
                <w:highlight w:val="none"/>
                <w:shd w:val="clear" w:color="FFFFFF" w:fill="auto"/>
                <w:lang w:val="en-US" w:eastAsia="zh-CN" w:bidi="ar-SA"/>
              </w:rPr>
            </w:pPr>
            <w:r>
              <w:rPr>
                <w:rFonts w:hint="default" w:ascii="Times New Roman" w:hAnsi="Times New Roman" w:eastAsia="仿宋_GB2312" w:cs="Times New Roman"/>
                <w:color w:val="auto"/>
                <w:spacing w:val="10"/>
                <w:kern w:val="0"/>
                <w:szCs w:val="21"/>
                <w:highlight w:val="none"/>
                <w:shd w:val="clear" w:color="FFFFFF" w:fill="auto"/>
                <w:lang w:val="en-US" w:eastAsia="zh-CN"/>
              </w:rPr>
              <w:t>1981/9/1</w:t>
            </w:r>
          </w:p>
        </w:tc>
        <w:tc>
          <w:tcPr>
            <w:tcW w:w="102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 w:val="21"/>
                <w:szCs w:val="21"/>
                <w:highlight w:val="none"/>
                <w:shd w:val="clear" w:color="FFFFFF" w:fill="auto"/>
                <w:lang w:val="en-US" w:eastAsia="zh-CN" w:bidi="ar-SA"/>
              </w:rPr>
            </w:pPr>
            <w:r>
              <w:rPr>
                <w:rFonts w:hint="default" w:ascii="Times New Roman" w:hAnsi="Times New Roman" w:eastAsia="仿宋_GB2312" w:cs="Times New Roman"/>
                <w:color w:val="auto"/>
                <w:spacing w:val="10"/>
                <w:kern w:val="0"/>
                <w:szCs w:val="21"/>
                <w:highlight w:val="none"/>
                <w:shd w:val="clear" w:color="FFFFFF" w:fill="auto"/>
                <w:lang w:eastAsia="zh-CN"/>
              </w:rPr>
              <w:t>本科</w:t>
            </w:r>
          </w:p>
        </w:tc>
        <w:tc>
          <w:tcPr>
            <w:tcW w:w="2568"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 w:val="21"/>
                <w:szCs w:val="21"/>
                <w:highlight w:val="none"/>
                <w:shd w:val="clear" w:color="FFFFFF" w:fill="auto"/>
                <w:lang w:val="en-US" w:eastAsia="zh-CN" w:bidi="ar-SA"/>
              </w:rPr>
            </w:pPr>
            <w:r>
              <w:rPr>
                <w:rFonts w:hint="default" w:ascii="Times New Roman" w:hAnsi="Times New Roman" w:eastAsia="仿宋_GB2312" w:cs="Times New Roman"/>
                <w:color w:val="auto"/>
                <w:spacing w:val="10"/>
                <w:kern w:val="0"/>
                <w:szCs w:val="21"/>
                <w:highlight w:val="none"/>
                <w:shd w:val="clear" w:color="FFFFFF" w:fill="auto"/>
                <w:lang w:val="en-US" w:eastAsia="zh-CN"/>
              </w:rPr>
              <w:t>2025/8/26-2027/9/25</w:t>
            </w:r>
          </w:p>
        </w:tc>
        <w:tc>
          <w:tcPr>
            <w:tcW w:w="171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 w:val="21"/>
                <w:szCs w:val="21"/>
                <w:highlight w:val="none"/>
                <w:shd w:val="clear" w:color="FFFFFF" w:fill="auto"/>
                <w:lang w:val="en-US" w:eastAsia="zh-CN" w:bidi="ar-SA"/>
              </w:rPr>
            </w:pPr>
            <w:r>
              <w:rPr>
                <w:rFonts w:hint="default" w:ascii="Times New Roman" w:hAnsi="Times New Roman" w:eastAsia="仿宋_GB2312" w:cs="Times New Roman"/>
                <w:color w:val="auto"/>
                <w:spacing w:val="10"/>
                <w:kern w:val="0"/>
                <w:szCs w:val="21"/>
                <w:highlight w:val="none"/>
                <w:shd w:val="clear" w:color="FFFFFF" w:fill="auto"/>
                <w:lang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99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eastAsia="zh-CN"/>
              </w:rPr>
            </w:pPr>
            <w:r>
              <w:rPr>
                <w:rFonts w:hint="default" w:ascii="Times New Roman" w:hAnsi="Times New Roman" w:eastAsia="仿宋_GB2312" w:cs="Times New Roman"/>
                <w:color w:val="auto"/>
                <w:spacing w:val="10"/>
                <w:kern w:val="0"/>
                <w:szCs w:val="21"/>
                <w:highlight w:val="none"/>
                <w:shd w:val="clear" w:color="FFFFFF" w:fill="auto"/>
                <w:lang w:eastAsia="zh-CN"/>
              </w:rPr>
              <w:t>王新闻</w:t>
            </w:r>
          </w:p>
        </w:tc>
        <w:tc>
          <w:tcPr>
            <w:tcW w:w="160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董事会秘书</w:t>
            </w:r>
          </w:p>
        </w:tc>
        <w:tc>
          <w:tcPr>
            <w:tcW w:w="46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男</w:t>
            </w:r>
          </w:p>
        </w:tc>
        <w:tc>
          <w:tcPr>
            <w:tcW w:w="145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lang w:val="en-US" w:eastAsia="zh-CN"/>
              </w:rPr>
            </w:pPr>
            <w:r>
              <w:rPr>
                <w:rFonts w:hint="default" w:ascii="Times New Roman" w:hAnsi="Times New Roman" w:eastAsia="仿宋_GB2312" w:cs="Times New Roman"/>
                <w:color w:val="auto"/>
                <w:spacing w:val="10"/>
                <w:kern w:val="0"/>
                <w:szCs w:val="21"/>
                <w:highlight w:val="none"/>
                <w:shd w:val="clear" w:color="FFFFFF" w:fill="auto"/>
                <w:lang w:val="en-US" w:eastAsia="zh-CN"/>
              </w:rPr>
              <w:t>1988/7/17</w:t>
            </w:r>
          </w:p>
        </w:tc>
        <w:tc>
          <w:tcPr>
            <w:tcW w:w="102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本科</w:t>
            </w:r>
          </w:p>
        </w:tc>
        <w:tc>
          <w:tcPr>
            <w:tcW w:w="2568"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4</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26</w:t>
            </w: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7</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/2</w:t>
            </w:r>
            <w:r>
              <w:rPr>
                <w:rFonts w:hint="default" w:ascii="Times New Roman" w:hAnsi="Times New Roman" w:eastAsia="仿宋_GB2312" w:cs="Times New Roman"/>
                <w:color w:val="auto"/>
                <w:spacing w:val="10"/>
                <w:kern w:val="0"/>
                <w:szCs w:val="21"/>
                <w:highlight w:val="none"/>
                <w:shd w:val="clear" w:color="FFFFFF" w:fill="auto"/>
                <w:lang w:val="en-US" w:eastAsia="zh-CN"/>
              </w:rPr>
              <w:t>5</w:t>
            </w:r>
          </w:p>
        </w:tc>
        <w:tc>
          <w:tcPr>
            <w:tcW w:w="171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exact"/>
        </w:trPr>
        <w:tc>
          <w:tcPr>
            <w:tcW w:w="99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邢华其</w:t>
            </w:r>
          </w:p>
        </w:tc>
        <w:tc>
          <w:tcPr>
            <w:tcW w:w="16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shd w:val="clear" w:color="auto" w:fill="auto"/>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审计稽核部负责人</w:t>
            </w:r>
          </w:p>
        </w:tc>
        <w:tc>
          <w:tcPr>
            <w:tcW w:w="46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男</w:t>
            </w:r>
          </w:p>
        </w:tc>
        <w:tc>
          <w:tcPr>
            <w:tcW w:w="145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1981/12/30</w:t>
            </w:r>
          </w:p>
        </w:tc>
        <w:tc>
          <w:tcPr>
            <w:tcW w:w="102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本科</w:t>
            </w:r>
          </w:p>
        </w:tc>
        <w:tc>
          <w:tcPr>
            <w:tcW w:w="2568"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4</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26</w:t>
            </w: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7</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/2</w:t>
            </w:r>
            <w:r>
              <w:rPr>
                <w:rFonts w:hint="default" w:ascii="Times New Roman" w:hAnsi="Times New Roman" w:eastAsia="仿宋_GB2312" w:cs="Times New Roman"/>
                <w:color w:val="auto"/>
                <w:spacing w:val="10"/>
                <w:kern w:val="0"/>
                <w:szCs w:val="21"/>
                <w:highlight w:val="none"/>
                <w:shd w:val="clear" w:color="FFFFFF" w:fill="auto"/>
                <w:lang w:val="en-US" w:eastAsia="zh-CN"/>
              </w:rPr>
              <w:t>5</w:t>
            </w:r>
          </w:p>
        </w:tc>
        <w:tc>
          <w:tcPr>
            <w:tcW w:w="171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990"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rPr>
              <w:t>孙小华</w:t>
            </w:r>
          </w:p>
        </w:tc>
        <w:tc>
          <w:tcPr>
            <w:tcW w:w="16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shd w:val="clear" w:color="auto" w:fill="auto"/>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合规管理部负责人</w:t>
            </w:r>
          </w:p>
        </w:tc>
        <w:tc>
          <w:tcPr>
            <w:tcW w:w="465"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男</w:t>
            </w:r>
          </w:p>
        </w:tc>
        <w:tc>
          <w:tcPr>
            <w:tcW w:w="145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1981/10/23</w:t>
            </w:r>
          </w:p>
        </w:tc>
        <w:tc>
          <w:tcPr>
            <w:tcW w:w="1021"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本科</w:t>
            </w:r>
          </w:p>
        </w:tc>
        <w:tc>
          <w:tcPr>
            <w:tcW w:w="2568"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4</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26</w:t>
            </w:r>
            <w:r>
              <w:rPr>
                <w:rFonts w:hint="default" w:ascii="Times New Roman" w:hAnsi="Times New Roman" w:eastAsia="仿宋_GB2312" w:cs="Times New Roman"/>
                <w:color w:val="auto"/>
                <w:spacing w:val="10"/>
                <w:kern w:val="0"/>
                <w:szCs w:val="21"/>
                <w:highlight w:val="none"/>
                <w:shd w:val="clear" w:color="FFFFFF" w:fill="auto"/>
              </w:rPr>
              <w:t>-202</w:t>
            </w:r>
            <w:r>
              <w:rPr>
                <w:rFonts w:hint="default" w:ascii="Times New Roman" w:hAnsi="Times New Roman" w:eastAsia="仿宋_GB2312" w:cs="Times New Roman"/>
                <w:color w:val="auto"/>
                <w:spacing w:val="10"/>
                <w:kern w:val="0"/>
                <w:szCs w:val="21"/>
                <w:highlight w:val="none"/>
                <w:shd w:val="clear" w:color="FFFFFF" w:fill="auto"/>
                <w:lang w:val="en-US" w:eastAsia="zh-CN"/>
              </w:rPr>
              <w:t>7</w:t>
            </w:r>
            <w:r>
              <w:rPr>
                <w:rFonts w:hint="default" w:ascii="Times New Roman" w:hAnsi="Times New Roman" w:eastAsia="仿宋_GB2312" w:cs="Times New Roman"/>
                <w:color w:val="auto"/>
                <w:spacing w:val="10"/>
                <w:kern w:val="0"/>
                <w:szCs w:val="21"/>
                <w:highlight w:val="none"/>
                <w:shd w:val="clear" w:color="FFFFFF" w:fill="auto"/>
              </w:rPr>
              <w:t>/</w:t>
            </w:r>
            <w:r>
              <w:rPr>
                <w:rFonts w:hint="default" w:ascii="Times New Roman" w:hAnsi="Times New Roman" w:eastAsia="仿宋_GB2312" w:cs="Times New Roman"/>
                <w:color w:val="auto"/>
                <w:spacing w:val="10"/>
                <w:kern w:val="0"/>
                <w:szCs w:val="21"/>
                <w:highlight w:val="none"/>
                <w:shd w:val="clear" w:color="FFFFFF" w:fill="auto"/>
                <w:lang w:val="en-US" w:eastAsia="zh-CN"/>
              </w:rPr>
              <w:t>9</w:t>
            </w:r>
            <w:r>
              <w:rPr>
                <w:rFonts w:hint="default" w:ascii="Times New Roman" w:hAnsi="Times New Roman" w:eastAsia="仿宋_GB2312" w:cs="Times New Roman"/>
                <w:color w:val="auto"/>
                <w:spacing w:val="10"/>
                <w:kern w:val="0"/>
                <w:szCs w:val="21"/>
                <w:highlight w:val="none"/>
                <w:shd w:val="clear" w:color="FFFFFF" w:fill="auto"/>
              </w:rPr>
              <w:t>/2</w:t>
            </w:r>
            <w:r>
              <w:rPr>
                <w:rFonts w:hint="default" w:ascii="Times New Roman" w:hAnsi="Times New Roman" w:eastAsia="仿宋_GB2312" w:cs="Times New Roman"/>
                <w:color w:val="auto"/>
                <w:spacing w:val="10"/>
                <w:kern w:val="0"/>
                <w:szCs w:val="21"/>
                <w:highlight w:val="none"/>
                <w:shd w:val="clear" w:color="FFFFFF" w:fill="auto"/>
                <w:lang w:val="en-US" w:eastAsia="zh-CN"/>
              </w:rPr>
              <w:t>5</w:t>
            </w:r>
          </w:p>
        </w:tc>
        <w:tc>
          <w:tcPr>
            <w:tcW w:w="1710"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Cs w:val="21"/>
                <w:highlight w:val="none"/>
                <w:shd w:val="clear" w:color="FFFFFF" w:fill="auto"/>
              </w:rPr>
            </w:pPr>
            <w:r>
              <w:rPr>
                <w:rFonts w:hint="default" w:ascii="Times New Roman" w:hAnsi="Times New Roman" w:eastAsia="仿宋_GB2312" w:cs="Times New Roman"/>
                <w:color w:val="auto"/>
                <w:spacing w:val="10"/>
                <w:kern w:val="0"/>
                <w:szCs w:val="21"/>
                <w:highlight w:val="none"/>
                <w:shd w:val="clear" w:color="FFFFFF" w:fill="auto"/>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8100" w:type="dxa"/>
            <w:gridSpan w:val="6"/>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jc w:val="center"/>
              <w:rPr>
                <w:rFonts w:hint="default" w:ascii="Times New Roman" w:hAnsi="Times New Roman" w:eastAsia="仿宋_GB2312" w:cs="Times New Roman"/>
                <w:b/>
                <w:color w:val="auto"/>
                <w:spacing w:val="10"/>
                <w:kern w:val="0"/>
                <w:szCs w:val="21"/>
                <w:highlight w:val="none"/>
              </w:rPr>
            </w:pPr>
            <w:r>
              <w:rPr>
                <w:rFonts w:hint="default" w:ascii="Times New Roman" w:hAnsi="Times New Roman" w:eastAsia="黑体" w:cs="Times New Roman"/>
                <w:bCs/>
                <w:color w:val="auto"/>
                <w:spacing w:val="10"/>
                <w:kern w:val="0"/>
                <w:sz w:val="24"/>
                <w:szCs w:val="24"/>
                <w:highlight w:val="none"/>
              </w:rPr>
              <w:t>董事会人数：</w:t>
            </w:r>
          </w:p>
        </w:tc>
        <w:tc>
          <w:tcPr>
            <w:tcW w:w="171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default" w:ascii="Times New Roman" w:hAnsi="Times New Roman" w:eastAsia="仿宋_GB2312" w:cs="Times New Roman"/>
                <w:b/>
                <w:color w:val="auto"/>
                <w:spacing w:val="10"/>
                <w:kern w:val="0"/>
                <w:szCs w:val="21"/>
                <w:highlight w:val="none"/>
                <w:lang w:val="en-US" w:eastAsia="zh-CN"/>
              </w:rPr>
            </w:pPr>
            <w:r>
              <w:rPr>
                <w:rFonts w:hint="default" w:ascii="Times New Roman" w:hAnsi="Times New Roman" w:eastAsia="仿宋_GB2312" w:cs="Times New Roman"/>
                <w:b/>
                <w:color w:val="auto"/>
                <w:spacing w:val="10"/>
                <w:kern w:val="0"/>
                <w:szCs w:val="21"/>
                <w:highlight w:val="none"/>
                <w:lang w:val="en-US" w:eastAsia="zh-CN"/>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8100" w:type="dxa"/>
            <w:gridSpan w:val="6"/>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jc w:val="center"/>
              <w:rPr>
                <w:rFonts w:hint="default" w:ascii="Times New Roman" w:hAnsi="Times New Roman" w:eastAsia="黑体" w:cs="Times New Roman"/>
                <w:bCs/>
                <w:color w:val="auto"/>
                <w:spacing w:val="10"/>
                <w:kern w:val="0"/>
                <w:sz w:val="24"/>
                <w:szCs w:val="24"/>
                <w:highlight w:val="none"/>
              </w:rPr>
            </w:pPr>
            <w:r>
              <w:rPr>
                <w:rFonts w:hint="default" w:ascii="Times New Roman" w:hAnsi="Times New Roman" w:eastAsia="黑体" w:cs="Times New Roman"/>
                <w:bCs/>
                <w:color w:val="auto"/>
                <w:spacing w:val="10"/>
                <w:kern w:val="0"/>
                <w:sz w:val="24"/>
                <w:szCs w:val="24"/>
                <w:highlight w:val="none"/>
              </w:rPr>
              <w:t>高级管理人员人数：</w:t>
            </w:r>
          </w:p>
        </w:tc>
        <w:tc>
          <w:tcPr>
            <w:tcW w:w="171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default" w:ascii="Times New Roman" w:hAnsi="Times New Roman" w:eastAsia="仿宋_GB2312" w:cs="Times New Roman"/>
                <w:b/>
                <w:color w:val="auto"/>
                <w:spacing w:val="10"/>
                <w:kern w:val="0"/>
                <w:szCs w:val="21"/>
                <w:highlight w:val="none"/>
                <w:lang w:val="en-US" w:eastAsia="zh-CN"/>
              </w:rPr>
            </w:pPr>
            <w:r>
              <w:rPr>
                <w:rFonts w:hint="default" w:ascii="Times New Roman" w:hAnsi="Times New Roman" w:eastAsia="仿宋_GB2312" w:cs="Times New Roman"/>
                <w:b/>
                <w:color w:val="auto"/>
                <w:spacing w:val="10"/>
                <w:kern w:val="0"/>
                <w:szCs w:val="21"/>
                <w:highlight w:val="none"/>
                <w:lang w:val="en-US" w:eastAsia="zh-CN"/>
              </w:rPr>
              <w:t>8</w:t>
            </w:r>
          </w:p>
        </w:tc>
      </w:tr>
    </w:tbl>
    <w:p>
      <w:pPr>
        <w:keepNext w:val="0"/>
        <w:keepLines w:val="0"/>
        <w:pageBreakBefore w:val="0"/>
        <w:widowControl w:val="0"/>
        <w:shd w:val="clear" w:color="auto" w:fill="auto"/>
        <w:kinsoku/>
        <w:wordWrap/>
        <w:overflowPunct/>
        <w:topLinePunct w:val="0"/>
        <w:bidi w:val="0"/>
        <w:snapToGrid/>
        <w:spacing w:before="0" w:line="480" w:lineRule="exact"/>
        <w:ind w:firstLine="604" w:firstLineChars="200"/>
        <w:jc w:val="left"/>
        <w:textAlignment w:val="auto"/>
        <w:rPr>
          <w:rFonts w:hint="default" w:ascii="Times New Roman" w:hAnsi="Times New Roman" w:eastAsia="仿宋_GB2312" w:cs="Times New Roman"/>
          <w:b/>
          <w:color w:val="auto"/>
          <w:spacing w:val="0"/>
          <w:kern w:val="2"/>
          <w:sz w:val="28"/>
          <w:szCs w:val="28"/>
          <w:highlight w:val="none"/>
          <w:lang w:val="en-US" w:eastAsia="zh-CN" w:bidi="ar-SA"/>
        </w:rPr>
      </w:pPr>
      <w:r>
        <w:rPr>
          <w:rFonts w:hint="default" w:ascii="Times New Roman" w:hAnsi="Times New Roman" w:eastAsia="仿宋_GB2312" w:cs="Times New Roman"/>
          <w:b/>
          <w:color w:val="auto"/>
          <w:spacing w:val="0"/>
          <w:w w:val="100"/>
          <w:kern w:val="2"/>
          <w:position w:val="0"/>
          <w:sz w:val="28"/>
          <w:szCs w:val="28"/>
          <w:highlight w:val="none"/>
          <w:u w:val="none"/>
          <w:lang w:val="zh-CN" w:eastAsia="zh-CN" w:bidi="ar-SA"/>
        </w:rPr>
        <w:t>董事、高级管理人员相互间关系及与控股股东、实际控制人间关系：</w:t>
      </w:r>
    </w:p>
    <w:p>
      <w:pPr>
        <w:keepNext w:val="0"/>
        <w:keepLines w:val="0"/>
        <w:pageBreakBefore w:val="0"/>
        <w:widowControl w:val="0"/>
        <w:shd w:val="clear" w:color="auto" w:fill="auto"/>
        <w:kinsoku/>
        <w:wordWrap/>
        <w:overflowPunct/>
        <w:topLinePunct w:val="0"/>
        <w:bidi w:val="0"/>
        <w:snapToGrid/>
        <w:spacing w:before="0" w:line="480" w:lineRule="exact"/>
        <w:ind w:firstLine="604" w:firstLineChars="200"/>
        <w:jc w:val="left"/>
        <w:textAlignment w:val="auto"/>
        <w:rPr>
          <w:rFonts w:hint="default" w:ascii="Times New Roman" w:hAnsi="Times New Roman" w:eastAsia="仿宋_GB2312" w:cs="Times New Roman"/>
          <w:color w:val="auto"/>
          <w:spacing w:val="0"/>
          <w:kern w:val="2"/>
          <w:sz w:val="28"/>
          <w:szCs w:val="28"/>
          <w:highlight w:val="none"/>
          <w:lang w:val="en-US" w:eastAsia="zh-CN" w:bidi="ar-SA"/>
        </w:rPr>
      </w:pPr>
      <w:r>
        <w:rPr>
          <w:rFonts w:hint="default" w:ascii="Times New Roman" w:hAnsi="Times New Roman" w:eastAsia="仿宋_GB2312" w:cs="Times New Roman"/>
          <w:color w:val="auto"/>
          <w:spacing w:val="0"/>
          <w:kern w:val="2"/>
          <w:sz w:val="28"/>
          <w:szCs w:val="28"/>
          <w:highlight w:val="none"/>
          <w:lang w:val="en-US" w:eastAsia="zh-CN" w:bidi="ar-SA"/>
        </w:rPr>
        <w:t>本行董事、高级管理人员相互间不存在关联关系。本行无控股股东、实际控制人。</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
          <w:color w:val="auto"/>
          <w:sz w:val="28"/>
          <w:szCs w:val="28"/>
          <w:highlight w:val="none"/>
          <w:lang w:eastAsia="zh-CN"/>
        </w:rPr>
      </w:pPr>
      <w:r>
        <w:rPr>
          <w:rFonts w:hint="default" w:ascii="Times New Roman" w:hAnsi="Times New Roman" w:eastAsia="仿宋_GB2312" w:cs="Times New Roman"/>
          <w:b/>
          <w:color w:val="auto"/>
          <w:sz w:val="28"/>
          <w:szCs w:val="28"/>
          <w:highlight w:val="none"/>
        </w:rPr>
        <w:t>（二）持股情况</w:t>
      </w:r>
    </w:p>
    <w:tbl>
      <w:tblPr>
        <w:tblStyle w:val="25"/>
        <w:tblW w:w="1036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1"/>
        <w:gridCol w:w="1590"/>
        <w:gridCol w:w="1080"/>
        <w:gridCol w:w="870"/>
        <w:gridCol w:w="1352"/>
        <w:gridCol w:w="1175"/>
        <w:gridCol w:w="1305"/>
        <w:gridCol w:w="20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9" w:hRule="exact"/>
          <w:jc w:val="center"/>
        </w:trPr>
        <w:tc>
          <w:tcPr>
            <w:tcW w:w="991" w:type="dxa"/>
            <w:vAlign w:val="center"/>
          </w:tcPr>
          <w:p>
            <w:pPr>
              <w:autoSpaceDE w:val="0"/>
              <w:autoSpaceDN w:val="0"/>
              <w:adjustRightInd w:val="0"/>
              <w:spacing w:line="320" w:lineRule="exact"/>
              <w:jc w:val="center"/>
              <w:rPr>
                <w:rFonts w:hint="default" w:ascii="Times New Roman" w:hAnsi="Times New Roman" w:eastAsia="黑体" w:cs="Times New Roman"/>
                <w:bCs/>
                <w:color w:val="auto"/>
                <w:spacing w:val="10"/>
                <w:kern w:val="0"/>
                <w:sz w:val="24"/>
                <w:szCs w:val="24"/>
                <w:highlight w:val="none"/>
              </w:rPr>
            </w:pPr>
            <w:r>
              <w:rPr>
                <w:rFonts w:hint="default" w:ascii="Times New Roman" w:hAnsi="Times New Roman" w:eastAsia="黑体" w:cs="Times New Roman"/>
                <w:bCs/>
                <w:color w:val="auto"/>
                <w:spacing w:val="10"/>
                <w:kern w:val="0"/>
                <w:sz w:val="24"/>
                <w:szCs w:val="24"/>
                <w:highlight w:val="none"/>
              </w:rPr>
              <w:t>姓名</w:t>
            </w:r>
          </w:p>
        </w:tc>
        <w:tc>
          <w:tcPr>
            <w:tcW w:w="1590" w:type="dxa"/>
            <w:vAlign w:val="center"/>
          </w:tcPr>
          <w:p>
            <w:pPr>
              <w:autoSpaceDE w:val="0"/>
              <w:autoSpaceDN w:val="0"/>
              <w:adjustRightInd w:val="0"/>
              <w:spacing w:line="320" w:lineRule="exact"/>
              <w:jc w:val="center"/>
              <w:rPr>
                <w:rFonts w:hint="default" w:ascii="Times New Roman" w:hAnsi="Times New Roman" w:eastAsia="黑体" w:cs="Times New Roman"/>
                <w:bCs/>
                <w:color w:val="auto"/>
                <w:spacing w:val="10"/>
                <w:kern w:val="0"/>
                <w:sz w:val="24"/>
                <w:szCs w:val="24"/>
                <w:highlight w:val="none"/>
              </w:rPr>
            </w:pPr>
            <w:r>
              <w:rPr>
                <w:rFonts w:hint="default" w:ascii="Times New Roman" w:hAnsi="Times New Roman" w:eastAsia="黑体" w:cs="Times New Roman"/>
                <w:bCs/>
                <w:color w:val="auto"/>
                <w:spacing w:val="10"/>
                <w:kern w:val="0"/>
                <w:sz w:val="24"/>
                <w:szCs w:val="24"/>
                <w:highlight w:val="none"/>
              </w:rPr>
              <w:t>职务</w:t>
            </w:r>
          </w:p>
        </w:tc>
        <w:tc>
          <w:tcPr>
            <w:tcW w:w="1080" w:type="dxa"/>
            <w:vAlign w:val="center"/>
          </w:tcPr>
          <w:p>
            <w:pPr>
              <w:autoSpaceDE w:val="0"/>
              <w:autoSpaceDN w:val="0"/>
              <w:adjustRightInd w:val="0"/>
              <w:spacing w:line="320" w:lineRule="exact"/>
              <w:jc w:val="center"/>
              <w:rPr>
                <w:rFonts w:hint="default" w:ascii="Times New Roman" w:hAnsi="Times New Roman" w:eastAsia="黑体" w:cs="Times New Roman"/>
                <w:bCs/>
                <w:color w:val="auto"/>
                <w:spacing w:val="10"/>
                <w:kern w:val="0"/>
                <w:sz w:val="24"/>
                <w:szCs w:val="24"/>
                <w:highlight w:val="none"/>
              </w:rPr>
            </w:pPr>
            <w:r>
              <w:rPr>
                <w:rFonts w:hint="default" w:ascii="Times New Roman" w:hAnsi="Times New Roman" w:eastAsia="黑体" w:cs="Times New Roman"/>
                <w:bCs/>
                <w:color w:val="auto"/>
                <w:kern w:val="0"/>
                <w:sz w:val="24"/>
                <w:szCs w:val="24"/>
                <w:highlight w:val="none"/>
              </w:rPr>
              <w:t>期初持普通股股数</w:t>
            </w:r>
          </w:p>
        </w:tc>
        <w:tc>
          <w:tcPr>
            <w:tcW w:w="870" w:type="dxa"/>
            <w:vAlign w:val="center"/>
          </w:tcPr>
          <w:p>
            <w:pPr>
              <w:autoSpaceDE w:val="0"/>
              <w:autoSpaceDN w:val="0"/>
              <w:adjustRightInd w:val="0"/>
              <w:spacing w:line="320" w:lineRule="exact"/>
              <w:jc w:val="center"/>
              <w:rPr>
                <w:rFonts w:hint="default" w:ascii="Times New Roman" w:hAnsi="Times New Roman" w:eastAsia="黑体" w:cs="Times New Roman"/>
                <w:bCs/>
                <w:color w:val="auto"/>
                <w:spacing w:val="10"/>
                <w:kern w:val="0"/>
                <w:sz w:val="24"/>
                <w:szCs w:val="24"/>
                <w:highlight w:val="none"/>
              </w:rPr>
            </w:pPr>
            <w:r>
              <w:rPr>
                <w:rFonts w:hint="default" w:ascii="Times New Roman" w:hAnsi="Times New Roman" w:eastAsia="黑体" w:cs="Times New Roman"/>
                <w:bCs/>
                <w:color w:val="auto"/>
                <w:kern w:val="0"/>
                <w:sz w:val="24"/>
                <w:szCs w:val="24"/>
                <w:highlight w:val="none"/>
              </w:rPr>
              <w:t>数量变动</w:t>
            </w:r>
          </w:p>
        </w:tc>
        <w:tc>
          <w:tcPr>
            <w:tcW w:w="1352" w:type="dxa"/>
            <w:vAlign w:val="center"/>
          </w:tcPr>
          <w:p>
            <w:pPr>
              <w:autoSpaceDE w:val="0"/>
              <w:autoSpaceDN w:val="0"/>
              <w:adjustRightInd w:val="0"/>
              <w:spacing w:line="320" w:lineRule="exact"/>
              <w:jc w:val="center"/>
              <w:rPr>
                <w:rFonts w:hint="default" w:ascii="Times New Roman" w:hAnsi="Times New Roman" w:eastAsia="黑体" w:cs="Times New Roman"/>
                <w:bCs/>
                <w:color w:val="auto"/>
                <w:spacing w:val="10"/>
                <w:kern w:val="0"/>
                <w:sz w:val="24"/>
                <w:szCs w:val="24"/>
                <w:highlight w:val="none"/>
              </w:rPr>
            </w:pPr>
            <w:r>
              <w:rPr>
                <w:rFonts w:hint="default" w:ascii="Times New Roman" w:hAnsi="Times New Roman" w:eastAsia="黑体" w:cs="Times New Roman"/>
                <w:bCs/>
                <w:color w:val="auto"/>
                <w:kern w:val="0"/>
                <w:sz w:val="24"/>
                <w:szCs w:val="24"/>
                <w:highlight w:val="none"/>
              </w:rPr>
              <w:t>期末持普通股股数</w:t>
            </w:r>
          </w:p>
        </w:tc>
        <w:tc>
          <w:tcPr>
            <w:tcW w:w="1175" w:type="dxa"/>
            <w:vAlign w:val="center"/>
          </w:tcPr>
          <w:p>
            <w:pPr>
              <w:autoSpaceDE w:val="0"/>
              <w:autoSpaceDN w:val="0"/>
              <w:adjustRightInd w:val="0"/>
              <w:spacing w:line="320" w:lineRule="exact"/>
              <w:jc w:val="center"/>
              <w:rPr>
                <w:rFonts w:hint="default" w:ascii="Times New Roman" w:hAnsi="Times New Roman" w:eastAsia="黑体" w:cs="Times New Roman"/>
                <w:bCs/>
                <w:color w:val="auto"/>
                <w:spacing w:val="10"/>
                <w:kern w:val="0"/>
                <w:sz w:val="24"/>
                <w:szCs w:val="24"/>
                <w:highlight w:val="none"/>
              </w:rPr>
            </w:pPr>
            <w:r>
              <w:rPr>
                <w:rFonts w:hint="default" w:ascii="Times New Roman" w:hAnsi="Times New Roman" w:eastAsia="黑体" w:cs="Times New Roman"/>
                <w:bCs/>
                <w:color w:val="auto"/>
                <w:kern w:val="0"/>
                <w:sz w:val="24"/>
                <w:szCs w:val="24"/>
                <w:highlight w:val="none"/>
              </w:rPr>
              <w:t>期末普通股持股比例</w:t>
            </w:r>
          </w:p>
        </w:tc>
        <w:tc>
          <w:tcPr>
            <w:tcW w:w="1305" w:type="dxa"/>
            <w:vAlign w:val="center"/>
          </w:tcPr>
          <w:p>
            <w:pPr>
              <w:autoSpaceDE w:val="0"/>
              <w:autoSpaceDN w:val="0"/>
              <w:adjustRightInd w:val="0"/>
              <w:spacing w:line="320" w:lineRule="exact"/>
              <w:jc w:val="center"/>
              <w:rPr>
                <w:rFonts w:hint="default" w:ascii="Times New Roman" w:hAnsi="Times New Roman" w:eastAsia="黑体" w:cs="Times New Roman"/>
                <w:bCs/>
                <w:color w:val="auto"/>
                <w:spacing w:val="10"/>
                <w:kern w:val="0"/>
                <w:sz w:val="24"/>
                <w:szCs w:val="24"/>
                <w:highlight w:val="none"/>
              </w:rPr>
            </w:pPr>
            <w:r>
              <w:rPr>
                <w:rFonts w:hint="default" w:ascii="Times New Roman" w:hAnsi="Times New Roman" w:eastAsia="黑体" w:cs="Times New Roman"/>
                <w:bCs/>
                <w:color w:val="auto"/>
                <w:kern w:val="0"/>
                <w:sz w:val="24"/>
                <w:szCs w:val="24"/>
                <w:highlight w:val="none"/>
              </w:rPr>
              <w:t>期末持有股票期权数量</w:t>
            </w:r>
          </w:p>
        </w:tc>
        <w:tc>
          <w:tcPr>
            <w:tcW w:w="2001" w:type="dxa"/>
            <w:vAlign w:val="center"/>
          </w:tcPr>
          <w:p>
            <w:pPr>
              <w:autoSpaceDE w:val="0"/>
              <w:autoSpaceDN w:val="0"/>
              <w:adjustRightInd w:val="0"/>
              <w:spacing w:line="320" w:lineRule="exact"/>
              <w:jc w:val="center"/>
              <w:rPr>
                <w:rFonts w:hint="default" w:ascii="Times New Roman" w:hAnsi="Times New Roman" w:eastAsia="黑体" w:cs="Times New Roman"/>
                <w:bCs/>
                <w:color w:val="auto"/>
                <w:kern w:val="0"/>
                <w:sz w:val="24"/>
                <w:szCs w:val="24"/>
                <w:highlight w:val="none"/>
                <w:lang w:eastAsia="zh-CN"/>
              </w:rPr>
            </w:pPr>
            <w:r>
              <w:rPr>
                <w:rFonts w:hint="default" w:ascii="Times New Roman" w:hAnsi="Times New Roman" w:eastAsia="黑体" w:cs="Times New Roman"/>
                <w:bCs/>
                <w:color w:val="auto"/>
                <w:kern w:val="0"/>
                <w:sz w:val="24"/>
                <w:szCs w:val="24"/>
                <w:highlight w:val="no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9" w:hRule="atLeast"/>
          <w:jc w:val="center"/>
        </w:trPr>
        <w:tc>
          <w:tcPr>
            <w:tcW w:w="9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lang w:eastAsia="zh-CN"/>
              </w:rPr>
            </w:pPr>
            <w:r>
              <w:rPr>
                <w:rFonts w:hint="default" w:ascii="Times New Roman" w:hAnsi="Times New Roman" w:eastAsia="仿宋_GB2312" w:cs="Times New Roman"/>
                <w:color w:val="auto"/>
                <w:spacing w:val="10"/>
                <w:kern w:val="0"/>
                <w:szCs w:val="21"/>
                <w:highlight w:val="none"/>
                <w:lang w:eastAsia="zh-CN"/>
              </w:rPr>
              <w:t>端淳华</w:t>
            </w:r>
          </w:p>
        </w:tc>
        <w:tc>
          <w:tcPr>
            <w:tcW w:w="15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rPr>
              <w:t>董事长</w:t>
            </w:r>
          </w:p>
        </w:tc>
        <w:tc>
          <w:tcPr>
            <w:tcW w:w="108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94617</w:t>
            </w:r>
          </w:p>
        </w:tc>
        <w:tc>
          <w:tcPr>
            <w:tcW w:w="87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3784</w:t>
            </w:r>
          </w:p>
        </w:tc>
        <w:tc>
          <w:tcPr>
            <w:tcW w:w="135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lang w:val="en-US" w:eastAsia="zh-CN"/>
              </w:rPr>
              <w:t>98401</w:t>
            </w:r>
          </w:p>
        </w:tc>
        <w:tc>
          <w:tcPr>
            <w:tcW w:w="117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lang w:val="en-US" w:eastAsia="zh-CN"/>
              </w:rPr>
              <w:t>0.0182</w:t>
            </w:r>
            <w:r>
              <w:rPr>
                <w:rFonts w:hint="default" w:ascii="Times New Roman" w:hAnsi="Times New Roman" w:eastAsia="宋体" w:cs="Times New Roman"/>
                <w:color w:val="auto"/>
                <w:spacing w:val="10"/>
                <w:kern w:val="0"/>
                <w:sz w:val="20"/>
                <w:szCs w:val="20"/>
                <w:highlight w:val="none"/>
              </w:rPr>
              <w:t>%</w:t>
            </w:r>
          </w:p>
        </w:tc>
        <w:tc>
          <w:tcPr>
            <w:tcW w:w="13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0</w:t>
            </w:r>
          </w:p>
        </w:tc>
        <w:tc>
          <w:tcPr>
            <w:tcW w:w="20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 w:hRule="atLeast"/>
          <w:jc w:val="center"/>
        </w:trPr>
        <w:tc>
          <w:tcPr>
            <w:tcW w:w="991" w:type="dxa"/>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rPr>
              <w:t>高旭东</w:t>
            </w:r>
          </w:p>
        </w:tc>
        <w:tc>
          <w:tcPr>
            <w:tcW w:w="15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rPr>
              <w:t>执行董事</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cs="Times New Roman"/>
                <w:color w:val="auto"/>
                <w:spacing w:val="10"/>
                <w:kern w:val="0"/>
                <w:sz w:val="20"/>
                <w:szCs w:val="20"/>
                <w:highlight w:val="none"/>
                <w:lang w:val="en-US" w:eastAsia="zh-CN"/>
              </w:rPr>
              <w:t>54631</w:t>
            </w:r>
          </w:p>
        </w:tc>
        <w:tc>
          <w:tcPr>
            <w:tcW w:w="870" w:type="dxa"/>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2185</w:t>
            </w:r>
          </w:p>
        </w:tc>
        <w:tc>
          <w:tcPr>
            <w:tcW w:w="1352" w:type="dxa"/>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56816</w:t>
            </w:r>
          </w:p>
        </w:tc>
        <w:tc>
          <w:tcPr>
            <w:tcW w:w="1175" w:type="dxa"/>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rPr>
              <w:t>0.0105%</w:t>
            </w:r>
          </w:p>
        </w:tc>
        <w:tc>
          <w:tcPr>
            <w:tcW w:w="1305" w:type="dxa"/>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0</w:t>
            </w:r>
          </w:p>
        </w:tc>
        <w:tc>
          <w:tcPr>
            <w:tcW w:w="2001" w:type="dxa"/>
            <w:vMerge w:val="restart"/>
            <w:tcBorders>
              <w:top w:val="single" w:color="auto" w:sz="4" w:space="0"/>
              <w:left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exact"/>
          <w:jc w:val="center"/>
        </w:trPr>
        <w:tc>
          <w:tcPr>
            <w:tcW w:w="991"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15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rPr>
              <w:t>行长</w:t>
            </w:r>
          </w:p>
        </w:tc>
        <w:tc>
          <w:tcPr>
            <w:tcW w:w="1080"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870"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1352"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1175"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1305"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2001" w:type="dxa"/>
            <w:vMerge w:val="continue"/>
            <w:tcBorders>
              <w:left w:val="single" w:color="auto" w:sz="4" w:space="0"/>
              <w:bottom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lang w:eastAsia="zh-CN"/>
              </w:rPr>
            </w:pPr>
            <w:r>
              <w:rPr>
                <w:rFonts w:hint="default" w:ascii="Times New Roman" w:hAnsi="Times New Roman" w:eastAsia="仿宋_GB2312" w:cs="Times New Roman"/>
                <w:color w:val="auto"/>
                <w:spacing w:val="10"/>
                <w:kern w:val="0"/>
                <w:szCs w:val="21"/>
                <w:highlight w:val="none"/>
                <w:lang w:eastAsia="zh-CN"/>
              </w:rPr>
              <w:t>张</w:t>
            </w:r>
            <w:r>
              <w:rPr>
                <w:rFonts w:hint="default" w:ascii="Times New Roman" w:hAnsi="Times New Roman" w:eastAsia="仿宋_GB2312" w:cs="Times New Roman"/>
                <w:color w:val="auto"/>
                <w:spacing w:val="10"/>
                <w:kern w:val="0"/>
                <w:szCs w:val="21"/>
                <w:highlight w:val="none"/>
                <w:lang w:val="en-US" w:eastAsia="zh-CN"/>
              </w:rPr>
              <w:t xml:space="preserve"> </w:t>
            </w:r>
            <w:r>
              <w:rPr>
                <w:rFonts w:hint="default" w:ascii="Times New Roman" w:hAnsi="Times New Roman" w:eastAsia="仿宋_GB2312" w:cs="Times New Roman"/>
                <w:color w:val="auto"/>
                <w:spacing w:val="10"/>
                <w:kern w:val="0"/>
                <w:szCs w:val="21"/>
                <w:highlight w:val="none"/>
                <w:lang w:eastAsia="zh-CN"/>
              </w:rPr>
              <w:t>毅</w:t>
            </w:r>
          </w:p>
        </w:tc>
        <w:tc>
          <w:tcPr>
            <w:tcW w:w="15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lang w:eastAsia="zh-CN"/>
              </w:rPr>
              <w:t>股权</w:t>
            </w:r>
            <w:r>
              <w:rPr>
                <w:rFonts w:hint="default" w:ascii="Times New Roman" w:hAnsi="Times New Roman" w:eastAsia="仿宋_GB2312" w:cs="Times New Roman"/>
                <w:color w:val="auto"/>
                <w:spacing w:val="10"/>
                <w:kern w:val="0"/>
                <w:szCs w:val="21"/>
                <w:highlight w:val="none"/>
              </w:rPr>
              <w:t>董事</w:t>
            </w:r>
          </w:p>
        </w:tc>
        <w:tc>
          <w:tcPr>
            <w:tcW w:w="108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0</w:t>
            </w:r>
          </w:p>
        </w:tc>
        <w:tc>
          <w:tcPr>
            <w:tcW w:w="87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0</w:t>
            </w:r>
          </w:p>
        </w:tc>
        <w:tc>
          <w:tcPr>
            <w:tcW w:w="135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lang w:val="en-US" w:eastAsia="zh-CN"/>
              </w:rPr>
              <w:t>0</w:t>
            </w:r>
          </w:p>
        </w:tc>
        <w:tc>
          <w:tcPr>
            <w:tcW w:w="117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rPr>
              <w:t>0</w:t>
            </w:r>
          </w:p>
        </w:tc>
        <w:tc>
          <w:tcPr>
            <w:tcW w:w="13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0</w:t>
            </w:r>
          </w:p>
        </w:tc>
        <w:tc>
          <w:tcPr>
            <w:tcW w:w="20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rPr>
              <w:t>孔德威</w:t>
            </w:r>
          </w:p>
        </w:tc>
        <w:tc>
          <w:tcPr>
            <w:tcW w:w="15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lang w:eastAsia="zh-CN"/>
              </w:rPr>
              <w:t>股权</w:t>
            </w:r>
            <w:r>
              <w:rPr>
                <w:rFonts w:hint="default" w:ascii="Times New Roman" w:hAnsi="Times New Roman" w:eastAsia="仿宋_GB2312" w:cs="Times New Roman"/>
                <w:color w:val="auto"/>
                <w:spacing w:val="10"/>
                <w:kern w:val="0"/>
                <w:szCs w:val="21"/>
                <w:highlight w:val="none"/>
              </w:rPr>
              <w:t>董事</w:t>
            </w:r>
          </w:p>
        </w:tc>
        <w:tc>
          <w:tcPr>
            <w:tcW w:w="108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773601</w:t>
            </w:r>
          </w:p>
        </w:tc>
        <w:tc>
          <w:tcPr>
            <w:tcW w:w="87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30944</w:t>
            </w:r>
          </w:p>
        </w:tc>
        <w:tc>
          <w:tcPr>
            <w:tcW w:w="135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lang w:val="en-US" w:eastAsia="zh-CN"/>
              </w:rPr>
              <w:t>804545</w:t>
            </w:r>
          </w:p>
        </w:tc>
        <w:tc>
          <w:tcPr>
            <w:tcW w:w="117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rPr>
              <w:t>0.1492%</w:t>
            </w:r>
          </w:p>
        </w:tc>
        <w:tc>
          <w:tcPr>
            <w:tcW w:w="13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0</w:t>
            </w:r>
          </w:p>
        </w:tc>
        <w:tc>
          <w:tcPr>
            <w:tcW w:w="20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lang w:eastAsia="zh-CN"/>
              </w:rPr>
            </w:pPr>
            <w:r>
              <w:rPr>
                <w:rFonts w:hint="default" w:ascii="Times New Roman" w:hAnsi="Times New Roman" w:eastAsia="仿宋_GB2312" w:cs="Times New Roman"/>
                <w:color w:val="auto"/>
                <w:spacing w:val="10"/>
                <w:kern w:val="0"/>
                <w:szCs w:val="21"/>
                <w:highlight w:val="none"/>
                <w:lang w:eastAsia="zh-CN"/>
              </w:rPr>
              <w:t>危义忠</w:t>
            </w:r>
          </w:p>
        </w:tc>
        <w:tc>
          <w:tcPr>
            <w:tcW w:w="15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lang w:eastAsia="zh-CN"/>
              </w:rPr>
              <w:t>股权</w:t>
            </w:r>
            <w:r>
              <w:rPr>
                <w:rFonts w:hint="default" w:ascii="Times New Roman" w:hAnsi="Times New Roman" w:eastAsia="仿宋_GB2312" w:cs="Times New Roman"/>
                <w:color w:val="auto"/>
                <w:spacing w:val="10"/>
                <w:kern w:val="0"/>
                <w:szCs w:val="21"/>
                <w:highlight w:val="none"/>
              </w:rPr>
              <w:t>董事</w:t>
            </w:r>
          </w:p>
        </w:tc>
        <w:tc>
          <w:tcPr>
            <w:tcW w:w="108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0</w:t>
            </w:r>
          </w:p>
        </w:tc>
        <w:tc>
          <w:tcPr>
            <w:tcW w:w="87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lang w:val="en-US" w:eastAsia="zh-CN"/>
              </w:rPr>
              <w:t>0</w:t>
            </w:r>
          </w:p>
        </w:tc>
        <w:tc>
          <w:tcPr>
            <w:tcW w:w="135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lang w:val="en-US" w:eastAsia="zh-CN"/>
              </w:rPr>
              <w:t>0</w:t>
            </w:r>
          </w:p>
        </w:tc>
        <w:tc>
          <w:tcPr>
            <w:tcW w:w="117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rPr>
              <w:t>0</w:t>
            </w:r>
          </w:p>
        </w:tc>
        <w:tc>
          <w:tcPr>
            <w:tcW w:w="13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0</w:t>
            </w:r>
          </w:p>
        </w:tc>
        <w:tc>
          <w:tcPr>
            <w:tcW w:w="20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lang w:eastAsia="zh-CN"/>
              </w:rPr>
            </w:pPr>
            <w:r>
              <w:rPr>
                <w:rFonts w:hint="default" w:ascii="Times New Roman" w:hAnsi="Times New Roman" w:eastAsia="仿宋_GB2312" w:cs="Times New Roman"/>
                <w:color w:val="auto"/>
                <w:spacing w:val="10"/>
                <w:kern w:val="0"/>
                <w:szCs w:val="21"/>
                <w:highlight w:val="none"/>
                <w:lang w:eastAsia="zh-CN"/>
              </w:rPr>
              <w:t>鲁振国</w:t>
            </w:r>
          </w:p>
        </w:tc>
        <w:tc>
          <w:tcPr>
            <w:tcW w:w="15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lang w:eastAsia="zh-CN"/>
              </w:rPr>
              <w:t>股权</w:t>
            </w:r>
            <w:r>
              <w:rPr>
                <w:rFonts w:hint="default" w:ascii="Times New Roman" w:hAnsi="Times New Roman" w:eastAsia="仿宋_GB2312" w:cs="Times New Roman"/>
                <w:color w:val="auto"/>
                <w:spacing w:val="10"/>
                <w:kern w:val="0"/>
                <w:szCs w:val="21"/>
                <w:highlight w:val="none"/>
              </w:rPr>
              <w:t>董事</w:t>
            </w:r>
          </w:p>
        </w:tc>
        <w:tc>
          <w:tcPr>
            <w:tcW w:w="108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0</w:t>
            </w:r>
          </w:p>
        </w:tc>
        <w:tc>
          <w:tcPr>
            <w:tcW w:w="87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lang w:val="en-US" w:eastAsia="zh-CN"/>
              </w:rPr>
              <w:t>0</w:t>
            </w:r>
          </w:p>
        </w:tc>
        <w:tc>
          <w:tcPr>
            <w:tcW w:w="135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lang w:val="en-US" w:eastAsia="zh-CN"/>
              </w:rPr>
              <w:t>0</w:t>
            </w:r>
          </w:p>
        </w:tc>
        <w:tc>
          <w:tcPr>
            <w:tcW w:w="117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rPr>
              <w:t>0</w:t>
            </w:r>
          </w:p>
        </w:tc>
        <w:tc>
          <w:tcPr>
            <w:tcW w:w="13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0</w:t>
            </w:r>
          </w:p>
        </w:tc>
        <w:tc>
          <w:tcPr>
            <w:tcW w:w="20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Cs w:val="21"/>
                <w:highlight w:val="none"/>
                <w:lang w:eastAsia="zh-CN"/>
              </w:rPr>
            </w:pPr>
            <w:r>
              <w:rPr>
                <w:rFonts w:hint="default" w:ascii="Times New Roman" w:hAnsi="Times New Roman" w:eastAsia="仿宋_GB2312" w:cs="Times New Roman"/>
                <w:color w:val="auto"/>
                <w:spacing w:val="10"/>
                <w:kern w:val="0"/>
                <w:szCs w:val="21"/>
                <w:highlight w:val="none"/>
                <w:lang w:eastAsia="zh-CN"/>
              </w:rPr>
              <w:t>张菊娣</w:t>
            </w:r>
          </w:p>
        </w:tc>
        <w:tc>
          <w:tcPr>
            <w:tcW w:w="15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lang w:eastAsia="zh-CN"/>
              </w:rPr>
              <w:t>股权</w:t>
            </w:r>
            <w:r>
              <w:rPr>
                <w:rFonts w:hint="default" w:ascii="Times New Roman" w:hAnsi="Times New Roman" w:eastAsia="仿宋_GB2312" w:cs="Times New Roman"/>
                <w:color w:val="auto"/>
                <w:spacing w:val="10"/>
                <w:kern w:val="0"/>
                <w:szCs w:val="21"/>
                <w:highlight w:val="none"/>
              </w:rPr>
              <w:t>董事</w:t>
            </w:r>
          </w:p>
        </w:tc>
        <w:tc>
          <w:tcPr>
            <w:tcW w:w="108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0</w:t>
            </w:r>
          </w:p>
        </w:tc>
        <w:tc>
          <w:tcPr>
            <w:tcW w:w="87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lang w:val="en-US" w:eastAsia="zh-CN"/>
              </w:rPr>
              <w:t>0</w:t>
            </w:r>
          </w:p>
        </w:tc>
        <w:tc>
          <w:tcPr>
            <w:tcW w:w="135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lang w:val="en-US" w:eastAsia="zh-CN"/>
              </w:rPr>
              <w:t>0</w:t>
            </w:r>
          </w:p>
        </w:tc>
        <w:tc>
          <w:tcPr>
            <w:tcW w:w="117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rPr>
              <w:t>0</w:t>
            </w:r>
          </w:p>
        </w:tc>
        <w:tc>
          <w:tcPr>
            <w:tcW w:w="13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0</w:t>
            </w:r>
          </w:p>
        </w:tc>
        <w:tc>
          <w:tcPr>
            <w:tcW w:w="20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rPr>
              <w:t>周 宏</w:t>
            </w:r>
          </w:p>
        </w:tc>
        <w:tc>
          <w:tcPr>
            <w:tcW w:w="15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rPr>
              <w:t>独立董事</w:t>
            </w:r>
          </w:p>
        </w:tc>
        <w:tc>
          <w:tcPr>
            <w:tcW w:w="108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0</w:t>
            </w:r>
          </w:p>
        </w:tc>
        <w:tc>
          <w:tcPr>
            <w:tcW w:w="87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lang w:val="en-US" w:eastAsia="zh-CN"/>
              </w:rPr>
              <w:t>0</w:t>
            </w:r>
          </w:p>
        </w:tc>
        <w:tc>
          <w:tcPr>
            <w:tcW w:w="135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lang w:val="en-US" w:eastAsia="zh-CN"/>
              </w:rPr>
              <w:t>0</w:t>
            </w:r>
          </w:p>
        </w:tc>
        <w:tc>
          <w:tcPr>
            <w:tcW w:w="117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rPr>
              <w:t>0</w:t>
            </w:r>
          </w:p>
        </w:tc>
        <w:tc>
          <w:tcPr>
            <w:tcW w:w="13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0</w:t>
            </w:r>
          </w:p>
        </w:tc>
        <w:tc>
          <w:tcPr>
            <w:tcW w:w="20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rPr>
              <w:t>陈 泉</w:t>
            </w:r>
          </w:p>
        </w:tc>
        <w:tc>
          <w:tcPr>
            <w:tcW w:w="15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rPr>
              <w:t>独立董事</w:t>
            </w:r>
          </w:p>
        </w:tc>
        <w:tc>
          <w:tcPr>
            <w:tcW w:w="108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0</w:t>
            </w:r>
          </w:p>
        </w:tc>
        <w:tc>
          <w:tcPr>
            <w:tcW w:w="87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lang w:val="en-US" w:eastAsia="zh-CN"/>
              </w:rPr>
              <w:t>0</w:t>
            </w:r>
          </w:p>
        </w:tc>
        <w:tc>
          <w:tcPr>
            <w:tcW w:w="135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lang w:val="en-US" w:eastAsia="zh-CN"/>
              </w:rPr>
              <w:t>0</w:t>
            </w:r>
          </w:p>
        </w:tc>
        <w:tc>
          <w:tcPr>
            <w:tcW w:w="117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rPr>
              <w:t>0</w:t>
            </w:r>
          </w:p>
        </w:tc>
        <w:tc>
          <w:tcPr>
            <w:tcW w:w="13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0</w:t>
            </w:r>
          </w:p>
        </w:tc>
        <w:tc>
          <w:tcPr>
            <w:tcW w:w="20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lang w:eastAsia="zh-CN"/>
              </w:rPr>
            </w:pPr>
            <w:r>
              <w:rPr>
                <w:rFonts w:hint="default" w:ascii="Times New Roman" w:hAnsi="Times New Roman" w:eastAsia="仿宋_GB2312" w:cs="Times New Roman"/>
                <w:color w:val="auto"/>
                <w:spacing w:val="10"/>
                <w:kern w:val="0"/>
                <w:szCs w:val="21"/>
                <w:highlight w:val="none"/>
                <w:lang w:eastAsia="zh-CN"/>
              </w:rPr>
              <w:t>庄尚文</w:t>
            </w:r>
          </w:p>
        </w:tc>
        <w:tc>
          <w:tcPr>
            <w:tcW w:w="15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 w:val="21"/>
                <w:szCs w:val="21"/>
                <w:highlight w:val="none"/>
                <w:lang w:val="en-US" w:eastAsia="zh-CN" w:bidi="ar-SA"/>
              </w:rPr>
            </w:pPr>
            <w:r>
              <w:rPr>
                <w:rFonts w:hint="default" w:ascii="Times New Roman" w:hAnsi="Times New Roman" w:eastAsia="仿宋_GB2312" w:cs="Times New Roman"/>
                <w:color w:val="auto"/>
                <w:spacing w:val="10"/>
                <w:kern w:val="0"/>
                <w:szCs w:val="21"/>
                <w:highlight w:val="none"/>
              </w:rPr>
              <w:t>独立董事</w:t>
            </w:r>
          </w:p>
        </w:tc>
        <w:tc>
          <w:tcPr>
            <w:tcW w:w="108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bidi="ar-SA"/>
              </w:rPr>
            </w:pPr>
            <w:r>
              <w:rPr>
                <w:rFonts w:hint="default" w:ascii="Times New Roman" w:hAnsi="Times New Roman" w:cs="Times New Roman"/>
                <w:color w:val="auto"/>
                <w:spacing w:val="10"/>
                <w:kern w:val="0"/>
                <w:sz w:val="20"/>
                <w:szCs w:val="20"/>
                <w:highlight w:val="none"/>
              </w:rPr>
              <w:t>0</w:t>
            </w:r>
          </w:p>
        </w:tc>
        <w:tc>
          <w:tcPr>
            <w:tcW w:w="87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0</w:t>
            </w:r>
          </w:p>
        </w:tc>
        <w:tc>
          <w:tcPr>
            <w:tcW w:w="135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0</w:t>
            </w:r>
          </w:p>
        </w:tc>
        <w:tc>
          <w:tcPr>
            <w:tcW w:w="117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rPr>
              <w:t>0</w:t>
            </w:r>
          </w:p>
        </w:tc>
        <w:tc>
          <w:tcPr>
            <w:tcW w:w="13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bidi="ar-SA"/>
              </w:rPr>
            </w:pPr>
            <w:r>
              <w:rPr>
                <w:rFonts w:hint="default" w:ascii="Times New Roman" w:hAnsi="Times New Roman" w:cs="Times New Roman"/>
                <w:color w:val="auto"/>
                <w:spacing w:val="10"/>
                <w:kern w:val="0"/>
                <w:sz w:val="20"/>
                <w:szCs w:val="20"/>
                <w:highlight w:val="none"/>
              </w:rPr>
              <w:t>0</w:t>
            </w:r>
          </w:p>
        </w:tc>
        <w:tc>
          <w:tcPr>
            <w:tcW w:w="20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lang w:eastAsia="zh-CN"/>
              </w:rPr>
            </w:pPr>
            <w:r>
              <w:rPr>
                <w:rFonts w:hint="default" w:ascii="Times New Roman" w:hAnsi="Times New Roman" w:eastAsia="仿宋_GB2312" w:cs="Times New Roman"/>
                <w:color w:val="auto"/>
                <w:spacing w:val="10"/>
                <w:kern w:val="0"/>
                <w:szCs w:val="21"/>
                <w:highlight w:val="none"/>
                <w:lang w:eastAsia="zh-CN"/>
              </w:rPr>
              <w:t>高</w:t>
            </w:r>
            <w:r>
              <w:rPr>
                <w:rFonts w:hint="default" w:ascii="Times New Roman" w:hAnsi="Times New Roman" w:eastAsia="仿宋_GB2312" w:cs="Times New Roman"/>
                <w:color w:val="auto"/>
                <w:spacing w:val="10"/>
                <w:kern w:val="0"/>
                <w:szCs w:val="21"/>
                <w:highlight w:val="none"/>
                <w:lang w:val="en-US" w:eastAsia="zh-CN"/>
              </w:rPr>
              <w:t xml:space="preserve"> </w:t>
            </w:r>
            <w:r>
              <w:rPr>
                <w:rFonts w:hint="default" w:ascii="Times New Roman" w:hAnsi="Times New Roman" w:eastAsia="仿宋_GB2312" w:cs="Times New Roman"/>
                <w:color w:val="auto"/>
                <w:spacing w:val="10"/>
                <w:kern w:val="0"/>
                <w:szCs w:val="21"/>
                <w:highlight w:val="none"/>
                <w:lang w:eastAsia="zh-CN"/>
              </w:rPr>
              <w:t>波</w:t>
            </w:r>
          </w:p>
        </w:tc>
        <w:tc>
          <w:tcPr>
            <w:tcW w:w="15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 w:val="21"/>
                <w:szCs w:val="21"/>
                <w:highlight w:val="none"/>
                <w:lang w:val="en-US" w:eastAsia="zh-CN" w:bidi="ar-SA"/>
              </w:rPr>
            </w:pPr>
            <w:r>
              <w:rPr>
                <w:rFonts w:hint="default" w:ascii="Times New Roman" w:hAnsi="Times New Roman" w:eastAsia="仿宋_GB2312" w:cs="Times New Roman"/>
                <w:color w:val="auto"/>
                <w:spacing w:val="10"/>
                <w:kern w:val="0"/>
                <w:szCs w:val="21"/>
                <w:highlight w:val="none"/>
              </w:rPr>
              <w:t>独立董事</w:t>
            </w:r>
          </w:p>
        </w:tc>
        <w:tc>
          <w:tcPr>
            <w:tcW w:w="108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bidi="ar-SA"/>
              </w:rPr>
            </w:pPr>
            <w:r>
              <w:rPr>
                <w:rFonts w:hint="default" w:ascii="Times New Roman" w:hAnsi="Times New Roman" w:cs="Times New Roman"/>
                <w:color w:val="auto"/>
                <w:spacing w:val="10"/>
                <w:kern w:val="0"/>
                <w:sz w:val="20"/>
                <w:szCs w:val="20"/>
                <w:highlight w:val="none"/>
              </w:rPr>
              <w:t>0</w:t>
            </w:r>
          </w:p>
        </w:tc>
        <w:tc>
          <w:tcPr>
            <w:tcW w:w="87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0</w:t>
            </w:r>
          </w:p>
        </w:tc>
        <w:tc>
          <w:tcPr>
            <w:tcW w:w="135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0</w:t>
            </w:r>
          </w:p>
        </w:tc>
        <w:tc>
          <w:tcPr>
            <w:tcW w:w="117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rPr>
              <w:t>0</w:t>
            </w:r>
          </w:p>
        </w:tc>
        <w:tc>
          <w:tcPr>
            <w:tcW w:w="13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bidi="ar-SA"/>
              </w:rPr>
            </w:pPr>
            <w:r>
              <w:rPr>
                <w:rFonts w:hint="default" w:ascii="Times New Roman" w:hAnsi="Times New Roman" w:cs="Times New Roman"/>
                <w:color w:val="auto"/>
                <w:spacing w:val="10"/>
                <w:kern w:val="0"/>
                <w:sz w:val="20"/>
                <w:szCs w:val="20"/>
                <w:highlight w:val="none"/>
              </w:rPr>
              <w:t>0</w:t>
            </w:r>
          </w:p>
        </w:tc>
        <w:tc>
          <w:tcPr>
            <w:tcW w:w="20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91" w:type="dxa"/>
            <w:tcBorders>
              <w:top w:val="single" w:color="auto" w:sz="4" w:space="0"/>
              <w:left w:val="single" w:color="auto" w:sz="4" w:space="0"/>
              <w:bottom w:val="single" w:color="auto" w:sz="4" w:space="0"/>
              <w:right w:val="single" w:color="auto" w:sz="4" w:space="0"/>
            </w:tcBorders>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 w:val="21"/>
                <w:szCs w:val="21"/>
                <w:highlight w:val="none"/>
                <w:shd w:val="clear" w:color="FFFFFF" w:fill="auto"/>
                <w:lang w:val="en-US" w:eastAsia="zh-CN" w:bidi="ar-SA"/>
              </w:rPr>
            </w:pPr>
            <w:r>
              <w:rPr>
                <w:rFonts w:hint="default" w:ascii="Times New Roman" w:hAnsi="Times New Roman" w:eastAsia="仿宋_GB2312" w:cs="Times New Roman"/>
                <w:color w:val="auto"/>
                <w:spacing w:val="10"/>
                <w:kern w:val="0"/>
                <w:szCs w:val="21"/>
                <w:highlight w:val="none"/>
                <w:shd w:val="clear" w:color="FFFFFF" w:fill="auto"/>
                <w:lang w:eastAsia="zh-CN"/>
              </w:rPr>
              <w:t>应瑞瑶</w:t>
            </w:r>
          </w:p>
        </w:tc>
        <w:tc>
          <w:tcPr>
            <w:tcW w:w="1590" w:type="dxa"/>
            <w:tcBorders>
              <w:top w:val="single" w:color="auto" w:sz="4" w:space="0"/>
              <w:left w:val="single" w:color="auto" w:sz="4" w:space="0"/>
              <w:bottom w:val="single" w:color="auto" w:sz="4" w:space="0"/>
              <w:right w:val="single" w:color="auto" w:sz="4" w:space="0"/>
            </w:tcBorders>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 w:val="21"/>
                <w:szCs w:val="21"/>
                <w:highlight w:val="none"/>
                <w:shd w:val="clear" w:color="FFFFFF" w:fill="auto"/>
                <w:lang w:val="en-US" w:eastAsia="zh-CN" w:bidi="ar-SA"/>
              </w:rPr>
            </w:pPr>
            <w:r>
              <w:rPr>
                <w:rFonts w:hint="default" w:ascii="Times New Roman" w:hAnsi="Times New Roman" w:eastAsia="仿宋_GB2312" w:cs="Times New Roman"/>
                <w:color w:val="auto"/>
                <w:spacing w:val="10"/>
                <w:kern w:val="0"/>
                <w:szCs w:val="21"/>
                <w:highlight w:val="none"/>
                <w:shd w:val="clear" w:color="FFFFFF" w:fill="auto"/>
              </w:rPr>
              <w:t>独立董事</w:t>
            </w:r>
          </w:p>
        </w:tc>
        <w:tc>
          <w:tcPr>
            <w:tcW w:w="108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bidi="ar-SA"/>
              </w:rPr>
            </w:pPr>
            <w:r>
              <w:rPr>
                <w:rFonts w:hint="default" w:ascii="Times New Roman" w:hAnsi="Times New Roman" w:cs="Times New Roman"/>
                <w:color w:val="auto"/>
                <w:spacing w:val="10"/>
                <w:kern w:val="0"/>
                <w:sz w:val="20"/>
                <w:szCs w:val="20"/>
                <w:highlight w:val="none"/>
              </w:rPr>
              <w:t>0</w:t>
            </w:r>
          </w:p>
        </w:tc>
        <w:tc>
          <w:tcPr>
            <w:tcW w:w="87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0</w:t>
            </w:r>
          </w:p>
        </w:tc>
        <w:tc>
          <w:tcPr>
            <w:tcW w:w="135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0</w:t>
            </w:r>
          </w:p>
        </w:tc>
        <w:tc>
          <w:tcPr>
            <w:tcW w:w="117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rPr>
              <w:t>0</w:t>
            </w:r>
          </w:p>
        </w:tc>
        <w:tc>
          <w:tcPr>
            <w:tcW w:w="13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bidi="ar-SA"/>
              </w:rPr>
            </w:pPr>
            <w:r>
              <w:rPr>
                <w:rFonts w:hint="default" w:ascii="Times New Roman" w:hAnsi="Times New Roman" w:cs="Times New Roman"/>
                <w:color w:val="auto"/>
                <w:spacing w:val="10"/>
                <w:kern w:val="0"/>
                <w:sz w:val="20"/>
                <w:szCs w:val="20"/>
                <w:highlight w:val="none"/>
              </w:rPr>
              <w:t>0</w:t>
            </w:r>
          </w:p>
        </w:tc>
        <w:tc>
          <w:tcPr>
            <w:tcW w:w="20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91" w:type="dxa"/>
            <w:tcBorders>
              <w:top w:val="single" w:color="auto" w:sz="4" w:space="0"/>
              <w:left w:val="single" w:color="auto" w:sz="4" w:space="0"/>
              <w:bottom w:val="single" w:color="auto" w:sz="4" w:space="0"/>
              <w:right w:val="single" w:color="auto" w:sz="4" w:space="0"/>
            </w:tcBorders>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 w:val="21"/>
                <w:szCs w:val="21"/>
                <w:highlight w:val="none"/>
                <w:shd w:val="clear" w:color="FFFFFF" w:fill="auto"/>
                <w:lang w:val="en-US" w:eastAsia="zh-CN" w:bidi="ar-SA"/>
              </w:rPr>
            </w:pPr>
            <w:r>
              <w:rPr>
                <w:rFonts w:hint="default" w:ascii="Times New Roman" w:hAnsi="Times New Roman" w:eastAsia="仿宋_GB2312" w:cs="Times New Roman"/>
                <w:color w:val="auto"/>
                <w:spacing w:val="10"/>
                <w:kern w:val="0"/>
                <w:szCs w:val="21"/>
                <w:highlight w:val="none"/>
                <w:shd w:val="clear" w:color="FFFFFF" w:fill="auto"/>
                <w:lang w:eastAsia="zh-CN"/>
              </w:rPr>
              <w:t>吕</w:t>
            </w:r>
            <w:r>
              <w:rPr>
                <w:rFonts w:hint="default" w:ascii="Times New Roman" w:hAnsi="Times New Roman" w:eastAsia="仿宋_GB2312" w:cs="Times New Roman"/>
                <w:color w:val="auto"/>
                <w:spacing w:val="10"/>
                <w:kern w:val="0"/>
                <w:szCs w:val="21"/>
                <w:highlight w:val="none"/>
                <w:shd w:val="clear" w:color="FFFFFF" w:fill="auto"/>
                <w:lang w:val="en-US" w:eastAsia="zh-CN"/>
              </w:rPr>
              <w:t xml:space="preserve"> </w:t>
            </w:r>
            <w:r>
              <w:rPr>
                <w:rFonts w:hint="default" w:ascii="Times New Roman" w:hAnsi="Times New Roman" w:eastAsia="仿宋_GB2312" w:cs="Times New Roman"/>
                <w:color w:val="auto"/>
                <w:spacing w:val="10"/>
                <w:kern w:val="0"/>
                <w:szCs w:val="21"/>
                <w:highlight w:val="none"/>
                <w:shd w:val="clear" w:color="FFFFFF" w:fill="auto"/>
                <w:lang w:eastAsia="zh-CN"/>
              </w:rPr>
              <w:t>斌</w:t>
            </w:r>
          </w:p>
        </w:tc>
        <w:tc>
          <w:tcPr>
            <w:tcW w:w="1590" w:type="dxa"/>
            <w:tcBorders>
              <w:top w:val="single" w:color="auto" w:sz="4" w:space="0"/>
              <w:left w:val="single" w:color="auto" w:sz="4" w:space="0"/>
              <w:bottom w:val="single" w:color="auto" w:sz="4" w:space="0"/>
              <w:right w:val="single" w:color="auto" w:sz="4" w:space="0"/>
            </w:tcBorders>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 w:val="21"/>
                <w:szCs w:val="21"/>
                <w:highlight w:val="none"/>
                <w:shd w:val="clear" w:color="FFFFFF" w:fill="auto"/>
                <w:lang w:val="en-US" w:eastAsia="zh-CN" w:bidi="ar-SA"/>
              </w:rPr>
            </w:pPr>
            <w:r>
              <w:rPr>
                <w:rFonts w:hint="default" w:ascii="Times New Roman" w:hAnsi="Times New Roman" w:eastAsia="仿宋_GB2312" w:cs="Times New Roman"/>
                <w:color w:val="auto"/>
                <w:spacing w:val="10"/>
                <w:kern w:val="0"/>
                <w:szCs w:val="21"/>
                <w:highlight w:val="none"/>
                <w:shd w:val="clear" w:color="FFFFFF" w:fill="auto"/>
                <w:lang w:eastAsia="zh-CN"/>
              </w:rPr>
              <w:t>职工董事</w:t>
            </w:r>
          </w:p>
        </w:tc>
        <w:tc>
          <w:tcPr>
            <w:tcW w:w="108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bidi="ar-SA"/>
              </w:rPr>
            </w:pPr>
            <w:r>
              <w:rPr>
                <w:rFonts w:hint="default" w:ascii="Times New Roman" w:hAnsi="Times New Roman" w:cs="Times New Roman"/>
                <w:color w:val="auto"/>
                <w:spacing w:val="10"/>
                <w:kern w:val="0"/>
                <w:sz w:val="20"/>
                <w:szCs w:val="20"/>
                <w:highlight w:val="none"/>
              </w:rPr>
              <w:t>195305</w:t>
            </w:r>
          </w:p>
        </w:tc>
        <w:tc>
          <w:tcPr>
            <w:tcW w:w="87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7812</w:t>
            </w:r>
          </w:p>
        </w:tc>
        <w:tc>
          <w:tcPr>
            <w:tcW w:w="135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203117</w:t>
            </w:r>
          </w:p>
        </w:tc>
        <w:tc>
          <w:tcPr>
            <w:tcW w:w="117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0.0377%</w:t>
            </w:r>
          </w:p>
        </w:tc>
        <w:tc>
          <w:tcPr>
            <w:tcW w:w="13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bidi="ar-SA"/>
              </w:rPr>
            </w:pPr>
            <w:r>
              <w:rPr>
                <w:rFonts w:hint="default" w:ascii="Times New Roman" w:hAnsi="Times New Roman" w:cs="Times New Roman"/>
                <w:color w:val="auto"/>
                <w:spacing w:val="10"/>
                <w:kern w:val="0"/>
                <w:sz w:val="20"/>
                <w:szCs w:val="20"/>
                <w:highlight w:val="none"/>
                <w:lang w:val="en-US" w:eastAsia="zh-CN"/>
              </w:rPr>
              <w:t>0</w:t>
            </w:r>
          </w:p>
        </w:tc>
        <w:tc>
          <w:tcPr>
            <w:tcW w:w="20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91" w:type="dxa"/>
            <w:tcBorders>
              <w:top w:val="single" w:color="auto" w:sz="4" w:space="0"/>
              <w:left w:val="single" w:color="auto" w:sz="4" w:space="0"/>
              <w:bottom w:val="single" w:color="auto" w:sz="4" w:space="0"/>
              <w:right w:val="single" w:color="auto" w:sz="4" w:space="0"/>
            </w:tcBorders>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 w:val="21"/>
                <w:szCs w:val="21"/>
                <w:highlight w:val="none"/>
                <w:shd w:val="clear" w:color="FFFFFF" w:fill="auto"/>
                <w:lang w:val="en-US" w:eastAsia="zh-CN" w:bidi="ar-SA"/>
              </w:rPr>
            </w:pPr>
            <w:r>
              <w:rPr>
                <w:rFonts w:hint="default" w:ascii="Times New Roman" w:hAnsi="Times New Roman" w:eastAsia="仿宋_GB2312" w:cs="Times New Roman"/>
                <w:color w:val="auto"/>
                <w:spacing w:val="10"/>
                <w:kern w:val="0"/>
                <w:szCs w:val="21"/>
                <w:highlight w:val="none"/>
                <w:shd w:val="clear" w:color="FFFFFF" w:fill="auto"/>
              </w:rPr>
              <w:t>陶</w:t>
            </w:r>
            <w:r>
              <w:rPr>
                <w:rFonts w:hint="default" w:ascii="Times New Roman" w:hAnsi="Times New Roman" w:eastAsia="仿宋_GB2312" w:cs="Times New Roman"/>
                <w:color w:val="auto"/>
                <w:spacing w:val="10"/>
                <w:kern w:val="0"/>
                <w:szCs w:val="21"/>
                <w:highlight w:val="none"/>
                <w:shd w:val="clear" w:color="FFFFFF" w:fill="auto"/>
                <w:lang w:val="en-US" w:eastAsia="zh-CN"/>
              </w:rPr>
              <w:t xml:space="preserve"> </w:t>
            </w:r>
            <w:r>
              <w:rPr>
                <w:rFonts w:hint="default" w:ascii="Times New Roman" w:hAnsi="Times New Roman" w:eastAsia="仿宋_GB2312" w:cs="Times New Roman"/>
                <w:color w:val="auto"/>
                <w:spacing w:val="10"/>
                <w:kern w:val="0"/>
                <w:szCs w:val="21"/>
                <w:highlight w:val="none"/>
                <w:shd w:val="clear" w:color="FFFFFF" w:fill="auto"/>
              </w:rPr>
              <w:t>翔</w:t>
            </w:r>
          </w:p>
        </w:tc>
        <w:tc>
          <w:tcPr>
            <w:tcW w:w="1590" w:type="dxa"/>
            <w:tcBorders>
              <w:top w:val="single" w:color="auto" w:sz="4" w:space="0"/>
              <w:left w:val="single" w:color="auto" w:sz="4" w:space="0"/>
              <w:bottom w:val="single" w:color="auto" w:sz="4" w:space="0"/>
              <w:right w:val="single" w:color="auto" w:sz="4" w:space="0"/>
            </w:tcBorders>
            <w:vAlign w:val="center"/>
          </w:tcPr>
          <w:p>
            <w:pPr>
              <w:shd w:val="clear" w:color="auto" w:fill="auto"/>
              <w:autoSpaceDE w:val="0"/>
              <w:autoSpaceDN w:val="0"/>
              <w:adjustRightInd w:val="0"/>
              <w:jc w:val="center"/>
              <w:rPr>
                <w:rFonts w:hint="default" w:ascii="Times New Roman" w:hAnsi="Times New Roman" w:eastAsia="仿宋_GB2312" w:cs="Times New Roman"/>
                <w:color w:val="auto"/>
                <w:spacing w:val="10"/>
                <w:kern w:val="0"/>
                <w:sz w:val="21"/>
                <w:szCs w:val="21"/>
                <w:highlight w:val="none"/>
                <w:shd w:val="clear" w:color="FFFFFF" w:fill="auto"/>
                <w:lang w:val="en-US" w:eastAsia="zh-CN" w:bidi="ar-SA"/>
              </w:rPr>
            </w:pPr>
            <w:r>
              <w:rPr>
                <w:rFonts w:hint="default" w:ascii="Times New Roman" w:hAnsi="Times New Roman" w:eastAsia="仿宋_GB2312" w:cs="Times New Roman"/>
                <w:color w:val="auto"/>
                <w:spacing w:val="10"/>
                <w:kern w:val="0"/>
                <w:szCs w:val="21"/>
                <w:highlight w:val="none"/>
                <w:shd w:val="clear" w:color="FFFFFF" w:fill="auto"/>
                <w:lang w:eastAsia="zh-CN"/>
              </w:rPr>
              <w:t>纪委书记</w:t>
            </w:r>
          </w:p>
        </w:tc>
        <w:tc>
          <w:tcPr>
            <w:tcW w:w="108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0</w:t>
            </w:r>
          </w:p>
        </w:tc>
        <w:tc>
          <w:tcPr>
            <w:tcW w:w="87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lang w:val="en-US" w:eastAsia="zh-CN"/>
              </w:rPr>
              <w:t>0</w:t>
            </w:r>
          </w:p>
        </w:tc>
        <w:tc>
          <w:tcPr>
            <w:tcW w:w="135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lang w:val="en-US" w:eastAsia="zh-CN"/>
              </w:rPr>
              <w:t>0</w:t>
            </w:r>
          </w:p>
        </w:tc>
        <w:tc>
          <w:tcPr>
            <w:tcW w:w="117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rPr>
              <w:t>0</w:t>
            </w:r>
          </w:p>
        </w:tc>
        <w:tc>
          <w:tcPr>
            <w:tcW w:w="13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0</w:t>
            </w:r>
          </w:p>
        </w:tc>
        <w:tc>
          <w:tcPr>
            <w:tcW w:w="20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rPr>
              <w:t>赵顺和</w:t>
            </w:r>
          </w:p>
        </w:tc>
        <w:tc>
          <w:tcPr>
            <w:tcW w:w="15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rPr>
              <w:t>副行长</w:t>
            </w:r>
          </w:p>
        </w:tc>
        <w:tc>
          <w:tcPr>
            <w:tcW w:w="108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347634</w:t>
            </w:r>
          </w:p>
        </w:tc>
        <w:tc>
          <w:tcPr>
            <w:tcW w:w="87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13905</w:t>
            </w:r>
          </w:p>
        </w:tc>
        <w:tc>
          <w:tcPr>
            <w:tcW w:w="135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lang w:val="en-US" w:eastAsia="zh-CN"/>
              </w:rPr>
              <w:t>361539</w:t>
            </w:r>
          </w:p>
        </w:tc>
        <w:tc>
          <w:tcPr>
            <w:tcW w:w="117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rPr>
              <w:t>0.0670%</w:t>
            </w:r>
          </w:p>
        </w:tc>
        <w:tc>
          <w:tcPr>
            <w:tcW w:w="13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0</w:t>
            </w:r>
          </w:p>
        </w:tc>
        <w:tc>
          <w:tcPr>
            <w:tcW w:w="20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rPr>
              <w:t>何明健</w:t>
            </w:r>
          </w:p>
        </w:tc>
        <w:tc>
          <w:tcPr>
            <w:tcW w:w="15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rPr>
              <w:t>副行长</w:t>
            </w:r>
          </w:p>
        </w:tc>
        <w:tc>
          <w:tcPr>
            <w:tcW w:w="108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lang w:val="en-US" w:eastAsia="zh-CN"/>
              </w:rPr>
              <w:t>0</w:t>
            </w:r>
          </w:p>
        </w:tc>
        <w:tc>
          <w:tcPr>
            <w:tcW w:w="87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0</w:t>
            </w:r>
          </w:p>
        </w:tc>
        <w:tc>
          <w:tcPr>
            <w:tcW w:w="135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0</w:t>
            </w:r>
          </w:p>
        </w:tc>
        <w:tc>
          <w:tcPr>
            <w:tcW w:w="117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rPr>
              <w:t>0</w:t>
            </w:r>
          </w:p>
        </w:tc>
        <w:tc>
          <w:tcPr>
            <w:tcW w:w="13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0</w:t>
            </w:r>
          </w:p>
        </w:tc>
        <w:tc>
          <w:tcPr>
            <w:tcW w:w="20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rPr>
              <w:t>周 毅</w:t>
            </w:r>
          </w:p>
        </w:tc>
        <w:tc>
          <w:tcPr>
            <w:tcW w:w="15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rPr>
              <w:t>副行长</w:t>
            </w:r>
          </w:p>
        </w:tc>
        <w:tc>
          <w:tcPr>
            <w:tcW w:w="108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119138</w:t>
            </w:r>
          </w:p>
        </w:tc>
        <w:tc>
          <w:tcPr>
            <w:tcW w:w="87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4765</w:t>
            </w:r>
          </w:p>
        </w:tc>
        <w:tc>
          <w:tcPr>
            <w:tcW w:w="135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lang w:val="en-US" w:eastAsia="zh-CN"/>
              </w:rPr>
              <w:t>123903</w:t>
            </w:r>
          </w:p>
        </w:tc>
        <w:tc>
          <w:tcPr>
            <w:tcW w:w="117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rPr>
              <w:t>0.0230%</w:t>
            </w:r>
          </w:p>
        </w:tc>
        <w:tc>
          <w:tcPr>
            <w:tcW w:w="13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0</w:t>
            </w:r>
          </w:p>
        </w:tc>
        <w:tc>
          <w:tcPr>
            <w:tcW w:w="20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lang w:eastAsia="zh-CN"/>
              </w:rPr>
            </w:pPr>
            <w:r>
              <w:rPr>
                <w:rFonts w:hint="default" w:ascii="Times New Roman" w:hAnsi="Times New Roman" w:eastAsia="仿宋_GB2312" w:cs="Times New Roman"/>
                <w:color w:val="auto"/>
                <w:spacing w:val="10"/>
                <w:kern w:val="0"/>
                <w:szCs w:val="21"/>
                <w:highlight w:val="none"/>
                <w:lang w:eastAsia="zh-CN"/>
              </w:rPr>
              <w:t>芮</w:t>
            </w:r>
            <w:r>
              <w:rPr>
                <w:rFonts w:hint="default" w:ascii="Times New Roman" w:hAnsi="Times New Roman" w:eastAsia="仿宋_GB2312" w:cs="Times New Roman"/>
                <w:color w:val="auto"/>
                <w:spacing w:val="10"/>
                <w:kern w:val="0"/>
                <w:szCs w:val="21"/>
                <w:highlight w:val="none"/>
                <w:lang w:val="en-US" w:eastAsia="zh-CN"/>
              </w:rPr>
              <w:t xml:space="preserve"> </w:t>
            </w:r>
            <w:r>
              <w:rPr>
                <w:rFonts w:hint="default" w:ascii="Times New Roman" w:hAnsi="Times New Roman" w:eastAsia="仿宋_GB2312" w:cs="Times New Roman"/>
                <w:color w:val="auto"/>
                <w:spacing w:val="10"/>
                <w:kern w:val="0"/>
                <w:szCs w:val="21"/>
                <w:highlight w:val="none"/>
                <w:lang w:eastAsia="zh-CN"/>
              </w:rPr>
              <w:t>斌</w:t>
            </w:r>
          </w:p>
        </w:tc>
        <w:tc>
          <w:tcPr>
            <w:tcW w:w="15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lang w:eastAsia="zh-CN"/>
              </w:rPr>
            </w:pPr>
            <w:r>
              <w:rPr>
                <w:rFonts w:hint="default" w:ascii="Times New Roman" w:hAnsi="Times New Roman" w:eastAsia="仿宋_GB2312" w:cs="Times New Roman"/>
                <w:color w:val="auto"/>
                <w:spacing w:val="10"/>
                <w:kern w:val="0"/>
                <w:szCs w:val="21"/>
                <w:highlight w:val="none"/>
                <w:lang w:eastAsia="zh-CN"/>
              </w:rPr>
              <w:t>副行长</w:t>
            </w:r>
          </w:p>
        </w:tc>
        <w:tc>
          <w:tcPr>
            <w:tcW w:w="108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lang w:val="en-US" w:eastAsia="zh-CN"/>
              </w:rPr>
              <w:t>128929</w:t>
            </w:r>
          </w:p>
        </w:tc>
        <w:tc>
          <w:tcPr>
            <w:tcW w:w="87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5157</w:t>
            </w:r>
          </w:p>
        </w:tc>
        <w:tc>
          <w:tcPr>
            <w:tcW w:w="135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134086</w:t>
            </w:r>
          </w:p>
        </w:tc>
        <w:tc>
          <w:tcPr>
            <w:tcW w:w="117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0.0249%</w:t>
            </w:r>
          </w:p>
        </w:tc>
        <w:tc>
          <w:tcPr>
            <w:tcW w:w="13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cs="Times New Roman"/>
                <w:color w:val="auto"/>
                <w:spacing w:val="10"/>
                <w:kern w:val="0"/>
                <w:sz w:val="20"/>
                <w:szCs w:val="20"/>
                <w:highlight w:val="none"/>
                <w:lang w:val="en-US" w:eastAsia="zh-CN"/>
              </w:rPr>
              <w:t>0</w:t>
            </w:r>
          </w:p>
        </w:tc>
        <w:tc>
          <w:tcPr>
            <w:tcW w:w="20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lang w:eastAsia="zh-CN"/>
              </w:rPr>
            </w:pPr>
            <w:r>
              <w:rPr>
                <w:rFonts w:hint="default" w:ascii="Times New Roman" w:hAnsi="Times New Roman" w:eastAsia="仿宋_GB2312" w:cs="Times New Roman"/>
                <w:color w:val="auto"/>
                <w:spacing w:val="10"/>
                <w:kern w:val="0"/>
                <w:szCs w:val="21"/>
                <w:highlight w:val="none"/>
                <w:lang w:eastAsia="zh-CN"/>
              </w:rPr>
              <w:t>王新闻</w:t>
            </w:r>
          </w:p>
        </w:tc>
        <w:tc>
          <w:tcPr>
            <w:tcW w:w="15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rPr>
              <w:t>董事会秘书</w:t>
            </w:r>
          </w:p>
        </w:tc>
        <w:tc>
          <w:tcPr>
            <w:tcW w:w="108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lang w:val="en-US" w:eastAsia="zh-CN"/>
              </w:rPr>
              <w:t>0</w:t>
            </w:r>
          </w:p>
        </w:tc>
        <w:tc>
          <w:tcPr>
            <w:tcW w:w="87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0</w:t>
            </w:r>
          </w:p>
        </w:tc>
        <w:tc>
          <w:tcPr>
            <w:tcW w:w="135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lang w:val="en-US" w:eastAsia="zh-CN"/>
              </w:rPr>
              <w:t>0</w:t>
            </w:r>
          </w:p>
        </w:tc>
        <w:tc>
          <w:tcPr>
            <w:tcW w:w="117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rPr>
              <w:t>0</w:t>
            </w:r>
          </w:p>
        </w:tc>
        <w:tc>
          <w:tcPr>
            <w:tcW w:w="13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0</w:t>
            </w:r>
          </w:p>
        </w:tc>
        <w:tc>
          <w:tcPr>
            <w:tcW w:w="20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exact"/>
          <w:jc w:val="center"/>
        </w:trPr>
        <w:tc>
          <w:tcPr>
            <w:tcW w:w="9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rPr>
              <w:t>邢华其</w:t>
            </w:r>
          </w:p>
        </w:tc>
        <w:tc>
          <w:tcPr>
            <w:tcW w:w="15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40" w:lineRule="exact"/>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rPr>
              <w:t>审计稽核部负责人</w:t>
            </w:r>
          </w:p>
        </w:tc>
        <w:tc>
          <w:tcPr>
            <w:tcW w:w="108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128929</w:t>
            </w:r>
          </w:p>
        </w:tc>
        <w:tc>
          <w:tcPr>
            <w:tcW w:w="87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5157</w:t>
            </w:r>
          </w:p>
        </w:tc>
        <w:tc>
          <w:tcPr>
            <w:tcW w:w="135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134086</w:t>
            </w:r>
          </w:p>
        </w:tc>
        <w:tc>
          <w:tcPr>
            <w:tcW w:w="117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rPr>
              <w:t>0.0249%</w:t>
            </w:r>
          </w:p>
        </w:tc>
        <w:tc>
          <w:tcPr>
            <w:tcW w:w="13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0</w:t>
            </w:r>
          </w:p>
        </w:tc>
        <w:tc>
          <w:tcPr>
            <w:tcW w:w="20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9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rPr>
              <w:t>孙小华</w:t>
            </w:r>
          </w:p>
        </w:tc>
        <w:tc>
          <w:tcPr>
            <w:tcW w:w="15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40" w:lineRule="exact"/>
              <w:jc w:val="center"/>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rPr>
              <w:t>合规管理部负责人</w:t>
            </w:r>
          </w:p>
        </w:tc>
        <w:tc>
          <w:tcPr>
            <w:tcW w:w="108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42972</w:t>
            </w:r>
          </w:p>
        </w:tc>
        <w:tc>
          <w:tcPr>
            <w:tcW w:w="87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lang w:val="en-US" w:eastAsia="zh-CN"/>
              </w:rPr>
            </w:pPr>
            <w:r>
              <w:rPr>
                <w:rFonts w:hint="default" w:ascii="Times New Roman" w:hAnsi="Times New Roman" w:eastAsia="宋体" w:cs="Times New Roman"/>
                <w:color w:val="auto"/>
                <w:spacing w:val="10"/>
                <w:kern w:val="0"/>
                <w:sz w:val="20"/>
                <w:szCs w:val="20"/>
                <w:highlight w:val="none"/>
                <w:lang w:val="en-US" w:eastAsia="zh-CN"/>
              </w:rPr>
              <w:t>1718</w:t>
            </w:r>
          </w:p>
        </w:tc>
        <w:tc>
          <w:tcPr>
            <w:tcW w:w="135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lang w:val="en-US" w:eastAsia="zh-CN"/>
              </w:rPr>
              <w:t>44690</w:t>
            </w:r>
          </w:p>
        </w:tc>
        <w:tc>
          <w:tcPr>
            <w:tcW w:w="117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color w:val="auto"/>
                <w:spacing w:val="10"/>
                <w:kern w:val="0"/>
                <w:sz w:val="20"/>
                <w:szCs w:val="20"/>
                <w:highlight w:val="none"/>
              </w:rPr>
            </w:pPr>
            <w:r>
              <w:rPr>
                <w:rFonts w:hint="default" w:ascii="Times New Roman" w:hAnsi="Times New Roman" w:eastAsia="宋体" w:cs="Times New Roman"/>
                <w:color w:val="auto"/>
                <w:spacing w:val="10"/>
                <w:kern w:val="0"/>
                <w:sz w:val="20"/>
                <w:szCs w:val="20"/>
                <w:highlight w:val="none"/>
              </w:rPr>
              <w:t>0.0083%</w:t>
            </w:r>
          </w:p>
        </w:tc>
        <w:tc>
          <w:tcPr>
            <w:tcW w:w="13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r>
              <w:rPr>
                <w:rFonts w:hint="default" w:ascii="Times New Roman" w:hAnsi="Times New Roman" w:cs="Times New Roman"/>
                <w:color w:val="auto"/>
                <w:spacing w:val="10"/>
                <w:kern w:val="0"/>
                <w:sz w:val="20"/>
                <w:szCs w:val="20"/>
                <w:highlight w:val="none"/>
              </w:rPr>
              <w:t>0</w:t>
            </w:r>
          </w:p>
        </w:tc>
        <w:tc>
          <w:tcPr>
            <w:tcW w:w="20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color w:val="auto"/>
                <w:spacing w:val="10"/>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9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b/>
                <w:color w:val="auto"/>
                <w:spacing w:val="10"/>
                <w:kern w:val="0"/>
                <w:szCs w:val="21"/>
                <w:highlight w:val="none"/>
              </w:rPr>
            </w:pPr>
            <w:r>
              <w:rPr>
                <w:rFonts w:hint="default" w:ascii="Times New Roman" w:hAnsi="Times New Roman" w:eastAsia="黑体" w:cs="Times New Roman"/>
                <w:bCs/>
                <w:color w:val="auto"/>
                <w:spacing w:val="10"/>
                <w:kern w:val="0"/>
                <w:sz w:val="24"/>
                <w:szCs w:val="24"/>
                <w:highlight w:val="none"/>
              </w:rPr>
              <w:t>合计</w:t>
            </w:r>
          </w:p>
        </w:tc>
        <w:tc>
          <w:tcPr>
            <w:tcW w:w="15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仿宋_GB2312" w:cs="Times New Roman"/>
                <w:b/>
                <w:color w:val="auto"/>
                <w:spacing w:val="10"/>
                <w:kern w:val="0"/>
                <w:szCs w:val="21"/>
                <w:highlight w:val="none"/>
              </w:rPr>
            </w:pPr>
            <w:r>
              <w:rPr>
                <w:rFonts w:hint="default" w:ascii="Times New Roman" w:hAnsi="Times New Roman" w:eastAsia="仿宋_GB2312" w:cs="Times New Roman"/>
                <w:b/>
                <w:color w:val="auto"/>
                <w:spacing w:val="10"/>
                <w:kern w:val="0"/>
                <w:szCs w:val="21"/>
                <w:highlight w:val="none"/>
              </w:rPr>
              <w:t>-</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b/>
                <w:bCs/>
                <w:color w:val="auto"/>
                <w:spacing w:val="10"/>
                <w:kern w:val="0"/>
                <w:sz w:val="20"/>
                <w:szCs w:val="20"/>
                <w:highlight w:val="none"/>
                <w:lang w:val="en-US" w:eastAsia="zh-CN"/>
              </w:rPr>
            </w:pPr>
            <w:r>
              <w:rPr>
                <w:rFonts w:hint="default" w:ascii="Times New Roman" w:hAnsi="Times New Roman" w:eastAsia="宋体" w:cs="Times New Roman"/>
                <w:b/>
                <w:bCs/>
                <w:i w:val="0"/>
                <w:iCs w:val="0"/>
                <w:color w:val="auto"/>
                <w:kern w:val="0"/>
                <w:sz w:val="22"/>
                <w:szCs w:val="22"/>
                <w:highlight w:val="none"/>
                <w:u w:val="none"/>
                <w:lang w:val="en-US" w:eastAsia="zh-CN"/>
              </w:rPr>
              <w:t>1885756</w:t>
            </w:r>
          </w:p>
        </w:tc>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b/>
                <w:bCs/>
                <w:color w:val="auto"/>
                <w:spacing w:val="10"/>
                <w:kern w:val="0"/>
                <w:sz w:val="20"/>
                <w:szCs w:val="20"/>
                <w:highlight w:val="none"/>
                <w:lang w:val="en-US" w:eastAsia="zh-CN"/>
              </w:rPr>
            </w:pPr>
            <w:r>
              <w:rPr>
                <w:rFonts w:hint="default" w:ascii="Times New Roman" w:hAnsi="Times New Roman" w:eastAsia="宋体" w:cs="Times New Roman"/>
                <w:b/>
                <w:bCs/>
                <w:i w:val="0"/>
                <w:iCs w:val="0"/>
                <w:color w:val="auto"/>
                <w:kern w:val="0"/>
                <w:sz w:val="22"/>
                <w:szCs w:val="22"/>
                <w:highlight w:val="none"/>
                <w:u w:val="none"/>
                <w:lang w:val="en-US" w:eastAsia="zh-CN"/>
              </w:rPr>
              <w:t>75427</w:t>
            </w:r>
          </w:p>
        </w:tc>
        <w:tc>
          <w:tcPr>
            <w:tcW w:w="13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b/>
                <w:bCs/>
                <w:color w:val="auto"/>
                <w:spacing w:val="10"/>
                <w:kern w:val="0"/>
                <w:sz w:val="20"/>
                <w:szCs w:val="20"/>
                <w:highlight w:val="none"/>
                <w:lang w:val="en-US" w:eastAsia="zh-CN"/>
              </w:rPr>
            </w:pPr>
            <w:r>
              <w:rPr>
                <w:rFonts w:hint="default" w:ascii="Times New Roman" w:hAnsi="Times New Roman" w:eastAsia="宋体" w:cs="Times New Roman"/>
                <w:b/>
                <w:bCs/>
                <w:i w:val="0"/>
                <w:iCs w:val="0"/>
                <w:color w:val="auto"/>
                <w:kern w:val="0"/>
                <w:sz w:val="22"/>
                <w:szCs w:val="22"/>
                <w:highlight w:val="none"/>
                <w:u w:val="none"/>
                <w:lang w:val="en-US" w:eastAsia="zh-CN"/>
              </w:rPr>
              <w:t>1961183</w:t>
            </w:r>
          </w:p>
        </w:tc>
        <w:tc>
          <w:tcPr>
            <w:tcW w:w="11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b/>
                <w:bCs/>
                <w:color w:val="auto"/>
                <w:spacing w:val="10"/>
                <w:kern w:val="0"/>
                <w:sz w:val="20"/>
                <w:szCs w:val="20"/>
                <w:highlight w:val="none"/>
                <w:lang w:val="en-US" w:eastAsia="zh-CN"/>
              </w:rPr>
            </w:pPr>
            <w:r>
              <w:rPr>
                <w:rFonts w:hint="default" w:ascii="Times New Roman" w:hAnsi="Times New Roman" w:eastAsia="宋体" w:cs="Times New Roman"/>
                <w:b/>
                <w:bCs/>
                <w:i w:val="0"/>
                <w:iCs w:val="0"/>
                <w:color w:val="auto"/>
                <w:kern w:val="0"/>
                <w:sz w:val="22"/>
                <w:szCs w:val="22"/>
                <w:highlight w:val="none"/>
                <w:u w:val="none"/>
                <w:lang w:val="en-US" w:eastAsia="zh-CN"/>
              </w:rPr>
              <w:t>0.36%</w:t>
            </w:r>
          </w:p>
        </w:tc>
        <w:tc>
          <w:tcPr>
            <w:tcW w:w="13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eastAsia="宋体" w:cs="Times New Roman"/>
                <w:b/>
                <w:color w:val="auto"/>
                <w:spacing w:val="10"/>
                <w:kern w:val="0"/>
                <w:sz w:val="20"/>
                <w:szCs w:val="20"/>
                <w:highlight w:val="none"/>
                <w:lang w:val="en-US" w:eastAsia="zh-CN"/>
              </w:rPr>
            </w:pPr>
            <w:r>
              <w:rPr>
                <w:rFonts w:hint="default" w:ascii="Times New Roman" w:hAnsi="Times New Roman" w:eastAsia="宋体" w:cs="Times New Roman"/>
                <w:b/>
                <w:color w:val="auto"/>
                <w:spacing w:val="10"/>
                <w:kern w:val="0"/>
                <w:sz w:val="20"/>
                <w:szCs w:val="20"/>
                <w:highlight w:val="none"/>
                <w:lang w:val="en-US" w:eastAsia="zh-CN"/>
              </w:rPr>
              <w:t>0</w:t>
            </w:r>
          </w:p>
        </w:tc>
        <w:tc>
          <w:tcPr>
            <w:tcW w:w="20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hint="default" w:ascii="Times New Roman" w:hAnsi="Times New Roman" w:cs="Times New Roman"/>
                <w:b/>
                <w:color w:val="auto"/>
                <w:spacing w:val="10"/>
                <w:kern w:val="0"/>
                <w:sz w:val="20"/>
                <w:szCs w:val="20"/>
                <w:highlight w:val="none"/>
              </w:rPr>
            </w:pPr>
          </w:p>
        </w:tc>
      </w:tr>
    </w:tbl>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
          <w:color w:val="auto"/>
          <w:sz w:val="28"/>
          <w:szCs w:val="28"/>
          <w:highlight w:val="none"/>
          <w:lang w:val="en-US" w:eastAsia="zh-CN"/>
        </w:rPr>
      </w:pPr>
      <w:r>
        <w:rPr>
          <w:rFonts w:hint="default" w:ascii="Times New Roman" w:hAnsi="Times New Roman" w:eastAsia="仿宋_GB2312" w:cs="Times New Roman"/>
          <w:b/>
          <w:color w:val="auto"/>
          <w:sz w:val="28"/>
          <w:szCs w:val="28"/>
          <w:highlight w:val="none"/>
        </w:rPr>
        <w:t>（三）变动情况</w:t>
      </w:r>
    </w:p>
    <w:tbl>
      <w:tblPr>
        <w:tblStyle w:val="25"/>
        <w:tblW w:w="93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8"/>
        <w:gridCol w:w="4109"/>
        <w:gridCol w:w="3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868" w:type="dxa"/>
            <w:vMerge w:val="restart"/>
            <w:vAlign w:val="center"/>
          </w:tcPr>
          <w:p>
            <w:pPr>
              <w:widowControl w:val="0"/>
              <w:shd w:val="clear" w:color="auto" w:fill="auto"/>
              <w:spacing w:before="289" w:beforeLines="100" w:line="320" w:lineRule="exact"/>
              <w:jc w:val="center"/>
              <w:rPr>
                <w:rFonts w:hint="default" w:ascii="Times New Roman" w:hAnsi="Times New Roman" w:eastAsia="黑体" w:cs="Times New Roman"/>
                <w:color w:val="auto"/>
                <w:spacing w:val="0"/>
                <w:kern w:val="2"/>
                <w:sz w:val="24"/>
                <w:szCs w:val="24"/>
                <w:highlight w:val="none"/>
                <w:lang w:val="en-US" w:eastAsia="zh-CN" w:bidi="ar-SA"/>
              </w:rPr>
            </w:pPr>
            <w:r>
              <w:rPr>
                <w:rFonts w:hint="default" w:ascii="Times New Roman" w:hAnsi="Times New Roman" w:eastAsia="黑体" w:cs="Times New Roman"/>
                <w:color w:val="auto"/>
                <w:spacing w:val="10"/>
                <w:kern w:val="2"/>
                <w:sz w:val="24"/>
                <w:szCs w:val="24"/>
                <w:highlight w:val="none"/>
                <w:lang w:val="en-US" w:eastAsia="zh-CN" w:bidi="ar-SA"/>
              </w:rPr>
              <w:t>信息统计</w:t>
            </w:r>
          </w:p>
        </w:tc>
        <w:tc>
          <w:tcPr>
            <w:tcW w:w="4109" w:type="dxa"/>
            <w:vAlign w:val="center"/>
          </w:tcPr>
          <w:p>
            <w:pPr>
              <w:widowControl w:val="0"/>
              <w:shd w:val="clear" w:color="auto" w:fill="auto"/>
              <w:spacing w:before="0" w:line="320" w:lineRule="exact"/>
              <w:jc w:val="center"/>
              <w:rPr>
                <w:rFonts w:hint="default" w:ascii="Times New Roman" w:hAnsi="Times New Roman" w:eastAsia="黑体" w:cs="Times New Roman"/>
                <w:color w:val="auto"/>
                <w:spacing w:val="10"/>
                <w:kern w:val="2"/>
                <w:sz w:val="24"/>
                <w:szCs w:val="24"/>
                <w:highlight w:val="none"/>
                <w:lang w:val="en-US" w:eastAsia="zh-CN" w:bidi="ar-SA"/>
              </w:rPr>
            </w:pPr>
            <w:r>
              <w:rPr>
                <w:rFonts w:hint="default" w:ascii="Times New Roman" w:hAnsi="Times New Roman" w:eastAsia="黑体" w:cs="Times New Roman"/>
                <w:color w:val="auto"/>
                <w:spacing w:val="10"/>
                <w:kern w:val="2"/>
                <w:sz w:val="24"/>
                <w:szCs w:val="24"/>
                <w:highlight w:val="none"/>
                <w:lang w:val="en-US" w:eastAsia="zh-CN" w:bidi="ar-SA"/>
              </w:rPr>
              <w:t>董事长是否发生变动</w:t>
            </w:r>
          </w:p>
        </w:tc>
        <w:tc>
          <w:tcPr>
            <w:tcW w:w="3367" w:type="dxa"/>
            <w:shd w:val="clear" w:color="auto" w:fill="FFFFFF"/>
            <w:vAlign w:val="center"/>
          </w:tcPr>
          <w:p>
            <w:pPr>
              <w:autoSpaceDE w:val="0"/>
              <w:autoSpaceDN w:val="0"/>
              <w:adjustRightInd w:val="0"/>
              <w:jc w:val="center"/>
              <w:rPr>
                <w:rFonts w:hint="default" w:ascii="Times New Roman" w:hAnsi="Times New Roman" w:eastAsia="仿宋_GB2312" w:cs="Times New Roman"/>
                <w:color w:val="auto"/>
                <w:spacing w:val="10"/>
                <w:sz w:val="24"/>
                <w:highlight w:val="none"/>
              </w:rPr>
            </w:pPr>
            <w:r>
              <w:rPr>
                <w:rFonts w:hint="default" w:ascii="Times New Roman" w:hAnsi="Times New Roman" w:eastAsia="仿宋_GB2312" w:cs="Times New Roman"/>
                <w:color w:val="auto"/>
                <w:spacing w:val="10"/>
                <w:kern w:val="0"/>
                <w:sz w:val="24"/>
                <w:highlight w:val="none"/>
              </w:rPr>
              <w:sym w:font="Wingdings 2" w:char="00A3"/>
            </w:r>
            <w:r>
              <w:rPr>
                <w:rFonts w:hint="default" w:ascii="Times New Roman" w:hAnsi="Times New Roman" w:eastAsia="仿宋_GB2312" w:cs="Times New Roman"/>
                <w:color w:val="auto"/>
                <w:spacing w:val="10"/>
                <w:kern w:val="0"/>
                <w:sz w:val="24"/>
                <w:highlight w:val="none"/>
              </w:rPr>
              <w:t xml:space="preserve">是 </w:t>
            </w:r>
            <w:r>
              <w:rPr>
                <w:rFonts w:hint="default" w:ascii="Times New Roman" w:hAnsi="Times New Roman" w:eastAsia="仿宋_GB2312" w:cs="Times New Roman"/>
                <w:color w:val="auto"/>
                <w:spacing w:val="10"/>
                <w:kern w:val="0"/>
                <w:sz w:val="24"/>
                <w:highlight w:val="none"/>
              </w:rPr>
              <w:sym w:font="Wingdings 2" w:char="0052"/>
            </w:r>
            <w:r>
              <w:rPr>
                <w:rFonts w:hint="default" w:ascii="Times New Roman" w:hAnsi="Times New Roman" w:eastAsia="仿宋_GB2312" w:cs="Times New Roman"/>
                <w:color w:val="auto"/>
                <w:spacing w:val="10"/>
                <w:kern w:val="0"/>
                <w:sz w:val="24"/>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868"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4109"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320" w:lineRule="exact"/>
              <w:jc w:val="center"/>
              <w:rPr>
                <w:rFonts w:hint="default" w:ascii="Times New Roman" w:hAnsi="Times New Roman" w:eastAsia="黑体" w:cs="Times New Roman"/>
                <w:color w:val="auto"/>
                <w:spacing w:val="10"/>
                <w:kern w:val="2"/>
                <w:sz w:val="24"/>
                <w:szCs w:val="24"/>
                <w:highlight w:val="none"/>
                <w:lang w:val="en-US" w:eastAsia="zh-CN" w:bidi="ar-SA"/>
              </w:rPr>
            </w:pPr>
            <w:r>
              <w:rPr>
                <w:rFonts w:hint="default" w:ascii="Times New Roman" w:hAnsi="Times New Roman" w:eastAsia="黑体" w:cs="Times New Roman"/>
                <w:color w:val="auto"/>
                <w:spacing w:val="10"/>
                <w:kern w:val="2"/>
                <w:sz w:val="24"/>
                <w:szCs w:val="24"/>
                <w:highlight w:val="none"/>
                <w:lang w:val="en-US" w:eastAsia="zh-CN" w:bidi="ar-SA"/>
              </w:rPr>
              <w:t>总经理是否发生变动</w:t>
            </w:r>
          </w:p>
        </w:tc>
        <w:tc>
          <w:tcPr>
            <w:tcW w:w="3367"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jc w:val="center"/>
              <w:rPr>
                <w:rFonts w:hint="default" w:ascii="Times New Roman" w:hAnsi="Times New Roman" w:eastAsia="仿宋_GB2312" w:cs="Times New Roman"/>
                <w:color w:val="auto"/>
                <w:spacing w:val="10"/>
                <w:sz w:val="24"/>
                <w:highlight w:val="none"/>
              </w:rPr>
            </w:pPr>
            <w:r>
              <w:rPr>
                <w:rFonts w:hint="default" w:ascii="Times New Roman" w:hAnsi="Times New Roman" w:eastAsia="仿宋_GB2312" w:cs="Times New Roman"/>
                <w:color w:val="auto"/>
                <w:spacing w:val="10"/>
                <w:kern w:val="0"/>
                <w:sz w:val="24"/>
                <w:highlight w:val="none"/>
              </w:rPr>
              <w:sym w:font="Wingdings 2" w:char="00A3"/>
            </w:r>
            <w:r>
              <w:rPr>
                <w:rFonts w:hint="default" w:ascii="Times New Roman" w:hAnsi="Times New Roman" w:eastAsia="仿宋_GB2312" w:cs="Times New Roman"/>
                <w:color w:val="auto"/>
                <w:spacing w:val="10"/>
                <w:sz w:val="24"/>
                <w:highlight w:val="none"/>
              </w:rPr>
              <w:t xml:space="preserve">是 </w:t>
            </w:r>
            <w:r>
              <w:rPr>
                <w:rFonts w:hint="default" w:ascii="Times New Roman" w:hAnsi="Times New Roman" w:eastAsia="仿宋_GB2312" w:cs="Times New Roman"/>
                <w:color w:val="auto"/>
                <w:spacing w:val="10"/>
                <w:kern w:val="0"/>
                <w:sz w:val="24"/>
                <w:highlight w:val="none"/>
              </w:rPr>
              <w:sym w:font="Wingdings" w:char="F0FE"/>
            </w:r>
            <w:r>
              <w:rPr>
                <w:rFonts w:hint="default" w:ascii="Times New Roman" w:hAnsi="Times New Roman" w:eastAsia="仿宋_GB2312" w:cs="Times New Roman"/>
                <w:color w:val="auto"/>
                <w:spacing w:val="10"/>
                <w:sz w:val="24"/>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868"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4109"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320" w:lineRule="exact"/>
              <w:jc w:val="center"/>
              <w:rPr>
                <w:rFonts w:hint="default" w:ascii="Times New Roman" w:hAnsi="Times New Roman" w:eastAsia="黑体" w:cs="Times New Roman"/>
                <w:color w:val="auto"/>
                <w:spacing w:val="10"/>
                <w:kern w:val="2"/>
                <w:sz w:val="24"/>
                <w:szCs w:val="24"/>
                <w:highlight w:val="none"/>
                <w:lang w:val="en-US" w:eastAsia="zh-CN" w:bidi="ar-SA"/>
              </w:rPr>
            </w:pPr>
            <w:r>
              <w:rPr>
                <w:rFonts w:hint="default" w:ascii="Times New Roman" w:hAnsi="Times New Roman" w:eastAsia="黑体" w:cs="Times New Roman"/>
                <w:color w:val="auto"/>
                <w:spacing w:val="10"/>
                <w:kern w:val="2"/>
                <w:sz w:val="24"/>
                <w:szCs w:val="24"/>
                <w:highlight w:val="none"/>
                <w:lang w:val="en-US" w:eastAsia="zh-CN" w:bidi="ar-SA"/>
              </w:rPr>
              <w:t>董事会秘书是否发生变动</w:t>
            </w:r>
          </w:p>
        </w:tc>
        <w:tc>
          <w:tcPr>
            <w:tcW w:w="3367"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jc w:val="center"/>
              <w:rPr>
                <w:rFonts w:hint="default" w:ascii="Times New Roman" w:hAnsi="Times New Roman" w:eastAsia="仿宋_GB2312" w:cs="Times New Roman"/>
                <w:color w:val="auto"/>
                <w:spacing w:val="10"/>
                <w:sz w:val="24"/>
                <w:highlight w:val="none"/>
              </w:rPr>
            </w:pPr>
            <w:r>
              <w:rPr>
                <w:rFonts w:hint="default" w:ascii="Times New Roman" w:hAnsi="Times New Roman" w:eastAsia="仿宋_GB2312" w:cs="Times New Roman"/>
                <w:color w:val="auto"/>
                <w:spacing w:val="10"/>
                <w:kern w:val="0"/>
                <w:sz w:val="24"/>
                <w:highlight w:val="none"/>
              </w:rPr>
              <w:sym w:font="Wingdings" w:char="00A8"/>
            </w:r>
            <w:r>
              <w:rPr>
                <w:rFonts w:hint="default" w:ascii="Times New Roman" w:hAnsi="Times New Roman" w:eastAsia="仿宋_GB2312" w:cs="Times New Roman"/>
                <w:color w:val="auto"/>
                <w:spacing w:val="10"/>
                <w:sz w:val="24"/>
                <w:highlight w:val="none"/>
              </w:rPr>
              <w:t xml:space="preserve">是 </w:t>
            </w:r>
            <w:r>
              <w:rPr>
                <w:rFonts w:hint="default" w:ascii="Times New Roman" w:hAnsi="Times New Roman" w:eastAsia="仿宋_GB2312" w:cs="Times New Roman"/>
                <w:color w:val="auto"/>
                <w:spacing w:val="10"/>
                <w:kern w:val="0"/>
                <w:sz w:val="24"/>
                <w:highlight w:val="none"/>
              </w:rPr>
              <w:sym w:font="Wingdings 2" w:char="0052"/>
            </w:r>
            <w:r>
              <w:rPr>
                <w:rFonts w:hint="default" w:ascii="Times New Roman" w:hAnsi="Times New Roman" w:eastAsia="仿宋_GB2312" w:cs="Times New Roman"/>
                <w:color w:val="auto"/>
                <w:spacing w:val="10"/>
                <w:sz w:val="24"/>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868"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4109"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黑体" w:cs="Times New Roman"/>
                <w:color w:val="auto"/>
                <w:spacing w:val="10"/>
                <w:kern w:val="0"/>
                <w:sz w:val="24"/>
                <w:highlight w:val="none"/>
              </w:rPr>
            </w:pPr>
            <w:r>
              <w:rPr>
                <w:rFonts w:hint="default" w:ascii="Times New Roman" w:hAnsi="Times New Roman" w:eastAsia="黑体" w:cs="Times New Roman"/>
                <w:color w:val="auto"/>
                <w:kern w:val="0"/>
                <w:sz w:val="24"/>
                <w:highlight w:val="none"/>
              </w:rPr>
              <w:t>计划财务部负责人</w:t>
            </w:r>
            <w:r>
              <w:rPr>
                <w:rFonts w:hint="default" w:ascii="Times New Roman" w:hAnsi="Times New Roman" w:eastAsia="黑体" w:cs="Times New Roman"/>
                <w:color w:val="auto"/>
                <w:spacing w:val="10"/>
                <w:kern w:val="0"/>
                <w:sz w:val="24"/>
                <w:highlight w:val="none"/>
              </w:rPr>
              <w:t>是否发生变动</w:t>
            </w:r>
          </w:p>
        </w:tc>
        <w:tc>
          <w:tcPr>
            <w:tcW w:w="3367"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jc w:val="center"/>
              <w:rPr>
                <w:rFonts w:hint="default" w:ascii="Times New Roman" w:hAnsi="Times New Roman" w:eastAsia="仿宋_GB2312" w:cs="Times New Roman"/>
                <w:color w:val="auto"/>
                <w:spacing w:val="10"/>
                <w:kern w:val="0"/>
                <w:sz w:val="24"/>
                <w:highlight w:val="none"/>
              </w:rPr>
            </w:pPr>
            <w:r>
              <w:rPr>
                <w:rFonts w:hint="default" w:ascii="Times New Roman" w:hAnsi="Times New Roman" w:eastAsia="仿宋_GB2312" w:cs="Times New Roman"/>
                <w:color w:val="auto"/>
                <w:spacing w:val="10"/>
                <w:kern w:val="0"/>
                <w:sz w:val="24"/>
                <w:highlight w:val="none"/>
              </w:rPr>
              <w:sym w:font="Wingdings 2" w:char="0052"/>
            </w:r>
            <w:r>
              <w:rPr>
                <w:rFonts w:hint="default" w:ascii="Times New Roman" w:hAnsi="Times New Roman" w:eastAsia="仿宋_GB2312" w:cs="Times New Roman"/>
                <w:color w:val="auto"/>
                <w:spacing w:val="10"/>
                <w:kern w:val="0"/>
                <w:sz w:val="24"/>
                <w:highlight w:val="none"/>
              </w:rPr>
              <w:t xml:space="preserve">是 </w:t>
            </w:r>
            <w:r>
              <w:rPr>
                <w:rFonts w:hint="default" w:ascii="Times New Roman" w:hAnsi="Times New Roman" w:eastAsia="仿宋_GB2312" w:cs="Times New Roman"/>
                <w:color w:val="auto"/>
                <w:spacing w:val="10"/>
                <w:kern w:val="0"/>
                <w:sz w:val="24"/>
                <w:highlight w:val="none"/>
              </w:rPr>
              <w:sym w:font="Wingdings" w:char="00A8"/>
            </w:r>
            <w:r>
              <w:rPr>
                <w:rFonts w:hint="default" w:ascii="Times New Roman" w:hAnsi="Times New Roman" w:eastAsia="仿宋_GB2312" w:cs="Times New Roman"/>
                <w:color w:val="auto"/>
                <w:spacing w:val="10"/>
                <w:kern w:val="0"/>
                <w:sz w:val="24"/>
                <w:highlight w:val="none"/>
              </w:rPr>
              <w:t>否</w:t>
            </w:r>
          </w:p>
        </w:tc>
      </w:tr>
    </w:tbl>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
          <w:color w:val="auto"/>
          <w:sz w:val="28"/>
          <w:szCs w:val="28"/>
          <w:highlight w:val="none"/>
        </w:rPr>
      </w:pPr>
      <w:r>
        <w:rPr>
          <w:rFonts w:hint="default" w:ascii="Times New Roman" w:hAnsi="Times New Roman" w:eastAsia="仿宋_GB2312" w:cs="Times New Roman"/>
          <w:b/>
          <w:color w:val="auto"/>
          <w:sz w:val="28"/>
          <w:szCs w:val="28"/>
          <w:highlight w:val="none"/>
        </w:rPr>
        <w:t>报告期内董事、高级管理人员变动详细情况：</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jc w:val="left"/>
        <w:textAlignment w:val="auto"/>
        <w:rPr>
          <w:rFonts w:hint="default" w:ascii="Times New Roman" w:hAnsi="Times New Roman" w:eastAsia="仿宋_GB2312" w:cs="Times New Roman"/>
          <w:color w:val="auto"/>
          <w:spacing w:val="0"/>
          <w:sz w:val="28"/>
          <w:szCs w:val="28"/>
          <w:highlight w:val="none"/>
        </w:rPr>
      </w:pPr>
      <w:r>
        <w:rPr>
          <w:rFonts w:hint="default" w:ascii="Times New Roman" w:hAnsi="Times New Roman" w:eastAsia="仿宋_GB2312" w:cs="Times New Roman"/>
          <w:color w:val="auto"/>
          <w:spacing w:val="0"/>
          <w:w w:val="100"/>
          <w:position w:val="0"/>
          <w:sz w:val="28"/>
          <w:szCs w:val="28"/>
          <w:highlight w:val="none"/>
          <w:u w:val="none"/>
          <w:lang w:val="zh-CN"/>
        </w:rPr>
        <w:t xml:space="preserve">√适用 </w:t>
      </w:r>
      <w:r>
        <w:rPr>
          <w:rFonts w:hint="default" w:ascii="Times New Roman" w:hAnsi="Times New Roman" w:eastAsia="仿宋_GB2312" w:cs="Times New Roman"/>
          <w:color w:val="auto"/>
          <w:spacing w:val="0"/>
          <w:w w:val="100"/>
          <w:position w:val="0"/>
          <w:sz w:val="28"/>
          <w:szCs w:val="28"/>
          <w:highlight w:val="none"/>
          <w:u w:val="none"/>
          <w:lang w:val="en-US" w:eastAsia="zh-CN"/>
        </w:rPr>
        <w:t xml:space="preserve"> </w:t>
      </w:r>
      <w:r>
        <w:rPr>
          <w:rFonts w:hint="default" w:ascii="Times New Roman" w:hAnsi="Times New Roman" w:eastAsia="仿宋_GB2312" w:cs="Times New Roman"/>
          <w:color w:val="auto"/>
          <w:spacing w:val="0"/>
          <w:w w:val="100"/>
          <w:position w:val="0"/>
          <w:sz w:val="28"/>
          <w:szCs w:val="28"/>
          <w:highlight w:val="none"/>
          <w:u w:val="none"/>
          <w:lang w:val="zh-CN"/>
        </w:rPr>
        <w:t>□不适用</w:t>
      </w:r>
    </w:p>
    <w:tbl>
      <w:tblPr>
        <w:tblStyle w:val="25"/>
        <w:tblW w:w="961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027"/>
        <w:gridCol w:w="2310"/>
        <w:gridCol w:w="885"/>
        <w:gridCol w:w="2350"/>
        <w:gridCol w:w="30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Ex>
        <w:trPr>
          <w:trHeight w:val="540" w:hRule="exact"/>
          <w:jc w:val="center"/>
        </w:trPr>
        <w:tc>
          <w:tcPr>
            <w:tcW w:w="1027" w:type="dxa"/>
            <w:shd w:val="clear" w:color="auto" w:fill="FFFFFF"/>
            <w:vAlign w:val="center"/>
          </w:tcPr>
          <w:p>
            <w:pPr>
              <w:autoSpaceDE w:val="0"/>
              <w:autoSpaceDN w:val="0"/>
              <w:adjustRightInd w:val="0"/>
              <w:jc w:val="center"/>
              <w:rPr>
                <w:rFonts w:hint="default" w:ascii="Times New Roman" w:hAnsi="Times New Roman" w:eastAsia="黑体" w:cs="Times New Roman"/>
                <w:color w:val="auto"/>
                <w:spacing w:val="10"/>
                <w:sz w:val="24"/>
                <w:szCs w:val="24"/>
                <w:highlight w:val="none"/>
              </w:rPr>
            </w:pPr>
            <w:r>
              <w:rPr>
                <w:rFonts w:hint="default" w:ascii="Times New Roman" w:hAnsi="Times New Roman" w:eastAsia="黑体" w:cs="Times New Roman"/>
                <w:color w:val="auto"/>
                <w:spacing w:val="10"/>
                <w:sz w:val="24"/>
                <w:szCs w:val="24"/>
                <w:highlight w:val="none"/>
              </w:rPr>
              <w:t>姓名</w:t>
            </w:r>
          </w:p>
        </w:tc>
        <w:tc>
          <w:tcPr>
            <w:tcW w:w="2310" w:type="dxa"/>
            <w:shd w:val="clear" w:color="auto" w:fill="FFFFFF"/>
            <w:vAlign w:val="center"/>
          </w:tcPr>
          <w:p>
            <w:pPr>
              <w:autoSpaceDE w:val="0"/>
              <w:autoSpaceDN w:val="0"/>
              <w:adjustRightInd w:val="0"/>
              <w:jc w:val="center"/>
              <w:rPr>
                <w:rFonts w:hint="default" w:ascii="Times New Roman" w:hAnsi="Times New Roman" w:eastAsia="黑体" w:cs="Times New Roman"/>
                <w:color w:val="auto"/>
                <w:spacing w:val="10"/>
                <w:sz w:val="24"/>
                <w:szCs w:val="24"/>
                <w:highlight w:val="none"/>
              </w:rPr>
            </w:pPr>
            <w:r>
              <w:rPr>
                <w:rFonts w:hint="default" w:ascii="Times New Roman" w:hAnsi="Times New Roman" w:eastAsia="黑体" w:cs="Times New Roman"/>
                <w:color w:val="auto"/>
                <w:spacing w:val="10"/>
                <w:sz w:val="24"/>
                <w:szCs w:val="24"/>
                <w:highlight w:val="none"/>
              </w:rPr>
              <w:t>期初职务</w:t>
            </w:r>
          </w:p>
        </w:tc>
        <w:tc>
          <w:tcPr>
            <w:tcW w:w="885" w:type="dxa"/>
            <w:shd w:val="clear" w:color="auto" w:fill="FFFFFF"/>
            <w:vAlign w:val="center"/>
          </w:tcPr>
          <w:p>
            <w:pPr>
              <w:autoSpaceDE w:val="0"/>
              <w:autoSpaceDN w:val="0"/>
              <w:adjustRightInd w:val="0"/>
              <w:jc w:val="center"/>
              <w:rPr>
                <w:rFonts w:hint="default" w:ascii="Times New Roman" w:hAnsi="Times New Roman" w:eastAsia="黑体" w:cs="Times New Roman"/>
                <w:color w:val="auto"/>
                <w:spacing w:val="10"/>
                <w:sz w:val="24"/>
                <w:szCs w:val="24"/>
                <w:highlight w:val="none"/>
              </w:rPr>
            </w:pPr>
            <w:r>
              <w:rPr>
                <w:rFonts w:hint="default" w:ascii="Times New Roman" w:hAnsi="Times New Roman" w:eastAsia="黑体" w:cs="Times New Roman"/>
                <w:color w:val="auto"/>
                <w:spacing w:val="10"/>
                <w:sz w:val="24"/>
                <w:szCs w:val="24"/>
                <w:highlight w:val="none"/>
              </w:rPr>
              <w:t>变动</w:t>
            </w:r>
          </w:p>
          <w:p>
            <w:pPr>
              <w:autoSpaceDE w:val="0"/>
              <w:autoSpaceDN w:val="0"/>
              <w:adjustRightInd w:val="0"/>
              <w:jc w:val="center"/>
              <w:rPr>
                <w:rFonts w:hint="default" w:ascii="Times New Roman" w:hAnsi="Times New Roman" w:eastAsia="黑体" w:cs="Times New Roman"/>
                <w:color w:val="auto"/>
                <w:spacing w:val="10"/>
                <w:sz w:val="24"/>
                <w:szCs w:val="24"/>
                <w:highlight w:val="none"/>
              </w:rPr>
            </w:pPr>
            <w:r>
              <w:rPr>
                <w:rFonts w:hint="default" w:ascii="Times New Roman" w:hAnsi="Times New Roman" w:eastAsia="黑体" w:cs="Times New Roman"/>
                <w:color w:val="auto"/>
                <w:spacing w:val="10"/>
                <w:sz w:val="24"/>
                <w:szCs w:val="24"/>
                <w:highlight w:val="none"/>
              </w:rPr>
              <w:t>类型</w:t>
            </w:r>
          </w:p>
        </w:tc>
        <w:tc>
          <w:tcPr>
            <w:tcW w:w="2350" w:type="dxa"/>
            <w:shd w:val="clear" w:color="auto" w:fill="FFFFFF"/>
            <w:vAlign w:val="center"/>
          </w:tcPr>
          <w:p>
            <w:pPr>
              <w:autoSpaceDE w:val="0"/>
              <w:autoSpaceDN w:val="0"/>
              <w:adjustRightInd w:val="0"/>
              <w:jc w:val="center"/>
              <w:rPr>
                <w:rFonts w:hint="default" w:ascii="Times New Roman" w:hAnsi="Times New Roman" w:eastAsia="黑体" w:cs="Times New Roman"/>
                <w:color w:val="auto"/>
                <w:spacing w:val="10"/>
                <w:sz w:val="24"/>
                <w:szCs w:val="24"/>
                <w:highlight w:val="none"/>
              </w:rPr>
            </w:pPr>
            <w:r>
              <w:rPr>
                <w:rFonts w:hint="default" w:ascii="Times New Roman" w:hAnsi="Times New Roman" w:eastAsia="黑体" w:cs="Times New Roman"/>
                <w:color w:val="auto"/>
                <w:spacing w:val="10"/>
                <w:sz w:val="24"/>
                <w:szCs w:val="24"/>
                <w:highlight w:val="none"/>
              </w:rPr>
              <w:t>期末职务</w:t>
            </w:r>
          </w:p>
        </w:tc>
        <w:tc>
          <w:tcPr>
            <w:tcW w:w="3042" w:type="dxa"/>
            <w:shd w:val="clear" w:color="auto" w:fill="FFFFFF"/>
            <w:vAlign w:val="center"/>
          </w:tcPr>
          <w:p>
            <w:pPr>
              <w:autoSpaceDE w:val="0"/>
              <w:autoSpaceDN w:val="0"/>
              <w:adjustRightInd w:val="0"/>
              <w:jc w:val="center"/>
              <w:rPr>
                <w:rFonts w:hint="default" w:ascii="Times New Roman" w:hAnsi="Times New Roman" w:eastAsia="黑体" w:cs="Times New Roman"/>
                <w:color w:val="auto"/>
                <w:spacing w:val="10"/>
                <w:sz w:val="24"/>
                <w:szCs w:val="24"/>
                <w:highlight w:val="none"/>
                <w:lang w:eastAsia="zh-CN"/>
              </w:rPr>
            </w:pPr>
            <w:r>
              <w:rPr>
                <w:rFonts w:hint="default" w:ascii="Times New Roman" w:hAnsi="Times New Roman" w:eastAsia="黑体" w:cs="Times New Roman"/>
                <w:color w:val="auto"/>
                <w:spacing w:val="10"/>
                <w:sz w:val="24"/>
                <w:szCs w:val="24"/>
                <w:highlight w:val="none"/>
              </w:rPr>
              <w:t>变动原因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Ex>
        <w:trPr>
          <w:trHeight w:val="782" w:hRule="exact"/>
          <w:jc w:val="center"/>
        </w:trPr>
        <w:tc>
          <w:tcPr>
            <w:tcW w:w="1027"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spacing w:line="300" w:lineRule="exact"/>
              <w:jc w:val="center"/>
              <w:rPr>
                <w:rFonts w:hint="default" w:ascii="Times New Roman" w:hAnsi="Times New Roman" w:eastAsia="仿宋_GB2312" w:cs="Times New Roman"/>
                <w:color w:val="auto"/>
                <w:spacing w:val="10"/>
                <w:kern w:val="0"/>
                <w:sz w:val="21"/>
                <w:szCs w:val="21"/>
                <w:highlight w:val="none"/>
                <w:lang w:val="en-US" w:eastAsia="zh-CN" w:bidi="ar-SA"/>
              </w:rPr>
            </w:pPr>
            <w:r>
              <w:rPr>
                <w:rFonts w:hint="default" w:ascii="Times New Roman" w:hAnsi="Times New Roman" w:eastAsia="仿宋_GB2312" w:cs="Times New Roman"/>
                <w:color w:val="auto"/>
                <w:spacing w:val="10"/>
                <w:kern w:val="0"/>
                <w:szCs w:val="21"/>
                <w:highlight w:val="none"/>
                <w:lang w:eastAsia="zh-CN"/>
              </w:rPr>
              <w:t>邢</w:t>
            </w:r>
            <w:r>
              <w:rPr>
                <w:rFonts w:hint="default" w:ascii="Times New Roman" w:hAnsi="Times New Roman" w:eastAsia="仿宋_GB2312" w:cs="Times New Roman"/>
                <w:color w:val="auto"/>
                <w:spacing w:val="10"/>
                <w:kern w:val="0"/>
                <w:szCs w:val="21"/>
                <w:highlight w:val="none"/>
                <w:lang w:val="en-US" w:eastAsia="zh-CN"/>
              </w:rPr>
              <w:t xml:space="preserve"> </w:t>
            </w:r>
            <w:r>
              <w:rPr>
                <w:rFonts w:hint="default" w:ascii="Times New Roman" w:hAnsi="Times New Roman" w:eastAsia="仿宋_GB2312" w:cs="Times New Roman"/>
                <w:color w:val="auto"/>
                <w:spacing w:val="10"/>
                <w:kern w:val="0"/>
                <w:szCs w:val="21"/>
                <w:highlight w:val="none"/>
                <w:lang w:eastAsia="zh-CN"/>
              </w:rPr>
              <w:t>春</w:t>
            </w:r>
          </w:p>
        </w:tc>
        <w:tc>
          <w:tcPr>
            <w:tcW w:w="231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仿宋_GB2312" w:cs="Times New Roman"/>
                <w:color w:val="auto"/>
                <w:spacing w:val="10"/>
                <w:kern w:val="0"/>
                <w:szCs w:val="21"/>
                <w:highlight w:val="none"/>
                <w:lang w:eastAsia="zh-CN"/>
              </w:rPr>
              <w:t>审计稽核部</w:t>
            </w:r>
          </w:p>
        </w:tc>
        <w:tc>
          <w:tcPr>
            <w:tcW w:w="88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仿宋_GB2312" w:cs="Times New Roman"/>
                <w:color w:val="auto"/>
                <w:spacing w:val="10"/>
                <w:kern w:val="0"/>
                <w:sz w:val="21"/>
                <w:szCs w:val="21"/>
                <w:highlight w:val="none"/>
                <w:lang w:val="en-US" w:eastAsia="zh-CN" w:bidi="ar-SA"/>
              </w:rPr>
            </w:pPr>
            <w:r>
              <w:rPr>
                <w:rFonts w:hint="default" w:ascii="Times New Roman" w:hAnsi="Times New Roman" w:eastAsia="仿宋_GB2312" w:cs="Times New Roman"/>
                <w:color w:val="auto"/>
                <w:spacing w:val="10"/>
                <w:kern w:val="0"/>
                <w:sz w:val="21"/>
                <w:szCs w:val="21"/>
                <w:highlight w:val="none"/>
                <w:lang w:val="en-US" w:eastAsia="zh-CN" w:bidi="ar-SA"/>
              </w:rPr>
              <w:t>改任</w:t>
            </w:r>
          </w:p>
        </w:tc>
        <w:tc>
          <w:tcPr>
            <w:tcW w:w="235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仿宋_GB2312" w:cs="Times New Roman"/>
                <w:color w:val="auto"/>
                <w:spacing w:val="10"/>
                <w:kern w:val="0"/>
                <w:sz w:val="21"/>
                <w:szCs w:val="21"/>
                <w:highlight w:val="none"/>
                <w:lang w:val="en-US" w:eastAsia="zh-CN" w:bidi="ar-SA"/>
              </w:rPr>
            </w:pPr>
            <w:r>
              <w:rPr>
                <w:rFonts w:hint="default" w:ascii="Times New Roman" w:hAnsi="Times New Roman" w:eastAsia="仿宋_GB2312" w:cs="Times New Roman"/>
                <w:color w:val="auto"/>
                <w:spacing w:val="10"/>
                <w:kern w:val="0"/>
                <w:sz w:val="21"/>
                <w:szCs w:val="21"/>
                <w:highlight w:val="none"/>
                <w:lang w:val="en-US" w:eastAsia="zh-CN" w:bidi="ar-SA"/>
              </w:rPr>
              <w:t>董事会办公室主任</w:t>
            </w:r>
          </w:p>
        </w:tc>
        <w:tc>
          <w:tcPr>
            <w:tcW w:w="304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仿宋_GB2312" w:cs="Times New Roman"/>
                <w:color w:val="auto"/>
                <w:spacing w:val="10"/>
                <w:kern w:val="0"/>
                <w:sz w:val="21"/>
                <w:szCs w:val="21"/>
                <w:highlight w:val="none"/>
                <w:lang w:val="en-US" w:eastAsia="zh-CN" w:bidi="ar-SA"/>
              </w:rPr>
            </w:pPr>
            <w:r>
              <w:rPr>
                <w:rFonts w:hint="default" w:ascii="Times New Roman" w:hAnsi="Times New Roman" w:eastAsia="仿宋_GB2312" w:cs="Times New Roman"/>
                <w:color w:val="auto"/>
                <w:spacing w:val="10"/>
                <w:kern w:val="0"/>
                <w:szCs w:val="21"/>
                <w:highlight w:val="none"/>
                <w:lang w:eastAsia="zh-CN"/>
              </w:rPr>
              <w:t>职务调整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Ex>
        <w:trPr>
          <w:trHeight w:val="397" w:hRule="exact"/>
          <w:jc w:val="center"/>
        </w:trPr>
        <w:tc>
          <w:tcPr>
            <w:tcW w:w="1027"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spacing w:line="300" w:lineRule="exact"/>
              <w:jc w:val="center"/>
              <w:rPr>
                <w:rFonts w:hint="default" w:ascii="Times New Roman" w:hAnsi="Times New Roman" w:eastAsia="仿宋_GB2312" w:cs="Times New Roman"/>
                <w:color w:val="auto"/>
                <w:spacing w:val="10"/>
                <w:kern w:val="0"/>
                <w:szCs w:val="21"/>
                <w:highlight w:val="none"/>
                <w:lang w:eastAsia="zh-CN"/>
              </w:rPr>
            </w:pPr>
            <w:r>
              <w:rPr>
                <w:rFonts w:hint="default" w:ascii="Times New Roman" w:hAnsi="Times New Roman" w:eastAsia="仿宋_GB2312" w:cs="Times New Roman"/>
                <w:color w:val="auto"/>
                <w:spacing w:val="10"/>
                <w:kern w:val="0"/>
                <w:szCs w:val="21"/>
                <w:highlight w:val="none"/>
                <w:lang w:eastAsia="zh-CN"/>
              </w:rPr>
              <w:t>邢华其</w:t>
            </w:r>
          </w:p>
        </w:tc>
        <w:tc>
          <w:tcPr>
            <w:tcW w:w="231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仿宋_GB2312" w:cs="Times New Roman"/>
                <w:color w:val="auto"/>
                <w:spacing w:val="10"/>
                <w:kern w:val="0"/>
                <w:szCs w:val="21"/>
                <w:highlight w:val="none"/>
                <w:lang w:eastAsia="zh-CN"/>
              </w:rPr>
            </w:pPr>
            <w:r>
              <w:rPr>
                <w:rFonts w:hint="default" w:ascii="Times New Roman" w:hAnsi="Times New Roman" w:eastAsia="仿宋_GB2312" w:cs="Times New Roman"/>
                <w:color w:val="auto"/>
                <w:spacing w:val="0"/>
                <w:kern w:val="2"/>
                <w:sz w:val="21"/>
                <w:szCs w:val="21"/>
                <w:highlight w:val="none"/>
                <w:lang w:val="en-US" w:eastAsia="zh-CN" w:bidi="ar-SA"/>
              </w:rPr>
              <w:t>计划财务部</w:t>
            </w:r>
          </w:p>
        </w:tc>
        <w:tc>
          <w:tcPr>
            <w:tcW w:w="88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仿宋_GB2312" w:cs="Times New Roman"/>
                <w:color w:val="auto"/>
                <w:spacing w:val="10"/>
                <w:kern w:val="0"/>
                <w:szCs w:val="21"/>
                <w:highlight w:val="none"/>
                <w:lang w:eastAsia="zh-CN"/>
              </w:rPr>
            </w:pPr>
            <w:r>
              <w:rPr>
                <w:rFonts w:hint="default" w:ascii="Times New Roman" w:hAnsi="Times New Roman" w:eastAsia="仿宋_GB2312" w:cs="Times New Roman"/>
                <w:color w:val="auto"/>
                <w:spacing w:val="10"/>
                <w:kern w:val="0"/>
                <w:szCs w:val="21"/>
                <w:highlight w:val="none"/>
                <w:lang w:eastAsia="zh-CN"/>
              </w:rPr>
              <w:t>改任</w:t>
            </w:r>
          </w:p>
        </w:tc>
        <w:tc>
          <w:tcPr>
            <w:tcW w:w="235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lang w:eastAsia="zh-CN"/>
              </w:rPr>
              <w:t>审计稽核</w:t>
            </w:r>
            <w:r>
              <w:rPr>
                <w:rFonts w:hint="default" w:ascii="Times New Roman" w:hAnsi="Times New Roman" w:eastAsia="仿宋_GB2312" w:cs="Times New Roman"/>
                <w:color w:val="auto"/>
                <w:spacing w:val="10"/>
                <w:kern w:val="0"/>
                <w:szCs w:val="21"/>
                <w:highlight w:val="none"/>
              </w:rPr>
              <w:t>部负责人</w:t>
            </w:r>
          </w:p>
        </w:tc>
        <w:tc>
          <w:tcPr>
            <w:tcW w:w="304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spacing w:line="260" w:lineRule="exact"/>
              <w:jc w:val="center"/>
              <w:textAlignment w:val="auto"/>
              <w:rPr>
                <w:rFonts w:hint="default" w:ascii="Times New Roman" w:hAnsi="Times New Roman" w:eastAsia="仿宋_GB2312" w:cs="Times New Roman"/>
                <w:color w:val="auto"/>
                <w:spacing w:val="10"/>
                <w:kern w:val="0"/>
                <w:szCs w:val="21"/>
                <w:highlight w:val="none"/>
              </w:rPr>
            </w:pPr>
            <w:r>
              <w:rPr>
                <w:rFonts w:hint="default" w:ascii="Times New Roman" w:hAnsi="Times New Roman" w:eastAsia="仿宋_GB2312" w:cs="Times New Roman"/>
                <w:color w:val="auto"/>
                <w:spacing w:val="10"/>
                <w:kern w:val="0"/>
                <w:szCs w:val="21"/>
                <w:highlight w:val="none"/>
                <w:lang w:eastAsia="zh-CN"/>
              </w:rPr>
              <w:t>职务调整</w:t>
            </w:r>
          </w:p>
        </w:tc>
      </w:tr>
    </w:tbl>
    <w:p>
      <w:pPr>
        <w:keepNext w:val="0"/>
        <w:keepLines w:val="0"/>
        <w:pageBreakBefore w:val="0"/>
        <w:widowControl w:val="0"/>
        <w:shd w:val="clear" w:color="auto" w:fill="auto"/>
        <w:kinsoku/>
        <w:wordWrap/>
        <w:overflowPunct/>
        <w:topLinePunct w:val="0"/>
        <w:bidi w:val="0"/>
        <w:snapToGrid/>
        <w:spacing w:before="0" w:line="480" w:lineRule="exact"/>
        <w:ind w:firstLine="604" w:firstLineChars="200"/>
        <w:jc w:val="left"/>
        <w:textAlignment w:val="auto"/>
        <w:rPr>
          <w:rFonts w:hint="default" w:ascii="Times New Roman" w:hAnsi="Times New Roman" w:eastAsia="仿宋_GB2312" w:cs="Times New Roman"/>
          <w:b/>
          <w:color w:val="auto"/>
          <w:spacing w:val="0"/>
          <w:kern w:val="2"/>
          <w:sz w:val="28"/>
          <w:szCs w:val="28"/>
          <w:highlight w:val="none"/>
          <w:lang w:val="en-US" w:eastAsia="zh-CN" w:bidi="ar-SA"/>
        </w:rPr>
      </w:pPr>
      <w:r>
        <w:rPr>
          <w:rFonts w:hint="default" w:ascii="Times New Roman" w:hAnsi="Times New Roman" w:eastAsia="仿宋_GB2312" w:cs="Times New Roman"/>
          <w:b/>
          <w:color w:val="auto"/>
          <w:spacing w:val="0"/>
          <w:w w:val="100"/>
          <w:kern w:val="2"/>
          <w:position w:val="0"/>
          <w:sz w:val="28"/>
          <w:szCs w:val="28"/>
          <w:highlight w:val="none"/>
          <w:u w:val="none"/>
          <w:lang w:val="zh-CN" w:eastAsia="zh-CN" w:bidi="ar-SA"/>
        </w:rPr>
        <w:t>报告期内新任董事、高级管理人员简要职业经历：</w:t>
      </w:r>
    </w:p>
    <w:p>
      <w:pPr>
        <w:keepNext w:val="0"/>
        <w:keepLines w:val="0"/>
        <w:pageBreakBefore w:val="0"/>
        <w:kinsoku/>
        <w:wordWrap/>
        <w:overflowPunct/>
        <w:topLinePunct w:val="0"/>
        <w:autoSpaceDE w:val="0"/>
        <w:autoSpaceDN w:val="0"/>
        <w:bidi w:val="0"/>
        <w:adjustRightInd w:val="0"/>
        <w:snapToGrid/>
        <w:spacing w:line="480" w:lineRule="exact"/>
        <w:ind w:firstLine="604" w:firstLineChars="200"/>
        <w:jc w:val="left"/>
        <w:textAlignment w:val="auto"/>
        <w:rPr>
          <w:rFonts w:hint="default" w:ascii="Times New Roman" w:hAnsi="Times New Roman" w:eastAsia="仿宋_GB2312" w:cs="Times New Roman"/>
          <w:color w:val="auto"/>
          <w:spacing w:val="0"/>
          <w:sz w:val="28"/>
          <w:szCs w:val="28"/>
          <w:highlight w:val="none"/>
        </w:rPr>
      </w:pPr>
      <w:r>
        <w:rPr>
          <w:rFonts w:hint="default" w:ascii="Times New Roman" w:hAnsi="Times New Roman" w:eastAsia="仿宋_GB2312" w:cs="Times New Roman"/>
          <w:color w:val="auto"/>
          <w:spacing w:val="0"/>
          <w:w w:val="100"/>
          <w:position w:val="0"/>
          <w:sz w:val="28"/>
          <w:szCs w:val="28"/>
          <w:highlight w:val="none"/>
          <w:u w:val="none"/>
          <w:lang w:val="zh-CN"/>
        </w:rPr>
        <w:t>√适用 □不适用</w:t>
      </w:r>
    </w:p>
    <w:p>
      <w:pPr>
        <w:keepNext w:val="0"/>
        <w:keepLines w:val="0"/>
        <w:pageBreakBefore w:val="0"/>
        <w:widowControl w:val="0"/>
        <w:shd w:val="clear" w:color="auto" w:fill="auto"/>
        <w:kinsoku/>
        <w:wordWrap/>
        <w:overflowPunct/>
        <w:topLinePunct w:val="0"/>
        <w:bidi w:val="0"/>
        <w:snapToGrid/>
        <w:spacing w:before="0" w:line="480" w:lineRule="exact"/>
        <w:ind w:firstLine="604" w:firstLineChars="200"/>
        <w:jc w:val="left"/>
        <w:textAlignment w:val="auto"/>
        <w:rPr>
          <w:rFonts w:hint="default" w:ascii="Times New Roman" w:hAnsi="Times New Roman" w:eastAsia="仿宋_GB2312" w:cs="Times New Roman"/>
          <w:color w:val="auto"/>
          <w:spacing w:val="0"/>
          <w:kern w:val="2"/>
          <w:sz w:val="28"/>
          <w:szCs w:val="28"/>
          <w:highlight w:val="none"/>
          <w:lang w:val="en-US" w:eastAsia="zh-CN" w:bidi="ar-SA"/>
        </w:rPr>
      </w:pPr>
      <w:r>
        <w:rPr>
          <w:rFonts w:hint="default" w:ascii="Times New Roman" w:hAnsi="Times New Roman" w:eastAsia="仿宋_GB2312" w:cs="Times New Roman"/>
          <w:color w:val="auto"/>
          <w:spacing w:val="0"/>
          <w:kern w:val="2"/>
          <w:sz w:val="28"/>
          <w:szCs w:val="28"/>
          <w:highlight w:val="none"/>
          <w:lang w:val="en-US" w:eastAsia="zh-CN" w:bidi="ar-SA"/>
        </w:rPr>
        <w:t>邢华其，男，1981年12月生，江苏高淳人，本科学历，学士学位，中级会计师，中共党员，2005年9月参加工作。历任高淳陶瓷股份有限公司职员，高淳农村合作银行狮树支行综合柜员，固城支行委派会计，财务会计部办事员，高淳农商银行计划财务部办事员、副总经理，金融市场部总经理，计划财务部总经理，计划财务部总经理、金融市场部总经理（兼），计划财务部总经理，现任高淳农商银行审计稽核部总经理。2026年3月9日召开高淳农商银行第五届董事会第二次临时会议，会议审议通过《关于聘任邢华其同志为审计稽核部负责人的提案》，其任职资格已于2026年3月23日向国家金融监督管理总局高淳监管支局报告。</w:t>
      </w:r>
    </w:p>
    <w:p>
      <w:pPr>
        <w:keepNext w:val="0"/>
        <w:keepLines w:val="0"/>
        <w:pageBreakBefore w:val="0"/>
        <w:widowControl/>
        <w:kinsoku/>
        <w:wordWrap/>
        <w:overflowPunct/>
        <w:topLinePunct w:val="0"/>
        <w:autoSpaceDE/>
        <w:autoSpaceDN/>
        <w:bidi w:val="0"/>
        <w:adjustRightInd/>
        <w:snapToGrid/>
        <w:spacing w:line="480" w:lineRule="exact"/>
        <w:ind w:right="300" w:firstLine="604" w:firstLineChars="200"/>
        <w:jc w:val="both"/>
        <w:textAlignment w:val="auto"/>
        <w:outlineLvl w:val="9"/>
        <w:rPr>
          <w:rFonts w:hint="default" w:ascii="Times New Roman" w:hAnsi="Times New Roman" w:eastAsia="仿宋_GB2312" w:cs="Times New Roman"/>
          <w:b/>
          <w:color w:val="auto"/>
          <w:sz w:val="28"/>
          <w:szCs w:val="28"/>
          <w:highlight w:val="none"/>
          <w:lang w:eastAsia="zh-CN"/>
        </w:rPr>
      </w:pPr>
      <w:r>
        <w:rPr>
          <w:rFonts w:hint="default" w:ascii="Times New Roman" w:hAnsi="Times New Roman" w:eastAsia="仿宋_GB2312" w:cs="Times New Roman"/>
          <w:b/>
          <w:color w:val="auto"/>
          <w:sz w:val="28"/>
          <w:szCs w:val="28"/>
          <w:highlight w:val="none"/>
        </w:rPr>
        <w:t>（</w:t>
      </w:r>
      <w:r>
        <w:rPr>
          <w:rFonts w:hint="default" w:ascii="Times New Roman" w:hAnsi="Times New Roman" w:eastAsia="仿宋_GB2312" w:cs="Times New Roman"/>
          <w:b/>
          <w:color w:val="auto"/>
          <w:sz w:val="28"/>
          <w:szCs w:val="28"/>
          <w:highlight w:val="none"/>
          <w:lang w:eastAsia="zh-CN"/>
        </w:rPr>
        <w:t>四</w:t>
      </w:r>
      <w:r>
        <w:rPr>
          <w:rFonts w:hint="default" w:ascii="Times New Roman" w:hAnsi="Times New Roman" w:eastAsia="仿宋_GB2312" w:cs="Times New Roman"/>
          <w:b/>
          <w:color w:val="auto"/>
          <w:sz w:val="28"/>
          <w:szCs w:val="28"/>
          <w:highlight w:val="none"/>
        </w:rPr>
        <w:t>）</w:t>
      </w:r>
      <w:r>
        <w:rPr>
          <w:rFonts w:hint="default" w:ascii="Times New Roman" w:hAnsi="Times New Roman" w:eastAsia="仿宋_GB2312" w:cs="Times New Roman"/>
          <w:b/>
          <w:color w:val="auto"/>
          <w:sz w:val="28"/>
          <w:szCs w:val="28"/>
          <w:highlight w:val="none"/>
          <w:lang w:eastAsia="zh-CN"/>
        </w:rPr>
        <w:t>现任及报告期内离任董事和高级管理人员的任职</w:t>
      </w:r>
      <w:r>
        <w:rPr>
          <w:rFonts w:hint="default" w:ascii="Times New Roman" w:hAnsi="Times New Roman" w:eastAsia="仿宋_GB2312" w:cs="Times New Roman"/>
          <w:b/>
          <w:color w:val="auto"/>
          <w:sz w:val="28"/>
          <w:szCs w:val="28"/>
          <w:highlight w:val="none"/>
        </w:rPr>
        <w:t>情况</w:t>
      </w:r>
    </w:p>
    <w:p>
      <w:pPr>
        <w:keepNext w:val="0"/>
        <w:keepLines w:val="0"/>
        <w:pageBreakBefore w:val="0"/>
        <w:tabs>
          <w:tab w:val="left" w:pos="2422"/>
        </w:tabs>
        <w:kinsoku/>
        <w:wordWrap/>
        <w:overflowPunct/>
        <w:topLinePunct w:val="0"/>
        <w:autoSpaceDE/>
        <w:autoSpaceDN/>
        <w:bidi w:val="0"/>
        <w:adjustRightInd/>
        <w:snapToGrid/>
        <w:spacing w:line="480" w:lineRule="exact"/>
        <w:ind w:left="0" w:firstLine="0"/>
        <w:textAlignment w:val="auto"/>
        <w:outlineLvl w:val="9"/>
        <w:rPr>
          <w:rFonts w:hint="default" w:ascii="Times New Roman" w:hAnsi="Times New Roman" w:eastAsia="仿宋_GB2312" w:cs="Times New Roman"/>
          <w:color w:val="auto"/>
          <w:spacing w:val="10"/>
          <w:sz w:val="32"/>
          <w:szCs w:val="20"/>
          <w:highlight w:val="none"/>
          <w:lang w:val="en-US" w:eastAsia="zh-CN" w:bidi="ar-SA"/>
        </w:rPr>
      </w:pPr>
      <w:r>
        <w:rPr>
          <w:rFonts w:hint="default" w:ascii="Times New Roman" w:hAnsi="Times New Roman" w:eastAsia="仿宋_GB2312" w:cs="Times New Roman"/>
          <w:color w:val="auto"/>
          <w:spacing w:val="10"/>
          <w:sz w:val="32"/>
          <w:szCs w:val="20"/>
          <w:highlight w:val="none"/>
          <w:lang w:val="en-US" w:eastAsia="zh-CN" w:bidi="ar-SA"/>
        </w:rPr>
        <w:t xml:space="preserve">  </w:t>
      </w:r>
      <w:r>
        <w:rPr>
          <w:rFonts w:hint="default" w:ascii="Times New Roman" w:hAnsi="Times New Roman" w:eastAsia="仿宋_GB2312" w:cs="Times New Roman"/>
          <w:b/>
          <w:bCs/>
          <w:color w:val="auto"/>
          <w:spacing w:val="0"/>
          <w:kern w:val="2"/>
          <w:sz w:val="28"/>
          <w:szCs w:val="28"/>
          <w:highlight w:val="none"/>
          <w:lang w:val="en-US" w:eastAsia="zh-CN" w:bidi="ar-SA"/>
        </w:rPr>
        <w:t xml:space="preserve">  1.在股东单位任职情况</w:t>
      </w:r>
    </w:p>
    <w:tbl>
      <w:tblPr>
        <w:tblStyle w:val="25"/>
        <w:tblW w:w="9825" w:type="dxa"/>
        <w:tblInd w:w="-2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4312"/>
        <w:gridCol w:w="2355"/>
        <w:gridCol w:w="13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trPr>
        <w:tc>
          <w:tcPr>
            <w:tcW w:w="1800" w:type="dxa"/>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黑体" w:cs="Times New Roman"/>
                <w:bCs/>
                <w:color w:val="auto"/>
                <w:sz w:val="24"/>
                <w:szCs w:val="24"/>
                <w:highlight w:val="none"/>
                <w:vertAlign w:val="baseline"/>
                <w:lang w:eastAsia="zh-CN"/>
              </w:rPr>
            </w:pPr>
            <w:r>
              <w:rPr>
                <w:rFonts w:hint="default" w:ascii="Times New Roman" w:hAnsi="Times New Roman" w:eastAsia="黑体" w:cs="Times New Roman"/>
                <w:bCs/>
                <w:color w:val="auto"/>
                <w:sz w:val="24"/>
                <w:szCs w:val="24"/>
                <w:highlight w:val="none"/>
                <w:vertAlign w:val="baseline"/>
                <w:lang w:eastAsia="zh-CN"/>
              </w:rPr>
              <w:t>任职人员姓名</w:t>
            </w:r>
          </w:p>
        </w:tc>
        <w:tc>
          <w:tcPr>
            <w:tcW w:w="4312" w:type="dxa"/>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黑体" w:cs="Times New Roman"/>
                <w:bCs/>
                <w:color w:val="auto"/>
                <w:sz w:val="24"/>
                <w:szCs w:val="24"/>
                <w:highlight w:val="none"/>
                <w:vertAlign w:val="baseline"/>
                <w:lang w:eastAsia="zh-CN"/>
              </w:rPr>
            </w:pPr>
            <w:r>
              <w:rPr>
                <w:rFonts w:hint="default" w:ascii="Times New Roman" w:hAnsi="Times New Roman" w:eastAsia="黑体" w:cs="Times New Roman"/>
                <w:bCs/>
                <w:color w:val="auto"/>
                <w:sz w:val="24"/>
                <w:szCs w:val="24"/>
                <w:highlight w:val="none"/>
                <w:vertAlign w:val="baseline"/>
                <w:lang w:eastAsia="zh-CN"/>
              </w:rPr>
              <w:t>股东单位名称</w:t>
            </w:r>
          </w:p>
        </w:tc>
        <w:tc>
          <w:tcPr>
            <w:tcW w:w="2355" w:type="dxa"/>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黑体" w:cs="Times New Roman"/>
                <w:bCs/>
                <w:color w:val="auto"/>
                <w:sz w:val="24"/>
                <w:szCs w:val="24"/>
                <w:highlight w:val="none"/>
                <w:vertAlign w:val="baseline"/>
                <w:lang w:eastAsia="zh-CN"/>
              </w:rPr>
            </w:pPr>
            <w:r>
              <w:rPr>
                <w:rFonts w:hint="default" w:ascii="Times New Roman" w:hAnsi="Times New Roman" w:eastAsia="黑体" w:cs="Times New Roman"/>
                <w:bCs/>
                <w:color w:val="auto"/>
                <w:sz w:val="24"/>
                <w:szCs w:val="24"/>
                <w:highlight w:val="none"/>
                <w:vertAlign w:val="baseline"/>
                <w:lang w:eastAsia="zh-CN"/>
              </w:rPr>
              <w:t>职务</w:t>
            </w:r>
          </w:p>
        </w:tc>
        <w:tc>
          <w:tcPr>
            <w:tcW w:w="1358" w:type="dxa"/>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黑体" w:cs="Times New Roman"/>
                <w:bCs/>
                <w:color w:val="auto"/>
                <w:sz w:val="24"/>
                <w:szCs w:val="24"/>
                <w:highlight w:val="none"/>
                <w:vertAlign w:val="baseline"/>
                <w:lang w:eastAsia="zh-CN"/>
              </w:rPr>
            </w:pPr>
            <w:r>
              <w:rPr>
                <w:rFonts w:hint="default" w:ascii="Times New Roman" w:hAnsi="Times New Roman" w:eastAsia="黑体" w:cs="Times New Roman"/>
                <w:bCs/>
                <w:color w:val="auto"/>
                <w:sz w:val="24"/>
                <w:szCs w:val="24"/>
                <w:highlight w:val="none"/>
                <w:vertAlign w:val="baseline"/>
                <w:lang w:eastAsia="zh-CN"/>
              </w:rPr>
              <w:t>是否在职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8" w:hRule="exact"/>
        </w:trPr>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kern w:val="0"/>
                <w:szCs w:val="21"/>
                <w:highlight w:val="none"/>
                <w:lang w:eastAsia="zh-CN"/>
              </w:rPr>
              <w:t>张毅</w:t>
            </w:r>
          </w:p>
        </w:tc>
        <w:tc>
          <w:tcPr>
            <w:tcW w:w="431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highlight w:val="none"/>
                <w:lang w:val="zh-CN"/>
              </w:rPr>
              <w:t>江苏紫金农村商业银行股份有限公司</w:t>
            </w:r>
          </w:p>
        </w:tc>
        <w:tc>
          <w:tcPr>
            <w:tcW w:w="235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董事会办公室总经理</w:t>
            </w:r>
          </w:p>
        </w:tc>
        <w:tc>
          <w:tcPr>
            <w:tcW w:w="13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在任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孔德威</w:t>
            </w:r>
          </w:p>
        </w:tc>
        <w:tc>
          <w:tcPr>
            <w:tcW w:w="431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highlight w:val="none"/>
                <w:lang w:val="zh-CN"/>
              </w:rPr>
              <w:t>南京金腾橡塑有限公司</w:t>
            </w:r>
          </w:p>
        </w:tc>
        <w:tc>
          <w:tcPr>
            <w:tcW w:w="235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highlight w:val="none"/>
                <w:lang w:val="zh-CN"/>
              </w:rPr>
              <w:t>董事长兼总经理</w:t>
            </w:r>
          </w:p>
        </w:tc>
        <w:tc>
          <w:tcPr>
            <w:tcW w:w="13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spacing w:val="0"/>
                <w:kern w:val="2"/>
                <w:sz w:val="21"/>
                <w:szCs w:val="21"/>
                <w:highlight w:val="none"/>
                <w:lang w:val="en-US" w:eastAsia="zh-CN" w:bidi="ar-SA"/>
              </w:rPr>
              <w:t>在任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危义忠</w:t>
            </w:r>
          </w:p>
        </w:tc>
        <w:tc>
          <w:tcPr>
            <w:tcW w:w="431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highlight w:val="none"/>
                <w:lang w:val="zh-CN"/>
              </w:rPr>
              <w:t>南京炼油厂有限责任公司</w:t>
            </w:r>
          </w:p>
        </w:tc>
        <w:tc>
          <w:tcPr>
            <w:tcW w:w="235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highlight w:val="none"/>
              </w:rPr>
              <w:t>党委书记、董事长</w:t>
            </w:r>
          </w:p>
        </w:tc>
        <w:tc>
          <w:tcPr>
            <w:tcW w:w="13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spacing w:val="0"/>
                <w:kern w:val="2"/>
                <w:sz w:val="21"/>
                <w:szCs w:val="21"/>
                <w:highlight w:val="none"/>
                <w:lang w:val="en-US" w:eastAsia="zh-CN" w:bidi="ar-SA"/>
              </w:rPr>
              <w:t>在任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鲁振国</w:t>
            </w:r>
          </w:p>
        </w:tc>
        <w:tc>
          <w:tcPr>
            <w:tcW w:w="431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highlight w:val="none"/>
              </w:rPr>
              <w:t>南京长江发展股份有限公司</w:t>
            </w:r>
          </w:p>
        </w:tc>
        <w:tc>
          <w:tcPr>
            <w:tcW w:w="235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highlight w:val="none"/>
                <w:lang w:val="zh-CN"/>
              </w:rPr>
              <w:t>投资发展部总经理</w:t>
            </w:r>
          </w:p>
        </w:tc>
        <w:tc>
          <w:tcPr>
            <w:tcW w:w="13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spacing w:val="0"/>
                <w:kern w:val="2"/>
                <w:sz w:val="21"/>
                <w:szCs w:val="21"/>
                <w:highlight w:val="none"/>
                <w:lang w:val="en-US" w:eastAsia="zh-CN" w:bidi="ar-SA"/>
              </w:rPr>
              <w:t>在任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张菊娣</w:t>
            </w:r>
          </w:p>
        </w:tc>
        <w:tc>
          <w:tcPr>
            <w:tcW w:w="431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highlight w:val="none"/>
              </w:rPr>
              <w:t>常州乔尔塑料有限公司</w:t>
            </w:r>
          </w:p>
        </w:tc>
        <w:tc>
          <w:tcPr>
            <w:tcW w:w="235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highlight w:val="none"/>
                <w:lang w:val="zh-CN"/>
              </w:rPr>
              <w:t>财务总监</w:t>
            </w:r>
          </w:p>
        </w:tc>
        <w:tc>
          <w:tcPr>
            <w:tcW w:w="13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spacing w:val="0"/>
                <w:kern w:val="2"/>
                <w:sz w:val="21"/>
                <w:szCs w:val="21"/>
                <w:highlight w:val="none"/>
                <w:lang w:val="en-US" w:eastAsia="zh-CN" w:bidi="ar-SA"/>
              </w:rPr>
              <w:t>在任</w:t>
            </w:r>
          </w:p>
        </w:tc>
      </w:tr>
    </w:tbl>
    <w:p>
      <w:pPr>
        <w:keepNext w:val="0"/>
        <w:keepLines w:val="0"/>
        <w:pageBreakBefore w:val="0"/>
        <w:widowControl/>
        <w:kinsoku/>
        <w:wordWrap/>
        <w:overflowPunct/>
        <w:topLinePunct w:val="0"/>
        <w:autoSpaceDE/>
        <w:autoSpaceDN/>
        <w:bidi w:val="0"/>
        <w:adjustRightInd/>
        <w:snapToGrid/>
        <w:spacing w:line="480" w:lineRule="exact"/>
        <w:ind w:right="0" w:firstLine="604" w:firstLineChars="200"/>
        <w:jc w:val="both"/>
        <w:textAlignment w:val="auto"/>
        <w:outlineLvl w:val="9"/>
        <w:rPr>
          <w:rFonts w:hint="default" w:ascii="Times New Roman" w:hAnsi="Times New Roman" w:eastAsia="仿宋_GB2312" w:cs="Times New Roman"/>
          <w:b/>
          <w:bCs/>
          <w:color w:val="auto"/>
          <w:spacing w:val="0"/>
          <w:kern w:val="2"/>
          <w:sz w:val="28"/>
          <w:szCs w:val="28"/>
          <w:highlight w:val="none"/>
          <w:lang w:val="en-US" w:eastAsia="zh-CN" w:bidi="ar-SA"/>
        </w:rPr>
      </w:pPr>
      <w:r>
        <w:rPr>
          <w:rFonts w:hint="default" w:ascii="Times New Roman" w:hAnsi="Times New Roman" w:eastAsia="仿宋_GB2312" w:cs="Times New Roman"/>
          <w:b/>
          <w:bCs/>
          <w:color w:val="auto"/>
          <w:spacing w:val="0"/>
          <w:kern w:val="2"/>
          <w:sz w:val="28"/>
          <w:szCs w:val="28"/>
          <w:highlight w:val="none"/>
          <w:lang w:val="en-US" w:eastAsia="zh-CN" w:bidi="ar-SA"/>
        </w:rPr>
        <w:t>2.在其他单位任职情况</w:t>
      </w:r>
    </w:p>
    <w:tbl>
      <w:tblPr>
        <w:tblStyle w:val="25"/>
        <w:tblW w:w="9840" w:type="dxa"/>
        <w:tblInd w:w="-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5"/>
        <w:gridCol w:w="4268"/>
        <w:gridCol w:w="2366"/>
        <w:gridCol w:w="1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trPr>
        <w:tc>
          <w:tcPr>
            <w:tcW w:w="1815" w:type="dxa"/>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黑体" w:cs="Times New Roman"/>
                <w:bCs/>
                <w:color w:val="auto"/>
                <w:sz w:val="24"/>
                <w:szCs w:val="24"/>
                <w:highlight w:val="none"/>
                <w:vertAlign w:val="baseline"/>
                <w:lang w:eastAsia="zh-CN"/>
              </w:rPr>
            </w:pPr>
            <w:r>
              <w:rPr>
                <w:rFonts w:hint="default" w:ascii="Times New Roman" w:hAnsi="Times New Roman" w:eastAsia="黑体" w:cs="Times New Roman"/>
                <w:bCs/>
                <w:color w:val="auto"/>
                <w:sz w:val="24"/>
                <w:szCs w:val="24"/>
                <w:highlight w:val="none"/>
                <w:vertAlign w:val="baseline"/>
                <w:lang w:eastAsia="zh-CN"/>
              </w:rPr>
              <w:t>任职人员姓名</w:t>
            </w:r>
          </w:p>
        </w:tc>
        <w:tc>
          <w:tcPr>
            <w:tcW w:w="4268" w:type="dxa"/>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黑体" w:cs="Times New Roman"/>
                <w:bCs/>
                <w:color w:val="auto"/>
                <w:sz w:val="24"/>
                <w:szCs w:val="24"/>
                <w:highlight w:val="none"/>
                <w:vertAlign w:val="baseline"/>
                <w:lang w:eastAsia="zh-CN"/>
              </w:rPr>
            </w:pPr>
            <w:r>
              <w:rPr>
                <w:rFonts w:hint="default" w:ascii="Times New Roman" w:hAnsi="Times New Roman" w:eastAsia="黑体" w:cs="Times New Roman"/>
                <w:bCs/>
                <w:color w:val="auto"/>
                <w:sz w:val="24"/>
                <w:szCs w:val="24"/>
                <w:highlight w:val="none"/>
                <w:vertAlign w:val="baseline"/>
                <w:lang w:eastAsia="zh-CN"/>
              </w:rPr>
              <w:t>截至报告期末任职单位名称</w:t>
            </w:r>
          </w:p>
        </w:tc>
        <w:tc>
          <w:tcPr>
            <w:tcW w:w="2366" w:type="dxa"/>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黑体" w:cs="Times New Roman"/>
                <w:bCs/>
                <w:color w:val="auto"/>
                <w:sz w:val="24"/>
                <w:szCs w:val="24"/>
                <w:highlight w:val="none"/>
                <w:vertAlign w:val="baseline"/>
                <w:lang w:eastAsia="zh-CN"/>
              </w:rPr>
            </w:pPr>
            <w:r>
              <w:rPr>
                <w:rFonts w:hint="default" w:ascii="Times New Roman" w:hAnsi="Times New Roman" w:eastAsia="黑体" w:cs="Times New Roman"/>
                <w:bCs/>
                <w:color w:val="auto"/>
                <w:sz w:val="24"/>
                <w:szCs w:val="24"/>
                <w:highlight w:val="none"/>
                <w:vertAlign w:val="baseline"/>
                <w:lang w:eastAsia="zh-CN"/>
              </w:rPr>
              <w:t>在其他单位职务</w:t>
            </w:r>
          </w:p>
        </w:tc>
        <w:tc>
          <w:tcPr>
            <w:tcW w:w="1391" w:type="dxa"/>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黑体" w:cs="Times New Roman"/>
                <w:bCs/>
                <w:color w:val="auto"/>
                <w:sz w:val="24"/>
                <w:szCs w:val="24"/>
                <w:highlight w:val="none"/>
                <w:vertAlign w:val="baseline"/>
                <w:lang w:eastAsia="zh-CN"/>
              </w:rPr>
            </w:pPr>
            <w:r>
              <w:rPr>
                <w:rFonts w:hint="default" w:ascii="Times New Roman" w:hAnsi="Times New Roman" w:eastAsia="黑体" w:cs="Times New Roman"/>
                <w:bCs/>
                <w:color w:val="auto"/>
                <w:sz w:val="24"/>
                <w:szCs w:val="24"/>
                <w:highlight w:val="none"/>
                <w:vertAlign w:val="baseline"/>
                <w:lang w:eastAsia="zh-CN"/>
              </w:rPr>
              <w:t>是否在职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 w:hRule="atLeast"/>
        </w:trPr>
        <w:tc>
          <w:tcPr>
            <w:tcW w:w="1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周宏</w:t>
            </w:r>
          </w:p>
        </w:tc>
        <w:tc>
          <w:tcPr>
            <w:tcW w:w="42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南京农业大学经济管理学院</w:t>
            </w:r>
          </w:p>
        </w:tc>
        <w:tc>
          <w:tcPr>
            <w:tcW w:w="23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教授</w:t>
            </w:r>
          </w:p>
        </w:tc>
        <w:tc>
          <w:tcPr>
            <w:tcW w:w="139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在任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 w:hRule="atLeast"/>
        </w:trPr>
        <w:tc>
          <w:tcPr>
            <w:tcW w:w="1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陈泉</w:t>
            </w:r>
          </w:p>
        </w:tc>
        <w:tc>
          <w:tcPr>
            <w:tcW w:w="42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highlight w:val="none"/>
              </w:rPr>
              <w:t>江苏国德会计师事务所有限公司</w:t>
            </w:r>
          </w:p>
        </w:tc>
        <w:tc>
          <w:tcPr>
            <w:tcW w:w="23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副所长</w:t>
            </w:r>
          </w:p>
        </w:tc>
        <w:tc>
          <w:tcPr>
            <w:tcW w:w="139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在任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 w:hRule="atLeast"/>
        </w:trPr>
        <w:tc>
          <w:tcPr>
            <w:tcW w:w="18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庄尚文</w:t>
            </w:r>
          </w:p>
        </w:tc>
        <w:tc>
          <w:tcPr>
            <w:tcW w:w="42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highlight w:val="none"/>
                <w:lang w:val="zh-CN"/>
              </w:rPr>
              <w:t>南京审计大学经济学院</w:t>
            </w:r>
          </w:p>
        </w:tc>
        <w:tc>
          <w:tcPr>
            <w:tcW w:w="23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highlight w:val="none"/>
                <w:lang w:eastAsia="zh-CN"/>
              </w:rPr>
              <w:t>副院长</w:t>
            </w:r>
          </w:p>
        </w:tc>
        <w:tc>
          <w:tcPr>
            <w:tcW w:w="139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pacing w:val="0"/>
                <w:kern w:val="2"/>
                <w:sz w:val="21"/>
                <w:szCs w:val="21"/>
                <w:highlight w:val="none"/>
                <w:lang w:val="en-US" w:eastAsia="zh-CN" w:bidi="ar-SA"/>
              </w:rPr>
              <w:t>在任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 w:hRule="atLeast"/>
        </w:trPr>
        <w:tc>
          <w:tcPr>
            <w:tcW w:w="1815" w:type="dxa"/>
            <w:vMerge w:val="restart"/>
            <w:tcBorders>
              <w:top w:val="single" w:color="auto" w:sz="4" w:space="0"/>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高波</w:t>
            </w:r>
          </w:p>
        </w:tc>
        <w:tc>
          <w:tcPr>
            <w:tcW w:w="42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zh-CN" w:eastAsia="zh-CN" w:bidi="ar-SA"/>
              </w:rPr>
            </w:pPr>
            <w:r>
              <w:rPr>
                <w:rFonts w:hint="default" w:ascii="Times New Roman" w:hAnsi="Times New Roman" w:eastAsia="仿宋_GB2312" w:cs="Times New Roman"/>
                <w:color w:val="auto"/>
                <w:highlight w:val="none"/>
                <w:lang w:val="zh-CN"/>
              </w:rPr>
              <w:t>南京大学商学院</w:t>
            </w:r>
          </w:p>
        </w:tc>
        <w:tc>
          <w:tcPr>
            <w:tcW w:w="23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highlight w:val="none"/>
              </w:rPr>
              <w:t>教授</w:t>
            </w:r>
          </w:p>
        </w:tc>
        <w:tc>
          <w:tcPr>
            <w:tcW w:w="1391" w:type="dxa"/>
            <w:vMerge w:val="restart"/>
            <w:tcBorders>
              <w:top w:val="single" w:color="auto" w:sz="4" w:space="0"/>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在任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 w:hRule="atLeast"/>
        </w:trPr>
        <w:tc>
          <w:tcPr>
            <w:tcW w:w="1815" w:type="dxa"/>
            <w:vMerge w:val="continue"/>
            <w:tcBorders>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42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kern w:val="2"/>
                <w:sz w:val="21"/>
                <w:szCs w:val="22"/>
                <w:highlight w:val="none"/>
                <w:lang w:val="zh-CN" w:eastAsia="zh-CN" w:bidi="ar-SA"/>
              </w:rPr>
            </w:pPr>
            <w:r>
              <w:rPr>
                <w:rFonts w:hint="default" w:ascii="Times New Roman" w:hAnsi="Times New Roman" w:eastAsia="仿宋_GB2312" w:cs="Times New Roman"/>
                <w:color w:val="auto"/>
                <w:highlight w:val="none"/>
                <w:lang w:val="zh-CN"/>
              </w:rPr>
              <w:t>兴化农商银行</w:t>
            </w:r>
          </w:p>
        </w:tc>
        <w:tc>
          <w:tcPr>
            <w:tcW w:w="23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kern w:val="2"/>
                <w:sz w:val="21"/>
                <w:szCs w:val="22"/>
                <w:highlight w:val="none"/>
                <w:lang w:val="en-US" w:eastAsia="zh-CN" w:bidi="ar-SA"/>
              </w:rPr>
            </w:pPr>
            <w:r>
              <w:rPr>
                <w:rFonts w:hint="default" w:ascii="Times New Roman" w:hAnsi="Times New Roman" w:eastAsia="仿宋_GB2312" w:cs="Times New Roman"/>
                <w:color w:val="auto"/>
                <w:highlight w:val="none"/>
                <w:lang w:eastAsia="zh-CN"/>
              </w:rPr>
              <w:t>独立董事</w:t>
            </w:r>
          </w:p>
        </w:tc>
        <w:tc>
          <w:tcPr>
            <w:tcW w:w="1391" w:type="dxa"/>
            <w:vMerge w:val="continue"/>
            <w:tcBorders>
              <w:left w:val="single" w:color="auto" w:sz="4" w:space="0"/>
              <w:bottom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 w:hRule="atLeast"/>
        </w:trPr>
        <w:tc>
          <w:tcPr>
            <w:tcW w:w="1815" w:type="dxa"/>
            <w:tcBorders>
              <w:top w:val="single" w:color="auto" w:sz="4" w:space="0"/>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应瑞瑶</w:t>
            </w:r>
          </w:p>
        </w:tc>
        <w:tc>
          <w:tcPr>
            <w:tcW w:w="42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南京农业大学经济管理学院</w:t>
            </w:r>
          </w:p>
        </w:tc>
        <w:tc>
          <w:tcPr>
            <w:tcW w:w="23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highlight w:val="none"/>
              </w:rPr>
              <w:t>教授</w:t>
            </w:r>
          </w:p>
        </w:tc>
        <w:tc>
          <w:tcPr>
            <w:tcW w:w="1391" w:type="dxa"/>
            <w:tcBorders>
              <w:top w:val="single" w:color="auto" w:sz="4" w:space="0"/>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pacing w:val="0"/>
                <w:kern w:val="2"/>
                <w:sz w:val="21"/>
                <w:szCs w:val="21"/>
                <w:highlight w:val="none"/>
                <w:lang w:val="en-US" w:eastAsia="zh-CN" w:bidi="ar-SA"/>
              </w:rPr>
              <w:t>在任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 w:hRule="atLeast"/>
        </w:trPr>
        <w:tc>
          <w:tcPr>
            <w:tcW w:w="1815" w:type="dxa"/>
            <w:vMerge w:val="restart"/>
            <w:tcBorders>
              <w:top w:val="single" w:color="auto" w:sz="4" w:space="0"/>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孔德威</w:t>
            </w:r>
          </w:p>
        </w:tc>
        <w:tc>
          <w:tcPr>
            <w:tcW w:w="42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南京金腾橡塑贸易有限公司</w:t>
            </w:r>
          </w:p>
        </w:tc>
        <w:tc>
          <w:tcPr>
            <w:tcW w:w="23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法定代表人、执行董事、总经理</w:t>
            </w:r>
          </w:p>
        </w:tc>
        <w:tc>
          <w:tcPr>
            <w:tcW w:w="1391" w:type="dxa"/>
            <w:vMerge w:val="restart"/>
            <w:tcBorders>
              <w:top w:val="single" w:color="auto" w:sz="4" w:space="0"/>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在任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 w:hRule="atLeast"/>
        </w:trPr>
        <w:tc>
          <w:tcPr>
            <w:tcW w:w="1815"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42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南京市高淳橡塑二厂</w:t>
            </w:r>
          </w:p>
        </w:tc>
        <w:tc>
          <w:tcPr>
            <w:tcW w:w="23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法定代表人</w:t>
            </w:r>
          </w:p>
        </w:tc>
        <w:tc>
          <w:tcPr>
            <w:tcW w:w="1391" w:type="dxa"/>
            <w:vMerge w:val="continue"/>
            <w:tcBorders>
              <w:left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 w:hRule="atLeast"/>
        </w:trPr>
        <w:tc>
          <w:tcPr>
            <w:tcW w:w="1815" w:type="dxa"/>
            <w:vMerge w:val="continue"/>
            <w:tcBorders>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42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南京金腾橡塑有限公司废胶塑收购站</w:t>
            </w:r>
          </w:p>
        </w:tc>
        <w:tc>
          <w:tcPr>
            <w:tcW w:w="23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法定代表人</w:t>
            </w:r>
          </w:p>
        </w:tc>
        <w:tc>
          <w:tcPr>
            <w:tcW w:w="1391" w:type="dxa"/>
            <w:vMerge w:val="continue"/>
            <w:tcBorders>
              <w:left w:val="single" w:color="auto" w:sz="4" w:space="0"/>
              <w:bottom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 w:hRule="atLeast"/>
        </w:trPr>
        <w:tc>
          <w:tcPr>
            <w:tcW w:w="1815" w:type="dxa"/>
            <w:vMerge w:val="restart"/>
            <w:tcBorders>
              <w:top w:val="single" w:color="auto" w:sz="4" w:space="0"/>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危义忠</w:t>
            </w:r>
          </w:p>
        </w:tc>
        <w:tc>
          <w:tcPr>
            <w:tcW w:w="42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南京市栖霞区红叶农村小额贷款有限公司</w:t>
            </w:r>
          </w:p>
        </w:tc>
        <w:tc>
          <w:tcPr>
            <w:tcW w:w="23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法定代表人、</w:t>
            </w:r>
          </w:p>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董事长</w:t>
            </w:r>
          </w:p>
        </w:tc>
        <w:tc>
          <w:tcPr>
            <w:tcW w:w="1391" w:type="dxa"/>
            <w:vMerge w:val="restart"/>
            <w:tcBorders>
              <w:top w:val="single" w:color="auto" w:sz="4" w:space="0"/>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在任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 w:hRule="atLeast"/>
        </w:trPr>
        <w:tc>
          <w:tcPr>
            <w:tcW w:w="1815"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42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湖北南炼新材料有限公司</w:t>
            </w:r>
          </w:p>
        </w:tc>
        <w:tc>
          <w:tcPr>
            <w:tcW w:w="23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法定代表人、执行董事</w:t>
            </w:r>
          </w:p>
        </w:tc>
        <w:tc>
          <w:tcPr>
            <w:tcW w:w="1391" w:type="dxa"/>
            <w:vMerge w:val="continue"/>
            <w:tcBorders>
              <w:left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 w:hRule="atLeast"/>
        </w:trPr>
        <w:tc>
          <w:tcPr>
            <w:tcW w:w="1815"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42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南京固城水岸酒店管理有限公司</w:t>
            </w:r>
          </w:p>
        </w:tc>
        <w:tc>
          <w:tcPr>
            <w:tcW w:w="23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董事长</w:t>
            </w:r>
          </w:p>
        </w:tc>
        <w:tc>
          <w:tcPr>
            <w:tcW w:w="1391" w:type="dxa"/>
            <w:vMerge w:val="continue"/>
            <w:tcBorders>
              <w:left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 w:hRule="atLeast"/>
        </w:trPr>
        <w:tc>
          <w:tcPr>
            <w:tcW w:w="1815"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42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南京红叶石化有限公司</w:t>
            </w:r>
          </w:p>
        </w:tc>
        <w:tc>
          <w:tcPr>
            <w:tcW w:w="23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总经理</w:t>
            </w:r>
          </w:p>
        </w:tc>
        <w:tc>
          <w:tcPr>
            <w:tcW w:w="1391" w:type="dxa"/>
            <w:vMerge w:val="continue"/>
            <w:tcBorders>
              <w:left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 w:hRule="atLeast"/>
        </w:trPr>
        <w:tc>
          <w:tcPr>
            <w:tcW w:w="1815"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42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江苏炼兴新材料股份有限公司</w:t>
            </w:r>
          </w:p>
        </w:tc>
        <w:tc>
          <w:tcPr>
            <w:tcW w:w="23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董事</w:t>
            </w:r>
          </w:p>
        </w:tc>
        <w:tc>
          <w:tcPr>
            <w:tcW w:w="1391" w:type="dxa"/>
            <w:vMerge w:val="continue"/>
            <w:tcBorders>
              <w:left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 w:hRule="atLeast"/>
        </w:trPr>
        <w:tc>
          <w:tcPr>
            <w:tcW w:w="1815"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42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江苏星亚迪环境科技有限公司</w:t>
            </w:r>
          </w:p>
        </w:tc>
        <w:tc>
          <w:tcPr>
            <w:tcW w:w="23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董事</w:t>
            </w:r>
          </w:p>
        </w:tc>
        <w:tc>
          <w:tcPr>
            <w:tcW w:w="1391" w:type="dxa"/>
            <w:vMerge w:val="continue"/>
            <w:tcBorders>
              <w:left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 w:hRule="atLeast"/>
        </w:trPr>
        <w:tc>
          <w:tcPr>
            <w:tcW w:w="1815"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42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南京南炼八卦洲物流有限公司</w:t>
            </w:r>
          </w:p>
        </w:tc>
        <w:tc>
          <w:tcPr>
            <w:tcW w:w="23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董事</w:t>
            </w:r>
          </w:p>
        </w:tc>
        <w:tc>
          <w:tcPr>
            <w:tcW w:w="1391" w:type="dxa"/>
            <w:vMerge w:val="continue"/>
            <w:tcBorders>
              <w:left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 w:hRule="atLeast"/>
        </w:trPr>
        <w:tc>
          <w:tcPr>
            <w:tcW w:w="1815" w:type="dxa"/>
            <w:vMerge w:val="continue"/>
            <w:tcBorders>
              <w:left w:val="single" w:color="auto" w:sz="4" w:space="0"/>
              <w:right w:val="single" w:color="auto" w:sz="4" w:space="0"/>
            </w:tcBorders>
            <w:vAlign w:val="center"/>
          </w:tcPr>
          <w:p>
            <w:pPr>
              <w:rPr>
                <w:rFonts w:hint="default" w:ascii="Times New Roman" w:hAnsi="Times New Roman" w:cs="Times New Roman"/>
              </w:rPr>
            </w:pPr>
          </w:p>
        </w:tc>
        <w:tc>
          <w:tcPr>
            <w:tcW w:w="42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南京林德南炼工业气体有限公司</w:t>
            </w:r>
          </w:p>
        </w:tc>
        <w:tc>
          <w:tcPr>
            <w:tcW w:w="23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副董事长</w:t>
            </w:r>
          </w:p>
        </w:tc>
        <w:tc>
          <w:tcPr>
            <w:tcW w:w="1391" w:type="dxa"/>
            <w:vMerge w:val="continue"/>
            <w:tcBorders>
              <w:left w:val="single" w:color="auto" w:sz="4" w:space="0"/>
              <w:bottom w:val="single" w:color="auto" w:sz="4" w:space="0"/>
              <w:right w:val="single" w:color="auto" w:sz="4" w:space="0"/>
            </w:tcBorders>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 w:hRule="atLeast"/>
        </w:trPr>
        <w:tc>
          <w:tcPr>
            <w:tcW w:w="1815" w:type="dxa"/>
            <w:vMerge w:val="restart"/>
            <w:tcBorders>
              <w:top w:val="single" w:color="auto" w:sz="4" w:space="0"/>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张菊娣</w:t>
            </w:r>
          </w:p>
        </w:tc>
        <w:tc>
          <w:tcPr>
            <w:tcW w:w="42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江苏如意高科新能源有限公司</w:t>
            </w:r>
          </w:p>
        </w:tc>
        <w:tc>
          <w:tcPr>
            <w:tcW w:w="23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副董事长</w:t>
            </w:r>
          </w:p>
        </w:tc>
        <w:tc>
          <w:tcPr>
            <w:tcW w:w="1391" w:type="dxa"/>
            <w:vMerge w:val="restart"/>
            <w:tcBorders>
              <w:top w:val="single" w:color="auto" w:sz="4" w:space="0"/>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在任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 w:hRule="atLeast"/>
        </w:trPr>
        <w:tc>
          <w:tcPr>
            <w:tcW w:w="1815" w:type="dxa"/>
            <w:vMerge w:val="continue"/>
            <w:tcBorders>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42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乔晖科技（上海）有限责任公司</w:t>
            </w:r>
          </w:p>
        </w:tc>
        <w:tc>
          <w:tcPr>
            <w:tcW w:w="23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jc w:val="center"/>
              <w:textAlignment w:val="auto"/>
              <w:outlineLvl w:val="9"/>
              <w:rPr>
                <w:rFonts w:hint="default" w:ascii="Times New Roman" w:hAnsi="Times New Roman" w:eastAsia="仿宋_GB2312" w:cs="Times New Roman"/>
                <w:color w:val="auto"/>
                <w:spacing w:val="0"/>
                <w:kern w:val="2"/>
                <w:sz w:val="21"/>
                <w:szCs w:val="21"/>
                <w:highlight w:val="none"/>
                <w:lang w:val="en-US" w:eastAsia="zh-CN" w:bidi="ar-SA"/>
              </w:rPr>
            </w:pPr>
            <w:r>
              <w:rPr>
                <w:rFonts w:hint="default" w:ascii="Times New Roman" w:hAnsi="Times New Roman" w:eastAsia="仿宋_GB2312" w:cs="Times New Roman"/>
                <w:color w:val="auto"/>
                <w:spacing w:val="0"/>
                <w:kern w:val="2"/>
                <w:sz w:val="21"/>
                <w:szCs w:val="21"/>
                <w:highlight w:val="none"/>
                <w:lang w:val="en-US" w:eastAsia="zh-CN" w:bidi="ar-SA"/>
              </w:rPr>
              <w:t>董事</w:t>
            </w:r>
          </w:p>
        </w:tc>
        <w:tc>
          <w:tcPr>
            <w:tcW w:w="1391" w:type="dxa"/>
            <w:vMerge w:val="continue"/>
            <w:tcBorders>
              <w:left w:val="single" w:color="auto" w:sz="4" w:space="0"/>
              <w:bottom w:val="single" w:color="auto" w:sz="4" w:space="0"/>
              <w:right w:val="single" w:color="auto" w:sz="4" w:space="0"/>
            </w:tcBorders>
            <w:vAlign w:val="center"/>
          </w:tcPr>
          <w:p>
            <w:pPr>
              <w:rPr>
                <w:rFonts w:hint="default" w:ascii="Times New Roman" w:hAnsi="Times New Roman" w:cs="Times New Roman"/>
              </w:rPr>
            </w:pPr>
          </w:p>
        </w:tc>
      </w:tr>
    </w:tbl>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黑体" w:cs="Times New Roman"/>
          <w:bCs/>
          <w:color w:val="auto"/>
          <w:sz w:val="28"/>
          <w:szCs w:val="28"/>
          <w:highlight w:val="none"/>
          <w:lang w:val="en-US" w:eastAsia="zh-CN"/>
        </w:rPr>
      </w:pPr>
      <w:r>
        <w:rPr>
          <w:rFonts w:hint="default" w:ascii="Times New Roman" w:hAnsi="Times New Roman" w:eastAsia="黑体" w:cs="Times New Roman"/>
          <w:bCs/>
          <w:color w:val="auto"/>
          <w:sz w:val="28"/>
          <w:szCs w:val="28"/>
          <w:highlight w:val="none"/>
        </w:rPr>
        <w:t>二、员工情况</w:t>
      </w:r>
    </w:p>
    <w:p>
      <w:pPr>
        <w:keepNext w:val="0"/>
        <w:keepLines w:val="0"/>
        <w:pageBreakBefore w:val="0"/>
        <w:widowControl w:val="0"/>
        <w:kinsoku/>
        <w:wordWrap/>
        <w:overflowPunct/>
        <w:topLinePunct w:val="0"/>
        <w:autoSpaceDE w:val="0"/>
        <w:autoSpaceDN w:val="0"/>
        <w:bidi w:val="0"/>
        <w:adjustRightInd w:val="0"/>
        <w:snapToGrid/>
        <w:spacing w:line="480" w:lineRule="exact"/>
        <w:ind w:firstLine="604" w:firstLineChars="200"/>
        <w:textAlignment w:val="auto"/>
        <w:rPr>
          <w:rFonts w:hint="default" w:ascii="Times New Roman" w:hAnsi="Times New Roman" w:eastAsia="仿宋_GB2312" w:cs="Times New Roman"/>
          <w:b/>
          <w:color w:val="auto"/>
          <w:sz w:val="28"/>
          <w:szCs w:val="28"/>
          <w:highlight w:val="none"/>
        </w:rPr>
      </w:pPr>
      <w:r>
        <w:rPr>
          <w:rFonts w:hint="default" w:ascii="Times New Roman" w:hAnsi="Times New Roman" w:eastAsia="仿宋_GB2312" w:cs="Times New Roman"/>
          <w:b/>
          <w:color w:val="auto"/>
          <w:sz w:val="28"/>
          <w:szCs w:val="28"/>
          <w:highlight w:val="none"/>
        </w:rPr>
        <w:t>（一）在职员工（公司及控股子公司）基本情况</w:t>
      </w:r>
    </w:p>
    <w:tbl>
      <w:tblPr>
        <w:tblStyle w:val="25"/>
        <w:tblW w:w="9360" w:type="dxa"/>
        <w:tblInd w:w="-2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2"/>
        <w:gridCol w:w="2841"/>
        <w:gridCol w:w="34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2" w:type="dxa"/>
            <w:vAlign w:val="center"/>
          </w:tcPr>
          <w:p>
            <w:pPr>
              <w:widowControl w:val="0"/>
              <w:shd w:val="clear" w:color="auto" w:fill="auto"/>
              <w:spacing w:before="0" w:line="240" w:lineRule="auto"/>
              <w:jc w:val="center"/>
              <w:rPr>
                <w:rFonts w:hint="default" w:ascii="Times New Roman" w:hAnsi="Times New Roman" w:eastAsia="黑体" w:cs="Times New Roman"/>
                <w:bCs/>
                <w:color w:val="auto"/>
                <w:spacing w:val="0"/>
                <w:kern w:val="2"/>
                <w:sz w:val="24"/>
                <w:szCs w:val="24"/>
                <w:highlight w:val="none"/>
                <w:lang w:val="en-US" w:eastAsia="zh-CN" w:bidi="ar-SA"/>
              </w:rPr>
            </w:pPr>
            <w:r>
              <w:rPr>
                <w:rFonts w:hint="default" w:ascii="Times New Roman" w:hAnsi="Times New Roman" w:eastAsia="黑体" w:cs="Times New Roman"/>
                <w:bCs/>
                <w:color w:val="auto"/>
                <w:spacing w:val="0"/>
                <w:w w:val="100"/>
                <w:kern w:val="2"/>
                <w:position w:val="0"/>
                <w:sz w:val="24"/>
                <w:szCs w:val="24"/>
                <w:highlight w:val="none"/>
                <w:u w:val="none"/>
                <w:lang w:val="zh-CN" w:eastAsia="zh-CN" w:bidi="ar-SA"/>
              </w:rPr>
              <w:t>按工作性质分类</w:t>
            </w:r>
          </w:p>
        </w:tc>
        <w:tc>
          <w:tcPr>
            <w:tcW w:w="2841" w:type="dxa"/>
            <w:vAlign w:val="center"/>
          </w:tcPr>
          <w:p>
            <w:pPr>
              <w:widowControl w:val="0"/>
              <w:shd w:val="clear" w:color="auto" w:fill="auto"/>
              <w:spacing w:before="0" w:line="240" w:lineRule="auto"/>
              <w:jc w:val="center"/>
              <w:rPr>
                <w:rFonts w:hint="default" w:ascii="Times New Roman" w:hAnsi="Times New Roman" w:eastAsia="黑体" w:cs="Times New Roman"/>
                <w:bCs/>
                <w:color w:val="auto"/>
                <w:spacing w:val="0"/>
                <w:kern w:val="2"/>
                <w:sz w:val="24"/>
                <w:szCs w:val="24"/>
                <w:highlight w:val="none"/>
                <w:lang w:val="en-US" w:eastAsia="zh-CN" w:bidi="ar-SA"/>
              </w:rPr>
            </w:pPr>
            <w:r>
              <w:rPr>
                <w:rFonts w:hint="default" w:ascii="Times New Roman" w:hAnsi="Times New Roman" w:eastAsia="黑体" w:cs="Times New Roman"/>
                <w:bCs/>
                <w:color w:val="auto"/>
                <w:spacing w:val="0"/>
                <w:w w:val="100"/>
                <w:kern w:val="2"/>
                <w:position w:val="0"/>
                <w:sz w:val="24"/>
                <w:szCs w:val="24"/>
                <w:highlight w:val="none"/>
                <w:u w:val="none"/>
                <w:lang w:val="zh-CN" w:eastAsia="zh-CN" w:bidi="ar-SA"/>
              </w:rPr>
              <w:t>期初人数</w:t>
            </w:r>
          </w:p>
        </w:tc>
        <w:tc>
          <w:tcPr>
            <w:tcW w:w="3427" w:type="dxa"/>
            <w:vAlign w:val="center"/>
          </w:tcPr>
          <w:p>
            <w:pPr>
              <w:widowControl w:val="0"/>
              <w:shd w:val="clear" w:color="auto" w:fill="auto"/>
              <w:spacing w:before="0" w:line="240" w:lineRule="auto"/>
              <w:jc w:val="center"/>
              <w:rPr>
                <w:rFonts w:hint="default" w:ascii="Times New Roman" w:hAnsi="Times New Roman" w:eastAsia="黑体" w:cs="Times New Roman"/>
                <w:bCs/>
                <w:color w:val="auto"/>
                <w:spacing w:val="0"/>
                <w:kern w:val="2"/>
                <w:sz w:val="24"/>
                <w:szCs w:val="24"/>
                <w:highlight w:val="none"/>
                <w:lang w:val="en-US" w:eastAsia="zh-CN" w:bidi="ar-SA"/>
              </w:rPr>
            </w:pPr>
            <w:r>
              <w:rPr>
                <w:rFonts w:hint="default" w:ascii="Times New Roman" w:hAnsi="Times New Roman" w:eastAsia="黑体" w:cs="Times New Roman"/>
                <w:bCs/>
                <w:color w:val="auto"/>
                <w:spacing w:val="0"/>
                <w:w w:val="100"/>
                <w:kern w:val="2"/>
                <w:position w:val="0"/>
                <w:sz w:val="24"/>
                <w:szCs w:val="24"/>
                <w:highlight w:val="none"/>
                <w:u w:val="none"/>
                <w:lang w:val="zh-CN" w:eastAsia="zh-CN" w:bidi="ar-SA"/>
              </w:rPr>
              <w:t>期末人数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2"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zh-CN" w:eastAsia="zh-CN" w:bidi="ar-SA"/>
              </w:rPr>
              <w:t>管理类人员</w:t>
            </w:r>
          </w:p>
        </w:tc>
        <w:tc>
          <w:tcPr>
            <w:tcW w:w="2841"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en-US" w:eastAsia="zh-CN" w:bidi="ar-SA"/>
              </w:rPr>
              <w:t>56</w:t>
            </w:r>
          </w:p>
        </w:tc>
        <w:tc>
          <w:tcPr>
            <w:tcW w:w="3427"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en-US" w:eastAsia="zh-CN" w:bidi="ar-SA"/>
              </w:rPr>
              <w:t>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2"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zh-CN" w:eastAsia="zh-CN" w:bidi="ar-SA"/>
              </w:rPr>
              <w:t>专业类人员</w:t>
            </w:r>
          </w:p>
        </w:tc>
        <w:tc>
          <w:tcPr>
            <w:tcW w:w="2841"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en-US" w:eastAsia="zh-CN" w:bidi="ar-SA"/>
              </w:rPr>
              <w:t>207</w:t>
            </w:r>
          </w:p>
        </w:tc>
        <w:tc>
          <w:tcPr>
            <w:tcW w:w="3427"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en-US" w:eastAsia="zh-CN" w:bidi="ar-SA"/>
              </w:rPr>
              <w:t>201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2"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zh-CN" w:eastAsia="zh-CN" w:bidi="ar-SA"/>
              </w:rPr>
              <w:t>操作类人员</w:t>
            </w:r>
          </w:p>
        </w:tc>
        <w:tc>
          <w:tcPr>
            <w:tcW w:w="2841"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en-US" w:eastAsia="zh-CN" w:bidi="ar-SA"/>
              </w:rPr>
              <w:t>113</w:t>
            </w:r>
          </w:p>
        </w:tc>
        <w:tc>
          <w:tcPr>
            <w:tcW w:w="3427"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en-US" w:eastAsia="zh-CN" w:bidi="ar-SA"/>
              </w:rPr>
              <w:t>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3092"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宋体" w:cs="Times New Roman"/>
                <w:b/>
                <w:color w:val="auto"/>
                <w:spacing w:val="0"/>
                <w:kern w:val="2"/>
                <w:sz w:val="22"/>
                <w:szCs w:val="22"/>
                <w:highlight w:val="none"/>
                <w:lang w:val="en-US" w:eastAsia="zh-CN" w:bidi="ar-SA"/>
              </w:rPr>
            </w:pPr>
            <w:r>
              <w:rPr>
                <w:rFonts w:hint="default" w:ascii="Times New Roman" w:hAnsi="Times New Roman" w:eastAsia="黑体" w:cs="Times New Roman"/>
                <w:bCs/>
                <w:color w:val="auto"/>
                <w:spacing w:val="0"/>
                <w:w w:val="100"/>
                <w:kern w:val="2"/>
                <w:position w:val="0"/>
                <w:sz w:val="24"/>
                <w:szCs w:val="24"/>
                <w:highlight w:val="none"/>
                <w:u w:val="none"/>
                <w:lang w:val="zh-CN" w:eastAsia="zh-CN" w:bidi="ar-SA"/>
              </w:rPr>
              <w:t>员工总计</w:t>
            </w:r>
          </w:p>
        </w:tc>
        <w:tc>
          <w:tcPr>
            <w:tcW w:w="2841"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
                <w:color w:val="auto"/>
                <w:spacing w:val="0"/>
                <w:kern w:val="2"/>
                <w:sz w:val="21"/>
                <w:szCs w:val="21"/>
                <w:highlight w:val="none"/>
                <w:lang w:val="en-US" w:eastAsia="zh-CN" w:bidi="ar-SA"/>
              </w:rPr>
            </w:pPr>
            <w:r>
              <w:rPr>
                <w:rFonts w:hint="default" w:ascii="Times New Roman" w:hAnsi="Times New Roman" w:eastAsia="仿宋_GB2312" w:cs="Times New Roman"/>
                <w:b/>
                <w:color w:val="auto"/>
                <w:spacing w:val="0"/>
                <w:w w:val="100"/>
                <w:kern w:val="2"/>
                <w:position w:val="0"/>
                <w:sz w:val="21"/>
                <w:szCs w:val="21"/>
                <w:highlight w:val="none"/>
                <w:u w:val="none"/>
                <w:lang w:val="en-US" w:eastAsia="zh-CN" w:bidi="ar-SA"/>
              </w:rPr>
              <w:t>376</w:t>
            </w:r>
          </w:p>
        </w:tc>
        <w:tc>
          <w:tcPr>
            <w:tcW w:w="3427"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
                <w:color w:val="auto"/>
                <w:spacing w:val="0"/>
                <w:kern w:val="2"/>
                <w:sz w:val="21"/>
                <w:szCs w:val="21"/>
                <w:highlight w:val="none"/>
                <w:lang w:val="en-US" w:eastAsia="zh-CN" w:bidi="ar-SA"/>
              </w:rPr>
            </w:pPr>
            <w:r>
              <w:rPr>
                <w:rFonts w:hint="default" w:ascii="Times New Roman" w:hAnsi="Times New Roman" w:eastAsia="仿宋_GB2312" w:cs="Times New Roman"/>
                <w:b/>
                <w:color w:val="auto"/>
                <w:spacing w:val="0"/>
                <w:w w:val="100"/>
                <w:kern w:val="2"/>
                <w:position w:val="0"/>
                <w:sz w:val="21"/>
                <w:szCs w:val="21"/>
                <w:highlight w:val="none"/>
                <w:u w:val="none"/>
                <w:lang w:val="en-US" w:eastAsia="zh-CN" w:bidi="ar-SA"/>
              </w:rPr>
              <w:t>370</w:t>
            </w:r>
          </w:p>
        </w:tc>
      </w:tr>
    </w:tbl>
    <w:p>
      <w:pPr>
        <w:widowControl w:val="0"/>
        <w:shd w:val="clear" w:color="auto" w:fill="auto"/>
        <w:spacing w:before="0" w:line="240" w:lineRule="auto"/>
        <w:jc w:val="left"/>
        <w:rPr>
          <w:rFonts w:hint="default" w:ascii="Times New Roman" w:hAnsi="Times New Roman" w:eastAsia="宋体" w:cs="Times New Roman"/>
          <w:b/>
          <w:color w:val="auto"/>
          <w:spacing w:val="0"/>
          <w:kern w:val="2"/>
          <w:sz w:val="22"/>
          <w:szCs w:val="22"/>
          <w:highlight w:val="none"/>
          <w:lang w:val="en-US" w:eastAsia="zh-CN" w:bidi="ar-SA"/>
        </w:rPr>
      </w:pPr>
    </w:p>
    <w:tbl>
      <w:tblPr>
        <w:tblStyle w:val="25"/>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2"/>
        <w:gridCol w:w="2841"/>
        <w:gridCol w:w="34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2" w:type="dxa"/>
            <w:vAlign w:val="center"/>
          </w:tcPr>
          <w:p>
            <w:pPr>
              <w:widowControl w:val="0"/>
              <w:shd w:val="clear" w:color="auto" w:fill="auto"/>
              <w:spacing w:before="0" w:line="240" w:lineRule="auto"/>
              <w:jc w:val="center"/>
              <w:rPr>
                <w:rFonts w:hint="default" w:ascii="Times New Roman" w:hAnsi="Times New Roman" w:eastAsia="黑体" w:cs="Times New Roman"/>
                <w:bCs/>
                <w:color w:val="auto"/>
                <w:spacing w:val="0"/>
                <w:kern w:val="2"/>
                <w:sz w:val="24"/>
                <w:szCs w:val="24"/>
                <w:highlight w:val="none"/>
                <w:lang w:val="en-US" w:eastAsia="zh-CN" w:bidi="ar-SA"/>
              </w:rPr>
            </w:pPr>
            <w:r>
              <w:rPr>
                <w:rFonts w:hint="default" w:ascii="Times New Roman" w:hAnsi="Times New Roman" w:eastAsia="黑体" w:cs="Times New Roman"/>
                <w:bCs/>
                <w:color w:val="auto"/>
                <w:spacing w:val="0"/>
                <w:w w:val="100"/>
                <w:kern w:val="2"/>
                <w:position w:val="0"/>
                <w:sz w:val="24"/>
                <w:szCs w:val="24"/>
                <w:highlight w:val="none"/>
                <w:u w:val="none"/>
                <w:lang w:val="zh-CN" w:eastAsia="zh-CN" w:bidi="ar-SA"/>
              </w:rPr>
              <w:t>按教育程度分类</w:t>
            </w:r>
          </w:p>
        </w:tc>
        <w:tc>
          <w:tcPr>
            <w:tcW w:w="2841" w:type="dxa"/>
            <w:vAlign w:val="center"/>
          </w:tcPr>
          <w:p>
            <w:pPr>
              <w:widowControl w:val="0"/>
              <w:shd w:val="clear" w:color="auto" w:fill="auto"/>
              <w:spacing w:before="0" w:line="240" w:lineRule="auto"/>
              <w:jc w:val="center"/>
              <w:rPr>
                <w:rFonts w:hint="default" w:ascii="Times New Roman" w:hAnsi="Times New Roman" w:eastAsia="黑体" w:cs="Times New Roman"/>
                <w:bCs/>
                <w:color w:val="auto"/>
                <w:spacing w:val="0"/>
                <w:kern w:val="2"/>
                <w:sz w:val="24"/>
                <w:szCs w:val="24"/>
                <w:highlight w:val="none"/>
                <w:lang w:val="en-US" w:eastAsia="zh-CN" w:bidi="ar-SA"/>
              </w:rPr>
            </w:pPr>
            <w:r>
              <w:rPr>
                <w:rFonts w:hint="default" w:ascii="Times New Roman" w:hAnsi="Times New Roman" w:eastAsia="黑体" w:cs="Times New Roman"/>
                <w:bCs/>
                <w:color w:val="auto"/>
                <w:spacing w:val="0"/>
                <w:w w:val="100"/>
                <w:kern w:val="2"/>
                <w:position w:val="0"/>
                <w:sz w:val="24"/>
                <w:szCs w:val="24"/>
                <w:highlight w:val="none"/>
                <w:u w:val="none"/>
                <w:lang w:val="zh-CN" w:eastAsia="zh-CN" w:bidi="ar-SA"/>
              </w:rPr>
              <w:t>期初人数</w:t>
            </w:r>
          </w:p>
        </w:tc>
        <w:tc>
          <w:tcPr>
            <w:tcW w:w="3427" w:type="dxa"/>
            <w:vAlign w:val="center"/>
          </w:tcPr>
          <w:p>
            <w:pPr>
              <w:widowControl w:val="0"/>
              <w:shd w:val="clear" w:color="auto" w:fill="auto"/>
              <w:spacing w:before="0" w:line="240" w:lineRule="auto"/>
              <w:jc w:val="center"/>
              <w:rPr>
                <w:rFonts w:hint="default" w:ascii="Times New Roman" w:hAnsi="Times New Roman" w:eastAsia="黑体" w:cs="Times New Roman"/>
                <w:bCs/>
                <w:color w:val="auto"/>
                <w:spacing w:val="0"/>
                <w:kern w:val="2"/>
                <w:sz w:val="24"/>
                <w:szCs w:val="24"/>
                <w:highlight w:val="none"/>
                <w:lang w:val="en-US" w:eastAsia="zh-CN" w:bidi="ar-SA"/>
              </w:rPr>
            </w:pPr>
            <w:r>
              <w:rPr>
                <w:rFonts w:hint="default" w:ascii="Times New Roman" w:hAnsi="Times New Roman" w:eastAsia="黑体" w:cs="Times New Roman"/>
                <w:bCs/>
                <w:color w:val="auto"/>
                <w:spacing w:val="0"/>
                <w:w w:val="100"/>
                <w:kern w:val="2"/>
                <w:position w:val="0"/>
                <w:sz w:val="24"/>
                <w:szCs w:val="24"/>
                <w:highlight w:val="none"/>
                <w:u w:val="none"/>
                <w:lang w:val="zh-CN" w:eastAsia="zh-CN" w:bidi="ar-SA"/>
              </w:rPr>
              <w:t>期末人数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2"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zh-CN" w:eastAsia="zh-CN" w:bidi="ar-SA"/>
              </w:rPr>
              <w:t>博士</w:t>
            </w:r>
          </w:p>
        </w:tc>
        <w:tc>
          <w:tcPr>
            <w:tcW w:w="2841"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en-US" w:eastAsia="zh-CN" w:bidi="ar-SA"/>
              </w:rPr>
              <w:t>0</w:t>
            </w:r>
          </w:p>
        </w:tc>
        <w:tc>
          <w:tcPr>
            <w:tcW w:w="3427"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en-US" w:eastAsia="zh-CN" w:bidi="ar-S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2"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zh-CN" w:eastAsia="zh-CN" w:bidi="ar-SA"/>
              </w:rPr>
              <w:t>硕士</w:t>
            </w:r>
          </w:p>
        </w:tc>
        <w:tc>
          <w:tcPr>
            <w:tcW w:w="2841"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en-US" w:eastAsia="zh-CN" w:bidi="ar-SA"/>
              </w:rPr>
              <w:t>11</w:t>
            </w:r>
          </w:p>
        </w:tc>
        <w:tc>
          <w:tcPr>
            <w:tcW w:w="3427"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en-US" w:eastAsia="zh-CN" w:bidi="ar-SA"/>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2"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zh-CN" w:eastAsia="zh-CN" w:bidi="ar-SA"/>
              </w:rPr>
              <w:t>本科</w:t>
            </w:r>
          </w:p>
        </w:tc>
        <w:tc>
          <w:tcPr>
            <w:tcW w:w="2841"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en-US" w:eastAsia="zh-CN" w:bidi="ar-SA"/>
              </w:rPr>
              <w:t>323</w:t>
            </w:r>
          </w:p>
        </w:tc>
        <w:tc>
          <w:tcPr>
            <w:tcW w:w="3427"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en-US" w:eastAsia="zh-CN" w:bidi="ar-SA"/>
              </w:rPr>
              <w:t>324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2"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zh-CN" w:eastAsia="zh-CN" w:bidi="ar-SA"/>
              </w:rPr>
              <w:t>专科</w:t>
            </w:r>
          </w:p>
        </w:tc>
        <w:tc>
          <w:tcPr>
            <w:tcW w:w="2841"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en-US" w:eastAsia="zh-CN" w:bidi="ar-SA"/>
              </w:rPr>
              <w:t>42</w:t>
            </w:r>
          </w:p>
        </w:tc>
        <w:tc>
          <w:tcPr>
            <w:tcW w:w="3427"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en-US" w:eastAsia="zh-CN" w:bidi="ar-SA"/>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2"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zh-CN" w:eastAsia="zh-CN" w:bidi="ar-SA"/>
              </w:rPr>
              <w:t>专科以下</w:t>
            </w:r>
          </w:p>
        </w:tc>
        <w:tc>
          <w:tcPr>
            <w:tcW w:w="2841"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en-US" w:eastAsia="zh-CN" w:bidi="ar-SA"/>
              </w:rPr>
              <w:t>0</w:t>
            </w:r>
          </w:p>
        </w:tc>
        <w:tc>
          <w:tcPr>
            <w:tcW w:w="3427"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Cs/>
                <w:color w:val="auto"/>
                <w:spacing w:val="0"/>
                <w:kern w:val="2"/>
                <w:sz w:val="21"/>
                <w:szCs w:val="21"/>
                <w:highlight w:val="none"/>
                <w:lang w:val="en-US" w:eastAsia="zh-CN" w:bidi="ar-SA"/>
              </w:rPr>
            </w:pPr>
            <w:r>
              <w:rPr>
                <w:rFonts w:hint="default" w:ascii="Times New Roman" w:hAnsi="Times New Roman" w:eastAsia="仿宋_GB2312" w:cs="Times New Roman"/>
                <w:bCs/>
                <w:color w:val="auto"/>
                <w:spacing w:val="0"/>
                <w:w w:val="100"/>
                <w:kern w:val="2"/>
                <w:position w:val="0"/>
                <w:sz w:val="21"/>
                <w:szCs w:val="21"/>
                <w:highlight w:val="none"/>
                <w:u w:val="none"/>
                <w:lang w:val="en-US" w:eastAsia="zh-CN" w:bidi="ar-S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2"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宋体" w:cs="Times New Roman"/>
                <w:b/>
                <w:color w:val="auto"/>
                <w:spacing w:val="0"/>
                <w:kern w:val="2"/>
                <w:sz w:val="22"/>
                <w:szCs w:val="22"/>
                <w:highlight w:val="none"/>
                <w:lang w:val="en-US" w:eastAsia="zh-CN" w:bidi="ar-SA"/>
              </w:rPr>
            </w:pPr>
            <w:r>
              <w:rPr>
                <w:rFonts w:hint="default" w:ascii="Times New Roman" w:hAnsi="Times New Roman" w:eastAsia="黑体" w:cs="Times New Roman"/>
                <w:bCs/>
                <w:color w:val="auto"/>
                <w:spacing w:val="0"/>
                <w:w w:val="100"/>
                <w:kern w:val="2"/>
                <w:position w:val="0"/>
                <w:sz w:val="24"/>
                <w:szCs w:val="24"/>
                <w:highlight w:val="none"/>
                <w:u w:val="none"/>
                <w:lang w:val="zh-CN" w:eastAsia="zh-CN" w:bidi="ar-SA"/>
              </w:rPr>
              <w:t>员工总计</w:t>
            </w:r>
          </w:p>
        </w:tc>
        <w:tc>
          <w:tcPr>
            <w:tcW w:w="2841"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
                <w:color w:val="auto"/>
                <w:spacing w:val="0"/>
                <w:kern w:val="2"/>
                <w:sz w:val="21"/>
                <w:szCs w:val="21"/>
                <w:highlight w:val="none"/>
                <w:lang w:val="en-US" w:eastAsia="zh-CN" w:bidi="ar-SA"/>
              </w:rPr>
            </w:pPr>
            <w:r>
              <w:rPr>
                <w:rFonts w:hint="default" w:ascii="Times New Roman" w:hAnsi="Times New Roman" w:eastAsia="仿宋_GB2312" w:cs="Times New Roman"/>
                <w:b/>
                <w:color w:val="auto"/>
                <w:spacing w:val="0"/>
                <w:w w:val="100"/>
                <w:kern w:val="2"/>
                <w:position w:val="0"/>
                <w:sz w:val="21"/>
                <w:szCs w:val="21"/>
                <w:highlight w:val="none"/>
                <w:u w:val="none"/>
                <w:lang w:val="en-US" w:eastAsia="zh-CN" w:bidi="ar-SA"/>
              </w:rPr>
              <w:t>376</w:t>
            </w:r>
          </w:p>
        </w:tc>
        <w:tc>
          <w:tcPr>
            <w:tcW w:w="3427" w:type="dxa"/>
            <w:tcBorders>
              <w:top w:val="single" w:color="auto" w:sz="4" w:space="0"/>
              <w:left w:val="single" w:color="auto" w:sz="4" w:space="0"/>
              <w:bottom w:val="single" w:color="auto" w:sz="4" w:space="0"/>
              <w:right w:val="single" w:color="auto" w:sz="4" w:space="0"/>
            </w:tcBorders>
            <w:vAlign w:val="center"/>
          </w:tcPr>
          <w:p>
            <w:pPr>
              <w:widowControl w:val="0"/>
              <w:shd w:val="clear" w:color="auto" w:fill="auto"/>
              <w:spacing w:before="0" w:line="240" w:lineRule="auto"/>
              <w:jc w:val="center"/>
              <w:rPr>
                <w:rFonts w:hint="default" w:ascii="Times New Roman" w:hAnsi="Times New Roman" w:eastAsia="仿宋_GB2312" w:cs="Times New Roman"/>
                <w:b/>
                <w:color w:val="auto"/>
                <w:spacing w:val="0"/>
                <w:kern w:val="2"/>
                <w:sz w:val="21"/>
                <w:szCs w:val="21"/>
                <w:highlight w:val="none"/>
                <w:lang w:val="en-US" w:eastAsia="zh-CN" w:bidi="ar-SA"/>
              </w:rPr>
            </w:pPr>
            <w:r>
              <w:rPr>
                <w:rFonts w:hint="default" w:ascii="Times New Roman" w:hAnsi="Times New Roman" w:eastAsia="仿宋_GB2312" w:cs="Times New Roman"/>
                <w:b/>
                <w:color w:val="auto"/>
                <w:spacing w:val="0"/>
                <w:w w:val="100"/>
                <w:kern w:val="2"/>
                <w:position w:val="0"/>
                <w:sz w:val="21"/>
                <w:szCs w:val="21"/>
                <w:highlight w:val="none"/>
                <w:u w:val="none"/>
                <w:lang w:val="en-US" w:eastAsia="zh-CN" w:bidi="ar-SA"/>
              </w:rPr>
              <w:t>370</w:t>
            </w:r>
          </w:p>
        </w:tc>
      </w:tr>
    </w:tbl>
    <w:p>
      <w:pPr>
        <w:keepNext w:val="0"/>
        <w:keepLines w:val="0"/>
        <w:pageBreakBefore w:val="0"/>
        <w:widowControl w:val="0"/>
        <w:shd w:val="clear" w:color="auto" w:fill="auto"/>
        <w:kinsoku/>
        <w:wordWrap/>
        <w:overflowPunct/>
        <w:topLinePunct w:val="0"/>
        <w:autoSpaceDE/>
        <w:autoSpaceDN/>
        <w:bidi w:val="0"/>
        <w:adjustRightInd/>
        <w:snapToGrid/>
        <w:spacing w:before="0" w:line="480" w:lineRule="exact"/>
        <w:ind w:firstLine="604" w:firstLineChars="200"/>
        <w:jc w:val="left"/>
        <w:textAlignment w:val="auto"/>
        <w:rPr>
          <w:rFonts w:hint="default" w:ascii="Times New Roman" w:hAnsi="Times New Roman" w:eastAsia="仿宋_GB2312" w:cs="Times New Roman"/>
          <w:b/>
          <w:color w:val="auto"/>
          <w:spacing w:val="0"/>
          <w:kern w:val="2"/>
          <w:sz w:val="28"/>
          <w:szCs w:val="28"/>
          <w:highlight w:val="none"/>
          <w:lang w:val="en-US" w:eastAsia="zh-CN" w:bidi="ar-SA"/>
        </w:rPr>
      </w:pPr>
      <w:r>
        <w:rPr>
          <w:rFonts w:hint="default" w:ascii="Times New Roman" w:hAnsi="Times New Roman" w:eastAsia="仿宋_GB2312" w:cs="Times New Roman"/>
          <w:b/>
          <w:color w:val="auto"/>
          <w:spacing w:val="0"/>
          <w:w w:val="100"/>
          <w:kern w:val="2"/>
          <w:position w:val="0"/>
          <w:sz w:val="28"/>
          <w:szCs w:val="28"/>
          <w:highlight w:val="none"/>
          <w:u w:val="none"/>
          <w:lang w:val="zh-CN" w:eastAsia="zh-CN" w:bidi="ar-SA"/>
        </w:rPr>
        <w:t>员工薪酬政策、培训计划以及需公司承担费用的离退休职工人数等情况：</w:t>
      </w:r>
    </w:p>
    <w:p>
      <w:pPr>
        <w:keepNext w:val="0"/>
        <w:keepLines w:val="0"/>
        <w:pageBreakBefore w:val="0"/>
        <w:widowControl w:val="0"/>
        <w:shd w:val="clear" w:color="auto" w:fill="auto"/>
        <w:kinsoku/>
        <w:wordWrap/>
        <w:overflowPunct/>
        <w:topLinePunct w:val="0"/>
        <w:autoSpaceDE/>
        <w:autoSpaceDN/>
        <w:bidi w:val="0"/>
        <w:adjustRightInd/>
        <w:snapToGrid/>
        <w:spacing w:before="0" w:line="480" w:lineRule="exact"/>
        <w:ind w:firstLine="604" w:firstLineChars="200"/>
        <w:jc w:val="left"/>
        <w:textAlignment w:val="auto"/>
        <w:rPr>
          <w:rFonts w:hint="default" w:ascii="Times New Roman" w:hAnsi="Times New Roman" w:eastAsia="仿宋_GB2312" w:cs="Times New Roman"/>
          <w:bCs/>
          <w:color w:val="auto"/>
          <w:spacing w:val="0"/>
          <w:kern w:val="2"/>
          <w:sz w:val="28"/>
          <w:szCs w:val="28"/>
          <w:highlight w:val="none"/>
          <w:lang w:val="en-US" w:eastAsia="zh-CN" w:bidi="ar-SA"/>
        </w:rPr>
      </w:pPr>
      <w:r>
        <w:rPr>
          <w:rFonts w:hint="default" w:ascii="Times New Roman" w:hAnsi="Times New Roman" w:eastAsia="仿宋_GB2312" w:cs="Times New Roman"/>
          <w:bCs/>
          <w:color w:val="auto"/>
          <w:spacing w:val="0"/>
          <w:w w:val="100"/>
          <w:kern w:val="2"/>
          <w:position w:val="0"/>
          <w:sz w:val="28"/>
          <w:szCs w:val="28"/>
          <w:highlight w:val="none"/>
          <w:u w:val="none"/>
          <w:lang w:val="en-US" w:eastAsia="zh-CN" w:bidi="ar-SA"/>
        </w:rPr>
        <w:t>1.人员培训：科学制定目标，健全培训课程体系；将内训与外训、线上培训与线下培训、条线培训与专业培训相结合。培训形式多样化，队伍建设展现新活力。</w:t>
      </w:r>
    </w:p>
    <w:p>
      <w:pPr>
        <w:keepNext w:val="0"/>
        <w:keepLines w:val="0"/>
        <w:pageBreakBefore w:val="0"/>
        <w:widowControl w:val="0"/>
        <w:shd w:val="clear" w:color="auto" w:fill="auto"/>
        <w:kinsoku/>
        <w:wordWrap/>
        <w:overflowPunct/>
        <w:topLinePunct w:val="0"/>
        <w:autoSpaceDE/>
        <w:autoSpaceDN/>
        <w:bidi w:val="0"/>
        <w:adjustRightInd/>
        <w:snapToGrid/>
        <w:spacing w:before="0" w:line="480" w:lineRule="exact"/>
        <w:ind w:firstLine="604" w:firstLineChars="200"/>
        <w:jc w:val="both"/>
        <w:textAlignment w:val="auto"/>
        <w:rPr>
          <w:rFonts w:hint="default" w:ascii="Times New Roman" w:hAnsi="Times New Roman" w:eastAsia="仿宋_GB2312" w:cs="Times New Roman"/>
          <w:bCs/>
          <w:color w:val="auto"/>
          <w:spacing w:val="0"/>
          <w:w w:val="100"/>
          <w:kern w:val="2"/>
          <w:position w:val="0"/>
          <w:sz w:val="28"/>
          <w:szCs w:val="28"/>
          <w:highlight w:val="none"/>
          <w:u w:val="none"/>
          <w:lang w:val="en-US" w:eastAsia="zh-CN" w:bidi="ar-SA"/>
        </w:rPr>
      </w:pPr>
      <w:r>
        <w:rPr>
          <w:rFonts w:hint="default" w:ascii="Times New Roman" w:hAnsi="Times New Roman" w:eastAsia="仿宋_GB2312" w:cs="Times New Roman"/>
          <w:bCs/>
          <w:color w:val="auto"/>
          <w:spacing w:val="0"/>
          <w:w w:val="100"/>
          <w:kern w:val="2"/>
          <w:position w:val="0"/>
          <w:sz w:val="28"/>
          <w:szCs w:val="28"/>
          <w:highlight w:val="none"/>
          <w:u w:val="none"/>
          <w:lang w:val="en-US" w:eastAsia="zh-CN" w:bidi="ar-SA"/>
        </w:rPr>
        <w:t>2026年6月末，全行共完成培训2870人次、共计13110课时、人均35.24课时。其中：在线学习培训11400课时、人均30.64课时；现场培训1710课时、人均4.60课时。</w:t>
      </w:r>
    </w:p>
    <w:p>
      <w:pPr>
        <w:keepNext w:val="0"/>
        <w:keepLines w:val="0"/>
        <w:pageBreakBefore w:val="0"/>
        <w:widowControl w:val="0"/>
        <w:shd w:val="clear" w:color="auto" w:fill="auto"/>
        <w:kinsoku/>
        <w:wordWrap/>
        <w:overflowPunct/>
        <w:topLinePunct w:val="0"/>
        <w:autoSpaceDE/>
        <w:autoSpaceDN/>
        <w:bidi w:val="0"/>
        <w:adjustRightInd/>
        <w:snapToGrid/>
        <w:spacing w:before="0" w:line="480" w:lineRule="exact"/>
        <w:ind w:firstLine="604" w:firstLineChars="200"/>
        <w:jc w:val="both"/>
        <w:textAlignment w:val="auto"/>
        <w:rPr>
          <w:rFonts w:hint="default" w:ascii="Times New Roman" w:hAnsi="Times New Roman" w:eastAsia="仿宋_GB2312" w:cs="Times New Roman"/>
          <w:bCs/>
          <w:color w:val="auto"/>
          <w:spacing w:val="0"/>
          <w:kern w:val="2"/>
          <w:sz w:val="28"/>
          <w:szCs w:val="28"/>
          <w:highlight w:val="none"/>
          <w:lang w:val="en-US" w:eastAsia="zh-CN" w:bidi="ar-SA"/>
        </w:rPr>
      </w:pPr>
      <w:r>
        <w:rPr>
          <w:rFonts w:hint="default" w:ascii="Times New Roman" w:hAnsi="Times New Roman" w:eastAsia="仿宋_GB2312" w:cs="Times New Roman"/>
          <w:bCs/>
          <w:color w:val="auto"/>
          <w:spacing w:val="0"/>
          <w:w w:val="100"/>
          <w:kern w:val="2"/>
          <w:position w:val="0"/>
          <w:sz w:val="28"/>
          <w:szCs w:val="28"/>
          <w:highlight w:val="none"/>
          <w:u w:val="none"/>
          <w:lang w:val="en-US" w:eastAsia="zh-CN" w:bidi="ar-SA"/>
        </w:rPr>
        <w:t>2.薪酬政策：本行按照“效率优先，兼顾公平”的原则，建立了与企业文化、经营目标、经营战略和控制环境相一致的薪酬制度，员工薪酬由基本薪酬、绩效薪酬、福利性收入三部分组成，实现了与管理架构相融合、收入与贡献度相匹配、不同岗位有序区别、在同业具有竞争力的薪酬体系。</w:t>
      </w:r>
    </w:p>
    <w:p>
      <w:pPr>
        <w:keepNext w:val="0"/>
        <w:keepLines w:val="0"/>
        <w:pageBreakBefore w:val="0"/>
        <w:widowControl w:val="0"/>
        <w:shd w:val="clear" w:color="auto" w:fill="auto"/>
        <w:kinsoku/>
        <w:wordWrap/>
        <w:overflowPunct/>
        <w:topLinePunct w:val="0"/>
        <w:autoSpaceDE/>
        <w:autoSpaceDN/>
        <w:bidi w:val="0"/>
        <w:adjustRightInd/>
        <w:snapToGrid/>
        <w:spacing w:before="0" w:line="480" w:lineRule="exact"/>
        <w:ind w:firstLine="604" w:firstLineChars="200"/>
        <w:jc w:val="both"/>
        <w:textAlignment w:val="auto"/>
        <w:rPr>
          <w:rFonts w:hint="default" w:ascii="Times New Roman" w:hAnsi="Times New Roman" w:eastAsia="仿宋_GB2312" w:cs="Times New Roman"/>
          <w:bCs/>
          <w:color w:val="auto"/>
          <w:spacing w:val="0"/>
          <w:kern w:val="2"/>
          <w:sz w:val="28"/>
          <w:szCs w:val="28"/>
          <w:highlight w:val="none"/>
          <w:lang w:val="en-US" w:eastAsia="zh-CN" w:bidi="ar-SA"/>
        </w:rPr>
      </w:pPr>
      <w:r>
        <w:rPr>
          <w:rFonts w:hint="default" w:ascii="Times New Roman" w:hAnsi="Times New Roman" w:eastAsia="仿宋_GB2312" w:cs="Times New Roman"/>
          <w:bCs/>
          <w:color w:val="auto"/>
          <w:spacing w:val="0"/>
          <w:w w:val="100"/>
          <w:kern w:val="2"/>
          <w:position w:val="0"/>
          <w:sz w:val="28"/>
          <w:szCs w:val="28"/>
          <w:highlight w:val="none"/>
          <w:u w:val="none"/>
          <w:lang w:val="en-US" w:eastAsia="zh-CN" w:bidi="ar-SA"/>
        </w:rPr>
        <w:t>3.需公司承担费用的离退休职工人数：截至报告期末，本行需承担部分费用的离退休职工人数为140人。</w:t>
      </w:r>
    </w:p>
    <w:p>
      <w:pPr>
        <w:keepNext w:val="0"/>
        <w:keepLines w:val="0"/>
        <w:pageBreakBefore w:val="0"/>
        <w:widowControl w:val="0"/>
        <w:shd w:val="clear" w:color="auto" w:fill="auto"/>
        <w:kinsoku/>
        <w:wordWrap/>
        <w:overflowPunct/>
        <w:topLinePunct w:val="0"/>
        <w:autoSpaceDE/>
        <w:autoSpaceDN/>
        <w:bidi w:val="0"/>
        <w:adjustRightInd/>
        <w:snapToGrid/>
        <w:spacing w:before="0" w:line="480" w:lineRule="exact"/>
        <w:ind w:firstLine="604" w:firstLineChars="200"/>
        <w:jc w:val="left"/>
        <w:textAlignment w:val="auto"/>
        <w:rPr>
          <w:rFonts w:hint="default" w:ascii="Times New Roman" w:hAnsi="Times New Roman" w:eastAsia="仿宋_GB2312" w:cs="Times New Roman"/>
          <w:b/>
          <w:color w:val="auto"/>
          <w:spacing w:val="0"/>
          <w:kern w:val="2"/>
          <w:sz w:val="28"/>
          <w:szCs w:val="28"/>
          <w:highlight w:val="none"/>
          <w:lang w:val="en-US" w:eastAsia="zh-CN" w:bidi="ar-SA"/>
        </w:rPr>
      </w:pPr>
      <w:r>
        <w:rPr>
          <w:rFonts w:hint="default" w:ascii="Times New Roman" w:hAnsi="Times New Roman" w:eastAsia="仿宋_GB2312" w:cs="Times New Roman"/>
          <w:b/>
          <w:color w:val="auto"/>
          <w:spacing w:val="0"/>
          <w:w w:val="100"/>
          <w:kern w:val="2"/>
          <w:position w:val="0"/>
          <w:sz w:val="28"/>
          <w:szCs w:val="28"/>
          <w:highlight w:val="none"/>
          <w:u w:val="none"/>
          <w:lang w:val="zh-CN" w:eastAsia="zh-CN" w:bidi="ar-SA"/>
        </w:rPr>
        <w:t>（</w:t>
      </w:r>
      <w:r>
        <w:rPr>
          <w:rFonts w:hint="default" w:ascii="Times New Roman" w:hAnsi="Times New Roman" w:eastAsia="仿宋_GB2312" w:cs="Times New Roman"/>
          <w:b/>
          <w:color w:val="auto"/>
          <w:spacing w:val="0"/>
          <w:w w:val="100"/>
          <w:kern w:val="2"/>
          <w:position w:val="0"/>
          <w:sz w:val="28"/>
          <w:szCs w:val="28"/>
          <w:highlight w:val="none"/>
          <w:u w:val="none"/>
          <w:lang w:val="en-US" w:eastAsia="zh-CN" w:bidi="ar-SA"/>
        </w:rPr>
        <w:t>二</w:t>
      </w:r>
      <w:r>
        <w:rPr>
          <w:rFonts w:hint="default" w:ascii="Times New Roman" w:hAnsi="Times New Roman" w:eastAsia="仿宋_GB2312" w:cs="Times New Roman"/>
          <w:b/>
          <w:color w:val="auto"/>
          <w:spacing w:val="0"/>
          <w:w w:val="100"/>
          <w:kern w:val="2"/>
          <w:position w:val="0"/>
          <w:sz w:val="28"/>
          <w:szCs w:val="28"/>
          <w:highlight w:val="none"/>
          <w:u w:val="none"/>
          <w:lang w:val="zh-CN" w:eastAsia="zh-CN" w:bidi="ar-SA"/>
        </w:rPr>
        <w:t>）核心人员（公司及控股子公司）基本情况</w:t>
      </w:r>
    </w:p>
    <w:p>
      <w:pPr>
        <w:keepNext w:val="0"/>
        <w:keepLines w:val="0"/>
        <w:pageBreakBefore w:val="0"/>
        <w:widowControl w:val="0"/>
        <w:shd w:val="clear" w:color="auto" w:fill="auto"/>
        <w:kinsoku/>
        <w:wordWrap/>
        <w:overflowPunct/>
        <w:topLinePunct w:val="0"/>
        <w:autoSpaceDE/>
        <w:autoSpaceDN/>
        <w:bidi w:val="0"/>
        <w:adjustRightInd/>
        <w:snapToGrid/>
        <w:spacing w:before="0" w:line="480" w:lineRule="exact"/>
        <w:ind w:firstLine="604" w:firstLineChars="200"/>
        <w:jc w:val="left"/>
        <w:textAlignment w:val="auto"/>
        <w:rPr>
          <w:rFonts w:hint="default" w:ascii="Times New Roman" w:hAnsi="Times New Roman" w:eastAsia="仿宋_GB2312" w:cs="Times New Roman"/>
          <w:bCs/>
          <w:color w:val="auto"/>
          <w:spacing w:val="0"/>
          <w:kern w:val="2"/>
          <w:sz w:val="28"/>
          <w:szCs w:val="28"/>
          <w:highlight w:val="none"/>
          <w:lang w:val="en-US" w:eastAsia="zh-CN" w:bidi="ar-SA"/>
        </w:rPr>
      </w:pPr>
      <w:r>
        <w:rPr>
          <w:rFonts w:hint="default" w:ascii="Times New Roman" w:hAnsi="Times New Roman" w:eastAsia="仿宋_GB2312" w:cs="Times New Roman"/>
          <w:bCs/>
          <w:color w:val="auto"/>
          <w:spacing w:val="0"/>
          <w:w w:val="100"/>
          <w:kern w:val="2"/>
          <w:position w:val="0"/>
          <w:sz w:val="28"/>
          <w:szCs w:val="28"/>
          <w:highlight w:val="none"/>
          <w:u w:val="none"/>
          <w:lang w:val="zh-CN" w:eastAsia="zh-CN" w:bidi="ar-SA"/>
        </w:rPr>
        <w:t>核心员工：</w:t>
      </w:r>
    </w:p>
    <w:p>
      <w:pPr>
        <w:keepNext w:val="0"/>
        <w:keepLines w:val="0"/>
        <w:pageBreakBefore w:val="0"/>
        <w:widowControl w:val="0"/>
        <w:shd w:val="clear" w:color="auto" w:fill="auto"/>
        <w:kinsoku/>
        <w:wordWrap/>
        <w:overflowPunct/>
        <w:topLinePunct w:val="0"/>
        <w:autoSpaceDE/>
        <w:autoSpaceDN/>
        <w:bidi w:val="0"/>
        <w:adjustRightInd/>
        <w:snapToGrid/>
        <w:spacing w:before="0" w:line="480" w:lineRule="exact"/>
        <w:ind w:firstLine="604" w:firstLineChars="200"/>
        <w:jc w:val="left"/>
        <w:textAlignment w:val="auto"/>
        <w:rPr>
          <w:rFonts w:hint="default" w:ascii="Times New Roman" w:hAnsi="Times New Roman" w:eastAsia="仿宋_GB2312" w:cs="Times New Roman"/>
          <w:color w:val="auto"/>
          <w:spacing w:val="0"/>
          <w:kern w:val="2"/>
          <w:sz w:val="28"/>
          <w:szCs w:val="28"/>
          <w:highlight w:val="none"/>
          <w:lang w:val="en-US" w:eastAsia="zh-CN" w:bidi="ar-SA"/>
        </w:rPr>
      </w:pPr>
      <w:r>
        <w:rPr>
          <w:rFonts w:hint="default" w:ascii="Times New Roman" w:hAnsi="Times New Roman" w:eastAsia="仿宋_GB2312" w:cs="Times New Roman"/>
          <w:color w:val="auto"/>
          <w:spacing w:val="0"/>
          <w:w w:val="100"/>
          <w:kern w:val="2"/>
          <w:position w:val="0"/>
          <w:sz w:val="28"/>
          <w:szCs w:val="28"/>
          <w:highlight w:val="none"/>
          <w:u w:val="none"/>
          <w:lang w:val="zh-CN" w:eastAsia="zh-CN" w:bidi="ar-SA"/>
        </w:rPr>
        <w:t>□适用 √不适用</w:t>
      </w:r>
    </w:p>
    <w:p>
      <w:pPr>
        <w:keepNext w:val="0"/>
        <w:keepLines w:val="0"/>
        <w:pageBreakBefore w:val="0"/>
        <w:widowControl w:val="0"/>
        <w:shd w:val="clear" w:color="auto" w:fill="auto"/>
        <w:kinsoku/>
        <w:wordWrap/>
        <w:overflowPunct/>
        <w:topLinePunct w:val="0"/>
        <w:autoSpaceDE/>
        <w:autoSpaceDN/>
        <w:bidi w:val="0"/>
        <w:adjustRightInd/>
        <w:snapToGrid/>
        <w:spacing w:before="0" w:line="480" w:lineRule="exact"/>
        <w:ind w:firstLine="604" w:firstLineChars="200"/>
        <w:jc w:val="left"/>
        <w:textAlignment w:val="auto"/>
        <w:rPr>
          <w:rFonts w:hint="default" w:ascii="Times New Roman" w:hAnsi="Times New Roman" w:eastAsia="仿宋_GB2312" w:cs="Times New Roman"/>
          <w:bCs/>
          <w:color w:val="auto"/>
          <w:spacing w:val="0"/>
          <w:kern w:val="2"/>
          <w:sz w:val="28"/>
          <w:szCs w:val="28"/>
          <w:highlight w:val="none"/>
          <w:lang w:val="en-US" w:eastAsia="zh-CN" w:bidi="ar-SA"/>
        </w:rPr>
      </w:pPr>
      <w:r>
        <w:rPr>
          <w:rFonts w:hint="default" w:ascii="Times New Roman" w:hAnsi="Times New Roman" w:eastAsia="仿宋_GB2312" w:cs="Times New Roman"/>
          <w:bCs/>
          <w:color w:val="auto"/>
          <w:spacing w:val="0"/>
          <w:w w:val="100"/>
          <w:kern w:val="2"/>
          <w:position w:val="0"/>
          <w:sz w:val="28"/>
          <w:szCs w:val="28"/>
          <w:highlight w:val="none"/>
          <w:u w:val="none"/>
          <w:lang w:val="zh-CN" w:eastAsia="zh-CN" w:bidi="ar-SA"/>
        </w:rPr>
        <w:t>其他对公司有重大影响的人员（非董事、高级管理人员）：</w:t>
      </w:r>
    </w:p>
    <w:p>
      <w:pPr>
        <w:keepNext w:val="0"/>
        <w:keepLines w:val="0"/>
        <w:pageBreakBefore w:val="0"/>
        <w:widowControl w:val="0"/>
        <w:shd w:val="clear" w:color="auto" w:fill="auto"/>
        <w:kinsoku/>
        <w:wordWrap/>
        <w:overflowPunct/>
        <w:topLinePunct w:val="0"/>
        <w:autoSpaceDE/>
        <w:autoSpaceDN/>
        <w:bidi w:val="0"/>
        <w:adjustRightInd/>
        <w:snapToGrid/>
        <w:spacing w:before="0" w:line="480" w:lineRule="exact"/>
        <w:ind w:firstLine="604" w:firstLineChars="200"/>
        <w:jc w:val="left"/>
        <w:textAlignment w:val="auto"/>
        <w:rPr>
          <w:rFonts w:hint="default" w:ascii="Times New Roman" w:hAnsi="Times New Roman" w:eastAsia="仿宋_GB2312" w:cs="Times New Roman"/>
          <w:color w:val="auto"/>
          <w:spacing w:val="0"/>
          <w:kern w:val="2"/>
          <w:sz w:val="28"/>
          <w:szCs w:val="28"/>
          <w:highlight w:val="none"/>
          <w:lang w:val="en-US" w:eastAsia="zh-CN" w:bidi="ar-SA"/>
        </w:rPr>
      </w:pPr>
      <w:r>
        <w:rPr>
          <w:rFonts w:hint="default" w:ascii="Times New Roman" w:hAnsi="Times New Roman" w:eastAsia="仿宋_GB2312" w:cs="Times New Roman"/>
          <w:color w:val="auto"/>
          <w:spacing w:val="0"/>
          <w:w w:val="100"/>
          <w:kern w:val="2"/>
          <w:position w:val="0"/>
          <w:sz w:val="28"/>
          <w:szCs w:val="28"/>
          <w:highlight w:val="none"/>
          <w:u w:val="none"/>
          <w:lang w:val="zh-CN" w:eastAsia="zh-CN" w:bidi="ar-SA"/>
        </w:rPr>
        <w:t>□适用 √不适用</w:t>
      </w:r>
    </w:p>
    <w:p>
      <w:pPr>
        <w:keepNext w:val="0"/>
        <w:keepLines w:val="0"/>
        <w:pageBreakBefore w:val="0"/>
        <w:widowControl w:val="0"/>
        <w:shd w:val="clear" w:color="auto" w:fill="auto"/>
        <w:kinsoku/>
        <w:wordWrap/>
        <w:overflowPunct/>
        <w:topLinePunct w:val="0"/>
        <w:autoSpaceDE/>
        <w:autoSpaceDN/>
        <w:bidi w:val="0"/>
        <w:adjustRightInd/>
        <w:snapToGrid/>
        <w:spacing w:before="0" w:line="480" w:lineRule="exact"/>
        <w:ind w:firstLine="604" w:firstLineChars="200"/>
        <w:jc w:val="left"/>
        <w:textAlignment w:val="auto"/>
        <w:rPr>
          <w:rFonts w:hint="default" w:ascii="Times New Roman" w:hAnsi="Times New Roman" w:eastAsia="仿宋_GB2312" w:cs="Times New Roman"/>
          <w:bCs/>
          <w:color w:val="auto"/>
          <w:spacing w:val="0"/>
          <w:kern w:val="2"/>
          <w:sz w:val="28"/>
          <w:szCs w:val="28"/>
          <w:highlight w:val="none"/>
          <w:lang w:val="en-US" w:eastAsia="zh-CN" w:bidi="ar-SA"/>
        </w:rPr>
      </w:pPr>
      <w:r>
        <w:rPr>
          <w:rFonts w:hint="default" w:ascii="Times New Roman" w:hAnsi="Times New Roman" w:eastAsia="仿宋_GB2312" w:cs="Times New Roman"/>
          <w:bCs/>
          <w:color w:val="auto"/>
          <w:spacing w:val="0"/>
          <w:w w:val="100"/>
          <w:kern w:val="2"/>
          <w:position w:val="0"/>
          <w:sz w:val="28"/>
          <w:szCs w:val="28"/>
          <w:highlight w:val="none"/>
          <w:u w:val="none"/>
          <w:lang w:val="zh-CN" w:eastAsia="zh-CN" w:bidi="ar-SA"/>
        </w:rPr>
        <w:t>核心人员的变动情况 ：</w:t>
      </w:r>
    </w:p>
    <w:p>
      <w:pPr>
        <w:keepNext w:val="0"/>
        <w:keepLines w:val="0"/>
        <w:pageBreakBefore w:val="0"/>
        <w:widowControl w:val="0"/>
        <w:shd w:val="clear" w:color="auto" w:fill="auto"/>
        <w:kinsoku/>
        <w:wordWrap/>
        <w:overflowPunct/>
        <w:topLinePunct w:val="0"/>
        <w:autoSpaceDE/>
        <w:autoSpaceDN/>
        <w:bidi w:val="0"/>
        <w:adjustRightInd/>
        <w:snapToGrid/>
        <w:spacing w:before="0" w:line="480" w:lineRule="exact"/>
        <w:ind w:firstLine="604" w:firstLineChars="200"/>
        <w:jc w:val="left"/>
        <w:textAlignment w:val="auto"/>
        <w:rPr>
          <w:rFonts w:hint="default" w:ascii="Times New Roman" w:hAnsi="Times New Roman" w:eastAsia="仿宋_GB2312" w:cs="Times New Roman"/>
          <w:bCs/>
          <w:color w:val="auto"/>
          <w:spacing w:val="0"/>
          <w:kern w:val="2"/>
          <w:sz w:val="28"/>
          <w:szCs w:val="28"/>
          <w:highlight w:val="none"/>
          <w:lang w:val="en-US" w:eastAsia="zh-CN" w:bidi="ar-SA"/>
        </w:rPr>
      </w:pPr>
      <w:r>
        <w:rPr>
          <w:rFonts w:hint="default" w:ascii="Times New Roman" w:hAnsi="Times New Roman" w:eastAsia="仿宋_GB2312" w:cs="Times New Roman"/>
          <w:bCs/>
          <w:color w:val="auto"/>
          <w:spacing w:val="0"/>
          <w:w w:val="100"/>
          <w:kern w:val="2"/>
          <w:position w:val="0"/>
          <w:sz w:val="28"/>
          <w:szCs w:val="28"/>
          <w:highlight w:val="none"/>
          <w:u w:val="none"/>
          <w:lang w:val="zh-CN" w:eastAsia="zh-CN" w:bidi="ar-SA"/>
        </w:rPr>
        <w:t>截至报告期末，本行未认定核心人员。</w:t>
      </w:r>
    </w:p>
    <w:p>
      <w:pPr>
        <w:keepNext w:val="0"/>
        <w:keepLines w:val="0"/>
        <w:pageBreakBefore w:val="0"/>
        <w:widowControl w:val="0"/>
        <w:shd w:val="clear" w:color="auto" w:fill="auto"/>
        <w:kinsoku/>
        <w:wordWrap/>
        <w:overflowPunct/>
        <w:topLinePunct w:val="0"/>
        <w:autoSpaceDE/>
        <w:autoSpaceDN/>
        <w:bidi w:val="0"/>
        <w:adjustRightInd/>
        <w:snapToGrid/>
        <w:spacing w:before="0" w:line="480" w:lineRule="exact"/>
        <w:ind w:firstLine="604" w:firstLineChars="200"/>
        <w:jc w:val="left"/>
        <w:textAlignment w:val="auto"/>
        <w:rPr>
          <w:rFonts w:hint="default" w:ascii="Times New Roman" w:hAnsi="Times New Roman" w:eastAsia="黑体" w:cs="Times New Roman"/>
          <w:bCs/>
          <w:color w:val="auto"/>
          <w:spacing w:val="0"/>
          <w:kern w:val="2"/>
          <w:sz w:val="28"/>
          <w:szCs w:val="28"/>
          <w:highlight w:val="none"/>
          <w:lang w:val="en-US" w:eastAsia="zh-CN" w:bidi="ar-SA"/>
        </w:rPr>
      </w:pPr>
      <w:r>
        <w:rPr>
          <w:rFonts w:hint="default" w:ascii="Times New Roman" w:hAnsi="Times New Roman" w:eastAsia="黑体" w:cs="Times New Roman"/>
          <w:bCs/>
          <w:color w:val="auto"/>
          <w:spacing w:val="0"/>
          <w:w w:val="100"/>
          <w:kern w:val="2"/>
          <w:position w:val="0"/>
          <w:sz w:val="28"/>
          <w:szCs w:val="28"/>
          <w:highlight w:val="none"/>
          <w:u w:val="none"/>
          <w:lang w:val="zh-CN" w:eastAsia="zh-CN" w:bidi="ar-SA"/>
        </w:rPr>
        <w:t>三、报告期后更新情况</w:t>
      </w:r>
    </w:p>
    <w:p>
      <w:pPr>
        <w:keepNext w:val="0"/>
        <w:keepLines w:val="0"/>
        <w:pageBreakBefore w:val="0"/>
        <w:widowControl w:val="0"/>
        <w:shd w:val="clear" w:color="auto" w:fill="auto"/>
        <w:kinsoku/>
        <w:wordWrap/>
        <w:overflowPunct/>
        <w:topLinePunct w:val="0"/>
        <w:autoSpaceDE/>
        <w:autoSpaceDN/>
        <w:bidi w:val="0"/>
        <w:adjustRightInd/>
        <w:snapToGrid/>
        <w:spacing w:before="0" w:line="480" w:lineRule="exact"/>
        <w:ind w:firstLine="604" w:firstLineChars="200"/>
        <w:jc w:val="left"/>
        <w:textAlignment w:val="auto"/>
        <w:rPr>
          <w:rFonts w:hint="default" w:ascii="Times New Roman" w:hAnsi="Times New Roman" w:eastAsia="黑体" w:cs="Times New Roman"/>
          <w:color w:val="auto"/>
          <w:spacing w:val="10"/>
          <w:kern w:val="0"/>
          <w:sz w:val="32"/>
          <w:szCs w:val="32"/>
          <w:highlight w:val="none"/>
          <w:lang w:val="en-US" w:eastAsia="zh-CN" w:bidi="ar-SA"/>
        </w:rPr>
      </w:pPr>
      <w:r>
        <w:rPr>
          <w:rFonts w:hint="default" w:ascii="Times New Roman" w:hAnsi="Times New Roman" w:eastAsia="仿宋_GB2312" w:cs="Times New Roman"/>
          <w:color w:val="auto"/>
          <w:spacing w:val="0"/>
          <w:w w:val="100"/>
          <w:kern w:val="2"/>
          <w:position w:val="0"/>
          <w:sz w:val="28"/>
          <w:szCs w:val="28"/>
          <w:highlight w:val="none"/>
          <w:u w:val="none"/>
          <w:lang w:val="zh-CN" w:eastAsia="zh-CN" w:bidi="ar-SA"/>
        </w:rPr>
        <w:t>□适用 √不适用</w:t>
      </w:r>
    </w:p>
    <w:p>
      <w:pPr>
        <w:autoSpaceDE w:val="0"/>
        <w:autoSpaceDN w:val="0"/>
        <w:adjustRightInd w:val="0"/>
        <w:spacing w:line="480" w:lineRule="exact"/>
        <w:jc w:val="center"/>
        <w:rPr>
          <w:rFonts w:hint="default" w:ascii="Times New Roman" w:hAnsi="Times New Roman" w:eastAsia="黑体" w:cs="Times New Roman"/>
          <w:color w:val="auto"/>
          <w:kern w:val="0"/>
          <w:sz w:val="32"/>
          <w:szCs w:val="32"/>
          <w:highlight w:val="none"/>
        </w:rPr>
      </w:pPr>
    </w:p>
    <w:p>
      <w:pPr>
        <w:autoSpaceDE w:val="0"/>
        <w:autoSpaceDN w:val="0"/>
        <w:adjustRightInd w:val="0"/>
        <w:spacing w:line="480" w:lineRule="exact"/>
        <w:jc w:val="center"/>
        <w:rPr>
          <w:rStyle w:val="106"/>
          <w:rFonts w:hint="default" w:ascii="Times New Roman" w:hAnsi="Times New Roman" w:eastAsia="黑体" w:cs="Times New Roman"/>
          <w:color w:val="auto"/>
          <w:spacing w:val="0"/>
          <w:sz w:val="28"/>
          <w:szCs w:val="28"/>
          <w:highlight w:val="none"/>
          <w:lang w:eastAsia="zh-CN"/>
        </w:rPr>
      </w:pPr>
      <w:r>
        <w:rPr>
          <w:rFonts w:hint="default" w:ascii="Times New Roman" w:hAnsi="Times New Roman" w:eastAsia="黑体" w:cs="Times New Roman"/>
          <w:color w:val="auto"/>
          <w:kern w:val="0"/>
          <w:sz w:val="32"/>
          <w:szCs w:val="32"/>
          <w:highlight w:val="none"/>
        </w:rPr>
        <w:t>第七节  法人治理结构</w:t>
      </w:r>
    </w:p>
    <w:p>
      <w:pPr>
        <w:autoSpaceDE w:val="0"/>
        <w:autoSpaceDN w:val="0"/>
        <w:adjustRightInd w:val="0"/>
        <w:spacing w:line="480" w:lineRule="exact"/>
        <w:rPr>
          <w:rFonts w:hint="default" w:ascii="Times New Roman" w:hAnsi="Times New Roman" w:eastAsia="黑体" w:cs="Times New Roman"/>
          <w:bCs/>
          <w:color w:val="auto"/>
          <w:sz w:val="28"/>
          <w:szCs w:val="28"/>
          <w:highlight w:val="none"/>
        </w:rPr>
      </w:pPr>
    </w:p>
    <w:p>
      <w:pPr>
        <w:keepNext w:val="0"/>
        <w:keepLines w:val="0"/>
        <w:pageBreakBefore w:val="0"/>
        <w:kinsoku/>
        <w:wordWrap/>
        <w:overflowPunct/>
        <w:topLinePunct w:val="0"/>
        <w:bidi w:val="0"/>
        <w:snapToGrid/>
        <w:spacing w:line="480" w:lineRule="exact"/>
        <w:ind w:firstLine="604" w:firstLineChars="200"/>
        <w:jc w:val="both"/>
        <w:textAlignment w:val="auto"/>
        <w:rPr>
          <w:rFonts w:hint="default" w:ascii="Times New Roman" w:hAnsi="Times New Roman" w:eastAsia="黑体" w:cs="Times New Roman"/>
          <w:bCs/>
          <w:color w:val="auto"/>
          <w:sz w:val="28"/>
          <w:szCs w:val="28"/>
          <w:highlight w:val="none"/>
          <w:lang w:val="en-US" w:eastAsia="zh-CN"/>
        </w:rPr>
      </w:pPr>
      <w:r>
        <w:rPr>
          <w:rFonts w:hint="default" w:ascii="Times New Roman" w:hAnsi="Times New Roman" w:eastAsia="黑体" w:cs="Times New Roman"/>
          <w:bCs/>
          <w:color w:val="auto"/>
          <w:sz w:val="28"/>
          <w:szCs w:val="28"/>
          <w:highlight w:val="none"/>
        </w:rPr>
        <w:t>一、法人治理情况</w:t>
      </w:r>
    </w:p>
    <w:p>
      <w:pPr>
        <w:keepNext w:val="0"/>
        <w:keepLines w:val="0"/>
        <w:pageBreakBefore w:val="0"/>
        <w:kinsoku/>
        <w:wordWrap/>
        <w:overflowPunct/>
        <w:topLinePunct w:val="0"/>
        <w:bidi w:val="0"/>
        <w:snapToGrid/>
        <w:spacing w:line="480" w:lineRule="exact"/>
        <w:ind w:firstLine="604" w:firstLineChars="200"/>
        <w:jc w:val="both"/>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依据《公司法》《商业银行法》《银行保险机构公司治理准则》《银行保险机构董事监事履职评价办法（试行）》等法律法规，认真落实监管部门关于公司治理的有关规定，不断健全完善股东会、董事会和经营层相互制约的法人治理框架，确保本行合规、稳健深入推进高质量发展。报告期内，本行认真完善公司治理相关制度和运行机制，逐步形成了较为完善的法人治理结构。</w:t>
      </w:r>
    </w:p>
    <w:p>
      <w:pPr>
        <w:keepNext w:val="0"/>
        <w:keepLines w:val="0"/>
        <w:pageBreakBefore w:val="0"/>
        <w:tabs>
          <w:tab w:val="left" w:pos="6660"/>
        </w:tabs>
        <w:kinsoku/>
        <w:wordWrap/>
        <w:overflowPunct/>
        <w:topLinePunct w:val="0"/>
        <w:bidi w:val="0"/>
        <w:snapToGrid/>
        <w:spacing w:line="480" w:lineRule="exact"/>
        <w:ind w:left="0" w:firstLine="604" w:firstLineChars="200"/>
        <w:jc w:val="both"/>
        <w:textAlignment w:val="auto"/>
        <w:rPr>
          <w:rFonts w:hint="default" w:ascii="Times New Roman" w:hAnsi="Times New Roman" w:eastAsia="仿宋_GB2312" w:cs="Times New Roman"/>
          <w:b/>
          <w:bCs/>
          <w:color w:val="auto"/>
          <w:sz w:val="28"/>
          <w:szCs w:val="28"/>
          <w:highlight w:val="none"/>
        </w:rPr>
      </w:pPr>
      <w:r>
        <w:rPr>
          <w:rFonts w:hint="default" w:ascii="Times New Roman" w:hAnsi="Times New Roman" w:eastAsia="仿宋_GB2312" w:cs="Times New Roman"/>
          <w:b/>
          <w:bCs/>
          <w:color w:val="auto"/>
          <w:sz w:val="28"/>
          <w:szCs w:val="28"/>
          <w:highlight w:val="none"/>
          <w:lang w:eastAsia="zh-CN"/>
        </w:rPr>
        <w:t>（一）</w:t>
      </w:r>
      <w:r>
        <w:rPr>
          <w:rFonts w:hint="default" w:ascii="Times New Roman" w:hAnsi="Times New Roman" w:eastAsia="仿宋_GB2312" w:cs="Times New Roman"/>
          <w:b/>
          <w:bCs/>
          <w:color w:val="auto"/>
          <w:sz w:val="28"/>
          <w:szCs w:val="28"/>
          <w:highlight w:val="none"/>
        </w:rPr>
        <w:t>股东和股东会</w:t>
      </w:r>
    </w:p>
    <w:p>
      <w:pPr>
        <w:keepNext w:val="0"/>
        <w:keepLines w:val="0"/>
        <w:pageBreakBefore w:val="0"/>
        <w:tabs>
          <w:tab w:val="left" w:pos="6660"/>
        </w:tabs>
        <w:kinsoku/>
        <w:wordWrap/>
        <w:overflowPunct/>
        <w:topLinePunct w:val="0"/>
        <w:bidi w:val="0"/>
        <w:snapToGrid/>
        <w:spacing w:line="480" w:lineRule="exact"/>
        <w:ind w:left="0" w:firstLine="604" w:firstLineChars="200"/>
        <w:jc w:val="both"/>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本行按照《章程》要求，所有应由股东会审议的事项均按规定提交股东会审议。报告期内，本行召集、召开了</w:t>
      </w:r>
      <w:r>
        <w:rPr>
          <w:rFonts w:hint="default" w:ascii="Times New Roman" w:hAnsi="Times New Roman" w:eastAsia="仿宋_GB2312" w:cs="Times New Roman"/>
          <w:color w:val="auto"/>
          <w:sz w:val="28"/>
          <w:szCs w:val="28"/>
          <w:highlight w:val="none"/>
          <w:lang w:val="en-US" w:eastAsia="zh-CN"/>
        </w:rPr>
        <w:t>1</w:t>
      </w:r>
      <w:r>
        <w:rPr>
          <w:rFonts w:hint="default" w:ascii="Times New Roman" w:hAnsi="Times New Roman" w:eastAsia="仿宋_GB2312" w:cs="Times New Roman"/>
          <w:color w:val="auto"/>
          <w:sz w:val="28"/>
          <w:szCs w:val="28"/>
          <w:highlight w:val="none"/>
        </w:rPr>
        <w:t>次会议，通过了</w:t>
      </w:r>
      <w:r>
        <w:rPr>
          <w:rFonts w:hint="default" w:ascii="Times New Roman" w:hAnsi="Times New Roman" w:eastAsia="仿宋_GB2312" w:cs="Times New Roman"/>
          <w:color w:val="auto"/>
          <w:sz w:val="28"/>
          <w:szCs w:val="28"/>
          <w:highlight w:val="none"/>
          <w:lang w:val="en-US" w:eastAsia="zh-CN"/>
        </w:rPr>
        <w:t>7</w:t>
      </w:r>
      <w:r>
        <w:rPr>
          <w:rFonts w:hint="default" w:ascii="Times New Roman" w:hAnsi="Times New Roman" w:eastAsia="仿宋_GB2312" w:cs="Times New Roman"/>
          <w:color w:val="auto"/>
          <w:sz w:val="28"/>
          <w:szCs w:val="28"/>
          <w:highlight w:val="none"/>
        </w:rPr>
        <w:t>项提案。本行建立健全与股东沟通的有效渠道，按照监管要求保障社会股东参与股东会的比例，确保股东享有平等地位及对本行重大事项的知情权、参与权和表决权，保证其充分行使权力。本行</w:t>
      </w:r>
      <w:r>
        <w:rPr>
          <w:rFonts w:hint="default" w:ascii="Times New Roman" w:hAnsi="Times New Roman" w:eastAsia="仿宋_GB2312" w:cs="Times New Roman"/>
          <w:color w:val="auto"/>
          <w:sz w:val="28"/>
          <w:szCs w:val="28"/>
          <w:highlight w:val="none"/>
          <w:lang w:eastAsia="zh-CN"/>
        </w:rPr>
        <w:t>股东会</w:t>
      </w:r>
      <w:r>
        <w:rPr>
          <w:rFonts w:hint="default" w:ascii="Times New Roman" w:hAnsi="Times New Roman" w:eastAsia="仿宋_GB2312" w:cs="Times New Roman"/>
          <w:color w:val="auto"/>
          <w:sz w:val="28"/>
          <w:szCs w:val="28"/>
          <w:highlight w:val="none"/>
        </w:rPr>
        <w:t>由江苏奋发律师事务所出具法律意见书，会议的召开和表决程序合法。</w:t>
      </w:r>
    </w:p>
    <w:p>
      <w:pPr>
        <w:spacing w:line="480" w:lineRule="exact"/>
        <w:ind w:firstLine="604" w:firstLineChars="200"/>
        <w:rPr>
          <w:rFonts w:hint="default" w:ascii="Times New Roman" w:hAnsi="Times New Roman" w:eastAsia="仿宋_GB2312" w:cs="Times New Roman"/>
          <w:b/>
          <w:bCs/>
          <w:color w:val="auto"/>
          <w:sz w:val="28"/>
          <w:szCs w:val="28"/>
          <w:highlight w:val="none"/>
          <w:lang w:eastAsia="zh-CN"/>
        </w:rPr>
      </w:pPr>
      <w:r>
        <w:rPr>
          <w:rFonts w:hint="default" w:ascii="Times New Roman" w:hAnsi="Times New Roman" w:eastAsia="仿宋_GB2312" w:cs="Times New Roman"/>
          <w:b/>
          <w:bCs/>
          <w:color w:val="auto"/>
          <w:sz w:val="28"/>
          <w:szCs w:val="28"/>
          <w:highlight w:val="none"/>
        </w:rPr>
        <w:t>（二）董事和董事会</w:t>
      </w:r>
    </w:p>
    <w:p>
      <w:pPr>
        <w:keepNext w:val="0"/>
        <w:keepLines w:val="0"/>
        <w:pageBreakBefore w:val="0"/>
        <w:widowControl w:val="0"/>
        <w:kinsoku/>
        <w:wordWrap/>
        <w:overflowPunct/>
        <w:topLinePunct w:val="0"/>
        <w:autoSpaceDE/>
        <w:autoSpaceDN/>
        <w:bidi w:val="0"/>
        <w:adjustRightInd/>
        <w:snapToGrid/>
        <w:spacing w:line="480" w:lineRule="exact"/>
        <w:ind w:firstLine="604" w:firstLineChars="200"/>
        <w:jc w:val="both"/>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本行按照《章程》规定的董事任职资格和选举程序产生董事。报告期内，</w:t>
      </w:r>
      <w:r>
        <w:rPr>
          <w:rFonts w:hint="default" w:ascii="Times New Roman" w:hAnsi="Times New Roman" w:eastAsia="仿宋_GB2312" w:cs="Times New Roman"/>
          <w:color w:val="auto"/>
          <w:sz w:val="28"/>
          <w:szCs w:val="28"/>
          <w:highlight w:val="none"/>
          <w:lang w:eastAsia="zh-CN"/>
        </w:rPr>
        <w:t>董事会成员</w:t>
      </w:r>
      <w:r>
        <w:rPr>
          <w:rFonts w:hint="default" w:ascii="Times New Roman" w:hAnsi="Times New Roman" w:eastAsia="仿宋_GB2312" w:cs="Times New Roman"/>
          <w:color w:val="auto"/>
          <w:sz w:val="28"/>
          <w:szCs w:val="28"/>
          <w:highlight w:val="none"/>
          <w:lang w:val="en-US" w:eastAsia="zh-CN"/>
        </w:rPr>
        <w:t>无</w:t>
      </w:r>
      <w:r>
        <w:rPr>
          <w:rFonts w:hint="default" w:ascii="Times New Roman" w:hAnsi="Times New Roman" w:eastAsia="仿宋_GB2312" w:cs="Times New Roman"/>
          <w:color w:val="auto"/>
          <w:sz w:val="28"/>
          <w:szCs w:val="28"/>
          <w:highlight w:val="none"/>
          <w:lang w:eastAsia="zh-CN"/>
        </w:rPr>
        <w:t>调整变动</w:t>
      </w:r>
      <w:r>
        <w:rPr>
          <w:rFonts w:hint="default" w:ascii="Times New Roman" w:hAnsi="Times New Roman" w:eastAsia="仿宋_GB2312" w:cs="Times New Roman"/>
          <w:color w:val="auto"/>
          <w:sz w:val="28"/>
          <w:szCs w:val="28"/>
          <w:highlight w:val="none"/>
        </w:rPr>
        <w:t>。董事会全体董事诚信、勤勉、专业、高效的履行职责，充分发挥董事会经营决策的功能，在认真研究制定本行经营发展规划、完善风险管控、内部控制、监督经营管理层有效履职、财务报告完整准确等方面倾注了大量的时间和精力，确保了本行工作的顺利开展。</w:t>
      </w:r>
    </w:p>
    <w:p>
      <w:pPr>
        <w:keepNext w:val="0"/>
        <w:keepLines w:val="0"/>
        <w:pageBreakBefore w:val="0"/>
        <w:kinsoku/>
        <w:wordWrap/>
        <w:overflowPunct/>
        <w:topLinePunct w:val="0"/>
        <w:bidi w:val="0"/>
        <w:snapToGrid/>
        <w:spacing w:line="480" w:lineRule="exact"/>
        <w:ind w:firstLine="604" w:firstLineChars="200"/>
        <w:jc w:val="both"/>
        <w:textAlignment w:val="auto"/>
        <w:rPr>
          <w:rFonts w:hint="default" w:ascii="Times New Roman" w:hAnsi="Times New Roman" w:eastAsia="仿宋_GB2312" w:cs="Times New Roman"/>
          <w:b/>
          <w:bCs/>
          <w:color w:val="auto"/>
          <w:sz w:val="28"/>
          <w:szCs w:val="28"/>
          <w:highlight w:val="none"/>
        </w:rPr>
      </w:pPr>
      <w:r>
        <w:rPr>
          <w:rFonts w:hint="default" w:ascii="Times New Roman" w:hAnsi="Times New Roman" w:eastAsia="仿宋_GB2312" w:cs="Times New Roman"/>
          <w:b/>
          <w:bCs/>
          <w:color w:val="auto"/>
          <w:sz w:val="28"/>
          <w:szCs w:val="28"/>
          <w:highlight w:val="none"/>
        </w:rPr>
        <w:t>（</w:t>
      </w:r>
      <w:r>
        <w:rPr>
          <w:rFonts w:hint="default" w:ascii="Times New Roman" w:hAnsi="Times New Roman" w:eastAsia="仿宋_GB2312" w:cs="Times New Roman"/>
          <w:b/>
          <w:bCs/>
          <w:color w:val="auto"/>
          <w:sz w:val="28"/>
          <w:szCs w:val="28"/>
          <w:highlight w:val="none"/>
          <w:lang w:eastAsia="zh-CN"/>
        </w:rPr>
        <w:t>三</w:t>
      </w:r>
      <w:r>
        <w:rPr>
          <w:rFonts w:hint="default" w:ascii="Times New Roman" w:hAnsi="Times New Roman" w:eastAsia="仿宋_GB2312" w:cs="Times New Roman"/>
          <w:b/>
          <w:bCs/>
          <w:color w:val="auto"/>
          <w:sz w:val="28"/>
          <w:szCs w:val="28"/>
          <w:highlight w:val="none"/>
        </w:rPr>
        <w:t>）经营管理层</w:t>
      </w:r>
    </w:p>
    <w:p>
      <w:pPr>
        <w:keepNext w:val="0"/>
        <w:keepLines w:val="0"/>
        <w:pageBreakBefore w:val="0"/>
        <w:kinsoku/>
        <w:wordWrap/>
        <w:overflowPunct/>
        <w:topLinePunct w:val="0"/>
        <w:bidi w:val="0"/>
        <w:snapToGrid/>
        <w:spacing w:line="480" w:lineRule="exact"/>
        <w:ind w:firstLine="604" w:firstLineChars="200"/>
        <w:jc w:val="both"/>
        <w:textAlignment w:val="auto"/>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sz w:val="28"/>
          <w:szCs w:val="28"/>
          <w:highlight w:val="none"/>
        </w:rPr>
        <w:t>报告期</w:t>
      </w:r>
      <w:r>
        <w:rPr>
          <w:rFonts w:hint="default" w:ascii="Times New Roman" w:hAnsi="Times New Roman" w:eastAsia="仿宋_GB2312" w:cs="Times New Roman"/>
          <w:color w:val="auto"/>
          <w:sz w:val="28"/>
          <w:szCs w:val="28"/>
          <w:highlight w:val="none"/>
          <w:lang w:eastAsia="zh-CN"/>
        </w:rPr>
        <w:t>末</w:t>
      </w:r>
      <w:r>
        <w:rPr>
          <w:rFonts w:hint="default" w:ascii="Times New Roman" w:hAnsi="Times New Roman" w:eastAsia="仿宋_GB2312" w:cs="Times New Roman"/>
          <w:color w:val="auto"/>
          <w:sz w:val="28"/>
          <w:szCs w:val="28"/>
          <w:highlight w:val="none"/>
        </w:rPr>
        <w:t>，本行经营管理层</w:t>
      </w:r>
      <w:r>
        <w:rPr>
          <w:rFonts w:hint="default" w:ascii="Times New Roman" w:hAnsi="Times New Roman" w:eastAsia="仿宋_GB2312" w:cs="Times New Roman"/>
          <w:color w:val="auto"/>
          <w:sz w:val="28"/>
          <w:szCs w:val="28"/>
          <w:highlight w:val="none"/>
          <w:lang w:eastAsia="zh-CN"/>
        </w:rPr>
        <w:t>有</w:t>
      </w:r>
      <w:r>
        <w:rPr>
          <w:rFonts w:hint="default" w:ascii="Times New Roman" w:hAnsi="Times New Roman" w:eastAsia="仿宋_GB2312" w:cs="Times New Roman"/>
          <w:color w:val="auto"/>
          <w:sz w:val="28"/>
          <w:szCs w:val="28"/>
          <w:highlight w:val="none"/>
        </w:rPr>
        <w:t>1名行长，</w:t>
      </w:r>
      <w:r>
        <w:rPr>
          <w:rFonts w:hint="default" w:ascii="Times New Roman" w:hAnsi="Times New Roman" w:eastAsia="仿宋_GB2312" w:cs="Times New Roman"/>
          <w:color w:val="auto"/>
          <w:sz w:val="28"/>
          <w:szCs w:val="28"/>
          <w:highlight w:val="none"/>
          <w:lang w:val="en-US" w:eastAsia="zh-CN"/>
        </w:rPr>
        <w:t>4</w:t>
      </w:r>
      <w:r>
        <w:rPr>
          <w:rFonts w:hint="default" w:ascii="Times New Roman" w:hAnsi="Times New Roman" w:eastAsia="仿宋_GB2312" w:cs="Times New Roman"/>
          <w:color w:val="auto"/>
          <w:sz w:val="28"/>
          <w:szCs w:val="28"/>
          <w:highlight w:val="none"/>
        </w:rPr>
        <w:t>名副行长。本行</w:t>
      </w:r>
      <w:r>
        <w:rPr>
          <w:rFonts w:hint="default" w:ascii="Times New Roman" w:hAnsi="Times New Roman" w:eastAsia="仿宋_GB2312" w:cs="Times New Roman"/>
          <w:color w:val="auto"/>
          <w:sz w:val="28"/>
          <w:szCs w:val="28"/>
          <w:highlight w:val="none"/>
          <w:lang w:eastAsia="zh-CN"/>
        </w:rPr>
        <w:t>新版</w:t>
      </w:r>
      <w:r>
        <w:rPr>
          <w:rFonts w:hint="default" w:ascii="Times New Roman" w:hAnsi="Times New Roman" w:eastAsia="仿宋_GB2312" w:cs="Times New Roman"/>
          <w:color w:val="auto"/>
          <w:sz w:val="28"/>
          <w:szCs w:val="28"/>
          <w:highlight w:val="none"/>
        </w:rPr>
        <w:t>《章程》明确行长职责，行长负责本行的日常经营活动，对董事会负责。报告期内，本行经营管理层认真执行董事会决议，主动接受</w:t>
      </w:r>
      <w:r>
        <w:rPr>
          <w:rFonts w:hint="default" w:ascii="Times New Roman" w:hAnsi="Times New Roman" w:eastAsia="仿宋_GB2312" w:cs="Times New Roman"/>
          <w:color w:val="auto"/>
          <w:sz w:val="28"/>
          <w:szCs w:val="28"/>
          <w:highlight w:val="none"/>
          <w:lang w:eastAsia="zh-CN"/>
        </w:rPr>
        <w:t>审计委员会的有效</w:t>
      </w:r>
      <w:r>
        <w:rPr>
          <w:rFonts w:hint="default" w:ascii="Times New Roman" w:hAnsi="Times New Roman" w:eastAsia="仿宋_GB2312" w:cs="Times New Roman"/>
          <w:color w:val="auto"/>
          <w:sz w:val="28"/>
          <w:szCs w:val="28"/>
          <w:highlight w:val="none"/>
        </w:rPr>
        <w:t>监督，积极拓展业务，防范信贷风险，转换经营机制，加强人员培训，促进了全行持续稳健发展</w:t>
      </w:r>
      <w:r>
        <w:rPr>
          <w:rFonts w:hint="default" w:ascii="Times New Roman" w:hAnsi="Times New Roman" w:eastAsia="仿宋_GB2312" w:cs="Times New Roman"/>
          <w:color w:val="auto"/>
          <w:sz w:val="28"/>
          <w:szCs w:val="28"/>
          <w:highlight w:val="none"/>
          <w:lang w:val="en-US" w:eastAsia="zh-CN"/>
        </w:rPr>
        <w:t>。</w:t>
      </w:r>
    </w:p>
    <w:p>
      <w:pPr>
        <w:keepNext w:val="0"/>
        <w:keepLines w:val="0"/>
        <w:pageBreakBefore w:val="0"/>
        <w:tabs>
          <w:tab w:val="right" w:pos="8505"/>
        </w:tabs>
        <w:kinsoku/>
        <w:wordWrap/>
        <w:overflowPunct/>
        <w:topLinePunct w:val="0"/>
        <w:bidi w:val="0"/>
        <w:snapToGrid/>
        <w:spacing w:line="480" w:lineRule="exact"/>
        <w:ind w:firstLine="604" w:firstLineChars="200"/>
        <w:jc w:val="both"/>
        <w:textAlignment w:val="auto"/>
        <w:rPr>
          <w:rFonts w:hint="default" w:ascii="Times New Roman" w:hAnsi="Times New Roman" w:eastAsia="仿宋_GB2312" w:cs="Times New Roman"/>
          <w:b/>
          <w:bCs/>
          <w:color w:val="auto"/>
          <w:sz w:val="28"/>
          <w:szCs w:val="28"/>
          <w:highlight w:val="none"/>
          <w:lang w:eastAsia="zh-CN"/>
        </w:rPr>
      </w:pPr>
      <w:r>
        <w:rPr>
          <w:rFonts w:hint="default" w:ascii="Times New Roman" w:hAnsi="Times New Roman" w:eastAsia="仿宋_GB2312" w:cs="Times New Roman"/>
          <w:b/>
          <w:bCs/>
          <w:color w:val="auto"/>
          <w:sz w:val="28"/>
          <w:szCs w:val="28"/>
          <w:highlight w:val="none"/>
        </w:rPr>
        <w:t>（</w:t>
      </w:r>
      <w:r>
        <w:rPr>
          <w:rFonts w:hint="default" w:ascii="Times New Roman" w:hAnsi="Times New Roman" w:eastAsia="仿宋_GB2312" w:cs="Times New Roman"/>
          <w:b/>
          <w:bCs/>
          <w:color w:val="auto"/>
          <w:sz w:val="28"/>
          <w:szCs w:val="28"/>
          <w:highlight w:val="none"/>
          <w:lang w:eastAsia="zh-CN"/>
        </w:rPr>
        <w:t>四</w:t>
      </w:r>
      <w:r>
        <w:rPr>
          <w:rFonts w:hint="default" w:ascii="Times New Roman" w:hAnsi="Times New Roman" w:eastAsia="仿宋_GB2312" w:cs="Times New Roman"/>
          <w:b/>
          <w:bCs/>
          <w:color w:val="auto"/>
          <w:sz w:val="28"/>
          <w:szCs w:val="28"/>
          <w:highlight w:val="none"/>
        </w:rPr>
        <w:t>）部门与分支机构设置情况</w:t>
      </w:r>
    </w:p>
    <w:p>
      <w:pPr>
        <w:keepNext w:val="0"/>
        <w:keepLines w:val="0"/>
        <w:pageBreakBefore w:val="0"/>
        <w:kinsoku/>
        <w:wordWrap/>
        <w:overflowPunct/>
        <w:topLinePunct w:val="0"/>
        <w:bidi w:val="0"/>
        <w:snapToGrid/>
        <w:spacing w:line="480" w:lineRule="exact"/>
        <w:ind w:firstLine="604" w:firstLineChars="200"/>
        <w:jc w:val="both"/>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总行机关设</w:t>
      </w:r>
      <w:r>
        <w:rPr>
          <w:rFonts w:hint="eastAsia" w:ascii="Times New Roman" w:hAnsi="Times New Roman" w:eastAsia="仿宋_GB2312" w:cs="Times New Roman"/>
          <w:color w:val="auto"/>
          <w:sz w:val="28"/>
          <w:szCs w:val="28"/>
          <w:highlight w:val="none"/>
          <w:lang w:val="en-US" w:eastAsia="zh-CN"/>
        </w:rPr>
        <w:t>18</w:t>
      </w:r>
      <w:r>
        <w:rPr>
          <w:rFonts w:hint="default" w:ascii="Times New Roman" w:hAnsi="Times New Roman" w:eastAsia="仿宋_GB2312" w:cs="Times New Roman"/>
          <w:color w:val="auto"/>
          <w:sz w:val="28"/>
          <w:szCs w:val="28"/>
          <w:highlight w:val="none"/>
        </w:rPr>
        <w:t>个部室</w:t>
      </w:r>
      <w:r>
        <w:rPr>
          <w:rFonts w:hint="eastAsia" w:ascii="Times New Roman" w:hAnsi="Times New Roman" w:eastAsia="仿宋_GB2312" w:cs="Times New Roman"/>
          <w:color w:val="auto"/>
          <w:sz w:val="28"/>
          <w:szCs w:val="28"/>
          <w:highlight w:val="none"/>
          <w:lang w:eastAsia="zh-CN"/>
        </w:rPr>
        <w:t>（</w:t>
      </w:r>
      <w:r>
        <w:rPr>
          <w:rFonts w:hint="eastAsia" w:ascii="Times New Roman" w:hAnsi="Times New Roman" w:eastAsia="仿宋_GB2312" w:cs="Times New Roman"/>
          <w:color w:val="auto"/>
          <w:sz w:val="28"/>
          <w:szCs w:val="28"/>
          <w:highlight w:val="none"/>
          <w:lang w:val="en-US" w:eastAsia="zh-CN"/>
        </w:rPr>
        <w:t>含</w:t>
      </w:r>
      <w:r>
        <w:rPr>
          <w:rFonts w:hint="default" w:ascii="Times New Roman" w:hAnsi="Times New Roman" w:eastAsia="仿宋_GB2312" w:cs="Times New Roman"/>
          <w:color w:val="auto"/>
          <w:sz w:val="28"/>
          <w:szCs w:val="28"/>
          <w:highlight w:val="none"/>
        </w:rPr>
        <w:t>董事会、党委、纪委层面</w:t>
      </w:r>
      <w:r>
        <w:rPr>
          <w:rFonts w:hint="eastAsia"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分别为：公司金融部（普惠金融部）、零售金融部、金融市场部、授信调查部、信贷管理部、风险管理部、特殊资产部、数据管理部、计划财务部、合规管理部、运营管理部、审计稽核部、信息科技部、党委组织部（人力资源部）、办公室、安全保卫部</w:t>
      </w:r>
      <w:r>
        <w:rPr>
          <w:rFonts w:hint="eastAsia"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董事会办公室/党委办公室</w:t>
      </w:r>
      <w:r>
        <w:rPr>
          <w:rFonts w:hint="eastAsia"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纪律监督室。</w:t>
      </w:r>
    </w:p>
    <w:p>
      <w:pPr>
        <w:keepNext w:val="0"/>
        <w:keepLines w:val="0"/>
        <w:pageBreakBefore w:val="0"/>
        <w:kinsoku/>
        <w:wordWrap/>
        <w:overflowPunct/>
        <w:topLinePunct w:val="0"/>
        <w:bidi w:val="0"/>
        <w:snapToGrid/>
        <w:spacing w:line="480" w:lineRule="exact"/>
        <w:ind w:firstLine="604" w:firstLineChars="200"/>
        <w:jc w:val="both"/>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报告期末，本行拥有员工370名，下设分支机构26家，其中：营业部1个，支行23个，分理处2个，分别是：营业部、砖墙支行、保胜支行、狮树支行、丹湖支行、沧溪支行、薛城支行、淳溪支行、凤山支行、双塔支行、开发区科技支行、漆桥支行、固城支行、漕溏支行、东坝支行、下坝支行、定埠支行、桠溪支行、顾陇支行、南漪支行、北岭路支行、淳中支行、城西支行、滨湖支行、广通分理处和城北分理处。</w:t>
      </w:r>
    </w:p>
    <w:p>
      <w:pPr>
        <w:keepNext w:val="0"/>
        <w:keepLines w:val="0"/>
        <w:pageBreakBefore w:val="0"/>
        <w:kinsoku/>
        <w:wordWrap/>
        <w:overflowPunct/>
        <w:topLinePunct w:val="0"/>
        <w:bidi w:val="0"/>
        <w:snapToGrid/>
        <w:spacing w:line="480" w:lineRule="exact"/>
        <w:ind w:firstLine="604" w:firstLineChars="200"/>
        <w:jc w:val="both"/>
        <w:textAlignment w:val="auto"/>
        <w:rPr>
          <w:rFonts w:hint="default" w:ascii="Times New Roman" w:hAnsi="Times New Roman" w:eastAsia="黑体" w:cs="Times New Roman"/>
          <w:b/>
          <w:color w:val="auto"/>
          <w:sz w:val="28"/>
          <w:szCs w:val="28"/>
          <w:highlight w:val="none"/>
          <w:lang w:eastAsia="zh-CN"/>
        </w:rPr>
      </w:pPr>
      <w:r>
        <w:rPr>
          <w:rFonts w:hint="default" w:ascii="Times New Roman" w:hAnsi="Times New Roman" w:eastAsia="黑体" w:cs="Times New Roman"/>
          <w:bCs/>
          <w:color w:val="auto"/>
          <w:sz w:val="28"/>
          <w:szCs w:val="28"/>
          <w:highlight w:val="none"/>
        </w:rPr>
        <w:t>二、股东会召开情况</w:t>
      </w:r>
    </w:p>
    <w:p>
      <w:pPr>
        <w:keepNext w:val="0"/>
        <w:keepLines w:val="0"/>
        <w:pageBreakBefore w:val="0"/>
        <w:kinsoku/>
        <w:wordWrap/>
        <w:overflowPunct/>
        <w:topLinePunct w:val="0"/>
        <w:bidi w:val="0"/>
        <w:snapToGrid/>
        <w:spacing w:line="480" w:lineRule="exact"/>
        <w:ind w:firstLine="604" w:firstLineChars="200"/>
        <w:jc w:val="both"/>
        <w:textAlignment w:val="auto"/>
        <w:rPr>
          <w:rFonts w:hint="default" w:ascii="Times New Roman" w:hAnsi="Times New Roman" w:eastAsia="仿宋_GB2312" w:cs="Times New Roman"/>
          <w:color w:val="auto"/>
          <w:kern w:val="0"/>
          <w:sz w:val="28"/>
          <w:szCs w:val="28"/>
          <w:highlight w:val="none"/>
        </w:rPr>
      </w:pPr>
      <w:r>
        <w:rPr>
          <w:rFonts w:hint="default" w:ascii="Times New Roman" w:hAnsi="Times New Roman" w:eastAsia="仿宋_GB2312" w:cs="Times New Roman"/>
          <w:color w:val="auto"/>
          <w:kern w:val="0"/>
          <w:sz w:val="28"/>
          <w:szCs w:val="28"/>
          <w:highlight w:val="none"/>
          <w:lang w:eastAsia="zh-CN"/>
        </w:rPr>
        <w:t>报告期内</w:t>
      </w:r>
      <w:r>
        <w:rPr>
          <w:rFonts w:hint="default" w:ascii="Times New Roman" w:hAnsi="Times New Roman" w:eastAsia="仿宋_GB2312" w:cs="Times New Roman"/>
          <w:color w:val="auto"/>
          <w:kern w:val="0"/>
          <w:sz w:val="28"/>
          <w:szCs w:val="28"/>
          <w:highlight w:val="none"/>
        </w:rPr>
        <w:t>，</w:t>
      </w:r>
      <w:r>
        <w:rPr>
          <w:rFonts w:hint="default" w:ascii="Times New Roman" w:hAnsi="Times New Roman" w:eastAsia="仿宋_GB2312" w:cs="Times New Roman"/>
          <w:color w:val="auto"/>
          <w:kern w:val="0"/>
          <w:sz w:val="28"/>
          <w:szCs w:val="28"/>
          <w:highlight w:val="none"/>
          <w:lang w:eastAsia="zh-CN"/>
        </w:rPr>
        <w:t>本行</w:t>
      </w:r>
      <w:r>
        <w:rPr>
          <w:rFonts w:hint="default" w:ascii="Times New Roman" w:hAnsi="Times New Roman" w:eastAsia="仿宋_GB2312" w:cs="Times New Roman"/>
          <w:color w:val="auto"/>
          <w:kern w:val="0"/>
          <w:sz w:val="28"/>
          <w:szCs w:val="28"/>
          <w:highlight w:val="none"/>
        </w:rPr>
        <w:t>共召开</w:t>
      </w:r>
      <w:r>
        <w:rPr>
          <w:rFonts w:hint="default" w:ascii="Times New Roman" w:hAnsi="Times New Roman" w:eastAsia="仿宋_GB2312" w:cs="Times New Roman"/>
          <w:color w:val="auto"/>
          <w:kern w:val="0"/>
          <w:sz w:val="28"/>
          <w:szCs w:val="28"/>
          <w:highlight w:val="none"/>
          <w:lang w:val="en-US" w:eastAsia="zh-CN"/>
        </w:rPr>
        <w:t>1</w:t>
      </w:r>
      <w:r>
        <w:rPr>
          <w:rFonts w:hint="default" w:ascii="Times New Roman" w:hAnsi="Times New Roman" w:eastAsia="仿宋_GB2312" w:cs="Times New Roman"/>
          <w:color w:val="auto"/>
          <w:kern w:val="0"/>
          <w:sz w:val="28"/>
          <w:szCs w:val="28"/>
          <w:highlight w:val="none"/>
        </w:rPr>
        <w:t>次股东会。</w:t>
      </w:r>
    </w:p>
    <w:p>
      <w:pPr>
        <w:keepNext w:val="0"/>
        <w:keepLines w:val="0"/>
        <w:pageBreakBefore w:val="0"/>
        <w:kinsoku/>
        <w:wordWrap/>
        <w:overflowPunct/>
        <w:topLinePunct w:val="0"/>
        <w:bidi w:val="0"/>
        <w:snapToGrid/>
        <w:spacing w:line="480" w:lineRule="exact"/>
        <w:ind w:firstLine="604" w:firstLineChars="200"/>
        <w:jc w:val="both"/>
        <w:textAlignment w:val="auto"/>
        <w:rPr>
          <w:rFonts w:hint="default" w:ascii="Times New Roman" w:hAnsi="Times New Roman" w:eastAsia="仿宋_GB2312" w:cs="Times New Roman"/>
          <w:color w:val="auto"/>
          <w:kern w:val="0"/>
          <w:sz w:val="28"/>
          <w:szCs w:val="28"/>
          <w:highlight w:val="none"/>
        </w:rPr>
      </w:pPr>
      <w:r>
        <w:rPr>
          <w:rFonts w:hint="default" w:ascii="Times New Roman" w:hAnsi="Times New Roman" w:eastAsia="仿宋_GB2312" w:cs="Times New Roman"/>
          <w:color w:val="auto"/>
          <w:kern w:val="0"/>
          <w:sz w:val="28"/>
          <w:szCs w:val="28"/>
          <w:highlight w:val="none"/>
          <w:lang w:val="en-US" w:eastAsia="zh-CN"/>
        </w:rPr>
        <w:t>2026</w:t>
      </w:r>
      <w:r>
        <w:rPr>
          <w:rFonts w:hint="default" w:ascii="Times New Roman" w:hAnsi="Times New Roman" w:eastAsia="仿宋_GB2312" w:cs="Times New Roman"/>
          <w:color w:val="auto"/>
          <w:kern w:val="0"/>
          <w:sz w:val="28"/>
          <w:szCs w:val="28"/>
          <w:highlight w:val="none"/>
        </w:rPr>
        <w:t>年</w:t>
      </w:r>
      <w:r>
        <w:rPr>
          <w:rFonts w:hint="default" w:ascii="Times New Roman" w:hAnsi="Times New Roman" w:eastAsia="仿宋_GB2312" w:cs="Times New Roman"/>
          <w:color w:val="auto"/>
          <w:kern w:val="0"/>
          <w:sz w:val="28"/>
          <w:szCs w:val="28"/>
          <w:highlight w:val="none"/>
          <w:lang w:val="en-US" w:eastAsia="zh-CN"/>
        </w:rPr>
        <w:t>3</w:t>
      </w:r>
      <w:r>
        <w:rPr>
          <w:rFonts w:hint="default" w:ascii="Times New Roman" w:hAnsi="Times New Roman" w:eastAsia="仿宋_GB2312" w:cs="Times New Roman"/>
          <w:color w:val="auto"/>
          <w:kern w:val="0"/>
          <w:sz w:val="28"/>
          <w:szCs w:val="28"/>
          <w:highlight w:val="none"/>
        </w:rPr>
        <w:t>月</w:t>
      </w:r>
      <w:r>
        <w:rPr>
          <w:rFonts w:hint="default" w:ascii="Times New Roman" w:hAnsi="Times New Roman" w:eastAsia="仿宋_GB2312" w:cs="Times New Roman"/>
          <w:color w:val="auto"/>
          <w:kern w:val="0"/>
          <w:sz w:val="28"/>
          <w:szCs w:val="28"/>
          <w:highlight w:val="none"/>
          <w:lang w:val="en-US" w:eastAsia="zh-CN"/>
        </w:rPr>
        <w:t>26</w:t>
      </w:r>
      <w:r>
        <w:rPr>
          <w:rFonts w:hint="default" w:ascii="Times New Roman" w:hAnsi="Times New Roman" w:eastAsia="仿宋_GB2312" w:cs="Times New Roman"/>
          <w:color w:val="auto"/>
          <w:kern w:val="0"/>
          <w:sz w:val="28"/>
          <w:szCs w:val="28"/>
          <w:highlight w:val="none"/>
        </w:rPr>
        <w:t>日，</w:t>
      </w:r>
      <w:r>
        <w:rPr>
          <w:rFonts w:hint="default" w:ascii="Times New Roman" w:hAnsi="Times New Roman" w:eastAsia="仿宋_GB2312" w:cs="Times New Roman"/>
          <w:color w:val="auto"/>
          <w:kern w:val="0"/>
          <w:sz w:val="28"/>
          <w:szCs w:val="28"/>
          <w:highlight w:val="none"/>
          <w:lang w:eastAsia="zh-CN"/>
        </w:rPr>
        <w:t>本行</w:t>
      </w:r>
      <w:r>
        <w:rPr>
          <w:rFonts w:hint="default" w:ascii="Times New Roman" w:hAnsi="Times New Roman" w:eastAsia="仿宋_GB2312" w:cs="Times New Roman"/>
          <w:color w:val="auto"/>
          <w:kern w:val="0"/>
          <w:sz w:val="28"/>
          <w:szCs w:val="28"/>
          <w:highlight w:val="none"/>
        </w:rPr>
        <w:t>召开了</w:t>
      </w:r>
      <w:r>
        <w:rPr>
          <w:rFonts w:hint="default" w:ascii="Times New Roman" w:hAnsi="Times New Roman" w:eastAsia="仿宋_GB2312" w:cs="Times New Roman"/>
          <w:color w:val="auto"/>
          <w:kern w:val="0"/>
          <w:sz w:val="28"/>
          <w:szCs w:val="28"/>
          <w:highlight w:val="none"/>
          <w:lang w:val="en-US" w:eastAsia="zh-CN"/>
        </w:rPr>
        <w:t>2026</w:t>
      </w:r>
      <w:r>
        <w:rPr>
          <w:rFonts w:hint="default" w:ascii="Times New Roman" w:hAnsi="Times New Roman" w:eastAsia="仿宋_GB2312" w:cs="Times New Roman"/>
          <w:color w:val="auto"/>
          <w:kern w:val="0"/>
          <w:sz w:val="28"/>
          <w:szCs w:val="28"/>
          <w:highlight w:val="none"/>
        </w:rPr>
        <w:t>年度第一次股东会。出席会议股东及股东授权代理人</w:t>
      </w:r>
      <w:r>
        <w:rPr>
          <w:rFonts w:hint="default" w:ascii="Times New Roman" w:hAnsi="Times New Roman" w:eastAsia="仿宋_GB2312" w:cs="Times New Roman"/>
          <w:color w:val="auto"/>
          <w:kern w:val="0"/>
          <w:sz w:val="28"/>
          <w:szCs w:val="28"/>
          <w:highlight w:val="none"/>
          <w:lang w:val="en-US" w:eastAsia="zh-CN"/>
        </w:rPr>
        <w:t>64</w:t>
      </w:r>
      <w:r>
        <w:rPr>
          <w:rFonts w:hint="default" w:ascii="Times New Roman" w:hAnsi="Times New Roman" w:eastAsia="仿宋_GB2312" w:cs="Times New Roman"/>
          <w:color w:val="auto"/>
          <w:kern w:val="0"/>
          <w:sz w:val="28"/>
          <w:szCs w:val="28"/>
          <w:highlight w:val="none"/>
        </w:rPr>
        <w:t>人，所持表决权股份</w:t>
      </w:r>
      <w:r>
        <w:rPr>
          <w:rFonts w:hint="default" w:ascii="Times New Roman" w:hAnsi="Times New Roman" w:eastAsia="仿宋_GB2312" w:cs="Times New Roman"/>
          <w:color w:val="auto"/>
          <w:kern w:val="0"/>
          <w:sz w:val="28"/>
          <w:szCs w:val="28"/>
          <w:highlight w:val="none"/>
          <w:lang w:val="en-US" w:eastAsia="zh-CN"/>
        </w:rPr>
        <w:t>356764086</w:t>
      </w:r>
      <w:r>
        <w:rPr>
          <w:rFonts w:hint="default" w:ascii="Times New Roman" w:hAnsi="Times New Roman" w:eastAsia="仿宋_GB2312" w:cs="Times New Roman"/>
          <w:color w:val="auto"/>
          <w:kern w:val="0"/>
          <w:sz w:val="28"/>
          <w:szCs w:val="28"/>
          <w:highlight w:val="none"/>
        </w:rPr>
        <w:t>股，占</w:t>
      </w:r>
      <w:r>
        <w:rPr>
          <w:rFonts w:hint="default" w:ascii="Times New Roman" w:hAnsi="Times New Roman" w:eastAsia="仿宋_GB2312" w:cs="Times New Roman"/>
          <w:color w:val="auto"/>
          <w:kern w:val="0"/>
          <w:sz w:val="28"/>
          <w:szCs w:val="28"/>
          <w:highlight w:val="none"/>
          <w:lang w:eastAsia="zh-CN"/>
        </w:rPr>
        <w:t>本行</w:t>
      </w:r>
      <w:r>
        <w:rPr>
          <w:rFonts w:hint="default" w:ascii="Times New Roman" w:hAnsi="Times New Roman" w:eastAsia="仿宋_GB2312" w:cs="Times New Roman"/>
          <w:color w:val="auto"/>
          <w:kern w:val="0"/>
          <w:sz w:val="28"/>
          <w:szCs w:val="28"/>
          <w:highlight w:val="none"/>
        </w:rPr>
        <w:t>股份总额的</w:t>
      </w:r>
      <w:r>
        <w:rPr>
          <w:rFonts w:hint="default" w:ascii="Times New Roman" w:hAnsi="Times New Roman" w:eastAsia="仿宋_GB2312" w:cs="Times New Roman"/>
          <w:color w:val="auto"/>
          <w:kern w:val="0"/>
          <w:sz w:val="28"/>
          <w:szCs w:val="28"/>
          <w:highlight w:val="none"/>
          <w:lang w:val="en-US" w:eastAsia="zh-CN"/>
        </w:rPr>
        <w:t>68.80</w:t>
      </w:r>
      <w:r>
        <w:rPr>
          <w:rFonts w:hint="default" w:ascii="Times New Roman" w:hAnsi="Times New Roman" w:eastAsia="仿宋_GB2312" w:cs="Times New Roman"/>
          <w:color w:val="auto"/>
          <w:kern w:val="0"/>
          <w:sz w:val="28"/>
          <w:szCs w:val="28"/>
          <w:highlight w:val="none"/>
        </w:rPr>
        <w:t>%，会议的召开符合《中华人民共和国公司法》及</w:t>
      </w:r>
      <w:r>
        <w:rPr>
          <w:rFonts w:hint="default" w:ascii="Times New Roman" w:hAnsi="Times New Roman" w:eastAsia="仿宋_GB2312" w:cs="Times New Roman"/>
          <w:color w:val="auto"/>
          <w:kern w:val="0"/>
          <w:sz w:val="28"/>
          <w:szCs w:val="28"/>
          <w:highlight w:val="none"/>
          <w:lang w:eastAsia="zh-CN"/>
        </w:rPr>
        <w:t>本行</w:t>
      </w:r>
      <w:r>
        <w:rPr>
          <w:rFonts w:hint="default" w:ascii="Times New Roman" w:hAnsi="Times New Roman" w:eastAsia="仿宋_GB2312" w:cs="Times New Roman"/>
          <w:color w:val="auto"/>
          <w:kern w:val="0"/>
          <w:sz w:val="28"/>
          <w:szCs w:val="28"/>
          <w:highlight w:val="none"/>
        </w:rPr>
        <w:t>《章程》的相关规定。会议审议并通过了以下提案：《高淳农商银行202</w:t>
      </w:r>
      <w:r>
        <w:rPr>
          <w:rFonts w:hint="default" w:ascii="Times New Roman" w:hAnsi="Times New Roman" w:eastAsia="仿宋_GB2312" w:cs="Times New Roman"/>
          <w:color w:val="auto"/>
          <w:kern w:val="0"/>
          <w:sz w:val="28"/>
          <w:szCs w:val="28"/>
          <w:highlight w:val="none"/>
          <w:lang w:val="en-US" w:eastAsia="zh-CN"/>
        </w:rPr>
        <w:t>5</w:t>
      </w:r>
      <w:r>
        <w:rPr>
          <w:rFonts w:hint="default" w:ascii="Times New Roman" w:hAnsi="Times New Roman" w:eastAsia="仿宋_GB2312" w:cs="Times New Roman"/>
          <w:color w:val="auto"/>
          <w:kern w:val="0"/>
          <w:sz w:val="28"/>
          <w:szCs w:val="28"/>
          <w:highlight w:val="none"/>
        </w:rPr>
        <w:t>年度董事会工作报告》《高淳农商银行董事会对董事202</w:t>
      </w:r>
      <w:r>
        <w:rPr>
          <w:rFonts w:hint="default" w:ascii="Times New Roman" w:hAnsi="Times New Roman" w:eastAsia="仿宋_GB2312" w:cs="Times New Roman"/>
          <w:color w:val="auto"/>
          <w:kern w:val="0"/>
          <w:sz w:val="28"/>
          <w:szCs w:val="28"/>
          <w:highlight w:val="none"/>
          <w:lang w:val="en-US" w:eastAsia="zh-CN"/>
        </w:rPr>
        <w:t>5</w:t>
      </w:r>
      <w:r>
        <w:rPr>
          <w:rFonts w:hint="default" w:ascii="Times New Roman" w:hAnsi="Times New Roman" w:eastAsia="仿宋_GB2312" w:cs="Times New Roman"/>
          <w:color w:val="auto"/>
          <w:kern w:val="0"/>
          <w:sz w:val="28"/>
          <w:szCs w:val="28"/>
          <w:highlight w:val="none"/>
        </w:rPr>
        <w:t>年度履行职责情况的评价报告》</w:t>
      </w:r>
      <w:r>
        <w:rPr>
          <w:rFonts w:hint="default" w:ascii="Times New Roman" w:hAnsi="Times New Roman" w:eastAsia="仿宋_GB2312" w:cs="Times New Roman"/>
          <w:color w:val="auto"/>
          <w:sz w:val="28"/>
          <w:szCs w:val="28"/>
          <w:highlight w:val="none"/>
        </w:rPr>
        <w:t>《高淳农商银行</w:t>
      </w:r>
      <w:r>
        <w:rPr>
          <w:rFonts w:hint="default" w:ascii="Times New Roman" w:hAnsi="Times New Roman" w:eastAsia="仿宋_GB2312" w:cs="Times New Roman"/>
          <w:color w:val="auto"/>
          <w:sz w:val="28"/>
          <w:szCs w:val="28"/>
          <w:highlight w:val="none"/>
          <w:lang w:eastAsia="zh-CN"/>
        </w:rPr>
        <w:t>董事会</w:t>
      </w:r>
      <w:r>
        <w:rPr>
          <w:rFonts w:hint="default" w:ascii="Times New Roman" w:hAnsi="Times New Roman" w:eastAsia="仿宋_GB2312" w:cs="Times New Roman"/>
          <w:color w:val="auto"/>
          <w:sz w:val="28"/>
          <w:szCs w:val="28"/>
          <w:highlight w:val="none"/>
          <w:lang w:val="en-US" w:eastAsia="zh-CN"/>
        </w:rPr>
        <w:t>审计委员会对董事会及董事、高级管理层及其成员2025年度</w:t>
      </w:r>
      <w:r>
        <w:rPr>
          <w:rFonts w:hint="default" w:ascii="Times New Roman" w:hAnsi="Times New Roman" w:eastAsia="仿宋_GB2312" w:cs="Times New Roman"/>
          <w:color w:val="auto"/>
          <w:sz w:val="28"/>
          <w:szCs w:val="28"/>
          <w:highlight w:val="none"/>
        </w:rPr>
        <w:t>履行职责情况的评价报告》《高淳农商银行关于&lt;202</w:t>
      </w:r>
      <w:r>
        <w:rPr>
          <w:rFonts w:hint="default" w:ascii="Times New Roman" w:hAnsi="Times New Roman" w:eastAsia="仿宋_GB2312" w:cs="Times New Roman"/>
          <w:color w:val="auto"/>
          <w:sz w:val="28"/>
          <w:szCs w:val="28"/>
          <w:highlight w:val="none"/>
          <w:lang w:val="en-US" w:eastAsia="zh-CN"/>
        </w:rPr>
        <w:t>5</w:t>
      </w:r>
      <w:r>
        <w:rPr>
          <w:rFonts w:hint="default" w:ascii="Times New Roman" w:hAnsi="Times New Roman" w:eastAsia="仿宋_GB2312" w:cs="Times New Roman"/>
          <w:color w:val="auto"/>
          <w:sz w:val="28"/>
          <w:szCs w:val="28"/>
          <w:highlight w:val="none"/>
        </w:rPr>
        <w:t>年度财务预算执行情况暨202</w:t>
      </w:r>
      <w:r>
        <w:rPr>
          <w:rFonts w:hint="default" w:ascii="Times New Roman" w:hAnsi="Times New Roman" w:eastAsia="仿宋_GB2312" w:cs="Times New Roman"/>
          <w:color w:val="auto"/>
          <w:sz w:val="28"/>
          <w:szCs w:val="28"/>
          <w:highlight w:val="none"/>
          <w:lang w:val="en-US" w:eastAsia="zh-CN"/>
        </w:rPr>
        <w:t>6</w:t>
      </w:r>
      <w:r>
        <w:rPr>
          <w:rFonts w:hint="default" w:ascii="Times New Roman" w:hAnsi="Times New Roman" w:eastAsia="仿宋_GB2312" w:cs="Times New Roman"/>
          <w:color w:val="auto"/>
          <w:sz w:val="28"/>
          <w:szCs w:val="28"/>
          <w:highlight w:val="none"/>
        </w:rPr>
        <w:t>年度财务收支预算编制情况报告&gt;的提案》</w:t>
      </w:r>
      <w:r>
        <w:rPr>
          <w:rFonts w:hint="default" w:ascii="Times New Roman" w:hAnsi="Times New Roman" w:eastAsia="仿宋_GB2312" w:cs="Times New Roman"/>
          <w:color w:val="auto"/>
          <w:kern w:val="0"/>
          <w:sz w:val="28"/>
          <w:szCs w:val="28"/>
          <w:highlight w:val="none"/>
        </w:rPr>
        <w:t>《高淳农商银行关于&lt;202</w:t>
      </w:r>
      <w:r>
        <w:rPr>
          <w:rFonts w:hint="default" w:ascii="Times New Roman" w:hAnsi="Times New Roman" w:eastAsia="仿宋_GB2312" w:cs="Times New Roman"/>
          <w:color w:val="auto"/>
          <w:kern w:val="0"/>
          <w:sz w:val="28"/>
          <w:szCs w:val="28"/>
          <w:highlight w:val="none"/>
          <w:lang w:val="en-US" w:eastAsia="zh-CN"/>
        </w:rPr>
        <w:t>5</w:t>
      </w:r>
      <w:r>
        <w:rPr>
          <w:rFonts w:hint="default" w:ascii="Times New Roman" w:hAnsi="Times New Roman" w:eastAsia="仿宋_GB2312" w:cs="Times New Roman"/>
          <w:color w:val="auto"/>
          <w:kern w:val="0"/>
          <w:sz w:val="28"/>
          <w:szCs w:val="28"/>
          <w:highlight w:val="none"/>
        </w:rPr>
        <w:t>年度利润分配方案&gt;的提案》《关于变更注册资本的提案（草案）》《关于修订&lt;章程&gt;的提案（草案）》，并形成相关决议。</w:t>
      </w:r>
    </w:p>
    <w:p>
      <w:pPr>
        <w:keepNext w:val="0"/>
        <w:keepLines w:val="0"/>
        <w:pageBreakBefore w:val="0"/>
        <w:kinsoku/>
        <w:wordWrap/>
        <w:overflowPunct/>
        <w:topLinePunct w:val="0"/>
        <w:autoSpaceDE/>
        <w:autoSpaceDN/>
        <w:bidi w:val="0"/>
        <w:adjustRightInd/>
        <w:snapToGrid/>
        <w:spacing w:line="480" w:lineRule="exact"/>
        <w:ind w:firstLine="604" w:firstLineChars="200"/>
        <w:jc w:val="both"/>
        <w:textAlignment w:val="auto"/>
        <w:rPr>
          <w:rFonts w:hint="default" w:ascii="Times New Roman" w:hAnsi="Times New Roman" w:eastAsia="黑体" w:cs="Times New Roman"/>
          <w:bCs/>
          <w:color w:val="auto"/>
          <w:sz w:val="28"/>
          <w:szCs w:val="28"/>
          <w:highlight w:val="none"/>
        </w:rPr>
      </w:pPr>
      <w:r>
        <w:rPr>
          <w:rFonts w:hint="default" w:ascii="Times New Roman" w:hAnsi="Times New Roman" w:eastAsia="黑体" w:cs="Times New Roman"/>
          <w:bCs/>
          <w:color w:val="auto"/>
          <w:sz w:val="28"/>
          <w:szCs w:val="28"/>
          <w:highlight w:val="none"/>
        </w:rPr>
        <w:t>三、董事会会议召开情况</w:t>
      </w:r>
    </w:p>
    <w:p>
      <w:pPr>
        <w:keepNext w:val="0"/>
        <w:keepLines w:val="0"/>
        <w:pageBreakBefore w:val="0"/>
        <w:kinsoku/>
        <w:wordWrap/>
        <w:overflowPunct/>
        <w:topLinePunct w:val="0"/>
        <w:autoSpaceDE/>
        <w:autoSpaceDN/>
        <w:bidi w:val="0"/>
        <w:adjustRightInd/>
        <w:snapToGrid/>
        <w:spacing w:line="480" w:lineRule="exact"/>
        <w:ind w:firstLine="604" w:firstLineChars="200"/>
        <w:jc w:val="both"/>
        <w:textAlignment w:val="auto"/>
        <w:rPr>
          <w:rFonts w:hint="default" w:ascii="Times New Roman" w:hAnsi="Times New Roman" w:eastAsia="仿宋_GB2312" w:cs="Times New Roman"/>
          <w:color w:val="auto"/>
          <w:kern w:val="2"/>
          <w:sz w:val="28"/>
          <w:szCs w:val="28"/>
          <w:highlight w:val="none"/>
        </w:rPr>
      </w:pPr>
      <w:r>
        <w:rPr>
          <w:rFonts w:hint="default" w:ascii="Times New Roman" w:hAnsi="Times New Roman" w:eastAsia="仿宋_GB2312" w:cs="Times New Roman"/>
          <w:color w:val="auto"/>
          <w:kern w:val="2"/>
          <w:sz w:val="28"/>
          <w:szCs w:val="28"/>
          <w:highlight w:val="none"/>
          <w:lang w:eastAsia="zh-CN"/>
        </w:rPr>
        <w:t>报告期内</w:t>
      </w:r>
      <w:r>
        <w:rPr>
          <w:rFonts w:hint="default" w:ascii="Times New Roman" w:hAnsi="Times New Roman" w:eastAsia="仿宋_GB2312" w:cs="Times New Roman"/>
          <w:color w:val="auto"/>
          <w:kern w:val="2"/>
          <w:sz w:val="28"/>
          <w:szCs w:val="28"/>
          <w:highlight w:val="none"/>
        </w:rPr>
        <w:t>，共召开</w:t>
      </w:r>
      <w:r>
        <w:rPr>
          <w:rFonts w:hint="default" w:ascii="Times New Roman" w:hAnsi="Times New Roman" w:eastAsia="仿宋_GB2312" w:cs="Times New Roman"/>
          <w:color w:val="auto"/>
          <w:kern w:val="2"/>
          <w:sz w:val="28"/>
          <w:szCs w:val="28"/>
          <w:highlight w:val="none"/>
          <w:lang w:val="en-US" w:eastAsia="zh-CN"/>
        </w:rPr>
        <w:t>4</w:t>
      </w:r>
      <w:r>
        <w:rPr>
          <w:rFonts w:hint="default" w:ascii="Times New Roman" w:hAnsi="Times New Roman" w:eastAsia="仿宋_GB2312" w:cs="Times New Roman"/>
          <w:color w:val="auto"/>
          <w:kern w:val="2"/>
          <w:sz w:val="28"/>
          <w:szCs w:val="28"/>
          <w:highlight w:val="none"/>
        </w:rPr>
        <w:t>次董事会会议，其中临时会议</w:t>
      </w:r>
      <w:r>
        <w:rPr>
          <w:rFonts w:hint="default" w:ascii="Times New Roman" w:hAnsi="Times New Roman" w:eastAsia="仿宋_GB2312" w:cs="Times New Roman"/>
          <w:color w:val="auto"/>
          <w:kern w:val="2"/>
          <w:sz w:val="28"/>
          <w:szCs w:val="28"/>
          <w:highlight w:val="none"/>
          <w:lang w:val="en-US" w:eastAsia="zh-CN"/>
        </w:rPr>
        <w:t>2</w:t>
      </w:r>
      <w:r>
        <w:rPr>
          <w:rFonts w:hint="default" w:ascii="Times New Roman" w:hAnsi="Times New Roman" w:eastAsia="仿宋_GB2312" w:cs="Times New Roman"/>
          <w:color w:val="auto"/>
          <w:kern w:val="2"/>
          <w:sz w:val="28"/>
          <w:szCs w:val="28"/>
          <w:highlight w:val="none"/>
        </w:rPr>
        <w:t>次。</w:t>
      </w:r>
    </w:p>
    <w:p>
      <w:pPr>
        <w:keepNext w:val="0"/>
        <w:keepLines w:val="0"/>
        <w:pageBreakBefore w:val="0"/>
        <w:kinsoku/>
        <w:wordWrap/>
        <w:overflowPunct/>
        <w:topLinePunct w:val="0"/>
        <w:autoSpaceDE/>
        <w:autoSpaceDN/>
        <w:bidi w:val="0"/>
        <w:adjustRightInd/>
        <w:snapToGrid/>
        <w:spacing w:line="480" w:lineRule="exact"/>
        <w:ind w:firstLine="604" w:firstLineChars="200"/>
        <w:jc w:val="both"/>
        <w:textAlignment w:val="auto"/>
        <w:rPr>
          <w:rFonts w:hint="default" w:ascii="Times New Roman" w:hAnsi="Times New Roman" w:cs="Times New Roman"/>
          <w:color w:val="auto"/>
          <w:highlight w:val="none"/>
        </w:rPr>
      </w:pPr>
      <w:r>
        <w:rPr>
          <w:rFonts w:hint="default" w:ascii="Times New Roman" w:hAnsi="Times New Roman" w:eastAsia="仿宋_GB2312" w:cs="Times New Roman"/>
          <w:color w:val="auto"/>
          <w:kern w:val="2"/>
          <w:sz w:val="28"/>
          <w:szCs w:val="28"/>
          <w:highlight w:val="none"/>
        </w:rPr>
        <w:t>1.</w:t>
      </w:r>
      <w:r>
        <w:rPr>
          <w:rFonts w:hint="default" w:ascii="Times New Roman" w:hAnsi="Times New Roman" w:eastAsia="仿宋_GB2312" w:cs="Times New Roman"/>
          <w:color w:val="auto"/>
          <w:kern w:val="2"/>
          <w:sz w:val="28"/>
          <w:szCs w:val="28"/>
          <w:highlight w:val="none"/>
          <w:lang w:val="en-US" w:eastAsia="zh-CN"/>
        </w:rPr>
        <w:t>2026</w:t>
      </w:r>
      <w:r>
        <w:rPr>
          <w:rFonts w:hint="default" w:ascii="Times New Roman" w:hAnsi="Times New Roman" w:eastAsia="仿宋_GB2312" w:cs="Times New Roman"/>
          <w:color w:val="auto"/>
          <w:kern w:val="2"/>
          <w:sz w:val="28"/>
          <w:szCs w:val="28"/>
          <w:highlight w:val="none"/>
        </w:rPr>
        <w:t>年</w:t>
      </w:r>
      <w:r>
        <w:rPr>
          <w:rFonts w:hint="default" w:ascii="Times New Roman" w:hAnsi="Times New Roman" w:eastAsia="仿宋_GB2312" w:cs="Times New Roman"/>
          <w:color w:val="auto"/>
          <w:kern w:val="2"/>
          <w:sz w:val="28"/>
          <w:szCs w:val="28"/>
          <w:highlight w:val="none"/>
          <w:lang w:val="en-US" w:eastAsia="zh-CN"/>
        </w:rPr>
        <w:t>2</w:t>
      </w:r>
      <w:r>
        <w:rPr>
          <w:rFonts w:hint="default" w:ascii="Times New Roman" w:hAnsi="Times New Roman" w:eastAsia="仿宋_GB2312" w:cs="Times New Roman"/>
          <w:color w:val="auto"/>
          <w:kern w:val="2"/>
          <w:sz w:val="28"/>
          <w:szCs w:val="28"/>
          <w:highlight w:val="none"/>
        </w:rPr>
        <w:t>月</w:t>
      </w:r>
      <w:r>
        <w:rPr>
          <w:rFonts w:hint="default" w:ascii="Times New Roman" w:hAnsi="Times New Roman" w:eastAsia="仿宋_GB2312" w:cs="Times New Roman"/>
          <w:color w:val="auto"/>
          <w:kern w:val="2"/>
          <w:sz w:val="28"/>
          <w:szCs w:val="28"/>
          <w:highlight w:val="none"/>
          <w:lang w:val="en-US" w:eastAsia="zh-CN"/>
        </w:rPr>
        <w:t>28</w:t>
      </w:r>
      <w:r>
        <w:rPr>
          <w:rFonts w:hint="default" w:ascii="Times New Roman" w:hAnsi="Times New Roman" w:eastAsia="仿宋_GB2312" w:cs="Times New Roman"/>
          <w:color w:val="auto"/>
          <w:kern w:val="2"/>
          <w:sz w:val="28"/>
          <w:szCs w:val="28"/>
          <w:highlight w:val="none"/>
        </w:rPr>
        <w:t>日，</w:t>
      </w:r>
      <w:r>
        <w:rPr>
          <w:rFonts w:hint="default" w:ascii="Times New Roman" w:hAnsi="Times New Roman" w:eastAsia="仿宋_GB2312" w:cs="Times New Roman"/>
          <w:color w:val="auto"/>
          <w:kern w:val="2"/>
          <w:sz w:val="28"/>
          <w:szCs w:val="28"/>
          <w:highlight w:val="none"/>
          <w:lang w:eastAsia="zh-CN"/>
        </w:rPr>
        <w:t>本行</w:t>
      </w:r>
      <w:r>
        <w:rPr>
          <w:rFonts w:hint="default" w:ascii="Times New Roman" w:hAnsi="Times New Roman" w:eastAsia="仿宋_GB2312" w:cs="Times New Roman"/>
          <w:color w:val="auto"/>
          <w:kern w:val="2"/>
          <w:sz w:val="28"/>
          <w:szCs w:val="28"/>
          <w:highlight w:val="none"/>
        </w:rPr>
        <w:t>召开第五届董事会第</w:t>
      </w:r>
      <w:r>
        <w:rPr>
          <w:rFonts w:hint="default" w:ascii="Times New Roman" w:hAnsi="Times New Roman" w:eastAsia="仿宋_GB2312" w:cs="Times New Roman"/>
          <w:color w:val="auto"/>
          <w:kern w:val="2"/>
          <w:sz w:val="28"/>
          <w:szCs w:val="28"/>
          <w:highlight w:val="none"/>
          <w:lang w:val="en-US" w:eastAsia="zh-CN"/>
        </w:rPr>
        <w:t>六</w:t>
      </w:r>
      <w:r>
        <w:rPr>
          <w:rFonts w:hint="default" w:ascii="Times New Roman" w:hAnsi="Times New Roman" w:eastAsia="仿宋_GB2312" w:cs="Times New Roman"/>
          <w:color w:val="auto"/>
          <w:kern w:val="2"/>
          <w:sz w:val="28"/>
          <w:szCs w:val="28"/>
          <w:highlight w:val="none"/>
        </w:rPr>
        <w:t>次会议，应出席董事</w:t>
      </w:r>
      <w:r>
        <w:rPr>
          <w:rFonts w:hint="default" w:ascii="Times New Roman" w:hAnsi="Times New Roman" w:eastAsia="仿宋_GB2312" w:cs="Times New Roman"/>
          <w:color w:val="auto"/>
          <w:kern w:val="2"/>
          <w:sz w:val="28"/>
          <w:szCs w:val="28"/>
          <w:highlight w:val="none"/>
          <w:lang w:val="en-US" w:eastAsia="zh-CN"/>
        </w:rPr>
        <w:t>13</w:t>
      </w:r>
      <w:r>
        <w:rPr>
          <w:rFonts w:hint="default" w:ascii="Times New Roman" w:hAnsi="Times New Roman" w:eastAsia="仿宋_GB2312" w:cs="Times New Roman"/>
          <w:color w:val="auto"/>
          <w:kern w:val="2"/>
          <w:sz w:val="28"/>
          <w:szCs w:val="28"/>
          <w:highlight w:val="none"/>
        </w:rPr>
        <w:t>人，现场出席董事</w:t>
      </w:r>
      <w:r>
        <w:rPr>
          <w:rFonts w:hint="default" w:ascii="Times New Roman" w:hAnsi="Times New Roman" w:eastAsia="仿宋_GB2312" w:cs="Times New Roman"/>
          <w:color w:val="auto"/>
          <w:kern w:val="2"/>
          <w:sz w:val="28"/>
          <w:szCs w:val="28"/>
          <w:highlight w:val="none"/>
          <w:lang w:val="en-US" w:eastAsia="zh-CN"/>
        </w:rPr>
        <w:t>11</w:t>
      </w:r>
      <w:r>
        <w:rPr>
          <w:rFonts w:hint="default" w:ascii="Times New Roman" w:hAnsi="Times New Roman" w:eastAsia="仿宋_GB2312" w:cs="Times New Roman"/>
          <w:color w:val="auto"/>
          <w:kern w:val="2"/>
          <w:sz w:val="28"/>
          <w:szCs w:val="28"/>
          <w:highlight w:val="none"/>
        </w:rPr>
        <w:t>人</w:t>
      </w:r>
      <w:r>
        <w:rPr>
          <w:rFonts w:hint="default" w:ascii="Times New Roman" w:hAnsi="Times New Roman" w:eastAsia="仿宋_GB2312" w:cs="Times New Roman"/>
          <w:color w:val="auto"/>
          <w:kern w:val="2"/>
          <w:sz w:val="28"/>
          <w:szCs w:val="28"/>
          <w:highlight w:val="none"/>
          <w:lang w:eastAsia="zh-CN"/>
        </w:rPr>
        <w:t>、</w:t>
      </w:r>
      <w:r>
        <w:rPr>
          <w:rFonts w:hint="default" w:ascii="Times New Roman" w:hAnsi="Times New Roman" w:eastAsia="仿宋_GB2312" w:cs="Times New Roman"/>
          <w:color w:val="auto"/>
          <w:kern w:val="2"/>
          <w:sz w:val="28"/>
          <w:szCs w:val="28"/>
          <w:highlight w:val="none"/>
          <w:lang w:val="en-US" w:eastAsia="zh-CN"/>
        </w:rPr>
        <w:t>授权同类</w:t>
      </w:r>
      <w:r>
        <w:rPr>
          <w:rFonts w:hint="default" w:ascii="Times New Roman" w:hAnsi="Times New Roman" w:eastAsia="仿宋_GB2312" w:cs="Times New Roman"/>
          <w:color w:val="auto"/>
          <w:kern w:val="2"/>
          <w:sz w:val="28"/>
          <w:szCs w:val="28"/>
          <w:highlight w:val="none"/>
          <w:lang w:eastAsia="zh-CN"/>
        </w:rPr>
        <w:t>董事</w:t>
      </w:r>
      <w:r>
        <w:rPr>
          <w:rFonts w:hint="default" w:ascii="Times New Roman" w:hAnsi="Times New Roman" w:eastAsia="仿宋_GB2312" w:cs="Times New Roman"/>
          <w:color w:val="auto"/>
          <w:kern w:val="2"/>
          <w:sz w:val="28"/>
          <w:szCs w:val="28"/>
          <w:highlight w:val="none"/>
          <w:lang w:val="en-US" w:eastAsia="zh-CN"/>
        </w:rPr>
        <w:t>2人</w:t>
      </w:r>
      <w:r>
        <w:rPr>
          <w:rFonts w:hint="default" w:ascii="Times New Roman" w:hAnsi="Times New Roman" w:eastAsia="仿宋_GB2312" w:cs="Times New Roman"/>
          <w:color w:val="auto"/>
          <w:kern w:val="2"/>
          <w:sz w:val="28"/>
          <w:szCs w:val="28"/>
          <w:highlight w:val="none"/>
        </w:rPr>
        <w:t>，经与会董事有效表决，审议通过了</w:t>
      </w:r>
      <w:r>
        <w:rPr>
          <w:rFonts w:hint="default" w:ascii="Times New Roman" w:hAnsi="Times New Roman" w:eastAsia="仿宋_GB2312" w:cs="Times New Roman"/>
          <w:color w:val="auto"/>
          <w:kern w:val="0"/>
          <w:sz w:val="28"/>
          <w:szCs w:val="28"/>
          <w:highlight w:val="none"/>
          <w:lang w:eastAsia="zh-CN"/>
        </w:rPr>
        <w:t>《高淳农商银行202</w:t>
      </w:r>
      <w:r>
        <w:rPr>
          <w:rFonts w:hint="default" w:ascii="Times New Roman" w:hAnsi="Times New Roman" w:eastAsia="仿宋_GB2312" w:cs="Times New Roman"/>
          <w:color w:val="auto"/>
          <w:kern w:val="0"/>
          <w:sz w:val="28"/>
          <w:szCs w:val="28"/>
          <w:highlight w:val="none"/>
          <w:lang w:val="en-US" w:eastAsia="zh-CN"/>
        </w:rPr>
        <w:t>5</w:t>
      </w:r>
      <w:r>
        <w:rPr>
          <w:rFonts w:hint="default" w:ascii="Times New Roman" w:hAnsi="Times New Roman" w:eastAsia="仿宋_GB2312" w:cs="Times New Roman"/>
          <w:color w:val="auto"/>
          <w:kern w:val="0"/>
          <w:sz w:val="28"/>
          <w:szCs w:val="28"/>
          <w:highlight w:val="none"/>
          <w:lang w:eastAsia="zh-CN"/>
        </w:rPr>
        <w:t>年度董事会工作报告》</w:t>
      </w:r>
      <w:r>
        <w:rPr>
          <w:rFonts w:hint="default" w:ascii="Times New Roman" w:hAnsi="Times New Roman" w:eastAsia="仿宋_GB2312" w:cs="Times New Roman"/>
          <w:color w:val="auto"/>
          <w:kern w:val="0"/>
          <w:sz w:val="28"/>
          <w:szCs w:val="28"/>
          <w:highlight w:val="none"/>
          <w:lang w:val="en-US" w:eastAsia="zh-CN"/>
        </w:rPr>
        <w:t>《</w:t>
      </w:r>
      <w:r>
        <w:rPr>
          <w:rFonts w:hint="default" w:ascii="Times New Roman" w:hAnsi="Times New Roman" w:eastAsia="仿宋_GB2312" w:cs="Times New Roman"/>
          <w:color w:val="auto"/>
          <w:kern w:val="0"/>
          <w:sz w:val="28"/>
          <w:szCs w:val="28"/>
          <w:highlight w:val="none"/>
        </w:rPr>
        <w:t>高淳农商银行202</w:t>
      </w:r>
      <w:r>
        <w:rPr>
          <w:rFonts w:hint="default" w:ascii="Times New Roman" w:hAnsi="Times New Roman" w:eastAsia="仿宋_GB2312" w:cs="Times New Roman"/>
          <w:color w:val="auto"/>
          <w:kern w:val="0"/>
          <w:sz w:val="28"/>
          <w:szCs w:val="28"/>
          <w:highlight w:val="none"/>
          <w:lang w:val="en-US" w:eastAsia="zh-CN"/>
        </w:rPr>
        <w:t>5</w:t>
      </w:r>
      <w:r>
        <w:rPr>
          <w:rFonts w:hint="default" w:ascii="Times New Roman" w:hAnsi="Times New Roman" w:eastAsia="仿宋_GB2312" w:cs="Times New Roman"/>
          <w:color w:val="auto"/>
          <w:kern w:val="0"/>
          <w:sz w:val="28"/>
          <w:szCs w:val="28"/>
          <w:highlight w:val="none"/>
        </w:rPr>
        <w:t>年度行长室工作报告</w:t>
      </w:r>
      <w:r>
        <w:rPr>
          <w:rFonts w:hint="default" w:ascii="Times New Roman" w:hAnsi="Times New Roman" w:eastAsia="仿宋_GB2312" w:cs="Times New Roman"/>
          <w:color w:val="auto"/>
          <w:kern w:val="0"/>
          <w:sz w:val="28"/>
          <w:szCs w:val="28"/>
          <w:highlight w:val="none"/>
          <w:lang w:val="en-US" w:eastAsia="zh-CN"/>
        </w:rPr>
        <w:t>》《</w:t>
      </w:r>
      <w:r>
        <w:rPr>
          <w:rFonts w:hint="default" w:ascii="Times New Roman" w:hAnsi="Times New Roman" w:eastAsia="仿宋_GB2312" w:cs="Times New Roman"/>
          <w:color w:val="auto"/>
          <w:kern w:val="0"/>
          <w:sz w:val="28"/>
          <w:szCs w:val="28"/>
          <w:highlight w:val="none"/>
        </w:rPr>
        <w:t>高淳农商银行202</w:t>
      </w:r>
      <w:r>
        <w:rPr>
          <w:rFonts w:hint="default" w:ascii="Times New Roman" w:hAnsi="Times New Roman" w:eastAsia="仿宋_GB2312" w:cs="Times New Roman"/>
          <w:color w:val="auto"/>
          <w:kern w:val="0"/>
          <w:sz w:val="28"/>
          <w:szCs w:val="28"/>
          <w:highlight w:val="none"/>
          <w:lang w:val="en-US" w:eastAsia="zh-CN"/>
        </w:rPr>
        <w:t>5</w:t>
      </w:r>
      <w:r>
        <w:rPr>
          <w:rFonts w:hint="default" w:ascii="Times New Roman" w:hAnsi="Times New Roman" w:eastAsia="仿宋_GB2312" w:cs="Times New Roman"/>
          <w:color w:val="auto"/>
          <w:kern w:val="0"/>
          <w:sz w:val="28"/>
          <w:szCs w:val="28"/>
          <w:highlight w:val="none"/>
        </w:rPr>
        <w:t>年度合规报告</w:t>
      </w:r>
      <w:r>
        <w:rPr>
          <w:rFonts w:hint="default" w:ascii="Times New Roman" w:hAnsi="Times New Roman" w:eastAsia="仿宋_GB2312" w:cs="Times New Roman"/>
          <w:color w:val="auto"/>
          <w:kern w:val="0"/>
          <w:sz w:val="28"/>
          <w:szCs w:val="28"/>
          <w:highlight w:val="none"/>
          <w:lang w:val="en-US" w:eastAsia="zh-CN"/>
        </w:rPr>
        <w:t>》《</w:t>
      </w:r>
      <w:r>
        <w:rPr>
          <w:rFonts w:hint="default" w:ascii="Times New Roman" w:hAnsi="Times New Roman" w:eastAsia="仿宋_GB2312" w:cs="Times New Roman"/>
          <w:color w:val="auto"/>
          <w:kern w:val="0"/>
          <w:sz w:val="28"/>
          <w:szCs w:val="28"/>
          <w:highlight w:val="none"/>
        </w:rPr>
        <w:t>高淳农商银行202</w:t>
      </w:r>
      <w:r>
        <w:rPr>
          <w:rFonts w:hint="default" w:ascii="Times New Roman" w:hAnsi="Times New Roman" w:eastAsia="仿宋_GB2312" w:cs="Times New Roman"/>
          <w:color w:val="auto"/>
          <w:kern w:val="0"/>
          <w:sz w:val="28"/>
          <w:szCs w:val="28"/>
          <w:highlight w:val="none"/>
          <w:lang w:val="en-US" w:eastAsia="zh-CN"/>
        </w:rPr>
        <w:t>5</w:t>
      </w:r>
      <w:r>
        <w:rPr>
          <w:rFonts w:hint="default" w:ascii="Times New Roman" w:hAnsi="Times New Roman" w:eastAsia="仿宋_GB2312" w:cs="Times New Roman"/>
          <w:color w:val="auto"/>
          <w:kern w:val="0"/>
          <w:sz w:val="28"/>
          <w:szCs w:val="28"/>
          <w:highlight w:val="none"/>
        </w:rPr>
        <w:t>年</w:t>
      </w:r>
      <w:r>
        <w:rPr>
          <w:rFonts w:hint="default" w:ascii="Times New Roman" w:hAnsi="Times New Roman" w:eastAsia="仿宋_GB2312" w:cs="Times New Roman"/>
          <w:color w:val="auto"/>
          <w:kern w:val="0"/>
          <w:sz w:val="28"/>
          <w:szCs w:val="28"/>
          <w:highlight w:val="none"/>
          <w:lang w:eastAsia="zh-CN"/>
        </w:rPr>
        <w:t>度审计工作报告</w:t>
      </w:r>
      <w:r>
        <w:rPr>
          <w:rFonts w:hint="default" w:ascii="Times New Roman" w:hAnsi="Times New Roman" w:eastAsia="仿宋_GB2312" w:cs="Times New Roman"/>
          <w:color w:val="auto"/>
          <w:kern w:val="0"/>
          <w:sz w:val="28"/>
          <w:szCs w:val="28"/>
          <w:highlight w:val="none"/>
          <w:lang w:val="en-US" w:eastAsia="zh-CN"/>
        </w:rPr>
        <w:t>》《关于召开高淳农商银行2026年度第一次股东会的提案》《</w:t>
      </w:r>
      <w:r>
        <w:rPr>
          <w:rFonts w:hint="default" w:ascii="Times New Roman" w:hAnsi="Times New Roman" w:eastAsia="仿宋_GB2312" w:cs="Times New Roman"/>
          <w:color w:val="auto"/>
          <w:kern w:val="0"/>
          <w:sz w:val="28"/>
          <w:szCs w:val="28"/>
          <w:highlight w:val="none"/>
        </w:rPr>
        <w:t>高淳农商银行202</w:t>
      </w:r>
      <w:r>
        <w:rPr>
          <w:rFonts w:hint="default" w:ascii="Times New Roman" w:hAnsi="Times New Roman" w:eastAsia="仿宋_GB2312" w:cs="Times New Roman"/>
          <w:color w:val="auto"/>
          <w:kern w:val="0"/>
          <w:sz w:val="28"/>
          <w:szCs w:val="28"/>
          <w:highlight w:val="none"/>
          <w:lang w:val="en-US" w:eastAsia="zh-CN"/>
        </w:rPr>
        <w:t>5</w:t>
      </w:r>
      <w:r>
        <w:rPr>
          <w:rFonts w:hint="default" w:ascii="Times New Roman" w:hAnsi="Times New Roman" w:eastAsia="仿宋_GB2312" w:cs="Times New Roman"/>
          <w:color w:val="auto"/>
          <w:kern w:val="0"/>
          <w:sz w:val="28"/>
          <w:szCs w:val="28"/>
          <w:highlight w:val="none"/>
        </w:rPr>
        <w:t>年度大股东评估报告</w:t>
      </w:r>
      <w:r>
        <w:rPr>
          <w:rFonts w:hint="default" w:ascii="Times New Roman" w:hAnsi="Times New Roman" w:eastAsia="仿宋_GB2312" w:cs="Times New Roman"/>
          <w:color w:val="auto"/>
          <w:kern w:val="0"/>
          <w:sz w:val="28"/>
          <w:szCs w:val="28"/>
          <w:highlight w:val="none"/>
          <w:lang w:val="en-US" w:eastAsia="zh-CN"/>
        </w:rPr>
        <w:t>》《</w:t>
      </w:r>
      <w:r>
        <w:rPr>
          <w:rFonts w:hint="default" w:ascii="Times New Roman" w:hAnsi="Times New Roman" w:eastAsia="仿宋_GB2312" w:cs="Times New Roman"/>
          <w:color w:val="auto"/>
          <w:kern w:val="0"/>
          <w:sz w:val="28"/>
          <w:szCs w:val="28"/>
          <w:highlight w:val="none"/>
        </w:rPr>
        <w:t>高淳农商银行202</w:t>
      </w:r>
      <w:r>
        <w:rPr>
          <w:rFonts w:hint="default" w:ascii="Times New Roman" w:hAnsi="Times New Roman" w:eastAsia="仿宋_GB2312" w:cs="Times New Roman"/>
          <w:color w:val="auto"/>
          <w:kern w:val="0"/>
          <w:sz w:val="28"/>
          <w:szCs w:val="28"/>
          <w:highlight w:val="none"/>
          <w:lang w:val="en-US" w:eastAsia="zh-CN"/>
        </w:rPr>
        <w:t>5</w:t>
      </w:r>
      <w:r>
        <w:rPr>
          <w:rFonts w:hint="default" w:ascii="Times New Roman" w:hAnsi="Times New Roman" w:eastAsia="仿宋_GB2312" w:cs="Times New Roman"/>
          <w:color w:val="auto"/>
          <w:kern w:val="0"/>
          <w:sz w:val="28"/>
          <w:szCs w:val="28"/>
          <w:highlight w:val="none"/>
        </w:rPr>
        <w:t>年度主要股东履约评价报告</w:t>
      </w:r>
      <w:r>
        <w:rPr>
          <w:rFonts w:hint="default" w:ascii="Times New Roman" w:hAnsi="Times New Roman" w:eastAsia="仿宋_GB2312" w:cs="Times New Roman"/>
          <w:color w:val="auto"/>
          <w:kern w:val="0"/>
          <w:sz w:val="28"/>
          <w:szCs w:val="28"/>
          <w:highlight w:val="none"/>
          <w:lang w:val="en-US" w:eastAsia="zh-CN"/>
        </w:rPr>
        <w:t>》《</w:t>
      </w:r>
      <w:r>
        <w:rPr>
          <w:rFonts w:hint="default" w:ascii="Times New Roman" w:hAnsi="Times New Roman" w:eastAsia="仿宋_GB2312" w:cs="Times New Roman"/>
          <w:color w:val="auto"/>
          <w:kern w:val="0"/>
          <w:sz w:val="28"/>
          <w:szCs w:val="28"/>
          <w:highlight w:val="none"/>
        </w:rPr>
        <w:t>高淳农商银行董事会对董事202</w:t>
      </w:r>
      <w:r>
        <w:rPr>
          <w:rFonts w:hint="default" w:ascii="Times New Roman" w:hAnsi="Times New Roman" w:eastAsia="仿宋_GB2312" w:cs="Times New Roman"/>
          <w:color w:val="auto"/>
          <w:kern w:val="0"/>
          <w:sz w:val="28"/>
          <w:szCs w:val="28"/>
          <w:highlight w:val="none"/>
          <w:lang w:val="en-US" w:eastAsia="zh-CN"/>
        </w:rPr>
        <w:t>5</w:t>
      </w:r>
      <w:r>
        <w:rPr>
          <w:rFonts w:hint="default" w:ascii="Times New Roman" w:hAnsi="Times New Roman" w:eastAsia="仿宋_GB2312" w:cs="Times New Roman"/>
          <w:color w:val="auto"/>
          <w:kern w:val="0"/>
          <w:sz w:val="28"/>
          <w:szCs w:val="28"/>
          <w:highlight w:val="none"/>
        </w:rPr>
        <w:t>年度履职评价报告</w:t>
      </w:r>
      <w:r>
        <w:rPr>
          <w:rFonts w:hint="default" w:ascii="Times New Roman" w:hAnsi="Times New Roman" w:eastAsia="仿宋_GB2312" w:cs="Times New Roman"/>
          <w:color w:val="auto"/>
          <w:kern w:val="0"/>
          <w:sz w:val="28"/>
          <w:szCs w:val="28"/>
          <w:highlight w:val="none"/>
          <w:lang w:val="en-US" w:eastAsia="zh-CN"/>
        </w:rPr>
        <w:t>》《</w:t>
      </w:r>
      <w:r>
        <w:rPr>
          <w:rFonts w:hint="default" w:ascii="Times New Roman" w:hAnsi="Times New Roman" w:eastAsia="仿宋_GB2312" w:cs="Times New Roman"/>
          <w:color w:val="auto"/>
          <w:kern w:val="0"/>
          <w:sz w:val="28"/>
          <w:szCs w:val="28"/>
          <w:highlight w:val="none"/>
          <w:lang w:val="zh-CN" w:eastAsia="zh-CN"/>
        </w:rPr>
        <w:t>高淳农商银行202</w:t>
      </w:r>
      <w:r>
        <w:rPr>
          <w:rFonts w:hint="default" w:ascii="Times New Roman" w:hAnsi="Times New Roman" w:eastAsia="仿宋_GB2312" w:cs="Times New Roman"/>
          <w:color w:val="auto"/>
          <w:kern w:val="0"/>
          <w:sz w:val="28"/>
          <w:szCs w:val="28"/>
          <w:highlight w:val="none"/>
          <w:lang w:val="en-US" w:eastAsia="zh-CN"/>
        </w:rPr>
        <w:t>5</w:t>
      </w:r>
      <w:r>
        <w:rPr>
          <w:rFonts w:hint="default" w:ascii="Times New Roman" w:hAnsi="Times New Roman" w:eastAsia="仿宋_GB2312" w:cs="Times New Roman"/>
          <w:color w:val="auto"/>
          <w:kern w:val="0"/>
          <w:sz w:val="28"/>
          <w:szCs w:val="28"/>
          <w:highlight w:val="none"/>
          <w:lang w:val="zh-CN" w:eastAsia="zh-CN"/>
        </w:rPr>
        <w:t>年度信息披露报告</w:t>
      </w:r>
      <w:r>
        <w:rPr>
          <w:rFonts w:hint="default" w:ascii="Times New Roman" w:hAnsi="Times New Roman" w:eastAsia="仿宋_GB2312" w:cs="Times New Roman"/>
          <w:color w:val="auto"/>
          <w:kern w:val="0"/>
          <w:sz w:val="28"/>
          <w:szCs w:val="28"/>
          <w:highlight w:val="none"/>
          <w:lang w:val="en-US" w:eastAsia="zh-CN"/>
        </w:rPr>
        <w:t>》《</w:t>
      </w:r>
      <w:r>
        <w:rPr>
          <w:rFonts w:hint="default" w:ascii="Times New Roman" w:hAnsi="Times New Roman" w:eastAsia="仿宋_GB2312" w:cs="Times New Roman"/>
          <w:color w:val="auto"/>
          <w:kern w:val="0"/>
          <w:sz w:val="28"/>
          <w:szCs w:val="28"/>
          <w:highlight w:val="none"/>
        </w:rPr>
        <w:t>高淳农商银行202</w:t>
      </w:r>
      <w:r>
        <w:rPr>
          <w:rFonts w:hint="default" w:ascii="Times New Roman" w:hAnsi="Times New Roman" w:eastAsia="仿宋_GB2312" w:cs="Times New Roman"/>
          <w:color w:val="auto"/>
          <w:kern w:val="0"/>
          <w:sz w:val="28"/>
          <w:szCs w:val="28"/>
          <w:highlight w:val="none"/>
          <w:lang w:val="en-US" w:eastAsia="zh-CN"/>
        </w:rPr>
        <w:t>5</w:t>
      </w:r>
      <w:r>
        <w:rPr>
          <w:rFonts w:hint="default" w:ascii="Times New Roman" w:hAnsi="Times New Roman" w:eastAsia="仿宋_GB2312" w:cs="Times New Roman"/>
          <w:color w:val="auto"/>
          <w:kern w:val="0"/>
          <w:sz w:val="28"/>
          <w:szCs w:val="28"/>
          <w:highlight w:val="none"/>
        </w:rPr>
        <w:t>年度财务预算执行情况暨202</w:t>
      </w:r>
      <w:r>
        <w:rPr>
          <w:rFonts w:hint="default" w:ascii="Times New Roman" w:hAnsi="Times New Roman" w:eastAsia="仿宋_GB2312" w:cs="Times New Roman"/>
          <w:color w:val="auto"/>
          <w:kern w:val="0"/>
          <w:sz w:val="28"/>
          <w:szCs w:val="28"/>
          <w:highlight w:val="none"/>
          <w:lang w:val="en-US" w:eastAsia="zh-CN"/>
        </w:rPr>
        <w:t>6</w:t>
      </w:r>
      <w:r>
        <w:rPr>
          <w:rFonts w:hint="default" w:ascii="Times New Roman" w:hAnsi="Times New Roman" w:eastAsia="仿宋_GB2312" w:cs="Times New Roman"/>
          <w:color w:val="auto"/>
          <w:kern w:val="0"/>
          <w:sz w:val="28"/>
          <w:szCs w:val="28"/>
          <w:highlight w:val="none"/>
        </w:rPr>
        <w:t>年度财务收支预算编制情况报告</w:t>
      </w:r>
      <w:r>
        <w:rPr>
          <w:rFonts w:hint="default" w:ascii="Times New Roman" w:hAnsi="Times New Roman" w:eastAsia="仿宋_GB2312" w:cs="Times New Roman"/>
          <w:color w:val="auto"/>
          <w:kern w:val="0"/>
          <w:sz w:val="28"/>
          <w:szCs w:val="28"/>
          <w:highlight w:val="none"/>
          <w:lang w:val="en-US" w:eastAsia="zh-CN"/>
        </w:rPr>
        <w:t>》《</w:t>
      </w:r>
      <w:r>
        <w:rPr>
          <w:rFonts w:hint="default" w:ascii="Times New Roman" w:hAnsi="Times New Roman" w:eastAsia="仿宋_GB2312" w:cs="Times New Roman"/>
          <w:color w:val="auto"/>
          <w:kern w:val="0"/>
          <w:sz w:val="28"/>
          <w:szCs w:val="28"/>
          <w:highlight w:val="none"/>
        </w:rPr>
        <w:t>关于高淳农商银行202</w:t>
      </w:r>
      <w:r>
        <w:rPr>
          <w:rFonts w:hint="default" w:ascii="Times New Roman" w:hAnsi="Times New Roman" w:eastAsia="仿宋_GB2312" w:cs="Times New Roman"/>
          <w:color w:val="auto"/>
          <w:kern w:val="0"/>
          <w:sz w:val="28"/>
          <w:szCs w:val="28"/>
          <w:highlight w:val="none"/>
          <w:lang w:val="en-US" w:eastAsia="zh-CN"/>
        </w:rPr>
        <w:t>5</w:t>
      </w:r>
      <w:r>
        <w:rPr>
          <w:rFonts w:hint="default" w:ascii="Times New Roman" w:hAnsi="Times New Roman" w:eastAsia="仿宋_GB2312" w:cs="Times New Roman"/>
          <w:color w:val="auto"/>
          <w:kern w:val="0"/>
          <w:sz w:val="28"/>
          <w:szCs w:val="28"/>
          <w:highlight w:val="none"/>
        </w:rPr>
        <w:t>年度</w:t>
      </w:r>
      <w:r>
        <w:rPr>
          <w:rFonts w:hint="default" w:ascii="Times New Roman" w:hAnsi="Times New Roman" w:eastAsia="仿宋_GB2312" w:cs="Times New Roman"/>
          <w:color w:val="auto"/>
          <w:kern w:val="0"/>
          <w:sz w:val="28"/>
          <w:szCs w:val="28"/>
          <w:highlight w:val="none"/>
          <w:lang w:eastAsia="zh-CN"/>
        </w:rPr>
        <w:t>拟</w:t>
      </w:r>
      <w:r>
        <w:rPr>
          <w:rFonts w:hint="default" w:ascii="Times New Roman" w:hAnsi="Times New Roman" w:eastAsia="仿宋_GB2312" w:cs="Times New Roman"/>
          <w:color w:val="auto"/>
          <w:kern w:val="0"/>
          <w:sz w:val="28"/>
          <w:szCs w:val="28"/>
          <w:highlight w:val="none"/>
        </w:rPr>
        <w:t>利润分配方案的提案</w:t>
      </w:r>
      <w:r>
        <w:rPr>
          <w:rFonts w:hint="default" w:ascii="Times New Roman" w:hAnsi="Times New Roman" w:eastAsia="仿宋_GB2312" w:cs="Times New Roman"/>
          <w:color w:val="auto"/>
          <w:kern w:val="0"/>
          <w:sz w:val="28"/>
          <w:szCs w:val="28"/>
          <w:highlight w:val="none"/>
          <w:lang w:val="en-US" w:eastAsia="zh-CN"/>
        </w:rPr>
        <w:t>》《关于变更注册资本的提案（草案）》《关于修订&lt;高淳农商银行章程&gt;的提案（草案）》《</w:t>
      </w:r>
      <w:r>
        <w:rPr>
          <w:rFonts w:hint="default" w:ascii="Times New Roman" w:hAnsi="Times New Roman" w:eastAsia="仿宋_GB2312" w:cs="Times New Roman"/>
          <w:color w:val="auto"/>
          <w:kern w:val="0"/>
          <w:sz w:val="28"/>
          <w:szCs w:val="28"/>
          <w:highlight w:val="none"/>
        </w:rPr>
        <w:t>关于制定</w:t>
      </w:r>
      <w:r>
        <w:rPr>
          <w:rFonts w:hint="default" w:ascii="Times New Roman" w:hAnsi="Times New Roman" w:eastAsia="仿宋_GB2312" w:cs="Times New Roman"/>
          <w:color w:val="auto"/>
          <w:kern w:val="0"/>
          <w:sz w:val="28"/>
          <w:szCs w:val="28"/>
          <w:highlight w:val="none"/>
          <w:lang w:val="en-US" w:eastAsia="zh-CN"/>
        </w:rPr>
        <w:t>&lt;</w:t>
      </w:r>
      <w:r>
        <w:rPr>
          <w:rFonts w:hint="default" w:ascii="Times New Roman" w:hAnsi="Times New Roman" w:eastAsia="仿宋_GB2312" w:cs="Times New Roman"/>
          <w:color w:val="auto"/>
          <w:kern w:val="0"/>
          <w:sz w:val="28"/>
          <w:szCs w:val="28"/>
          <w:highlight w:val="none"/>
        </w:rPr>
        <w:t>高淳农商银行202</w:t>
      </w:r>
      <w:r>
        <w:rPr>
          <w:rFonts w:hint="default" w:ascii="Times New Roman" w:hAnsi="Times New Roman" w:eastAsia="仿宋_GB2312" w:cs="Times New Roman"/>
          <w:color w:val="auto"/>
          <w:kern w:val="0"/>
          <w:sz w:val="28"/>
          <w:szCs w:val="28"/>
          <w:highlight w:val="none"/>
          <w:lang w:val="en-US" w:eastAsia="zh-CN"/>
        </w:rPr>
        <w:t>6</w:t>
      </w:r>
      <w:r>
        <w:rPr>
          <w:rFonts w:hint="default" w:ascii="Times New Roman" w:hAnsi="Times New Roman" w:eastAsia="仿宋_GB2312" w:cs="Times New Roman"/>
          <w:color w:val="auto"/>
          <w:kern w:val="0"/>
          <w:sz w:val="28"/>
          <w:szCs w:val="28"/>
          <w:highlight w:val="none"/>
        </w:rPr>
        <w:t>年度绿色信贷工作实施方案</w:t>
      </w:r>
      <w:r>
        <w:rPr>
          <w:rFonts w:hint="default" w:ascii="Times New Roman" w:hAnsi="Times New Roman" w:eastAsia="仿宋_GB2312" w:cs="Times New Roman"/>
          <w:color w:val="auto"/>
          <w:kern w:val="0"/>
          <w:sz w:val="28"/>
          <w:szCs w:val="28"/>
          <w:highlight w:val="none"/>
          <w:lang w:val="en-US" w:eastAsia="zh-CN"/>
        </w:rPr>
        <w:t>&gt;</w:t>
      </w:r>
      <w:r>
        <w:rPr>
          <w:rFonts w:hint="default" w:ascii="Times New Roman" w:hAnsi="Times New Roman" w:eastAsia="仿宋_GB2312" w:cs="Times New Roman"/>
          <w:color w:val="auto"/>
          <w:kern w:val="0"/>
          <w:sz w:val="28"/>
          <w:szCs w:val="28"/>
          <w:highlight w:val="none"/>
        </w:rPr>
        <w:t>的提案</w:t>
      </w:r>
      <w:r>
        <w:rPr>
          <w:rFonts w:hint="default" w:ascii="Times New Roman" w:hAnsi="Times New Roman" w:eastAsia="仿宋_GB2312" w:cs="Times New Roman"/>
          <w:color w:val="auto"/>
          <w:kern w:val="0"/>
          <w:sz w:val="28"/>
          <w:szCs w:val="28"/>
          <w:highlight w:val="none"/>
          <w:lang w:val="en-US" w:eastAsia="zh-CN"/>
        </w:rPr>
        <w:t>》《</w:t>
      </w:r>
      <w:r>
        <w:rPr>
          <w:rFonts w:hint="default" w:ascii="Times New Roman" w:hAnsi="Times New Roman" w:eastAsia="仿宋_GB2312" w:cs="Times New Roman"/>
          <w:color w:val="auto"/>
          <w:kern w:val="0"/>
          <w:sz w:val="28"/>
          <w:szCs w:val="28"/>
          <w:highlight w:val="none"/>
        </w:rPr>
        <w:t>高淳农商银行202</w:t>
      </w:r>
      <w:r>
        <w:rPr>
          <w:rFonts w:hint="default" w:ascii="Times New Roman" w:hAnsi="Times New Roman" w:eastAsia="仿宋_GB2312" w:cs="Times New Roman"/>
          <w:color w:val="auto"/>
          <w:kern w:val="0"/>
          <w:sz w:val="28"/>
          <w:szCs w:val="28"/>
          <w:highlight w:val="none"/>
          <w:lang w:val="en-US" w:eastAsia="zh-CN"/>
        </w:rPr>
        <w:t>6</w:t>
      </w:r>
      <w:r>
        <w:rPr>
          <w:rFonts w:hint="default" w:ascii="Times New Roman" w:hAnsi="Times New Roman" w:eastAsia="仿宋_GB2312" w:cs="Times New Roman"/>
          <w:color w:val="auto"/>
          <w:kern w:val="0"/>
          <w:sz w:val="28"/>
          <w:szCs w:val="28"/>
          <w:highlight w:val="none"/>
        </w:rPr>
        <w:t>年度信息科技建设预算报告</w:t>
      </w:r>
      <w:r>
        <w:rPr>
          <w:rFonts w:hint="default" w:ascii="Times New Roman" w:hAnsi="Times New Roman" w:eastAsia="仿宋_GB2312" w:cs="Times New Roman"/>
          <w:color w:val="auto"/>
          <w:kern w:val="0"/>
          <w:sz w:val="28"/>
          <w:szCs w:val="28"/>
          <w:highlight w:val="none"/>
          <w:lang w:val="en-US" w:eastAsia="zh-CN"/>
        </w:rPr>
        <w:t>》《关于制定&lt;高淳农商银行业务连续性管理策略（试行）&gt;的提案》《</w:t>
      </w:r>
      <w:r>
        <w:rPr>
          <w:rFonts w:hint="default" w:ascii="Times New Roman" w:hAnsi="Times New Roman" w:eastAsia="仿宋_GB2312" w:cs="Times New Roman"/>
          <w:color w:val="auto"/>
          <w:kern w:val="0"/>
          <w:sz w:val="28"/>
          <w:szCs w:val="28"/>
          <w:highlight w:val="none"/>
        </w:rPr>
        <w:t>关于高淳农商银行负责人202</w:t>
      </w:r>
      <w:r>
        <w:rPr>
          <w:rFonts w:hint="default" w:ascii="Times New Roman" w:hAnsi="Times New Roman" w:eastAsia="仿宋_GB2312" w:cs="Times New Roman"/>
          <w:color w:val="auto"/>
          <w:kern w:val="0"/>
          <w:sz w:val="28"/>
          <w:szCs w:val="28"/>
          <w:highlight w:val="none"/>
          <w:lang w:val="en-US" w:eastAsia="zh-CN"/>
        </w:rPr>
        <w:t>6</w:t>
      </w:r>
      <w:r>
        <w:rPr>
          <w:rFonts w:hint="default" w:ascii="Times New Roman" w:hAnsi="Times New Roman" w:eastAsia="仿宋_GB2312" w:cs="Times New Roman"/>
          <w:color w:val="auto"/>
          <w:kern w:val="0"/>
          <w:sz w:val="28"/>
          <w:szCs w:val="28"/>
          <w:highlight w:val="none"/>
        </w:rPr>
        <w:t>年履职待遇及业务支出预算的提案</w:t>
      </w:r>
      <w:r>
        <w:rPr>
          <w:rFonts w:hint="default" w:ascii="Times New Roman" w:hAnsi="Times New Roman" w:eastAsia="仿宋_GB2312" w:cs="Times New Roman"/>
          <w:color w:val="auto"/>
          <w:kern w:val="0"/>
          <w:sz w:val="28"/>
          <w:szCs w:val="28"/>
          <w:highlight w:val="none"/>
          <w:lang w:val="en-US" w:eastAsia="zh-CN"/>
        </w:rPr>
        <w:t>》《</w:t>
      </w:r>
      <w:r>
        <w:rPr>
          <w:rFonts w:hint="default" w:ascii="Times New Roman" w:hAnsi="Times New Roman" w:eastAsia="仿宋_GB2312" w:cs="Times New Roman"/>
          <w:color w:val="auto"/>
          <w:kern w:val="0"/>
          <w:sz w:val="28"/>
          <w:szCs w:val="28"/>
          <w:highlight w:val="none"/>
        </w:rPr>
        <w:t>关于制定</w:t>
      </w:r>
      <w:r>
        <w:rPr>
          <w:rFonts w:hint="default" w:ascii="Times New Roman" w:hAnsi="Times New Roman" w:eastAsia="仿宋_GB2312" w:cs="Times New Roman"/>
          <w:color w:val="auto"/>
          <w:kern w:val="0"/>
          <w:sz w:val="28"/>
          <w:szCs w:val="28"/>
          <w:highlight w:val="none"/>
          <w:lang w:val="en-US" w:eastAsia="zh-CN"/>
        </w:rPr>
        <w:t>&lt;</w:t>
      </w:r>
      <w:r>
        <w:rPr>
          <w:rFonts w:hint="default" w:ascii="Times New Roman" w:hAnsi="Times New Roman" w:eastAsia="仿宋_GB2312" w:cs="Times New Roman"/>
          <w:color w:val="auto"/>
          <w:kern w:val="0"/>
          <w:sz w:val="28"/>
          <w:szCs w:val="28"/>
          <w:highlight w:val="none"/>
        </w:rPr>
        <w:t>高淳农商银行2026年度领导班子人员考核办法</w:t>
      </w:r>
      <w:r>
        <w:rPr>
          <w:rFonts w:hint="default" w:ascii="Times New Roman" w:hAnsi="Times New Roman" w:eastAsia="仿宋_GB2312" w:cs="Times New Roman"/>
          <w:color w:val="auto"/>
          <w:kern w:val="0"/>
          <w:sz w:val="28"/>
          <w:szCs w:val="28"/>
          <w:highlight w:val="none"/>
          <w:lang w:val="en-US" w:eastAsia="zh-CN"/>
        </w:rPr>
        <w:t>&gt;</w:t>
      </w:r>
      <w:r>
        <w:rPr>
          <w:rFonts w:hint="default" w:ascii="Times New Roman" w:hAnsi="Times New Roman" w:eastAsia="仿宋_GB2312" w:cs="Times New Roman"/>
          <w:color w:val="auto"/>
          <w:kern w:val="0"/>
          <w:sz w:val="28"/>
          <w:szCs w:val="28"/>
          <w:highlight w:val="none"/>
        </w:rPr>
        <w:t>的</w:t>
      </w:r>
      <w:r>
        <w:rPr>
          <w:rFonts w:hint="default" w:ascii="Times New Roman" w:hAnsi="Times New Roman" w:eastAsia="仿宋_GB2312" w:cs="Times New Roman"/>
          <w:color w:val="auto"/>
          <w:kern w:val="0"/>
          <w:sz w:val="28"/>
          <w:szCs w:val="28"/>
          <w:highlight w:val="none"/>
          <w:lang w:eastAsia="zh-CN"/>
        </w:rPr>
        <w:t>提</w:t>
      </w:r>
      <w:r>
        <w:rPr>
          <w:rFonts w:hint="default" w:ascii="Times New Roman" w:hAnsi="Times New Roman" w:eastAsia="仿宋_GB2312" w:cs="Times New Roman"/>
          <w:color w:val="auto"/>
          <w:kern w:val="0"/>
          <w:sz w:val="28"/>
          <w:szCs w:val="28"/>
          <w:highlight w:val="none"/>
        </w:rPr>
        <w:t>案</w:t>
      </w:r>
      <w:r>
        <w:rPr>
          <w:rFonts w:hint="default" w:ascii="Times New Roman" w:hAnsi="Times New Roman" w:eastAsia="仿宋_GB2312" w:cs="Times New Roman"/>
          <w:color w:val="auto"/>
          <w:kern w:val="0"/>
          <w:sz w:val="28"/>
          <w:szCs w:val="28"/>
          <w:highlight w:val="none"/>
          <w:lang w:val="en-US" w:eastAsia="zh-CN"/>
        </w:rPr>
        <w:t>》《</w:t>
      </w:r>
      <w:r>
        <w:rPr>
          <w:rFonts w:hint="default" w:ascii="Times New Roman" w:hAnsi="Times New Roman" w:eastAsia="仿宋_GB2312" w:cs="Times New Roman"/>
          <w:color w:val="auto"/>
          <w:kern w:val="0"/>
          <w:sz w:val="28"/>
          <w:szCs w:val="28"/>
          <w:highlight w:val="none"/>
        </w:rPr>
        <w:t>高淳农商银行202</w:t>
      </w:r>
      <w:r>
        <w:rPr>
          <w:rFonts w:hint="default" w:ascii="Times New Roman" w:hAnsi="Times New Roman" w:eastAsia="仿宋_GB2312" w:cs="Times New Roman"/>
          <w:color w:val="auto"/>
          <w:kern w:val="0"/>
          <w:sz w:val="28"/>
          <w:szCs w:val="28"/>
          <w:highlight w:val="none"/>
          <w:lang w:val="en-US" w:eastAsia="zh-CN"/>
        </w:rPr>
        <w:t>5</w:t>
      </w:r>
      <w:r>
        <w:rPr>
          <w:rFonts w:hint="default" w:ascii="Times New Roman" w:hAnsi="Times New Roman" w:eastAsia="仿宋_GB2312" w:cs="Times New Roman"/>
          <w:color w:val="auto"/>
          <w:kern w:val="0"/>
          <w:sz w:val="28"/>
          <w:szCs w:val="28"/>
          <w:highlight w:val="none"/>
        </w:rPr>
        <w:t>年度战略执行与管理情况评估报告</w:t>
      </w:r>
      <w:r>
        <w:rPr>
          <w:rFonts w:hint="default" w:ascii="Times New Roman" w:hAnsi="Times New Roman" w:eastAsia="仿宋_GB2312" w:cs="Times New Roman"/>
          <w:color w:val="auto"/>
          <w:kern w:val="0"/>
          <w:sz w:val="28"/>
          <w:szCs w:val="28"/>
          <w:highlight w:val="none"/>
          <w:lang w:val="en-US" w:eastAsia="zh-CN"/>
        </w:rPr>
        <w:t>》《</w:t>
      </w:r>
      <w:r>
        <w:rPr>
          <w:rFonts w:hint="default" w:ascii="Times New Roman" w:hAnsi="Times New Roman" w:eastAsia="仿宋_GB2312" w:cs="Times New Roman"/>
          <w:color w:val="auto"/>
          <w:kern w:val="0"/>
          <w:sz w:val="28"/>
          <w:szCs w:val="28"/>
          <w:highlight w:val="none"/>
        </w:rPr>
        <w:t>高淳农商银行202</w:t>
      </w:r>
      <w:r>
        <w:rPr>
          <w:rFonts w:hint="default" w:ascii="Times New Roman" w:hAnsi="Times New Roman" w:eastAsia="仿宋_GB2312" w:cs="Times New Roman"/>
          <w:color w:val="auto"/>
          <w:kern w:val="0"/>
          <w:sz w:val="28"/>
          <w:szCs w:val="28"/>
          <w:highlight w:val="none"/>
          <w:lang w:val="en-US" w:eastAsia="zh-CN"/>
        </w:rPr>
        <w:t>5</w:t>
      </w:r>
      <w:r>
        <w:rPr>
          <w:rFonts w:hint="default" w:ascii="Times New Roman" w:hAnsi="Times New Roman" w:eastAsia="仿宋_GB2312" w:cs="Times New Roman"/>
          <w:color w:val="auto"/>
          <w:kern w:val="0"/>
          <w:sz w:val="28"/>
          <w:szCs w:val="28"/>
          <w:highlight w:val="none"/>
        </w:rPr>
        <w:t>年度关联交易情况报告</w:t>
      </w:r>
      <w:r>
        <w:rPr>
          <w:rFonts w:hint="default" w:ascii="Times New Roman" w:hAnsi="Times New Roman" w:eastAsia="仿宋_GB2312" w:cs="Times New Roman"/>
          <w:color w:val="auto"/>
          <w:kern w:val="0"/>
          <w:sz w:val="28"/>
          <w:szCs w:val="28"/>
          <w:highlight w:val="none"/>
          <w:lang w:val="en-US" w:eastAsia="zh-CN"/>
        </w:rPr>
        <w:t>》《关于聘任高旭东同志为首席合规官的提案》《高淳农商银行关于机构调整的提案》《</w:t>
      </w:r>
      <w:r>
        <w:rPr>
          <w:rFonts w:hint="default" w:ascii="Times New Roman" w:hAnsi="Times New Roman" w:eastAsia="仿宋_GB2312" w:cs="Times New Roman"/>
          <w:color w:val="auto"/>
          <w:kern w:val="0"/>
          <w:sz w:val="30"/>
          <w:szCs w:val="30"/>
          <w:highlight w:val="none"/>
        </w:rPr>
        <w:t>关于第五届董事会对行长授权书的提案</w:t>
      </w:r>
      <w:r>
        <w:rPr>
          <w:rFonts w:hint="default" w:ascii="Times New Roman" w:hAnsi="Times New Roman" w:eastAsia="仿宋_GB2312" w:cs="Times New Roman"/>
          <w:color w:val="auto"/>
          <w:kern w:val="0"/>
          <w:sz w:val="28"/>
          <w:szCs w:val="28"/>
          <w:highlight w:val="none"/>
          <w:lang w:val="en-US" w:eastAsia="zh-CN"/>
        </w:rPr>
        <w:t>》《</w:t>
      </w:r>
      <w:r>
        <w:rPr>
          <w:rFonts w:hint="default" w:ascii="Times New Roman" w:hAnsi="Times New Roman" w:eastAsia="仿宋_GB2312" w:cs="Times New Roman"/>
          <w:color w:val="auto"/>
          <w:kern w:val="0"/>
          <w:sz w:val="30"/>
          <w:szCs w:val="30"/>
          <w:highlight w:val="none"/>
        </w:rPr>
        <w:t>关于第五届董事会对经营层反洗钱工作授权书的提案</w:t>
      </w:r>
      <w:r>
        <w:rPr>
          <w:rFonts w:hint="default" w:ascii="Times New Roman" w:hAnsi="Times New Roman" w:eastAsia="仿宋_GB2312" w:cs="Times New Roman"/>
          <w:color w:val="auto"/>
          <w:kern w:val="0"/>
          <w:sz w:val="28"/>
          <w:szCs w:val="28"/>
          <w:highlight w:val="none"/>
          <w:lang w:val="en-US" w:eastAsia="zh-CN"/>
        </w:rPr>
        <w:t>》。</w:t>
      </w:r>
    </w:p>
    <w:p>
      <w:pPr>
        <w:keepNext w:val="0"/>
        <w:keepLines w:val="0"/>
        <w:pageBreakBefore w:val="0"/>
        <w:kinsoku/>
        <w:wordWrap/>
        <w:overflowPunct/>
        <w:topLinePunct w:val="0"/>
        <w:autoSpaceDE/>
        <w:autoSpaceDN/>
        <w:bidi w:val="0"/>
        <w:adjustRightInd/>
        <w:snapToGrid/>
        <w:spacing w:line="480" w:lineRule="exact"/>
        <w:ind w:firstLine="604" w:firstLineChars="200"/>
        <w:jc w:val="both"/>
        <w:textAlignment w:val="auto"/>
        <w:rPr>
          <w:rFonts w:hint="default" w:ascii="Times New Roman" w:hAnsi="Times New Roman" w:eastAsia="仿宋_GB2312" w:cs="Times New Roman"/>
          <w:color w:val="auto"/>
          <w:spacing w:val="0"/>
          <w:kern w:val="2"/>
          <w:sz w:val="28"/>
          <w:szCs w:val="28"/>
          <w:highlight w:val="none"/>
        </w:rPr>
      </w:pPr>
      <w:r>
        <w:rPr>
          <w:rFonts w:hint="default" w:ascii="Times New Roman" w:hAnsi="Times New Roman" w:eastAsia="仿宋_GB2312" w:cs="Times New Roman"/>
          <w:color w:val="auto"/>
          <w:spacing w:val="0"/>
          <w:kern w:val="2"/>
          <w:sz w:val="28"/>
          <w:szCs w:val="28"/>
          <w:highlight w:val="none"/>
        </w:rPr>
        <w:t>2.</w:t>
      </w:r>
      <w:r>
        <w:rPr>
          <w:rFonts w:hint="default" w:ascii="Times New Roman" w:hAnsi="Times New Roman" w:eastAsia="仿宋_GB2312" w:cs="Times New Roman"/>
          <w:color w:val="auto"/>
          <w:spacing w:val="0"/>
          <w:kern w:val="2"/>
          <w:sz w:val="28"/>
          <w:szCs w:val="28"/>
          <w:highlight w:val="none"/>
          <w:lang w:val="en-US" w:eastAsia="zh-CN"/>
        </w:rPr>
        <w:t>2026</w:t>
      </w:r>
      <w:r>
        <w:rPr>
          <w:rFonts w:hint="default" w:ascii="Times New Roman" w:hAnsi="Times New Roman" w:eastAsia="仿宋_GB2312" w:cs="Times New Roman"/>
          <w:color w:val="auto"/>
          <w:spacing w:val="0"/>
          <w:kern w:val="2"/>
          <w:sz w:val="28"/>
          <w:szCs w:val="28"/>
          <w:highlight w:val="none"/>
        </w:rPr>
        <w:t>年</w:t>
      </w:r>
      <w:r>
        <w:rPr>
          <w:rFonts w:hint="default" w:ascii="Times New Roman" w:hAnsi="Times New Roman" w:eastAsia="仿宋_GB2312" w:cs="Times New Roman"/>
          <w:color w:val="auto"/>
          <w:spacing w:val="0"/>
          <w:kern w:val="2"/>
          <w:sz w:val="28"/>
          <w:szCs w:val="28"/>
          <w:highlight w:val="none"/>
          <w:lang w:val="en-US" w:eastAsia="zh-CN"/>
        </w:rPr>
        <w:t>3</w:t>
      </w:r>
      <w:r>
        <w:rPr>
          <w:rFonts w:hint="default" w:ascii="Times New Roman" w:hAnsi="Times New Roman" w:eastAsia="仿宋_GB2312" w:cs="Times New Roman"/>
          <w:color w:val="auto"/>
          <w:spacing w:val="0"/>
          <w:kern w:val="2"/>
          <w:sz w:val="28"/>
          <w:szCs w:val="28"/>
          <w:highlight w:val="none"/>
        </w:rPr>
        <w:t>月</w:t>
      </w:r>
      <w:r>
        <w:rPr>
          <w:rFonts w:hint="default" w:ascii="Times New Roman" w:hAnsi="Times New Roman" w:eastAsia="仿宋_GB2312" w:cs="Times New Roman"/>
          <w:color w:val="auto"/>
          <w:spacing w:val="0"/>
          <w:kern w:val="2"/>
          <w:sz w:val="28"/>
          <w:szCs w:val="28"/>
          <w:highlight w:val="none"/>
          <w:lang w:val="en-US" w:eastAsia="zh-CN"/>
        </w:rPr>
        <w:t>9</w:t>
      </w:r>
      <w:r>
        <w:rPr>
          <w:rFonts w:hint="default" w:ascii="Times New Roman" w:hAnsi="Times New Roman" w:eastAsia="仿宋_GB2312" w:cs="Times New Roman"/>
          <w:color w:val="auto"/>
          <w:spacing w:val="0"/>
          <w:kern w:val="2"/>
          <w:sz w:val="28"/>
          <w:szCs w:val="28"/>
          <w:highlight w:val="none"/>
        </w:rPr>
        <w:t>日，</w:t>
      </w:r>
      <w:r>
        <w:rPr>
          <w:rFonts w:hint="default" w:ascii="Times New Roman" w:hAnsi="Times New Roman" w:eastAsia="仿宋_GB2312" w:cs="Times New Roman"/>
          <w:color w:val="auto"/>
          <w:spacing w:val="0"/>
          <w:kern w:val="2"/>
          <w:sz w:val="28"/>
          <w:szCs w:val="28"/>
          <w:highlight w:val="none"/>
          <w:lang w:eastAsia="zh-CN"/>
        </w:rPr>
        <w:t>本行</w:t>
      </w:r>
      <w:r>
        <w:rPr>
          <w:rFonts w:hint="default" w:ascii="Times New Roman" w:hAnsi="Times New Roman" w:eastAsia="仿宋_GB2312" w:cs="Times New Roman"/>
          <w:color w:val="auto"/>
          <w:spacing w:val="0"/>
          <w:kern w:val="2"/>
          <w:sz w:val="28"/>
          <w:szCs w:val="28"/>
          <w:highlight w:val="none"/>
        </w:rPr>
        <w:t>召开第五届董事会第</w:t>
      </w:r>
      <w:r>
        <w:rPr>
          <w:rFonts w:hint="default" w:ascii="Times New Roman" w:hAnsi="Times New Roman" w:eastAsia="仿宋_GB2312" w:cs="Times New Roman"/>
          <w:color w:val="auto"/>
          <w:spacing w:val="0"/>
          <w:kern w:val="2"/>
          <w:sz w:val="28"/>
          <w:szCs w:val="28"/>
          <w:highlight w:val="none"/>
          <w:lang w:val="en-US" w:eastAsia="zh-CN"/>
        </w:rPr>
        <w:t>二</w:t>
      </w:r>
      <w:r>
        <w:rPr>
          <w:rFonts w:hint="default" w:ascii="Times New Roman" w:hAnsi="Times New Roman" w:eastAsia="仿宋_GB2312" w:cs="Times New Roman"/>
          <w:color w:val="auto"/>
          <w:spacing w:val="0"/>
          <w:kern w:val="2"/>
          <w:sz w:val="28"/>
          <w:szCs w:val="28"/>
          <w:highlight w:val="none"/>
        </w:rPr>
        <w:t>次</w:t>
      </w:r>
      <w:r>
        <w:rPr>
          <w:rFonts w:hint="default" w:ascii="Times New Roman" w:hAnsi="Times New Roman" w:eastAsia="仿宋_GB2312" w:cs="Times New Roman"/>
          <w:color w:val="auto"/>
          <w:spacing w:val="0"/>
          <w:kern w:val="2"/>
          <w:sz w:val="28"/>
          <w:szCs w:val="28"/>
          <w:highlight w:val="none"/>
          <w:lang w:val="en-US" w:eastAsia="zh-CN"/>
        </w:rPr>
        <w:t>临时</w:t>
      </w:r>
      <w:r>
        <w:rPr>
          <w:rFonts w:hint="default" w:ascii="Times New Roman" w:hAnsi="Times New Roman" w:eastAsia="仿宋_GB2312" w:cs="Times New Roman"/>
          <w:color w:val="auto"/>
          <w:spacing w:val="0"/>
          <w:kern w:val="2"/>
          <w:sz w:val="28"/>
          <w:szCs w:val="28"/>
          <w:highlight w:val="none"/>
        </w:rPr>
        <w:t>会议，会议形式为</w:t>
      </w:r>
      <w:r>
        <w:rPr>
          <w:rFonts w:hint="default" w:ascii="Times New Roman" w:hAnsi="Times New Roman" w:eastAsia="仿宋_GB2312" w:cs="Times New Roman"/>
          <w:color w:val="auto"/>
          <w:spacing w:val="0"/>
          <w:kern w:val="2"/>
          <w:sz w:val="28"/>
          <w:szCs w:val="28"/>
          <w:highlight w:val="none"/>
          <w:lang w:eastAsia="zh-CN"/>
        </w:rPr>
        <w:t>视频会议</w:t>
      </w:r>
      <w:r>
        <w:rPr>
          <w:rFonts w:hint="default" w:ascii="Times New Roman" w:hAnsi="Times New Roman" w:eastAsia="仿宋_GB2312" w:cs="Times New Roman"/>
          <w:color w:val="auto"/>
          <w:spacing w:val="0"/>
          <w:kern w:val="2"/>
          <w:sz w:val="28"/>
          <w:szCs w:val="28"/>
          <w:highlight w:val="none"/>
        </w:rPr>
        <w:t>，应出席董事</w:t>
      </w:r>
      <w:r>
        <w:rPr>
          <w:rFonts w:hint="default" w:ascii="Times New Roman" w:hAnsi="Times New Roman" w:eastAsia="仿宋_GB2312" w:cs="Times New Roman"/>
          <w:color w:val="auto"/>
          <w:spacing w:val="0"/>
          <w:kern w:val="2"/>
          <w:sz w:val="28"/>
          <w:szCs w:val="28"/>
          <w:highlight w:val="none"/>
          <w:lang w:val="en-US" w:eastAsia="zh-CN"/>
        </w:rPr>
        <w:t>13</w:t>
      </w:r>
      <w:r>
        <w:rPr>
          <w:rFonts w:hint="default" w:ascii="Times New Roman" w:hAnsi="Times New Roman" w:eastAsia="仿宋_GB2312" w:cs="Times New Roman"/>
          <w:color w:val="auto"/>
          <w:spacing w:val="0"/>
          <w:kern w:val="2"/>
          <w:sz w:val="28"/>
          <w:szCs w:val="28"/>
          <w:highlight w:val="none"/>
        </w:rPr>
        <w:t>人，参与表决董事1</w:t>
      </w:r>
      <w:r>
        <w:rPr>
          <w:rFonts w:hint="default" w:ascii="Times New Roman" w:hAnsi="Times New Roman" w:eastAsia="仿宋_GB2312" w:cs="Times New Roman"/>
          <w:color w:val="auto"/>
          <w:spacing w:val="0"/>
          <w:kern w:val="2"/>
          <w:sz w:val="28"/>
          <w:szCs w:val="28"/>
          <w:highlight w:val="none"/>
          <w:lang w:val="en-US" w:eastAsia="zh-CN"/>
        </w:rPr>
        <w:t>2</w:t>
      </w:r>
      <w:r>
        <w:rPr>
          <w:rFonts w:hint="default" w:ascii="Times New Roman" w:hAnsi="Times New Roman" w:eastAsia="仿宋_GB2312" w:cs="Times New Roman"/>
          <w:color w:val="auto"/>
          <w:spacing w:val="0"/>
          <w:kern w:val="2"/>
          <w:sz w:val="28"/>
          <w:szCs w:val="28"/>
          <w:highlight w:val="none"/>
        </w:rPr>
        <w:t>人</w:t>
      </w:r>
      <w:r>
        <w:rPr>
          <w:rFonts w:hint="default" w:ascii="Times New Roman" w:hAnsi="Times New Roman" w:eastAsia="仿宋_GB2312" w:cs="Times New Roman"/>
          <w:color w:val="auto"/>
          <w:spacing w:val="0"/>
          <w:kern w:val="2"/>
          <w:sz w:val="28"/>
          <w:szCs w:val="28"/>
          <w:highlight w:val="none"/>
          <w:lang w:eastAsia="zh-CN"/>
        </w:rPr>
        <w:t>，缺席</w:t>
      </w:r>
      <w:r>
        <w:rPr>
          <w:rFonts w:hint="default" w:ascii="Times New Roman" w:hAnsi="Times New Roman" w:eastAsia="仿宋_GB2312" w:cs="Times New Roman"/>
          <w:color w:val="auto"/>
          <w:spacing w:val="0"/>
          <w:kern w:val="2"/>
          <w:sz w:val="28"/>
          <w:szCs w:val="28"/>
          <w:highlight w:val="none"/>
          <w:lang w:val="en-US" w:eastAsia="zh-CN"/>
        </w:rPr>
        <w:t>1人</w:t>
      </w:r>
      <w:r>
        <w:rPr>
          <w:rFonts w:hint="default" w:ascii="Times New Roman" w:hAnsi="Times New Roman" w:eastAsia="仿宋_GB2312" w:cs="Times New Roman"/>
          <w:color w:val="auto"/>
          <w:spacing w:val="0"/>
          <w:kern w:val="2"/>
          <w:sz w:val="28"/>
          <w:szCs w:val="28"/>
          <w:highlight w:val="none"/>
        </w:rPr>
        <w:t>，经与会董事有效表决，审议通过了</w:t>
      </w:r>
      <w:r>
        <w:rPr>
          <w:rFonts w:hint="default" w:ascii="Times New Roman" w:hAnsi="Times New Roman" w:eastAsia="仿宋_GB2312" w:cs="Times New Roman"/>
          <w:color w:val="auto"/>
          <w:kern w:val="0"/>
          <w:sz w:val="28"/>
          <w:szCs w:val="28"/>
          <w:highlight w:val="none"/>
          <w:lang w:eastAsia="zh-CN"/>
        </w:rPr>
        <w:t>《关于</w:t>
      </w:r>
      <w:r>
        <w:rPr>
          <w:rFonts w:hint="default" w:ascii="Times New Roman" w:hAnsi="Times New Roman" w:eastAsia="仿宋_GB2312" w:cs="Times New Roman"/>
          <w:color w:val="auto"/>
          <w:kern w:val="0"/>
          <w:sz w:val="28"/>
          <w:szCs w:val="28"/>
          <w:highlight w:val="none"/>
          <w:lang w:val="en-US" w:eastAsia="zh-CN"/>
        </w:rPr>
        <w:t>解聘审计稽核部负责人的提案</w:t>
      </w:r>
      <w:r>
        <w:rPr>
          <w:rFonts w:hint="default" w:ascii="Times New Roman" w:hAnsi="Times New Roman" w:eastAsia="仿宋_GB2312" w:cs="Times New Roman"/>
          <w:color w:val="auto"/>
          <w:kern w:val="0"/>
          <w:sz w:val="28"/>
          <w:szCs w:val="28"/>
          <w:highlight w:val="none"/>
          <w:lang w:eastAsia="zh-CN"/>
        </w:rPr>
        <w:t>》</w:t>
      </w:r>
      <w:r>
        <w:rPr>
          <w:rFonts w:hint="default" w:ascii="Times New Roman" w:hAnsi="Times New Roman" w:eastAsia="仿宋_GB2312" w:cs="Times New Roman"/>
          <w:color w:val="auto"/>
          <w:kern w:val="0"/>
          <w:sz w:val="28"/>
          <w:szCs w:val="28"/>
          <w:highlight w:val="none"/>
          <w:lang w:val="en-US" w:eastAsia="zh-CN"/>
        </w:rPr>
        <w:t>《关于解聘计划财务部负责人的提案》</w:t>
      </w:r>
      <w:r>
        <w:rPr>
          <w:rFonts w:hint="default" w:ascii="Times New Roman" w:hAnsi="Times New Roman" w:eastAsia="仿宋_GB2312" w:cs="Times New Roman"/>
          <w:color w:val="auto"/>
          <w:kern w:val="0"/>
          <w:sz w:val="28"/>
          <w:szCs w:val="28"/>
          <w:highlight w:val="none"/>
          <w:lang w:eastAsia="zh-CN"/>
        </w:rPr>
        <w:t>《</w:t>
      </w:r>
      <w:r>
        <w:rPr>
          <w:rFonts w:hint="default" w:ascii="Times New Roman" w:hAnsi="Times New Roman" w:eastAsia="仿宋_GB2312" w:cs="Times New Roman"/>
          <w:color w:val="auto"/>
          <w:kern w:val="0"/>
          <w:sz w:val="28"/>
          <w:szCs w:val="28"/>
          <w:highlight w:val="none"/>
          <w:lang w:val="en-US" w:eastAsia="zh-CN"/>
        </w:rPr>
        <w:t>关于聘任</w:t>
      </w:r>
      <w:r>
        <w:rPr>
          <w:rFonts w:hint="default" w:ascii="Times New Roman" w:hAnsi="Times New Roman" w:eastAsia="仿宋_GB2312" w:cs="Times New Roman"/>
          <w:color w:val="auto"/>
          <w:kern w:val="0"/>
          <w:sz w:val="28"/>
          <w:szCs w:val="28"/>
          <w:highlight w:val="none"/>
          <w:lang w:eastAsia="zh-CN"/>
        </w:rPr>
        <w:t>邢华其同志为审计稽核部负责人的</w:t>
      </w:r>
      <w:r>
        <w:rPr>
          <w:rFonts w:hint="default" w:ascii="Times New Roman" w:hAnsi="Times New Roman" w:eastAsia="仿宋_GB2312" w:cs="Times New Roman"/>
          <w:color w:val="auto"/>
          <w:kern w:val="0"/>
          <w:sz w:val="28"/>
          <w:szCs w:val="28"/>
          <w:highlight w:val="none"/>
          <w:lang w:val="en-US" w:eastAsia="zh-CN"/>
        </w:rPr>
        <w:t>提案</w:t>
      </w:r>
      <w:r>
        <w:rPr>
          <w:rFonts w:hint="default" w:ascii="Times New Roman" w:hAnsi="Times New Roman" w:eastAsia="仿宋_GB2312" w:cs="Times New Roman"/>
          <w:color w:val="auto"/>
          <w:kern w:val="0"/>
          <w:sz w:val="28"/>
          <w:szCs w:val="28"/>
          <w:highlight w:val="none"/>
          <w:lang w:eastAsia="zh-CN"/>
        </w:rPr>
        <w:t>》。</w:t>
      </w:r>
    </w:p>
    <w:p>
      <w:pPr>
        <w:keepNext w:val="0"/>
        <w:keepLines w:val="0"/>
        <w:pageBreakBefore w:val="0"/>
        <w:kinsoku/>
        <w:wordWrap/>
        <w:overflowPunct/>
        <w:topLinePunct w:val="0"/>
        <w:autoSpaceDE/>
        <w:autoSpaceDN/>
        <w:bidi w:val="0"/>
        <w:adjustRightInd/>
        <w:snapToGrid/>
        <w:spacing w:line="480" w:lineRule="exact"/>
        <w:ind w:firstLine="604" w:firstLineChars="200"/>
        <w:jc w:val="both"/>
        <w:textAlignment w:val="auto"/>
        <w:rPr>
          <w:rFonts w:hint="default" w:ascii="Times New Roman" w:hAnsi="Times New Roman" w:eastAsia="仿宋_GB2312" w:cs="Times New Roman"/>
          <w:color w:val="auto"/>
          <w:spacing w:val="0"/>
          <w:kern w:val="0"/>
          <w:sz w:val="28"/>
          <w:szCs w:val="28"/>
          <w:highlight w:val="none"/>
          <w:lang w:eastAsia="zh-CN"/>
        </w:rPr>
      </w:pPr>
      <w:r>
        <w:rPr>
          <w:rFonts w:hint="default" w:ascii="Times New Roman" w:hAnsi="Times New Roman" w:eastAsia="仿宋_GB2312" w:cs="Times New Roman"/>
          <w:color w:val="auto"/>
          <w:spacing w:val="0"/>
          <w:kern w:val="2"/>
          <w:sz w:val="28"/>
          <w:szCs w:val="28"/>
          <w:highlight w:val="none"/>
        </w:rPr>
        <w:t>3.</w:t>
      </w:r>
      <w:r>
        <w:rPr>
          <w:rFonts w:hint="default" w:ascii="Times New Roman" w:hAnsi="Times New Roman" w:eastAsia="仿宋_GB2312" w:cs="Times New Roman"/>
          <w:color w:val="auto"/>
          <w:spacing w:val="0"/>
          <w:kern w:val="2"/>
          <w:sz w:val="28"/>
          <w:szCs w:val="28"/>
          <w:highlight w:val="none"/>
          <w:lang w:val="en-US" w:eastAsia="zh-CN"/>
        </w:rPr>
        <w:t>2026年4月26日，本行召开第五届董事会第三次临时会议，会议形式为书面传签，应表决董事13人，参与表决董事13人，经与会董事有效表决，审议通过了《高淳农商银行2025年度内部控制评价报告》《高淳农商银行2025年度洗钱、恐怖融资、扩散融资风险自评估报告》。</w:t>
      </w:r>
    </w:p>
    <w:p>
      <w:pPr>
        <w:pStyle w:val="36"/>
        <w:keepNext w:val="0"/>
        <w:keepLines w:val="0"/>
        <w:pageBreakBefore w:val="0"/>
        <w:widowControl/>
        <w:kinsoku/>
        <w:wordWrap/>
        <w:overflowPunct/>
        <w:topLinePunct w:val="0"/>
        <w:autoSpaceDE/>
        <w:autoSpaceDN/>
        <w:bidi w:val="0"/>
        <w:adjustRightInd/>
        <w:snapToGrid/>
        <w:spacing w:line="480" w:lineRule="exact"/>
        <w:ind w:left="0" w:firstLine="604" w:firstLineChars="200"/>
        <w:jc w:val="both"/>
        <w:textAlignment w:val="auto"/>
        <w:rPr>
          <w:rFonts w:hint="default" w:ascii="Times New Roman" w:hAnsi="Times New Roman" w:eastAsia="仿宋_GB2312" w:cs="Times New Roman"/>
          <w:color w:val="auto"/>
          <w:spacing w:val="0"/>
          <w:kern w:val="0"/>
          <w:sz w:val="28"/>
          <w:szCs w:val="28"/>
          <w:highlight w:val="none"/>
          <w:lang w:val="en-US" w:eastAsia="zh-CN"/>
        </w:rPr>
      </w:pPr>
      <w:r>
        <w:rPr>
          <w:rFonts w:hint="default" w:ascii="Times New Roman" w:hAnsi="Times New Roman" w:eastAsia="仿宋_GB2312" w:cs="Times New Roman"/>
          <w:color w:val="auto"/>
          <w:spacing w:val="0"/>
          <w:kern w:val="2"/>
          <w:sz w:val="28"/>
          <w:szCs w:val="28"/>
          <w:highlight w:val="none"/>
          <w:lang w:val="en-US" w:eastAsia="zh-CN" w:bidi="ar-SA"/>
        </w:rPr>
        <w:t>4.202</w:t>
      </w:r>
      <w:r>
        <w:rPr>
          <w:rFonts w:hint="default" w:ascii="Times New Roman" w:hAnsi="Times New Roman" w:cs="Times New Roman"/>
          <w:color w:val="auto"/>
          <w:spacing w:val="0"/>
          <w:kern w:val="2"/>
          <w:sz w:val="28"/>
          <w:szCs w:val="28"/>
          <w:highlight w:val="none"/>
          <w:lang w:val="en-US" w:eastAsia="zh-CN" w:bidi="ar-SA"/>
        </w:rPr>
        <w:t>6</w:t>
      </w:r>
      <w:r>
        <w:rPr>
          <w:rFonts w:hint="default" w:ascii="Times New Roman" w:hAnsi="Times New Roman" w:eastAsia="仿宋_GB2312" w:cs="Times New Roman"/>
          <w:color w:val="auto"/>
          <w:spacing w:val="0"/>
          <w:kern w:val="2"/>
          <w:sz w:val="28"/>
          <w:szCs w:val="28"/>
          <w:highlight w:val="none"/>
          <w:lang w:val="en-US" w:eastAsia="zh-CN" w:bidi="ar-SA"/>
        </w:rPr>
        <w:t>年</w:t>
      </w:r>
      <w:r>
        <w:rPr>
          <w:rFonts w:hint="default" w:ascii="Times New Roman" w:hAnsi="Times New Roman" w:cs="Times New Roman"/>
          <w:color w:val="auto"/>
          <w:spacing w:val="0"/>
          <w:kern w:val="2"/>
          <w:sz w:val="28"/>
          <w:szCs w:val="28"/>
          <w:highlight w:val="none"/>
          <w:lang w:val="en-US" w:eastAsia="zh-CN" w:bidi="ar-SA"/>
        </w:rPr>
        <w:t>6</w:t>
      </w:r>
      <w:r>
        <w:rPr>
          <w:rFonts w:hint="default" w:ascii="Times New Roman" w:hAnsi="Times New Roman" w:eastAsia="仿宋_GB2312" w:cs="Times New Roman"/>
          <w:color w:val="auto"/>
          <w:spacing w:val="0"/>
          <w:kern w:val="2"/>
          <w:sz w:val="28"/>
          <w:szCs w:val="28"/>
          <w:highlight w:val="none"/>
          <w:lang w:val="en-US" w:eastAsia="zh-CN" w:bidi="ar-SA"/>
        </w:rPr>
        <w:t>月</w:t>
      </w:r>
      <w:r>
        <w:rPr>
          <w:rFonts w:hint="default" w:ascii="Times New Roman" w:hAnsi="Times New Roman" w:cs="Times New Roman"/>
          <w:color w:val="auto"/>
          <w:spacing w:val="0"/>
          <w:kern w:val="2"/>
          <w:sz w:val="28"/>
          <w:szCs w:val="28"/>
          <w:highlight w:val="none"/>
          <w:lang w:val="en-US" w:eastAsia="zh-CN" w:bidi="ar-SA"/>
        </w:rPr>
        <w:t>10</w:t>
      </w:r>
      <w:r>
        <w:rPr>
          <w:rFonts w:hint="default" w:ascii="Times New Roman" w:hAnsi="Times New Roman" w:eastAsia="仿宋_GB2312" w:cs="Times New Roman"/>
          <w:color w:val="auto"/>
          <w:spacing w:val="0"/>
          <w:kern w:val="2"/>
          <w:sz w:val="28"/>
          <w:szCs w:val="28"/>
          <w:highlight w:val="none"/>
          <w:lang w:val="en-US" w:eastAsia="zh-CN" w:bidi="ar-SA"/>
        </w:rPr>
        <w:t>日，</w:t>
      </w:r>
      <w:r>
        <w:rPr>
          <w:rFonts w:hint="default" w:ascii="Times New Roman" w:hAnsi="Times New Roman" w:eastAsia="仿宋_GB2312" w:cs="Times New Roman"/>
          <w:color w:val="auto"/>
          <w:spacing w:val="0"/>
          <w:kern w:val="2"/>
          <w:sz w:val="28"/>
          <w:szCs w:val="28"/>
          <w:highlight w:val="none"/>
          <w:lang w:eastAsia="zh-CN"/>
        </w:rPr>
        <w:t>本行</w:t>
      </w:r>
      <w:r>
        <w:rPr>
          <w:rFonts w:hint="default" w:ascii="Times New Roman" w:hAnsi="Times New Roman" w:eastAsia="仿宋_GB2312" w:cs="Times New Roman"/>
          <w:color w:val="auto"/>
          <w:spacing w:val="0"/>
          <w:kern w:val="2"/>
          <w:sz w:val="28"/>
          <w:szCs w:val="28"/>
          <w:highlight w:val="none"/>
        </w:rPr>
        <w:t>召开第五届董事会第</w:t>
      </w:r>
      <w:r>
        <w:rPr>
          <w:rFonts w:hint="default" w:ascii="Times New Roman" w:hAnsi="Times New Roman" w:cs="Times New Roman"/>
          <w:color w:val="auto"/>
          <w:spacing w:val="0"/>
          <w:kern w:val="2"/>
          <w:sz w:val="28"/>
          <w:szCs w:val="28"/>
          <w:highlight w:val="none"/>
          <w:lang w:val="en-US" w:eastAsia="zh-CN"/>
        </w:rPr>
        <w:t>七</w:t>
      </w:r>
      <w:r>
        <w:rPr>
          <w:rFonts w:hint="default" w:ascii="Times New Roman" w:hAnsi="Times New Roman" w:eastAsia="仿宋_GB2312" w:cs="Times New Roman"/>
          <w:color w:val="auto"/>
          <w:spacing w:val="0"/>
          <w:kern w:val="2"/>
          <w:sz w:val="28"/>
          <w:szCs w:val="28"/>
          <w:highlight w:val="none"/>
        </w:rPr>
        <w:t>次会议，应出席董事</w:t>
      </w:r>
      <w:r>
        <w:rPr>
          <w:rFonts w:hint="default" w:ascii="Times New Roman" w:hAnsi="Times New Roman" w:cs="Times New Roman"/>
          <w:color w:val="auto"/>
          <w:spacing w:val="0"/>
          <w:kern w:val="2"/>
          <w:sz w:val="28"/>
          <w:szCs w:val="28"/>
          <w:highlight w:val="none"/>
          <w:lang w:val="en-US" w:eastAsia="zh-CN"/>
        </w:rPr>
        <w:t>13</w:t>
      </w:r>
      <w:r>
        <w:rPr>
          <w:rFonts w:hint="default" w:ascii="Times New Roman" w:hAnsi="Times New Roman" w:eastAsia="仿宋_GB2312" w:cs="Times New Roman"/>
          <w:color w:val="auto"/>
          <w:spacing w:val="0"/>
          <w:kern w:val="2"/>
          <w:sz w:val="28"/>
          <w:szCs w:val="28"/>
          <w:highlight w:val="none"/>
        </w:rPr>
        <w:t>人，现场出席董事</w:t>
      </w:r>
      <w:r>
        <w:rPr>
          <w:rFonts w:hint="default" w:ascii="Times New Roman" w:hAnsi="Times New Roman" w:cs="Times New Roman"/>
          <w:color w:val="auto"/>
          <w:spacing w:val="0"/>
          <w:kern w:val="2"/>
          <w:sz w:val="28"/>
          <w:szCs w:val="28"/>
          <w:highlight w:val="none"/>
          <w:lang w:val="en-US" w:eastAsia="zh-CN"/>
        </w:rPr>
        <w:t>11</w:t>
      </w:r>
      <w:r>
        <w:rPr>
          <w:rFonts w:hint="default" w:ascii="Times New Roman" w:hAnsi="Times New Roman" w:eastAsia="仿宋_GB2312" w:cs="Times New Roman"/>
          <w:color w:val="auto"/>
          <w:spacing w:val="0"/>
          <w:kern w:val="2"/>
          <w:sz w:val="28"/>
          <w:szCs w:val="28"/>
          <w:highlight w:val="none"/>
        </w:rPr>
        <w:t>人、授权委托出席董事</w:t>
      </w:r>
      <w:r>
        <w:rPr>
          <w:rFonts w:hint="default" w:ascii="Times New Roman" w:hAnsi="Times New Roman" w:cs="Times New Roman"/>
          <w:color w:val="auto"/>
          <w:spacing w:val="0"/>
          <w:kern w:val="2"/>
          <w:sz w:val="28"/>
          <w:szCs w:val="28"/>
          <w:highlight w:val="none"/>
          <w:lang w:val="en-US" w:eastAsia="zh-CN"/>
        </w:rPr>
        <w:t>2</w:t>
      </w:r>
      <w:r>
        <w:rPr>
          <w:rFonts w:hint="default" w:ascii="Times New Roman" w:hAnsi="Times New Roman" w:eastAsia="仿宋_GB2312" w:cs="Times New Roman"/>
          <w:color w:val="auto"/>
          <w:spacing w:val="0"/>
          <w:kern w:val="2"/>
          <w:sz w:val="28"/>
          <w:szCs w:val="28"/>
          <w:highlight w:val="none"/>
        </w:rPr>
        <w:t>人，经与会董事有效表决</w:t>
      </w:r>
      <w:r>
        <w:rPr>
          <w:rFonts w:hint="default" w:ascii="Times New Roman" w:hAnsi="Times New Roman" w:eastAsia="仿宋_GB2312" w:cs="Times New Roman"/>
          <w:color w:val="auto"/>
          <w:spacing w:val="0"/>
          <w:kern w:val="2"/>
          <w:sz w:val="28"/>
          <w:szCs w:val="28"/>
          <w:highlight w:val="none"/>
          <w:lang w:eastAsia="zh-CN"/>
        </w:rPr>
        <w:t>，审议通过了</w:t>
      </w:r>
      <w:r>
        <w:rPr>
          <w:rFonts w:hint="default" w:ascii="Times New Roman" w:hAnsi="Times New Roman" w:eastAsia="仿宋_GB2312" w:cs="Times New Roman"/>
          <w:color w:val="auto"/>
          <w:kern w:val="0"/>
          <w:sz w:val="28"/>
          <w:szCs w:val="28"/>
          <w:highlight w:val="none"/>
          <w:lang w:eastAsia="zh-CN"/>
        </w:rPr>
        <w:t>《高淳农商银行</w:t>
      </w:r>
      <w:r>
        <w:rPr>
          <w:rFonts w:hint="default" w:ascii="Times New Roman" w:hAnsi="Times New Roman" w:eastAsia="仿宋_GB2312" w:cs="Times New Roman"/>
          <w:color w:val="auto"/>
          <w:kern w:val="0"/>
          <w:sz w:val="28"/>
          <w:szCs w:val="28"/>
          <w:highlight w:val="none"/>
          <w:lang w:val="en-US" w:eastAsia="zh-CN"/>
        </w:rPr>
        <w:t>2026</w:t>
      </w:r>
      <w:r>
        <w:rPr>
          <w:rFonts w:hint="default" w:ascii="Times New Roman" w:hAnsi="Times New Roman" w:eastAsia="仿宋_GB2312" w:cs="Times New Roman"/>
          <w:color w:val="auto"/>
          <w:kern w:val="0"/>
          <w:sz w:val="28"/>
          <w:szCs w:val="28"/>
          <w:highlight w:val="none"/>
          <w:lang w:eastAsia="zh-CN"/>
        </w:rPr>
        <w:t>年一季度行长室工作报告》《高淳农商银行202</w:t>
      </w:r>
      <w:r>
        <w:rPr>
          <w:rFonts w:hint="default" w:ascii="Times New Roman" w:hAnsi="Times New Roman" w:eastAsia="仿宋_GB2312" w:cs="Times New Roman"/>
          <w:color w:val="auto"/>
          <w:kern w:val="0"/>
          <w:sz w:val="28"/>
          <w:szCs w:val="28"/>
          <w:highlight w:val="none"/>
          <w:lang w:val="en-US" w:eastAsia="zh-CN"/>
        </w:rPr>
        <w:t>6</w:t>
      </w:r>
      <w:r>
        <w:rPr>
          <w:rFonts w:hint="default" w:ascii="Times New Roman" w:hAnsi="Times New Roman" w:eastAsia="仿宋_GB2312" w:cs="Times New Roman"/>
          <w:color w:val="auto"/>
          <w:kern w:val="0"/>
          <w:sz w:val="28"/>
          <w:szCs w:val="28"/>
          <w:highlight w:val="none"/>
          <w:lang w:eastAsia="zh-CN"/>
        </w:rPr>
        <w:t>年一季度审计工作报告》《关于制定</w:t>
      </w:r>
      <w:r>
        <w:rPr>
          <w:rFonts w:hint="default" w:ascii="Times New Roman" w:hAnsi="Times New Roman" w:eastAsia="仿宋_GB2312" w:cs="Times New Roman"/>
          <w:color w:val="auto"/>
          <w:kern w:val="0"/>
          <w:sz w:val="28"/>
          <w:szCs w:val="28"/>
          <w:highlight w:val="none"/>
          <w:lang w:val="en-US" w:eastAsia="zh-CN"/>
        </w:rPr>
        <w:t>&lt;</w:t>
      </w:r>
      <w:r>
        <w:rPr>
          <w:rFonts w:hint="default" w:ascii="Times New Roman" w:hAnsi="Times New Roman" w:eastAsia="仿宋_GB2312" w:cs="Times New Roman"/>
          <w:color w:val="auto"/>
          <w:kern w:val="0"/>
          <w:sz w:val="28"/>
          <w:szCs w:val="28"/>
          <w:highlight w:val="none"/>
          <w:lang w:eastAsia="zh-CN"/>
        </w:rPr>
        <w:t>高淳农商银行202</w:t>
      </w:r>
      <w:r>
        <w:rPr>
          <w:rFonts w:hint="default" w:ascii="Times New Roman" w:hAnsi="Times New Roman" w:eastAsia="仿宋_GB2312" w:cs="Times New Roman"/>
          <w:color w:val="auto"/>
          <w:kern w:val="0"/>
          <w:sz w:val="28"/>
          <w:szCs w:val="28"/>
          <w:highlight w:val="none"/>
          <w:lang w:val="en-US" w:eastAsia="zh-CN"/>
        </w:rPr>
        <w:t>6</w:t>
      </w:r>
      <w:r>
        <w:rPr>
          <w:rFonts w:hint="default" w:ascii="Times New Roman" w:hAnsi="Times New Roman" w:eastAsia="仿宋_GB2312" w:cs="Times New Roman"/>
          <w:color w:val="auto"/>
          <w:kern w:val="0"/>
          <w:sz w:val="28"/>
          <w:szCs w:val="28"/>
          <w:highlight w:val="none"/>
          <w:lang w:eastAsia="zh-CN"/>
        </w:rPr>
        <w:t>年风险偏好陈述书</w:t>
      </w:r>
      <w:r>
        <w:rPr>
          <w:rFonts w:hint="default" w:ascii="Times New Roman" w:hAnsi="Times New Roman" w:eastAsia="仿宋_GB2312" w:cs="Times New Roman"/>
          <w:color w:val="auto"/>
          <w:kern w:val="0"/>
          <w:sz w:val="28"/>
          <w:szCs w:val="28"/>
          <w:highlight w:val="none"/>
          <w:lang w:val="en-US" w:eastAsia="zh-CN"/>
        </w:rPr>
        <w:t>&gt;</w:t>
      </w:r>
      <w:r>
        <w:rPr>
          <w:rFonts w:hint="default" w:ascii="Times New Roman" w:hAnsi="Times New Roman" w:eastAsia="仿宋_GB2312" w:cs="Times New Roman"/>
          <w:color w:val="auto"/>
          <w:kern w:val="0"/>
          <w:sz w:val="28"/>
          <w:szCs w:val="28"/>
          <w:highlight w:val="none"/>
          <w:lang w:eastAsia="zh-CN"/>
        </w:rPr>
        <w:t>的提案》《高淳农商银行关于预期信用损失法相关模型及关键参数的报告》《关于修订</w:t>
      </w:r>
      <w:r>
        <w:rPr>
          <w:rFonts w:hint="default" w:ascii="Times New Roman" w:hAnsi="Times New Roman" w:eastAsia="仿宋_GB2312" w:cs="Times New Roman"/>
          <w:color w:val="auto"/>
          <w:kern w:val="0"/>
          <w:sz w:val="28"/>
          <w:szCs w:val="28"/>
          <w:highlight w:val="none"/>
          <w:lang w:val="en-US" w:eastAsia="zh-CN"/>
        </w:rPr>
        <w:t>&lt;</w:t>
      </w:r>
      <w:r>
        <w:rPr>
          <w:rFonts w:hint="default" w:ascii="Times New Roman" w:hAnsi="Times New Roman" w:eastAsia="仿宋_GB2312" w:cs="Times New Roman"/>
          <w:color w:val="auto"/>
          <w:kern w:val="0"/>
          <w:sz w:val="28"/>
          <w:szCs w:val="28"/>
          <w:highlight w:val="none"/>
          <w:lang w:eastAsia="zh-CN"/>
        </w:rPr>
        <w:t>高淳农商银行关联交易管理办法</w:t>
      </w:r>
      <w:r>
        <w:rPr>
          <w:rFonts w:hint="default" w:ascii="Times New Roman" w:hAnsi="Times New Roman" w:eastAsia="仿宋_GB2312" w:cs="Times New Roman"/>
          <w:color w:val="auto"/>
          <w:kern w:val="0"/>
          <w:sz w:val="28"/>
          <w:szCs w:val="28"/>
          <w:highlight w:val="none"/>
          <w:lang w:val="en-US" w:eastAsia="zh-CN"/>
        </w:rPr>
        <w:t>&gt;</w:t>
      </w:r>
      <w:r>
        <w:rPr>
          <w:rFonts w:hint="default" w:ascii="Times New Roman" w:hAnsi="Times New Roman" w:eastAsia="仿宋_GB2312" w:cs="Times New Roman"/>
          <w:color w:val="auto"/>
          <w:kern w:val="0"/>
          <w:sz w:val="28"/>
          <w:szCs w:val="28"/>
          <w:highlight w:val="none"/>
          <w:lang w:eastAsia="zh-CN"/>
        </w:rPr>
        <w:t>的提案》《关于赞助2026年高淳马拉松赛费用预算的提案》</w:t>
      </w:r>
      <w:r>
        <w:rPr>
          <w:rFonts w:hint="default" w:ascii="Times New Roman" w:hAnsi="Times New Roman" w:cs="Times New Roman"/>
          <w:color w:val="auto"/>
          <w:kern w:val="0"/>
          <w:sz w:val="28"/>
          <w:szCs w:val="28"/>
          <w:highlight w:val="none"/>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604" w:firstLineChars="200"/>
        <w:jc w:val="both"/>
        <w:textAlignment w:val="auto"/>
        <w:rPr>
          <w:rFonts w:hint="default" w:ascii="Times New Roman" w:hAnsi="Times New Roman" w:eastAsia="黑体" w:cs="Times New Roman"/>
          <w:b/>
          <w:color w:val="auto"/>
          <w:sz w:val="28"/>
          <w:szCs w:val="28"/>
          <w:highlight w:val="none"/>
          <w:lang w:eastAsia="zh-CN"/>
        </w:rPr>
      </w:pPr>
      <w:r>
        <w:rPr>
          <w:rFonts w:hint="default" w:ascii="Times New Roman" w:hAnsi="Times New Roman" w:eastAsia="黑体" w:cs="Times New Roman"/>
          <w:bCs/>
          <w:color w:val="auto"/>
          <w:sz w:val="28"/>
          <w:szCs w:val="28"/>
          <w:highlight w:val="none"/>
          <w:lang w:eastAsia="zh-CN"/>
        </w:rPr>
        <w:t>四</w:t>
      </w:r>
      <w:r>
        <w:rPr>
          <w:rFonts w:hint="default" w:ascii="Times New Roman" w:hAnsi="Times New Roman" w:eastAsia="黑体" w:cs="Times New Roman"/>
          <w:bCs/>
          <w:color w:val="auto"/>
          <w:sz w:val="28"/>
          <w:szCs w:val="28"/>
          <w:highlight w:val="none"/>
        </w:rPr>
        <w:t>、独立董事履职情况</w:t>
      </w:r>
    </w:p>
    <w:p>
      <w:pPr>
        <w:keepNext w:val="0"/>
        <w:keepLines w:val="0"/>
        <w:pageBreakBefore w:val="0"/>
        <w:kinsoku/>
        <w:wordWrap/>
        <w:overflowPunct/>
        <w:topLinePunct w:val="0"/>
        <w:autoSpaceDE/>
        <w:autoSpaceDN/>
        <w:bidi w:val="0"/>
        <w:adjustRightInd/>
        <w:snapToGrid/>
        <w:spacing w:line="480" w:lineRule="exact"/>
        <w:ind w:firstLine="604" w:firstLineChars="200"/>
        <w:jc w:val="both"/>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报告期内，本行共计召开股东会</w:t>
      </w:r>
      <w:r>
        <w:rPr>
          <w:rFonts w:hint="default" w:ascii="Times New Roman" w:hAnsi="Times New Roman" w:eastAsia="仿宋_GB2312" w:cs="Times New Roman"/>
          <w:color w:val="auto"/>
          <w:sz w:val="28"/>
          <w:szCs w:val="28"/>
          <w:highlight w:val="none"/>
          <w:lang w:val="en-US" w:eastAsia="zh-CN"/>
        </w:rPr>
        <w:t>1</w:t>
      </w:r>
      <w:r>
        <w:rPr>
          <w:rFonts w:hint="default" w:ascii="Times New Roman" w:hAnsi="Times New Roman" w:eastAsia="仿宋_GB2312" w:cs="Times New Roman"/>
          <w:color w:val="auto"/>
          <w:sz w:val="28"/>
          <w:szCs w:val="28"/>
          <w:highlight w:val="none"/>
        </w:rPr>
        <w:t>次、董事会例会</w:t>
      </w:r>
      <w:r>
        <w:rPr>
          <w:rFonts w:hint="default" w:ascii="Times New Roman" w:hAnsi="Times New Roman" w:eastAsia="仿宋_GB2312" w:cs="Times New Roman"/>
          <w:color w:val="auto"/>
          <w:sz w:val="28"/>
          <w:szCs w:val="28"/>
          <w:highlight w:val="none"/>
          <w:lang w:val="en-US" w:eastAsia="zh-CN"/>
        </w:rPr>
        <w:t>2</w:t>
      </w:r>
      <w:r>
        <w:rPr>
          <w:rFonts w:hint="default" w:ascii="Times New Roman" w:hAnsi="Times New Roman" w:eastAsia="仿宋_GB2312" w:cs="Times New Roman"/>
          <w:color w:val="auto"/>
          <w:sz w:val="28"/>
          <w:szCs w:val="28"/>
          <w:highlight w:val="none"/>
        </w:rPr>
        <w:t>次、临时会议</w:t>
      </w:r>
      <w:r>
        <w:rPr>
          <w:rFonts w:hint="default" w:ascii="Times New Roman" w:hAnsi="Times New Roman" w:eastAsia="仿宋_GB2312" w:cs="Times New Roman"/>
          <w:color w:val="auto"/>
          <w:sz w:val="28"/>
          <w:szCs w:val="28"/>
          <w:highlight w:val="none"/>
          <w:lang w:val="en-US" w:eastAsia="zh-CN"/>
        </w:rPr>
        <w:t>2</w:t>
      </w:r>
      <w:r>
        <w:rPr>
          <w:rFonts w:hint="default" w:ascii="Times New Roman" w:hAnsi="Times New Roman" w:eastAsia="仿宋_GB2312" w:cs="Times New Roman"/>
          <w:color w:val="auto"/>
          <w:sz w:val="28"/>
          <w:szCs w:val="28"/>
          <w:highlight w:val="none"/>
        </w:rPr>
        <w:t>次。</w:t>
      </w:r>
    </w:p>
    <w:p>
      <w:pPr>
        <w:pStyle w:val="36"/>
        <w:keepNext w:val="0"/>
        <w:keepLines w:val="0"/>
        <w:pageBreakBefore w:val="0"/>
        <w:kinsoku/>
        <w:wordWrap/>
        <w:overflowPunct/>
        <w:topLinePunct w:val="0"/>
        <w:autoSpaceDE/>
        <w:autoSpaceDN/>
        <w:bidi w:val="0"/>
        <w:adjustRightInd/>
        <w:snapToGrid/>
        <w:spacing w:line="480" w:lineRule="exact"/>
        <w:ind w:left="0" w:firstLine="644" w:firstLineChars="200"/>
        <w:jc w:val="both"/>
        <w:textAlignment w:val="auto"/>
        <w:rPr>
          <w:rFonts w:hint="default" w:ascii="Times New Roman" w:hAnsi="Times New Roman" w:cs="Times New Roman"/>
          <w:color w:val="auto"/>
          <w:sz w:val="28"/>
          <w:szCs w:val="28"/>
          <w:highlight w:val="none"/>
          <w:lang w:val="en-US" w:eastAsia="zh-CN"/>
        </w:rPr>
      </w:pPr>
      <w:r>
        <w:rPr>
          <w:rFonts w:hint="default" w:ascii="Times New Roman" w:hAnsi="Times New Roman" w:cs="Times New Roman"/>
          <w:color w:val="auto"/>
          <w:sz w:val="28"/>
          <w:szCs w:val="28"/>
          <w:highlight w:val="none"/>
          <w:lang w:val="en-US" w:eastAsia="zh-CN"/>
        </w:rPr>
        <w:t>第五届董事会独立董事履职情况：</w:t>
      </w:r>
    </w:p>
    <w:p>
      <w:pPr>
        <w:keepNext w:val="0"/>
        <w:keepLines w:val="0"/>
        <w:pageBreakBefore w:val="0"/>
        <w:kinsoku/>
        <w:wordWrap/>
        <w:overflowPunct/>
        <w:topLinePunct w:val="0"/>
        <w:autoSpaceDE/>
        <w:autoSpaceDN/>
        <w:bidi w:val="0"/>
        <w:adjustRightInd/>
        <w:snapToGrid/>
        <w:spacing w:line="480" w:lineRule="exact"/>
        <w:ind w:firstLine="604" w:firstLineChars="200"/>
        <w:jc w:val="both"/>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本行独立董事周宏先生出席</w:t>
      </w:r>
      <w:r>
        <w:rPr>
          <w:rFonts w:hint="default" w:ascii="Times New Roman" w:hAnsi="Times New Roman" w:eastAsia="仿宋_GB2312" w:cs="Times New Roman"/>
          <w:color w:val="auto"/>
          <w:sz w:val="28"/>
          <w:szCs w:val="28"/>
          <w:highlight w:val="none"/>
          <w:lang w:eastAsia="zh-CN"/>
        </w:rPr>
        <w:t>股东会</w:t>
      </w:r>
      <w:r>
        <w:rPr>
          <w:rFonts w:hint="default" w:ascii="Times New Roman" w:hAnsi="Times New Roman" w:eastAsia="仿宋_GB2312" w:cs="Times New Roman"/>
          <w:color w:val="auto"/>
          <w:sz w:val="28"/>
          <w:szCs w:val="28"/>
          <w:highlight w:val="none"/>
        </w:rPr>
        <w:t>会议</w:t>
      </w:r>
      <w:r>
        <w:rPr>
          <w:rFonts w:hint="default" w:ascii="Times New Roman" w:hAnsi="Times New Roman" w:eastAsia="仿宋_GB2312" w:cs="Times New Roman"/>
          <w:color w:val="auto"/>
          <w:sz w:val="28"/>
          <w:szCs w:val="28"/>
          <w:highlight w:val="none"/>
          <w:lang w:val="en-US" w:eastAsia="zh-CN"/>
        </w:rPr>
        <w:t>1</w:t>
      </w:r>
      <w:r>
        <w:rPr>
          <w:rFonts w:hint="default" w:ascii="Times New Roman" w:hAnsi="Times New Roman" w:eastAsia="仿宋_GB2312" w:cs="Times New Roman"/>
          <w:color w:val="auto"/>
          <w:sz w:val="28"/>
          <w:szCs w:val="28"/>
          <w:highlight w:val="none"/>
        </w:rPr>
        <w:t>次，出席董事会例会</w:t>
      </w:r>
      <w:r>
        <w:rPr>
          <w:rFonts w:hint="default" w:ascii="Times New Roman" w:hAnsi="Times New Roman" w:eastAsia="仿宋_GB2312" w:cs="Times New Roman"/>
          <w:color w:val="auto"/>
          <w:sz w:val="28"/>
          <w:szCs w:val="28"/>
          <w:highlight w:val="none"/>
          <w:lang w:val="en-US" w:eastAsia="zh-CN"/>
        </w:rPr>
        <w:t>2</w:t>
      </w:r>
      <w:r>
        <w:rPr>
          <w:rFonts w:hint="default" w:ascii="Times New Roman" w:hAnsi="Times New Roman" w:eastAsia="仿宋_GB2312" w:cs="Times New Roman"/>
          <w:color w:val="auto"/>
          <w:sz w:val="28"/>
          <w:szCs w:val="28"/>
          <w:highlight w:val="none"/>
        </w:rPr>
        <w:t>次，</w:t>
      </w:r>
      <w:r>
        <w:rPr>
          <w:rFonts w:hint="default" w:ascii="Times New Roman" w:hAnsi="Times New Roman" w:eastAsia="仿宋_GB2312" w:cs="Times New Roman"/>
          <w:color w:val="auto"/>
          <w:sz w:val="28"/>
          <w:szCs w:val="28"/>
          <w:highlight w:val="none"/>
          <w:lang w:eastAsia="zh-CN"/>
        </w:rPr>
        <w:t>出席董事会临时会议</w:t>
      </w:r>
      <w:r>
        <w:rPr>
          <w:rFonts w:hint="default" w:ascii="Times New Roman" w:hAnsi="Times New Roman" w:eastAsia="仿宋_GB2312" w:cs="Times New Roman"/>
          <w:color w:val="auto"/>
          <w:sz w:val="28"/>
          <w:szCs w:val="28"/>
          <w:highlight w:val="none"/>
          <w:lang w:val="en-US" w:eastAsia="zh-CN"/>
        </w:rPr>
        <w:t>2次，</w:t>
      </w:r>
      <w:r>
        <w:rPr>
          <w:rFonts w:hint="default" w:ascii="Times New Roman" w:hAnsi="Times New Roman" w:eastAsia="仿宋_GB2312" w:cs="Times New Roman"/>
          <w:color w:val="auto"/>
          <w:sz w:val="28"/>
          <w:szCs w:val="28"/>
          <w:highlight w:val="none"/>
        </w:rPr>
        <w:t>没有委托出席和未出席情形，本着谨慎的态度对董事会提交的各项提案经过审议后进行投票表决。</w:t>
      </w:r>
    </w:p>
    <w:p>
      <w:pPr>
        <w:keepNext w:val="0"/>
        <w:keepLines w:val="0"/>
        <w:pageBreakBefore w:val="0"/>
        <w:kinsoku/>
        <w:wordWrap/>
        <w:overflowPunct/>
        <w:topLinePunct w:val="0"/>
        <w:autoSpaceDE/>
        <w:autoSpaceDN/>
        <w:bidi w:val="0"/>
        <w:adjustRightInd/>
        <w:snapToGrid/>
        <w:spacing w:line="480" w:lineRule="exact"/>
        <w:ind w:firstLine="604" w:firstLineChars="200"/>
        <w:jc w:val="both"/>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本行独立董事</w:t>
      </w:r>
      <w:r>
        <w:rPr>
          <w:rFonts w:hint="default" w:ascii="Times New Roman" w:hAnsi="Times New Roman" w:eastAsia="仿宋_GB2312" w:cs="Times New Roman"/>
          <w:color w:val="auto"/>
          <w:sz w:val="28"/>
          <w:szCs w:val="28"/>
          <w:highlight w:val="none"/>
          <w:lang w:eastAsia="zh-CN"/>
        </w:rPr>
        <w:t>陈泉</w:t>
      </w:r>
      <w:r>
        <w:rPr>
          <w:rFonts w:hint="default" w:ascii="Times New Roman" w:hAnsi="Times New Roman" w:eastAsia="仿宋_GB2312" w:cs="Times New Roman"/>
          <w:color w:val="auto"/>
          <w:sz w:val="28"/>
          <w:szCs w:val="28"/>
          <w:highlight w:val="none"/>
        </w:rPr>
        <w:t>先生出席</w:t>
      </w:r>
      <w:r>
        <w:rPr>
          <w:rFonts w:hint="default" w:ascii="Times New Roman" w:hAnsi="Times New Roman" w:eastAsia="仿宋_GB2312" w:cs="Times New Roman"/>
          <w:color w:val="auto"/>
          <w:sz w:val="28"/>
          <w:szCs w:val="28"/>
          <w:highlight w:val="none"/>
          <w:lang w:eastAsia="zh-CN"/>
        </w:rPr>
        <w:t>股东会</w:t>
      </w:r>
      <w:r>
        <w:rPr>
          <w:rFonts w:hint="default" w:ascii="Times New Roman" w:hAnsi="Times New Roman" w:eastAsia="仿宋_GB2312" w:cs="Times New Roman"/>
          <w:color w:val="auto"/>
          <w:sz w:val="28"/>
          <w:szCs w:val="28"/>
          <w:highlight w:val="none"/>
        </w:rPr>
        <w:t>会议</w:t>
      </w:r>
      <w:r>
        <w:rPr>
          <w:rFonts w:hint="default" w:ascii="Times New Roman" w:hAnsi="Times New Roman" w:eastAsia="仿宋_GB2312" w:cs="Times New Roman"/>
          <w:color w:val="auto"/>
          <w:sz w:val="28"/>
          <w:szCs w:val="28"/>
          <w:highlight w:val="none"/>
          <w:lang w:val="en-US" w:eastAsia="zh-CN"/>
        </w:rPr>
        <w:t>1</w:t>
      </w:r>
      <w:r>
        <w:rPr>
          <w:rFonts w:hint="default" w:ascii="Times New Roman" w:hAnsi="Times New Roman" w:eastAsia="仿宋_GB2312" w:cs="Times New Roman"/>
          <w:color w:val="auto"/>
          <w:sz w:val="28"/>
          <w:szCs w:val="28"/>
          <w:highlight w:val="none"/>
        </w:rPr>
        <w:t>次，出席董事会例会</w:t>
      </w:r>
      <w:r>
        <w:rPr>
          <w:rFonts w:hint="default" w:ascii="Times New Roman" w:hAnsi="Times New Roman" w:eastAsia="仿宋_GB2312" w:cs="Times New Roman"/>
          <w:color w:val="auto"/>
          <w:sz w:val="28"/>
          <w:szCs w:val="28"/>
          <w:highlight w:val="none"/>
          <w:lang w:val="en-US" w:eastAsia="zh-CN"/>
        </w:rPr>
        <w:t>2</w:t>
      </w:r>
      <w:r>
        <w:rPr>
          <w:rFonts w:hint="default" w:ascii="Times New Roman" w:hAnsi="Times New Roman" w:eastAsia="仿宋_GB2312" w:cs="Times New Roman"/>
          <w:color w:val="auto"/>
          <w:sz w:val="28"/>
          <w:szCs w:val="28"/>
          <w:highlight w:val="none"/>
        </w:rPr>
        <w:t>次，</w:t>
      </w:r>
      <w:r>
        <w:rPr>
          <w:rFonts w:hint="default" w:ascii="Times New Roman" w:hAnsi="Times New Roman" w:eastAsia="仿宋_GB2312" w:cs="Times New Roman"/>
          <w:color w:val="auto"/>
          <w:sz w:val="28"/>
          <w:szCs w:val="28"/>
          <w:highlight w:val="none"/>
          <w:lang w:eastAsia="zh-CN"/>
        </w:rPr>
        <w:t>出席董事会临时会议</w:t>
      </w:r>
      <w:r>
        <w:rPr>
          <w:rFonts w:hint="default" w:ascii="Times New Roman" w:hAnsi="Times New Roman" w:eastAsia="仿宋_GB2312" w:cs="Times New Roman"/>
          <w:color w:val="auto"/>
          <w:sz w:val="28"/>
          <w:szCs w:val="28"/>
          <w:highlight w:val="none"/>
          <w:lang w:val="en-US" w:eastAsia="zh-CN"/>
        </w:rPr>
        <w:t>2次，</w:t>
      </w:r>
      <w:r>
        <w:rPr>
          <w:rFonts w:hint="default" w:ascii="Times New Roman" w:hAnsi="Times New Roman" w:eastAsia="仿宋_GB2312" w:cs="Times New Roman"/>
          <w:color w:val="auto"/>
          <w:sz w:val="28"/>
          <w:szCs w:val="28"/>
          <w:highlight w:val="none"/>
        </w:rPr>
        <w:t>没有委托出席和未出席情形，本着谨慎的态度对董事会提交的各项提案经过审议后进行投票表决。</w:t>
      </w:r>
    </w:p>
    <w:p>
      <w:pPr>
        <w:keepNext w:val="0"/>
        <w:keepLines w:val="0"/>
        <w:pageBreakBefore w:val="0"/>
        <w:kinsoku/>
        <w:wordWrap/>
        <w:overflowPunct/>
        <w:topLinePunct w:val="0"/>
        <w:autoSpaceDE/>
        <w:autoSpaceDN/>
        <w:bidi w:val="0"/>
        <w:adjustRightInd/>
        <w:snapToGrid/>
        <w:spacing w:line="480" w:lineRule="exact"/>
        <w:ind w:firstLine="604" w:firstLineChars="200"/>
        <w:jc w:val="both"/>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本行独立董事</w:t>
      </w:r>
      <w:r>
        <w:rPr>
          <w:rFonts w:hint="default" w:ascii="Times New Roman" w:hAnsi="Times New Roman" w:eastAsia="仿宋_GB2312" w:cs="Times New Roman"/>
          <w:color w:val="auto"/>
          <w:sz w:val="28"/>
          <w:szCs w:val="28"/>
          <w:highlight w:val="none"/>
          <w:lang w:eastAsia="zh-CN"/>
        </w:rPr>
        <w:t>庄尚文</w:t>
      </w:r>
      <w:r>
        <w:rPr>
          <w:rFonts w:hint="default" w:ascii="Times New Roman" w:hAnsi="Times New Roman" w:eastAsia="仿宋_GB2312" w:cs="Times New Roman"/>
          <w:color w:val="auto"/>
          <w:sz w:val="28"/>
          <w:szCs w:val="28"/>
          <w:highlight w:val="none"/>
        </w:rPr>
        <w:t>先生出席</w:t>
      </w:r>
      <w:r>
        <w:rPr>
          <w:rFonts w:hint="default" w:ascii="Times New Roman" w:hAnsi="Times New Roman" w:eastAsia="仿宋_GB2312" w:cs="Times New Roman"/>
          <w:color w:val="auto"/>
          <w:sz w:val="28"/>
          <w:szCs w:val="28"/>
          <w:highlight w:val="none"/>
          <w:lang w:eastAsia="zh-CN"/>
        </w:rPr>
        <w:t>股东会</w:t>
      </w:r>
      <w:r>
        <w:rPr>
          <w:rFonts w:hint="default" w:ascii="Times New Roman" w:hAnsi="Times New Roman" w:eastAsia="仿宋_GB2312" w:cs="Times New Roman"/>
          <w:color w:val="auto"/>
          <w:sz w:val="28"/>
          <w:szCs w:val="28"/>
          <w:highlight w:val="none"/>
        </w:rPr>
        <w:t>会议</w:t>
      </w:r>
      <w:r>
        <w:rPr>
          <w:rFonts w:hint="default" w:ascii="Times New Roman" w:hAnsi="Times New Roman" w:eastAsia="仿宋_GB2312" w:cs="Times New Roman"/>
          <w:color w:val="auto"/>
          <w:sz w:val="28"/>
          <w:szCs w:val="28"/>
          <w:highlight w:val="none"/>
          <w:lang w:val="en-US" w:eastAsia="zh-CN"/>
        </w:rPr>
        <w:t>1</w:t>
      </w:r>
      <w:r>
        <w:rPr>
          <w:rFonts w:hint="default" w:ascii="Times New Roman" w:hAnsi="Times New Roman" w:eastAsia="仿宋_GB2312" w:cs="Times New Roman"/>
          <w:color w:val="auto"/>
          <w:sz w:val="28"/>
          <w:szCs w:val="28"/>
          <w:highlight w:val="none"/>
        </w:rPr>
        <w:t>次，出席董事会例会</w:t>
      </w:r>
      <w:r>
        <w:rPr>
          <w:rFonts w:hint="default" w:ascii="Times New Roman" w:hAnsi="Times New Roman" w:eastAsia="仿宋_GB2312" w:cs="Times New Roman"/>
          <w:color w:val="auto"/>
          <w:sz w:val="28"/>
          <w:szCs w:val="28"/>
          <w:highlight w:val="none"/>
          <w:lang w:val="en-US" w:eastAsia="zh-CN"/>
        </w:rPr>
        <w:t>2</w:t>
      </w:r>
      <w:r>
        <w:rPr>
          <w:rFonts w:hint="default" w:ascii="Times New Roman" w:hAnsi="Times New Roman" w:eastAsia="仿宋_GB2312" w:cs="Times New Roman"/>
          <w:color w:val="auto"/>
          <w:sz w:val="28"/>
          <w:szCs w:val="28"/>
          <w:highlight w:val="none"/>
        </w:rPr>
        <w:t>次，</w:t>
      </w:r>
      <w:r>
        <w:rPr>
          <w:rFonts w:hint="default" w:ascii="Times New Roman" w:hAnsi="Times New Roman" w:eastAsia="仿宋_GB2312" w:cs="Times New Roman"/>
          <w:color w:val="auto"/>
          <w:sz w:val="28"/>
          <w:szCs w:val="28"/>
          <w:highlight w:val="none"/>
          <w:lang w:eastAsia="zh-CN"/>
        </w:rPr>
        <w:t>出席董事会临时会议</w:t>
      </w:r>
      <w:r>
        <w:rPr>
          <w:rFonts w:hint="default" w:ascii="Times New Roman" w:hAnsi="Times New Roman" w:eastAsia="仿宋_GB2312" w:cs="Times New Roman"/>
          <w:color w:val="auto"/>
          <w:sz w:val="28"/>
          <w:szCs w:val="28"/>
          <w:highlight w:val="none"/>
          <w:lang w:val="en-US" w:eastAsia="zh-CN"/>
        </w:rPr>
        <w:t>2次</w:t>
      </w:r>
      <w:r>
        <w:rPr>
          <w:rFonts w:hint="default" w:ascii="Times New Roman" w:hAnsi="Times New Roman" w:eastAsia="仿宋_GB2312" w:cs="Times New Roman"/>
          <w:color w:val="auto"/>
          <w:sz w:val="28"/>
          <w:szCs w:val="28"/>
          <w:highlight w:val="none"/>
        </w:rPr>
        <w:t>没有委托出席和未出席情形，本着谨慎的态度对董事会提交的各项提案经过审议后进行投票表决。</w:t>
      </w:r>
    </w:p>
    <w:p>
      <w:pPr>
        <w:keepNext w:val="0"/>
        <w:keepLines w:val="0"/>
        <w:pageBreakBefore w:val="0"/>
        <w:kinsoku/>
        <w:wordWrap/>
        <w:overflowPunct/>
        <w:topLinePunct w:val="0"/>
        <w:autoSpaceDE/>
        <w:autoSpaceDN/>
        <w:bidi w:val="0"/>
        <w:adjustRightInd/>
        <w:snapToGrid/>
        <w:spacing w:line="480" w:lineRule="exact"/>
        <w:ind w:firstLine="604" w:firstLineChars="200"/>
        <w:jc w:val="both"/>
        <w:textAlignment w:val="auto"/>
        <w:rPr>
          <w:rFonts w:hint="default" w:ascii="Times New Roman" w:hAnsi="Times New Roman" w:cs="Times New Roman"/>
          <w:color w:val="auto"/>
          <w:highlight w:val="none"/>
          <w:lang w:val="en-US"/>
        </w:rPr>
      </w:pPr>
      <w:r>
        <w:rPr>
          <w:rFonts w:hint="default" w:ascii="Times New Roman" w:hAnsi="Times New Roman" w:eastAsia="仿宋_GB2312" w:cs="Times New Roman"/>
          <w:color w:val="auto"/>
          <w:sz w:val="28"/>
          <w:szCs w:val="28"/>
          <w:highlight w:val="none"/>
        </w:rPr>
        <w:t>本行独立董事</w:t>
      </w:r>
      <w:r>
        <w:rPr>
          <w:rFonts w:hint="default" w:ascii="Times New Roman" w:hAnsi="Times New Roman" w:eastAsia="仿宋_GB2312" w:cs="Times New Roman"/>
          <w:color w:val="auto"/>
          <w:sz w:val="28"/>
          <w:szCs w:val="28"/>
          <w:highlight w:val="none"/>
          <w:lang w:eastAsia="zh-CN"/>
        </w:rPr>
        <w:t>高波</w:t>
      </w:r>
      <w:r>
        <w:rPr>
          <w:rFonts w:hint="default" w:ascii="Times New Roman" w:hAnsi="Times New Roman" w:eastAsia="仿宋_GB2312" w:cs="Times New Roman"/>
          <w:color w:val="auto"/>
          <w:sz w:val="28"/>
          <w:szCs w:val="28"/>
          <w:highlight w:val="none"/>
        </w:rPr>
        <w:t>先生出席</w:t>
      </w:r>
      <w:r>
        <w:rPr>
          <w:rFonts w:hint="default" w:ascii="Times New Roman" w:hAnsi="Times New Roman" w:eastAsia="仿宋_GB2312" w:cs="Times New Roman"/>
          <w:color w:val="auto"/>
          <w:sz w:val="28"/>
          <w:szCs w:val="28"/>
          <w:highlight w:val="none"/>
          <w:lang w:eastAsia="zh-CN"/>
        </w:rPr>
        <w:t>股东会</w:t>
      </w:r>
      <w:r>
        <w:rPr>
          <w:rFonts w:hint="default" w:ascii="Times New Roman" w:hAnsi="Times New Roman" w:eastAsia="仿宋_GB2312" w:cs="Times New Roman"/>
          <w:color w:val="auto"/>
          <w:sz w:val="28"/>
          <w:szCs w:val="28"/>
          <w:highlight w:val="none"/>
        </w:rPr>
        <w:t>会议</w:t>
      </w:r>
      <w:r>
        <w:rPr>
          <w:rFonts w:hint="default" w:ascii="Times New Roman" w:hAnsi="Times New Roman" w:eastAsia="仿宋_GB2312" w:cs="Times New Roman"/>
          <w:color w:val="auto"/>
          <w:sz w:val="28"/>
          <w:szCs w:val="28"/>
          <w:highlight w:val="none"/>
          <w:lang w:val="en-US" w:eastAsia="zh-CN"/>
        </w:rPr>
        <w:t>1</w:t>
      </w:r>
      <w:r>
        <w:rPr>
          <w:rFonts w:hint="default" w:ascii="Times New Roman" w:hAnsi="Times New Roman" w:eastAsia="仿宋_GB2312" w:cs="Times New Roman"/>
          <w:color w:val="auto"/>
          <w:sz w:val="28"/>
          <w:szCs w:val="28"/>
          <w:highlight w:val="none"/>
        </w:rPr>
        <w:t>次，出席董事会例会</w:t>
      </w:r>
      <w:r>
        <w:rPr>
          <w:rFonts w:hint="default" w:ascii="Times New Roman" w:hAnsi="Times New Roman" w:eastAsia="仿宋_GB2312" w:cs="Times New Roman"/>
          <w:color w:val="auto"/>
          <w:sz w:val="28"/>
          <w:szCs w:val="28"/>
          <w:highlight w:val="none"/>
          <w:lang w:val="en-US" w:eastAsia="zh-CN"/>
        </w:rPr>
        <w:t>2</w:t>
      </w:r>
      <w:r>
        <w:rPr>
          <w:rFonts w:hint="default" w:ascii="Times New Roman" w:hAnsi="Times New Roman" w:eastAsia="仿宋_GB2312" w:cs="Times New Roman"/>
          <w:color w:val="auto"/>
          <w:sz w:val="28"/>
          <w:szCs w:val="28"/>
          <w:highlight w:val="none"/>
        </w:rPr>
        <w:t>次，</w:t>
      </w:r>
      <w:r>
        <w:rPr>
          <w:rFonts w:hint="default" w:ascii="Times New Roman" w:hAnsi="Times New Roman" w:eastAsia="仿宋_GB2312" w:cs="Times New Roman"/>
          <w:color w:val="auto"/>
          <w:sz w:val="28"/>
          <w:szCs w:val="28"/>
          <w:highlight w:val="none"/>
          <w:lang w:eastAsia="zh-CN"/>
        </w:rPr>
        <w:t>出席董事会临时会议</w:t>
      </w:r>
      <w:r>
        <w:rPr>
          <w:rFonts w:hint="default" w:ascii="Times New Roman" w:hAnsi="Times New Roman" w:eastAsia="仿宋_GB2312" w:cs="Times New Roman"/>
          <w:color w:val="auto"/>
          <w:sz w:val="28"/>
          <w:szCs w:val="28"/>
          <w:highlight w:val="none"/>
          <w:lang w:val="en-US" w:eastAsia="zh-CN"/>
        </w:rPr>
        <w:t>2次，</w:t>
      </w:r>
      <w:r>
        <w:rPr>
          <w:rFonts w:hint="default" w:ascii="Times New Roman" w:hAnsi="Times New Roman" w:eastAsia="仿宋_GB2312" w:cs="Times New Roman"/>
          <w:color w:val="auto"/>
          <w:sz w:val="28"/>
          <w:szCs w:val="28"/>
          <w:highlight w:val="none"/>
        </w:rPr>
        <w:t>没有委托出席和未出席情形，本着谨慎的态度对董事会提交的各项提案经过审议后进行投票表决。</w:t>
      </w:r>
    </w:p>
    <w:p>
      <w:pPr>
        <w:keepNext w:val="0"/>
        <w:keepLines w:val="0"/>
        <w:pageBreakBefore w:val="0"/>
        <w:kinsoku/>
        <w:wordWrap/>
        <w:overflowPunct/>
        <w:topLinePunct w:val="0"/>
        <w:autoSpaceDE/>
        <w:autoSpaceDN/>
        <w:bidi w:val="0"/>
        <w:adjustRightInd/>
        <w:snapToGrid/>
        <w:spacing w:line="480" w:lineRule="exact"/>
        <w:ind w:firstLine="604" w:firstLineChars="200"/>
        <w:jc w:val="both"/>
        <w:textAlignment w:val="auto"/>
        <w:rPr>
          <w:rFonts w:hint="default" w:ascii="Times New Roman" w:hAnsi="Times New Roman" w:eastAsia="仿宋_GB2312" w:cs="Times New Roman"/>
          <w:color w:val="auto"/>
          <w:sz w:val="28"/>
          <w:szCs w:val="28"/>
          <w:highlight w:val="none"/>
          <w:lang w:eastAsia="zh-CN"/>
        </w:rPr>
      </w:pPr>
      <w:r>
        <w:rPr>
          <w:rFonts w:hint="default" w:ascii="Times New Roman" w:hAnsi="Times New Roman" w:eastAsia="仿宋_GB2312" w:cs="Times New Roman"/>
          <w:color w:val="auto"/>
          <w:sz w:val="28"/>
          <w:szCs w:val="28"/>
          <w:highlight w:val="none"/>
        </w:rPr>
        <w:t>本行独立董事</w:t>
      </w:r>
      <w:r>
        <w:rPr>
          <w:rFonts w:hint="default" w:ascii="Times New Roman" w:hAnsi="Times New Roman" w:eastAsia="仿宋_GB2312" w:cs="Times New Roman"/>
          <w:color w:val="auto"/>
          <w:sz w:val="28"/>
          <w:szCs w:val="28"/>
          <w:highlight w:val="none"/>
          <w:lang w:eastAsia="zh-CN"/>
        </w:rPr>
        <w:t>应瑞瑶</w:t>
      </w:r>
      <w:r>
        <w:rPr>
          <w:rFonts w:hint="default" w:ascii="Times New Roman" w:hAnsi="Times New Roman" w:eastAsia="仿宋_GB2312" w:cs="Times New Roman"/>
          <w:color w:val="auto"/>
          <w:sz w:val="28"/>
          <w:szCs w:val="28"/>
          <w:highlight w:val="none"/>
        </w:rPr>
        <w:t>先生出席</w:t>
      </w:r>
      <w:r>
        <w:rPr>
          <w:rFonts w:hint="default" w:ascii="Times New Roman" w:hAnsi="Times New Roman" w:eastAsia="仿宋_GB2312" w:cs="Times New Roman"/>
          <w:color w:val="auto"/>
          <w:sz w:val="28"/>
          <w:szCs w:val="28"/>
          <w:highlight w:val="none"/>
          <w:lang w:eastAsia="zh-CN"/>
        </w:rPr>
        <w:t>股东会</w:t>
      </w:r>
      <w:r>
        <w:rPr>
          <w:rFonts w:hint="default" w:ascii="Times New Roman" w:hAnsi="Times New Roman" w:eastAsia="仿宋_GB2312" w:cs="Times New Roman"/>
          <w:color w:val="auto"/>
          <w:sz w:val="28"/>
          <w:szCs w:val="28"/>
          <w:highlight w:val="none"/>
        </w:rPr>
        <w:t>会议</w:t>
      </w:r>
      <w:r>
        <w:rPr>
          <w:rFonts w:hint="default" w:ascii="Times New Roman" w:hAnsi="Times New Roman" w:eastAsia="仿宋_GB2312" w:cs="Times New Roman"/>
          <w:color w:val="auto"/>
          <w:sz w:val="28"/>
          <w:szCs w:val="28"/>
          <w:highlight w:val="none"/>
          <w:lang w:val="en-US" w:eastAsia="zh-CN"/>
        </w:rPr>
        <w:t>1</w:t>
      </w:r>
      <w:r>
        <w:rPr>
          <w:rFonts w:hint="default" w:ascii="Times New Roman" w:hAnsi="Times New Roman" w:eastAsia="仿宋_GB2312" w:cs="Times New Roman"/>
          <w:color w:val="auto"/>
          <w:sz w:val="28"/>
          <w:szCs w:val="28"/>
          <w:highlight w:val="none"/>
        </w:rPr>
        <w:t>次，出席董事会例会</w:t>
      </w:r>
      <w:r>
        <w:rPr>
          <w:rFonts w:hint="default" w:ascii="Times New Roman" w:hAnsi="Times New Roman" w:eastAsia="仿宋_GB2312" w:cs="Times New Roman"/>
          <w:color w:val="auto"/>
          <w:sz w:val="28"/>
          <w:szCs w:val="28"/>
          <w:highlight w:val="none"/>
          <w:lang w:val="en-US" w:eastAsia="zh-CN"/>
        </w:rPr>
        <w:t>1</w:t>
      </w:r>
      <w:r>
        <w:rPr>
          <w:rFonts w:hint="default" w:ascii="Times New Roman" w:hAnsi="Times New Roman" w:eastAsia="仿宋_GB2312" w:cs="Times New Roman"/>
          <w:color w:val="auto"/>
          <w:sz w:val="28"/>
          <w:szCs w:val="28"/>
          <w:highlight w:val="none"/>
        </w:rPr>
        <w:t>次，</w:t>
      </w:r>
      <w:r>
        <w:rPr>
          <w:rFonts w:hint="default" w:ascii="Times New Roman" w:hAnsi="Times New Roman" w:eastAsia="仿宋_GB2312" w:cs="Times New Roman"/>
          <w:color w:val="auto"/>
          <w:sz w:val="28"/>
          <w:szCs w:val="28"/>
          <w:highlight w:val="none"/>
          <w:lang w:eastAsia="zh-CN"/>
        </w:rPr>
        <w:t>出席董事会临时会议</w:t>
      </w:r>
      <w:r>
        <w:rPr>
          <w:rFonts w:hint="default" w:ascii="Times New Roman" w:hAnsi="Times New Roman" w:eastAsia="仿宋_GB2312" w:cs="Times New Roman"/>
          <w:color w:val="auto"/>
          <w:sz w:val="28"/>
          <w:szCs w:val="28"/>
          <w:highlight w:val="none"/>
          <w:lang w:val="en-US" w:eastAsia="zh-CN"/>
        </w:rPr>
        <w:t>2次，委托出席董事会例会1次（第五届董事会第六次会议）</w:t>
      </w:r>
      <w:r>
        <w:rPr>
          <w:rFonts w:hint="default" w:ascii="Times New Roman" w:hAnsi="Times New Roman" w:eastAsia="仿宋_GB2312" w:cs="Times New Roman"/>
          <w:color w:val="auto"/>
          <w:sz w:val="28"/>
          <w:szCs w:val="28"/>
          <w:highlight w:val="none"/>
        </w:rPr>
        <w:t>，本着谨慎的态度对董事会提交的各项提案经过审议后进行投票表决。</w:t>
      </w:r>
    </w:p>
    <w:p>
      <w:pPr>
        <w:keepNext w:val="0"/>
        <w:keepLines w:val="0"/>
        <w:pageBreakBefore w:val="0"/>
        <w:kinsoku/>
        <w:wordWrap/>
        <w:overflowPunct/>
        <w:topLinePunct w:val="0"/>
        <w:bidi w:val="0"/>
        <w:snapToGrid/>
        <w:spacing w:line="480" w:lineRule="exact"/>
        <w:ind w:firstLine="604" w:firstLineChars="200"/>
        <w:contextualSpacing/>
        <w:jc w:val="both"/>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董事会风险管理与关联交易控制委员会、提名与薪酬委员会、审计委员会主任委员均由独立董事担任。报告期内，独立董事能够严格按照《中华人民共和国公司法》《银行保险机构公司治理准则》《银行保险机构董监事履职评价办法（试行）》《股份制商业银行独立董事和外部监事制度指引》等规定以及</w:t>
      </w:r>
      <w:r>
        <w:rPr>
          <w:rFonts w:hint="default" w:ascii="Times New Roman" w:hAnsi="Times New Roman" w:eastAsia="仿宋_GB2312" w:cs="Times New Roman"/>
          <w:color w:val="auto"/>
          <w:sz w:val="28"/>
          <w:szCs w:val="28"/>
          <w:highlight w:val="none"/>
          <w:lang w:val="en-US" w:eastAsia="zh-CN"/>
        </w:rPr>
        <w:t>本行</w:t>
      </w:r>
      <w:r>
        <w:rPr>
          <w:rFonts w:hint="default" w:ascii="Times New Roman" w:hAnsi="Times New Roman" w:eastAsia="仿宋_GB2312" w:cs="Times New Roman"/>
          <w:color w:val="auto"/>
          <w:sz w:val="28"/>
          <w:szCs w:val="28"/>
          <w:highlight w:val="none"/>
        </w:rPr>
        <w:t>章程、《独立董事制度》、各专门委员会工作细则等要求，忠实、勤勉、高效地履行独立董事职责，充分发挥独立董事作用，切实维护本行整体利益和全体股东尤其是中小股东的合法权益。通过出席董事会与各专门委员会会议，采取赴基层行调研、审阅本行定期报送的相关资料、形成调研履职报告等方式，及时了解本行业务发展状况及一线经营管理信息。认真履行专门委员会职责，密切关注本行资本补充、关联交易、风险管理、业务创新转型等工作开展情况，并就重点关注的问题与高级管理层进行咨询或沟通。对于提交董事会和专门委员会审议的事项，提前研究会议材料，在会议讨论过程中从独立的专业人士角度，充分发表客观公正的意见，独立判断，审慎做出决策。保护投资者权益，积极关注信息披露工作，督促本行严格按照相关法律及规定，履行信息披露义务，在年度报告编制过程中发挥了应尽的监督审核职责，确保信息披露公平、及时、真实、准确、完整。重视学习和培训，积极参加本行组织的董事培训，认真学习监管部门的有关政策规定。</w:t>
      </w:r>
    </w:p>
    <w:p>
      <w:pPr>
        <w:keepNext w:val="0"/>
        <w:keepLines w:val="0"/>
        <w:pageBreakBefore w:val="0"/>
        <w:kinsoku/>
        <w:wordWrap/>
        <w:overflowPunct/>
        <w:topLinePunct w:val="0"/>
        <w:bidi w:val="0"/>
        <w:snapToGrid/>
        <w:spacing w:line="480" w:lineRule="exact"/>
        <w:ind w:firstLine="604" w:firstLineChars="200"/>
        <w:contextualSpacing/>
        <w:jc w:val="both"/>
        <w:textAlignment w:val="auto"/>
        <w:rPr>
          <w:rFonts w:hint="default" w:ascii="Times New Roman" w:hAnsi="Times New Roman" w:eastAsia="黑体" w:cs="Times New Roman"/>
          <w:bCs/>
          <w:color w:val="auto"/>
          <w:sz w:val="28"/>
          <w:szCs w:val="28"/>
          <w:highlight w:val="none"/>
          <w:lang w:eastAsia="zh-CN"/>
        </w:rPr>
      </w:pPr>
      <w:r>
        <w:rPr>
          <w:rFonts w:hint="default" w:ascii="Times New Roman" w:hAnsi="Times New Roman" w:eastAsia="黑体" w:cs="Times New Roman"/>
          <w:bCs/>
          <w:color w:val="auto"/>
          <w:sz w:val="28"/>
          <w:szCs w:val="28"/>
          <w:highlight w:val="none"/>
          <w:lang w:eastAsia="zh-CN"/>
        </w:rPr>
        <w:t>五、</w:t>
      </w:r>
      <w:r>
        <w:rPr>
          <w:rFonts w:hint="default" w:ascii="Times New Roman" w:hAnsi="Times New Roman" w:eastAsia="黑体" w:cs="Times New Roman"/>
          <w:bCs/>
          <w:color w:val="auto"/>
          <w:sz w:val="28"/>
          <w:szCs w:val="28"/>
          <w:highlight w:val="none"/>
        </w:rPr>
        <w:t>消费者权益保护工作情况</w:t>
      </w:r>
    </w:p>
    <w:p>
      <w:pPr>
        <w:keepNext w:val="0"/>
        <w:keepLines w:val="0"/>
        <w:pageBreakBefore w:val="0"/>
        <w:widowControl/>
        <w:tabs>
          <w:tab w:val="left" w:pos="2422"/>
        </w:tabs>
        <w:kinsoku/>
        <w:wordWrap/>
        <w:overflowPunct/>
        <w:topLinePunct w:val="0"/>
        <w:bidi w:val="0"/>
        <w:spacing w:line="480" w:lineRule="exact"/>
        <w:ind w:firstLine="765"/>
        <w:textAlignment w:val="auto"/>
        <w:rPr>
          <w:rFonts w:hint="default" w:ascii="Times New Roman" w:hAnsi="Times New Roman" w:eastAsia="仿宋_GB2312" w:cs="Times New Roman"/>
          <w:b/>
          <w:bCs/>
          <w:color w:val="auto"/>
          <w:sz w:val="28"/>
          <w:szCs w:val="28"/>
          <w:highlight w:val="none"/>
        </w:rPr>
      </w:pPr>
      <w:r>
        <w:rPr>
          <w:rFonts w:hint="default" w:ascii="Times New Roman" w:hAnsi="Times New Roman" w:eastAsia="仿宋_GB2312" w:cs="Times New Roman"/>
          <w:b/>
          <w:bCs/>
          <w:color w:val="auto"/>
          <w:sz w:val="28"/>
          <w:szCs w:val="28"/>
          <w:highlight w:val="none"/>
        </w:rPr>
        <w:t>一、金融消费者权益保护体制建设情况</w:t>
      </w:r>
    </w:p>
    <w:p>
      <w:pPr>
        <w:keepNext w:val="0"/>
        <w:keepLines w:val="0"/>
        <w:pageBreakBefore w:val="0"/>
        <w:widowControl/>
        <w:tabs>
          <w:tab w:val="left" w:pos="2422"/>
        </w:tabs>
        <w:kinsoku/>
        <w:wordWrap/>
        <w:overflowPunct/>
        <w:topLinePunct w:val="0"/>
        <w:bidi w:val="0"/>
        <w:spacing w:line="480" w:lineRule="exact"/>
        <w:ind w:firstLine="765"/>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b/>
          <w:bCs/>
          <w:color w:val="auto"/>
          <w:sz w:val="28"/>
          <w:szCs w:val="28"/>
          <w:highlight w:val="none"/>
        </w:rPr>
        <w:t>（一）持续完善消保组织架构。</w:t>
      </w:r>
      <w:r>
        <w:rPr>
          <w:rFonts w:hint="default" w:ascii="Times New Roman" w:hAnsi="Times New Roman" w:eastAsia="仿宋_GB2312" w:cs="Times New Roman"/>
          <w:color w:val="auto"/>
          <w:sz w:val="28"/>
          <w:szCs w:val="28"/>
          <w:highlight w:val="none"/>
        </w:rPr>
        <w:t>董事会下设战略发展与三农、消费者权益保护委员会，制定了《江苏高淳农村商业银行股份有限公司董事会战略发展与三农、消费者权益保护委员会工作制度》，明确了委员会职责、决策程序、议事规则等内容，负责对本行消费者权益保护进行研究并提出建议，从机构设置上强化了金融消费权益保护组织力。</w:t>
      </w:r>
    </w:p>
    <w:p>
      <w:pPr>
        <w:keepNext w:val="0"/>
        <w:keepLines w:val="0"/>
        <w:pageBreakBefore w:val="0"/>
        <w:widowControl/>
        <w:tabs>
          <w:tab w:val="left" w:pos="2422"/>
        </w:tabs>
        <w:kinsoku/>
        <w:wordWrap/>
        <w:overflowPunct/>
        <w:topLinePunct w:val="0"/>
        <w:bidi w:val="0"/>
        <w:spacing w:line="480" w:lineRule="exact"/>
        <w:ind w:firstLine="765"/>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b/>
          <w:bCs/>
          <w:color w:val="auto"/>
          <w:sz w:val="28"/>
          <w:szCs w:val="28"/>
          <w:highlight w:val="none"/>
        </w:rPr>
        <w:t>（二）建立健全消保制度体系。</w:t>
      </w:r>
      <w:r>
        <w:rPr>
          <w:rFonts w:hint="default" w:ascii="Times New Roman" w:hAnsi="Times New Roman" w:eastAsia="仿宋_GB2312" w:cs="Times New Roman"/>
          <w:color w:val="auto"/>
          <w:sz w:val="28"/>
          <w:szCs w:val="28"/>
          <w:highlight w:val="none"/>
        </w:rPr>
        <w:t>不断完善消保工作内部控制制度，建立健全服务管理、投诉管理、信息保护、内部考核等制度办法，强化消费者保护工作制度的执行力和约束力。制定《高淳农商银行消费者权益保护管理办法》《高淳农商银行金融消费者权益保护工作管理办法》《高淳农商银行金融消费纠纷重大事件应急管理办法》</w:t>
      </w:r>
      <w:r>
        <w:rPr>
          <w:rFonts w:hint="default" w:ascii="Times New Roman" w:hAnsi="Times New Roman" w:eastAsia="仿宋_GB2312" w:cs="Times New Roman"/>
          <w:color w:val="auto"/>
          <w:sz w:val="28"/>
          <w:szCs w:val="28"/>
          <w:highlight w:val="none"/>
          <w:lang w:eastAsia="zh-CN"/>
        </w:rPr>
        <w:t>和</w:t>
      </w:r>
      <w:r>
        <w:rPr>
          <w:rFonts w:hint="default" w:ascii="Times New Roman" w:hAnsi="Times New Roman" w:eastAsia="仿宋_GB2312" w:cs="Times New Roman"/>
          <w:color w:val="auto"/>
          <w:sz w:val="28"/>
          <w:szCs w:val="28"/>
          <w:highlight w:val="none"/>
        </w:rPr>
        <w:t>《江苏高淳农村商业银行股份有限公司营业网点客户投诉处理规程》，明确消费者权益保护合规管理部为牵头部门，处理消费者权益保护相关工作。保护金融消费者合法权益，完善消费者金融信息保护工作管理体系，制定《高淳农商银行消费者金融信息保护管理办法》，为消费者权益保护提供了坚实的制度保障。</w:t>
      </w:r>
    </w:p>
    <w:p>
      <w:pPr>
        <w:keepNext w:val="0"/>
        <w:keepLines w:val="0"/>
        <w:pageBreakBefore w:val="0"/>
        <w:widowControl/>
        <w:tabs>
          <w:tab w:val="left" w:pos="2422"/>
        </w:tabs>
        <w:kinsoku/>
        <w:wordWrap/>
        <w:overflowPunct/>
        <w:topLinePunct w:val="0"/>
        <w:bidi w:val="0"/>
        <w:spacing w:line="480" w:lineRule="exact"/>
        <w:ind w:firstLine="765"/>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b/>
          <w:bCs/>
          <w:color w:val="auto"/>
          <w:sz w:val="28"/>
          <w:szCs w:val="28"/>
          <w:highlight w:val="none"/>
        </w:rPr>
        <w:t>（三）提升产品优化服务水平。</w:t>
      </w:r>
      <w:r>
        <w:rPr>
          <w:rFonts w:hint="default" w:ascii="Times New Roman" w:hAnsi="Times New Roman" w:eastAsia="仿宋_GB2312" w:cs="Times New Roman"/>
          <w:color w:val="auto"/>
          <w:sz w:val="28"/>
          <w:szCs w:val="28"/>
          <w:highlight w:val="none"/>
        </w:rPr>
        <w:t>发挥一线员工的主观能动性，持续细化、丰富服务与产品内涵，着力优化厅堂环境。聚焦服务效能的提升，将高效办理、微笑服务、文明用语、礼貌接待等做好，不断提升全行金融服务水平的规范、标准、贴心化程度。优化产品销售流程，确保销售人员向消费者充分、准确、清晰地介绍产品信息，包括产品特点、风险因素、收益预期、赎回条件等，帮助消费者做出理性选择。引入消费者权益保护审查机制，充分评估产品的风险收益特征、费用结构、信息披露方式等是否符合消费者权益保护要求，避免复杂结构和高风险产品对消费者造成潜在损害。加强营业网点的环境建设与设施配备，提升服务效率，减少客户排队等待时间，通过线上线下渠道为消费者提供便捷、高效、优质的金融服务体验。</w:t>
      </w:r>
    </w:p>
    <w:p>
      <w:pPr>
        <w:keepNext w:val="0"/>
        <w:keepLines w:val="0"/>
        <w:pageBreakBefore w:val="0"/>
        <w:widowControl/>
        <w:tabs>
          <w:tab w:val="left" w:pos="2422"/>
        </w:tabs>
        <w:kinsoku/>
        <w:wordWrap/>
        <w:overflowPunct/>
        <w:topLinePunct w:val="0"/>
        <w:bidi w:val="0"/>
        <w:spacing w:line="480" w:lineRule="exact"/>
        <w:ind w:firstLine="765"/>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b/>
          <w:bCs/>
          <w:color w:val="auto"/>
          <w:sz w:val="28"/>
          <w:szCs w:val="28"/>
          <w:highlight w:val="none"/>
        </w:rPr>
        <w:t>（四）公示公开投诉处理流程。</w:t>
      </w:r>
      <w:r>
        <w:rPr>
          <w:rFonts w:hint="default" w:ascii="Times New Roman" w:hAnsi="Times New Roman" w:eastAsia="仿宋_GB2312" w:cs="Times New Roman"/>
          <w:color w:val="auto"/>
          <w:sz w:val="28"/>
          <w:szCs w:val="28"/>
          <w:highlight w:val="none"/>
        </w:rPr>
        <w:t>在营业场所公布了电话投诉、意见簿投诉等有效投诉方式，电话投诉为联合银行96008客服电话、总行统一的客服投诉电话，上述渠道畅通、便捷。合规管理部作为消费投诉处理的牵头部门，一般投诉（工作失误、服务态度、内部管理）总行指定责任单位限时完成处理，并向消费者进行反馈；对监管部门转办的投诉，能在时限要求内妥善完成处理，并及时上报处理情况。</w:t>
      </w:r>
    </w:p>
    <w:p>
      <w:pPr>
        <w:keepNext w:val="0"/>
        <w:keepLines w:val="0"/>
        <w:pageBreakBefore w:val="0"/>
        <w:widowControl/>
        <w:tabs>
          <w:tab w:val="left" w:pos="2422"/>
        </w:tabs>
        <w:kinsoku/>
        <w:wordWrap/>
        <w:overflowPunct/>
        <w:topLinePunct w:val="0"/>
        <w:bidi w:val="0"/>
        <w:spacing w:line="480" w:lineRule="exact"/>
        <w:ind w:firstLine="765"/>
        <w:textAlignment w:val="auto"/>
        <w:rPr>
          <w:rFonts w:hint="default" w:ascii="Times New Roman" w:hAnsi="Times New Roman" w:eastAsia="仿宋_GB2312" w:cs="Times New Roman"/>
          <w:b/>
          <w:bCs/>
          <w:color w:val="auto"/>
          <w:sz w:val="28"/>
          <w:szCs w:val="28"/>
          <w:highlight w:val="none"/>
        </w:rPr>
      </w:pPr>
      <w:r>
        <w:rPr>
          <w:rFonts w:hint="default" w:ascii="Times New Roman" w:hAnsi="Times New Roman" w:eastAsia="仿宋_GB2312" w:cs="Times New Roman"/>
          <w:b/>
          <w:bCs/>
          <w:color w:val="auto"/>
          <w:sz w:val="28"/>
          <w:szCs w:val="28"/>
          <w:highlight w:val="none"/>
        </w:rPr>
        <w:t>二、金融消费者权益保护教育宣传情况</w:t>
      </w:r>
    </w:p>
    <w:p>
      <w:pPr>
        <w:keepNext w:val="0"/>
        <w:keepLines w:val="0"/>
        <w:pageBreakBefore w:val="0"/>
        <w:widowControl/>
        <w:tabs>
          <w:tab w:val="left" w:pos="2422"/>
        </w:tabs>
        <w:kinsoku/>
        <w:wordWrap/>
        <w:overflowPunct/>
        <w:topLinePunct w:val="0"/>
        <w:bidi w:val="0"/>
        <w:spacing w:line="480" w:lineRule="exact"/>
        <w:ind w:firstLine="765"/>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全面落实金融消费者权益保护教育宣传工作。制定《高淳农商银行202</w:t>
      </w:r>
      <w:r>
        <w:rPr>
          <w:rFonts w:hint="default" w:ascii="Times New Roman" w:hAnsi="Times New Roman" w:eastAsia="仿宋_GB2312" w:cs="Times New Roman"/>
          <w:color w:val="auto"/>
          <w:sz w:val="28"/>
          <w:szCs w:val="28"/>
          <w:highlight w:val="none"/>
          <w:lang w:val="en-US" w:eastAsia="zh-CN"/>
        </w:rPr>
        <w:t>6</w:t>
      </w:r>
      <w:r>
        <w:rPr>
          <w:rFonts w:hint="default" w:ascii="Times New Roman" w:hAnsi="Times New Roman" w:eastAsia="仿宋_GB2312" w:cs="Times New Roman"/>
          <w:color w:val="auto"/>
          <w:sz w:val="28"/>
          <w:szCs w:val="28"/>
          <w:highlight w:val="none"/>
        </w:rPr>
        <w:t>年金融知识宣传普及工作计划》，逐步完善公众教育服务的长效机制，不断改进和提高服务质量，共同营造良好的金融生态环境，提高公众金融素质。开展常态化和专题化宣传，充分展示我行良好的品牌形象，进一步拓宽银行消费者教育服务工作宣传的广度和深度，广泛构建金融消费者权益保护体系。</w:t>
      </w:r>
    </w:p>
    <w:p>
      <w:pPr>
        <w:keepNext w:val="0"/>
        <w:keepLines w:val="0"/>
        <w:pageBreakBefore w:val="0"/>
        <w:widowControl/>
        <w:tabs>
          <w:tab w:val="left" w:pos="2422"/>
        </w:tabs>
        <w:kinsoku/>
        <w:wordWrap/>
        <w:overflowPunct/>
        <w:topLinePunct w:val="0"/>
        <w:bidi w:val="0"/>
        <w:spacing w:line="480" w:lineRule="exact"/>
        <w:ind w:firstLine="765"/>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b/>
          <w:bCs/>
          <w:color w:val="auto"/>
          <w:sz w:val="28"/>
          <w:szCs w:val="28"/>
          <w:highlight w:val="none"/>
        </w:rPr>
        <w:t>（一）坚守营业网点</w:t>
      </w:r>
      <w:r>
        <w:rPr>
          <w:rFonts w:hint="default" w:ascii="Times New Roman" w:hAnsi="Times New Roman" w:eastAsia="仿宋_GB2312" w:cs="Times New Roman"/>
          <w:b/>
          <w:bCs/>
          <w:color w:val="auto"/>
          <w:sz w:val="28"/>
          <w:szCs w:val="28"/>
          <w:highlight w:val="none"/>
          <w:lang w:eastAsia="zh-CN"/>
        </w:rPr>
        <w:t>，</w:t>
      </w:r>
      <w:r>
        <w:rPr>
          <w:rFonts w:hint="default" w:ascii="Times New Roman" w:hAnsi="Times New Roman" w:eastAsia="仿宋_GB2312" w:cs="Times New Roman"/>
          <w:b/>
          <w:bCs/>
          <w:color w:val="auto"/>
          <w:sz w:val="28"/>
          <w:szCs w:val="28"/>
          <w:highlight w:val="none"/>
        </w:rPr>
        <w:t>精准宣传全覆盖。</w:t>
      </w:r>
      <w:r>
        <w:rPr>
          <w:rFonts w:hint="default" w:ascii="Times New Roman" w:hAnsi="Times New Roman" w:eastAsia="仿宋_GB2312" w:cs="Times New Roman"/>
          <w:color w:val="auto"/>
          <w:sz w:val="28"/>
          <w:szCs w:val="28"/>
          <w:highlight w:val="none"/>
        </w:rPr>
        <w:t>以营业网点为阵地开展“沉浸式”宣传，运用网点门楣跑马屏滚动播放宣传活动口号，在厅堂显著位置设置金融教育宣传咨询台，工作人员向走进网点的客户主动发放宣传折页。将金融教育宣传融入到业务办理环节，在业务服务间隙加入一句话金融知识，如提醒客户注意转账汇款安全、防范电信诈骗等风险提示。增强支付便利化服务渠道，面向老年人、残疾人、新市民推出绿色窗口和上门服务专线，着力解决人民群众急难愁盼问题，解民忧、暖民心。</w:t>
      </w:r>
    </w:p>
    <w:p>
      <w:pPr>
        <w:keepNext w:val="0"/>
        <w:keepLines w:val="0"/>
        <w:pageBreakBefore w:val="0"/>
        <w:widowControl/>
        <w:tabs>
          <w:tab w:val="left" w:pos="2422"/>
        </w:tabs>
        <w:kinsoku/>
        <w:wordWrap/>
        <w:overflowPunct/>
        <w:topLinePunct w:val="0"/>
        <w:bidi w:val="0"/>
        <w:spacing w:line="480" w:lineRule="exact"/>
        <w:ind w:firstLine="765"/>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b/>
          <w:bCs/>
          <w:color w:val="auto"/>
          <w:sz w:val="28"/>
          <w:szCs w:val="28"/>
          <w:highlight w:val="none"/>
        </w:rPr>
        <w:t>（二）推进乡村振兴</w:t>
      </w:r>
      <w:r>
        <w:rPr>
          <w:rFonts w:hint="default" w:ascii="Times New Roman" w:hAnsi="Times New Roman" w:eastAsia="仿宋_GB2312" w:cs="Times New Roman"/>
          <w:b/>
          <w:bCs/>
          <w:color w:val="auto"/>
          <w:sz w:val="28"/>
          <w:szCs w:val="28"/>
          <w:highlight w:val="none"/>
          <w:lang w:eastAsia="zh-CN"/>
        </w:rPr>
        <w:t>，</w:t>
      </w:r>
      <w:r>
        <w:rPr>
          <w:rFonts w:hint="default" w:ascii="Times New Roman" w:hAnsi="Times New Roman" w:eastAsia="仿宋_GB2312" w:cs="Times New Roman"/>
          <w:b/>
          <w:bCs/>
          <w:color w:val="auto"/>
          <w:sz w:val="28"/>
          <w:szCs w:val="28"/>
          <w:highlight w:val="none"/>
        </w:rPr>
        <w:t>开展消保县域行。</w:t>
      </w:r>
      <w:r>
        <w:rPr>
          <w:rFonts w:hint="default" w:ascii="Times New Roman" w:hAnsi="Times New Roman" w:eastAsia="仿宋_GB2312" w:cs="Times New Roman"/>
          <w:color w:val="auto"/>
          <w:sz w:val="28"/>
          <w:szCs w:val="28"/>
          <w:highlight w:val="none"/>
        </w:rPr>
        <w:t>重点聚焦网点周围县域、远郊地区，以村镇为主宣传阵地，结合县域特色，紧扣基层群众需求开展金融教育宣传，帮助基层群众“学金融、懂金融、信金融、用金融”。深入县域乡村，走到基层群众身边，通过设置展板、发放宣传手册等形式，围绕防范电信网络诈骗、防范非法集资、防范非法中介、反假币、网络安全等方面，向街道居民普及金融风险防范知识。现场工作人员耐心的解答居民遇到的各种金融问题，通过这样的宣传活动，增强广大群众的自我防范风险的能力，抵制金融消费陷阱。</w:t>
      </w:r>
    </w:p>
    <w:p>
      <w:pPr>
        <w:keepNext w:val="0"/>
        <w:keepLines w:val="0"/>
        <w:pageBreakBefore w:val="0"/>
        <w:widowControl/>
        <w:tabs>
          <w:tab w:val="left" w:pos="2422"/>
        </w:tabs>
        <w:kinsoku/>
        <w:wordWrap/>
        <w:overflowPunct/>
        <w:topLinePunct w:val="0"/>
        <w:bidi w:val="0"/>
        <w:spacing w:line="480" w:lineRule="exact"/>
        <w:ind w:firstLine="765"/>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b/>
          <w:bCs/>
          <w:color w:val="auto"/>
          <w:sz w:val="28"/>
          <w:szCs w:val="28"/>
          <w:highlight w:val="none"/>
        </w:rPr>
        <w:t>（三）聚焦权益守护</w:t>
      </w:r>
      <w:r>
        <w:rPr>
          <w:rFonts w:hint="default" w:ascii="Times New Roman" w:hAnsi="Times New Roman" w:eastAsia="仿宋_GB2312" w:cs="Times New Roman"/>
          <w:b/>
          <w:bCs/>
          <w:color w:val="auto"/>
          <w:sz w:val="28"/>
          <w:szCs w:val="28"/>
          <w:highlight w:val="none"/>
          <w:lang w:eastAsia="zh-CN"/>
        </w:rPr>
        <w:t>，</w:t>
      </w:r>
      <w:r>
        <w:rPr>
          <w:rFonts w:hint="default" w:ascii="Times New Roman" w:hAnsi="Times New Roman" w:eastAsia="仿宋_GB2312" w:cs="Times New Roman"/>
          <w:b/>
          <w:bCs/>
          <w:color w:val="auto"/>
          <w:sz w:val="28"/>
          <w:szCs w:val="28"/>
          <w:highlight w:val="none"/>
        </w:rPr>
        <w:t>线上线下齐发力。</w:t>
      </w:r>
      <w:r>
        <w:rPr>
          <w:rFonts w:hint="default" w:ascii="Times New Roman" w:hAnsi="Times New Roman" w:eastAsia="仿宋_GB2312" w:cs="Times New Roman"/>
          <w:color w:val="auto"/>
          <w:sz w:val="28"/>
          <w:szCs w:val="28"/>
          <w:highlight w:val="none"/>
        </w:rPr>
        <w:t>积极探索金融消费者宣传新模式，把线上宣传作为提升宣教覆盖面和影响力的重要手段。通过手机银行、官微公众号推送风险提示，实现线上宣传精准触达，丰富宣传内容，采用群众喜闻乐见的语言和形式，推出有温度、接地气、易理解、吸引人的金融知识宣传作品，通过制作动画短视频、增强宣传互动性，提升群众参与积极性，引导金融消费者学习金融知识，提升风险防范意识。</w:t>
      </w:r>
    </w:p>
    <w:p>
      <w:pPr>
        <w:pStyle w:val="36"/>
        <w:keepNext w:val="0"/>
        <w:keepLines w:val="0"/>
        <w:pageBreakBefore w:val="0"/>
        <w:widowControl/>
        <w:kinsoku/>
        <w:wordWrap/>
        <w:overflowPunct/>
        <w:topLinePunct w:val="0"/>
        <w:autoSpaceDE/>
        <w:autoSpaceDN/>
        <w:bidi w:val="0"/>
        <w:adjustRightInd w:val="0"/>
        <w:snapToGrid w:val="0"/>
        <w:spacing w:line="480" w:lineRule="exact"/>
        <w:ind w:left="0" w:firstLine="0"/>
        <w:jc w:val="both"/>
        <w:textAlignment w:val="auto"/>
        <w:rPr>
          <w:rFonts w:hint="default" w:ascii="Times New Roman" w:hAnsi="Times New Roman" w:eastAsia="仿宋_GB2312" w:cs="Times New Roman"/>
          <w:color w:val="auto"/>
          <w:spacing w:val="0"/>
          <w:kern w:val="2"/>
          <w:sz w:val="28"/>
          <w:szCs w:val="28"/>
          <w:highlight w:val="none"/>
          <w:lang w:val="en-US" w:eastAsia="zh-CN" w:bidi="ar-SA"/>
        </w:rPr>
      </w:pPr>
      <w:r>
        <w:rPr>
          <w:rFonts w:hint="default" w:ascii="Times New Roman" w:hAnsi="Times New Roman" w:cs="Times New Roman"/>
          <w:color w:val="auto"/>
          <w:sz w:val="28"/>
          <w:szCs w:val="28"/>
          <w:highlight w:val="none"/>
          <w:lang w:val="en-US" w:eastAsia="zh-CN"/>
        </w:rPr>
        <w:t xml:space="preserve">   </w:t>
      </w:r>
      <w:r>
        <w:rPr>
          <w:rFonts w:hint="default" w:ascii="Times New Roman" w:hAnsi="Times New Roman" w:eastAsia="仿宋_GB2312" w:cs="Times New Roman"/>
          <w:b/>
          <w:bCs/>
          <w:color w:val="auto"/>
          <w:spacing w:val="0"/>
          <w:kern w:val="2"/>
          <w:sz w:val="28"/>
          <w:szCs w:val="28"/>
          <w:highlight w:val="none"/>
          <w:lang w:val="en-US" w:eastAsia="zh-CN" w:bidi="ar-SA"/>
        </w:rPr>
        <w:t xml:space="preserve"> （四）聚焦重点人群，推动消保服务下沉。</w:t>
      </w:r>
      <w:r>
        <w:rPr>
          <w:rFonts w:hint="default" w:ascii="Times New Roman" w:hAnsi="Times New Roman" w:eastAsia="仿宋_GB2312" w:cs="Times New Roman"/>
          <w:color w:val="auto"/>
          <w:spacing w:val="0"/>
          <w:kern w:val="2"/>
          <w:sz w:val="28"/>
          <w:szCs w:val="28"/>
          <w:highlight w:val="none"/>
          <w:lang w:val="en-US" w:eastAsia="zh-CN" w:bidi="ar-SA"/>
        </w:rPr>
        <w:t>针对户外劳动者、老年群体等金融知识薄弱、风险防范能力较弱的重点人群，开展精准化、个性化金融宣教服务，推动金融知识普及向基层延伸，让金融温度触达更多群体。联合区外卖配送行业党委在宝龙广场澳门街打造“宁小蜂驿站”，驿站围绕骑手实际需求，构建“金融+便民+关爱”三维服务体系，配备座椅、饮水设备、充电接口等便民设施，为户外劳动者提供遮风避雨、缓解疲劳、补充能量的临时港湾；同时定期开展金融知识普及活动，内容涵盖反诈宣传、用卡安全、征信保护及信贷产品咨询等，全方位助力骑手守护自身“钱袋子”。对于老年群体，聚焦金融需求与风险防范痛点，开展定制化金融宣教活动。组织网点周边中老年居民开展金融知识微沙龙活动，针对老年群体风险防范意识薄弱、理财知识储备不足等问题，结合真实案例深入剖析电信诈骗、养老金骗局等常见非法金融活动陷阱，为老年消费者普及防范非法金融活动和电信网络诈骗的实用知识，进一步提升老年群体风险防范意识，守护老年群众的养老资金安全。</w:t>
      </w:r>
    </w:p>
    <w:p>
      <w:pPr>
        <w:keepNext w:val="0"/>
        <w:keepLines w:val="0"/>
        <w:pageBreakBefore w:val="0"/>
        <w:widowControl/>
        <w:tabs>
          <w:tab w:val="left" w:pos="2422"/>
        </w:tabs>
        <w:kinsoku/>
        <w:wordWrap/>
        <w:overflowPunct/>
        <w:topLinePunct w:val="0"/>
        <w:bidi w:val="0"/>
        <w:spacing w:line="480" w:lineRule="exact"/>
        <w:ind w:firstLine="765"/>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b/>
          <w:bCs/>
          <w:color w:val="auto"/>
          <w:sz w:val="28"/>
          <w:szCs w:val="28"/>
          <w:highlight w:val="none"/>
        </w:rPr>
        <w:t>（</w:t>
      </w:r>
      <w:r>
        <w:rPr>
          <w:rFonts w:hint="default" w:ascii="Times New Roman" w:hAnsi="Times New Roman" w:eastAsia="仿宋_GB2312" w:cs="Times New Roman"/>
          <w:b/>
          <w:bCs/>
          <w:color w:val="auto"/>
          <w:sz w:val="28"/>
          <w:szCs w:val="28"/>
          <w:highlight w:val="none"/>
          <w:lang w:eastAsia="zh-CN"/>
        </w:rPr>
        <w:t>五</w:t>
      </w:r>
      <w:r>
        <w:rPr>
          <w:rFonts w:hint="default" w:ascii="Times New Roman" w:hAnsi="Times New Roman" w:eastAsia="仿宋_GB2312" w:cs="Times New Roman"/>
          <w:b/>
          <w:bCs/>
          <w:color w:val="auto"/>
          <w:sz w:val="28"/>
          <w:szCs w:val="28"/>
          <w:highlight w:val="none"/>
        </w:rPr>
        <w:t>）优化营商环境，护航企业成长。</w:t>
      </w:r>
      <w:r>
        <w:rPr>
          <w:rFonts w:hint="default" w:ascii="Times New Roman" w:hAnsi="Times New Roman" w:eastAsia="仿宋_GB2312" w:cs="Times New Roman"/>
          <w:color w:val="auto"/>
          <w:sz w:val="28"/>
          <w:szCs w:val="28"/>
          <w:highlight w:val="none"/>
        </w:rPr>
        <w:t>高淳农商银行工作人员走访企业开展金融知识宣讲，现场普及金融消费者八项权力、个人金融信息保护、防范电信网络诈骗等热点内容，同时向中小微企业主宣讲普惠金融、绿色金融等方面的政策措施及优质金融产品，倡导讲诚信、守底线，警惕非法贷款中介陷阱，助力强化风险意识，进一步履行社会责任，扩大金融服务覆盖面。</w:t>
      </w:r>
    </w:p>
    <w:p>
      <w:pPr>
        <w:keepNext w:val="0"/>
        <w:keepLines w:val="0"/>
        <w:pageBreakBefore w:val="0"/>
        <w:widowControl/>
        <w:tabs>
          <w:tab w:val="left" w:pos="2422"/>
        </w:tabs>
        <w:kinsoku/>
        <w:wordWrap/>
        <w:overflowPunct/>
        <w:topLinePunct w:val="0"/>
        <w:bidi w:val="0"/>
        <w:spacing w:line="480" w:lineRule="exact"/>
        <w:ind w:firstLine="765"/>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b/>
          <w:bCs/>
          <w:color w:val="auto"/>
          <w:sz w:val="28"/>
          <w:szCs w:val="28"/>
          <w:highlight w:val="none"/>
        </w:rPr>
        <w:t>（</w:t>
      </w:r>
      <w:r>
        <w:rPr>
          <w:rFonts w:hint="default" w:ascii="Times New Roman" w:hAnsi="Times New Roman" w:eastAsia="仿宋_GB2312" w:cs="Times New Roman"/>
          <w:b/>
          <w:bCs/>
          <w:color w:val="auto"/>
          <w:sz w:val="28"/>
          <w:szCs w:val="28"/>
          <w:highlight w:val="none"/>
          <w:lang w:eastAsia="zh-CN"/>
        </w:rPr>
        <w:t>六</w:t>
      </w:r>
      <w:r>
        <w:rPr>
          <w:rFonts w:hint="default" w:ascii="Times New Roman" w:hAnsi="Times New Roman" w:eastAsia="仿宋_GB2312" w:cs="Times New Roman"/>
          <w:b/>
          <w:bCs/>
          <w:color w:val="auto"/>
          <w:sz w:val="28"/>
          <w:szCs w:val="28"/>
          <w:highlight w:val="none"/>
        </w:rPr>
        <w:t>）加强内部培训，提升员工意识。</w:t>
      </w:r>
      <w:r>
        <w:rPr>
          <w:rFonts w:hint="default" w:ascii="Times New Roman" w:hAnsi="Times New Roman" w:eastAsia="仿宋_GB2312" w:cs="Times New Roman"/>
          <w:color w:val="auto"/>
          <w:sz w:val="28"/>
          <w:szCs w:val="28"/>
          <w:highlight w:val="none"/>
        </w:rPr>
        <w:t>通过晨会、内部培训等多元化方式，组织员工深入学习“金融教育宣传月”活动相关内容和具体的工作安排。以《每周一案》为契机，向员工宣导金融教育宣传主题及重要意义，讲解金融教育的相关知识，包括关注特殊群体需求、防范非法集资等内容。不仅增强了员工的金融消费者权益保护理念，也提升了员工在服务过程中为客户提供专业指导的能力。</w:t>
      </w:r>
    </w:p>
    <w:p>
      <w:pPr>
        <w:keepNext w:val="0"/>
        <w:keepLines w:val="0"/>
        <w:pageBreakBefore w:val="0"/>
        <w:widowControl/>
        <w:tabs>
          <w:tab w:val="left" w:pos="2422"/>
        </w:tabs>
        <w:kinsoku/>
        <w:wordWrap/>
        <w:overflowPunct/>
        <w:topLinePunct w:val="0"/>
        <w:bidi w:val="0"/>
        <w:spacing w:line="480" w:lineRule="exact"/>
        <w:ind w:firstLine="765"/>
        <w:textAlignment w:val="auto"/>
        <w:rPr>
          <w:rFonts w:hint="default" w:ascii="Times New Roman" w:hAnsi="Times New Roman" w:eastAsia="仿宋_GB2312" w:cs="Times New Roman"/>
          <w:b/>
          <w:bCs/>
          <w:color w:val="auto"/>
          <w:sz w:val="28"/>
          <w:szCs w:val="28"/>
          <w:highlight w:val="none"/>
        </w:rPr>
      </w:pPr>
      <w:r>
        <w:rPr>
          <w:rFonts w:hint="default" w:ascii="Times New Roman" w:hAnsi="Times New Roman" w:eastAsia="仿宋_GB2312" w:cs="Times New Roman"/>
          <w:b/>
          <w:bCs/>
          <w:color w:val="auto"/>
          <w:sz w:val="28"/>
          <w:szCs w:val="28"/>
          <w:highlight w:val="none"/>
        </w:rPr>
        <w:t xml:space="preserve">三、金融消费者服务收费管理情况 </w:t>
      </w:r>
    </w:p>
    <w:p>
      <w:pPr>
        <w:keepNext w:val="0"/>
        <w:keepLines w:val="0"/>
        <w:pageBreakBefore w:val="0"/>
        <w:widowControl/>
        <w:tabs>
          <w:tab w:val="left" w:pos="2422"/>
        </w:tabs>
        <w:kinsoku/>
        <w:wordWrap/>
        <w:overflowPunct/>
        <w:topLinePunct w:val="0"/>
        <w:bidi w:val="0"/>
        <w:spacing w:line="480" w:lineRule="exact"/>
        <w:ind w:firstLine="765"/>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 xml:space="preserve">规范服务价格管理，促进各项业务健康发展，根据《价格法》和《商业银行服务价格管理办法》，制定了《江苏高淳农村商业银行服务价格管理办法》，成立服务价格管理领导小组，负责全行服务价格的管理和决策。严格按照“七不准”“四公开”要求进行服务收费管理，杜绝违规收费和不合收费现象，制定了详细的收费价格目录，建立了有效的服务价格投诉机制，及时妥善处理金融消费者的诉求。信贷业务严格执行实贷实付和受托支付，贷款利率定价遵循合法性、效益性、市场化、差别化、规范化的基本原则。根据贷款的风险权重、客户情况、贷款的类别、客户信用等级和自身信贷管理要求实行差别化定价，对“三农”、弱势群体、公益捐助等服务实行优惠。 </w:t>
      </w:r>
    </w:p>
    <w:p>
      <w:pPr>
        <w:keepNext w:val="0"/>
        <w:keepLines w:val="0"/>
        <w:pageBreakBefore w:val="0"/>
        <w:widowControl/>
        <w:tabs>
          <w:tab w:val="left" w:pos="2422"/>
        </w:tabs>
        <w:kinsoku/>
        <w:wordWrap/>
        <w:overflowPunct/>
        <w:topLinePunct w:val="0"/>
        <w:bidi w:val="0"/>
        <w:spacing w:line="480" w:lineRule="exact"/>
        <w:ind w:firstLine="765"/>
        <w:textAlignment w:val="auto"/>
        <w:rPr>
          <w:rFonts w:hint="default" w:ascii="Times New Roman" w:hAnsi="Times New Roman" w:eastAsia="仿宋_GB2312" w:cs="Times New Roman"/>
          <w:b/>
          <w:bCs/>
          <w:color w:val="auto"/>
          <w:sz w:val="28"/>
          <w:szCs w:val="28"/>
          <w:highlight w:val="none"/>
        </w:rPr>
      </w:pPr>
      <w:r>
        <w:rPr>
          <w:rFonts w:hint="default" w:ascii="Times New Roman" w:hAnsi="Times New Roman" w:eastAsia="仿宋_GB2312" w:cs="Times New Roman"/>
          <w:b/>
          <w:bCs/>
          <w:color w:val="auto"/>
          <w:sz w:val="28"/>
          <w:szCs w:val="28"/>
          <w:highlight w:val="none"/>
        </w:rPr>
        <w:t>四、金融消费者投诉处理基本情况</w:t>
      </w:r>
    </w:p>
    <w:p>
      <w:pPr>
        <w:keepNext w:val="0"/>
        <w:keepLines w:val="0"/>
        <w:pageBreakBefore w:val="0"/>
        <w:kinsoku/>
        <w:wordWrap/>
        <w:overflowPunct/>
        <w:topLinePunct w:val="0"/>
        <w:autoSpaceDE w:val="0"/>
        <w:autoSpaceDN w:val="0"/>
        <w:bidi w:val="0"/>
        <w:adjustRightInd w:val="0"/>
        <w:spacing w:line="480" w:lineRule="exact"/>
        <w:ind w:firstLine="453" w:firstLineChars="150"/>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202</w:t>
      </w:r>
      <w:r>
        <w:rPr>
          <w:rFonts w:hint="default" w:ascii="Times New Roman" w:hAnsi="Times New Roman" w:eastAsia="仿宋_GB2312" w:cs="Times New Roman"/>
          <w:color w:val="auto"/>
          <w:sz w:val="28"/>
          <w:szCs w:val="28"/>
          <w:highlight w:val="none"/>
          <w:lang w:val="en-US" w:eastAsia="zh-CN"/>
        </w:rPr>
        <w:t>6年上半</w:t>
      </w:r>
      <w:r>
        <w:rPr>
          <w:rFonts w:hint="default" w:ascii="Times New Roman" w:hAnsi="Times New Roman" w:eastAsia="仿宋_GB2312" w:cs="Times New Roman"/>
          <w:color w:val="auto"/>
          <w:sz w:val="28"/>
          <w:szCs w:val="28"/>
          <w:highlight w:val="none"/>
        </w:rPr>
        <w:t>年共接到金融消费者投诉</w:t>
      </w:r>
      <w:r>
        <w:rPr>
          <w:rFonts w:hint="default" w:ascii="Times New Roman" w:hAnsi="Times New Roman" w:eastAsia="仿宋_GB2312" w:cs="Times New Roman"/>
          <w:color w:val="auto"/>
          <w:sz w:val="28"/>
          <w:szCs w:val="28"/>
          <w:highlight w:val="none"/>
          <w:lang w:val="en-US" w:eastAsia="zh-CN"/>
        </w:rPr>
        <w:t>55</w:t>
      </w:r>
      <w:r>
        <w:rPr>
          <w:rFonts w:hint="default" w:ascii="Times New Roman" w:hAnsi="Times New Roman" w:eastAsia="仿宋_GB2312" w:cs="Times New Roman"/>
          <w:color w:val="auto"/>
          <w:sz w:val="28"/>
          <w:szCs w:val="28"/>
          <w:highlight w:val="none"/>
        </w:rPr>
        <w:t>笔，处理</w:t>
      </w:r>
      <w:r>
        <w:rPr>
          <w:rFonts w:hint="default" w:ascii="Times New Roman" w:hAnsi="Times New Roman" w:eastAsia="仿宋_GB2312" w:cs="Times New Roman"/>
          <w:color w:val="auto"/>
          <w:sz w:val="28"/>
          <w:szCs w:val="28"/>
          <w:highlight w:val="none"/>
          <w:lang w:val="en-US" w:eastAsia="zh-CN"/>
        </w:rPr>
        <w:t>55</w:t>
      </w:r>
      <w:r>
        <w:rPr>
          <w:rFonts w:hint="default" w:ascii="Times New Roman" w:hAnsi="Times New Roman" w:eastAsia="仿宋_GB2312" w:cs="Times New Roman"/>
          <w:color w:val="auto"/>
          <w:sz w:val="28"/>
          <w:szCs w:val="28"/>
          <w:highlight w:val="none"/>
        </w:rPr>
        <w:t>笔，未处理0笔，客户满意度为100%。按投诉平台分类：96008工单</w:t>
      </w:r>
      <w:r>
        <w:rPr>
          <w:rFonts w:hint="default" w:ascii="Times New Roman" w:hAnsi="Times New Roman" w:eastAsia="仿宋_GB2312" w:cs="Times New Roman"/>
          <w:color w:val="auto"/>
          <w:sz w:val="28"/>
          <w:szCs w:val="28"/>
          <w:highlight w:val="none"/>
          <w:lang w:val="en-US" w:eastAsia="zh-CN"/>
        </w:rPr>
        <w:t>10</w:t>
      </w:r>
      <w:r>
        <w:rPr>
          <w:rFonts w:hint="default" w:ascii="Times New Roman" w:hAnsi="Times New Roman" w:eastAsia="仿宋_GB2312" w:cs="Times New Roman"/>
          <w:color w:val="auto"/>
          <w:sz w:val="28"/>
          <w:szCs w:val="28"/>
          <w:highlight w:val="none"/>
        </w:rPr>
        <w:t>笔，电话投诉</w:t>
      </w:r>
      <w:r>
        <w:rPr>
          <w:rFonts w:hint="default" w:ascii="Times New Roman" w:hAnsi="Times New Roman" w:eastAsia="仿宋_GB2312" w:cs="Times New Roman"/>
          <w:color w:val="auto"/>
          <w:sz w:val="28"/>
          <w:szCs w:val="28"/>
          <w:highlight w:val="none"/>
          <w:lang w:val="en-US" w:eastAsia="zh-CN"/>
        </w:rPr>
        <w:t>13</w:t>
      </w:r>
      <w:r>
        <w:rPr>
          <w:rFonts w:hint="default" w:ascii="Times New Roman" w:hAnsi="Times New Roman" w:eastAsia="仿宋_GB2312" w:cs="Times New Roman"/>
          <w:color w:val="auto"/>
          <w:sz w:val="28"/>
          <w:szCs w:val="28"/>
          <w:highlight w:val="none"/>
        </w:rPr>
        <w:t>笔，监管部门转交系统投诉</w:t>
      </w:r>
      <w:r>
        <w:rPr>
          <w:rFonts w:hint="default" w:ascii="Times New Roman" w:hAnsi="Times New Roman" w:eastAsia="仿宋_GB2312" w:cs="Times New Roman"/>
          <w:color w:val="auto"/>
          <w:sz w:val="28"/>
          <w:szCs w:val="28"/>
          <w:highlight w:val="none"/>
          <w:lang w:val="en-US" w:eastAsia="zh-CN"/>
        </w:rPr>
        <w:t>13</w:t>
      </w:r>
      <w:r>
        <w:rPr>
          <w:rFonts w:hint="default" w:ascii="Times New Roman" w:hAnsi="Times New Roman" w:eastAsia="仿宋_GB2312" w:cs="Times New Roman"/>
          <w:color w:val="auto"/>
          <w:sz w:val="28"/>
          <w:szCs w:val="28"/>
          <w:highlight w:val="none"/>
        </w:rPr>
        <w:t>笔，12345平台投诉</w:t>
      </w:r>
      <w:r>
        <w:rPr>
          <w:rFonts w:hint="default" w:ascii="Times New Roman" w:hAnsi="Times New Roman" w:eastAsia="仿宋_GB2312" w:cs="Times New Roman"/>
          <w:color w:val="auto"/>
          <w:sz w:val="28"/>
          <w:szCs w:val="28"/>
          <w:highlight w:val="none"/>
          <w:lang w:val="en-US" w:eastAsia="zh-CN"/>
        </w:rPr>
        <w:t>0</w:t>
      </w:r>
      <w:r>
        <w:rPr>
          <w:rFonts w:hint="default" w:ascii="Times New Roman" w:hAnsi="Times New Roman" w:eastAsia="仿宋_GB2312" w:cs="Times New Roman"/>
          <w:color w:val="auto"/>
          <w:sz w:val="28"/>
          <w:szCs w:val="28"/>
          <w:highlight w:val="none"/>
        </w:rPr>
        <w:t>笔，银行业协会转交投诉</w:t>
      </w:r>
      <w:r>
        <w:rPr>
          <w:rFonts w:hint="default" w:ascii="Times New Roman" w:hAnsi="Times New Roman" w:eastAsia="仿宋_GB2312" w:cs="Times New Roman"/>
          <w:color w:val="auto"/>
          <w:sz w:val="28"/>
          <w:szCs w:val="28"/>
          <w:highlight w:val="none"/>
          <w:lang w:val="en-US" w:eastAsia="zh-CN"/>
        </w:rPr>
        <w:t>19</w:t>
      </w:r>
      <w:r>
        <w:rPr>
          <w:rFonts w:hint="default" w:ascii="Times New Roman" w:hAnsi="Times New Roman" w:eastAsia="仿宋_GB2312" w:cs="Times New Roman"/>
          <w:color w:val="auto"/>
          <w:sz w:val="28"/>
          <w:szCs w:val="28"/>
          <w:highlight w:val="none"/>
        </w:rPr>
        <w:t>笔。按投诉网点分类：营业部</w:t>
      </w:r>
      <w:r>
        <w:rPr>
          <w:rFonts w:hint="default" w:ascii="Times New Roman" w:hAnsi="Times New Roman" w:eastAsia="仿宋_GB2312" w:cs="Times New Roman"/>
          <w:color w:val="auto"/>
          <w:sz w:val="28"/>
          <w:szCs w:val="28"/>
          <w:highlight w:val="none"/>
          <w:lang w:val="en-US" w:eastAsia="zh-CN"/>
        </w:rPr>
        <w:t>3</w:t>
      </w:r>
      <w:r>
        <w:rPr>
          <w:rFonts w:hint="default" w:ascii="Times New Roman" w:hAnsi="Times New Roman" w:eastAsia="仿宋_GB2312" w:cs="Times New Roman"/>
          <w:color w:val="auto"/>
          <w:sz w:val="28"/>
          <w:szCs w:val="28"/>
          <w:highlight w:val="none"/>
        </w:rPr>
        <w:t>笔，砖墙支行</w:t>
      </w:r>
      <w:r>
        <w:rPr>
          <w:rFonts w:hint="default" w:ascii="Times New Roman" w:hAnsi="Times New Roman" w:eastAsia="仿宋_GB2312" w:cs="Times New Roman"/>
          <w:color w:val="auto"/>
          <w:sz w:val="28"/>
          <w:szCs w:val="28"/>
          <w:highlight w:val="none"/>
          <w:lang w:val="en-US" w:eastAsia="zh-CN"/>
        </w:rPr>
        <w:t>1</w:t>
      </w:r>
      <w:r>
        <w:rPr>
          <w:rFonts w:hint="default" w:ascii="Times New Roman" w:hAnsi="Times New Roman" w:eastAsia="仿宋_GB2312" w:cs="Times New Roman"/>
          <w:color w:val="auto"/>
          <w:sz w:val="28"/>
          <w:szCs w:val="28"/>
          <w:highlight w:val="none"/>
        </w:rPr>
        <w:t>笔，狮树支行</w:t>
      </w:r>
      <w:r>
        <w:rPr>
          <w:rFonts w:hint="default" w:ascii="Times New Roman" w:hAnsi="Times New Roman" w:eastAsia="仿宋_GB2312" w:cs="Times New Roman"/>
          <w:color w:val="auto"/>
          <w:sz w:val="28"/>
          <w:szCs w:val="28"/>
          <w:highlight w:val="none"/>
          <w:lang w:val="en-US" w:eastAsia="zh-CN"/>
        </w:rPr>
        <w:t>2</w:t>
      </w:r>
      <w:r>
        <w:rPr>
          <w:rFonts w:hint="default" w:ascii="Times New Roman" w:hAnsi="Times New Roman" w:eastAsia="仿宋_GB2312" w:cs="Times New Roman"/>
          <w:color w:val="auto"/>
          <w:sz w:val="28"/>
          <w:szCs w:val="28"/>
          <w:highlight w:val="none"/>
        </w:rPr>
        <w:t>笔，</w:t>
      </w:r>
      <w:r>
        <w:rPr>
          <w:rFonts w:hint="default" w:ascii="Times New Roman" w:hAnsi="Times New Roman" w:eastAsia="仿宋_GB2312" w:cs="Times New Roman"/>
          <w:color w:val="auto"/>
          <w:sz w:val="28"/>
          <w:szCs w:val="28"/>
          <w:highlight w:val="none"/>
          <w:lang w:eastAsia="zh-CN"/>
        </w:rPr>
        <w:t>丹湖支行</w:t>
      </w:r>
      <w:r>
        <w:rPr>
          <w:rFonts w:hint="default" w:ascii="Times New Roman" w:hAnsi="Times New Roman" w:eastAsia="仿宋_GB2312" w:cs="Times New Roman"/>
          <w:color w:val="auto"/>
          <w:sz w:val="28"/>
          <w:szCs w:val="28"/>
          <w:highlight w:val="none"/>
          <w:lang w:val="en-US" w:eastAsia="zh-CN"/>
        </w:rPr>
        <w:t>1笔，</w:t>
      </w:r>
      <w:r>
        <w:rPr>
          <w:rFonts w:hint="default" w:ascii="Times New Roman" w:hAnsi="Times New Roman" w:eastAsia="仿宋_GB2312" w:cs="Times New Roman"/>
          <w:color w:val="auto"/>
          <w:sz w:val="28"/>
          <w:szCs w:val="28"/>
          <w:highlight w:val="none"/>
        </w:rPr>
        <w:t>薛城支行1笔，淳溪支行</w:t>
      </w:r>
      <w:r>
        <w:rPr>
          <w:rFonts w:hint="default" w:ascii="Times New Roman" w:hAnsi="Times New Roman" w:eastAsia="仿宋_GB2312" w:cs="Times New Roman"/>
          <w:color w:val="auto"/>
          <w:sz w:val="28"/>
          <w:szCs w:val="28"/>
          <w:highlight w:val="none"/>
          <w:lang w:val="en-US" w:eastAsia="zh-CN"/>
        </w:rPr>
        <w:t>5</w:t>
      </w:r>
      <w:r>
        <w:rPr>
          <w:rFonts w:hint="default" w:ascii="Times New Roman" w:hAnsi="Times New Roman" w:eastAsia="仿宋_GB2312" w:cs="Times New Roman"/>
          <w:color w:val="auto"/>
          <w:sz w:val="28"/>
          <w:szCs w:val="28"/>
          <w:highlight w:val="none"/>
        </w:rPr>
        <w:t>笔，凤山支行1笔，开发区科技支行</w:t>
      </w:r>
      <w:r>
        <w:rPr>
          <w:rFonts w:hint="default" w:ascii="Times New Roman" w:hAnsi="Times New Roman" w:eastAsia="仿宋_GB2312" w:cs="Times New Roman"/>
          <w:color w:val="auto"/>
          <w:sz w:val="28"/>
          <w:szCs w:val="28"/>
          <w:highlight w:val="none"/>
          <w:lang w:val="en-US" w:eastAsia="zh-CN"/>
        </w:rPr>
        <w:t>1</w:t>
      </w:r>
      <w:r>
        <w:rPr>
          <w:rFonts w:hint="default" w:ascii="Times New Roman" w:hAnsi="Times New Roman" w:eastAsia="仿宋_GB2312" w:cs="Times New Roman"/>
          <w:color w:val="auto"/>
          <w:sz w:val="28"/>
          <w:szCs w:val="28"/>
          <w:highlight w:val="none"/>
        </w:rPr>
        <w:t>笔，桃园路分理处</w:t>
      </w:r>
      <w:r>
        <w:rPr>
          <w:rFonts w:hint="default" w:ascii="Times New Roman" w:hAnsi="Times New Roman" w:eastAsia="仿宋_GB2312" w:cs="Times New Roman"/>
          <w:color w:val="auto"/>
          <w:sz w:val="28"/>
          <w:szCs w:val="28"/>
          <w:highlight w:val="none"/>
          <w:lang w:val="en-US" w:eastAsia="zh-CN"/>
        </w:rPr>
        <w:t>1</w:t>
      </w:r>
      <w:r>
        <w:rPr>
          <w:rFonts w:hint="default" w:ascii="Times New Roman" w:hAnsi="Times New Roman" w:eastAsia="仿宋_GB2312" w:cs="Times New Roman"/>
          <w:color w:val="auto"/>
          <w:sz w:val="28"/>
          <w:szCs w:val="28"/>
          <w:highlight w:val="none"/>
        </w:rPr>
        <w:t>笔，漆桥支行</w:t>
      </w:r>
      <w:r>
        <w:rPr>
          <w:rFonts w:hint="default" w:ascii="Times New Roman" w:hAnsi="Times New Roman" w:eastAsia="仿宋_GB2312" w:cs="Times New Roman"/>
          <w:color w:val="auto"/>
          <w:sz w:val="28"/>
          <w:szCs w:val="28"/>
          <w:highlight w:val="none"/>
          <w:lang w:val="en-US" w:eastAsia="zh-CN"/>
        </w:rPr>
        <w:t>6</w:t>
      </w:r>
      <w:r>
        <w:rPr>
          <w:rFonts w:hint="default" w:ascii="Times New Roman" w:hAnsi="Times New Roman" w:eastAsia="仿宋_GB2312" w:cs="Times New Roman"/>
          <w:color w:val="auto"/>
          <w:sz w:val="28"/>
          <w:szCs w:val="28"/>
          <w:highlight w:val="none"/>
        </w:rPr>
        <w:t>笔，固城支行</w:t>
      </w:r>
      <w:r>
        <w:rPr>
          <w:rFonts w:hint="default" w:ascii="Times New Roman" w:hAnsi="Times New Roman" w:eastAsia="仿宋_GB2312" w:cs="Times New Roman"/>
          <w:color w:val="auto"/>
          <w:sz w:val="28"/>
          <w:szCs w:val="28"/>
          <w:highlight w:val="none"/>
          <w:lang w:val="en-US" w:eastAsia="zh-CN"/>
        </w:rPr>
        <w:t>4</w:t>
      </w:r>
      <w:r>
        <w:rPr>
          <w:rFonts w:hint="default" w:ascii="Times New Roman" w:hAnsi="Times New Roman" w:eastAsia="仿宋_GB2312" w:cs="Times New Roman"/>
          <w:color w:val="auto"/>
          <w:sz w:val="28"/>
          <w:szCs w:val="28"/>
          <w:highlight w:val="none"/>
        </w:rPr>
        <w:t>笔，东坝支行</w:t>
      </w:r>
      <w:r>
        <w:rPr>
          <w:rFonts w:hint="default" w:ascii="Times New Roman" w:hAnsi="Times New Roman" w:eastAsia="仿宋_GB2312" w:cs="Times New Roman"/>
          <w:color w:val="auto"/>
          <w:sz w:val="28"/>
          <w:szCs w:val="28"/>
          <w:highlight w:val="none"/>
          <w:lang w:val="en-US" w:eastAsia="zh-CN"/>
        </w:rPr>
        <w:t>3</w:t>
      </w:r>
      <w:r>
        <w:rPr>
          <w:rFonts w:hint="default" w:ascii="Times New Roman" w:hAnsi="Times New Roman" w:eastAsia="仿宋_GB2312" w:cs="Times New Roman"/>
          <w:color w:val="auto"/>
          <w:sz w:val="28"/>
          <w:szCs w:val="28"/>
          <w:highlight w:val="none"/>
        </w:rPr>
        <w:t>笔，</w:t>
      </w:r>
      <w:r>
        <w:rPr>
          <w:rFonts w:hint="default" w:ascii="Times New Roman" w:hAnsi="Times New Roman" w:eastAsia="仿宋_GB2312" w:cs="Times New Roman"/>
          <w:color w:val="auto"/>
          <w:sz w:val="28"/>
          <w:szCs w:val="28"/>
          <w:highlight w:val="none"/>
          <w:lang w:eastAsia="zh-CN"/>
        </w:rPr>
        <w:t>漕塘支行</w:t>
      </w:r>
      <w:r>
        <w:rPr>
          <w:rFonts w:hint="default" w:ascii="Times New Roman" w:hAnsi="Times New Roman" w:eastAsia="仿宋_GB2312" w:cs="Times New Roman"/>
          <w:color w:val="auto"/>
          <w:sz w:val="28"/>
          <w:szCs w:val="28"/>
          <w:highlight w:val="none"/>
          <w:lang w:val="en-US" w:eastAsia="zh-CN"/>
        </w:rPr>
        <w:t>4笔，</w:t>
      </w:r>
      <w:r>
        <w:rPr>
          <w:rFonts w:hint="default" w:ascii="Times New Roman" w:hAnsi="Times New Roman" w:eastAsia="仿宋_GB2312" w:cs="Times New Roman"/>
          <w:color w:val="auto"/>
          <w:sz w:val="28"/>
          <w:szCs w:val="28"/>
          <w:highlight w:val="none"/>
        </w:rPr>
        <w:t>定埠支行</w:t>
      </w:r>
      <w:r>
        <w:rPr>
          <w:rFonts w:hint="default" w:ascii="Times New Roman" w:hAnsi="Times New Roman" w:eastAsia="仿宋_GB2312" w:cs="Times New Roman"/>
          <w:color w:val="auto"/>
          <w:sz w:val="28"/>
          <w:szCs w:val="28"/>
          <w:highlight w:val="none"/>
          <w:lang w:val="en-US" w:eastAsia="zh-CN"/>
        </w:rPr>
        <w:t>2</w:t>
      </w:r>
      <w:r>
        <w:rPr>
          <w:rFonts w:hint="default" w:ascii="Times New Roman" w:hAnsi="Times New Roman" w:eastAsia="仿宋_GB2312" w:cs="Times New Roman"/>
          <w:color w:val="auto"/>
          <w:sz w:val="28"/>
          <w:szCs w:val="28"/>
          <w:highlight w:val="none"/>
        </w:rPr>
        <w:t>笔，桠溪支行</w:t>
      </w:r>
      <w:r>
        <w:rPr>
          <w:rFonts w:hint="default" w:ascii="Times New Roman" w:hAnsi="Times New Roman" w:eastAsia="仿宋_GB2312" w:cs="Times New Roman"/>
          <w:color w:val="auto"/>
          <w:sz w:val="28"/>
          <w:szCs w:val="28"/>
          <w:highlight w:val="none"/>
          <w:lang w:val="en-US" w:eastAsia="zh-CN"/>
        </w:rPr>
        <w:t>1</w:t>
      </w:r>
      <w:r>
        <w:rPr>
          <w:rFonts w:hint="default" w:ascii="Times New Roman" w:hAnsi="Times New Roman" w:eastAsia="仿宋_GB2312" w:cs="Times New Roman"/>
          <w:color w:val="auto"/>
          <w:sz w:val="28"/>
          <w:szCs w:val="28"/>
          <w:highlight w:val="none"/>
        </w:rPr>
        <w:t>笔，顾陇支行</w:t>
      </w:r>
      <w:r>
        <w:rPr>
          <w:rFonts w:hint="default" w:ascii="Times New Roman" w:hAnsi="Times New Roman" w:eastAsia="仿宋_GB2312" w:cs="Times New Roman"/>
          <w:color w:val="auto"/>
          <w:sz w:val="28"/>
          <w:szCs w:val="28"/>
          <w:highlight w:val="none"/>
          <w:lang w:val="en-US" w:eastAsia="zh-CN"/>
        </w:rPr>
        <w:t>1</w:t>
      </w:r>
      <w:r>
        <w:rPr>
          <w:rFonts w:hint="default" w:ascii="Times New Roman" w:hAnsi="Times New Roman" w:eastAsia="仿宋_GB2312" w:cs="Times New Roman"/>
          <w:color w:val="auto"/>
          <w:sz w:val="28"/>
          <w:szCs w:val="28"/>
          <w:highlight w:val="none"/>
        </w:rPr>
        <w:t>笔，北岭路支行</w:t>
      </w:r>
      <w:r>
        <w:rPr>
          <w:rFonts w:hint="default" w:ascii="Times New Roman" w:hAnsi="Times New Roman" w:eastAsia="仿宋_GB2312" w:cs="Times New Roman"/>
          <w:color w:val="auto"/>
          <w:sz w:val="28"/>
          <w:szCs w:val="28"/>
          <w:highlight w:val="none"/>
          <w:lang w:val="en-US" w:eastAsia="zh-CN"/>
        </w:rPr>
        <w:t>4</w:t>
      </w:r>
      <w:r>
        <w:rPr>
          <w:rFonts w:hint="default" w:ascii="Times New Roman" w:hAnsi="Times New Roman" w:eastAsia="仿宋_GB2312" w:cs="Times New Roman"/>
          <w:color w:val="auto"/>
          <w:sz w:val="28"/>
          <w:szCs w:val="28"/>
          <w:highlight w:val="none"/>
        </w:rPr>
        <w:t>笔，淳中支行2笔，城西支行1笔，滨湖支行</w:t>
      </w:r>
      <w:r>
        <w:rPr>
          <w:rFonts w:hint="default" w:ascii="Times New Roman" w:hAnsi="Times New Roman" w:eastAsia="仿宋_GB2312" w:cs="Times New Roman"/>
          <w:color w:val="auto"/>
          <w:sz w:val="28"/>
          <w:szCs w:val="28"/>
          <w:highlight w:val="none"/>
          <w:lang w:val="en-US" w:eastAsia="zh-CN"/>
        </w:rPr>
        <w:t>1</w:t>
      </w:r>
      <w:r>
        <w:rPr>
          <w:rFonts w:hint="default" w:ascii="Times New Roman" w:hAnsi="Times New Roman" w:eastAsia="仿宋_GB2312" w:cs="Times New Roman"/>
          <w:color w:val="auto"/>
          <w:sz w:val="28"/>
          <w:szCs w:val="28"/>
          <w:highlight w:val="none"/>
        </w:rPr>
        <w:t>笔，其他无指定网点</w:t>
      </w:r>
      <w:r>
        <w:rPr>
          <w:rFonts w:hint="default" w:ascii="Times New Roman" w:hAnsi="Times New Roman" w:eastAsia="仿宋_GB2312" w:cs="Times New Roman"/>
          <w:color w:val="auto"/>
          <w:sz w:val="28"/>
          <w:szCs w:val="28"/>
          <w:highlight w:val="none"/>
          <w:lang w:val="en-US" w:eastAsia="zh-CN"/>
        </w:rPr>
        <w:t>10</w:t>
      </w:r>
      <w:r>
        <w:rPr>
          <w:rFonts w:hint="default" w:ascii="Times New Roman" w:hAnsi="Times New Roman" w:eastAsia="仿宋_GB2312" w:cs="Times New Roman"/>
          <w:color w:val="auto"/>
          <w:sz w:val="28"/>
          <w:szCs w:val="28"/>
          <w:highlight w:val="none"/>
        </w:rPr>
        <w:t>笔。</w:t>
      </w:r>
    </w:p>
    <w:p>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default" w:ascii="Times New Roman" w:hAnsi="Times New Roman" w:eastAsia="黑体" w:cs="Times New Roman"/>
          <w:color w:val="auto"/>
          <w:sz w:val="32"/>
          <w:szCs w:val="32"/>
          <w:highlight w:val="none"/>
        </w:rPr>
      </w:pPr>
    </w:p>
    <w:p>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rPr>
        <w:t>第八节  财务报告</w:t>
      </w:r>
    </w:p>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Style w:val="106"/>
          <w:rFonts w:hint="default" w:ascii="Times New Roman" w:hAnsi="Times New Roman" w:eastAsia="黑体" w:cs="Times New Roman"/>
          <w:b w:val="0"/>
          <w:bCs/>
          <w:color w:val="auto"/>
          <w:spacing w:val="0"/>
          <w:sz w:val="28"/>
          <w:szCs w:val="28"/>
          <w:highlight w:val="none"/>
          <w:lang w:val="en-US" w:eastAsia="zh-CN"/>
        </w:rPr>
      </w:pPr>
    </w:p>
    <w:p>
      <w:pPr>
        <w:keepNext w:val="0"/>
        <w:keepLines w:val="0"/>
        <w:pageBreakBefore w:val="0"/>
        <w:widowControl w:val="0"/>
        <w:kinsoku/>
        <w:wordWrap/>
        <w:overflowPunct/>
        <w:topLinePunct w:val="0"/>
        <w:bidi w:val="0"/>
        <w:snapToGrid/>
        <w:spacing w:line="480" w:lineRule="exact"/>
        <w:ind w:firstLine="604" w:firstLineChars="200"/>
        <w:jc w:val="left"/>
        <w:textAlignment w:val="auto"/>
        <w:rPr>
          <w:rStyle w:val="106"/>
          <w:rFonts w:hint="default" w:ascii="Times New Roman" w:hAnsi="Times New Roman" w:eastAsia="黑体" w:cs="Times New Roman"/>
          <w:b w:val="0"/>
          <w:bCs/>
          <w:color w:val="auto"/>
          <w:spacing w:val="0"/>
          <w:sz w:val="28"/>
          <w:szCs w:val="28"/>
          <w:highlight w:val="none"/>
          <w:lang w:val="en-US" w:eastAsia="zh-CN"/>
        </w:rPr>
      </w:pPr>
      <w:r>
        <w:rPr>
          <w:rStyle w:val="106"/>
          <w:rFonts w:hint="default" w:ascii="Times New Roman" w:hAnsi="Times New Roman" w:eastAsia="黑体" w:cs="Times New Roman"/>
          <w:b w:val="0"/>
          <w:bCs/>
          <w:color w:val="auto"/>
          <w:spacing w:val="0"/>
          <w:sz w:val="28"/>
          <w:szCs w:val="28"/>
          <w:highlight w:val="none"/>
          <w:lang w:val="en-US" w:eastAsia="zh-CN"/>
        </w:rPr>
        <w:t>一、财务情况说明书</w:t>
      </w:r>
    </w:p>
    <w:p>
      <w:pPr>
        <w:keepNext w:val="0"/>
        <w:keepLines w:val="0"/>
        <w:pageBreakBefore w:val="0"/>
        <w:widowControl w:val="0"/>
        <w:kinsoku/>
        <w:wordWrap/>
        <w:overflowPunct w:val="0"/>
        <w:topLinePunct/>
        <w:autoSpaceDE/>
        <w:autoSpaceDN/>
        <w:bidi w:val="0"/>
        <w:adjustRightInd/>
        <w:snapToGrid/>
        <w:spacing w:line="480" w:lineRule="exact"/>
        <w:ind w:firstLine="604" w:firstLineChars="200"/>
        <w:jc w:val="both"/>
        <w:textAlignment w:val="auto"/>
        <w:rPr>
          <w:rFonts w:hint="default" w:ascii="Times New Roman" w:hAnsi="Times New Roman" w:eastAsia="仿宋_GB2312" w:cs="Times New Roman"/>
          <w:color w:val="auto"/>
          <w:spacing w:val="0"/>
          <w:kern w:val="2"/>
          <w:sz w:val="28"/>
          <w:szCs w:val="28"/>
          <w:highlight w:val="none"/>
          <w:lang w:val="en-US" w:eastAsia="zh-CN" w:bidi="ar-SA"/>
        </w:rPr>
      </w:pPr>
      <w:r>
        <w:rPr>
          <w:rFonts w:hint="default" w:ascii="Times New Roman" w:hAnsi="Times New Roman" w:eastAsia="仿宋_GB2312" w:cs="Times New Roman"/>
          <w:color w:val="auto"/>
          <w:sz w:val="28"/>
          <w:szCs w:val="28"/>
          <w:highlight w:val="none"/>
        </w:rPr>
        <w:t>至</w:t>
      </w:r>
      <w:r>
        <w:rPr>
          <w:rFonts w:hint="default" w:ascii="Times New Roman" w:hAnsi="Times New Roman" w:eastAsia="仿宋_GB2312" w:cs="Times New Roman"/>
          <w:color w:val="auto"/>
          <w:sz w:val="28"/>
          <w:szCs w:val="28"/>
          <w:highlight w:val="none"/>
          <w:lang w:val="en-US" w:eastAsia="zh-CN"/>
        </w:rPr>
        <w:t>6</w:t>
      </w:r>
      <w:r>
        <w:rPr>
          <w:rFonts w:hint="default" w:ascii="Times New Roman" w:hAnsi="Times New Roman" w:eastAsia="仿宋_GB2312" w:cs="Times New Roman"/>
          <w:color w:val="auto"/>
          <w:sz w:val="28"/>
          <w:szCs w:val="28"/>
          <w:highlight w:val="none"/>
        </w:rPr>
        <w:t>月末，全行资产总额为295.89亿元，比年初增加25.42亿元</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增长</w:t>
      </w:r>
      <w:r>
        <w:rPr>
          <w:rFonts w:hint="default" w:ascii="Times New Roman" w:hAnsi="Times New Roman" w:eastAsia="仿宋_GB2312" w:cs="Times New Roman"/>
          <w:color w:val="auto"/>
          <w:sz w:val="28"/>
          <w:szCs w:val="28"/>
          <w:highlight w:val="none"/>
          <w:lang w:val="en-US" w:eastAsia="zh-CN"/>
        </w:rPr>
        <w:t>9.40</w:t>
      </w:r>
      <w:r>
        <w:rPr>
          <w:rFonts w:hint="default" w:ascii="Times New Roman" w:hAnsi="Times New Roman" w:eastAsia="仿宋_GB2312" w:cs="Times New Roman"/>
          <w:color w:val="auto"/>
          <w:sz w:val="28"/>
          <w:szCs w:val="28"/>
          <w:highlight w:val="none"/>
        </w:rPr>
        <w:t>%。</w:t>
      </w:r>
      <w:r>
        <w:rPr>
          <w:rFonts w:hint="default" w:ascii="Times New Roman" w:hAnsi="Times New Roman" w:eastAsia="仿宋_GB2312" w:cs="Times New Roman"/>
          <w:color w:val="auto"/>
          <w:sz w:val="28"/>
          <w:szCs w:val="28"/>
          <w:highlight w:val="none"/>
          <w:lang w:val="en-US" w:eastAsia="zh-CN"/>
        </w:rPr>
        <w:t>其中</w:t>
      </w:r>
      <w:r>
        <w:rPr>
          <w:rFonts w:hint="default" w:ascii="Times New Roman" w:hAnsi="Times New Roman" w:eastAsia="仿宋_GB2312" w:cs="Times New Roman"/>
          <w:color w:val="auto"/>
          <w:spacing w:val="0"/>
          <w:kern w:val="2"/>
          <w:sz w:val="28"/>
          <w:szCs w:val="28"/>
          <w:highlight w:val="none"/>
          <w:lang w:val="en-US" w:eastAsia="zh-CN" w:bidi="ar-SA"/>
        </w:rPr>
        <w:t>增加较多的是发放贷款，发放贷款账面净值185.50亿元（扣除减值准备加应计利息，含拆放），比年初增加13.34 亿元，增长7.75%。</w:t>
      </w:r>
    </w:p>
    <w:p>
      <w:pPr>
        <w:pStyle w:val="36"/>
        <w:keepNext w:val="0"/>
        <w:keepLines w:val="0"/>
        <w:pageBreakBefore w:val="0"/>
        <w:widowControl/>
        <w:kinsoku/>
        <w:wordWrap/>
        <w:overflowPunct/>
        <w:topLinePunct w:val="0"/>
        <w:autoSpaceDE/>
        <w:autoSpaceDN/>
        <w:bidi w:val="0"/>
        <w:adjustRightInd/>
        <w:snapToGrid/>
        <w:spacing w:line="480" w:lineRule="exact"/>
        <w:ind w:left="0" w:firstLine="604" w:firstLineChars="200"/>
        <w:jc w:val="both"/>
        <w:textAlignment w:val="auto"/>
        <w:rPr>
          <w:rFonts w:hint="default" w:ascii="Times New Roman" w:hAnsi="Times New Roman" w:eastAsia="仿宋_GB2312" w:cs="Times New Roman"/>
          <w:color w:val="auto"/>
          <w:spacing w:val="0"/>
          <w:kern w:val="2"/>
          <w:sz w:val="28"/>
          <w:szCs w:val="28"/>
          <w:highlight w:val="none"/>
          <w:lang w:val="en-US" w:eastAsia="zh-CN" w:bidi="ar-SA"/>
        </w:rPr>
      </w:pPr>
      <w:r>
        <w:rPr>
          <w:rFonts w:hint="default" w:ascii="Times New Roman" w:hAnsi="Times New Roman" w:eastAsia="仿宋_GB2312" w:cs="Times New Roman"/>
          <w:color w:val="auto"/>
          <w:spacing w:val="0"/>
          <w:kern w:val="2"/>
          <w:sz w:val="28"/>
          <w:szCs w:val="28"/>
          <w:highlight w:val="none"/>
          <w:lang w:val="en-US" w:eastAsia="zh-CN" w:bidi="ar-SA"/>
        </w:rPr>
        <w:t>至</w:t>
      </w:r>
      <w:r>
        <w:rPr>
          <w:rFonts w:hint="default" w:ascii="Times New Roman" w:hAnsi="Times New Roman" w:cs="Times New Roman"/>
          <w:color w:val="auto"/>
          <w:spacing w:val="0"/>
          <w:kern w:val="2"/>
          <w:sz w:val="28"/>
          <w:szCs w:val="28"/>
          <w:highlight w:val="none"/>
          <w:lang w:val="en-US" w:eastAsia="zh-CN" w:bidi="ar-SA"/>
        </w:rPr>
        <w:t>6</w:t>
      </w:r>
      <w:r>
        <w:rPr>
          <w:rFonts w:hint="default" w:ascii="Times New Roman" w:hAnsi="Times New Roman" w:eastAsia="仿宋_GB2312" w:cs="Times New Roman"/>
          <w:color w:val="auto"/>
          <w:spacing w:val="0"/>
          <w:kern w:val="2"/>
          <w:sz w:val="28"/>
          <w:szCs w:val="28"/>
          <w:highlight w:val="none"/>
          <w:lang w:val="en-US" w:eastAsia="zh-CN" w:bidi="ar-SA"/>
        </w:rPr>
        <w:t>月末，各项贷款余额190.12亿元（含拆借16亿元），比年初增加13.4亿元、增幅7.58%；贷款客户总户数25106，较年初减少1271户，增幅-4.81%，其中：个人贷款客户（不含单纯持有贷记卡透支客户）20054户，较年初减少1158户，增长-5.46%；单纯持有贷记卡透支客户3835户，比年初减少146户，增幅-3.67%，企业客户1217户，较年初增加33户，增长2.79%。按揭贷款客户2279户，比年初减少155户。各项存款237.38亿元，比年初增加14.69亿元，增幅6.6%。其中，个人存款196.49亿元，占比82.77%，较年初上升6.64%；对公存款40.89亿元，占比17.22%，较年初增幅6.38%，存款稳定性较好。</w:t>
      </w:r>
    </w:p>
    <w:p>
      <w:pPr>
        <w:keepNext w:val="0"/>
        <w:keepLines w:val="0"/>
        <w:pageBreakBefore w:val="0"/>
        <w:widowControl w:val="0"/>
        <w:kinsoku/>
        <w:wordWrap/>
        <w:overflowPunct w:val="0"/>
        <w:topLinePunct/>
        <w:autoSpaceDE/>
        <w:autoSpaceDN/>
        <w:bidi w:val="0"/>
        <w:adjustRightInd/>
        <w:snapToGrid/>
        <w:spacing w:line="480" w:lineRule="exact"/>
        <w:ind w:firstLine="604" w:firstLineChars="200"/>
        <w:jc w:val="both"/>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_GB2312" w:cs="Times New Roman"/>
          <w:color w:val="auto"/>
          <w:spacing w:val="0"/>
          <w:kern w:val="2"/>
          <w:sz w:val="28"/>
          <w:szCs w:val="28"/>
          <w:highlight w:val="none"/>
          <w:lang w:val="en-US" w:eastAsia="zh-CN" w:bidi="ar-SA"/>
        </w:rPr>
        <w:t>至6月末，五级不良贷款率为1.43%，较年初上升0.28个百分点，不良资产率0.92%，较年初上升0.18个百分点。贷款拨备覆盖率187.15%，较年初下降65个百分点。贷款拨备率2.67%，较年初下降0.22个百分点。不良贷款中，次级类贷款余额1.77亿元，较年初增加0.56亿元，增幅46.12个百分点；可疑类贷款余额0.18亿元，较年初下降0.04亿元，降幅18.99个百分点；损失类贷款余额0.54亿元，较年初增加0.09亿元，增幅20.88个百分点。</w:t>
      </w:r>
    </w:p>
    <w:p>
      <w:pPr>
        <w:keepNext w:val="0"/>
        <w:keepLines w:val="0"/>
        <w:pageBreakBefore w:val="0"/>
        <w:widowControl w:val="0"/>
        <w:kinsoku/>
        <w:wordWrap/>
        <w:overflowPunct w:val="0"/>
        <w:topLinePunct/>
        <w:autoSpaceDE/>
        <w:autoSpaceDN/>
        <w:bidi w:val="0"/>
        <w:adjustRightInd/>
        <w:snapToGrid/>
        <w:spacing w:line="480" w:lineRule="exact"/>
        <w:ind w:firstLine="604" w:firstLineChars="200"/>
        <w:contextualSpacing/>
        <w:jc w:val="both"/>
        <w:textAlignment w:val="auto"/>
        <w:rPr>
          <w:rFonts w:hint="default" w:ascii="Times New Roman" w:hAnsi="Times New Roman" w:eastAsia="仿宋_GB2312" w:cs="Times New Roman"/>
          <w:color w:val="auto"/>
          <w:spacing w:val="0"/>
          <w:kern w:val="2"/>
          <w:sz w:val="28"/>
          <w:szCs w:val="28"/>
          <w:highlight w:val="none"/>
          <w:lang w:val="en-US" w:eastAsia="zh-CN" w:bidi="ar-SA"/>
        </w:rPr>
      </w:pPr>
      <w:r>
        <w:rPr>
          <w:rFonts w:hint="default" w:ascii="Times New Roman" w:hAnsi="Times New Roman" w:eastAsia="仿宋_GB2312" w:cs="Times New Roman"/>
          <w:color w:val="auto"/>
          <w:spacing w:val="0"/>
          <w:kern w:val="2"/>
          <w:sz w:val="28"/>
          <w:szCs w:val="28"/>
          <w:highlight w:val="none"/>
          <w:lang w:val="en-US" w:eastAsia="zh-CN" w:bidi="ar-SA"/>
        </w:rPr>
        <w:t>至6月末，核心一级资本净额25.08亿元，较年初上升0.06亿元，资本净额27.23亿元，较年初上升0.23亿元，风险加权资产190.97 亿元（信用风险加权资产174.14亿元、操作风险加权资产11.26亿元，市场风险加权资产5.57亿元），较年初增加18.46亿元。核心一级资本充足率13.13%，较年初下降1.37个百分点，资本充足率14.26%，较年初下降1.39个百分点。</w:t>
      </w:r>
    </w:p>
    <w:p>
      <w:pPr>
        <w:keepNext w:val="0"/>
        <w:keepLines w:val="0"/>
        <w:pageBreakBefore w:val="0"/>
        <w:widowControl w:val="0"/>
        <w:kinsoku/>
        <w:wordWrap/>
        <w:overflowPunct w:val="0"/>
        <w:topLinePunct/>
        <w:autoSpaceDE/>
        <w:autoSpaceDN/>
        <w:bidi w:val="0"/>
        <w:adjustRightInd/>
        <w:snapToGrid/>
        <w:spacing w:line="480" w:lineRule="exact"/>
        <w:ind w:firstLine="604" w:firstLineChars="200"/>
        <w:contextualSpacing/>
        <w:jc w:val="both"/>
        <w:textAlignment w:val="auto"/>
        <w:rPr>
          <w:rFonts w:hint="default" w:ascii="Times New Roman" w:hAnsi="Times New Roman" w:eastAsia="仿宋_GB2312" w:cs="Times New Roman"/>
          <w:color w:val="auto"/>
          <w:spacing w:val="0"/>
          <w:kern w:val="2"/>
          <w:sz w:val="28"/>
          <w:szCs w:val="28"/>
          <w:highlight w:val="none"/>
          <w:lang w:val="en-US" w:eastAsia="zh-CN" w:bidi="ar-SA"/>
        </w:rPr>
      </w:pPr>
      <w:r>
        <w:rPr>
          <w:rFonts w:hint="default" w:ascii="Times New Roman" w:hAnsi="Times New Roman" w:eastAsia="仿宋_GB2312" w:cs="Times New Roman"/>
          <w:color w:val="auto"/>
          <w:spacing w:val="0"/>
          <w:kern w:val="2"/>
          <w:sz w:val="28"/>
          <w:szCs w:val="28"/>
          <w:highlight w:val="none"/>
          <w:lang w:val="en-US" w:eastAsia="zh-CN" w:bidi="ar-SA"/>
        </w:rPr>
        <w:t>至6月末，全行流动性资产54.94亿元，流动性负债64.27亿元，流动性比例为85.47%，符合监管指标25%（大于等于）要求，较年初118.78%</w:t>
      </w:r>
      <w:r>
        <w:rPr>
          <w:rFonts w:hint="default" w:ascii="Times New Roman" w:hAnsi="Times New Roman" w:cs="Times New Roman"/>
          <w:color w:val="auto"/>
          <w:sz w:val="28"/>
          <w:szCs w:val="28"/>
          <w:highlight w:val="none"/>
          <w:lang w:val="en-US" w:eastAsia="zh-CN"/>
        </w:rPr>
        <w:t>下降33.31</w:t>
      </w:r>
      <w:r>
        <w:rPr>
          <w:rFonts w:hint="default" w:ascii="Times New Roman" w:hAnsi="Times New Roman" w:eastAsia="仿宋_GB2312" w:cs="Times New Roman"/>
          <w:color w:val="auto"/>
          <w:spacing w:val="0"/>
          <w:kern w:val="2"/>
          <w:sz w:val="28"/>
          <w:szCs w:val="28"/>
          <w:highlight w:val="none"/>
          <w:lang w:val="en-US" w:eastAsia="zh-CN" w:bidi="ar-SA"/>
        </w:rPr>
        <w:t>个百分点；各项贷款174.12亿元，各项存款237.38亿元，存贷款比例为73.35%，较年初73.61%下降0.26个百分点；全行核心负债214.54亿元，总负债270.93亿元，核心负债依存度79.18</w:t>
      </w:r>
      <w:r>
        <w:rPr>
          <w:rFonts w:hint="default" w:ascii="Times New Roman" w:hAnsi="Times New Roman" w:eastAsia="仿宋_GB2312" w:cs="Times New Roman"/>
          <w:color w:val="auto"/>
          <w:spacing w:val="0"/>
          <w:kern w:val="2"/>
          <w:sz w:val="28"/>
          <w:szCs w:val="28"/>
          <w:highlight w:val="none"/>
          <w:lang w:val="zh-CN" w:eastAsia="zh-CN" w:bidi="ar-SA"/>
        </w:rPr>
        <w:t>%</w:t>
      </w:r>
      <w:r>
        <w:rPr>
          <w:rFonts w:hint="default" w:ascii="Times New Roman" w:hAnsi="Times New Roman" w:eastAsia="仿宋_GB2312" w:cs="Times New Roman"/>
          <w:color w:val="auto"/>
          <w:spacing w:val="0"/>
          <w:kern w:val="2"/>
          <w:sz w:val="28"/>
          <w:szCs w:val="28"/>
          <w:highlight w:val="none"/>
          <w:lang w:val="en-US" w:eastAsia="zh-CN" w:bidi="ar-SA"/>
        </w:rPr>
        <w:t>，符合监管指标60%（大于等于）要求，较年初64.13%，核心负债依存度上升15.05个百分点；全行90天流动性缺口9.86亿元，90天内到期的表内外资产52.25亿元，流动性缺口率18.87</w:t>
      </w:r>
      <w:r>
        <w:rPr>
          <w:rFonts w:hint="default" w:ascii="Times New Roman" w:hAnsi="Times New Roman" w:eastAsia="仿宋_GB2312" w:cs="Times New Roman"/>
          <w:color w:val="auto"/>
          <w:spacing w:val="0"/>
          <w:kern w:val="2"/>
          <w:sz w:val="28"/>
          <w:szCs w:val="28"/>
          <w:highlight w:val="none"/>
          <w:lang w:val="zh-CN" w:eastAsia="zh-CN" w:bidi="ar-SA"/>
        </w:rPr>
        <w:t>%</w:t>
      </w:r>
      <w:r>
        <w:rPr>
          <w:rFonts w:hint="default" w:ascii="Times New Roman" w:hAnsi="Times New Roman" w:eastAsia="仿宋_GB2312" w:cs="Times New Roman"/>
          <w:color w:val="auto"/>
          <w:spacing w:val="0"/>
          <w:kern w:val="2"/>
          <w:sz w:val="28"/>
          <w:szCs w:val="28"/>
          <w:highlight w:val="none"/>
          <w:lang w:val="en-US" w:eastAsia="zh-CN" w:bidi="ar-SA"/>
        </w:rPr>
        <w:t>，较年初-21.63%上升40.50个百分点。</w:t>
      </w:r>
    </w:p>
    <w:p>
      <w:pPr>
        <w:keepNext w:val="0"/>
        <w:keepLines w:val="0"/>
        <w:pageBreakBefore w:val="0"/>
        <w:widowControl w:val="0"/>
        <w:kinsoku/>
        <w:wordWrap/>
        <w:overflowPunct w:val="0"/>
        <w:topLinePunct/>
        <w:autoSpaceDE/>
        <w:autoSpaceDN/>
        <w:bidi w:val="0"/>
        <w:adjustRightInd/>
        <w:snapToGrid/>
        <w:spacing w:line="480" w:lineRule="exact"/>
        <w:ind w:firstLine="604" w:firstLineChars="200"/>
        <w:contextualSpacing/>
        <w:jc w:val="both"/>
        <w:textAlignment w:val="auto"/>
        <w:rPr>
          <w:rStyle w:val="106"/>
          <w:rFonts w:hint="default" w:ascii="Times New Roman" w:hAnsi="Times New Roman" w:eastAsia="黑体" w:cs="Times New Roman"/>
          <w:color w:val="auto"/>
          <w:spacing w:val="0"/>
          <w:sz w:val="28"/>
          <w:szCs w:val="28"/>
          <w:highlight w:val="none"/>
        </w:rPr>
      </w:pPr>
      <w:r>
        <w:rPr>
          <w:rFonts w:hint="default" w:ascii="Times New Roman" w:hAnsi="Times New Roman" w:eastAsia="仿宋_GB2312" w:cs="Times New Roman"/>
          <w:color w:val="auto"/>
          <w:spacing w:val="0"/>
          <w:kern w:val="2"/>
          <w:sz w:val="28"/>
          <w:szCs w:val="28"/>
          <w:highlight w:val="none"/>
          <w:lang w:val="en-US" w:eastAsia="zh-CN" w:bidi="ar-SA"/>
        </w:rPr>
        <w:t>2026年上半年度实现各项财务收入5.18亿元，同比下降0.87亿</w:t>
      </w:r>
      <w:r>
        <w:rPr>
          <w:rFonts w:hint="default" w:ascii="Times New Roman" w:hAnsi="Times New Roman" w:eastAsia="仿宋_GB2312" w:cs="Times New Roman"/>
          <w:color w:val="auto"/>
          <w:spacing w:val="0"/>
          <w:kern w:val="2"/>
          <w:sz w:val="28"/>
          <w:szCs w:val="28"/>
          <w:highlight w:val="none"/>
          <w:lang w:val="zh-CN" w:eastAsia="zh-CN" w:bidi="ar-SA"/>
        </w:rPr>
        <w:t>元，</w:t>
      </w:r>
      <w:r>
        <w:rPr>
          <w:rFonts w:hint="default" w:ascii="Times New Roman" w:hAnsi="Times New Roman" w:eastAsia="仿宋_GB2312" w:cs="Times New Roman"/>
          <w:color w:val="auto"/>
          <w:spacing w:val="0"/>
          <w:kern w:val="2"/>
          <w:sz w:val="28"/>
          <w:szCs w:val="28"/>
          <w:highlight w:val="none"/>
          <w:lang w:val="en-US" w:eastAsia="zh-CN" w:bidi="ar-SA"/>
        </w:rPr>
        <w:t>增幅-14.33</w:t>
      </w:r>
      <w:r>
        <w:rPr>
          <w:rFonts w:hint="default" w:ascii="Times New Roman" w:hAnsi="Times New Roman" w:eastAsia="仿宋_GB2312" w:cs="Times New Roman"/>
          <w:color w:val="auto"/>
          <w:kern w:val="0"/>
          <w:sz w:val="28"/>
          <w:szCs w:val="28"/>
          <w:highlight w:val="none"/>
          <w:lang w:val="zh-CN"/>
        </w:rPr>
        <w:t>%</w:t>
      </w:r>
      <w:r>
        <w:rPr>
          <w:rFonts w:hint="default" w:ascii="Times New Roman" w:hAnsi="Times New Roman" w:eastAsia="仿宋_GB2312" w:cs="Times New Roman"/>
          <w:color w:val="auto"/>
          <w:spacing w:val="0"/>
          <w:kern w:val="2"/>
          <w:sz w:val="28"/>
          <w:szCs w:val="28"/>
          <w:highlight w:val="none"/>
          <w:lang w:val="en-US" w:eastAsia="zh-CN" w:bidi="ar-SA"/>
        </w:rPr>
        <w:t>，营业收入5.18亿元，同比下降0.86</w:t>
      </w:r>
      <w:r>
        <w:rPr>
          <w:rFonts w:hint="default" w:ascii="Times New Roman" w:hAnsi="Times New Roman" w:eastAsia="仿宋_GB2312" w:cs="Times New Roman"/>
          <w:color w:val="auto"/>
          <w:sz w:val="28"/>
          <w:szCs w:val="28"/>
          <w:highlight w:val="none"/>
          <w:lang w:val="en-US" w:eastAsia="zh-CN"/>
        </w:rPr>
        <w:t>亿</w:t>
      </w:r>
      <w:r>
        <w:rPr>
          <w:rFonts w:hint="default" w:ascii="Times New Roman" w:hAnsi="Times New Roman" w:eastAsia="仿宋_GB2312" w:cs="Times New Roman"/>
          <w:color w:val="auto"/>
          <w:spacing w:val="0"/>
          <w:kern w:val="2"/>
          <w:sz w:val="28"/>
          <w:szCs w:val="28"/>
          <w:highlight w:val="none"/>
          <w:lang w:val="en-US" w:eastAsia="zh-CN" w:bidi="ar-SA"/>
        </w:rPr>
        <w:t>元，增幅-14.27</w:t>
      </w:r>
      <w:r>
        <w:rPr>
          <w:rFonts w:hint="default" w:ascii="Times New Roman" w:hAnsi="Times New Roman" w:eastAsia="仿宋_GB2312" w:cs="Times New Roman"/>
          <w:color w:val="auto"/>
          <w:sz w:val="28"/>
          <w:szCs w:val="28"/>
          <w:highlight w:val="none"/>
          <w:lang w:val="en-US" w:eastAsia="zh-CN"/>
        </w:rPr>
        <w:t>%</w:t>
      </w:r>
      <w:r>
        <w:rPr>
          <w:rFonts w:hint="default" w:ascii="Times New Roman" w:hAnsi="Times New Roman" w:eastAsia="仿宋_GB2312" w:cs="Times New Roman"/>
          <w:color w:val="auto"/>
          <w:spacing w:val="0"/>
          <w:kern w:val="2"/>
          <w:sz w:val="28"/>
          <w:szCs w:val="28"/>
          <w:highlight w:val="none"/>
          <w:lang w:val="en-US" w:eastAsia="zh-CN" w:bidi="ar-SA"/>
        </w:rPr>
        <w:t>；各项支出4.72亿元，同比下降0.53亿元，增幅-10.08</w:t>
      </w:r>
      <w:r>
        <w:rPr>
          <w:rFonts w:hint="default" w:ascii="Times New Roman" w:hAnsi="Times New Roman" w:eastAsia="仿宋_GB2312" w:cs="Times New Roman"/>
          <w:color w:val="auto"/>
          <w:sz w:val="28"/>
          <w:szCs w:val="28"/>
          <w:highlight w:val="none"/>
          <w:lang w:val="en-US" w:eastAsia="zh-CN"/>
        </w:rPr>
        <w:t>%</w:t>
      </w:r>
      <w:r>
        <w:rPr>
          <w:rFonts w:hint="default" w:ascii="Times New Roman" w:hAnsi="Times New Roman" w:eastAsia="仿宋_GB2312" w:cs="Times New Roman"/>
          <w:color w:val="auto"/>
          <w:spacing w:val="0"/>
          <w:kern w:val="2"/>
          <w:sz w:val="28"/>
          <w:szCs w:val="28"/>
          <w:highlight w:val="none"/>
          <w:lang w:val="en-US" w:eastAsia="zh-CN" w:bidi="ar-SA"/>
        </w:rPr>
        <w:t>，营业支出4.68亿元，同比下降0.56亿元，增幅-10.67</w:t>
      </w:r>
      <w:r>
        <w:rPr>
          <w:rFonts w:hint="default" w:ascii="Times New Roman" w:hAnsi="Times New Roman" w:eastAsia="仿宋_GB2312" w:cs="Times New Roman"/>
          <w:color w:val="auto"/>
          <w:sz w:val="28"/>
          <w:szCs w:val="28"/>
          <w:highlight w:val="none"/>
          <w:lang w:val="en-US" w:eastAsia="zh-CN"/>
        </w:rPr>
        <w:t>%</w:t>
      </w:r>
      <w:r>
        <w:rPr>
          <w:rFonts w:hint="default" w:ascii="Times New Roman" w:hAnsi="Times New Roman" w:eastAsia="仿宋_GB2312" w:cs="Times New Roman"/>
          <w:color w:val="auto"/>
          <w:spacing w:val="0"/>
          <w:kern w:val="2"/>
          <w:sz w:val="28"/>
          <w:szCs w:val="28"/>
          <w:highlight w:val="none"/>
          <w:lang w:val="en-US" w:eastAsia="zh-CN" w:bidi="ar-SA"/>
        </w:rPr>
        <w:t>。实现利润总额0.47 亿元，同比下降0.34亿</w:t>
      </w:r>
      <w:r>
        <w:rPr>
          <w:rFonts w:hint="default" w:ascii="Times New Roman" w:hAnsi="Times New Roman" w:eastAsia="仿宋_GB2312" w:cs="Times New Roman"/>
          <w:color w:val="auto"/>
          <w:spacing w:val="0"/>
          <w:kern w:val="2"/>
          <w:sz w:val="28"/>
          <w:szCs w:val="28"/>
          <w:highlight w:val="none"/>
          <w:lang w:val="zh-CN" w:eastAsia="zh-CN" w:bidi="ar-SA"/>
        </w:rPr>
        <w:t>元，降幅</w:t>
      </w:r>
      <w:r>
        <w:rPr>
          <w:rFonts w:hint="default" w:ascii="Times New Roman" w:hAnsi="Times New Roman" w:eastAsia="仿宋_GB2312" w:cs="Times New Roman"/>
          <w:color w:val="auto"/>
          <w:spacing w:val="0"/>
          <w:kern w:val="2"/>
          <w:sz w:val="28"/>
          <w:szCs w:val="28"/>
          <w:highlight w:val="none"/>
          <w:lang w:val="en-US" w:eastAsia="zh-CN" w:bidi="ar-SA"/>
        </w:rPr>
        <w:t>41.95</w:t>
      </w:r>
      <w:r>
        <w:rPr>
          <w:rFonts w:hint="default" w:ascii="Times New Roman" w:hAnsi="Times New Roman" w:eastAsia="仿宋_GB2312" w:cs="Times New Roman"/>
          <w:color w:val="auto"/>
          <w:sz w:val="28"/>
          <w:szCs w:val="28"/>
          <w:highlight w:val="none"/>
        </w:rPr>
        <w:t>%</w:t>
      </w:r>
      <w:r>
        <w:rPr>
          <w:rFonts w:hint="default" w:ascii="Times New Roman" w:hAnsi="Times New Roman" w:eastAsia="仿宋_GB2312" w:cs="Times New Roman"/>
          <w:color w:val="auto"/>
          <w:spacing w:val="0"/>
          <w:kern w:val="2"/>
          <w:sz w:val="28"/>
          <w:szCs w:val="28"/>
          <w:highlight w:val="none"/>
          <w:lang w:val="en-US" w:eastAsia="zh-CN" w:bidi="ar-SA"/>
        </w:rPr>
        <w:t>；实现净利润0.40亿元，同比下降0.29亿元，降幅41.81</w:t>
      </w:r>
      <w:r>
        <w:rPr>
          <w:rFonts w:hint="default" w:ascii="Times New Roman" w:hAnsi="Times New Roman" w:eastAsia="仿宋_GB2312" w:cs="Times New Roman"/>
          <w:color w:val="auto"/>
          <w:sz w:val="28"/>
          <w:szCs w:val="28"/>
          <w:highlight w:val="none"/>
          <w:lang w:val="en-US" w:eastAsia="zh-CN"/>
        </w:rPr>
        <w:t>%</w:t>
      </w:r>
      <w:r>
        <w:rPr>
          <w:rFonts w:hint="default" w:ascii="Times New Roman" w:hAnsi="Times New Roman" w:eastAsia="仿宋_GB2312" w:cs="Times New Roman"/>
          <w:color w:val="auto"/>
          <w:spacing w:val="0"/>
          <w:kern w:val="2"/>
          <w:sz w:val="28"/>
          <w:szCs w:val="28"/>
          <w:highlight w:val="none"/>
          <w:lang w:val="en-US" w:eastAsia="zh-CN" w:bidi="ar-SA"/>
        </w:rPr>
        <w:t>。</w:t>
      </w:r>
    </w:p>
    <w:p>
      <w:pPr>
        <w:keepNext w:val="0"/>
        <w:keepLines w:val="0"/>
        <w:pageBreakBefore w:val="0"/>
        <w:widowControl w:val="0"/>
        <w:kinsoku/>
        <w:wordWrap/>
        <w:overflowPunct w:val="0"/>
        <w:topLinePunct/>
        <w:autoSpaceDE/>
        <w:autoSpaceDN/>
        <w:bidi w:val="0"/>
        <w:adjustRightInd/>
        <w:snapToGrid/>
        <w:spacing w:line="480" w:lineRule="exact"/>
        <w:ind w:left="0" w:firstLine="604" w:firstLineChars="200"/>
        <w:contextualSpacing/>
        <w:jc w:val="left"/>
        <w:textAlignment w:val="auto"/>
        <w:rPr>
          <w:rStyle w:val="106"/>
          <w:rFonts w:hint="default" w:ascii="Times New Roman" w:hAnsi="Times New Roman" w:eastAsia="仿宋_GB2312" w:cs="Times New Roman"/>
          <w:b/>
          <w:color w:val="auto"/>
          <w:spacing w:val="0"/>
          <w:sz w:val="28"/>
          <w:szCs w:val="28"/>
          <w:highlight w:val="none"/>
        </w:rPr>
      </w:pPr>
      <w:r>
        <w:rPr>
          <w:rStyle w:val="106"/>
          <w:rFonts w:hint="default" w:ascii="Times New Roman" w:hAnsi="Times New Roman" w:eastAsia="黑体" w:cs="Times New Roman"/>
          <w:color w:val="auto"/>
          <w:spacing w:val="0"/>
          <w:sz w:val="28"/>
          <w:szCs w:val="28"/>
          <w:highlight w:val="none"/>
          <w:lang w:val="en-US" w:eastAsia="zh-CN"/>
        </w:rPr>
        <w:t>二、</w:t>
      </w:r>
      <w:r>
        <w:rPr>
          <w:rStyle w:val="106"/>
          <w:rFonts w:hint="default" w:ascii="Times New Roman" w:hAnsi="Times New Roman" w:eastAsia="黑体" w:cs="Times New Roman"/>
          <w:color w:val="auto"/>
          <w:spacing w:val="0"/>
          <w:sz w:val="28"/>
          <w:szCs w:val="28"/>
          <w:highlight w:val="none"/>
        </w:rPr>
        <w:t>资产负债表</w:t>
      </w:r>
      <w:r>
        <w:rPr>
          <w:rStyle w:val="106"/>
          <w:rFonts w:hint="default" w:ascii="Times New Roman" w:hAnsi="Times New Roman" w:eastAsia="仿宋_GB2312" w:cs="Times New Roman"/>
          <w:b/>
          <w:color w:val="auto"/>
          <w:spacing w:val="0"/>
          <w:sz w:val="28"/>
          <w:szCs w:val="28"/>
          <w:highlight w:val="none"/>
        </w:rPr>
        <w:t xml:space="preserve">  </w:t>
      </w:r>
    </w:p>
    <w:p>
      <w:pPr>
        <w:keepNext w:val="0"/>
        <w:keepLines w:val="0"/>
        <w:pageBreakBefore w:val="0"/>
        <w:widowControl w:val="0"/>
        <w:kinsoku/>
        <w:wordWrap/>
        <w:overflowPunct w:val="0"/>
        <w:topLinePunct/>
        <w:autoSpaceDE/>
        <w:autoSpaceDN/>
        <w:bidi w:val="0"/>
        <w:adjustRightInd/>
        <w:snapToGrid/>
        <w:spacing w:line="400" w:lineRule="exact"/>
        <w:ind w:firstLine="7372" w:firstLineChars="3178"/>
        <w:contextualSpacing/>
        <w:jc w:val="both"/>
        <w:textAlignment w:val="auto"/>
        <w:rPr>
          <w:rStyle w:val="106"/>
          <w:rFonts w:hint="default" w:ascii="Times New Roman" w:hAnsi="Times New Roman" w:eastAsia="仿宋_GB2312" w:cs="Times New Roman"/>
          <w:b/>
          <w:color w:val="auto"/>
          <w:spacing w:val="0"/>
          <w:sz w:val="28"/>
          <w:szCs w:val="28"/>
          <w:highlight w:val="none"/>
        </w:rPr>
      </w:pPr>
      <w:r>
        <w:rPr>
          <w:rStyle w:val="106"/>
          <w:rFonts w:hint="default" w:ascii="Times New Roman" w:hAnsi="Times New Roman" w:eastAsia="仿宋_GB2312" w:cs="Times New Roman"/>
          <w:bCs/>
          <w:color w:val="auto"/>
          <w:spacing w:val="0"/>
          <w:szCs w:val="21"/>
          <w:highlight w:val="none"/>
        </w:rPr>
        <w:t>单位：元</w:t>
      </w:r>
    </w:p>
    <w:tbl>
      <w:tblPr>
        <w:tblStyle w:val="25"/>
        <w:tblW w:w="883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344"/>
        <w:gridCol w:w="2688"/>
        <w:gridCol w:w="28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highlight w:val="none"/>
                <w:u w:val="none"/>
              </w:rPr>
            </w:pPr>
            <w:r>
              <w:rPr>
                <w:rFonts w:hint="default" w:ascii="Times New Roman" w:hAnsi="Times New Roman" w:eastAsia="宋体" w:cs="Times New Roman"/>
                <w:b/>
                <w:i w:val="0"/>
                <w:color w:val="auto"/>
                <w:kern w:val="0"/>
                <w:sz w:val="21"/>
                <w:szCs w:val="21"/>
                <w:highlight w:val="none"/>
                <w:u w:val="none"/>
                <w:lang w:val="en-US" w:eastAsia="zh-CN"/>
              </w:rPr>
              <w:t>资     产</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highlight w:val="none"/>
                <w:u w:val="none"/>
              </w:rPr>
            </w:pPr>
            <w:r>
              <w:rPr>
                <w:rFonts w:hint="default" w:ascii="Times New Roman" w:hAnsi="Times New Roman" w:eastAsia="宋体" w:cs="Times New Roman"/>
                <w:b/>
                <w:i w:val="0"/>
                <w:color w:val="auto"/>
                <w:kern w:val="0"/>
                <w:sz w:val="21"/>
                <w:szCs w:val="21"/>
                <w:highlight w:val="none"/>
                <w:u w:val="none"/>
                <w:lang w:val="en-US" w:eastAsia="zh-CN"/>
              </w:rPr>
              <w:t>年初余额</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highlight w:val="none"/>
                <w:u w:val="none"/>
              </w:rPr>
            </w:pPr>
            <w:r>
              <w:rPr>
                <w:rFonts w:hint="default" w:ascii="Times New Roman" w:hAnsi="Times New Roman" w:eastAsia="宋体" w:cs="Times New Roman"/>
                <w:b/>
                <w:i w:val="0"/>
                <w:color w:val="auto"/>
                <w:kern w:val="0"/>
                <w:sz w:val="21"/>
                <w:szCs w:val="21"/>
                <w:highlight w:val="none"/>
                <w:u w:val="none"/>
                <w:lang w:val="en-US" w:eastAsia="zh-CN"/>
              </w:rPr>
              <w:t>期末余额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b/>
                <w:i w:val="0"/>
                <w:color w:val="auto"/>
                <w:sz w:val="21"/>
                <w:szCs w:val="21"/>
                <w:highlight w:val="none"/>
                <w:u w:val="none"/>
              </w:rPr>
            </w:pPr>
            <w:r>
              <w:rPr>
                <w:rFonts w:hint="default" w:ascii="Times New Roman" w:hAnsi="Times New Roman" w:eastAsia="宋体" w:cs="Times New Roman"/>
                <w:b/>
                <w:i w:val="0"/>
                <w:color w:val="auto"/>
                <w:kern w:val="0"/>
                <w:sz w:val="21"/>
                <w:szCs w:val="21"/>
                <w:highlight w:val="none"/>
                <w:u w:val="none"/>
                <w:lang w:val="en-US" w:eastAsia="zh-CN"/>
              </w:rPr>
              <w:t>资  产：</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right"/>
              <w:rPr>
                <w:rFonts w:hint="default" w:ascii="Times New Roman" w:hAnsi="Times New Roman" w:eastAsia="楷体_GB2312" w:cs="Times New Roman"/>
                <w:b/>
                <w:i w:val="0"/>
                <w:color w:val="auto"/>
                <w:sz w:val="21"/>
                <w:szCs w:val="21"/>
                <w:highlight w:val="none"/>
                <w:u w:val="none"/>
              </w:rPr>
            </w:pP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right"/>
              <w:rPr>
                <w:rFonts w:hint="default" w:ascii="Times New Roman" w:hAnsi="Times New Roman" w:eastAsia="楷体_GB2312" w:cs="Times New Roman"/>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现金及存放中央银行款项</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1,242,177,408.02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1,595,793,559.46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贵金属</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存放联行款项</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存放同业款项</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466,810,710.87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940,836,725.62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拆出资金</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147,755,833.33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198,207,908.12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交易性金融资产</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354,767,068.08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965,175,634.48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衍生金融资产</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买入返售金融资产</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应收款项类金融资产</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应收利息</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应收股利</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其他应收款</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43,788,899.45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32,246,322.88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发放贷款和垫款</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17,215,104,401.59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18,549,522,314.16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可供出售金融资产</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其他债权投资</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5,677,396,945.13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3,937,305,215.68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持有至到期投资</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债权投资</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1,557,623,729.69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3,024,640,298.12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其他权益工具投资</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长期股权投资</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投资性房地产</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固定资产</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70,210,354.63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66,042,235.03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在建工程</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1,279,033.85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324,627.36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固定资产清理</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使用权资产</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3,832,666.10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7,081,826.66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无形资产</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44,087,743.33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43,600,875.82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开发支出</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长期待摊费用</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12,772,127.28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11,477,076.94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抵债资产</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680,960.00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680,960.00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持有待售资产</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递延所得税资产</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205,374,286.50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212,733,444.12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待处理财产损溢</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其他资产</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3,640,680.48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3,399,343.10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left"/>
              <w:rPr>
                <w:rFonts w:hint="default" w:ascii="Times New Roman" w:hAnsi="Times New Roman" w:eastAsia="宋体" w:cs="Times New Roman"/>
                <w:i w:val="0"/>
                <w:color w:val="auto"/>
                <w:sz w:val="21"/>
                <w:szCs w:val="21"/>
                <w:highlight w:val="none"/>
                <w:u w:val="none"/>
              </w:rPr>
            </w:pP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right"/>
              <w:rPr>
                <w:rFonts w:hint="default" w:ascii="Times New Roman" w:hAnsi="Times New Roman" w:eastAsia="宋体" w:cs="Times New Roman"/>
                <w:i w:val="0"/>
                <w:color w:val="auto"/>
                <w:sz w:val="21"/>
                <w:szCs w:val="21"/>
                <w:highlight w:val="none"/>
                <w:u w:val="none"/>
              </w:rPr>
            </w:pP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right"/>
              <w:rPr>
                <w:rFonts w:hint="default" w:ascii="Times New Roman" w:hAnsi="Times New Roman" w:eastAsia="宋体" w:cs="Times New Roman"/>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b/>
                <w:i w:val="0"/>
                <w:color w:val="auto"/>
                <w:sz w:val="21"/>
                <w:szCs w:val="21"/>
                <w:highlight w:val="none"/>
                <w:u w:val="none"/>
              </w:rPr>
            </w:pPr>
            <w:r>
              <w:rPr>
                <w:rFonts w:hint="default" w:ascii="Times New Roman" w:hAnsi="Times New Roman" w:eastAsia="宋体" w:cs="Times New Roman"/>
                <w:b/>
                <w:i w:val="0"/>
                <w:color w:val="auto"/>
                <w:kern w:val="0"/>
                <w:sz w:val="21"/>
                <w:szCs w:val="21"/>
                <w:highlight w:val="none"/>
                <w:u w:val="none"/>
                <w:lang w:val="en-US" w:eastAsia="zh-CN"/>
              </w:rPr>
              <w:t>资产总计</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27,047,302,848.33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29,589,068,367.55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b/>
                <w:i w:val="0"/>
                <w:color w:val="auto"/>
                <w:sz w:val="21"/>
                <w:szCs w:val="21"/>
                <w:highlight w:val="none"/>
                <w:u w:val="none"/>
              </w:rPr>
            </w:pPr>
            <w:r>
              <w:rPr>
                <w:rFonts w:hint="default" w:ascii="Times New Roman" w:hAnsi="Times New Roman" w:eastAsia="宋体" w:cs="Times New Roman"/>
                <w:b/>
                <w:i w:val="0"/>
                <w:color w:val="auto"/>
                <w:kern w:val="0"/>
                <w:sz w:val="21"/>
                <w:szCs w:val="21"/>
                <w:highlight w:val="none"/>
                <w:u w:val="none"/>
                <w:lang w:val="en-US" w:eastAsia="zh-CN"/>
              </w:rPr>
              <w:t>负  债：</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right"/>
              <w:rPr>
                <w:rFonts w:hint="default" w:ascii="Times New Roman" w:hAnsi="Times New Roman" w:eastAsia="宋体" w:cs="Times New Roman"/>
                <w:b/>
                <w:i w:val="0"/>
                <w:color w:val="auto"/>
                <w:sz w:val="21"/>
                <w:szCs w:val="21"/>
                <w:highlight w:val="none"/>
                <w:u w:val="none"/>
              </w:rPr>
            </w:pP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right"/>
              <w:rPr>
                <w:rFonts w:hint="default" w:ascii="Times New Roman" w:hAnsi="Times New Roman" w:eastAsia="宋体" w:cs="Times New Roman"/>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向中央银行借款</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1,551,643,333.33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1,585,902,981.24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联行存放款项</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同业及其他金融机构存放款</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454,744.49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3,560,702.03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拆入资金</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100,030,138.89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交易性金融负债</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衍生金融负债</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卖出回购金融资产款</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100,011,780.82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1,176,814,764.80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吸收存款</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22,779,973,040.46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24,121,306,187.48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应付职工薪酬</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49,618,395.42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40,829,924.10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应交税费</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26,564,353.59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9,627,166.73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应付利息</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应付股利</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4,813,358.33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5,772,161.09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其他应付款</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25,595,206.69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21,637,650.77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预计负债</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2,028,060.47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7,328,826.94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应付债券</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租赁负债</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3,548,685.68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6,839,479.21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持有待售负债</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递延所得税负债</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其他负债</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16,010.44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533,026.43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b/>
                <w:i w:val="0"/>
                <w:color w:val="auto"/>
                <w:sz w:val="21"/>
                <w:szCs w:val="21"/>
                <w:highlight w:val="none"/>
                <w:u w:val="none"/>
              </w:rPr>
            </w:pPr>
            <w:r>
              <w:rPr>
                <w:rFonts w:hint="default" w:ascii="Times New Roman" w:hAnsi="Times New Roman" w:eastAsia="宋体" w:cs="Times New Roman"/>
                <w:b/>
                <w:i w:val="0"/>
                <w:color w:val="auto"/>
                <w:kern w:val="0"/>
                <w:sz w:val="21"/>
                <w:szCs w:val="21"/>
                <w:highlight w:val="none"/>
                <w:u w:val="none"/>
                <w:lang w:val="en-US" w:eastAsia="zh-CN"/>
              </w:rPr>
              <w:t>负债总计</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24,544,266,969.72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27,080,183,009.71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b/>
                <w:i w:val="0"/>
                <w:color w:val="auto"/>
                <w:sz w:val="21"/>
                <w:szCs w:val="21"/>
                <w:highlight w:val="none"/>
                <w:u w:val="none"/>
              </w:rPr>
            </w:pPr>
            <w:r>
              <w:rPr>
                <w:rFonts w:hint="default" w:ascii="Times New Roman" w:hAnsi="Times New Roman" w:eastAsia="宋体" w:cs="Times New Roman"/>
                <w:b/>
                <w:i w:val="0"/>
                <w:color w:val="auto"/>
                <w:kern w:val="0"/>
                <w:sz w:val="21"/>
                <w:szCs w:val="21"/>
                <w:highlight w:val="none"/>
                <w:u w:val="none"/>
                <w:lang w:val="en-US" w:eastAsia="zh-CN"/>
              </w:rPr>
              <w:t>所有者权益：</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right"/>
              <w:rPr>
                <w:rFonts w:hint="default" w:ascii="Times New Roman" w:hAnsi="Times New Roman" w:eastAsia="宋体" w:cs="Times New Roman"/>
                <w:i w:val="0"/>
                <w:color w:val="auto"/>
                <w:sz w:val="21"/>
                <w:szCs w:val="21"/>
                <w:highlight w:val="none"/>
                <w:u w:val="none"/>
              </w:rPr>
            </w:pP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right"/>
              <w:rPr>
                <w:rFonts w:hint="default" w:ascii="Times New Roman" w:hAnsi="Times New Roman" w:eastAsia="宋体" w:cs="Times New Roman"/>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实收资本（股本）</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518,557,273.00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539,299,038.00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其中：法人股股本</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316,784,056.00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329,455,391.00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      自然人股股本</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201,773,217.00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209,843,647.00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      其他股本</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资本公积</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205,812,935.24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205,812,935.24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减：库存股</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其他综合收益</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79,706,727.36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61,295,194.25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盈余公积</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327,490,398.15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351,225,489.20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一般风险准备</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1,213,234,604.54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1,311,434,444.70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71"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未分配利润</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158,233,940.32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39,818,256.45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其他权益工具</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b/>
                <w:i w:val="0"/>
                <w:color w:val="auto"/>
                <w:sz w:val="21"/>
                <w:szCs w:val="21"/>
                <w:highlight w:val="none"/>
                <w:u w:val="none"/>
              </w:rPr>
            </w:pPr>
            <w:r>
              <w:rPr>
                <w:rFonts w:hint="default" w:ascii="Times New Roman" w:hAnsi="Times New Roman" w:eastAsia="宋体" w:cs="Times New Roman"/>
                <w:b/>
                <w:i w:val="0"/>
                <w:color w:val="auto"/>
                <w:kern w:val="0"/>
                <w:sz w:val="21"/>
                <w:szCs w:val="21"/>
                <w:highlight w:val="none"/>
                <w:u w:val="none"/>
                <w:lang w:val="en-US" w:eastAsia="zh-CN"/>
              </w:rPr>
              <w:t>所有者权益合计</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2,503,035,878.61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2,508,885,357.84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334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left"/>
              <w:textAlignment w:val="center"/>
              <w:rPr>
                <w:rFonts w:hint="default" w:ascii="Times New Roman" w:hAnsi="Times New Roman" w:eastAsia="宋体" w:cs="Times New Roman"/>
                <w:b/>
                <w:i w:val="0"/>
                <w:color w:val="auto"/>
                <w:sz w:val="21"/>
                <w:szCs w:val="21"/>
                <w:highlight w:val="none"/>
                <w:u w:val="none"/>
              </w:rPr>
            </w:pPr>
            <w:r>
              <w:rPr>
                <w:rFonts w:hint="default" w:ascii="Times New Roman" w:hAnsi="Times New Roman" w:eastAsia="宋体" w:cs="Times New Roman"/>
                <w:b/>
                <w:i w:val="0"/>
                <w:color w:val="auto"/>
                <w:kern w:val="0"/>
                <w:sz w:val="21"/>
                <w:szCs w:val="21"/>
                <w:highlight w:val="none"/>
                <w:u w:val="none"/>
                <w:lang w:val="en-US" w:eastAsia="zh-CN"/>
              </w:rPr>
              <w:t>负债及所有者权益总计</w:t>
            </w:r>
          </w:p>
        </w:tc>
        <w:tc>
          <w:tcPr>
            <w:tcW w:w="268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sz w:val="21"/>
                <w:szCs w:val="21"/>
                <w:highlight w:val="none"/>
                <w:u w:val="none"/>
              </w:rPr>
            </w:pPr>
            <w:r>
              <w:rPr>
                <w:rFonts w:hint="default" w:ascii="Times New Roman" w:hAnsi="Times New Roman" w:eastAsia="宋体" w:cs="Times New Roman"/>
                <w:i w:val="0"/>
                <w:color w:val="auto"/>
                <w:kern w:val="0"/>
                <w:sz w:val="21"/>
                <w:szCs w:val="21"/>
                <w:highlight w:val="none"/>
                <w:u w:val="none"/>
                <w:lang w:val="en-US" w:eastAsia="zh-CN"/>
              </w:rPr>
              <w:t xml:space="preserve">27,047,302,848.33 </w:t>
            </w:r>
          </w:p>
        </w:tc>
        <w:tc>
          <w:tcPr>
            <w:tcW w:w="280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rPr>
              <w:t xml:space="preserve">29,589,068,367.55 </w:t>
            </w:r>
          </w:p>
        </w:tc>
      </w:tr>
    </w:tbl>
    <w:p>
      <w:pPr>
        <w:keepNext w:val="0"/>
        <w:keepLines w:val="0"/>
        <w:pageBreakBefore w:val="0"/>
        <w:widowControl w:val="0"/>
        <w:kinsoku/>
        <w:wordWrap/>
        <w:overflowPunct w:val="0"/>
        <w:topLinePunct/>
        <w:autoSpaceDE/>
        <w:autoSpaceDN/>
        <w:bidi w:val="0"/>
        <w:adjustRightInd/>
        <w:snapToGrid/>
        <w:spacing w:line="400" w:lineRule="exact"/>
        <w:contextualSpacing/>
        <w:jc w:val="left"/>
        <w:textAlignment w:val="auto"/>
        <w:rPr>
          <w:rStyle w:val="106"/>
          <w:rFonts w:hint="default" w:ascii="Times New Roman" w:hAnsi="Times New Roman" w:eastAsia="仿宋_GB2312" w:cs="Times New Roman"/>
          <w:color w:val="auto"/>
          <w:spacing w:val="0"/>
          <w:sz w:val="28"/>
          <w:szCs w:val="28"/>
          <w:highlight w:val="none"/>
        </w:rPr>
      </w:pPr>
      <w:r>
        <w:rPr>
          <w:rStyle w:val="106"/>
          <w:rFonts w:hint="default" w:ascii="Times New Roman" w:hAnsi="Times New Roman" w:eastAsia="仿宋_GB2312" w:cs="Times New Roman"/>
          <w:b/>
          <w:color w:val="auto"/>
          <w:spacing w:val="0"/>
          <w:sz w:val="28"/>
          <w:szCs w:val="28"/>
          <w:highlight w:val="none"/>
        </w:rPr>
        <w:t xml:space="preserve">                        </w:t>
      </w:r>
    </w:p>
    <w:p>
      <w:pPr>
        <w:pStyle w:val="101"/>
        <w:shd w:val="clear" w:color="auto" w:fill="auto"/>
        <w:spacing w:before="0" w:line="480" w:lineRule="exact"/>
        <w:ind w:firstLine="604" w:firstLineChars="200"/>
        <w:jc w:val="left"/>
        <w:rPr>
          <w:rFonts w:hint="default" w:ascii="Times New Roman" w:hAnsi="Times New Roman" w:eastAsia="黑体" w:cs="Times New Roman"/>
          <w:color w:val="auto"/>
          <w:sz w:val="21"/>
          <w:szCs w:val="21"/>
          <w:highlight w:val="none"/>
        </w:rPr>
      </w:pPr>
      <w:r>
        <w:rPr>
          <w:rStyle w:val="106"/>
          <w:rFonts w:hint="default" w:ascii="Times New Roman" w:hAnsi="Times New Roman" w:eastAsia="黑体" w:cs="Times New Roman"/>
          <w:color w:val="auto"/>
          <w:spacing w:val="0"/>
          <w:sz w:val="28"/>
          <w:szCs w:val="28"/>
          <w:highlight w:val="none"/>
        </w:rPr>
        <w:t xml:space="preserve">三、利润表 </w:t>
      </w:r>
      <w:r>
        <w:rPr>
          <w:rFonts w:hint="default" w:ascii="Times New Roman" w:hAnsi="Times New Roman" w:eastAsia="黑体" w:cs="Times New Roman"/>
          <w:color w:val="auto"/>
          <w:sz w:val="21"/>
          <w:szCs w:val="21"/>
          <w:highlight w:val="none"/>
        </w:rPr>
        <w:t xml:space="preserve">                                      </w:t>
      </w:r>
    </w:p>
    <w:p>
      <w:pPr>
        <w:pStyle w:val="101"/>
        <w:shd w:val="clear" w:color="auto" w:fill="auto"/>
        <w:spacing w:before="0" w:line="480" w:lineRule="exact"/>
        <w:ind w:firstLine="7110" w:firstLineChars="2822"/>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单位：元</w:t>
      </w:r>
    </w:p>
    <w:tbl>
      <w:tblPr>
        <w:tblStyle w:val="25"/>
        <w:tblW w:w="8632"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00"/>
        <w:gridCol w:w="862"/>
        <w:gridCol w:w="1785"/>
        <w:gridCol w:w="17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93" w:hRule="atLeast"/>
          <w:jc w:val="center"/>
        </w:trPr>
        <w:tc>
          <w:tcPr>
            <w:tcW w:w="4200" w:type="dxa"/>
            <w:tcBorders>
              <w:tl2br w:val="nil"/>
              <w:tr2bl w:val="nil"/>
            </w:tcBorders>
            <w:shd w:val="clear" w:color="000000" w:fill="auto"/>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项目</w:t>
            </w:r>
          </w:p>
        </w:tc>
        <w:tc>
          <w:tcPr>
            <w:tcW w:w="862" w:type="dxa"/>
            <w:tcBorders>
              <w:left w:val="single" w:color="000000" w:sz="4" w:space="0"/>
              <w:tl2br w:val="nil"/>
              <w:tr2bl w:val="nil"/>
            </w:tcBorders>
            <w:shd w:val="clear" w:color="000000" w:fill="auto"/>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行次</w:t>
            </w:r>
          </w:p>
        </w:tc>
        <w:tc>
          <w:tcPr>
            <w:tcW w:w="1785" w:type="dxa"/>
            <w:tcBorders>
              <w:left w:val="single" w:color="000000" w:sz="4" w:space="0"/>
              <w:tl2br w:val="nil"/>
              <w:tr2bl w:val="nil"/>
            </w:tcBorders>
            <w:shd w:val="clear" w:color="000000" w:fill="auto"/>
            <w:vAlign w:val="center"/>
          </w:tcPr>
          <w:p>
            <w:pPr>
              <w:keepNext w:val="0"/>
              <w:keepLines w:val="0"/>
              <w:widowControl/>
              <w:suppressLineNumbers w:val="0"/>
              <w:jc w:val="center"/>
              <w:textAlignment w:val="center"/>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本年金额</w:t>
            </w:r>
          </w:p>
        </w:tc>
        <w:tc>
          <w:tcPr>
            <w:tcW w:w="1785" w:type="dxa"/>
            <w:tcBorders>
              <w:left w:val="single" w:color="000000" w:sz="4" w:space="0"/>
              <w:tl2br w:val="nil"/>
              <w:tr2bl w:val="nil"/>
            </w:tcBorders>
            <w:shd w:val="clear" w:color="000000" w:fill="auto"/>
            <w:vAlign w:val="center"/>
          </w:tcPr>
          <w:p>
            <w:pPr>
              <w:keepNext w:val="0"/>
              <w:keepLines w:val="0"/>
              <w:widowControl/>
              <w:suppressLineNumbers w:val="0"/>
              <w:jc w:val="both"/>
              <w:textAlignment w:val="center"/>
              <w:rPr>
                <w:rFonts w:hint="default" w:ascii="Times New Roman" w:hAnsi="Times New Roman" w:eastAsia="宋体" w:cs="Times New Roman"/>
                <w:b/>
                <w:bCs/>
                <w:i w:val="0"/>
                <w:iCs w:val="0"/>
                <w:color w:val="auto"/>
                <w:kern w:val="0"/>
                <w:sz w:val="21"/>
                <w:szCs w:val="21"/>
                <w:highlight w:val="none"/>
                <w:u w:val="none"/>
                <w:lang w:val="en-US" w:eastAsia="zh-CN"/>
              </w:rPr>
            </w:pPr>
            <w:r>
              <w:rPr>
                <w:rFonts w:hint="default" w:ascii="Times New Roman" w:hAnsi="Times New Roman" w:eastAsia="宋体" w:cs="Times New Roman"/>
                <w:b/>
                <w:i w:val="0"/>
                <w:color w:val="auto"/>
                <w:kern w:val="0"/>
                <w:sz w:val="21"/>
                <w:szCs w:val="21"/>
                <w:highlight w:val="none"/>
                <w:u w:val="none"/>
                <w:lang w:val="en-US" w:eastAsia="zh-CN"/>
              </w:rPr>
              <w:t>上年金额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 xml:space="preserve"> 一、营业收入</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327,028,922.49 </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387,975,015.23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27"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（一）利息净收入</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155,033,126.03 </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155,500,340.50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利息收入</w:t>
            </w:r>
          </w:p>
        </w:tc>
        <w:tc>
          <w:tcPr>
            <w:tcW w:w="862" w:type="dxa"/>
            <w:tcBorders>
              <w:left w:val="single" w:color="000000" w:sz="4" w:space="0"/>
              <w:tl2br w:val="nil"/>
              <w:tr2bl w:val="nil"/>
            </w:tcBorders>
            <w:shd w:val="clear" w:color="000000" w:fill="FFFFFF"/>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w:t>
            </w:r>
          </w:p>
        </w:tc>
        <w:tc>
          <w:tcPr>
            <w:tcW w:w="1785" w:type="dxa"/>
            <w:tcBorders>
              <w:left w:val="single" w:color="000000" w:sz="4" w:space="0"/>
              <w:tl2br w:val="nil"/>
              <w:tr2bl w:val="nil"/>
            </w:tcBorders>
            <w:shd w:val="clear" w:color="000000" w:fill="FFFFFF"/>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342,104,349.69 </w:t>
            </w:r>
          </w:p>
        </w:tc>
        <w:tc>
          <w:tcPr>
            <w:tcW w:w="1785" w:type="dxa"/>
            <w:tcBorders>
              <w:left w:val="single" w:color="000000" w:sz="4" w:space="0"/>
              <w:tl2br w:val="nil"/>
              <w:tr2bl w:val="nil"/>
            </w:tcBorders>
            <w:shd w:val="clear" w:color="000000" w:fill="FFFFFF"/>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367,550,531.16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利息支出</w:t>
            </w:r>
          </w:p>
        </w:tc>
        <w:tc>
          <w:tcPr>
            <w:tcW w:w="862" w:type="dxa"/>
            <w:tcBorders>
              <w:left w:val="single" w:color="000000" w:sz="4" w:space="0"/>
              <w:tl2br w:val="nil"/>
              <w:tr2bl w:val="nil"/>
            </w:tcBorders>
            <w:shd w:val="clear" w:color="000000" w:fill="FFFFFF"/>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4</w:t>
            </w:r>
          </w:p>
        </w:tc>
        <w:tc>
          <w:tcPr>
            <w:tcW w:w="1785" w:type="dxa"/>
            <w:tcBorders>
              <w:left w:val="single" w:color="000000" w:sz="4" w:space="0"/>
              <w:tl2br w:val="nil"/>
              <w:tr2bl w:val="nil"/>
            </w:tcBorders>
            <w:shd w:val="clear" w:color="000000" w:fill="FFFFFF"/>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187,071,223.66 </w:t>
            </w:r>
          </w:p>
        </w:tc>
        <w:tc>
          <w:tcPr>
            <w:tcW w:w="1785" w:type="dxa"/>
            <w:tcBorders>
              <w:left w:val="single" w:color="000000" w:sz="4" w:space="0"/>
              <w:tl2br w:val="nil"/>
              <w:tr2bl w:val="nil"/>
            </w:tcBorders>
            <w:shd w:val="clear" w:color="000000" w:fill="FFFFFF"/>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212,050,190.66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（二）手续费及佣金净收入</w:t>
            </w:r>
          </w:p>
        </w:tc>
        <w:tc>
          <w:tcPr>
            <w:tcW w:w="862" w:type="dxa"/>
            <w:tcBorders>
              <w:left w:val="single" w:color="000000" w:sz="4" w:space="0"/>
              <w:tl2br w:val="nil"/>
              <w:tr2bl w:val="nil"/>
            </w:tcBorders>
            <w:shd w:val="clear" w:color="000000" w:fill="FFFFFF"/>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5</w:t>
            </w:r>
          </w:p>
        </w:tc>
        <w:tc>
          <w:tcPr>
            <w:tcW w:w="1785" w:type="dxa"/>
            <w:tcBorders>
              <w:left w:val="single" w:color="000000" w:sz="4" w:space="0"/>
              <w:tl2br w:val="nil"/>
              <w:tr2bl w:val="nil"/>
            </w:tcBorders>
            <w:shd w:val="clear" w:color="000000" w:fill="FFFFFF"/>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2,590,671.59 </w:t>
            </w:r>
          </w:p>
        </w:tc>
        <w:tc>
          <w:tcPr>
            <w:tcW w:w="1785" w:type="dxa"/>
            <w:tcBorders>
              <w:left w:val="single" w:color="000000" w:sz="4" w:space="0"/>
              <w:tl2br w:val="nil"/>
              <w:tr2bl w:val="nil"/>
            </w:tcBorders>
            <w:shd w:val="clear" w:color="000000" w:fill="FFFFFF"/>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-1,413,550.58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手续费及佣金收入</w:t>
            </w:r>
          </w:p>
        </w:tc>
        <w:tc>
          <w:tcPr>
            <w:tcW w:w="862" w:type="dxa"/>
            <w:tcBorders>
              <w:left w:val="single" w:color="000000" w:sz="4" w:space="0"/>
              <w:tl2br w:val="nil"/>
              <w:tr2bl w:val="nil"/>
            </w:tcBorders>
            <w:shd w:val="clear" w:color="000000" w:fill="FFFFFF"/>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6</w:t>
            </w:r>
          </w:p>
        </w:tc>
        <w:tc>
          <w:tcPr>
            <w:tcW w:w="1785" w:type="dxa"/>
            <w:tcBorders>
              <w:left w:val="single" w:color="000000" w:sz="4" w:space="0"/>
              <w:tl2br w:val="nil"/>
              <w:tr2bl w:val="nil"/>
            </w:tcBorders>
            <w:shd w:val="clear" w:color="000000" w:fill="FFFFFF"/>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6,864,632.58 </w:t>
            </w:r>
          </w:p>
        </w:tc>
        <w:tc>
          <w:tcPr>
            <w:tcW w:w="1785" w:type="dxa"/>
            <w:tcBorders>
              <w:left w:val="single" w:color="000000" w:sz="4" w:space="0"/>
              <w:tl2br w:val="nil"/>
              <w:tr2bl w:val="nil"/>
            </w:tcBorders>
            <w:shd w:val="clear" w:color="000000" w:fill="FFFFFF"/>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3,249,846.22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手续费及佣金支出</w:t>
            </w:r>
          </w:p>
        </w:tc>
        <w:tc>
          <w:tcPr>
            <w:tcW w:w="862" w:type="dxa"/>
            <w:tcBorders>
              <w:left w:val="single" w:color="000000" w:sz="4" w:space="0"/>
              <w:tl2br w:val="nil"/>
              <w:tr2bl w:val="nil"/>
            </w:tcBorders>
            <w:shd w:val="clear" w:color="000000" w:fill="FFFFFF"/>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7</w:t>
            </w:r>
          </w:p>
        </w:tc>
        <w:tc>
          <w:tcPr>
            <w:tcW w:w="1785" w:type="dxa"/>
            <w:tcBorders>
              <w:left w:val="single" w:color="000000" w:sz="4" w:space="0"/>
              <w:tl2br w:val="nil"/>
              <w:tr2bl w:val="nil"/>
            </w:tcBorders>
            <w:shd w:val="clear" w:color="000000" w:fill="FFFFFF"/>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4,273,960.99 </w:t>
            </w:r>
          </w:p>
        </w:tc>
        <w:tc>
          <w:tcPr>
            <w:tcW w:w="1785" w:type="dxa"/>
            <w:tcBorders>
              <w:left w:val="single" w:color="000000" w:sz="4" w:space="0"/>
              <w:tl2br w:val="nil"/>
              <w:tr2bl w:val="nil"/>
            </w:tcBorders>
            <w:shd w:val="clear" w:color="000000" w:fill="FFFFFF"/>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4,663,396.80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（三）投资收益</w:t>
            </w:r>
          </w:p>
        </w:tc>
        <w:tc>
          <w:tcPr>
            <w:tcW w:w="862" w:type="dxa"/>
            <w:tcBorders>
              <w:left w:val="single" w:color="000000" w:sz="4" w:space="0"/>
              <w:tl2br w:val="nil"/>
              <w:tr2bl w:val="nil"/>
            </w:tcBorders>
            <w:shd w:val="clear" w:color="000000" w:fill="FFFFFF"/>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8</w:t>
            </w:r>
          </w:p>
        </w:tc>
        <w:tc>
          <w:tcPr>
            <w:tcW w:w="1785" w:type="dxa"/>
            <w:tcBorders>
              <w:left w:val="single" w:color="000000" w:sz="4" w:space="0"/>
              <w:tl2br w:val="nil"/>
              <w:tr2bl w:val="nil"/>
            </w:tcBorders>
            <w:shd w:val="clear" w:color="000000" w:fill="FFFFFF"/>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161,096,079.65 </w:t>
            </w:r>
          </w:p>
        </w:tc>
        <w:tc>
          <w:tcPr>
            <w:tcW w:w="1785" w:type="dxa"/>
            <w:tcBorders>
              <w:left w:val="single" w:color="000000" w:sz="4" w:space="0"/>
              <w:tl2br w:val="nil"/>
              <w:tr2bl w:val="nil"/>
            </w:tcBorders>
            <w:shd w:val="clear" w:color="000000" w:fill="FFFFFF"/>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214,266,422.39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其中：对联营企业及合营企业的投资收益</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9</w:t>
            </w: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（四）公允价值变动损益</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10</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7,011,905.56 </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19,308,143.39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（五）汇兑收益（损失以“－”号填列）</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11</w:t>
            </w: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（六）其他收益</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12</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343,168.98 </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263,659.53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（七）资产处置收益（损失以“－”号填列）</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13</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942,732.58 </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（八）其他业务收入   </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14</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11,238.10 </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50,000.00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二、营业支出</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15</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276,582,506.73 </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307,091,287.84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（一）税金及附加</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16</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2,968,881.21 </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2,601,021.49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（二）业务及管理费</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17</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97,589,209.72 </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110,070,845.03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（三）资产减值损失</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18</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0.00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（四）信用减值损失</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19</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176,024,415.80 </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194,419,421.32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（五）其他业务成本</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20</w:t>
            </w: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三、营业利润（亏损以“－”号填列）</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21</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50,446,415.76 </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80,883,727.39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加：营业外收入</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22</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91,388.96 </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534,085.16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减：营业外支出</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23</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3,597,266.81 </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550,598.11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加：以前年度损益调整</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24</w:t>
            </w: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四、利润总额（亏损总额以“－”号填列）</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25</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46,940,537.91 </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80,867,214.44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减：所得税费用</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26</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7,122,281.46 </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12,442,378.93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五、净利润（净亏损以“－”号填列）</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
                <w:bCs/>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27</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39,818,256.45 </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68,424,835.51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归属于母公司所有者的净利润</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28</w:t>
            </w: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少数股东损益</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29</w:t>
            </w: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六、其他综合收益的税后净额</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30</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-18,411,533.11 </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-36,720,037.28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（一）以后会计期间不能重分类进损益的其他综合收益</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31</w:t>
            </w: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    1．重新计量设定受益计划变动额</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32</w:t>
            </w: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    2．权益法下不能转损益的其他综合收益</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33</w:t>
            </w: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    3．其他权益工具投资公允价值变动</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b/>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34</w:t>
            </w: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    4．企业自身信用风险公允价值变动</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35</w:t>
            </w: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（二）将重分类进损益的其他综合收益</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36</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-18,411,533.11 </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-36,720,037.28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   1．权益法下可转损益的其他综合收益</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37</w:t>
            </w: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   2．其他债权投资公允价值变动</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38</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-21,314,633.25 </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-83,005,165.04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   3．金融资产重分类计入其他综合收益的金额</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39</w:t>
            </w: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   4．其他债权投资信用减值准备</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40</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2,903,100.14 </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46,285,127.76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   5．现金流量套期储备</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41</w:t>
            </w: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   6．外币财务报表折算差额</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42</w:t>
            </w: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b/>
                <w:i w:val="0"/>
                <w:color w:val="auto"/>
                <w:kern w:val="0"/>
                <w:sz w:val="21"/>
                <w:szCs w:val="21"/>
                <w:highlight w:val="none"/>
                <w:u w:val="none"/>
                <w:lang w:val="en-US" w:eastAsia="zh-CN"/>
              </w:rPr>
              <w:t>七、综合收益总额</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43</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21,406,723.34 </w:t>
            </w:r>
          </w:p>
        </w:tc>
        <w:tc>
          <w:tcPr>
            <w:tcW w:w="1785" w:type="dxa"/>
            <w:tcBorders>
              <w:left w:val="single" w:color="000000" w:sz="4" w:space="0"/>
              <w:tl2br w:val="nil"/>
              <w:tr2bl w:val="nil"/>
            </w:tcBorders>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31,704,798.23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b/>
                <w:i w:val="0"/>
                <w:color w:val="auto"/>
                <w:kern w:val="0"/>
                <w:sz w:val="21"/>
                <w:szCs w:val="21"/>
                <w:highlight w:val="none"/>
                <w:u w:val="none"/>
                <w:lang w:val="en-US" w:eastAsia="zh-CN"/>
              </w:rPr>
              <w:t>八、每股收益</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44</w:t>
            </w: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  （一）基本每股收益(元/股)</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45</w:t>
            </w: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c>
          <w:tcPr>
            <w:tcW w:w="1785" w:type="dxa"/>
            <w:tcBorders>
              <w:left w:val="single" w:color="000000" w:sz="4" w:space="0"/>
              <w:tl2br w:val="nil"/>
              <w:tr2bl w:val="nil"/>
            </w:tcBorders>
            <w:vAlign w:val="center"/>
          </w:tcPr>
          <w:p>
            <w:pPr>
              <w:jc w:val="right"/>
              <w:rPr>
                <w:rFonts w:hint="default" w:ascii="Times New Roman" w:hAnsi="Times New Roman" w:eastAsia="宋体" w:cs="Times New Roman"/>
                <w:i w:val="0"/>
                <w:color w:val="auto"/>
                <w:kern w:val="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200" w:type="dxa"/>
            <w:tcBorders>
              <w:tl2br w:val="nil"/>
              <w:tr2bl w:val="nil"/>
            </w:tcBorders>
            <w:shd w:val="clear" w:color="000000"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 xml:space="preserve">  （二）稀释每股收益(元/股)</w:t>
            </w:r>
          </w:p>
        </w:tc>
        <w:tc>
          <w:tcPr>
            <w:tcW w:w="862" w:type="dxa"/>
            <w:tcBorders>
              <w:left w:val="single" w:color="000000"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rPr>
              <w:t>46</w:t>
            </w:r>
          </w:p>
        </w:tc>
        <w:tc>
          <w:tcPr>
            <w:tcW w:w="1785" w:type="dxa"/>
            <w:tcBorders>
              <w:left w:val="single" w:color="000000" w:sz="4" w:space="0"/>
              <w:tl2br w:val="nil"/>
              <w:tr2bl w:val="nil"/>
            </w:tcBorders>
            <w:vAlign w:val="center"/>
          </w:tcPr>
          <w:p>
            <w:pPr>
              <w:jc w:val="right"/>
              <w:rPr>
                <w:rFonts w:hint="default" w:ascii="Times New Roman" w:hAnsi="Times New Roman" w:eastAsia="仿宋_GB2312" w:cs="Times New Roman"/>
                <w:color w:val="auto"/>
                <w:sz w:val="21"/>
                <w:szCs w:val="21"/>
                <w:highlight w:val="none"/>
              </w:rPr>
            </w:pPr>
          </w:p>
        </w:tc>
        <w:tc>
          <w:tcPr>
            <w:tcW w:w="1785" w:type="dxa"/>
            <w:tcBorders>
              <w:left w:val="single" w:color="000000" w:sz="4" w:space="0"/>
              <w:tl2br w:val="nil"/>
              <w:tr2bl w:val="nil"/>
            </w:tcBorders>
            <w:vAlign w:val="center"/>
          </w:tcPr>
          <w:p>
            <w:pPr>
              <w:jc w:val="right"/>
              <w:rPr>
                <w:rFonts w:hint="default" w:ascii="Times New Roman" w:hAnsi="Times New Roman" w:eastAsia="仿宋_GB2312" w:cs="Times New Roman"/>
                <w:color w:val="auto"/>
                <w:sz w:val="21"/>
                <w:szCs w:val="21"/>
                <w:highlight w:val="none"/>
              </w:rPr>
            </w:pPr>
          </w:p>
        </w:tc>
      </w:tr>
    </w:tbl>
    <w:p>
      <w:pPr>
        <w:pStyle w:val="101"/>
        <w:shd w:val="clear" w:color="auto" w:fill="auto"/>
        <w:spacing w:before="0" w:line="480" w:lineRule="exact"/>
        <w:ind w:firstLine="7110" w:firstLineChars="2822"/>
        <w:jc w:val="left"/>
        <w:rPr>
          <w:rFonts w:hint="default" w:ascii="Times New Roman" w:hAnsi="Times New Roman" w:eastAsia="仿宋_GB2312" w:cs="Times New Roman"/>
          <w:color w:val="auto"/>
          <w:sz w:val="21"/>
          <w:szCs w:val="21"/>
          <w:highlight w:val="none"/>
        </w:rPr>
      </w:pPr>
    </w:p>
    <w:p>
      <w:pPr>
        <w:autoSpaceDE w:val="0"/>
        <w:autoSpaceDN w:val="0"/>
        <w:adjustRightInd w:val="0"/>
        <w:jc w:val="center"/>
        <w:rPr>
          <w:rFonts w:hint="default" w:ascii="Times New Roman" w:hAnsi="Times New Roman" w:eastAsia="黑体" w:cs="Times New Roman"/>
          <w:color w:val="auto"/>
          <w:sz w:val="32"/>
          <w:szCs w:val="32"/>
          <w:highlight w:val="none"/>
        </w:rPr>
        <w:sectPr>
          <w:headerReference r:id="rId5" w:type="first"/>
          <w:headerReference r:id="rId3" w:type="default"/>
          <w:footerReference r:id="rId6" w:type="default"/>
          <w:headerReference r:id="rId4" w:type="even"/>
          <w:footerReference r:id="rId7" w:type="even"/>
          <w:pgSz w:w="11906" w:h="16838"/>
          <w:pgMar w:top="2098" w:right="1531" w:bottom="1701" w:left="1531" w:header="1191" w:footer="1361" w:gutter="0"/>
          <w:pgBorders>
            <w:top w:val="none" w:sz="0" w:space="0"/>
            <w:left w:val="none" w:sz="0" w:space="0"/>
            <w:bottom w:val="none" w:sz="0" w:space="0"/>
            <w:right w:val="none" w:sz="0" w:space="0"/>
          </w:pgBorders>
          <w:cols w:space="0" w:num="1"/>
          <w:rtlGutter w:val="1"/>
          <w:docGrid w:type="linesAndChars" w:linePitch="289" w:charSpace="4653"/>
        </w:sectPr>
      </w:pPr>
    </w:p>
    <w:tbl>
      <w:tblPr>
        <w:tblStyle w:val="25"/>
        <w:tblW w:w="14717" w:type="dxa"/>
        <w:tblInd w:w="-2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212"/>
        <w:gridCol w:w="510"/>
        <w:gridCol w:w="1815"/>
        <w:gridCol w:w="1815"/>
        <w:gridCol w:w="3240"/>
        <w:gridCol w:w="555"/>
        <w:gridCol w:w="1815"/>
        <w:gridCol w:w="17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57" w:hRule="atLeast"/>
        </w:trPr>
        <w:tc>
          <w:tcPr>
            <w:tcW w:w="14717" w:type="dxa"/>
            <w:gridSpan w:val="8"/>
            <w:tcBorders>
              <w:top w:val="nil"/>
              <w:left w:val="nil"/>
              <w:bottom w:val="nil"/>
              <w:right w:val="nil"/>
            </w:tcBorders>
            <w:tcMar>
              <w:top w:w="15" w:type="dxa"/>
              <w:left w:w="15" w:type="dxa"/>
              <w:right w:w="15" w:type="dxa"/>
            </w:tcMar>
            <w:vAlign w:val="center"/>
          </w:tcPr>
          <w:p>
            <w:pPr>
              <w:widowControl/>
              <w:spacing w:line="400" w:lineRule="exact"/>
              <w:ind w:firstLine="560" w:firstLineChars="200"/>
              <w:jc w:val="left"/>
              <w:textAlignment w:val="center"/>
              <w:rPr>
                <w:rFonts w:hint="default" w:ascii="Times New Roman" w:hAnsi="Times New Roman" w:eastAsia="仿宋_GB2312" w:cs="Times New Roman"/>
                <w:color w:val="auto"/>
                <w:kern w:val="0"/>
                <w:szCs w:val="21"/>
                <w:highlight w:val="none"/>
              </w:rPr>
            </w:pPr>
            <w:r>
              <w:rPr>
                <w:rStyle w:val="106"/>
                <w:rFonts w:hint="default" w:ascii="Times New Roman" w:hAnsi="Times New Roman" w:eastAsia="黑体" w:cs="Times New Roman"/>
                <w:color w:val="auto"/>
                <w:spacing w:val="0"/>
                <w:sz w:val="28"/>
                <w:szCs w:val="28"/>
                <w:highlight w:val="none"/>
                <w:shd w:val="clear" w:color="auto" w:fill="FFFFFF"/>
                <w:lang w:val="en-US"/>
              </w:rPr>
              <w:t xml:space="preserve">四、现金流量表 </w:t>
            </w:r>
            <w:r>
              <w:rPr>
                <w:rStyle w:val="106"/>
                <w:rFonts w:hint="default" w:ascii="Times New Roman" w:hAnsi="Times New Roman" w:eastAsia="仿宋_GB2312" w:cs="Times New Roman"/>
                <w:b/>
                <w:color w:val="auto"/>
                <w:spacing w:val="0"/>
                <w:sz w:val="28"/>
                <w:szCs w:val="28"/>
                <w:highlight w:val="none"/>
                <w:shd w:val="clear" w:color="auto" w:fill="FFFFFF"/>
                <w:lang w:val="en-US"/>
              </w:rPr>
              <w:t xml:space="preserve">                                                                          </w:t>
            </w:r>
            <w:r>
              <w:rPr>
                <w:rFonts w:hint="default" w:ascii="Times New Roman" w:hAnsi="Times New Roman" w:eastAsia="仿宋_GB2312" w:cs="Times New Roman"/>
                <w:color w:val="auto"/>
                <w:kern w:val="0"/>
                <w:szCs w:val="21"/>
                <w:highlight w:val="none"/>
              </w:rPr>
              <w:t xml:space="preserve"> </w:t>
            </w:r>
          </w:p>
          <w:p>
            <w:pPr>
              <w:widowControl/>
              <w:spacing w:line="400" w:lineRule="exact"/>
              <w:ind w:firstLine="11865" w:firstLineChars="5650"/>
              <w:jc w:val="left"/>
              <w:textAlignment w:val="center"/>
              <w:rPr>
                <w:rFonts w:hint="default" w:ascii="Times New Roman" w:hAnsi="Times New Roman" w:cs="Times New Roman"/>
                <w:color w:val="auto"/>
                <w:sz w:val="22"/>
                <w:highlight w:val="none"/>
              </w:rPr>
            </w:pPr>
            <w:r>
              <w:rPr>
                <w:rFonts w:hint="default" w:ascii="Times New Roman" w:hAnsi="Times New Roman" w:eastAsia="仿宋_GB2312" w:cs="Times New Roman"/>
                <w:color w:val="auto"/>
                <w:kern w:val="0"/>
                <w:szCs w:val="21"/>
                <w:highlight w:val="none"/>
              </w:rPr>
              <w:t xml:space="preserve">货币单位：人民币元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56" w:hRule="atLeast"/>
        </w:trPr>
        <w:tc>
          <w:tcPr>
            <w:tcW w:w="321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黑体" w:cs="Times New Roman"/>
                <w:b/>
                <w:bCs/>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项目</w:t>
            </w: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黑体" w:cs="Times New Roman"/>
                <w:b/>
                <w:bCs/>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行次</w:t>
            </w:r>
          </w:p>
        </w:tc>
        <w:tc>
          <w:tcPr>
            <w:tcW w:w="18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黑体" w:cs="Times New Roman"/>
                <w:b/>
                <w:bCs/>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本期数</w:t>
            </w:r>
          </w:p>
        </w:tc>
        <w:tc>
          <w:tcPr>
            <w:tcW w:w="18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黑体" w:cs="Times New Roman"/>
                <w:b/>
                <w:bCs/>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上期数</w:t>
            </w:r>
          </w:p>
        </w:tc>
        <w:tc>
          <w:tcPr>
            <w:tcW w:w="32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项目</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黑体" w:cs="Times New Roman"/>
                <w:b/>
                <w:bCs/>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行次</w:t>
            </w:r>
          </w:p>
        </w:tc>
        <w:tc>
          <w:tcPr>
            <w:tcW w:w="18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黑体" w:cs="Times New Roman"/>
                <w:b/>
                <w:bCs/>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本期数</w:t>
            </w:r>
          </w:p>
        </w:tc>
        <w:tc>
          <w:tcPr>
            <w:tcW w:w="17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黑体" w:cs="Times New Roman"/>
                <w:b/>
                <w:bCs/>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上期数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321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一、经营活动产生的现金流量：</w:t>
            </w:r>
          </w:p>
        </w:tc>
        <w:tc>
          <w:tcPr>
            <w:tcW w:w="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Times New Roman" w:hAnsi="Times New Roman" w:eastAsia="仿宋_GB2312" w:cs="Times New Roman"/>
                <w:color w:val="auto"/>
                <w:sz w:val="21"/>
                <w:szCs w:val="21"/>
                <w:highlight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Times New Roman" w:hAnsi="Times New Roman" w:eastAsia="仿宋_GB2312" w:cs="Times New Roman"/>
                <w:color w:val="auto"/>
                <w:sz w:val="21"/>
                <w:szCs w:val="21"/>
                <w:highlight w:val="none"/>
              </w:rPr>
            </w:pPr>
          </w:p>
        </w:tc>
        <w:tc>
          <w:tcPr>
            <w:tcW w:w="3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购建固定资产、无形资产和其他长期资产支付的现金</w:t>
            </w:r>
          </w:p>
        </w:tc>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22</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2,644,165.50 </w:t>
            </w:r>
          </w:p>
        </w:tc>
        <w:tc>
          <w:tcPr>
            <w:tcW w:w="17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1,697,573.99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321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客户存款和同业存放款项净增加额</w:t>
            </w:r>
          </w:p>
        </w:tc>
        <w:tc>
          <w:tcPr>
            <w:tcW w:w="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1,471,985,189.29 </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2,392,480,137.73 </w:t>
            </w:r>
          </w:p>
        </w:tc>
        <w:tc>
          <w:tcPr>
            <w:tcW w:w="3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支付其他与投资活动有关的现金</w:t>
            </w:r>
          </w:p>
        </w:tc>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23</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   </w:t>
            </w:r>
          </w:p>
        </w:tc>
        <w:tc>
          <w:tcPr>
            <w:tcW w:w="17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321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向中央银行借款净增加额</w:t>
            </w:r>
          </w:p>
        </w:tc>
        <w:tc>
          <w:tcPr>
            <w:tcW w:w="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33,000,000.00 </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560,000,000.00 </w:t>
            </w:r>
          </w:p>
        </w:tc>
        <w:tc>
          <w:tcPr>
            <w:tcW w:w="3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投资活动现金流出小计</w:t>
            </w:r>
          </w:p>
        </w:tc>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24</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94,518,038,839.17 </w:t>
            </w:r>
          </w:p>
        </w:tc>
        <w:tc>
          <w:tcPr>
            <w:tcW w:w="17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65,481,995,123.74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321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向其他金融机构拆入资金净增加额</w:t>
            </w:r>
          </w:p>
        </w:tc>
        <w:tc>
          <w:tcPr>
            <w:tcW w:w="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4</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100,000,000.00 </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99,000,000.00 </w:t>
            </w:r>
          </w:p>
        </w:tc>
        <w:tc>
          <w:tcPr>
            <w:tcW w:w="3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投资活动产生的现金流量净额</w:t>
            </w:r>
          </w:p>
        </w:tc>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color w:val="auto"/>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25</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b/>
                <w:bCs/>
                <w:color w:val="auto"/>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 xml:space="preserve"> 530,936,501.97 </w:t>
            </w:r>
          </w:p>
        </w:tc>
        <w:tc>
          <w:tcPr>
            <w:tcW w:w="17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b/>
                <w:color w:val="auto"/>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 xml:space="preserve"> -2,017,634,971.17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321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收取利息、手续费及佣金的现金</w:t>
            </w:r>
          </w:p>
        </w:tc>
        <w:tc>
          <w:tcPr>
            <w:tcW w:w="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5</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358,259,705.13 </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385,717,143.97 </w:t>
            </w:r>
          </w:p>
        </w:tc>
        <w:tc>
          <w:tcPr>
            <w:tcW w:w="3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三、筹资活动产生的现金流量：</w:t>
            </w:r>
          </w:p>
        </w:tc>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26</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Times New Roman" w:hAnsi="Times New Roman" w:cs="Times New Roman"/>
                <w:color w:val="auto"/>
                <w:sz w:val="21"/>
                <w:szCs w:val="21"/>
                <w:highlight w:val="none"/>
              </w:rPr>
            </w:pPr>
          </w:p>
        </w:tc>
        <w:tc>
          <w:tcPr>
            <w:tcW w:w="17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Times New Roman" w:hAnsi="Times New Roman" w:eastAsia="仿宋_GB2312" w:cs="Times New Roman"/>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55" w:hRule="exact"/>
        </w:trPr>
        <w:tc>
          <w:tcPr>
            <w:tcW w:w="321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收到其他与经营活动有关的现金</w:t>
            </w:r>
          </w:p>
        </w:tc>
        <w:tc>
          <w:tcPr>
            <w:tcW w:w="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6</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12,150,952.74 </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-783,423.74 </w:t>
            </w:r>
          </w:p>
        </w:tc>
        <w:tc>
          <w:tcPr>
            <w:tcW w:w="3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吸收投资收到的现金</w:t>
            </w:r>
          </w:p>
        </w:tc>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27</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20,741,765.00 </w:t>
            </w:r>
          </w:p>
        </w:tc>
        <w:tc>
          <w:tcPr>
            <w:tcW w:w="17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19,943,865.00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321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经营活动现金流入小计</w:t>
            </w:r>
          </w:p>
        </w:tc>
        <w:tc>
          <w:tcPr>
            <w:tcW w:w="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7</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1,975,395,847.16 </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3,436,413,857.96 </w:t>
            </w:r>
          </w:p>
        </w:tc>
        <w:tc>
          <w:tcPr>
            <w:tcW w:w="3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其中：子公司吸收少数股东投资收到的现金</w:t>
            </w:r>
          </w:p>
        </w:tc>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28</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   </w:t>
            </w:r>
          </w:p>
        </w:tc>
        <w:tc>
          <w:tcPr>
            <w:tcW w:w="17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321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客户贷款及垫款净增加额</w:t>
            </w:r>
          </w:p>
        </w:tc>
        <w:tc>
          <w:tcPr>
            <w:tcW w:w="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8</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1,192,724,324.00 </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811,949,336.77 </w:t>
            </w:r>
          </w:p>
        </w:tc>
        <w:tc>
          <w:tcPr>
            <w:tcW w:w="3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发行债券收到的现金</w:t>
            </w:r>
          </w:p>
        </w:tc>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29</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   </w:t>
            </w:r>
          </w:p>
        </w:tc>
        <w:tc>
          <w:tcPr>
            <w:tcW w:w="17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321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存放中央银行和同业款项净增加额</w:t>
            </w:r>
          </w:p>
        </w:tc>
        <w:tc>
          <w:tcPr>
            <w:tcW w:w="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9</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372,759,386.58 </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123,712,355.82 </w:t>
            </w:r>
          </w:p>
        </w:tc>
        <w:tc>
          <w:tcPr>
            <w:tcW w:w="3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收到其他与筹资活动有关的现金</w:t>
            </w:r>
          </w:p>
        </w:tc>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30</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   </w:t>
            </w:r>
          </w:p>
        </w:tc>
        <w:tc>
          <w:tcPr>
            <w:tcW w:w="17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321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支付利息、手续费及佣金的现金</w:t>
            </w:r>
          </w:p>
        </w:tc>
        <w:tc>
          <w:tcPr>
            <w:tcW w:w="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10</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317,302,206.72 </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281,168,328.18 </w:t>
            </w:r>
          </w:p>
        </w:tc>
        <w:tc>
          <w:tcPr>
            <w:tcW w:w="3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筹资活动现金流入小计</w:t>
            </w:r>
          </w:p>
        </w:tc>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31</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20,741,765.00 </w:t>
            </w:r>
          </w:p>
        </w:tc>
        <w:tc>
          <w:tcPr>
            <w:tcW w:w="17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19,943,865.00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321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支付给职工以及为职工支付的现金</w:t>
            </w:r>
          </w:p>
        </w:tc>
        <w:tc>
          <w:tcPr>
            <w:tcW w:w="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11</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70,840,724.52 </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76,784,052.32 </w:t>
            </w:r>
          </w:p>
        </w:tc>
        <w:tc>
          <w:tcPr>
            <w:tcW w:w="3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偿还债务支付的现金</w:t>
            </w:r>
          </w:p>
        </w:tc>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32</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   </w:t>
            </w:r>
          </w:p>
        </w:tc>
        <w:tc>
          <w:tcPr>
            <w:tcW w:w="17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321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支付的各项税费</w:t>
            </w:r>
          </w:p>
        </w:tc>
        <w:tc>
          <w:tcPr>
            <w:tcW w:w="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12</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52,727,958.16 </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47,225,499.89 </w:t>
            </w:r>
          </w:p>
        </w:tc>
        <w:tc>
          <w:tcPr>
            <w:tcW w:w="3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分配股利、利润或偿付利息支付的现金</w:t>
            </w:r>
          </w:p>
        </w:tc>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33</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36,299,009.11 </w:t>
            </w:r>
          </w:p>
        </w:tc>
        <w:tc>
          <w:tcPr>
            <w:tcW w:w="17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79,894,423.72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321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支付其他与经营活动有关的现金</w:t>
            </w:r>
          </w:p>
        </w:tc>
        <w:tc>
          <w:tcPr>
            <w:tcW w:w="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13</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28,566,529.81 </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30,400,696.73 </w:t>
            </w:r>
          </w:p>
        </w:tc>
        <w:tc>
          <w:tcPr>
            <w:tcW w:w="3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其中：子公司支付给少数股东的股利、利润</w:t>
            </w:r>
          </w:p>
        </w:tc>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34</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   </w:t>
            </w:r>
          </w:p>
        </w:tc>
        <w:tc>
          <w:tcPr>
            <w:tcW w:w="17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321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经营活动现金流出小计</w:t>
            </w:r>
          </w:p>
        </w:tc>
        <w:tc>
          <w:tcPr>
            <w:tcW w:w="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14</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2,034,921,129.79 </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1,371,240,269.71 </w:t>
            </w:r>
          </w:p>
        </w:tc>
        <w:tc>
          <w:tcPr>
            <w:tcW w:w="3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支付其他与筹资活动有关的现金</w:t>
            </w:r>
          </w:p>
        </w:tc>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35</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   </w:t>
            </w:r>
          </w:p>
        </w:tc>
        <w:tc>
          <w:tcPr>
            <w:tcW w:w="17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321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color w:val="auto"/>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 xml:space="preserve">    经营活动产生的现金流量净额</w:t>
            </w:r>
          </w:p>
        </w:tc>
        <w:tc>
          <w:tcPr>
            <w:tcW w:w="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color w:val="auto"/>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15</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b/>
                <w:bCs/>
                <w:color w:val="auto"/>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 xml:space="preserve"> -59,525,282.63 </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b/>
                <w:color w:val="auto"/>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 xml:space="preserve"> 2,065,173,588.25 </w:t>
            </w:r>
          </w:p>
        </w:tc>
        <w:tc>
          <w:tcPr>
            <w:tcW w:w="3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筹资活动现金流出小计</w:t>
            </w:r>
          </w:p>
        </w:tc>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36</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36,299,009.11 </w:t>
            </w:r>
          </w:p>
        </w:tc>
        <w:tc>
          <w:tcPr>
            <w:tcW w:w="17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79,894,423.72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321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二、投资活动产生的现金流量：</w:t>
            </w:r>
          </w:p>
        </w:tc>
        <w:tc>
          <w:tcPr>
            <w:tcW w:w="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16</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Times New Roman" w:hAnsi="Times New Roman" w:cs="Times New Roman"/>
                <w:color w:val="auto"/>
                <w:sz w:val="21"/>
                <w:szCs w:val="21"/>
                <w:highlight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Times New Roman" w:hAnsi="Times New Roman" w:eastAsia="仿宋_GB2312" w:cs="Times New Roman"/>
                <w:color w:val="auto"/>
                <w:sz w:val="21"/>
                <w:szCs w:val="21"/>
                <w:highlight w:val="none"/>
              </w:rPr>
            </w:pPr>
          </w:p>
        </w:tc>
        <w:tc>
          <w:tcPr>
            <w:tcW w:w="3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筹资活动产生的现金流量净额</w:t>
            </w:r>
          </w:p>
        </w:tc>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color w:val="auto"/>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37</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b/>
                <w:bCs/>
                <w:color w:val="auto"/>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 xml:space="preserve"> -15,557,244.11 </w:t>
            </w:r>
          </w:p>
        </w:tc>
        <w:tc>
          <w:tcPr>
            <w:tcW w:w="17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b/>
                <w:color w:val="auto"/>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 xml:space="preserve"> -59,950,558.72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321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收回投资收到的现金</w:t>
            </w:r>
          </w:p>
        </w:tc>
        <w:tc>
          <w:tcPr>
            <w:tcW w:w="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17</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94,887,879,261.49 </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63,250,093,730.18 </w:t>
            </w:r>
          </w:p>
        </w:tc>
        <w:tc>
          <w:tcPr>
            <w:tcW w:w="3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right"/>
              <w:rPr>
                <w:rFonts w:hint="default" w:ascii="Times New Roman" w:hAnsi="Times New Roman" w:eastAsia="宋体" w:cs="Times New Roman"/>
                <w:color w:val="auto"/>
                <w:sz w:val="21"/>
                <w:szCs w:val="21"/>
                <w:highlight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38</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right"/>
              <w:rPr>
                <w:rFonts w:hint="default" w:ascii="Times New Roman" w:hAnsi="Times New Roman" w:cs="Times New Roman"/>
                <w:color w:val="auto"/>
                <w:sz w:val="21"/>
                <w:szCs w:val="21"/>
                <w:highlight w:val="none"/>
              </w:rPr>
            </w:pPr>
          </w:p>
        </w:tc>
        <w:tc>
          <w:tcPr>
            <w:tcW w:w="17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right"/>
              <w:rPr>
                <w:rFonts w:hint="default" w:ascii="Times New Roman" w:hAnsi="Times New Roman" w:eastAsia="仿宋_GB2312" w:cs="Times New Roman"/>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321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取得投资收益收到的现金</w:t>
            </w:r>
          </w:p>
        </w:tc>
        <w:tc>
          <w:tcPr>
            <w:tcW w:w="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18</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161,096,079.65 </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214,266,422.39 </w:t>
            </w:r>
          </w:p>
        </w:tc>
        <w:tc>
          <w:tcPr>
            <w:tcW w:w="3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四、汇率变动对现金及现金等价物的影响</w:t>
            </w:r>
          </w:p>
        </w:tc>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39</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right"/>
              <w:rPr>
                <w:rFonts w:hint="default" w:ascii="Times New Roman" w:hAnsi="Times New Roman" w:cs="Times New Roman"/>
                <w:color w:val="auto"/>
                <w:sz w:val="21"/>
                <w:szCs w:val="21"/>
                <w:highlight w:val="none"/>
              </w:rPr>
            </w:pPr>
          </w:p>
        </w:tc>
        <w:tc>
          <w:tcPr>
            <w:tcW w:w="17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right"/>
              <w:rPr>
                <w:rFonts w:hint="default" w:ascii="Times New Roman" w:hAnsi="Times New Roman" w:eastAsia="仿宋_GB2312" w:cs="Times New Roman"/>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321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收到其他与投资活动有关的现金</w:t>
            </w:r>
          </w:p>
        </w:tc>
        <w:tc>
          <w:tcPr>
            <w:tcW w:w="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19</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default" w:ascii="Times New Roman" w:hAnsi="Times New Roman" w:cs="Times New Roman"/>
                <w:color w:val="auto"/>
                <w:sz w:val="21"/>
                <w:szCs w:val="21"/>
                <w:highlight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right"/>
              <w:rPr>
                <w:rFonts w:hint="default" w:ascii="Times New Roman" w:hAnsi="Times New Roman" w:eastAsia="仿宋_GB2312" w:cs="Times New Roman"/>
                <w:color w:val="auto"/>
                <w:sz w:val="21"/>
                <w:szCs w:val="21"/>
                <w:highlight w:val="none"/>
              </w:rPr>
            </w:pPr>
          </w:p>
        </w:tc>
        <w:tc>
          <w:tcPr>
            <w:tcW w:w="3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五、现金及现金等价物净增加额</w:t>
            </w:r>
          </w:p>
        </w:tc>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40</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455,853,975.23 </w:t>
            </w:r>
          </w:p>
        </w:tc>
        <w:tc>
          <w:tcPr>
            <w:tcW w:w="17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-12,411,941.64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321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投资活动现金流入小计</w:t>
            </w:r>
          </w:p>
        </w:tc>
        <w:tc>
          <w:tcPr>
            <w:tcW w:w="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20</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95,048,975,341.14 </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63,464,360,152.57 </w:t>
            </w:r>
          </w:p>
        </w:tc>
        <w:tc>
          <w:tcPr>
            <w:tcW w:w="3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加：期初现金及现金等价物余额</w:t>
            </w:r>
          </w:p>
        </w:tc>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41</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579,995,284.09 </w:t>
            </w:r>
          </w:p>
        </w:tc>
        <w:tc>
          <w:tcPr>
            <w:tcW w:w="17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870,210,090.76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321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投资支付的现金</w:t>
            </w:r>
          </w:p>
        </w:tc>
        <w:tc>
          <w:tcPr>
            <w:tcW w:w="51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21</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94,515,394,673.67 </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rPr>
              <w:t xml:space="preserve"> 65,480,297,549.75 </w:t>
            </w:r>
          </w:p>
        </w:tc>
        <w:tc>
          <w:tcPr>
            <w:tcW w:w="32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六、期末现金及现金等价物余额</w:t>
            </w:r>
          </w:p>
        </w:tc>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color w:val="auto"/>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42</w:t>
            </w:r>
          </w:p>
        </w:tc>
        <w:tc>
          <w:tcPr>
            <w:tcW w:w="18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cs="Times New Roman"/>
                <w:b/>
                <w:bCs/>
                <w:color w:val="auto"/>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 xml:space="preserve"> 1,035,849,259.32 </w:t>
            </w:r>
          </w:p>
        </w:tc>
        <w:tc>
          <w:tcPr>
            <w:tcW w:w="17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仿宋_GB2312" w:cs="Times New Roman"/>
                <w:b/>
                <w:color w:val="auto"/>
                <w:sz w:val="21"/>
                <w:szCs w:val="21"/>
                <w:highlight w:val="none"/>
              </w:rPr>
            </w:pPr>
            <w:r>
              <w:rPr>
                <w:rFonts w:hint="default" w:ascii="Times New Roman" w:hAnsi="Times New Roman" w:eastAsia="宋体" w:cs="Times New Roman"/>
                <w:b/>
                <w:i w:val="0"/>
                <w:color w:val="auto"/>
                <w:kern w:val="0"/>
                <w:sz w:val="21"/>
                <w:szCs w:val="21"/>
                <w:highlight w:val="none"/>
                <w:u w:val="none"/>
                <w:lang w:val="en-US" w:eastAsia="zh-CN"/>
              </w:rPr>
              <w:t xml:space="preserve"> 857,798,149.12 </w:t>
            </w:r>
          </w:p>
        </w:tc>
      </w:tr>
    </w:tbl>
    <w:p>
      <w:pPr>
        <w:rPr>
          <w:rFonts w:hint="default" w:ascii="Times New Roman" w:hAnsi="Times New Roman" w:cs="Times New Roman"/>
          <w:color w:val="auto"/>
          <w:highlight w:val="none"/>
        </w:rPr>
        <w:sectPr>
          <w:pgSz w:w="16838" w:h="11906" w:orient="landscape"/>
          <w:pgMar w:top="2098" w:right="1531" w:bottom="1701" w:left="1531" w:header="907" w:footer="454" w:gutter="0"/>
          <w:pgBorders>
            <w:top w:val="none" w:sz="0" w:space="0"/>
            <w:left w:val="none" w:sz="0" w:space="0"/>
            <w:bottom w:val="none" w:sz="0" w:space="0"/>
            <w:right w:val="none" w:sz="0" w:space="0"/>
          </w:pgBorders>
          <w:cols w:space="720" w:num="1"/>
          <w:docGrid w:type="lines" w:linePitch="312" w:charSpace="0"/>
        </w:sectPr>
      </w:pPr>
    </w:p>
    <w:p>
      <w:pPr>
        <w:pStyle w:val="21"/>
        <w:jc w:val="both"/>
        <w:rPr>
          <w:rFonts w:hint="default" w:ascii="Times New Roman" w:hAnsi="Times New Roman" w:eastAsia="黑体" w:cs="Times New Roman"/>
          <w:color w:val="auto"/>
          <w:sz w:val="32"/>
          <w:szCs w:val="32"/>
          <w:highlight w:val="none"/>
        </w:rPr>
      </w:pPr>
    </w:p>
    <w:p>
      <w:pPr>
        <w:keepNext w:val="0"/>
        <w:keepLines w:val="0"/>
        <w:pageBreakBefore w:val="0"/>
        <w:widowControl w:val="0"/>
        <w:kinsoku/>
        <w:wordWrap/>
        <w:overflowPunct/>
        <w:topLinePunct w:val="0"/>
        <w:autoSpaceDE w:val="0"/>
        <w:autoSpaceDN w:val="0"/>
        <w:bidi w:val="0"/>
        <w:adjustRightInd w:val="0"/>
        <w:spacing w:line="480" w:lineRule="exact"/>
        <w:jc w:val="center"/>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第九节  财务报表附注</w:t>
      </w:r>
    </w:p>
    <w:p>
      <w:pPr>
        <w:adjustRightInd w:val="0"/>
        <w:snapToGrid w:val="0"/>
        <w:spacing w:line="360" w:lineRule="auto"/>
        <w:ind w:right="-311" w:rightChars="-148" w:firstLine="1800" w:firstLineChars="750"/>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（除特别注明外，货币单位以人民币万元列示）</w:t>
      </w:r>
    </w:p>
    <w:p>
      <w:pPr>
        <w:adjustRightInd w:val="0"/>
        <w:snapToGrid w:val="0"/>
        <w:spacing w:line="480" w:lineRule="exact"/>
        <w:ind w:right="-311" w:rightChars="-148" w:firstLine="548" w:firstLineChars="196"/>
        <w:outlineLvl w:val="0"/>
        <w:rPr>
          <w:rFonts w:hint="default" w:ascii="Times New Roman" w:hAnsi="Times New Roman" w:eastAsia="黑体" w:cs="Times New Roman"/>
          <w:b w:val="0"/>
          <w:bCs w:val="0"/>
          <w:color w:val="auto"/>
          <w:sz w:val="28"/>
          <w:szCs w:val="28"/>
          <w:highlight w:val="none"/>
        </w:rPr>
      </w:pPr>
      <w:r>
        <w:rPr>
          <w:rFonts w:hint="default" w:ascii="Times New Roman" w:hAnsi="Times New Roman" w:eastAsia="黑体" w:cs="Times New Roman"/>
          <w:b w:val="0"/>
          <w:bCs w:val="0"/>
          <w:color w:val="auto"/>
          <w:sz w:val="28"/>
          <w:szCs w:val="28"/>
          <w:highlight w:val="none"/>
        </w:rPr>
        <w:t>一、单位基本情况</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江苏高淳农村商业银行股份有限公司(以下简称“本行”)系2011年12月14日经中国银行业监督管理委员会江苏监管局苏银监复〔2011〕710号批准设立，领取金融许可证，证书号：B1261H232010001。2011年12月15日经南京市工商行政管理局登记注册，领取企业法人营业执照，</w:t>
      </w:r>
      <w:r>
        <w:rPr>
          <w:rFonts w:hint="default" w:ascii="Times New Roman" w:hAnsi="Times New Roman" w:eastAsia="仿宋_GB2312" w:cs="Times New Roman"/>
          <w:color w:val="auto"/>
          <w:sz w:val="28"/>
          <w:szCs w:val="28"/>
          <w:highlight w:val="none"/>
          <w:lang w:eastAsia="zh-CN"/>
        </w:rPr>
        <w:t>统一社会信用代码</w:t>
      </w:r>
      <w:r>
        <w:rPr>
          <w:rFonts w:hint="default" w:ascii="Times New Roman" w:hAnsi="Times New Roman" w:eastAsia="仿宋_GB2312" w:cs="Times New Roman"/>
          <w:color w:val="auto"/>
          <w:sz w:val="28"/>
          <w:szCs w:val="28"/>
          <w:highlight w:val="none"/>
        </w:rPr>
        <w:t>：91320100585085846K，法定代表人：</w:t>
      </w:r>
      <w:r>
        <w:rPr>
          <w:rFonts w:hint="default" w:ascii="Times New Roman" w:hAnsi="Times New Roman" w:eastAsia="仿宋_GB2312" w:cs="Times New Roman"/>
          <w:color w:val="auto"/>
          <w:sz w:val="28"/>
          <w:szCs w:val="28"/>
          <w:highlight w:val="none"/>
          <w:lang w:eastAsia="zh-CN"/>
        </w:rPr>
        <w:t>端淳华</w:t>
      </w:r>
      <w:r>
        <w:rPr>
          <w:rFonts w:hint="default" w:ascii="Times New Roman" w:hAnsi="Times New Roman" w:eastAsia="仿宋_GB2312" w:cs="Times New Roman"/>
          <w:color w:val="auto"/>
          <w:sz w:val="28"/>
          <w:szCs w:val="28"/>
          <w:highlight w:val="none"/>
        </w:rPr>
        <w:t>，注册资本40,000万元，并于2011年12月18日正式成立开业。2017年度股金分红时实行现金与转增股相结合，转增股后本行注册资本为42,239.93万元。2018年股金分红时实行现金与转增股相结合，转增股后注册资本为44,605.32万元。2022年股金分红时实行现金与转增股相结合，转增股后注册资本为人民币47,459.98万元。2023年股金分红时实行现金与转增股相结合，转增股后注册资本为人民币48,409.12万元。2024年股金分红时实行现金与转增股相结合，转增股后注册资本为人民币49,861.34万元</w:t>
      </w:r>
      <w:r>
        <w:rPr>
          <w:rFonts w:hint="default" w:ascii="Times New Roman" w:hAnsi="Times New Roman" w:eastAsia="仿宋_GB2312" w:cs="Times New Roman"/>
          <w:color w:val="auto"/>
          <w:sz w:val="28"/>
          <w:szCs w:val="28"/>
          <w:highlight w:val="none"/>
          <w:lang w:val="en-US" w:eastAsia="zh-CN"/>
        </w:rPr>
        <w:t>。</w:t>
      </w:r>
      <w:r>
        <w:rPr>
          <w:rFonts w:hint="default" w:ascii="Times New Roman" w:hAnsi="Times New Roman" w:eastAsia="仿宋_GB2312" w:cs="Times New Roman"/>
          <w:color w:val="auto"/>
          <w:sz w:val="28"/>
          <w:szCs w:val="28"/>
          <w:highlight w:val="none"/>
        </w:rPr>
        <w:t>202</w:t>
      </w:r>
      <w:r>
        <w:rPr>
          <w:rFonts w:hint="default" w:ascii="Times New Roman" w:hAnsi="Times New Roman" w:eastAsia="仿宋_GB2312" w:cs="Times New Roman"/>
          <w:color w:val="auto"/>
          <w:sz w:val="28"/>
          <w:szCs w:val="28"/>
          <w:highlight w:val="none"/>
          <w:lang w:val="en-US" w:eastAsia="zh-CN"/>
        </w:rPr>
        <w:t>5</w:t>
      </w:r>
      <w:r>
        <w:rPr>
          <w:rFonts w:hint="default" w:ascii="Times New Roman" w:hAnsi="Times New Roman" w:eastAsia="仿宋_GB2312" w:cs="Times New Roman"/>
          <w:color w:val="auto"/>
          <w:sz w:val="28"/>
          <w:szCs w:val="28"/>
          <w:highlight w:val="none"/>
        </w:rPr>
        <w:t>年股金分红时实行现金与转增股相结合，转增股后注册资本为人民币</w:t>
      </w:r>
      <w:r>
        <w:rPr>
          <w:rFonts w:hint="default" w:ascii="Times New Roman" w:hAnsi="Times New Roman" w:eastAsia="仿宋_GB2312" w:cs="Times New Roman"/>
          <w:color w:val="auto"/>
          <w:sz w:val="28"/>
          <w:szCs w:val="28"/>
          <w:highlight w:val="none"/>
          <w:lang w:val="en-US" w:eastAsia="zh-CN"/>
        </w:rPr>
        <w:t>51</w:t>
      </w:r>
      <w:r>
        <w:rPr>
          <w:rFonts w:hint="default" w:ascii="Times New Roman" w:hAnsi="Times New Roman" w:eastAsia="仿宋_GB2312" w:cs="Times New Roman"/>
          <w:color w:val="auto"/>
          <w:sz w:val="28"/>
          <w:szCs w:val="28"/>
          <w:highlight w:val="none"/>
        </w:rPr>
        <w:t>,8</w:t>
      </w:r>
      <w:r>
        <w:rPr>
          <w:rFonts w:hint="default" w:ascii="Times New Roman" w:hAnsi="Times New Roman" w:eastAsia="仿宋_GB2312" w:cs="Times New Roman"/>
          <w:color w:val="auto"/>
          <w:sz w:val="28"/>
          <w:szCs w:val="28"/>
          <w:highlight w:val="none"/>
          <w:lang w:val="en-US" w:eastAsia="zh-CN"/>
        </w:rPr>
        <w:t>55</w:t>
      </w:r>
      <w:r>
        <w:rPr>
          <w:rFonts w:hint="default" w:ascii="Times New Roman" w:hAnsi="Times New Roman" w:eastAsia="仿宋_GB2312" w:cs="Times New Roman"/>
          <w:color w:val="auto"/>
          <w:sz w:val="28"/>
          <w:szCs w:val="28"/>
          <w:highlight w:val="none"/>
        </w:rPr>
        <w:t>.</w:t>
      </w:r>
      <w:r>
        <w:rPr>
          <w:rFonts w:hint="default" w:ascii="Times New Roman" w:hAnsi="Times New Roman" w:eastAsia="仿宋_GB2312" w:cs="Times New Roman"/>
          <w:color w:val="auto"/>
          <w:sz w:val="28"/>
          <w:szCs w:val="28"/>
          <w:highlight w:val="none"/>
          <w:lang w:val="en-US" w:eastAsia="zh-CN"/>
        </w:rPr>
        <w:t>73</w:t>
      </w:r>
      <w:r>
        <w:rPr>
          <w:rFonts w:hint="default" w:ascii="Times New Roman" w:hAnsi="Times New Roman" w:eastAsia="仿宋_GB2312" w:cs="Times New Roman"/>
          <w:color w:val="auto"/>
          <w:sz w:val="28"/>
          <w:szCs w:val="28"/>
          <w:highlight w:val="none"/>
        </w:rPr>
        <w:t>万元。202</w:t>
      </w:r>
      <w:r>
        <w:rPr>
          <w:rFonts w:hint="default" w:ascii="Times New Roman" w:hAnsi="Times New Roman" w:eastAsia="仿宋_GB2312" w:cs="Times New Roman"/>
          <w:color w:val="auto"/>
          <w:sz w:val="28"/>
          <w:szCs w:val="28"/>
          <w:highlight w:val="none"/>
          <w:lang w:val="en-US" w:eastAsia="zh-CN"/>
        </w:rPr>
        <w:t>6</w:t>
      </w:r>
      <w:r>
        <w:rPr>
          <w:rFonts w:hint="default" w:ascii="Times New Roman" w:hAnsi="Times New Roman" w:eastAsia="仿宋_GB2312" w:cs="Times New Roman"/>
          <w:color w:val="auto"/>
          <w:sz w:val="28"/>
          <w:szCs w:val="28"/>
          <w:highlight w:val="none"/>
        </w:rPr>
        <w:t>年股金分红时实行现金与转增股相结合，转增股后注册资本为人民币</w:t>
      </w:r>
      <w:r>
        <w:rPr>
          <w:rFonts w:hint="default" w:ascii="Times New Roman" w:hAnsi="Times New Roman" w:eastAsia="仿宋_GB2312" w:cs="Times New Roman"/>
          <w:color w:val="auto"/>
          <w:sz w:val="28"/>
          <w:szCs w:val="28"/>
          <w:highlight w:val="none"/>
          <w:lang w:val="en-US" w:eastAsia="zh-CN"/>
        </w:rPr>
        <w:t>53929.90</w:t>
      </w:r>
      <w:r>
        <w:rPr>
          <w:rFonts w:hint="default" w:ascii="Times New Roman" w:hAnsi="Times New Roman" w:eastAsia="仿宋_GB2312" w:cs="Times New Roman"/>
          <w:color w:val="auto"/>
          <w:sz w:val="28"/>
          <w:szCs w:val="28"/>
          <w:highlight w:val="none"/>
        </w:rPr>
        <w:t>万元。</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截至202</w:t>
      </w:r>
      <w:r>
        <w:rPr>
          <w:rFonts w:hint="default" w:ascii="Times New Roman" w:hAnsi="Times New Roman" w:eastAsia="仿宋_GB2312" w:cs="Times New Roman"/>
          <w:color w:val="auto"/>
          <w:sz w:val="28"/>
          <w:szCs w:val="28"/>
          <w:highlight w:val="none"/>
          <w:lang w:val="en-US" w:eastAsia="zh-CN"/>
        </w:rPr>
        <w:t>6</w:t>
      </w:r>
      <w:r>
        <w:rPr>
          <w:rFonts w:hint="default" w:ascii="Times New Roman" w:hAnsi="Times New Roman" w:eastAsia="仿宋_GB2312" w:cs="Times New Roman"/>
          <w:color w:val="auto"/>
          <w:sz w:val="28"/>
          <w:szCs w:val="28"/>
          <w:highlight w:val="none"/>
        </w:rPr>
        <w:t>年</w:t>
      </w:r>
      <w:r>
        <w:rPr>
          <w:rFonts w:hint="default" w:ascii="Times New Roman" w:hAnsi="Times New Roman" w:eastAsia="仿宋_GB2312" w:cs="Times New Roman"/>
          <w:color w:val="auto"/>
          <w:sz w:val="28"/>
          <w:szCs w:val="28"/>
          <w:highlight w:val="none"/>
          <w:lang w:val="en-US" w:eastAsia="zh-CN"/>
        </w:rPr>
        <w:t>6</w:t>
      </w:r>
      <w:r>
        <w:rPr>
          <w:rFonts w:hint="default" w:ascii="Times New Roman" w:hAnsi="Times New Roman" w:eastAsia="仿宋_GB2312" w:cs="Times New Roman"/>
          <w:color w:val="auto"/>
          <w:sz w:val="28"/>
          <w:szCs w:val="28"/>
          <w:highlight w:val="none"/>
        </w:rPr>
        <w:t>月末，本行拥有员工3</w:t>
      </w:r>
      <w:r>
        <w:rPr>
          <w:rFonts w:hint="default" w:ascii="Times New Roman" w:hAnsi="Times New Roman" w:eastAsia="仿宋_GB2312" w:cs="Times New Roman"/>
          <w:color w:val="auto"/>
          <w:sz w:val="28"/>
          <w:szCs w:val="28"/>
          <w:highlight w:val="none"/>
          <w:lang w:val="en-US" w:eastAsia="zh-CN"/>
        </w:rPr>
        <w:t>70</w:t>
      </w:r>
      <w:r>
        <w:rPr>
          <w:rFonts w:hint="default" w:ascii="Times New Roman" w:hAnsi="Times New Roman" w:eastAsia="仿宋_GB2312" w:cs="Times New Roman"/>
          <w:color w:val="auto"/>
          <w:sz w:val="28"/>
          <w:szCs w:val="28"/>
          <w:highlight w:val="none"/>
        </w:rPr>
        <w:t>名，下设分支机构2</w:t>
      </w:r>
      <w:r>
        <w:rPr>
          <w:rFonts w:hint="default" w:ascii="Times New Roman" w:hAnsi="Times New Roman" w:eastAsia="仿宋_GB2312" w:cs="Times New Roman"/>
          <w:color w:val="auto"/>
          <w:sz w:val="28"/>
          <w:szCs w:val="28"/>
          <w:highlight w:val="none"/>
          <w:lang w:val="en-US" w:eastAsia="zh-CN"/>
        </w:rPr>
        <w:t>6</w:t>
      </w:r>
      <w:r>
        <w:rPr>
          <w:rFonts w:hint="default" w:ascii="Times New Roman" w:hAnsi="Times New Roman" w:eastAsia="仿宋_GB2312" w:cs="Times New Roman"/>
          <w:color w:val="auto"/>
          <w:sz w:val="28"/>
          <w:szCs w:val="28"/>
          <w:highlight w:val="none"/>
        </w:rPr>
        <w:t>家，其中：营业部1个，支行23个，分理处</w:t>
      </w:r>
      <w:r>
        <w:rPr>
          <w:rFonts w:hint="default" w:ascii="Times New Roman" w:hAnsi="Times New Roman" w:eastAsia="仿宋_GB2312" w:cs="Times New Roman"/>
          <w:color w:val="auto"/>
          <w:sz w:val="28"/>
          <w:szCs w:val="28"/>
          <w:highlight w:val="none"/>
          <w:lang w:val="en-US" w:eastAsia="zh-CN"/>
        </w:rPr>
        <w:t>2</w:t>
      </w:r>
      <w:r>
        <w:rPr>
          <w:rFonts w:hint="default" w:ascii="Times New Roman" w:hAnsi="Times New Roman" w:eastAsia="仿宋_GB2312" w:cs="Times New Roman"/>
          <w:color w:val="auto"/>
          <w:sz w:val="28"/>
          <w:szCs w:val="28"/>
          <w:highlight w:val="none"/>
        </w:rPr>
        <w:t>个。本行实行一级法人、统一核算、分级管理、授权经营的管理体制。</w:t>
      </w:r>
    </w:p>
    <w:p>
      <w:pPr>
        <w:spacing w:line="480" w:lineRule="exact"/>
        <w:ind w:right="-27" w:rightChars="-13" w:firstLine="618" w:firstLineChars="22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经营范围包括：吸收公众存款；发放短期、中期和长期贷款；办理国内结算；办理票据承兑与贴现；代理发行、代理兑付、承销政府债券；买卖政府债券、金融债券；从事同业拆借；从事银行卡业务；代理收付款项及代理保险业务；提供保管箱服务；经中国银行业监督管理机构批准的其他业务。（依法须经批准的项目，经相关部门批准后方可开展经营活动）</w:t>
      </w:r>
    </w:p>
    <w:p>
      <w:pPr>
        <w:spacing w:line="480" w:lineRule="exact"/>
        <w:ind w:right="-27" w:rightChars="-13" w:firstLine="618" w:firstLineChars="221"/>
        <w:outlineLvl w:val="0"/>
        <w:rPr>
          <w:rFonts w:hint="default" w:ascii="Times New Roman" w:hAnsi="Times New Roman" w:eastAsia="黑体" w:cs="Times New Roman"/>
          <w:b w:val="0"/>
          <w:bCs/>
          <w:color w:val="auto"/>
          <w:sz w:val="28"/>
          <w:szCs w:val="28"/>
          <w:highlight w:val="none"/>
        </w:rPr>
      </w:pPr>
      <w:r>
        <w:rPr>
          <w:rFonts w:hint="default" w:ascii="Times New Roman" w:hAnsi="Times New Roman" w:eastAsia="黑体" w:cs="Times New Roman"/>
          <w:b w:val="0"/>
          <w:bCs/>
          <w:color w:val="auto"/>
          <w:sz w:val="28"/>
          <w:szCs w:val="28"/>
          <w:highlight w:val="none"/>
        </w:rPr>
        <w:t>二、财务报表的编制基础</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以持续经营为基础，根据实际发生的交易和事项，按照财政部颁布的《企业会计准则——基本准则》和具体会计准则、企业会计准则应用指南、企业会计准则解释及其他相关规定(以下合称“企业会计准则”)编制财务报表。</w:t>
      </w:r>
    </w:p>
    <w:p>
      <w:pPr>
        <w:spacing w:line="480" w:lineRule="exact"/>
        <w:ind w:left="559" w:leftChars="266" w:right="-27" w:rightChars="-13"/>
        <w:rPr>
          <w:rFonts w:hint="default" w:ascii="Times New Roman" w:hAnsi="Times New Roman" w:eastAsia="仿宋_GB2312" w:cs="Times New Roman"/>
          <w:b/>
          <w:color w:val="auto"/>
          <w:sz w:val="28"/>
          <w:szCs w:val="28"/>
          <w:highlight w:val="none"/>
        </w:rPr>
      </w:pPr>
      <w:r>
        <w:rPr>
          <w:rFonts w:hint="default" w:ascii="Times New Roman" w:hAnsi="Times New Roman" w:eastAsia="仿宋_GB2312" w:cs="Times New Roman"/>
          <w:color w:val="auto"/>
          <w:sz w:val="28"/>
          <w:szCs w:val="28"/>
          <w:highlight w:val="none"/>
        </w:rPr>
        <w:t>本行管理层认为，本行自本报告期末至12个月内具备持续经营能力。</w:t>
      </w:r>
      <w:r>
        <w:rPr>
          <w:rFonts w:hint="default" w:ascii="Times New Roman" w:hAnsi="Times New Roman" w:eastAsia="黑体" w:cs="Times New Roman"/>
          <w:b w:val="0"/>
          <w:bCs/>
          <w:color w:val="auto"/>
          <w:sz w:val="28"/>
          <w:szCs w:val="28"/>
          <w:highlight w:val="none"/>
        </w:rPr>
        <w:t>三、遵循企业会计准则的声明</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本财务报表符合企业会计准则的要求，真实、完整地反映了本行的财务状况和经营成果等有关信息。</w:t>
      </w:r>
    </w:p>
    <w:p>
      <w:pPr>
        <w:adjustRightInd w:val="0"/>
        <w:snapToGrid w:val="0"/>
        <w:spacing w:line="480" w:lineRule="exact"/>
        <w:ind w:right="-27" w:rightChars="-13" w:firstLine="548" w:firstLineChars="196"/>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本行董事会及全体董事、高级管理人员承诺，本行编制的财务会计报表不存在虚假记载、误导性陈述或重大遗漏，并保证财务报告中的数据真实、准确、完整。</w:t>
      </w:r>
    </w:p>
    <w:p>
      <w:pPr>
        <w:spacing w:line="480" w:lineRule="exact"/>
        <w:ind w:right="-27" w:rightChars="-13" w:firstLine="560" w:firstLineChars="200"/>
        <w:outlineLvl w:val="0"/>
        <w:rPr>
          <w:rFonts w:hint="default" w:ascii="Times New Roman" w:hAnsi="Times New Roman" w:eastAsia="黑体" w:cs="Times New Roman"/>
          <w:b w:val="0"/>
          <w:bCs/>
          <w:color w:val="auto"/>
          <w:sz w:val="28"/>
          <w:szCs w:val="28"/>
          <w:highlight w:val="none"/>
        </w:rPr>
      </w:pPr>
      <w:r>
        <w:rPr>
          <w:rFonts w:hint="default" w:ascii="Times New Roman" w:hAnsi="Times New Roman" w:eastAsia="黑体" w:cs="Times New Roman"/>
          <w:b w:val="0"/>
          <w:bCs/>
          <w:color w:val="auto"/>
          <w:sz w:val="28"/>
          <w:szCs w:val="28"/>
          <w:highlight w:val="none"/>
        </w:rPr>
        <w:t>四、主要会计政策和会计估计</w:t>
      </w:r>
    </w:p>
    <w:p>
      <w:pPr>
        <w:spacing w:line="480" w:lineRule="exact"/>
        <w:ind w:right="-27" w:rightChars="-13" w:firstLine="560" w:firstLineChars="200"/>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1．会计期间</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本行会计年度为公历1月1日起至12月31日止。</w:t>
      </w:r>
    </w:p>
    <w:p>
      <w:pPr>
        <w:spacing w:line="480" w:lineRule="exact"/>
        <w:ind w:right="-27" w:rightChars="-13" w:firstLine="560" w:firstLineChars="200"/>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2．记账本位币</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本行的记账本位币为人民币。</w:t>
      </w:r>
    </w:p>
    <w:p>
      <w:pPr>
        <w:spacing w:line="480" w:lineRule="exact"/>
        <w:ind w:right="-27" w:rightChars="-13" w:firstLine="560" w:firstLineChars="200"/>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3．记账基础和计价原则</w:t>
      </w:r>
    </w:p>
    <w:p>
      <w:pPr>
        <w:spacing w:line="500" w:lineRule="exact"/>
        <w:ind w:firstLine="560" w:firstLineChars="200"/>
        <w:contextualSpacing/>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会计核算以权责发生制为基础，除衍生金融工具、以公允价值计量且其变动计入当期损益的金融资产和金融负债及以公允价值计量且其变动计入其他综合收益的金融资产以公允价值计量外，其他项目均以历史成本为计价原则。资产如果发生减值，则按照相关规定计提相应的减值准备。</w:t>
      </w:r>
    </w:p>
    <w:p>
      <w:pPr>
        <w:spacing w:line="500" w:lineRule="exact"/>
        <w:ind w:firstLine="560" w:firstLineChars="200"/>
        <w:contextualSpacing/>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4.现金及现金等价物</w:t>
      </w:r>
    </w:p>
    <w:p>
      <w:pPr>
        <w:spacing w:line="500" w:lineRule="exact"/>
        <w:ind w:firstLine="560" w:firstLineChars="200"/>
        <w:contextualSpacing/>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本行现金流量表之现金指库存现金以及可以随时用于支付的存款。现金流量表之现金等价物指持有期限短（一般是指从购买日起三个月内到期）、流动性强、易于转换为已知金额现金、价值变动风险很小的投资。</w:t>
      </w:r>
    </w:p>
    <w:p>
      <w:pPr>
        <w:tabs>
          <w:tab w:val="left" w:pos="538"/>
        </w:tabs>
        <w:spacing w:line="500" w:lineRule="exact"/>
        <w:ind w:right="-27" w:rightChars="-13" w:firstLine="560" w:firstLineChars="200"/>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5．外币折算</w:t>
      </w:r>
    </w:p>
    <w:p>
      <w:pPr>
        <w:spacing w:line="50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外币交易在初始确认时采用交易日即期汇率折算。于资产负债表日，外币货币性项目采用该日即期汇率折算为人民币，因该日的即期汇率与初始确认时或者前一资产负债表日即期汇率不同而产生的汇兑差额，除属于与购建符合资本化条件的资产相关的外币专门借款产生的汇兑差额按照借款费用资本化的原则处理外，均计入当期损益。以历史成本计量的外币非货币性项目仍以交易发生日的即期汇率折算，以公允价值计量的外币非货币性项目，采用公允价值确定日的即期汇率折算，折算后的汇兑差额，计入当期损益或确认为其他综合收益。</w:t>
      </w:r>
    </w:p>
    <w:p>
      <w:pPr>
        <w:spacing w:line="480" w:lineRule="exact"/>
        <w:ind w:right="-27" w:rightChars="-13" w:firstLine="560" w:firstLineChars="200"/>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6．金融工具</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新金融工具准则要求将金融资产按照主体管理其的业务模式及其合同现金流量特征分为以摊余成本计量、以公允价值计量且其变动计入其他综合收益及以公允价值计量且其变动计入损益三类；另外，权益工具投资应按公允价值计量且其变动计入损益，若初始不可撤销地选择在其他综合收益计量公允价值变动，则其他综合收益不会循环计入损益。</w:t>
      </w:r>
    </w:p>
    <w:p>
      <w:pPr>
        <w:spacing w:line="480" w:lineRule="exact"/>
        <w:ind w:right="-27" w:rightChars="-13" w:firstLine="560" w:firstLineChars="200"/>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6.1初始确认和计量</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本行成为金融工具合同的一方时，即于买卖交易日，确认该项金融资产或金融负债。</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初始确认金融资产或金融负债时，按照公允价值计量。对于以公允价值计量且其变动计入当期损益的金融资产或金融负债，相关交易费用直接计入当期利润表；对于其他类别的金融资产或金融负债，相关交易费用计入初始确认金额。金融资产或金融负债初始确认时的公允价值通常为交易价格。当金融资产或金融负债的公允价值与其交易价格存在差异，且公允价值依据相同资产或负债在活跃市场上的报价或者以仅使用可观察市场数据的估值技术确定时，本集团将该差异确认为一项利得或损失。</w:t>
      </w:r>
    </w:p>
    <w:p>
      <w:pPr>
        <w:spacing w:line="480" w:lineRule="exact"/>
        <w:ind w:right="-27" w:rightChars="-13" w:firstLine="560" w:firstLineChars="200"/>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6.2金融工具的分类和后续计量</w:t>
      </w:r>
    </w:p>
    <w:p>
      <w:pPr>
        <w:spacing w:line="480" w:lineRule="exact"/>
        <w:ind w:right="-27" w:rightChars="-13" w:firstLine="560" w:firstLineChars="200"/>
        <w:outlineLvl w:val="3"/>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6.2.1金融资产</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按照管理金融资产的业务模式及金融资产的合同现金流量特征，将金融资产划分为以下三类：以摊余成本计量的金融资产、以公允价值计量且其变动计入其他综合收益的金融资产及以公允价值计量且其变动计入当期损益的金融资产。</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业务模式</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业务模式反映本行如何管理金融资产以产生现金流量，比如本行持有该项金融资产是仅为收取合同现金流量为目标，还是既以收取合同现金流量为目标又以出售该金融资产为目标。如果以上两种情况都不适用，那么该金融资产的业务模式为“其他”。业务模式在金融资产组合层面进行评估，并以按照合理预期会发生的情形为基础确定，考虑因素包括：以往如何收取该组资产的现金流、该组资产的业绩如何评估并上报给关键管理人员、风险如何评估和管理，以及业务管理人员获得报酬的方式等。</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合同现金流量特征</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合同现金流量特征的评估旨在识别合同现金流量是否仅为本金及未偿付本金金额为基础的利息的支付。其中，本金是指金融资产在初始确认时的公允价值，本金金额可能因提前还款等原因在金融资产的存续期内发生变动；利息包括对货币时间价值、与特定时期未偿付本金金额相关的信用风险、以及其他基本借贷风险、成本和利润的对价。</w:t>
      </w:r>
    </w:p>
    <w:p>
      <w:pPr>
        <w:spacing w:line="480" w:lineRule="exact"/>
        <w:ind w:right="-27" w:rightChars="-13" w:firstLine="560" w:firstLineChars="200"/>
        <w:outlineLvl w:val="4"/>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（1）以摊余成本计量的金融资产</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本行将同时符合下列条件的金融资产，分类为以摊余成本计量的金融资产：</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管理该金融资产的业务模式是仅以收取合同现金流量为目标；</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该金融资产的合同条款规定，在特定日期产生的现金流量，仅为本金及未偿付本金金额为基础的利息的支付。</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按摊余成本对该类金融资产进行后续计量。摊余成本以该类金融资产的初始确认金额，扣除已偿还本金，加上或减去采用实际利率法将该初始确认金额与到期日金额之间进行摊销形成的累计摊销额，并扣除累计计提的损失准备后确定。</w:t>
      </w:r>
    </w:p>
    <w:p>
      <w:pPr>
        <w:spacing w:line="480" w:lineRule="exact"/>
        <w:ind w:right="-27" w:rightChars="-13" w:firstLine="560" w:firstLineChars="200"/>
        <w:outlineLvl w:val="4"/>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（2）以公允价值计量且其变动计入其他综合收益的金融资产</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本行将同时符合下列条件的金融资产，分类为以公允价值计量且其变动计入其他综合收益的金融资产：</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管理该金融资产的业务模式是既以收取合同现金流量为目标又以出售该金融资产为目标；</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该金融资产的合同条款规定，在特定日期产生的现金流量，仅为本金及未偿付本金金额为基础的利息的支付。</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按公允价值对该类金融资产进行后续计量，除按照实际利率法计算的利息收入、减值损失或利得和汇兑损益外，该等金融资产形成的利得或损失均计入“其他综合收益”。该等金融资产终止确认时，之前计入其他综合收益的累计利得或损失从所有者权益转出，计入利润表。该等金融资产的减值准备在其他综合收益中确认，相应减值损失或利得计入利润表，不调整其在资产负债表中列示的账面价值。</w:t>
      </w:r>
    </w:p>
    <w:p>
      <w:pPr>
        <w:spacing w:line="480" w:lineRule="exact"/>
        <w:ind w:right="-27" w:rightChars="-13" w:firstLine="560" w:firstLineChars="200"/>
        <w:outlineLvl w:val="4"/>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（3）权益工具投资</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在初始确认时，本行可以将非交易性权益工具投资不可撤销地指定为以公允价值计量且其变动计入其他综合收益的金融资产。该项权益工具应满足《企业会计准则第 37 号—金融工具列报》对权益工具的定义。当该项权益工具投资终止确认时，之前计入其他综合收益的累计利得或损失从“其他综合收益”转出，计入所有者权益项目“未分配利润”。本行有权收取的该等权益工具产生的符合条件的股利计入利润表。该等权益工具投资无需确认减值损失。</w:t>
      </w:r>
    </w:p>
    <w:p>
      <w:pPr>
        <w:spacing w:line="480" w:lineRule="exact"/>
        <w:ind w:right="-27" w:rightChars="-13" w:firstLine="560" w:firstLineChars="200"/>
        <w:outlineLvl w:val="4"/>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（4）以公允价值计量且其变动计入当期损益的金融资产</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除分类为以摊余成本计量和以公允价值计量且其变动计入其他综合收益的金融资产之外的金融资产，本行将其分类为以公允价值计量且其变动计入当期损益的金融资产，包括交易性金融资产、指定为以公允价值计量且其变动计入当期损益的金融资产和按照准则要求必须以公允价值计量且其变动计入当期损益的金融资产。</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本行按公允价值对该类金融资产进行后续计量，相关利得或损失，除该金融资产属于套期关系的一部分外，均计入当期利润表；本行有权收取的本类别的权益工具产生的符合条件的股利也计入利润表。</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当且仅当本行改变管理金融资产的业务模式时，本行对受影响的相关金融资产进行重分类。金融资产重分类，自其业务模式发生变更后的首个报告期间的第一天，采用未来适用法进行相关会计处理。</w:t>
      </w:r>
    </w:p>
    <w:p>
      <w:pPr>
        <w:spacing w:line="480" w:lineRule="exact"/>
        <w:ind w:right="-27" w:rightChars="-13" w:firstLine="560" w:firstLineChars="200"/>
        <w:outlineLvl w:val="3"/>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6.2.2金融负债</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除下列各项外，本行将金融负债划分为以摊余成本计量的金融负债，按摊余成本进行后续计量：</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以公允价值计量且其变动计入当期损益的金融负债，包括交易性金融负债和指定为以公允价值计量且其变动计入当期损益的金融负债。</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金融资产转移不符合终止确认条件或继续涉入被转移金融资产所形成的金融负债。</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财务担保合同和以低于市场利率贷款的贷款承诺。</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本行对以公允价值计量且其变动计入当期损益的金融负债按公允价值进行后续计量，除下述情形外，相关利得或损失均计入当期利润表：</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该金融负债属于套期关系的一部分；</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该金融负债被指定为以公允价值计量且其变动计入当期损益的金融负债，由本集团自身信用风险变动引起的其公允价值变动计入其他综合收益；终止确认时，之前计入其他综合收益的累计利得或损失从“其他综合收益”转出，计入所有者权益项目“未分配利润”。</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所有金融负债均不得进行重分类。</w:t>
      </w:r>
    </w:p>
    <w:p>
      <w:pPr>
        <w:spacing w:line="480" w:lineRule="exact"/>
        <w:ind w:right="-27" w:rightChars="-13" w:firstLine="560" w:firstLineChars="200"/>
        <w:outlineLvl w:val="3"/>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6.2.3交易性金融资产及金融负债</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当满足下列条件之一时，本行将其分类为交易性金融资产或金融负债：</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取得相关金融资产或承担相关金融负债的目的，主要是为了近期出售或回购；</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相关金融资产或金融负债在初始确认时属于集中管理的可辨认金融工具组合的一部分，且有客观证据表明近期实际存在短期获利模式；</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相关金融资产或金融负债属于衍生工具。但符合财务担保合同定义的衍生工具以及被指定为有效套期工具的衍生工具除外。</w:t>
      </w:r>
    </w:p>
    <w:p>
      <w:pPr>
        <w:spacing w:line="480" w:lineRule="exact"/>
        <w:ind w:right="-27" w:rightChars="-13" w:firstLine="560" w:firstLineChars="200"/>
        <w:outlineLvl w:val="3"/>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6.2.4指定为以公允价值计量且其变动计入当期损益的金融资产及金融负债</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当满足下列条件之一时，本行可以在初始确认时将某项金融工具不可撤销地指定为以公允价值计量且其变动计入当期损益的金融资产或金融负债：</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该指定可以消除或明显减少由于该金融资产或金融负债的计量基础不同所导致的相关利得或损失在确认或计量方面不一致的情况；</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本行风险管理或投资策略的正式书面文件已载明，对该金融负债组合或金融资产和金融负债组合以公允价值为基础进行管理、评价并向关键管理人员报告；</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该金融负债为包含一种或多种嵌入式衍生工具的混合工具，除非嵌入式衍生工具不会对混合工具的现金流量产生重大改变，或者所嵌入的衍生工具明显不应当从相关混合工具中分拆。</w:t>
      </w:r>
    </w:p>
    <w:p>
      <w:pPr>
        <w:spacing w:line="480" w:lineRule="exact"/>
        <w:ind w:right="-27" w:rightChars="-13" w:firstLine="560" w:firstLineChars="200"/>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6.3财务担保合同及贷款承诺</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财务担保合同要求提供者为合同持有人提供偿还保障，即在被担保人到期不能履行合同条款时，代为偿付合同持有人的损失。本行将财务担保合同提供给银行、金融机构和其他实体，为客户贷款、透支和取得其他银行额度提供保证。</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财务担保合同在担保提供日按公允价值进行初始确认。在资产负债表日按合同的摊余价值和按预期信用损失模型所确定的减值准备金额孰高进行后续计量，与该合同相关负债的增加计入当期利润表。</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贷款承诺是本行向客户提供的一项在承诺期间内以既定的合同条款向客户发放贷款的承诺。贷款承诺按照预期信用损失模型计提减值损失。</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本行将财务担保合同和贷款承诺的减值准备列报在预计负债中。</w:t>
      </w:r>
    </w:p>
    <w:p>
      <w:pPr>
        <w:spacing w:line="480" w:lineRule="exact"/>
        <w:ind w:right="-27" w:rightChars="-13" w:firstLine="560" w:firstLineChars="200"/>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6.4公允价值的确定</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公允价值，是指市场参与者在计量日发生的有序交易中，出售一项资产所能收到或者转移一项负债所需支付的价格。存在活跃市场的金融资产或金融负债，本行将活跃市场中的现行出价或现行要价用于确定其公允价值。金融工具不存在活跃市场的，本行采用估值技术确定其公允价值。估值技术包括参考熟悉情况并自愿交易的各方最近进行的市场交易中使用的价格、现金流量折现法和期权定价模型及被其他市场交易者普遍使用的估值技术等。</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选择市场参与者普遍认同，且被以往市场实际交易价格验证具有可靠性的估值技术确定金融工具的公允价值。采用估值技术确定金融工具的公允价值时，本行尽可能使用市场参与者在金融工具定价时考虑的所有市场参数，并采用相同金融工具当前市场的可观察到的交易价格来测试估值技术的有效性。</w:t>
      </w:r>
    </w:p>
    <w:p>
      <w:pPr>
        <w:spacing w:line="480" w:lineRule="exact"/>
        <w:ind w:right="-27" w:rightChars="-13" w:firstLine="560" w:firstLineChars="200"/>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6.5金融工具的终止确认</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当从金融资产获得现金流的权利已经到期，或在发生金融资产转移时，本行已将与所有权相关的几乎所有风险和报酬转移，或虽然没有转移也没有保留与该金融资产所有权有关的几乎所有风险和报酬，但已放弃对该金融资产的控制时，终止确认该项金融资产。</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当合同所指定的义务解除、撤销或届满时，本行终止确认该金融负债。</w:t>
      </w:r>
    </w:p>
    <w:p>
      <w:pPr>
        <w:spacing w:line="480" w:lineRule="exact"/>
        <w:ind w:right="-27" w:rightChars="-13" w:firstLine="560" w:firstLineChars="200"/>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6.6金融资产的减值计量</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在资产负债表日对以摊余成本计量的金融资产、以公允价值计量且其变动计入其他综合收益的债务工具投资，以及贷款承诺和财务担保合同，以预期信用损失为基础，评估并确认相关减值准备。</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预期信用损失的计量</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预期信用损失是以发生违约的风险为权重的金融工具信用损失的加权平均值。信用损失是按照原实际利率折现的、根据合同应收的所有合同现金流量与预期收取的所有现金流量之间的差额，即全部现金短缺的现值。</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根据金融工具自初始确认后信用风险的变化情况，区分三个阶段计算预期信用损失：</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第一阶段：自初始确认后信用风险无显著增加的金融工具纳入阶段一，按照该金融工具未来 12 个月内预期信用损失的金额计量其减值准备；</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第二阶段：自初始确认起信用风险显著增加，但尚无客观减值证据的金融工具纳入阶段二，按照该金融工具整个存续期内预期信用损失的金额计量其减值准备；</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第三阶段：在资产负债表日存在客观减值证据的金融资产纳入阶段三，按照该金融工具整个存续期内预期信用损失的金额计量其减值准备。</w:t>
      </w:r>
    </w:p>
    <w:p>
      <w:pPr>
        <w:spacing w:line="480" w:lineRule="exact"/>
        <w:ind w:right="-27" w:rightChars="-13" w:firstLine="560" w:firstLineChars="200"/>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6.7金融工具的抵销</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当依法有权抵销债权债务且该法定权利是现时可执行的，并且交易双方准备按净额进行结算，或同时结清资产和负债时，金融资产和负债以抵销后的净额在资产负债表中列示。</w:t>
      </w:r>
    </w:p>
    <w:p>
      <w:pPr>
        <w:spacing w:line="480" w:lineRule="exact"/>
        <w:ind w:right="-27" w:rightChars="-13" w:firstLine="560" w:firstLineChars="200"/>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7．金融负债</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本行初始确认时将金融负债划分为下列两类：以公允价值计量且其变动计入当期损益的金融负债和其他金融负债。本行于初始确认时即对金融负债进行分类。</w:t>
      </w:r>
    </w:p>
    <w:p>
      <w:pPr>
        <w:spacing w:line="480" w:lineRule="exact"/>
        <w:ind w:right="-27" w:rightChars="-13" w:firstLine="560" w:firstLineChars="200"/>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8．买入返售和卖出回购</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买入返售是指本行按合同或协议约定，以一定的价格向交易对方买入贴现票据、一般公司债券、长期应收款及贷款，之后在合约约定的日期再按协议价格返售给对方的资金拆借业务。卖出回购是指本行按合同或协议约定，以一定的价格将贴现票据、一般公司债券、长期应收款及贷款卖给交易对方，之后在合约约定日期，再按协议价格购回的资金拆借业务。</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买入返售和卖出回购按业务发生时实际支付或收到的金额初始确认，并记入“买入返售金融资产”或“卖出回购金融资产款”。“卖出回购金融资产款”项目下的相关债券、贷款、贴现票据及长期应收款，在合约期间视为向交易对手方提供的抵押资产，仍在本行资产相关科目中反映。</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根据协议售出资产并承诺于未来某确定日期以固定金额或者出售金额加固定回报等方式进行回购的，已售出资产继续在资产负债表确认。出售资产所得款项，在资产负债表中列示为“卖出回购金融资产款”。售价与回购价之间的差额在协议期间内按实际利率法确认，计入利息支出。</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根据协议购买资产并约定于未来某确定日期以固定金额或者购买金额加固定回报等方式返售的，所购资产不在资产负债表内予以确认。购入资产所支付的款项，在资产负债表中列示为“买入返售金融资产”。购入价格与返售价格之间的差额在协议期间内按实际利率法确认，计入利息收入。</w:t>
      </w:r>
    </w:p>
    <w:p>
      <w:pPr>
        <w:adjustRightInd w:val="0"/>
        <w:snapToGrid w:val="0"/>
        <w:spacing w:line="480" w:lineRule="exact"/>
        <w:ind w:right="-27" w:rightChars="-13" w:firstLine="548" w:firstLineChars="196"/>
        <w:outlineLvl w:val="1"/>
        <w:rPr>
          <w:rFonts w:hint="default" w:ascii="Times New Roman" w:hAnsi="Times New Roman" w:eastAsia="仿宋_GB2312" w:cs="Times New Roman"/>
          <w:bCs/>
          <w:color w:val="auto"/>
          <w:sz w:val="28"/>
          <w:szCs w:val="24"/>
          <w:highlight w:val="none"/>
        </w:rPr>
      </w:pPr>
      <w:r>
        <w:rPr>
          <w:rFonts w:hint="default" w:ascii="Times New Roman" w:hAnsi="Times New Roman" w:eastAsia="仿宋_GB2312" w:cs="Times New Roman"/>
          <w:bCs/>
          <w:color w:val="auto"/>
          <w:sz w:val="28"/>
          <w:szCs w:val="24"/>
          <w:highlight w:val="none"/>
        </w:rPr>
        <w:t>9. 长期股权投资</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对被投资单位能够实施控制的长期股权投资，以及对被投资单位不具有共同控制或重大影响，并且在活跃市场中没有报价、公允价值不能可靠计量的长期股权投资采用成本法核算；对被投资单位具有共同控制或重大影响的联营企业和合营企业的长期股权投资采用权益法核算。</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长期股权投资主要是对子公司的投资、对联营企业的投资和对合营企业的投资。公司对共同控制的判断依据是所有参与方或参与方组合集体控制该安排，并且该安排相关活动的政策必须经过这些集体控制该安排的参与方一致同意。</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本行直接或通过子公司间接拥有被投资单位 20%（含）以上但低于 50%的表决权时，通常认为对被投资单位具有重大影响。持有被投资单位 20%以下表决权的，还需要综合考虑在被投资单位的董事会或类似权力机构中派有代表、或参与被投资单位财务和经营政策制定过程、或与被投资单位之间发生重要交易、或向被投资单位派出管理人员、或向被投资单位提供关键技术资料等事实和情况判断对被投资单位具有重大影响。</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除通过企业合并取得的长期股权投资外，以支付现金取得的长期股权投资，按照实际支付的购买价款作为投资成本；以发行权益性证券取得的长期股权投资，按照发行权益性证券的公允价值作为投资成本；投资者投入的长期股权投资，按照投资合同或协议约定的价值作为投资成本。公司对子公司投资采用成本法核算，对合营企业及联营企业投资采用权益法核算。</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后续计量采用成本法核算的长期股权投资，在追加投资时，按照追加投资支付的成本额公允价值及发生的相关交易费用增加长期股权投资成本的账面价值。被投资单位宣告分派的现金股利或利润，按照应享有的金额确认为当期投资收益。</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后续计量采用权益法核算的长期股权投资，随着被其他投资单位所有者权益的变动相应调整增加或减少长期股权投资的账面价值。其中在确认应享有被投资单位净损益的份额时，以取得投资时被投资单位各项可辨认资产等的公允价值为基础，按照公司的会计政策及会计期间，并抵销与联营企业及合营企业之间发生的内部交易损益按照持股比例计算归属于投资企业的部分，对被投资单位的净利润进行调整后确认。</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处置长期股权投资，其账面价值与实际取得价款的差额，计入当期投资收益。采用权益法核算的长期股权投资，因被投资单位除净损益以外所有者权益的其他变动而计入所有者权益的，处置该项投资时将原计入所有者权益的部分按相应比例转入当期投资损益。</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因处置部分股权投资等原因丧失了对被投资单位的共同控制或重大影响的，处置后的剩余股权改按其他权益工具投资核算，剩余股权在丧失共同控制或重大影响之日的公允价值与账面价值之间的差额计入当期损益。原股权投资因采用权益法核算而确认的其他综合收益，在终止采用权益法核算时采用与被投资单位直接处置相关资产或负债相同的基础进行会计处理。</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因处置部分长期股权投资丧失了对被投资单位控制的，处置后的剩余股权能够对被投资单位实施共同控制或施加重大影响的，改按权益法核算，处置股权账面价值和处置对价的差额计入投资收益，并对该剩余股权视同自取得时即采用权益法核算进行调整；处置后的剩余股权不能对被投资单位实施共同控制或施加重大影响的，改按可供出售金融资产的有关规定进行会计处理，处置股权账面价值和处置对价的差额计入投资收益，剩余股权在丧失控制之日的公允价值与账面价值间的差额计入当期投资损益。</w:t>
      </w:r>
    </w:p>
    <w:p>
      <w:pPr>
        <w:spacing w:line="480" w:lineRule="exact"/>
        <w:ind w:right="-27" w:rightChars="-13" w:firstLine="560" w:firstLineChars="200"/>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10．投资性房地产</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投资性房地产是指为赚取租金或资本增值，或两者兼有而持有的房地产，包括已出租的土地使用权、持有并准备增值后转让的土地使用权、已出租的建筑物。本行对投资性房地产按成本法核算。</w:t>
      </w:r>
    </w:p>
    <w:p>
      <w:pPr>
        <w:spacing w:line="480" w:lineRule="exact"/>
        <w:ind w:right="-27" w:rightChars="-13" w:firstLine="560" w:firstLineChars="200"/>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11．固定资产</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固定资产是指为提供劳务、出租或经营管理而持有的并且使用年限超过一年的有形资产。</w:t>
      </w:r>
    </w:p>
    <w:p>
      <w:pPr>
        <w:spacing w:line="480" w:lineRule="exact"/>
        <w:ind w:right="-27" w:rightChars="-13" w:firstLine="560" w:firstLineChars="200"/>
        <w:rPr>
          <w:rFonts w:hint="default" w:ascii="Times New Roman" w:hAnsi="Times New Roman" w:eastAsia="仿宋_GB2312" w:cs="Times New Roman"/>
          <w:bCs/>
          <w:color w:val="auto"/>
          <w:sz w:val="28"/>
          <w:szCs w:val="24"/>
          <w:highlight w:val="none"/>
        </w:rPr>
      </w:pPr>
      <w:r>
        <w:rPr>
          <w:rFonts w:hint="default" w:ascii="Times New Roman" w:hAnsi="Times New Roman" w:eastAsia="仿宋_GB2312" w:cs="Times New Roman"/>
          <w:color w:val="auto"/>
          <w:sz w:val="28"/>
          <w:szCs w:val="28"/>
          <w:highlight w:val="none"/>
        </w:rPr>
        <w:t>固定资产折旧采用年限平均法并按其入账价值减去预计净残值后在预计使用寿命内计提。对计提了减值准备的固定资产，则在未来期间按扣除减值准备</w:t>
      </w:r>
      <w:r>
        <w:rPr>
          <w:rFonts w:hint="default" w:ascii="Times New Roman" w:hAnsi="Times New Roman" w:eastAsia="仿宋_GB2312" w:cs="Times New Roman"/>
          <w:bCs/>
          <w:color w:val="auto"/>
          <w:sz w:val="28"/>
          <w:szCs w:val="24"/>
          <w:highlight w:val="none"/>
        </w:rPr>
        <w:t>后的账面价值及依据尚可使用年限确定折旧额。</w:t>
      </w:r>
    </w:p>
    <w:p>
      <w:pPr>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固定资产的预计使用寿命、净残值率及年折旧率列示如下：</w:t>
      </w:r>
    </w:p>
    <w:tbl>
      <w:tblPr>
        <w:tblStyle w:val="25"/>
        <w:tblW w:w="8613" w:type="dxa"/>
        <w:tblInd w:w="0" w:type="dxa"/>
        <w:tblBorders>
          <w:top w:val="double" w:color="auto" w:sz="4" w:space="0"/>
          <w:left w:val="none" w:color="auto" w:sz="0" w:space="0"/>
          <w:bottom w:val="double" w:color="auto" w:sz="4" w:space="0"/>
          <w:right w:val="none" w:color="auto" w:sz="0" w:space="0"/>
          <w:insideH w:val="dotted" w:color="auto" w:sz="4" w:space="0"/>
          <w:insideV w:val="dotted" w:color="auto" w:sz="4" w:space="0"/>
        </w:tblBorders>
        <w:tblLayout w:type="fixed"/>
        <w:tblCellMar>
          <w:top w:w="0" w:type="dxa"/>
          <w:left w:w="108" w:type="dxa"/>
          <w:bottom w:w="0" w:type="dxa"/>
          <w:right w:w="108" w:type="dxa"/>
        </w:tblCellMar>
      </w:tblPr>
      <w:tblGrid>
        <w:gridCol w:w="2943"/>
        <w:gridCol w:w="1805"/>
        <w:gridCol w:w="1739"/>
        <w:gridCol w:w="2126"/>
      </w:tblGrid>
      <w:tr>
        <w:tblPrEx>
          <w:tblBorders>
            <w:top w:val="double" w:color="auto" w:sz="4" w:space="0"/>
            <w:left w:val="none" w:color="auto" w:sz="0" w:space="0"/>
            <w:bottom w:val="double" w:color="auto" w:sz="4" w:space="0"/>
            <w:right w:val="none" w:color="auto" w:sz="0" w:space="0"/>
            <w:insideH w:val="dotted" w:color="auto" w:sz="4" w:space="0"/>
            <w:insideV w:val="dotted" w:color="auto" w:sz="4" w:space="0"/>
          </w:tblBorders>
          <w:tblLayout w:type="fixed"/>
          <w:tblCellMar>
            <w:top w:w="0" w:type="dxa"/>
            <w:left w:w="108" w:type="dxa"/>
            <w:bottom w:w="0" w:type="dxa"/>
            <w:right w:w="108" w:type="dxa"/>
          </w:tblCellMar>
        </w:tblPrEx>
        <w:trPr>
          <w:trHeight w:val="454" w:hRule="exact"/>
          <w:tblHeader/>
        </w:trPr>
        <w:tc>
          <w:tcPr>
            <w:tcW w:w="2943" w:type="dxa"/>
            <w:vAlign w:val="center"/>
          </w:tcPr>
          <w:p>
            <w:pPr>
              <w:ind w:right="-311" w:rightChars="-148"/>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类  别</w:t>
            </w:r>
          </w:p>
        </w:tc>
        <w:tc>
          <w:tcPr>
            <w:tcW w:w="1805" w:type="dxa"/>
            <w:vAlign w:val="center"/>
          </w:tcPr>
          <w:p>
            <w:pPr>
              <w:ind w:right="-311" w:rightChars="-148"/>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净残值率%</w:t>
            </w:r>
          </w:p>
        </w:tc>
        <w:tc>
          <w:tcPr>
            <w:tcW w:w="1739" w:type="dxa"/>
            <w:vAlign w:val="center"/>
          </w:tcPr>
          <w:p>
            <w:pPr>
              <w:ind w:right="-311" w:rightChars="-148"/>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折旧年限</w:t>
            </w:r>
          </w:p>
        </w:tc>
        <w:tc>
          <w:tcPr>
            <w:tcW w:w="2126" w:type="dxa"/>
            <w:vAlign w:val="center"/>
          </w:tcPr>
          <w:p>
            <w:pPr>
              <w:ind w:right="-311" w:rightChars="-148"/>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年折旧率%</w:t>
            </w:r>
          </w:p>
        </w:tc>
      </w:tr>
      <w:tr>
        <w:tblPrEx>
          <w:tblBorders>
            <w:top w:val="double" w:color="auto" w:sz="4" w:space="0"/>
            <w:left w:val="none" w:color="auto" w:sz="0" w:space="0"/>
            <w:bottom w:val="double" w:color="auto" w:sz="4" w:space="0"/>
            <w:right w:val="none" w:color="auto" w:sz="0" w:space="0"/>
            <w:insideH w:val="dotted" w:color="auto" w:sz="4" w:space="0"/>
            <w:insideV w:val="dotted" w:color="auto" w:sz="4" w:space="0"/>
          </w:tblBorders>
          <w:tblLayout w:type="fixed"/>
          <w:tblCellMar>
            <w:top w:w="0" w:type="dxa"/>
            <w:left w:w="108" w:type="dxa"/>
            <w:bottom w:w="0" w:type="dxa"/>
            <w:right w:w="108" w:type="dxa"/>
          </w:tblCellMar>
        </w:tblPrEx>
        <w:trPr>
          <w:trHeight w:val="454" w:hRule="exact"/>
        </w:trPr>
        <w:tc>
          <w:tcPr>
            <w:tcW w:w="2943" w:type="dxa"/>
            <w:vAlign w:val="center"/>
          </w:tcPr>
          <w:p>
            <w:pPr>
              <w:ind w:right="-311" w:rightChars="-148"/>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房屋及建筑物</w:t>
            </w:r>
          </w:p>
        </w:tc>
        <w:tc>
          <w:tcPr>
            <w:tcW w:w="1805" w:type="dxa"/>
            <w:vAlign w:val="center"/>
          </w:tcPr>
          <w:p>
            <w:pPr>
              <w:ind w:right="-311" w:rightChars="-148"/>
              <w:jc w:val="center"/>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0-5</w:t>
            </w:r>
          </w:p>
        </w:tc>
        <w:tc>
          <w:tcPr>
            <w:tcW w:w="1739" w:type="dxa"/>
            <w:vAlign w:val="center"/>
          </w:tcPr>
          <w:p>
            <w:pPr>
              <w:ind w:right="-311" w:rightChars="-148"/>
              <w:jc w:val="center"/>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20</w:t>
            </w:r>
          </w:p>
        </w:tc>
        <w:tc>
          <w:tcPr>
            <w:tcW w:w="2126" w:type="dxa"/>
            <w:vAlign w:val="center"/>
          </w:tcPr>
          <w:p>
            <w:pPr>
              <w:ind w:right="-311" w:rightChars="-148"/>
              <w:jc w:val="center"/>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4.75-5.00</w:t>
            </w:r>
          </w:p>
        </w:tc>
      </w:tr>
      <w:tr>
        <w:tblPrEx>
          <w:tblBorders>
            <w:top w:val="double" w:color="auto" w:sz="4" w:space="0"/>
            <w:left w:val="none" w:color="auto" w:sz="0" w:space="0"/>
            <w:bottom w:val="double" w:color="auto" w:sz="4" w:space="0"/>
            <w:right w:val="none" w:color="auto" w:sz="0" w:space="0"/>
            <w:insideH w:val="dotted" w:color="auto" w:sz="4" w:space="0"/>
            <w:insideV w:val="dotted" w:color="auto" w:sz="4" w:space="0"/>
          </w:tblBorders>
          <w:tblLayout w:type="fixed"/>
          <w:tblCellMar>
            <w:top w:w="0" w:type="dxa"/>
            <w:left w:w="108" w:type="dxa"/>
            <w:bottom w:w="0" w:type="dxa"/>
            <w:right w:w="108" w:type="dxa"/>
          </w:tblCellMar>
        </w:tblPrEx>
        <w:trPr>
          <w:trHeight w:val="454" w:hRule="exact"/>
        </w:trPr>
        <w:tc>
          <w:tcPr>
            <w:tcW w:w="2943" w:type="dxa"/>
            <w:vAlign w:val="center"/>
          </w:tcPr>
          <w:p>
            <w:pPr>
              <w:ind w:right="-311" w:rightChars="-148"/>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机器、机械</w:t>
            </w:r>
          </w:p>
        </w:tc>
        <w:tc>
          <w:tcPr>
            <w:tcW w:w="1805" w:type="dxa"/>
            <w:vAlign w:val="center"/>
          </w:tcPr>
          <w:p>
            <w:pPr>
              <w:ind w:right="-311" w:rightChars="-148"/>
              <w:jc w:val="center"/>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0-5</w:t>
            </w:r>
          </w:p>
        </w:tc>
        <w:tc>
          <w:tcPr>
            <w:tcW w:w="1739" w:type="dxa"/>
            <w:vAlign w:val="center"/>
          </w:tcPr>
          <w:p>
            <w:pPr>
              <w:ind w:right="-311" w:rightChars="-148"/>
              <w:jc w:val="center"/>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5</w:t>
            </w:r>
          </w:p>
        </w:tc>
        <w:tc>
          <w:tcPr>
            <w:tcW w:w="2126" w:type="dxa"/>
            <w:vAlign w:val="center"/>
          </w:tcPr>
          <w:p>
            <w:pPr>
              <w:ind w:right="-311" w:rightChars="-148"/>
              <w:jc w:val="center"/>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9.50-19.40</w:t>
            </w:r>
          </w:p>
        </w:tc>
      </w:tr>
      <w:tr>
        <w:tblPrEx>
          <w:tblBorders>
            <w:top w:val="double" w:color="auto" w:sz="4" w:space="0"/>
            <w:left w:val="none" w:color="auto" w:sz="0" w:space="0"/>
            <w:bottom w:val="double" w:color="auto" w:sz="4" w:space="0"/>
            <w:right w:val="none" w:color="auto" w:sz="0" w:space="0"/>
            <w:insideH w:val="dotted" w:color="auto" w:sz="4" w:space="0"/>
            <w:insideV w:val="dotted" w:color="auto" w:sz="4" w:space="0"/>
          </w:tblBorders>
          <w:tblLayout w:type="fixed"/>
          <w:tblCellMar>
            <w:top w:w="0" w:type="dxa"/>
            <w:left w:w="108" w:type="dxa"/>
            <w:bottom w:w="0" w:type="dxa"/>
            <w:right w:w="108" w:type="dxa"/>
          </w:tblCellMar>
        </w:tblPrEx>
        <w:trPr>
          <w:trHeight w:val="454" w:hRule="exact"/>
        </w:trPr>
        <w:tc>
          <w:tcPr>
            <w:tcW w:w="2943" w:type="dxa"/>
            <w:vAlign w:val="center"/>
          </w:tcPr>
          <w:p>
            <w:pPr>
              <w:ind w:right="-311" w:rightChars="-148"/>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电子设备</w:t>
            </w:r>
          </w:p>
        </w:tc>
        <w:tc>
          <w:tcPr>
            <w:tcW w:w="1805" w:type="dxa"/>
            <w:vAlign w:val="center"/>
          </w:tcPr>
          <w:p>
            <w:pPr>
              <w:ind w:right="-311" w:rightChars="-148"/>
              <w:jc w:val="center"/>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0-5</w:t>
            </w:r>
          </w:p>
        </w:tc>
        <w:tc>
          <w:tcPr>
            <w:tcW w:w="1739" w:type="dxa"/>
            <w:vAlign w:val="center"/>
          </w:tcPr>
          <w:p>
            <w:pPr>
              <w:ind w:right="-311" w:rightChars="-148"/>
              <w:jc w:val="center"/>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3</w:t>
            </w:r>
          </w:p>
        </w:tc>
        <w:tc>
          <w:tcPr>
            <w:tcW w:w="2126" w:type="dxa"/>
            <w:vAlign w:val="center"/>
          </w:tcPr>
          <w:p>
            <w:pPr>
              <w:ind w:right="-311" w:rightChars="-148"/>
              <w:jc w:val="center"/>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31.67-33.33</w:t>
            </w:r>
          </w:p>
        </w:tc>
      </w:tr>
      <w:tr>
        <w:tblPrEx>
          <w:tblBorders>
            <w:top w:val="double" w:color="auto" w:sz="4" w:space="0"/>
            <w:left w:val="none" w:color="auto" w:sz="0" w:space="0"/>
            <w:bottom w:val="double" w:color="auto" w:sz="4" w:space="0"/>
            <w:right w:val="none" w:color="auto" w:sz="0" w:space="0"/>
            <w:insideH w:val="dotted" w:color="auto" w:sz="4" w:space="0"/>
            <w:insideV w:val="dotted" w:color="auto" w:sz="4" w:space="0"/>
          </w:tblBorders>
          <w:tblLayout w:type="fixed"/>
          <w:tblCellMar>
            <w:top w:w="0" w:type="dxa"/>
            <w:left w:w="108" w:type="dxa"/>
            <w:bottom w:w="0" w:type="dxa"/>
            <w:right w:w="108" w:type="dxa"/>
          </w:tblCellMar>
        </w:tblPrEx>
        <w:trPr>
          <w:trHeight w:val="454" w:hRule="exact"/>
        </w:trPr>
        <w:tc>
          <w:tcPr>
            <w:tcW w:w="2943" w:type="dxa"/>
            <w:vAlign w:val="center"/>
          </w:tcPr>
          <w:p>
            <w:pPr>
              <w:ind w:right="-311" w:rightChars="-148"/>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运输工具</w:t>
            </w:r>
          </w:p>
        </w:tc>
        <w:tc>
          <w:tcPr>
            <w:tcW w:w="1805" w:type="dxa"/>
            <w:vAlign w:val="center"/>
          </w:tcPr>
          <w:p>
            <w:pPr>
              <w:ind w:right="-311" w:rightChars="-148"/>
              <w:jc w:val="center"/>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0-5</w:t>
            </w:r>
          </w:p>
        </w:tc>
        <w:tc>
          <w:tcPr>
            <w:tcW w:w="1739" w:type="dxa"/>
            <w:vAlign w:val="center"/>
          </w:tcPr>
          <w:p>
            <w:pPr>
              <w:ind w:right="-311" w:rightChars="-148"/>
              <w:jc w:val="center"/>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4</w:t>
            </w:r>
          </w:p>
        </w:tc>
        <w:tc>
          <w:tcPr>
            <w:tcW w:w="2126" w:type="dxa"/>
            <w:vAlign w:val="center"/>
          </w:tcPr>
          <w:p>
            <w:pPr>
              <w:ind w:right="-311" w:rightChars="-148"/>
              <w:jc w:val="center"/>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23.75-25.00</w:t>
            </w:r>
          </w:p>
        </w:tc>
      </w:tr>
      <w:tr>
        <w:tblPrEx>
          <w:tblBorders>
            <w:top w:val="double" w:color="auto" w:sz="4" w:space="0"/>
            <w:left w:val="none" w:color="auto" w:sz="0" w:space="0"/>
            <w:bottom w:val="double" w:color="auto" w:sz="4" w:space="0"/>
            <w:right w:val="none" w:color="auto" w:sz="0" w:space="0"/>
            <w:insideH w:val="dotted" w:color="auto" w:sz="4" w:space="0"/>
            <w:insideV w:val="dotted" w:color="auto" w:sz="4" w:space="0"/>
          </w:tblBorders>
          <w:tblLayout w:type="fixed"/>
          <w:tblCellMar>
            <w:top w:w="0" w:type="dxa"/>
            <w:left w:w="108" w:type="dxa"/>
            <w:bottom w:w="0" w:type="dxa"/>
            <w:right w:w="108" w:type="dxa"/>
          </w:tblCellMar>
        </w:tblPrEx>
        <w:trPr>
          <w:trHeight w:val="454" w:hRule="exact"/>
        </w:trPr>
        <w:tc>
          <w:tcPr>
            <w:tcW w:w="2943" w:type="dxa"/>
            <w:vAlign w:val="center"/>
          </w:tcPr>
          <w:p>
            <w:pPr>
              <w:ind w:right="-311" w:rightChars="-148"/>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其他固定资产</w:t>
            </w:r>
          </w:p>
        </w:tc>
        <w:tc>
          <w:tcPr>
            <w:tcW w:w="1805" w:type="dxa"/>
            <w:vAlign w:val="center"/>
          </w:tcPr>
          <w:p>
            <w:pPr>
              <w:ind w:right="-311" w:rightChars="-148"/>
              <w:jc w:val="center"/>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0-5</w:t>
            </w:r>
          </w:p>
        </w:tc>
        <w:tc>
          <w:tcPr>
            <w:tcW w:w="1739" w:type="dxa"/>
            <w:vAlign w:val="center"/>
          </w:tcPr>
          <w:p>
            <w:pPr>
              <w:ind w:right="-311" w:rightChars="-148"/>
              <w:jc w:val="center"/>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5</w:t>
            </w:r>
          </w:p>
        </w:tc>
        <w:tc>
          <w:tcPr>
            <w:tcW w:w="2126" w:type="dxa"/>
            <w:vAlign w:val="center"/>
          </w:tcPr>
          <w:p>
            <w:pPr>
              <w:ind w:right="-311" w:rightChars="-148"/>
              <w:jc w:val="center"/>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19.00-20.00</w:t>
            </w:r>
          </w:p>
        </w:tc>
      </w:tr>
    </w:tbl>
    <w:p>
      <w:pPr>
        <w:pStyle w:val="85"/>
        <w:tabs>
          <w:tab w:val="left" w:pos="8789"/>
          <w:tab w:val="left" w:pos="9214"/>
          <w:tab w:val="left" w:pos="9498"/>
        </w:tabs>
        <w:spacing w:line="480" w:lineRule="exact"/>
        <w:ind w:right="-27" w:rightChars="-13" w:firstLine="560" w:firstLineChars="200"/>
        <w:jc w:val="both"/>
        <w:outlineLvl w:val="1"/>
        <w:rPr>
          <w:rFonts w:hint="default" w:ascii="Times New Roman" w:hAnsi="Times New Roman" w:eastAsia="仿宋_GB2312" w:cs="Times New Roman"/>
          <w:color w:val="auto"/>
          <w:kern w:val="2"/>
          <w:sz w:val="28"/>
          <w:szCs w:val="28"/>
          <w:highlight w:val="none"/>
        </w:rPr>
      </w:pPr>
      <w:r>
        <w:rPr>
          <w:rFonts w:hint="default" w:ascii="Times New Roman" w:hAnsi="Times New Roman" w:eastAsia="仿宋_GB2312" w:cs="Times New Roman"/>
          <w:color w:val="auto"/>
          <w:kern w:val="2"/>
          <w:sz w:val="28"/>
          <w:szCs w:val="28"/>
          <w:highlight w:val="none"/>
        </w:rPr>
        <w:t>12．无形资产</w:t>
      </w:r>
    </w:p>
    <w:p>
      <w:pPr>
        <w:tabs>
          <w:tab w:val="left" w:pos="8789"/>
        </w:tabs>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无形资产在取得时，按实际支付的价款和相关的其他支出作为成本入账。使用寿命有限的无形资产，在使用寿命内摊销；使用寿命不确定的无形资产不摊销，对于使用寿命不确定的无形资产无论是否存在减值迹象，于每年年底进行减值测试。</w:t>
      </w:r>
    </w:p>
    <w:p>
      <w:pPr>
        <w:tabs>
          <w:tab w:val="left" w:pos="8789"/>
        </w:tabs>
        <w:spacing w:line="480" w:lineRule="exact"/>
        <w:ind w:right="-27" w:rightChars="-13" w:firstLine="560" w:firstLineChars="200"/>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13．抵债资产</w:t>
      </w:r>
    </w:p>
    <w:p>
      <w:pPr>
        <w:tabs>
          <w:tab w:val="left" w:pos="8789"/>
        </w:tabs>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抵债资产按公允价值进行初始计量。资产负债表日，抵债资产按照账面价值与可变现净值孰低计量，当可变现净值低于账面价值时，对抵债资产计提减值准备。</w:t>
      </w:r>
    </w:p>
    <w:p>
      <w:pPr>
        <w:tabs>
          <w:tab w:val="left" w:pos="8789"/>
        </w:tabs>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抵债资产保管过程中发生的费用直接计入其他业务支出。抵债资产处置时，取得的处置收入与抵债资产账面价值的差额计入营业外收入或支出。</w:t>
      </w:r>
    </w:p>
    <w:p>
      <w:pPr>
        <w:tabs>
          <w:tab w:val="left" w:pos="8789"/>
        </w:tabs>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抵债资产转为自用的，按转换日抵债资产的账面余额结转。已计提抵债资产减值准备的，同时结转减值准备。</w:t>
      </w:r>
    </w:p>
    <w:p>
      <w:pPr>
        <w:pStyle w:val="79"/>
        <w:tabs>
          <w:tab w:val="left" w:pos="8789"/>
        </w:tabs>
        <w:autoSpaceDE w:val="0"/>
        <w:autoSpaceDN w:val="0"/>
        <w:adjustRightInd w:val="0"/>
        <w:spacing w:line="480" w:lineRule="exact"/>
        <w:ind w:right="-27" w:rightChars="-13"/>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14．长期待摊费用</w:t>
      </w:r>
    </w:p>
    <w:p>
      <w:pPr>
        <w:pStyle w:val="79"/>
        <w:tabs>
          <w:tab w:val="left" w:pos="8789"/>
        </w:tabs>
        <w:autoSpaceDE w:val="0"/>
        <w:autoSpaceDN w:val="0"/>
        <w:adjustRightInd w:val="0"/>
        <w:spacing w:line="480" w:lineRule="exact"/>
        <w:ind w:right="-27" w:rightChars="-13"/>
        <w:jc w:val="left"/>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长期待摊费用包括经营租入固定资产改良及其他已经发生但应由本期和以后各期负担的分摊期限在一年以上的各项费用，按预计受益期间分期平均摊销。如果长期待摊费用不能使以后会计期间受益，则该项目的摊余价值全部计入当期损益。</w:t>
      </w:r>
    </w:p>
    <w:p>
      <w:pPr>
        <w:pStyle w:val="79"/>
        <w:tabs>
          <w:tab w:val="left" w:pos="8789"/>
        </w:tabs>
        <w:autoSpaceDE w:val="0"/>
        <w:autoSpaceDN w:val="0"/>
        <w:adjustRightInd w:val="0"/>
        <w:spacing w:line="480" w:lineRule="exact"/>
        <w:ind w:right="-27" w:rightChars="-13"/>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15．长期资产减值</w:t>
      </w:r>
    </w:p>
    <w:p>
      <w:pPr>
        <w:pStyle w:val="79"/>
        <w:tabs>
          <w:tab w:val="left" w:pos="8789"/>
        </w:tabs>
        <w:autoSpaceDE w:val="0"/>
        <w:autoSpaceDN w:val="0"/>
        <w:adjustRightInd w:val="0"/>
        <w:spacing w:line="480" w:lineRule="exact"/>
        <w:ind w:right="-27" w:rightChars="-13"/>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固定资产、在建工程、使用寿命有限的无形资产及抵债资产等，于资产负债表日存在减值迹象的，对其进行减值测试。</w:t>
      </w:r>
    </w:p>
    <w:p>
      <w:pPr>
        <w:tabs>
          <w:tab w:val="left" w:pos="8789"/>
        </w:tabs>
        <w:adjustRightInd w:val="0"/>
        <w:snapToGrid w:val="0"/>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上述资产减值损失一经确认，以后期间不得转回。</w:t>
      </w:r>
    </w:p>
    <w:p>
      <w:pPr>
        <w:pStyle w:val="79"/>
        <w:tabs>
          <w:tab w:val="left" w:pos="8789"/>
        </w:tabs>
        <w:autoSpaceDE w:val="0"/>
        <w:autoSpaceDN w:val="0"/>
        <w:adjustRightInd w:val="0"/>
        <w:spacing w:line="480" w:lineRule="exact"/>
        <w:ind w:right="-27" w:rightChars="-13"/>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16．职工薪酬</w:t>
      </w:r>
    </w:p>
    <w:p>
      <w:pPr>
        <w:pStyle w:val="79"/>
        <w:tabs>
          <w:tab w:val="left" w:pos="8789"/>
        </w:tabs>
        <w:autoSpaceDE w:val="0"/>
        <w:autoSpaceDN w:val="0"/>
        <w:adjustRightInd w:val="0"/>
        <w:spacing w:line="480" w:lineRule="exact"/>
        <w:ind w:right="-27" w:rightChars="-13"/>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职工薪酬主要包括工资、奖金、津贴和补贴、职工福利费、社会保险费及住房公积金、工会经费和职工教育经费等其他与获得职工提供的服务相关的支出。本行在职工提供服务的会计期间，将应付的职工薪酬确认为负债，并根据职工提供服务的受益对象计入相关资产成本和费用。因解除与职工的劳动关系而给予的补偿，计入当期损益。</w:t>
      </w:r>
    </w:p>
    <w:p>
      <w:pPr>
        <w:pStyle w:val="85"/>
        <w:tabs>
          <w:tab w:val="left" w:pos="8789"/>
          <w:tab w:val="left" w:pos="9214"/>
          <w:tab w:val="left" w:pos="9498"/>
        </w:tabs>
        <w:spacing w:line="500" w:lineRule="exact"/>
        <w:ind w:right="-27" w:rightChars="-13" w:firstLine="560" w:firstLineChars="200"/>
        <w:jc w:val="both"/>
        <w:outlineLvl w:val="1"/>
        <w:rPr>
          <w:rFonts w:hint="default" w:ascii="Times New Roman" w:hAnsi="Times New Roman" w:eastAsia="仿宋_GB2312" w:cs="Times New Roman"/>
          <w:color w:val="auto"/>
          <w:kern w:val="2"/>
          <w:sz w:val="28"/>
          <w:szCs w:val="28"/>
          <w:highlight w:val="none"/>
        </w:rPr>
      </w:pPr>
      <w:r>
        <w:rPr>
          <w:rFonts w:hint="default" w:ascii="Times New Roman" w:hAnsi="Times New Roman" w:eastAsia="仿宋_GB2312" w:cs="Times New Roman"/>
          <w:color w:val="auto"/>
          <w:kern w:val="2"/>
          <w:sz w:val="28"/>
          <w:szCs w:val="28"/>
          <w:highlight w:val="none"/>
        </w:rPr>
        <w:t>17．收入确认</w:t>
      </w:r>
    </w:p>
    <w:p>
      <w:pPr>
        <w:pStyle w:val="85"/>
        <w:tabs>
          <w:tab w:val="left" w:pos="8789"/>
          <w:tab w:val="left" w:pos="9214"/>
          <w:tab w:val="left" w:pos="9498"/>
        </w:tabs>
        <w:spacing w:line="500" w:lineRule="exact"/>
        <w:ind w:right="-27" w:rightChars="-13" w:firstLine="560" w:firstLineChars="200"/>
        <w:jc w:val="both"/>
        <w:rPr>
          <w:rFonts w:hint="default" w:ascii="Times New Roman" w:hAnsi="Times New Roman" w:eastAsia="仿宋_GB2312" w:cs="Times New Roman"/>
          <w:color w:val="auto"/>
          <w:kern w:val="2"/>
          <w:sz w:val="28"/>
          <w:szCs w:val="28"/>
          <w:highlight w:val="none"/>
        </w:rPr>
      </w:pPr>
      <w:r>
        <w:rPr>
          <w:rFonts w:hint="default" w:ascii="Times New Roman" w:hAnsi="Times New Roman" w:eastAsia="仿宋_GB2312" w:cs="Times New Roman"/>
          <w:color w:val="auto"/>
          <w:kern w:val="2"/>
          <w:sz w:val="28"/>
          <w:szCs w:val="28"/>
          <w:highlight w:val="none"/>
        </w:rPr>
        <w:t>收入在相关的经济利益很可能流入本行且金额能够可靠计量，同时满足以下不同类型收入的其他确认条件时，予以确认。</w:t>
      </w:r>
    </w:p>
    <w:p>
      <w:pPr>
        <w:pStyle w:val="85"/>
        <w:tabs>
          <w:tab w:val="left" w:pos="8789"/>
          <w:tab w:val="left" w:pos="9214"/>
          <w:tab w:val="left" w:pos="9498"/>
        </w:tabs>
        <w:spacing w:line="500" w:lineRule="exact"/>
        <w:ind w:right="-27" w:rightChars="-13" w:firstLine="560" w:firstLineChars="200"/>
        <w:outlineLvl w:val="2"/>
        <w:rPr>
          <w:rFonts w:hint="default" w:ascii="Times New Roman" w:hAnsi="Times New Roman" w:eastAsia="仿宋_GB2312" w:cs="Times New Roman"/>
          <w:color w:val="auto"/>
          <w:kern w:val="2"/>
          <w:sz w:val="28"/>
          <w:szCs w:val="28"/>
          <w:highlight w:val="none"/>
        </w:rPr>
      </w:pPr>
      <w:r>
        <w:rPr>
          <w:rFonts w:hint="default" w:ascii="Times New Roman" w:hAnsi="Times New Roman" w:eastAsia="仿宋_GB2312" w:cs="Times New Roman"/>
          <w:color w:val="auto"/>
          <w:kern w:val="2"/>
          <w:sz w:val="28"/>
          <w:szCs w:val="28"/>
          <w:highlight w:val="none"/>
        </w:rPr>
        <w:t>17.1利息收入</w:t>
      </w:r>
    </w:p>
    <w:p>
      <w:pPr>
        <w:pStyle w:val="85"/>
        <w:tabs>
          <w:tab w:val="left" w:pos="8789"/>
          <w:tab w:val="left" w:pos="9214"/>
          <w:tab w:val="left" w:pos="9498"/>
        </w:tabs>
        <w:spacing w:line="500" w:lineRule="exact"/>
        <w:ind w:right="-27" w:rightChars="-13" w:firstLine="560" w:firstLineChars="200"/>
        <w:rPr>
          <w:rFonts w:hint="default" w:ascii="Times New Roman" w:hAnsi="Times New Roman" w:eastAsia="仿宋_GB2312" w:cs="Times New Roman"/>
          <w:color w:val="auto"/>
          <w:kern w:val="2"/>
          <w:sz w:val="28"/>
          <w:szCs w:val="28"/>
          <w:highlight w:val="none"/>
        </w:rPr>
      </w:pPr>
      <w:r>
        <w:rPr>
          <w:rFonts w:hint="default" w:ascii="Times New Roman" w:hAnsi="Times New Roman" w:eastAsia="仿宋_GB2312" w:cs="Times New Roman"/>
          <w:color w:val="auto"/>
          <w:kern w:val="2"/>
          <w:sz w:val="28"/>
          <w:szCs w:val="28"/>
          <w:highlight w:val="none"/>
        </w:rPr>
        <w:t>利息收入于产生时以确定的实际利率计量。在确定收益利率时，本行在考虑金融资产或金融负债所有合同条款的基础上预计未来现金流量，但不考虑未来信用损失，金融资产的利息收入根据让渡资金使用权的时间和实际或预计利率计入当期损益。利息收入包括折价或溢价的摊销，当实际利率与合同利率差异不大时，采用合同利率。</w:t>
      </w:r>
    </w:p>
    <w:p>
      <w:pPr>
        <w:pStyle w:val="85"/>
        <w:tabs>
          <w:tab w:val="left" w:pos="8789"/>
          <w:tab w:val="left" w:pos="9214"/>
          <w:tab w:val="left" w:pos="9498"/>
        </w:tabs>
        <w:spacing w:line="500" w:lineRule="exact"/>
        <w:ind w:right="-27" w:rightChars="-13" w:firstLine="560" w:firstLineChars="200"/>
        <w:rPr>
          <w:rFonts w:hint="default" w:ascii="Times New Roman" w:hAnsi="Times New Roman" w:eastAsia="仿宋_GB2312" w:cs="Times New Roman"/>
          <w:color w:val="auto"/>
          <w:kern w:val="2"/>
          <w:sz w:val="28"/>
          <w:szCs w:val="28"/>
          <w:highlight w:val="none"/>
        </w:rPr>
      </w:pPr>
      <w:r>
        <w:rPr>
          <w:rFonts w:hint="default" w:ascii="Times New Roman" w:hAnsi="Times New Roman" w:eastAsia="仿宋_GB2312" w:cs="Times New Roman"/>
          <w:color w:val="auto"/>
          <w:kern w:val="2"/>
          <w:sz w:val="28"/>
          <w:szCs w:val="28"/>
          <w:highlight w:val="none"/>
        </w:rPr>
        <w:t>当一项金融资产或一组类似的金融资产确认减值损失后，确认利息收入所使用的利率为计量减值损失时对未来现金流进行贴现时使用的利率。</w:t>
      </w:r>
    </w:p>
    <w:p>
      <w:pPr>
        <w:pStyle w:val="85"/>
        <w:tabs>
          <w:tab w:val="left" w:pos="8789"/>
          <w:tab w:val="left" w:pos="9214"/>
          <w:tab w:val="left" w:pos="9498"/>
        </w:tabs>
        <w:spacing w:line="500" w:lineRule="exact"/>
        <w:ind w:right="-27" w:rightChars="-13" w:firstLine="560" w:firstLineChars="200"/>
        <w:outlineLvl w:val="2"/>
        <w:rPr>
          <w:rFonts w:hint="default" w:ascii="Times New Roman" w:hAnsi="Times New Roman" w:eastAsia="仿宋_GB2312" w:cs="Times New Roman"/>
          <w:color w:val="auto"/>
          <w:kern w:val="2"/>
          <w:sz w:val="28"/>
          <w:szCs w:val="28"/>
          <w:highlight w:val="none"/>
        </w:rPr>
      </w:pPr>
      <w:r>
        <w:rPr>
          <w:rFonts w:hint="default" w:ascii="Times New Roman" w:hAnsi="Times New Roman" w:eastAsia="仿宋_GB2312" w:cs="Times New Roman"/>
          <w:color w:val="auto"/>
          <w:kern w:val="2"/>
          <w:sz w:val="28"/>
          <w:szCs w:val="28"/>
          <w:highlight w:val="none"/>
        </w:rPr>
        <w:t>17.2手续费和佣金收入</w:t>
      </w:r>
    </w:p>
    <w:p>
      <w:pPr>
        <w:pStyle w:val="85"/>
        <w:tabs>
          <w:tab w:val="left" w:pos="8789"/>
          <w:tab w:val="left" w:pos="9214"/>
          <w:tab w:val="left" w:pos="9498"/>
        </w:tabs>
        <w:spacing w:line="500" w:lineRule="exact"/>
        <w:ind w:right="-27" w:rightChars="-13" w:firstLine="560" w:firstLineChars="200"/>
        <w:rPr>
          <w:rFonts w:hint="default" w:ascii="Times New Roman" w:hAnsi="Times New Roman" w:eastAsia="仿宋_GB2312" w:cs="Times New Roman"/>
          <w:color w:val="auto"/>
          <w:kern w:val="2"/>
          <w:sz w:val="28"/>
          <w:szCs w:val="28"/>
          <w:highlight w:val="none"/>
        </w:rPr>
      </w:pPr>
      <w:r>
        <w:rPr>
          <w:rFonts w:hint="default" w:ascii="Times New Roman" w:hAnsi="Times New Roman" w:eastAsia="仿宋_GB2312" w:cs="Times New Roman"/>
          <w:color w:val="auto"/>
          <w:kern w:val="2"/>
          <w:sz w:val="28"/>
          <w:szCs w:val="28"/>
          <w:highlight w:val="none"/>
        </w:rPr>
        <w:t>手续费和佣金收入在提供相关服务时，根据权责发生制的原则确认。</w:t>
      </w:r>
    </w:p>
    <w:p>
      <w:pPr>
        <w:pStyle w:val="79"/>
        <w:tabs>
          <w:tab w:val="left" w:pos="8789"/>
        </w:tabs>
        <w:autoSpaceDE w:val="0"/>
        <w:autoSpaceDN w:val="0"/>
        <w:adjustRightInd w:val="0"/>
        <w:spacing w:line="480" w:lineRule="exact"/>
        <w:ind w:right="-27" w:rightChars="-13"/>
        <w:jc w:val="left"/>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资产买卖、或参与第三方进行资产买卖交易（如购买客户贷款、证券，或出售业务）时产生的手续费于相关交易完成时确认。</w:t>
      </w:r>
    </w:p>
    <w:p>
      <w:pPr>
        <w:pStyle w:val="79"/>
        <w:tabs>
          <w:tab w:val="left" w:pos="8789"/>
        </w:tabs>
        <w:autoSpaceDE w:val="0"/>
        <w:autoSpaceDN w:val="0"/>
        <w:adjustRightInd w:val="0"/>
        <w:spacing w:line="480" w:lineRule="exact"/>
        <w:ind w:right="-27" w:rightChars="-13"/>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18. 政府补助</w:t>
      </w:r>
    </w:p>
    <w:p>
      <w:pPr>
        <w:pStyle w:val="79"/>
        <w:tabs>
          <w:tab w:val="left" w:pos="8789"/>
        </w:tabs>
        <w:autoSpaceDE w:val="0"/>
        <w:autoSpaceDN w:val="0"/>
        <w:adjustRightInd w:val="0"/>
        <w:spacing w:line="480" w:lineRule="exact"/>
        <w:ind w:right="-27" w:rightChars="-13"/>
        <w:jc w:val="left"/>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政府补助是指本行从政府无偿取得货币性资产和非货币性资产，不包括政府作为所有者投入的资本。政府补助分为与资产相关的政府补助和与收益相关的政府补助。</w:t>
      </w:r>
    </w:p>
    <w:p>
      <w:pPr>
        <w:pStyle w:val="79"/>
        <w:tabs>
          <w:tab w:val="left" w:pos="8789"/>
        </w:tabs>
        <w:autoSpaceDE w:val="0"/>
        <w:autoSpaceDN w:val="0"/>
        <w:adjustRightInd w:val="0"/>
        <w:spacing w:line="480" w:lineRule="exact"/>
        <w:ind w:right="-27" w:rightChars="-13"/>
        <w:jc w:val="left"/>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与资产相关的政府补助，冲减相关资产的账面价值或确认为递延收益。与资产相关的政府补助确认为递延收益的，在相关资产使用寿命内按照合理、系统的方法分期计入当期损益。相关资产在使用寿命结束前被出售、转让、报废或发生毁损的，将尚未分配的相关递延收益余额转入资产处置当期的损益。</w:t>
      </w:r>
    </w:p>
    <w:p>
      <w:pPr>
        <w:pStyle w:val="79"/>
        <w:tabs>
          <w:tab w:val="left" w:pos="8789"/>
        </w:tabs>
        <w:autoSpaceDE w:val="0"/>
        <w:autoSpaceDN w:val="0"/>
        <w:adjustRightInd w:val="0"/>
        <w:spacing w:line="480" w:lineRule="exact"/>
        <w:ind w:right="-27" w:rightChars="-13"/>
        <w:jc w:val="left"/>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与收益相关的政府补助，用于补偿以后期间的相关费用和损失的，确认为递延收益，并在确认相关费用或损失的期间，计入当期损益或冲减相关成本；用于补偿已经发生的相关费用或损失的，直接计入当期损益或冲减相关成本。</w:t>
      </w:r>
    </w:p>
    <w:p>
      <w:pPr>
        <w:pStyle w:val="79"/>
        <w:tabs>
          <w:tab w:val="left" w:pos="8789"/>
        </w:tabs>
        <w:autoSpaceDE w:val="0"/>
        <w:autoSpaceDN w:val="0"/>
        <w:adjustRightInd w:val="0"/>
        <w:spacing w:line="480" w:lineRule="exact"/>
        <w:ind w:right="-27" w:rightChars="-13"/>
        <w:jc w:val="left"/>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对于同时包含与资产相关部分和与收益相关部分的政府补助，区分不同部分分别进行会计处理；难以区分的，整体归类为与收益相关的政府补助。</w:t>
      </w:r>
    </w:p>
    <w:p>
      <w:pPr>
        <w:pStyle w:val="79"/>
        <w:tabs>
          <w:tab w:val="left" w:pos="8789"/>
        </w:tabs>
        <w:autoSpaceDE w:val="0"/>
        <w:autoSpaceDN w:val="0"/>
        <w:adjustRightInd w:val="0"/>
        <w:spacing w:line="480" w:lineRule="exact"/>
        <w:ind w:right="-27" w:rightChars="-13"/>
        <w:jc w:val="left"/>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与企业日常活动相关的政府补助，按照经济业务实质，计入其他收益或冲减相关成本费用。与企业日常活动无关的政府补助，计入营业外收支。</w:t>
      </w:r>
    </w:p>
    <w:p>
      <w:pPr>
        <w:pStyle w:val="79"/>
        <w:tabs>
          <w:tab w:val="left" w:pos="8789"/>
        </w:tabs>
        <w:autoSpaceDE w:val="0"/>
        <w:autoSpaceDN w:val="0"/>
        <w:adjustRightInd w:val="0"/>
        <w:spacing w:line="480" w:lineRule="exact"/>
        <w:ind w:right="-27" w:rightChars="-13"/>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19．所得税</w:t>
      </w:r>
    </w:p>
    <w:p>
      <w:pPr>
        <w:pStyle w:val="79"/>
        <w:tabs>
          <w:tab w:val="left" w:pos="8789"/>
        </w:tabs>
        <w:autoSpaceDE w:val="0"/>
        <w:autoSpaceDN w:val="0"/>
        <w:adjustRightInd w:val="0"/>
        <w:spacing w:line="480" w:lineRule="exact"/>
        <w:ind w:right="-27" w:rightChars="-13"/>
        <w:jc w:val="left"/>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所得税包括当期所得税和递延所得税。除由于与直接计入股东权益的交易或者事项相关的计入股东权益外，均作为所得税费用或收益计入当期损益。</w:t>
      </w:r>
    </w:p>
    <w:p>
      <w:pPr>
        <w:tabs>
          <w:tab w:val="left" w:pos="8789"/>
        </w:tabs>
        <w:spacing w:line="480" w:lineRule="exact"/>
        <w:ind w:right="-27" w:rightChars="-13" w:firstLine="560" w:firstLineChars="200"/>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19.1当期所得税</w:t>
      </w:r>
    </w:p>
    <w:p>
      <w:pPr>
        <w:tabs>
          <w:tab w:val="left" w:pos="8789"/>
        </w:tabs>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当期所得税是按照当期应纳税所得额计算的当期应交所得税金额。计算当期所得税费用所依据的应纳税所得额系根据有关税法规定对本年度税前会计利润作相应调整后计算得出。</w:t>
      </w:r>
    </w:p>
    <w:p>
      <w:pPr>
        <w:tabs>
          <w:tab w:val="left" w:pos="8789"/>
        </w:tabs>
        <w:spacing w:line="480" w:lineRule="exact"/>
        <w:ind w:right="-37"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本行对于当期和以前期间形成的当期所得税负债或资产，按照税法规定计算的预期应缴纳或返还的所得税金额计量。</w:t>
      </w:r>
    </w:p>
    <w:p>
      <w:pPr>
        <w:tabs>
          <w:tab w:val="left" w:pos="8789"/>
        </w:tabs>
        <w:spacing w:line="480" w:lineRule="exact"/>
        <w:ind w:right="-37" w:firstLine="560" w:firstLineChars="200"/>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19.2递延所得税资产及递延所得税负债</w:t>
      </w:r>
    </w:p>
    <w:p>
      <w:pPr>
        <w:tabs>
          <w:tab w:val="left" w:pos="8789"/>
        </w:tabs>
        <w:spacing w:line="480" w:lineRule="exact"/>
        <w:ind w:right="-37"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某些资产、负债项目的账面价值与其计税基础之间的差额，以及未作为资产和负债确认但按照税法规定可以确定其计税基础的项目的账面价值与计税基础之间的差额产生的暂时性差异，采用资产负债表债务法确认递延所得税资产或递延所得税负债。</w:t>
      </w:r>
    </w:p>
    <w:p>
      <w:pPr>
        <w:tabs>
          <w:tab w:val="left" w:pos="8789"/>
        </w:tabs>
        <w:spacing w:line="480" w:lineRule="exact"/>
        <w:ind w:right="-37"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各种应纳税暂时性差异均应确认递延所得税负债，除非应纳税暂时性差异是在以下交易中产生的：该交易发生时既不影响会计利润，也不影响应纳税所得额（或可抵扣亏损）。</w:t>
      </w:r>
    </w:p>
    <w:p>
      <w:pPr>
        <w:tabs>
          <w:tab w:val="left" w:pos="8789"/>
        </w:tabs>
        <w:spacing w:line="480" w:lineRule="exact"/>
        <w:ind w:right="-37"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对于可抵扣暂时性差异，本行以可抵减的未来应纳税所得额为限，确认由此产生的递延所得税资产，除非可抵扣暂时性差异是在以下交易中产生的：该交易发生时既不影响会计利润也不影响应纳税所得额或可抵扣亏损。</w:t>
      </w:r>
    </w:p>
    <w:p>
      <w:pPr>
        <w:tabs>
          <w:tab w:val="left" w:pos="8789"/>
        </w:tabs>
        <w:spacing w:line="480" w:lineRule="exact"/>
        <w:ind w:right="-37"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本行于资产负债表日，对于递延所得税资产和递延所得税负债，依据税法规定，按照预期收回该资产或清偿该负债期间的适用税率计量，并反映资产负债表日预期收回资产或清偿负债的所得税影响。</w:t>
      </w:r>
    </w:p>
    <w:p>
      <w:pPr>
        <w:tabs>
          <w:tab w:val="left" w:pos="8789"/>
        </w:tabs>
        <w:spacing w:line="480" w:lineRule="exact"/>
        <w:ind w:right="-37"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于资产负债表日，本行对递延所得税资产的账面价值进行复核。如果未来期间很可能无法获得足够的应纳税所得额用以抵扣递延所得税资产的利益，减记递延所得税资产的账面价值。在很可能获得足够的应纳税所得额时，减记的金额予以转回。</w:t>
      </w:r>
    </w:p>
    <w:p>
      <w:pPr>
        <w:tabs>
          <w:tab w:val="left" w:pos="8789"/>
          <w:tab w:val="left" w:pos="8931"/>
        </w:tabs>
        <w:spacing w:line="480" w:lineRule="exact"/>
        <w:ind w:right="-27" w:rightChars="-13"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bCs/>
          <w:color w:val="auto"/>
          <w:sz w:val="28"/>
          <w:szCs w:val="28"/>
          <w:highlight w:val="none"/>
        </w:rPr>
        <w:t>根据银行业监管要求计提的贷款损失准备减值准备等形成的应纳所得税差异，在五年内难以转回，本行从谨慎性原则考虑当期未确认相关递延所得税资产及递延所得税负债。</w:t>
      </w:r>
    </w:p>
    <w:p>
      <w:pPr>
        <w:tabs>
          <w:tab w:val="left" w:pos="8789"/>
        </w:tabs>
        <w:adjustRightInd w:val="0"/>
        <w:snapToGrid w:val="0"/>
        <w:spacing w:line="480" w:lineRule="exact"/>
        <w:ind w:right="-37" w:firstLine="560" w:firstLineChars="200"/>
        <w:outlineLvl w:val="1"/>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20. 利润分配</w:t>
      </w:r>
    </w:p>
    <w:p>
      <w:pPr>
        <w:tabs>
          <w:tab w:val="left" w:pos="8789"/>
          <w:tab w:val="left" w:pos="8931"/>
        </w:tabs>
        <w:adjustRightInd w:val="0"/>
        <w:snapToGrid w:val="0"/>
        <w:spacing w:line="480" w:lineRule="exact"/>
        <w:ind w:right="168" w:rightChars="80" w:firstLine="548" w:firstLineChars="196"/>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按股东会及董事会决议进行红利分配及其他项目的利润分配。</w:t>
      </w:r>
    </w:p>
    <w:p>
      <w:pPr>
        <w:tabs>
          <w:tab w:val="left" w:pos="8789"/>
        </w:tabs>
        <w:spacing w:line="480" w:lineRule="exact"/>
        <w:ind w:right="-37" w:firstLine="560" w:firstLineChars="200"/>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21．或有负债</w:t>
      </w:r>
    </w:p>
    <w:p>
      <w:pPr>
        <w:tabs>
          <w:tab w:val="left" w:pos="8789"/>
        </w:tabs>
        <w:spacing w:line="480" w:lineRule="exact"/>
        <w:ind w:right="-37"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或有负债是指过去的交易或者事项形成的潜在义务，其存在须通过不完全由本行控制的一个或数个未来不确定事项的发生或不发生予以证实。或有负债也可能是由于过去事项而产生的现时义务，但履行该义务不是很可能导致经济利益的流出或经济利益的流出不能可靠计量。或有负债不作为预计负债确认，仅在附注中加以披露。如情况发生变化使得该事项很可能导致经济利益的流出且金额能够可靠计量时，将其确认为预计负债。</w:t>
      </w:r>
    </w:p>
    <w:p>
      <w:pPr>
        <w:tabs>
          <w:tab w:val="left" w:pos="8789"/>
        </w:tabs>
        <w:autoSpaceDE w:val="0"/>
        <w:autoSpaceDN w:val="0"/>
        <w:adjustRightInd w:val="0"/>
        <w:spacing w:line="480" w:lineRule="exact"/>
        <w:ind w:right="-27" w:rightChars="-13"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22. 租赁</w:t>
      </w:r>
    </w:p>
    <w:p>
      <w:pPr>
        <w:tabs>
          <w:tab w:val="left" w:pos="8789"/>
        </w:tabs>
        <w:autoSpaceDE w:val="0"/>
        <w:autoSpaceDN w:val="0"/>
        <w:adjustRightInd w:val="0"/>
        <w:spacing w:line="480" w:lineRule="exact"/>
        <w:ind w:right="-27" w:rightChars="-13" w:firstLine="560" w:firstLineChars="200"/>
        <w:jc w:val="left"/>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租赁，是指在一定期间内，出租人将资产的使用权让与承租人以获取对价的合同。</w:t>
      </w:r>
    </w:p>
    <w:p>
      <w:pPr>
        <w:tabs>
          <w:tab w:val="left" w:pos="8789"/>
        </w:tabs>
        <w:autoSpaceDE w:val="0"/>
        <w:autoSpaceDN w:val="0"/>
        <w:adjustRightInd w:val="0"/>
        <w:spacing w:line="480" w:lineRule="exact"/>
        <w:ind w:right="-27" w:rightChars="-13" w:firstLine="560" w:firstLineChars="200"/>
        <w:jc w:val="left"/>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22.1本行作为承租人</w:t>
      </w:r>
    </w:p>
    <w:p>
      <w:pPr>
        <w:tabs>
          <w:tab w:val="left" w:pos="8789"/>
        </w:tabs>
        <w:autoSpaceDE w:val="0"/>
        <w:autoSpaceDN w:val="0"/>
        <w:adjustRightInd w:val="0"/>
        <w:spacing w:line="480" w:lineRule="exact"/>
        <w:ind w:right="-27" w:rightChars="-13" w:firstLine="560" w:firstLineChars="200"/>
        <w:jc w:val="left"/>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于租赁期开始日确认使用权资产，并按尚未支付的租赁付款额的现值确认租赁负债。租赁付款额包括固定付款额，以及在合理确定将行使购买选择权或终止租赁选择权的情况下需支付的款项等。按销售额的一定比例确定的可变租金不纳入租赁付款额，在实际发生时计入当期损益。本行的使用权资产包括租入的房屋及建筑物。使用权资产按照成本进行初始计量，该成本包括租赁负债的初始计量金额、租赁期开始日或之前已支付的租赁付款额、初始直接费用等，并扣除已收到的租赁激励。本行能够合理确定租赁期届满时取得租赁资产所有权的，在租赁资产剩余使用寿命内计提折旧；若无法合理确定租赁期届满时是否能够取得租赁资产所有权，则在租赁期与租赁资产剩余使用寿命两者孰短的期间内计提折旧。当可收回金额低于使用权资产的账面价值时，本行将其账面价值减记至可收回金额。对于租赁期不超过12个月的短期租赁和单项资产全新时价值较低的低价值资产租赁，本行选择不确认使用权资产和租赁负债，将相关租金支出在租赁期内各个期间按照直线法计入当期损益或相关资产成本。</w:t>
      </w:r>
    </w:p>
    <w:p>
      <w:pPr>
        <w:tabs>
          <w:tab w:val="left" w:pos="8789"/>
        </w:tabs>
        <w:autoSpaceDE w:val="0"/>
        <w:autoSpaceDN w:val="0"/>
        <w:adjustRightInd w:val="0"/>
        <w:spacing w:line="480" w:lineRule="exact"/>
        <w:ind w:right="-27" w:rightChars="-13" w:firstLine="560" w:firstLineChars="200"/>
        <w:jc w:val="left"/>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22.2本行作为出租人</w:t>
      </w:r>
    </w:p>
    <w:p>
      <w:pPr>
        <w:tabs>
          <w:tab w:val="left" w:pos="8789"/>
        </w:tabs>
        <w:autoSpaceDE w:val="0"/>
        <w:autoSpaceDN w:val="0"/>
        <w:adjustRightInd w:val="0"/>
        <w:spacing w:line="480" w:lineRule="exact"/>
        <w:ind w:right="-27" w:rightChars="-13" w:firstLine="560" w:firstLineChars="200"/>
        <w:jc w:val="left"/>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实质上转移了与租赁资产所有权有关的几乎全部风险和报酬的租赁为融资租赁。其他的租赁为经营租赁。</w:t>
      </w:r>
    </w:p>
    <w:p>
      <w:pPr>
        <w:tabs>
          <w:tab w:val="left" w:pos="8789"/>
        </w:tabs>
        <w:autoSpaceDE w:val="0"/>
        <w:autoSpaceDN w:val="0"/>
        <w:adjustRightInd w:val="0"/>
        <w:spacing w:line="480" w:lineRule="exact"/>
        <w:ind w:right="-27" w:rightChars="-13" w:firstLine="560" w:firstLineChars="200"/>
        <w:jc w:val="left"/>
        <w:outlineLvl w:val="3"/>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22.2.1经营租赁</w:t>
      </w:r>
    </w:p>
    <w:p>
      <w:pPr>
        <w:tabs>
          <w:tab w:val="left" w:pos="8789"/>
        </w:tabs>
        <w:autoSpaceDE w:val="0"/>
        <w:autoSpaceDN w:val="0"/>
        <w:adjustRightInd w:val="0"/>
        <w:spacing w:line="480" w:lineRule="exact"/>
        <w:ind w:right="-27" w:rightChars="-13" w:firstLine="560" w:firstLineChars="200"/>
        <w:jc w:val="left"/>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本行经营租出自有的房屋建筑物、机器设备及运输工具时，经营租赁的租金收入在租赁期内按照直线法确认。</w:t>
      </w:r>
    </w:p>
    <w:p>
      <w:pPr>
        <w:tabs>
          <w:tab w:val="left" w:pos="8789"/>
        </w:tabs>
        <w:autoSpaceDE w:val="0"/>
        <w:autoSpaceDN w:val="0"/>
        <w:adjustRightInd w:val="0"/>
        <w:spacing w:line="480" w:lineRule="exact"/>
        <w:ind w:right="-27" w:rightChars="-13" w:firstLine="560" w:firstLineChars="200"/>
        <w:jc w:val="left"/>
        <w:outlineLvl w:val="3"/>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22.2.2融资租赁</w:t>
      </w:r>
    </w:p>
    <w:p>
      <w:pPr>
        <w:tabs>
          <w:tab w:val="left" w:pos="8789"/>
        </w:tabs>
        <w:autoSpaceDE w:val="0"/>
        <w:autoSpaceDN w:val="0"/>
        <w:adjustRightInd w:val="0"/>
        <w:spacing w:line="480" w:lineRule="exact"/>
        <w:ind w:right="-27" w:rightChars="-13" w:firstLine="560" w:firstLineChars="200"/>
        <w:jc w:val="left"/>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作为融资租赁出租人，于租赁开始日对融资租赁确认应收融资租赁款，并终止确认相关资产。对应收融资租赁款进行初始计量时以租赁投资净额作为应收融资租赁款的入账价值，在“客户贷款”项目列示。租赁投资净额为未担保余值和租赁期开始日尚未收到的租赁收款额按照租赁内含利率折现的现值之和。当从应收融资租赁款获得现金流的权利已经到期或转移，并且本行已将与租赁物相关的几乎所有风险和报酬转移时，终止确认该项应收融资租赁款。租赁期内本行采用固定的周期性利率计算确认租赁期内各个期间的利息收入。或有租金于实际发生时计入当期损益。</w:t>
      </w:r>
    </w:p>
    <w:p>
      <w:pPr>
        <w:tabs>
          <w:tab w:val="left" w:pos="8789"/>
        </w:tabs>
        <w:autoSpaceDE w:val="0"/>
        <w:autoSpaceDN w:val="0"/>
        <w:adjustRightInd w:val="0"/>
        <w:spacing w:line="480" w:lineRule="exact"/>
        <w:ind w:right="-27" w:rightChars="-13"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23．担保合同</w:t>
      </w:r>
    </w:p>
    <w:p>
      <w:pPr>
        <w:tabs>
          <w:tab w:val="left" w:pos="8789"/>
        </w:tabs>
        <w:autoSpaceDE w:val="0"/>
        <w:autoSpaceDN w:val="0"/>
        <w:adjustRightInd w:val="0"/>
        <w:spacing w:line="480" w:lineRule="exact"/>
        <w:ind w:right="-27" w:rightChars="-13" w:firstLine="560" w:firstLineChars="200"/>
        <w:jc w:val="left"/>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本行开具下列担保合同：银行承兑汇票、信用证、保函。这些担保合同将使本行在被保证方未能履行条款时，向担保合同持有方代为支付款项。担保合同的担保金额作为表外科目披露。</w:t>
      </w:r>
    </w:p>
    <w:p>
      <w:pPr>
        <w:tabs>
          <w:tab w:val="left" w:pos="8789"/>
        </w:tabs>
        <w:spacing w:line="480" w:lineRule="exact"/>
        <w:ind w:right="-37" w:firstLine="560" w:firstLineChars="200"/>
        <w:outlineLvl w:val="0"/>
        <w:rPr>
          <w:rFonts w:hint="default" w:ascii="Times New Roman" w:hAnsi="Times New Roman" w:eastAsia="黑体" w:cs="Times New Roman"/>
          <w:b w:val="0"/>
          <w:bCs/>
          <w:color w:val="auto"/>
          <w:sz w:val="28"/>
          <w:szCs w:val="28"/>
          <w:highlight w:val="none"/>
        </w:rPr>
      </w:pPr>
      <w:r>
        <w:rPr>
          <w:rFonts w:hint="default" w:ascii="Times New Roman" w:hAnsi="Times New Roman" w:eastAsia="黑体" w:cs="Times New Roman"/>
          <w:b w:val="0"/>
          <w:bCs/>
          <w:color w:val="auto"/>
          <w:sz w:val="28"/>
          <w:szCs w:val="28"/>
          <w:highlight w:val="none"/>
        </w:rPr>
        <w:t>五、税项</w:t>
      </w:r>
    </w:p>
    <w:p>
      <w:pPr>
        <w:spacing w:line="480" w:lineRule="exact"/>
        <w:ind w:right="-37"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1．主要税种及税率</w:t>
      </w:r>
    </w:p>
    <w:tbl>
      <w:tblPr>
        <w:tblStyle w:val="25"/>
        <w:tblW w:w="8651" w:type="dxa"/>
        <w:jc w:val="center"/>
        <w:tblInd w:w="0" w:type="dxa"/>
        <w:tblBorders>
          <w:top w:val="double" w:color="auto" w:sz="4" w:space="0"/>
          <w:left w:val="none" w:color="auto" w:sz="0" w:space="0"/>
          <w:bottom w:val="double" w:color="auto" w:sz="4" w:space="0"/>
          <w:right w:val="none" w:color="auto" w:sz="0" w:space="0"/>
          <w:insideH w:val="dotted" w:color="auto" w:sz="4" w:space="0"/>
          <w:insideV w:val="dotted" w:color="auto" w:sz="4" w:space="0"/>
        </w:tblBorders>
        <w:tblLayout w:type="fixed"/>
        <w:tblCellMar>
          <w:top w:w="0" w:type="dxa"/>
          <w:left w:w="108" w:type="dxa"/>
          <w:bottom w:w="0" w:type="dxa"/>
          <w:right w:w="108" w:type="dxa"/>
        </w:tblCellMar>
      </w:tblPr>
      <w:tblGrid>
        <w:gridCol w:w="2781"/>
        <w:gridCol w:w="2694"/>
        <w:gridCol w:w="3176"/>
      </w:tblGrid>
      <w:tr>
        <w:tblPrEx>
          <w:tblBorders>
            <w:top w:val="double" w:color="auto" w:sz="4" w:space="0"/>
            <w:left w:val="none" w:color="auto" w:sz="0" w:space="0"/>
            <w:bottom w:val="double" w:color="auto" w:sz="4" w:space="0"/>
            <w:right w:val="none" w:color="auto" w:sz="0" w:space="0"/>
            <w:insideH w:val="dotted" w:color="auto" w:sz="4" w:space="0"/>
            <w:insideV w:val="dotted" w:color="auto" w:sz="4" w:space="0"/>
          </w:tblBorders>
          <w:tblLayout w:type="fixed"/>
          <w:tblCellMar>
            <w:top w:w="0" w:type="dxa"/>
            <w:left w:w="108" w:type="dxa"/>
            <w:bottom w:w="0" w:type="dxa"/>
            <w:right w:w="108" w:type="dxa"/>
          </w:tblCellMar>
        </w:tblPrEx>
        <w:trPr>
          <w:trHeight w:val="454" w:hRule="atLeast"/>
          <w:tblHeader/>
          <w:jc w:val="center"/>
        </w:trPr>
        <w:tc>
          <w:tcPr>
            <w:tcW w:w="2781" w:type="dxa"/>
            <w:vAlign w:val="center"/>
          </w:tcPr>
          <w:p>
            <w:pPr>
              <w:tabs>
                <w:tab w:val="left" w:pos="8789"/>
              </w:tabs>
              <w:autoSpaceDE w:val="0"/>
              <w:autoSpaceDN w:val="0"/>
              <w:adjustRightInd w:val="0"/>
              <w:spacing w:line="480" w:lineRule="exact"/>
              <w:ind w:right="-27" w:rightChars="-13"/>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税种</w:t>
            </w:r>
          </w:p>
        </w:tc>
        <w:tc>
          <w:tcPr>
            <w:tcW w:w="2694" w:type="dxa"/>
            <w:vAlign w:val="center"/>
          </w:tcPr>
          <w:p>
            <w:pPr>
              <w:tabs>
                <w:tab w:val="left" w:pos="8789"/>
              </w:tabs>
              <w:autoSpaceDE w:val="0"/>
              <w:autoSpaceDN w:val="0"/>
              <w:adjustRightInd w:val="0"/>
              <w:spacing w:line="480" w:lineRule="exact"/>
              <w:ind w:right="-27" w:rightChars="-13" w:firstLine="480" w:firstLineChars="200"/>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计税依据</w:t>
            </w:r>
          </w:p>
        </w:tc>
        <w:tc>
          <w:tcPr>
            <w:tcW w:w="3176" w:type="dxa"/>
            <w:vAlign w:val="center"/>
          </w:tcPr>
          <w:p>
            <w:pPr>
              <w:tabs>
                <w:tab w:val="left" w:pos="8789"/>
              </w:tabs>
              <w:autoSpaceDE w:val="0"/>
              <w:autoSpaceDN w:val="0"/>
              <w:adjustRightInd w:val="0"/>
              <w:spacing w:line="480" w:lineRule="exact"/>
              <w:ind w:right="-27" w:rightChars="-13"/>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税率</w:t>
            </w:r>
          </w:p>
        </w:tc>
      </w:tr>
      <w:tr>
        <w:tblPrEx>
          <w:tblBorders>
            <w:top w:val="double" w:color="auto" w:sz="4" w:space="0"/>
            <w:left w:val="none" w:color="auto" w:sz="0" w:space="0"/>
            <w:bottom w:val="double" w:color="auto" w:sz="4" w:space="0"/>
            <w:right w:val="none" w:color="auto" w:sz="0" w:space="0"/>
            <w:insideH w:val="dotted" w:color="auto" w:sz="4" w:space="0"/>
            <w:insideV w:val="dotted" w:color="auto" w:sz="4" w:space="0"/>
          </w:tblBorders>
          <w:tblLayout w:type="fixed"/>
          <w:tblCellMar>
            <w:top w:w="0" w:type="dxa"/>
            <w:left w:w="108" w:type="dxa"/>
            <w:bottom w:w="0" w:type="dxa"/>
            <w:right w:w="108" w:type="dxa"/>
          </w:tblCellMar>
        </w:tblPrEx>
        <w:trPr>
          <w:trHeight w:val="454" w:hRule="atLeast"/>
          <w:jc w:val="center"/>
        </w:trPr>
        <w:tc>
          <w:tcPr>
            <w:tcW w:w="2781" w:type="dxa"/>
            <w:vAlign w:val="center"/>
          </w:tcPr>
          <w:p>
            <w:pPr>
              <w:tabs>
                <w:tab w:val="left" w:pos="8789"/>
              </w:tabs>
              <w:autoSpaceDE w:val="0"/>
              <w:autoSpaceDN w:val="0"/>
              <w:adjustRightInd w:val="0"/>
              <w:spacing w:line="480" w:lineRule="exact"/>
              <w:ind w:right="-27" w:rightChars="-13"/>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企业所得税</w:t>
            </w:r>
          </w:p>
        </w:tc>
        <w:tc>
          <w:tcPr>
            <w:tcW w:w="2694" w:type="dxa"/>
            <w:vAlign w:val="center"/>
          </w:tcPr>
          <w:p>
            <w:pPr>
              <w:tabs>
                <w:tab w:val="left" w:pos="8789"/>
              </w:tabs>
              <w:autoSpaceDE w:val="0"/>
              <w:autoSpaceDN w:val="0"/>
              <w:adjustRightInd w:val="0"/>
              <w:spacing w:line="480" w:lineRule="exact"/>
              <w:ind w:right="-27" w:rightChars="-13" w:firstLine="480" w:firstLineChars="200"/>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应纳税所得额</w:t>
            </w:r>
          </w:p>
        </w:tc>
        <w:tc>
          <w:tcPr>
            <w:tcW w:w="3176" w:type="dxa"/>
            <w:vAlign w:val="center"/>
          </w:tcPr>
          <w:p>
            <w:pPr>
              <w:ind w:left="1" w:leftChars="-95" w:right="-37" w:hanging="200"/>
              <w:jc w:val="center"/>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25%</w:t>
            </w:r>
          </w:p>
        </w:tc>
      </w:tr>
      <w:tr>
        <w:tblPrEx>
          <w:tblBorders>
            <w:top w:val="double" w:color="auto" w:sz="4" w:space="0"/>
            <w:left w:val="none" w:color="auto" w:sz="0" w:space="0"/>
            <w:bottom w:val="double" w:color="auto" w:sz="4" w:space="0"/>
            <w:right w:val="none" w:color="auto" w:sz="0" w:space="0"/>
            <w:insideH w:val="dotted" w:color="auto" w:sz="4" w:space="0"/>
            <w:insideV w:val="dotted" w:color="auto" w:sz="4" w:space="0"/>
          </w:tblBorders>
          <w:tblLayout w:type="fixed"/>
          <w:tblCellMar>
            <w:top w:w="0" w:type="dxa"/>
            <w:left w:w="108" w:type="dxa"/>
            <w:bottom w:w="0" w:type="dxa"/>
            <w:right w:w="108" w:type="dxa"/>
          </w:tblCellMar>
        </w:tblPrEx>
        <w:trPr>
          <w:trHeight w:val="454" w:hRule="atLeast"/>
          <w:jc w:val="center"/>
        </w:trPr>
        <w:tc>
          <w:tcPr>
            <w:tcW w:w="2781" w:type="dxa"/>
            <w:vAlign w:val="center"/>
          </w:tcPr>
          <w:p>
            <w:pPr>
              <w:tabs>
                <w:tab w:val="left" w:pos="8789"/>
              </w:tabs>
              <w:autoSpaceDE w:val="0"/>
              <w:autoSpaceDN w:val="0"/>
              <w:adjustRightInd w:val="0"/>
              <w:spacing w:line="480" w:lineRule="exact"/>
              <w:ind w:right="-27" w:rightChars="-13"/>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增值税</w:t>
            </w:r>
          </w:p>
        </w:tc>
        <w:tc>
          <w:tcPr>
            <w:tcW w:w="2694" w:type="dxa"/>
            <w:vAlign w:val="center"/>
          </w:tcPr>
          <w:p>
            <w:pPr>
              <w:tabs>
                <w:tab w:val="left" w:pos="8789"/>
              </w:tabs>
              <w:autoSpaceDE w:val="0"/>
              <w:autoSpaceDN w:val="0"/>
              <w:adjustRightInd w:val="0"/>
              <w:spacing w:line="480" w:lineRule="exact"/>
              <w:ind w:right="-27" w:rightChars="-13" w:firstLine="480" w:firstLineChars="200"/>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应税销售额</w:t>
            </w:r>
          </w:p>
        </w:tc>
        <w:tc>
          <w:tcPr>
            <w:tcW w:w="3176" w:type="dxa"/>
            <w:vAlign w:val="center"/>
          </w:tcPr>
          <w:p>
            <w:pPr>
              <w:ind w:left="1" w:leftChars="-95" w:right="-37" w:hanging="200"/>
              <w:jc w:val="center"/>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3%和6%</w:t>
            </w:r>
          </w:p>
        </w:tc>
      </w:tr>
      <w:tr>
        <w:tblPrEx>
          <w:tblBorders>
            <w:top w:val="double" w:color="auto" w:sz="4" w:space="0"/>
            <w:left w:val="none" w:color="auto" w:sz="0" w:space="0"/>
            <w:bottom w:val="double" w:color="auto" w:sz="4" w:space="0"/>
            <w:right w:val="none" w:color="auto" w:sz="0" w:space="0"/>
            <w:insideH w:val="dotted" w:color="auto" w:sz="4" w:space="0"/>
            <w:insideV w:val="dotted" w:color="auto" w:sz="4" w:space="0"/>
          </w:tblBorders>
          <w:tblLayout w:type="fixed"/>
          <w:tblCellMar>
            <w:top w:w="0" w:type="dxa"/>
            <w:left w:w="108" w:type="dxa"/>
            <w:bottom w:w="0" w:type="dxa"/>
            <w:right w:w="108" w:type="dxa"/>
          </w:tblCellMar>
        </w:tblPrEx>
        <w:trPr>
          <w:trHeight w:val="454" w:hRule="atLeast"/>
          <w:jc w:val="center"/>
        </w:trPr>
        <w:tc>
          <w:tcPr>
            <w:tcW w:w="2781" w:type="dxa"/>
            <w:vAlign w:val="center"/>
          </w:tcPr>
          <w:p>
            <w:pPr>
              <w:tabs>
                <w:tab w:val="left" w:pos="8789"/>
              </w:tabs>
              <w:autoSpaceDE w:val="0"/>
              <w:autoSpaceDN w:val="0"/>
              <w:adjustRightInd w:val="0"/>
              <w:spacing w:line="480" w:lineRule="exact"/>
              <w:ind w:right="-27" w:rightChars="-13"/>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城市维护建设税</w:t>
            </w:r>
          </w:p>
        </w:tc>
        <w:tc>
          <w:tcPr>
            <w:tcW w:w="2694" w:type="dxa"/>
            <w:vAlign w:val="center"/>
          </w:tcPr>
          <w:p>
            <w:pPr>
              <w:tabs>
                <w:tab w:val="left" w:pos="8789"/>
              </w:tabs>
              <w:autoSpaceDE w:val="0"/>
              <w:autoSpaceDN w:val="0"/>
              <w:adjustRightInd w:val="0"/>
              <w:spacing w:line="480" w:lineRule="exact"/>
              <w:ind w:right="-27" w:rightChars="-13" w:firstLine="480" w:firstLineChars="200"/>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实际缴纳的增值税</w:t>
            </w:r>
          </w:p>
        </w:tc>
        <w:tc>
          <w:tcPr>
            <w:tcW w:w="3176" w:type="dxa"/>
            <w:vAlign w:val="center"/>
          </w:tcPr>
          <w:p>
            <w:pPr>
              <w:ind w:left="1" w:leftChars="-95" w:right="-37" w:hanging="200"/>
              <w:jc w:val="center"/>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7%</w:t>
            </w:r>
          </w:p>
        </w:tc>
      </w:tr>
      <w:tr>
        <w:tblPrEx>
          <w:tblBorders>
            <w:top w:val="double" w:color="auto" w:sz="4" w:space="0"/>
            <w:left w:val="none" w:color="auto" w:sz="0" w:space="0"/>
            <w:bottom w:val="double" w:color="auto" w:sz="4" w:space="0"/>
            <w:right w:val="none" w:color="auto" w:sz="0" w:space="0"/>
            <w:insideH w:val="dotted" w:color="auto" w:sz="4" w:space="0"/>
            <w:insideV w:val="dotted" w:color="auto" w:sz="4" w:space="0"/>
          </w:tblBorders>
          <w:tblLayout w:type="fixed"/>
          <w:tblCellMar>
            <w:top w:w="0" w:type="dxa"/>
            <w:left w:w="108" w:type="dxa"/>
            <w:bottom w:w="0" w:type="dxa"/>
            <w:right w:w="108" w:type="dxa"/>
          </w:tblCellMar>
        </w:tblPrEx>
        <w:trPr>
          <w:trHeight w:val="454" w:hRule="atLeast"/>
          <w:jc w:val="center"/>
        </w:trPr>
        <w:tc>
          <w:tcPr>
            <w:tcW w:w="2781" w:type="dxa"/>
            <w:vAlign w:val="center"/>
          </w:tcPr>
          <w:p>
            <w:pPr>
              <w:tabs>
                <w:tab w:val="left" w:pos="8789"/>
              </w:tabs>
              <w:autoSpaceDE w:val="0"/>
              <w:autoSpaceDN w:val="0"/>
              <w:adjustRightInd w:val="0"/>
              <w:spacing w:line="480" w:lineRule="exact"/>
              <w:ind w:right="-27" w:rightChars="-13"/>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教育费附加</w:t>
            </w:r>
          </w:p>
        </w:tc>
        <w:tc>
          <w:tcPr>
            <w:tcW w:w="2694" w:type="dxa"/>
            <w:vAlign w:val="center"/>
          </w:tcPr>
          <w:p>
            <w:pPr>
              <w:tabs>
                <w:tab w:val="left" w:pos="8789"/>
              </w:tabs>
              <w:autoSpaceDE w:val="0"/>
              <w:autoSpaceDN w:val="0"/>
              <w:adjustRightInd w:val="0"/>
              <w:spacing w:line="480" w:lineRule="exact"/>
              <w:ind w:right="-27" w:rightChars="-13" w:firstLine="480" w:firstLineChars="200"/>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实际缴纳的增值税</w:t>
            </w:r>
          </w:p>
        </w:tc>
        <w:tc>
          <w:tcPr>
            <w:tcW w:w="3176" w:type="dxa"/>
            <w:vAlign w:val="center"/>
          </w:tcPr>
          <w:p>
            <w:pPr>
              <w:ind w:left="1" w:leftChars="-95" w:right="-37" w:hanging="200"/>
              <w:jc w:val="center"/>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3%</w:t>
            </w:r>
          </w:p>
        </w:tc>
      </w:tr>
      <w:tr>
        <w:tblPrEx>
          <w:tblBorders>
            <w:top w:val="double" w:color="auto" w:sz="4" w:space="0"/>
            <w:left w:val="none" w:color="auto" w:sz="0" w:space="0"/>
            <w:bottom w:val="double" w:color="auto" w:sz="4" w:space="0"/>
            <w:right w:val="none" w:color="auto" w:sz="0" w:space="0"/>
            <w:insideH w:val="dotted" w:color="auto" w:sz="4" w:space="0"/>
            <w:insideV w:val="dotted" w:color="auto" w:sz="4" w:space="0"/>
          </w:tblBorders>
          <w:tblLayout w:type="fixed"/>
          <w:tblCellMar>
            <w:top w:w="0" w:type="dxa"/>
            <w:left w:w="108" w:type="dxa"/>
            <w:bottom w:w="0" w:type="dxa"/>
            <w:right w:w="108" w:type="dxa"/>
          </w:tblCellMar>
        </w:tblPrEx>
        <w:trPr>
          <w:trHeight w:val="454" w:hRule="atLeast"/>
          <w:jc w:val="center"/>
        </w:trPr>
        <w:tc>
          <w:tcPr>
            <w:tcW w:w="2781" w:type="dxa"/>
            <w:vAlign w:val="center"/>
          </w:tcPr>
          <w:p>
            <w:pPr>
              <w:tabs>
                <w:tab w:val="left" w:pos="8789"/>
              </w:tabs>
              <w:autoSpaceDE w:val="0"/>
              <w:autoSpaceDN w:val="0"/>
              <w:adjustRightInd w:val="0"/>
              <w:spacing w:line="480" w:lineRule="exact"/>
              <w:ind w:right="-27" w:rightChars="-13"/>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地方教育费附加</w:t>
            </w:r>
          </w:p>
        </w:tc>
        <w:tc>
          <w:tcPr>
            <w:tcW w:w="2694" w:type="dxa"/>
            <w:vAlign w:val="center"/>
          </w:tcPr>
          <w:p>
            <w:pPr>
              <w:tabs>
                <w:tab w:val="left" w:pos="8789"/>
              </w:tabs>
              <w:autoSpaceDE w:val="0"/>
              <w:autoSpaceDN w:val="0"/>
              <w:adjustRightInd w:val="0"/>
              <w:spacing w:line="480" w:lineRule="exact"/>
              <w:ind w:right="-27" w:rightChars="-13" w:firstLine="480" w:firstLineChars="200"/>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实际缴纳的增值税</w:t>
            </w:r>
          </w:p>
        </w:tc>
        <w:tc>
          <w:tcPr>
            <w:tcW w:w="3176" w:type="dxa"/>
            <w:vAlign w:val="center"/>
          </w:tcPr>
          <w:p>
            <w:pPr>
              <w:ind w:left="1" w:leftChars="-95" w:right="-37" w:hanging="200"/>
              <w:jc w:val="center"/>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2%</w:t>
            </w:r>
          </w:p>
        </w:tc>
      </w:tr>
    </w:tbl>
    <w:p>
      <w:pPr>
        <w:spacing w:line="480" w:lineRule="exact"/>
        <w:ind w:right="-37"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2．税收优惠及批文</w:t>
      </w:r>
    </w:p>
    <w:p>
      <w:pPr>
        <w:spacing w:line="480" w:lineRule="exact"/>
        <w:ind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（1）根据《财政部、国家税务总局关于地方政府债券利息免征所得税问题的通知》（财税〔2013〕5号），2012年及以后年度发行的地方政府债券利息收入免征企业所得税。</w:t>
      </w:r>
    </w:p>
    <w:p>
      <w:pPr>
        <w:spacing w:line="480" w:lineRule="exact"/>
        <w:ind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（2）根据《财政部 税务总局关于延长部分税收优惠政策执行期限的公告》（财政部 税务总局公告2021年第6号），下列文件规定的准备金企业所得税税前扣除政策到期后继续执行：</w:t>
      </w:r>
    </w:p>
    <w:p>
      <w:pPr>
        <w:spacing w:line="480" w:lineRule="exact"/>
        <w:ind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fldChar w:fldCharType="begin"/>
      </w:r>
      <w:r>
        <w:rPr>
          <w:rFonts w:hint="default" w:ascii="Times New Roman" w:hAnsi="Times New Roman" w:eastAsia="仿宋_GB2312" w:cs="Times New Roman"/>
          <w:color w:val="auto"/>
          <w:sz w:val="28"/>
          <w:szCs w:val="28"/>
          <w:highlight w:val="none"/>
        </w:rPr>
        <w:instrText xml:space="preserve"> = 1 \* GB3 </w:instrText>
      </w:r>
      <w:r>
        <w:rPr>
          <w:rFonts w:hint="default" w:ascii="Times New Roman" w:hAnsi="Times New Roman" w:eastAsia="仿宋_GB2312" w:cs="Times New Roman"/>
          <w:color w:val="auto"/>
          <w:sz w:val="28"/>
          <w:szCs w:val="28"/>
          <w:highlight w:val="none"/>
        </w:rPr>
        <w:fldChar w:fldCharType="separate"/>
      </w:r>
      <w:r>
        <w:rPr>
          <w:rFonts w:hint="default" w:ascii="Times New Roman" w:hAnsi="Times New Roman" w:eastAsia="仿宋_GB2312" w:cs="Times New Roman"/>
          <w:color w:val="auto"/>
          <w:sz w:val="28"/>
          <w:szCs w:val="28"/>
          <w:highlight w:val="none"/>
        </w:rPr>
        <w:t>①</w:t>
      </w:r>
      <w:r>
        <w:rPr>
          <w:rFonts w:hint="default" w:ascii="Times New Roman" w:hAnsi="Times New Roman" w:eastAsia="仿宋_GB2312" w:cs="Times New Roman"/>
          <w:color w:val="auto"/>
          <w:sz w:val="28"/>
          <w:szCs w:val="28"/>
          <w:highlight w:val="none"/>
        </w:rPr>
        <w:fldChar w:fldCharType="end"/>
      </w:r>
      <w:r>
        <w:rPr>
          <w:rFonts w:hint="default" w:ascii="Times New Roman" w:hAnsi="Times New Roman" w:eastAsia="仿宋_GB2312" w:cs="Times New Roman"/>
          <w:color w:val="auto"/>
          <w:sz w:val="28"/>
          <w:szCs w:val="28"/>
          <w:highlight w:val="none"/>
        </w:rPr>
        <w:t>财政部、国家税务总局《关于金融企业涉农贷款和中小企业贷款损失准备金税前扣除有关政策的公告》（财税〔2019〕85 号）即：对金融企业发生的符合条件的涉农贷款和中小企业贷款损失，应先冲减已在税前扣除的贷款损失准备金，不足冲减部分可据实在计算应纳税所得额时扣除。</w:t>
      </w:r>
    </w:p>
    <w:p>
      <w:pPr>
        <w:spacing w:line="480" w:lineRule="exact"/>
        <w:ind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fldChar w:fldCharType="begin"/>
      </w:r>
      <w:r>
        <w:rPr>
          <w:rFonts w:hint="default" w:ascii="Times New Roman" w:hAnsi="Times New Roman" w:eastAsia="仿宋_GB2312" w:cs="Times New Roman"/>
          <w:color w:val="auto"/>
          <w:sz w:val="28"/>
          <w:szCs w:val="28"/>
          <w:highlight w:val="none"/>
        </w:rPr>
        <w:instrText xml:space="preserve"> = 2 \* GB3 </w:instrText>
      </w:r>
      <w:r>
        <w:rPr>
          <w:rFonts w:hint="default" w:ascii="Times New Roman" w:hAnsi="Times New Roman" w:eastAsia="仿宋_GB2312" w:cs="Times New Roman"/>
          <w:color w:val="auto"/>
          <w:sz w:val="28"/>
          <w:szCs w:val="28"/>
          <w:highlight w:val="none"/>
        </w:rPr>
        <w:fldChar w:fldCharType="separate"/>
      </w:r>
      <w:r>
        <w:rPr>
          <w:rFonts w:hint="default" w:ascii="Times New Roman" w:hAnsi="Times New Roman" w:eastAsia="仿宋_GB2312" w:cs="Times New Roman"/>
          <w:color w:val="auto"/>
          <w:sz w:val="28"/>
          <w:szCs w:val="28"/>
          <w:highlight w:val="none"/>
        </w:rPr>
        <w:t>②</w:t>
      </w:r>
      <w:r>
        <w:rPr>
          <w:rFonts w:hint="default" w:ascii="Times New Roman" w:hAnsi="Times New Roman" w:eastAsia="仿宋_GB2312" w:cs="Times New Roman"/>
          <w:color w:val="auto"/>
          <w:sz w:val="28"/>
          <w:szCs w:val="28"/>
          <w:highlight w:val="none"/>
        </w:rPr>
        <w:fldChar w:fldCharType="end"/>
      </w:r>
      <w:r>
        <w:rPr>
          <w:rFonts w:hint="default" w:ascii="Times New Roman" w:hAnsi="Times New Roman" w:eastAsia="仿宋_GB2312" w:cs="Times New Roman"/>
          <w:color w:val="auto"/>
          <w:sz w:val="28"/>
          <w:szCs w:val="28"/>
          <w:highlight w:val="none"/>
        </w:rPr>
        <w:t>根据财政部、国家税务总局《关于金融企业贷款损失准备金企业所得税税前扣除有关政策的公告》（财税〔2019〕86 号），对金融企业发生的符合条件的贷款损失，应先冲减已在税前扣除的贷款损失准备金，不足冲减部分可据实在计算当年应纳税所得额时扣除。</w:t>
      </w:r>
    </w:p>
    <w:p>
      <w:pPr>
        <w:spacing w:line="480" w:lineRule="exact"/>
        <w:ind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（3）以下与本金融机构相关税收优惠政策执行至2027年12月31日：</w:t>
      </w:r>
    </w:p>
    <w:p>
      <w:pPr>
        <w:spacing w:line="480" w:lineRule="exact"/>
        <w:ind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fldChar w:fldCharType="begin"/>
      </w:r>
      <w:r>
        <w:rPr>
          <w:rFonts w:hint="default" w:ascii="Times New Roman" w:hAnsi="Times New Roman" w:eastAsia="仿宋_GB2312" w:cs="Times New Roman"/>
          <w:color w:val="auto"/>
          <w:sz w:val="28"/>
          <w:szCs w:val="28"/>
          <w:highlight w:val="none"/>
        </w:rPr>
        <w:instrText xml:space="preserve"> = 1 \* GB3 </w:instrText>
      </w:r>
      <w:r>
        <w:rPr>
          <w:rFonts w:hint="default" w:ascii="Times New Roman" w:hAnsi="Times New Roman" w:eastAsia="仿宋_GB2312" w:cs="Times New Roman"/>
          <w:color w:val="auto"/>
          <w:sz w:val="28"/>
          <w:szCs w:val="28"/>
          <w:highlight w:val="none"/>
        </w:rPr>
        <w:fldChar w:fldCharType="separate"/>
      </w:r>
      <w:r>
        <w:rPr>
          <w:rFonts w:hint="default" w:ascii="Times New Roman" w:hAnsi="Times New Roman" w:eastAsia="仿宋_GB2312" w:cs="Times New Roman"/>
          <w:color w:val="auto"/>
          <w:sz w:val="28"/>
          <w:szCs w:val="28"/>
          <w:highlight w:val="none"/>
        </w:rPr>
        <w:t>①</w:t>
      </w:r>
      <w:r>
        <w:rPr>
          <w:rFonts w:hint="default" w:ascii="Times New Roman" w:hAnsi="Times New Roman" w:eastAsia="仿宋_GB2312" w:cs="Times New Roman"/>
          <w:color w:val="auto"/>
          <w:sz w:val="28"/>
          <w:szCs w:val="28"/>
          <w:highlight w:val="none"/>
        </w:rPr>
        <w:fldChar w:fldCharType="end"/>
      </w:r>
      <w:r>
        <w:rPr>
          <w:rFonts w:hint="default" w:ascii="Times New Roman" w:hAnsi="Times New Roman" w:eastAsia="仿宋_GB2312" w:cs="Times New Roman"/>
          <w:color w:val="auto"/>
          <w:sz w:val="28"/>
          <w:szCs w:val="28"/>
          <w:highlight w:val="none"/>
        </w:rPr>
        <w:t>根据《财政部 税务总局关于支持小微企业融资有关税收政策的公告》（财税〔2023〕13号），对金融机构向小型企业、微型企业及个体工商户发放小额贷款取得的利息收入，免征增值税；对金融机构与小型企业、微型企业签订的借款合同免征印花税。公告所称小额贷款，是指单户授信小于100万元（含本数）的小型企业、微型企业或个体工商户贷款；没有授信额度的，是指单户贷款合同金额且贷款余额在100万元（含本数）以下的贷款。</w:t>
      </w:r>
    </w:p>
    <w:p>
      <w:pPr>
        <w:spacing w:line="480" w:lineRule="exact"/>
        <w:ind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fldChar w:fldCharType="begin"/>
      </w:r>
      <w:r>
        <w:rPr>
          <w:rFonts w:hint="default" w:ascii="Times New Roman" w:hAnsi="Times New Roman" w:eastAsia="仿宋_GB2312" w:cs="Times New Roman"/>
          <w:color w:val="auto"/>
          <w:sz w:val="28"/>
          <w:szCs w:val="28"/>
          <w:highlight w:val="none"/>
        </w:rPr>
        <w:instrText xml:space="preserve"> = 2 \* GB3 </w:instrText>
      </w:r>
      <w:r>
        <w:rPr>
          <w:rFonts w:hint="default" w:ascii="Times New Roman" w:hAnsi="Times New Roman" w:eastAsia="仿宋_GB2312" w:cs="Times New Roman"/>
          <w:color w:val="auto"/>
          <w:sz w:val="28"/>
          <w:szCs w:val="28"/>
          <w:highlight w:val="none"/>
        </w:rPr>
        <w:fldChar w:fldCharType="separate"/>
      </w:r>
      <w:r>
        <w:rPr>
          <w:rFonts w:hint="default" w:ascii="Times New Roman" w:hAnsi="Times New Roman" w:eastAsia="仿宋_GB2312" w:cs="Times New Roman"/>
          <w:color w:val="auto"/>
          <w:sz w:val="28"/>
          <w:szCs w:val="28"/>
          <w:highlight w:val="none"/>
        </w:rPr>
        <w:t>②</w:t>
      </w:r>
      <w:r>
        <w:rPr>
          <w:rFonts w:hint="default" w:ascii="Times New Roman" w:hAnsi="Times New Roman" w:eastAsia="仿宋_GB2312" w:cs="Times New Roman"/>
          <w:color w:val="auto"/>
          <w:sz w:val="28"/>
          <w:szCs w:val="28"/>
          <w:highlight w:val="none"/>
        </w:rPr>
        <w:fldChar w:fldCharType="end"/>
      </w:r>
      <w:r>
        <w:rPr>
          <w:rFonts w:hint="default" w:ascii="Times New Roman" w:hAnsi="Times New Roman" w:eastAsia="仿宋_GB2312" w:cs="Times New Roman"/>
          <w:color w:val="auto"/>
          <w:sz w:val="28"/>
          <w:szCs w:val="28"/>
          <w:highlight w:val="none"/>
        </w:rPr>
        <w:t>根据《财政部 税务总局关于金融机构小微企业贷款利息收入免征增值税政策的公告》（财税〔2023〕16号），对金融机构向小型企业、微型企业和个体工商户发放小额贷款取得的不高于全国银行间同业拆借中心公布的贷款市场报价利率(LPR)150%(含本数)的单笔小额贷款取得的利息收入，免征增值税；通知所称小额贷款，是指单户授信小于1,000万元（含本数）的小型企业、微型企业或个体工商户贷款；没有授信额度的，是指单户贷款合同金额且贷款余额在1,000万元（含本数）以下的贷款。</w:t>
      </w:r>
    </w:p>
    <w:p>
      <w:pPr>
        <w:spacing w:line="480" w:lineRule="exact"/>
        <w:ind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fldChar w:fldCharType="begin"/>
      </w:r>
      <w:r>
        <w:rPr>
          <w:rFonts w:hint="default" w:ascii="Times New Roman" w:hAnsi="Times New Roman" w:eastAsia="仿宋_GB2312" w:cs="Times New Roman"/>
          <w:color w:val="auto"/>
          <w:sz w:val="28"/>
          <w:szCs w:val="28"/>
          <w:highlight w:val="none"/>
        </w:rPr>
        <w:instrText xml:space="preserve"> = 3 \* GB3 </w:instrText>
      </w:r>
      <w:r>
        <w:rPr>
          <w:rFonts w:hint="default" w:ascii="Times New Roman" w:hAnsi="Times New Roman" w:eastAsia="仿宋_GB2312" w:cs="Times New Roman"/>
          <w:color w:val="auto"/>
          <w:sz w:val="28"/>
          <w:szCs w:val="28"/>
          <w:highlight w:val="none"/>
        </w:rPr>
        <w:fldChar w:fldCharType="separate"/>
      </w:r>
      <w:r>
        <w:rPr>
          <w:rFonts w:hint="default" w:ascii="Times New Roman" w:hAnsi="Times New Roman" w:eastAsia="仿宋_GB2312" w:cs="Times New Roman"/>
          <w:color w:val="auto"/>
          <w:sz w:val="28"/>
          <w:szCs w:val="28"/>
          <w:highlight w:val="none"/>
        </w:rPr>
        <w:t>③</w:t>
      </w:r>
      <w:r>
        <w:rPr>
          <w:rFonts w:hint="default" w:ascii="Times New Roman" w:hAnsi="Times New Roman" w:eastAsia="仿宋_GB2312" w:cs="Times New Roman"/>
          <w:color w:val="auto"/>
          <w:sz w:val="28"/>
          <w:szCs w:val="28"/>
          <w:highlight w:val="none"/>
        </w:rPr>
        <w:fldChar w:fldCharType="end"/>
      </w:r>
      <w:r>
        <w:rPr>
          <w:rFonts w:hint="default" w:ascii="Times New Roman" w:hAnsi="Times New Roman" w:eastAsia="仿宋_GB2312" w:cs="Times New Roman"/>
          <w:color w:val="auto"/>
          <w:sz w:val="28"/>
          <w:szCs w:val="28"/>
          <w:highlight w:val="none"/>
        </w:rPr>
        <w:t>根据《财政部 税务总局关于延续实施支持农村金融发展企业所得税政策的公告》（财税〔2023〕55号），对金融机构农户小额贷款的利息收入，在计算应纳税所得额时，按90%计入收入总额。本通知所称小额贷款，是指单笔且该农户贷款余额总额在10万元（含本数）以下的贷款。</w:t>
      </w:r>
    </w:p>
    <w:p>
      <w:pPr>
        <w:spacing w:line="480" w:lineRule="exact"/>
        <w:ind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fldChar w:fldCharType="begin"/>
      </w:r>
      <w:r>
        <w:rPr>
          <w:rFonts w:hint="default" w:ascii="Times New Roman" w:hAnsi="Times New Roman" w:eastAsia="仿宋_GB2312" w:cs="Times New Roman"/>
          <w:color w:val="auto"/>
          <w:sz w:val="28"/>
          <w:szCs w:val="28"/>
          <w:highlight w:val="none"/>
        </w:rPr>
        <w:instrText xml:space="preserve"> = 4 \* GB3 </w:instrText>
      </w:r>
      <w:r>
        <w:rPr>
          <w:rFonts w:hint="default" w:ascii="Times New Roman" w:hAnsi="Times New Roman" w:eastAsia="仿宋_GB2312" w:cs="Times New Roman"/>
          <w:color w:val="auto"/>
          <w:sz w:val="28"/>
          <w:szCs w:val="28"/>
          <w:highlight w:val="none"/>
        </w:rPr>
        <w:fldChar w:fldCharType="separate"/>
      </w:r>
      <w:r>
        <w:rPr>
          <w:rFonts w:hint="default" w:ascii="Times New Roman" w:hAnsi="Times New Roman" w:eastAsia="仿宋_GB2312" w:cs="Times New Roman"/>
          <w:color w:val="auto"/>
          <w:sz w:val="28"/>
          <w:szCs w:val="28"/>
          <w:highlight w:val="none"/>
        </w:rPr>
        <w:t>④</w:t>
      </w:r>
      <w:r>
        <w:rPr>
          <w:rFonts w:hint="default" w:ascii="Times New Roman" w:hAnsi="Times New Roman" w:eastAsia="仿宋_GB2312" w:cs="Times New Roman"/>
          <w:color w:val="auto"/>
          <w:sz w:val="28"/>
          <w:szCs w:val="28"/>
          <w:highlight w:val="none"/>
        </w:rPr>
        <w:fldChar w:fldCharType="end"/>
      </w:r>
      <w:r>
        <w:rPr>
          <w:rFonts w:hint="default" w:ascii="Times New Roman" w:hAnsi="Times New Roman" w:eastAsia="仿宋_GB2312" w:cs="Times New Roman"/>
          <w:color w:val="auto"/>
          <w:sz w:val="28"/>
          <w:szCs w:val="28"/>
          <w:highlight w:val="none"/>
        </w:rPr>
        <w:t>根据《财政部 税务总局关于延续实施金融机构农户贷款利息收入免征增值税政策的公告》（财税〔2023〕67号），对金融机构向农户发放小额贷款取得的利息收入，免征增值税；公告所称小额贷款，是指单户授信小于100万元(含本数)的农户贷款;没有授信额度的，是指单户贷款合同金额且贷款余额在100万元(含本数)以下的贷款。</w:t>
      </w:r>
    </w:p>
    <w:p>
      <w:pPr>
        <w:tabs>
          <w:tab w:val="left" w:pos="8789"/>
        </w:tabs>
        <w:autoSpaceDE w:val="0"/>
        <w:autoSpaceDN w:val="0"/>
        <w:adjustRightInd w:val="0"/>
        <w:spacing w:line="480" w:lineRule="exact"/>
        <w:ind w:right="-27" w:rightChars="-13" w:firstLine="560" w:firstLineChars="200"/>
        <w:jc w:val="left"/>
        <w:outlineLvl w:val="2"/>
        <w:rPr>
          <w:rFonts w:hint="default" w:ascii="Times New Roman" w:hAnsi="Times New Roman" w:eastAsia="黑体" w:cs="Times New Roman"/>
          <w:b w:val="0"/>
          <w:bCs/>
          <w:color w:val="auto"/>
          <w:sz w:val="28"/>
          <w:szCs w:val="28"/>
          <w:highlight w:val="none"/>
        </w:rPr>
      </w:pPr>
      <w:r>
        <w:rPr>
          <w:rFonts w:hint="default" w:ascii="Times New Roman" w:hAnsi="Times New Roman" w:eastAsia="黑体" w:cs="Times New Roman"/>
          <w:b w:val="0"/>
          <w:bCs/>
          <w:color w:val="auto"/>
          <w:sz w:val="28"/>
          <w:szCs w:val="28"/>
          <w:highlight w:val="none"/>
        </w:rPr>
        <w:t>六、会计政策和会计估计变更</w:t>
      </w:r>
    </w:p>
    <w:p>
      <w:pPr>
        <w:tabs>
          <w:tab w:val="left" w:pos="8789"/>
        </w:tabs>
        <w:autoSpaceDE w:val="0"/>
        <w:autoSpaceDN w:val="0"/>
        <w:adjustRightInd w:val="0"/>
        <w:spacing w:line="480" w:lineRule="exact"/>
        <w:ind w:right="-27" w:rightChars="-13" w:firstLine="560" w:firstLineChars="200"/>
        <w:jc w:val="left"/>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1．会计政策变更</w:t>
      </w:r>
    </w:p>
    <w:p>
      <w:pPr>
        <w:tabs>
          <w:tab w:val="left" w:pos="8789"/>
        </w:tabs>
        <w:autoSpaceDE w:val="0"/>
        <w:autoSpaceDN w:val="0"/>
        <w:adjustRightInd w:val="0"/>
        <w:spacing w:line="480" w:lineRule="exact"/>
        <w:ind w:right="-27" w:rightChars="-13" w:firstLine="560" w:firstLineChars="200"/>
        <w:jc w:val="left"/>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本报告期主要会计政策是否变更：否。</w:t>
      </w:r>
    </w:p>
    <w:p>
      <w:pPr>
        <w:spacing w:line="480" w:lineRule="exact"/>
        <w:ind w:right="-37" w:firstLine="560" w:firstLineChars="200"/>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2．会计估计变更</w:t>
      </w:r>
    </w:p>
    <w:p>
      <w:pPr>
        <w:spacing w:line="480" w:lineRule="exact"/>
        <w:ind w:right="-37"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本报告期主要会计估计是否变更：否。</w:t>
      </w:r>
    </w:p>
    <w:p>
      <w:pPr>
        <w:tabs>
          <w:tab w:val="left" w:pos="8789"/>
        </w:tabs>
        <w:autoSpaceDE w:val="0"/>
        <w:autoSpaceDN w:val="0"/>
        <w:adjustRightInd w:val="0"/>
        <w:spacing w:line="480" w:lineRule="exact"/>
        <w:ind w:right="-27" w:rightChars="-13" w:firstLine="560" w:firstLineChars="200"/>
        <w:jc w:val="left"/>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3．本行2025年度前期差错更正事项：无。</w:t>
      </w:r>
    </w:p>
    <w:p>
      <w:pPr>
        <w:tabs>
          <w:tab w:val="left" w:pos="8789"/>
        </w:tabs>
        <w:autoSpaceDE w:val="0"/>
        <w:autoSpaceDN w:val="0"/>
        <w:adjustRightInd w:val="0"/>
        <w:spacing w:line="480" w:lineRule="exact"/>
        <w:ind w:right="-27" w:rightChars="-13" w:firstLine="560" w:firstLineChars="200"/>
        <w:jc w:val="left"/>
        <w:outlineLvl w:val="2"/>
        <w:rPr>
          <w:rFonts w:hint="default" w:ascii="Times New Roman" w:hAnsi="Times New Roman" w:eastAsia="黑体" w:cs="Times New Roman"/>
          <w:b w:val="0"/>
          <w:bCs/>
          <w:color w:val="auto"/>
          <w:sz w:val="28"/>
          <w:szCs w:val="28"/>
          <w:highlight w:val="none"/>
        </w:rPr>
      </w:pPr>
      <w:r>
        <w:rPr>
          <w:rFonts w:hint="default" w:ascii="Times New Roman" w:hAnsi="Times New Roman" w:eastAsia="黑体" w:cs="Times New Roman"/>
          <w:b w:val="0"/>
          <w:bCs/>
          <w:color w:val="auto"/>
          <w:sz w:val="28"/>
          <w:szCs w:val="28"/>
          <w:highlight w:val="none"/>
        </w:rPr>
        <w:t>七、财务报表项目的注释</w:t>
      </w:r>
    </w:p>
    <w:p>
      <w:pPr>
        <w:spacing w:line="480" w:lineRule="exact"/>
        <w:ind w:right="-37"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本年度报告除特别注明外，均以万元为单位，可能因四舍五入而存在尾差。</w:t>
      </w:r>
    </w:p>
    <w:p>
      <w:pPr>
        <w:spacing w:line="480" w:lineRule="exact"/>
        <w:ind w:right="-37"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1.现金及存放中央银行款项</w:t>
      </w:r>
    </w:p>
    <w:tbl>
      <w:tblPr>
        <w:tblStyle w:val="25"/>
        <w:tblW w:w="896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21"/>
        <w:gridCol w:w="2424"/>
        <w:gridCol w:w="24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4121" w:type="dxa"/>
            <w:noWrap/>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2424" w:type="dxa"/>
            <w:vAlign w:val="center"/>
          </w:tcPr>
          <w:p>
            <w:pPr>
              <w:widowControl/>
              <w:ind w:right="-37"/>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rPr>
              <w:t>202</w:t>
            </w:r>
            <w:r>
              <w:rPr>
                <w:rFonts w:hint="default" w:ascii="Times New Roman" w:hAnsi="Times New Roman" w:eastAsia="仿宋_GB2312" w:cs="Times New Roman"/>
                <w:color w:val="auto"/>
                <w:kern w:val="0"/>
                <w:sz w:val="24"/>
                <w:szCs w:val="24"/>
                <w:highlight w:val="none"/>
                <w:lang w:val="en-US" w:eastAsia="zh-CN"/>
              </w:rPr>
              <w:t>6</w:t>
            </w:r>
            <w:r>
              <w:rPr>
                <w:rFonts w:hint="default" w:ascii="Times New Roman" w:hAnsi="Times New Roman" w:eastAsia="仿宋_GB2312" w:cs="Times New Roman"/>
                <w:color w:val="auto"/>
                <w:kern w:val="0"/>
                <w:sz w:val="24"/>
                <w:szCs w:val="24"/>
                <w:highlight w:val="none"/>
              </w:rPr>
              <w:t>-</w:t>
            </w:r>
            <w:r>
              <w:rPr>
                <w:rFonts w:hint="default" w:ascii="Times New Roman" w:hAnsi="Times New Roman" w:eastAsia="仿宋_GB2312" w:cs="Times New Roman"/>
                <w:color w:val="auto"/>
                <w:kern w:val="0"/>
                <w:sz w:val="24"/>
                <w:szCs w:val="24"/>
                <w:highlight w:val="none"/>
                <w:lang w:val="en-US" w:eastAsia="zh-CN"/>
              </w:rPr>
              <w:t>6</w:t>
            </w:r>
            <w:r>
              <w:rPr>
                <w:rFonts w:hint="default" w:ascii="Times New Roman" w:hAnsi="Times New Roman" w:eastAsia="仿宋_GB2312" w:cs="Times New Roman"/>
                <w:color w:val="auto"/>
                <w:kern w:val="0"/>
                <w:sz w:val="24"/>
                <w:szCs w:val="24"/>
                <w:highlight w:val="none"/>
              </w:rPr>
              <w:t>-3</w:t>
            </w:r>
            <w:r>
              <w:rPr>
                <w:rFonts w:hint="default" w:ascii="Times New Roman" w:hAnsi="Times New Roman" w:eastAsia="仿宋_GB2312" w:cs="Times New Roman"/>
                <w:color w:val="auto"/>
                <w:kern w:val="0"/>
                <w:sz w:val="24"/>
                <w:szCs w:val="24"/>
                <w:highlight w:val="none"/>
                <w:lang w:val="en-US" w:eastAsia="zh-CN"/>
              </w:rPr>
              <w:t>0</w:t>
            </w:r>
          </w:p>
        </w:tc>
        <w:tc>
          <w:tcPr>
            <w:tcW w:w="2424" w:type="dxa"/>
            <w:noWrap/>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202</w:t>
            </w:r>
            <w:r>
              <w:rPr>
                <w:rFonts w:hint="default" w:ascii="Times New Roman" w:hAnsi="Times New Roman" w:eastAsia="仿宋_GB2312" w:cs="Times New Roman"/>
                <w:color w:val="auto"/>
                <w:kern w:val="0"/>
                <w:sz w:val="24"/>
                <w:szCs w:val="24"/>
                <w:highlight w:val="none"/>
                <w:lang w:val="en-US" w:eastAsia="zh-CN"/>
              </w:rPr>
              <w:t>5</w:t>
            </w:r>
            <w:r>
              <w:rPr>
                <w:rFonts w:hint="default" w:ascii="Times New Roman" w:hAnsi="Times New Roman" w:eastAsia="仿宋_GB2312" w:cs="Times New Roman"/>
                <w:color w:val="auto"/>
                <w:kern w:val="0"/>
                <w:sz w:val="24"/>
                <w:szCs w:val="24"/>
                <w:highlight w:val="none"/>
              </w:rPr>
              <w:t>-12-31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21" w:type="dxa"/>
            <w:noWrap/>
            <w:vAlign w:val="center"/>
          </w:tcPr>
          <w:p>
            <w:pPr>
              <w:widowControl/>
              <w:spacing w:line="240" w:lineRule="exact"/>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现金</w:t>
            </w:r>
          </w:p>
        </w:tc>
        <w:tc>
          <w:tcPr>
            <w:tcW w:w="2424" w:type="dxa"/>
            <w:vAlign w:val="center"/>
          </w:tcPr>
          <w:p>
            <w:pPr>
              <w:widowControl/>
              <w:ind w:right="-37"/>
              <w:jc w:val="right"/>
              <w:textAlignment w:val="center"/>
              <w:rPr>
                <w:rFonts w:hint="default" w:ascii="Times New Roman" w:hAnsi="Times New Roman" w:eastAsia="仿宋_GB2312" w:cs="Times New Roman"/>
                <w:color w:val="auto"/>
                <w:sz w:val="22"/>
                <w:highlight w:val="none"/>
                <w:lang w:val="en-US" w:eastAsia="zh-CN"/>
              </w:rPr>
            </w:pPr>
            <w:r>
              <w:rPr>
                <w:rFonts w:hint="default" w:ascii="Times New Roman" w:hAnsi="Times New Roman" w:eastAsia="仿宋_GB2312" w:cs="Times New Roman"/>
                <w:color w:val="auto"/>
                <w:sz w:val="22"/>
                <w:highlight w:val="none"/>
                <w:lang w:val="en-US" w:eastAsia="zh-CN"/>
              </w:rPr>
              <w:t>9,527.13</w:t>
            </w:r>
          </w:p>
        </w:tc>
        <w:tc>
          <w:tcPr>
            <w:tcW w:w="2424" w:type="dxa"/>
            <w:noWrap/>
            <w:vAlign w:val="center"/>
          </w:tcPr>
          <w:p>
            <w:pPr>
              <w:widowControl/>
              <w:ind w:right="-37"/>
              <w:jc w:val="right"/>
              <w:textAlignment w:val="center"/>
              <w:rPr>
                <w:rFonts w:hint="default" w:ascii="Times New Roman" w:hAnsi="Times New Roman" w:eastAsia="仿宋_GB2312" w:cs="Times New Roman"/>
                <w:color w:val="auto"/>
                <w:sz w:val="22"/>
                <w:highlight w:val="none"/>
              </w:rPr>
            </w:pPr>
            <w:r>
              <w:rPr>
                <w:rFonts w:hint="default" w:ascii="Times New Roman" w:hAnsi="Times New Roman" w:eastAsia="仿宋_GB2312" w:cs="Times New Roman"/>
                <w:color w:val="auto"/>
                <w:sz w:val="22"/>
                <w:highlight w:val="none"/>
                <w:lang w:val="en-US" w:eastAsia="zh-CN"/>
              </w:rPr>
              <w:t xml:space="preserve"> 10,907.63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21" w:type="dxa"/>
            <w:noWrap/>
            <w:vAlign w:val="center"/>
          </w:tcPr>
          <w:p>
            <w:pPr>
              <w:widowControl/>
              <w:spacing w:line="240" w:lineRule="exact"/>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存放中央银行法定存款准备金</w:t>
            </w:r>
          </w:p>
        </w:tc>
        <w:tc>
          <w:tcPr>
            <w:tcW w:w="2424" w:type="dxa"/>
            <w:vAlign w:val="center"/>
          </w:tcPr>
          <w:p>
            <w:pPr>
              <w:widowControl/>
              <w:ind w:right="-37"/>
              <w:jc w:val="right"/>
              <w:textAlignment w:val="center"/>
              <w:rPr>
                <w:rFonts w:hint="default" w:ascii="Times New Roman" w:hAnsi="Times New Roman" w:eastAsia="仿宋_GB2312" w:cs="Times New Roman"/>
                <w:color w:val="auto"/>
                <w:sz w:val="22"/>
                <w:highlight w:val="none"/>
                <w:lang w:val="en-US" w:eastAsia="zh-CN"/>
              </w:rPr>
            </w:pPr>
            <w:r>
              <w:rPr>
                <w:rFonts w:hint="default" w:ascii="Times New Roman" w:hAnsi="Times New Roman" w:eastAsia="仿宋_GB2312" w:cs="Times New Roman"/>
                <w:color w:val="auto"/>
                <w:sz w:val="22"/>
                <w:highlight w:val="none"/>
                <w:lang w:val="en-US" w:eastAsia="zh-CN"/>
              </w:rPr>
              <w:t>117,559.64</w:t>
            </w:r>
          </w:p>
        </w:tc>
        <w:tc>
          <w:tcPr>
            <w:tcW w:w="2424" w:type="dxa"/>
            <w:noWrap/>
            <w:vAlign w:val="center"/>
          </w:tcPr>
          <w:p>
            <w:pPr>
              <w:widowControl/>
              <w:ind w:right="-37"/>
              <w:jc w:val="right"/>
              <w:textAlignment w:val="center"/>
              <w:rPr>
                <w:rFonts w:hint="default" w:ascii="Times New Roman" w:hAnsi="Times New Roman" w:eastAsia="仿宋_GB2312" w:cs="Times New Roman"/>
                <w:color w:val="auto"/>
                <w:sz w:val="22"/>
                <w:highlight w:val="none"/>
              </w:rPr>
            </w:pPr>
            <w:r>
              <w:rPr>
                <w:rFonts w:hint="default" w:ascii="Times New Roman" w:hAnsi="Times New Roman" w:eastAsia="仿宋_GB2312" w:cs="Times New Roman"/>
                <w:color w:val="auto"/>
                <w:sz w:val="22"/>
                <w:highlight w:val="none"/>
                <w:lang w:val="en-US" w:eastAsia="zh-CN"/>
              </w:rPr>
              <w:t xml:space="preserve"> 111,844.00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21" w:type="dxa"/>
            <w:noWrap/>
            <w:vAlign w:val="center"/>
          </w:tcPr>
          <w:p>
            <w:pPr>
              <w:widowControl/>
              <w:spacing w:line="240" w:lineRule="exact"/>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存放中央银行超额存款准备金</w:t>
            </w:r>
          </w:p>
        </w:tc>
        <w:tc>
          <w:tcPr>
            <w:tcW w:w="2424" w:type="dxa"/>
            <w:vAlign w:val="center"/>
          </w:tcPr>
          <w:p>
            <w:pPr>
              <w:widowControl/>
              <w:ind w:right="-37"/>
              <w:jc w:val="right"/>
              <w:textAlignment w:val="center"/>
              <w:rPr>
                <w:rFonts w:hint="default" w:ascii="Times New Roman" w:hAnsi="Times New Roman" w:eastAsia="仿宋_GB2312" w:cs="Times New Roman"/>
                <w:color w:val="auto"/>
                <w:sz w:val="22"/>
                <w:highlight w:val="none"/>
                <w:lang w:val="en-US" w:eastAsia="zh-CN"/>
              </w:rPr>
            </w:pPr>
            <w:r>
              <w:rPr>
                <w:rFonts w:hint="default" w:ascii="Times New Roman" w:hAnsi="Times New Roman" w:eastAsia="仿宋_GB2312" w:cs="Times New Roman"/>
                <w:color w:val="auto"/>
                <w:sz w:val="22"/>
                <w:highlight w:val="none"/>
                <w:lang w:val="en-US" w:eastAsia="zh-CN"/>
              </w:rPr>
              <w:t>852.89</w:t>
            </w:r>
          </w:p>
        </w:tc>
        <w:tc>
          <w:tcPr>
            <w:tcW w:w="2424" w:type="dxa"/>
            <w:noWrap/>
            <w:vAlign w:val="center"/>
          </w:tcPr>
          <w:p>
            <w:pPr>
              <w:widowControl/>
              <w:ind w:right="-37"/>
              <w:jc w:val="right"/>
              <w:textAlignment w:val="center"/>
              <w:rPr>
                <w:rFonts w:hint="default" w:ascii="Times New Roman" w:hAnsi="Times New Roman" w:eastAsia="仿宋_GB2312" w:cs="Times New Roman"/>
                <w:color w:val="auto"/>
                <w:sz w:val="22"/>
                <w:highlight w:val="none"/>
              </w:rPr>
            </w:pPr>
            <w:r>
              <w:rPr>
                <w:rFonts w:hint="default" w:ascii="Times New Roman" w:hAnsi="Times New Roman" w:eastAsia="仿宋_GB2312" w:cs="Times New Roman"/>
                <w:color w:val="auto"/>
                <w:sz w:val="22"/>
                <w:highlight w:val="none"/>
                <w:lang w:val="en-US" w:eastAsia="zh-CN"/>
              </w:rPr>
              <w:t xml:space="preserve"> 1,426.41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21" w:type="dxa"/>
            <w:noWrap/>
            <w:vAlign w:val="center"/>
          </w:tcPr>
          <w:p>
            <w:pPr>
              <w:widowControl/>
              <w:spacing w:line="240" w:lineRule="exact"/>
              <w:ind w:right="-37"/>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财政性存款</w:t>
            </w:r>
          </w:p>
        </w:tc>
        <w:tc>
          <w:tcPr>
            <w:tcW w:w="2424" w:type="dxa"/>
            <w:vAlign w:val="center"/>
          </w:tcPr>
          <w:p>
            <w:pPr>
              <w:widowControl/>
              <w:ind w:right="-37"/>
              <w:jc w:val="right"/>
              <w:textAlignment w:val="center"/>
              <w:rPr>
                <w:rFonts w:hint="default" w:ascii="Times New Roman" w:hAnsi="Times New Roman" w:eastAsia="仿宋_GB2312" w:cs="Times New Roman"/>
                <w:color w:val="auto"/>
                <w:sz w:val="22"/>
                <w:highlight w:val="none"/>
                <w:lang w:val="en-US" w:eastAsia="zh-CN"/>
              </w:rPr>
            </w:pPr>
            <w:r>
              <w:rPr>
                <w:rFonts w:hint="default" w:ascii="Times New Roman" w:hAnsi="Times New Roman" w:eastAsia="仿宋_GB2312" w:cs="Times New Roman"/>
                <w:color w:val="auto"/>
                <w:sz w:val="22"/>
                <w:highlight w:val="none"/>
                <w:lang w:val="en-US" w:eastAsia="zh-CN"/>
              </w:rPr>
              <w:t>31,639.70</w:t>
            </w:r>
          </w:p>
        </w:tc>
        <w:tc>
          <w:tcPr>
            <w:tcW w:w="2424" w:type="dxa"/>
            <w:noWrap/>
            <w:vAlign w:val="center"/>
          </w:tcPr>
          <w:p>
            <w:pPr>
              <w:widowControl/>
              <w:ind w:right="-37"/>
              <w:jc w:val="right"/>
              <w:textAlignment w:val="center"/>
              <w:rPr>
                <w:rFonts w:hint="default" w:ascii="Times New Roman" w:hAnsi="Times New Roman" w:eastAsia="仿宋_GB2312" w:cs="Times New Roman"/>
                <w:color w:val="auto"/>
                <w:sz w:val="22"/>
                <w:highlight w:val="none"/>
              </w:rPr>
            </w:pPr>
            <w:r>
              <w:rPr>
                <w:rFonts w:hint="default" w:ascii="Times New Roman" w:hAnsi="Times New Roman" w:eastAsia="仿宋_GB2312" w:cs="Times New Roman"/>
                <w:color w:val="auto"/>
                <w:sz w:val="22"/>
                <w:highlight w:val="none"/>
                <w:lang w:val="en-US" w:eastAsia="zh-CN"/>
              </w:rPr>
              <w:t xml:space="preserve"> 39.70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21" w:type="dxa"/>
            <w:noWrap/>
            <w:vAlign w:val="center"/>
          </w:tcPr>
          <w:p>
            <w:pPr>
              <w:widowControl/>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合计</w:t>
            </w:r>
          </w:p>
        </w:tc>
        <w:tc>
          <w:tcPr>
            <w:tcW w:w="2424" w:type="dxa"/>
            <w:vAlign w:val="center"/>
          </w:tcPr>
          <w:p>
            <w:pPr>
              <w:widowControl/>
              <w:ind w:right="-37"/>
              <w:jc w:val="right"/>
              <w:textAlignment w:val="center"/>
              <w:rPr>
                <w:rFonts w:hint="default" w:ascii="Times New Roman" w:hAnsi="Times New Roman" w:eastAsia="仿宋_GB2312" w:cs="Times New Roman"/>
                <w:color w:val="auto"/>
                <w:sz w:val="22"/>
                <w:highlight w:val="none"/>
                <w:lang w:val="en-US" w:eastAsia="zh-CN"/>
              </w:rPr>
            </w:pPr>
            <w:r>
              <w:rPr>
                <w:rFonts w:hint="default" w:ascii="Times New Roman" w:hAnsi="Times New Roman" w:eastAsia="仿宋_GB2312" w:cs="Times New Roman"/>
                <w:color w:val="auto"/>
                <w:sz w:val="22"/>
                <w:highlight w:val="none"/>
                <w:lang w:val="en-US" w:eastAsia="zh-CN"/>
              </w:rPr>
              <w:t>159,579.36</w:t>
            </w:r>
          </w:p>
        </w:tc>
        <w:tc>
          <w:tcPr>
            <w:tcW w:w="2424" w:type="dxa"/>
            <w:noWrap/>
            <w:vAlign w:val="center"/>
          </w:tcPr>
          <w:p>
            <w:pPr>
              <w:widowControl/>
              <w:ind w:right="-37"/>
              <w:jc w:val="right"/>
              <w:textAlignment w:val="center"/>
              <w:rPr>
                <w:rFonts w:hint="default" w:ascii="Times New Roman" w:hAnsi="Times New Roman" w:eastAsia="仿宋_GB2312" w:cs="Times New Roman"/>
                <w:color w:val="auto"/>
                <w:sz w:val="22"/>
                <w:highlight w:val="none"/>
              </w:rPr>
            </w:pPr>
            <w:r>
              <w:rPr>
                <w:rFonts w:hint="default" w:ascii="Times New Roman" w:hAnsi="Times New Roman" w:eastAsia="仿宋_GB2312" w:cs="Times New Roman"/>
                <w:color w:val="auto"/>
                <w:sz w:val="22"/>
                <w:highlight w:val="none"/>
                <w:lang w:val="en-US" w:eastAsia="zh-CN"/>
              </w:rPr>
              <w:t xml:space="preserve"> 124,217.74 </w:t>
            </w:r>
          </w:p>
        </w:tc>
      </w:tr>
    </w:tbl>
    <w:p>
      <w:pPr>
        <w:spacing w:line="480" w:lineRule="exact"/>
        <w:ind w:right="168" w:rightChars="80" w:firstLine="560" w:firstLineChars="200"/>
        <w:jc w:val="left"/>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bCs/>
          <w:color w:val="auto"/>
          <w:sz w:val="28"/>
          <w:szCs w:val="28"/>
          <w:highlight w:val="none"/>
        </w:rPr>
        <w:t>注：202</w:t>
      </w:r>
      <w:r>
        <w:rPr>
          <w:rFonts w:hint="default" w:ascii="Times New Roman" w:hAnsi="Times New Roman" w:eastAsia="仿宋_GB2312" w:cs="Times New Roman"/>
          <w:bCs/>
          <w:color w:val="auto"/>
          <w:sz w:val="28"/>
          <w:szCs w:val="28"/>
          <w:highlight w:val="none"/>
          <w:lang w:val="en-US" w:eastAsia="zh-CN"/>
        </w:rPr>
        <w:t>6</w:t>
      </w:r>
      <w:r>
        <w:rPr>
          <w:rFonts w:hint="default" w:ascii="Times New Roman" w:hAnsi="Times New Roman" w:eastAsia="仿宋_GB2312" w:cs="Times New Roman"/>
          <w:bCs/>
          <w:color w:val="auto"/>
          <w:sz w:val="28"/>
          <w:szCs w:val="28"/>
          <w:highlight w:val="none"/>
        </w:rPr>
        <w:t>年</w:t>
      </w:r>
      <w:r>
        <w:rPr>
          <w:rFonts w:hint="default" w:ascii="Times New Roman" w:hAnsi="Times New Roman" w:eastAsia="仿宋_GB2312" w:cs="Times New Roman"/>
          <w:bCs/>
          <w:color w:val="auto"/>
          <w:sz w:val="28"/>
          <w:szCs w:val="28"/>
          <w:highlight w:val="none"/>
          <w:lang w:val="en-US" w:eastAsia="zh-CN"/>
        </w:rPr>
        <w:t>6</w:t>
      </w:r>
      <w:r>
        <w:rPr>
          <w:rFonts w:hint="default" w:ascii="Times New Roman" w:hAnsi="Times New Roman" w:eastAsia="仿宋_GB2312" w:cs="Times New Roman"/>
          <w:bCs/>
          <w:color w:val="auto"/>
          <w:sz w:val="28"/>
          <w:szCs w:val="28"/>
          <w:highlight w:val="none"/>
        </w:rPr>
        <w:t>月</w:t>
      </w:r>
      <w:r>
        <w:rPr>
          <w:rFonts w:hint="default" w:ascii="Times New Roman" w:hAnsi="Times New Roman" w:eastAsia="仿宋_GB2312" w:cs="Times New Roman"/>
          <w:bCs/>
          <w:color w:val="auto"/>
          <w:sz w:val="28"/>
          <w:szCs w:val="28"/>
          <w:highlight w:val="none"/>
          <w:lang w:val="en-US" w:eastAsia="zh-CN"/>
        </w:rPr>
        <w:t>30</w:t>
      </w:r>
      <w:r>
        <w:rPr>
          <w:rFonts w:hint="default" w:ascii="Times New Roman" w:hAnsi="Times New Roman" w:eastAsia="仿宋_GB2312" w:cs="Times New Roman"/>
          <w:bCs/>
          <w:color w:val="auto"/>
          <w:sz w:val="28"/>
          <w:szCs w:val="28"/>
          <w:highlight w:val="none"/>
        </w:rPr>
        <w:t>日人民币存款准备金缴存比率为5%；202</w:t>
      </w:r>
      <w:r>
        <w:rPr>
          <w:rFonts w:hint="default" w:ascii="Times New Roman" w:hAnsi="Times New Roman" w:eastAsia="仿宋_GB2312" w:cs="Times New Roman"/>
          <w:bCs/>
          <w:color w:val="auto"/>
          <w:sz w:val="28"/>
          <w:szCs w:val="28"/>
          <w:highlight w:val="none"/>
          <w:lang w:val="en-US" w:eastAsia="zh-CN"/>
        </w:rPr>
        <w:t>5</w:t>
      </w:r>
      <w:r>
        <w:rPr>
          <w:rFonts w:hint="default" w:ascii="Times New Roman" w:hAnsi="Times New Roman" w:eastAsia="仿宋_GB2312" w:cs="Times New Roman"/>
          <w:bCs/>
          <w:color w:val="auto"/>
          <w:sz w:val="28"/>
          <w:szCs w:val="28"/>
          <w:highlight w:val="none"/>
        </w:rPr>
        <w:t>年12月31日人民币存款准备金缴存比率为5%。</w:t>
      </w:r>
    </w:p>
    <w:p>
      <w:pPr>
        <w:ind w:right="-40" w:firstLine="560" w:firstLineChars="200"/>
        <w:rPr>
          <w:rFonts w:hint="default" w:ascii="Times New Roman" w:hAnsi="Times New Roman" w:eastAsia="仿宋_GB2312" w:cs="Times New Roman"/>
          <w:color w:val="auto"/>
          <w:sz w:val="28"/>
          <w:szCs w:val="28"/>
          <w:highlight w:val="none"/>
        </w:rPr>
      </w:pPr>
      <w:bookmarkStart w:id="8" w:name="_Hlk156049480"/>
      <w:r>
        <w:rPr>
          <w:rFonts w:hint="default" w:ascii="Times New Roman" w:hAnsi="Times New Roman" w:eastAsia="仿宋_GB2312" w:cs="Times New Roman"/>
          <w:color w:val="auto"/>
          <w:sz w:val="28"/>
          <w:szCs w:val="28"/>
          <w:highlight w:val="none"/>
        </w:rPr>
        <w:t>2.存放同业款项</w:t>
      </w:r>
    </w:p>
    <w:tbl>
      <w:tblPr>
        <w:tblStyle w:val="25"/>
        <w:tblW w:w="8972"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23"/>
        <w:gridCol w:w="2421"/>
        <w:gridCol w:w="24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23"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2421" w:type="dxa"/>
            <w:vAlign w:val="center"/>
          </w:tcPr>
          <w:p>
            <w:pPr>
              <w:widowControl/>
              <w:ind w:right="-37"/>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2026-6-30</w:t>
            </w:r>
          </w:p>
        </w:tc>
        <w:tc>
          <w:tcPr>
            <w:tcW w:w="2428"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202</w:t>
            </w:r>
            <w:r>
              <w:rPr>
                <w:rFonts w:hint="default" w:ascii="Times New Roman" w:hAnsi="Times New Roman" w:eastAsia="仿宋_GB2312" w:cs="Times New Roman"/>
                <w:color w:val="auto"/>
                <w:kern w:val="0"/>
                <w:sz w:val="24"/>
                <w:szCs w:val="24"/>
                <w:highlight w:val="none"/>
                <w:lang w:val="en-US" w:eastAsia="zh-CN"/>
              </w:rPr>
              <w:t>5</w:t>
            </w:r>
            <w:r>
              <w:rPr>
                <w:rFonts w:hint="default" w:ascii="Times New Roman" w:hAnsi="Times New Roman" w:eastAsia="仿宋_GB2312" w:cs="Times New Roman"/>
                <w:color w:val="auto"/>
                <w:kern w:val="0"/>
                <w:sz w:val="24"/>
                <w:szCs w:val="24"/>
                <w:highlight w:val="none"/>
              </w:rPr>
              <w:t>-12-31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23"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存放境内银行同业</w:t>
            </w:r>
          </w:p>
        </w:tc>
        <w:tc>
          <w:tcPr>
            <w:tcW w:w="2421" w:type="dxa"/>
            <w:vAlign w:val="center"/>
          </w:tcPr>
          <w:p>
            <w:pPr>
              <w:widowControl/>
              <w:ind w:right="-37"/>
              <w:jc w:val="right"/>
              <w:textAlignment w:val="center"/>
              <w:rPr>
                <w:rFonts w:hint="default" w:ascii="Times New Roman" w:hAnsi="Times New Roman" w:eastAsia="仿宋_GB2312" w:cs="Times New Roman"/>
                <w:color w:val="auto"/>
                <w:sz w:val="22"/>
                <w:highlight w:val="none"/>
                <w:lang w:val="en-US" w:eastAsia="zh-CN"/>
              </w:rPr>
            </w:pPr>
            <w:r>
              <w:rPr>
                <w:rFonts w:hint="default" w:ascii="Times New Roman" w:hAnsi="Times New Roman" w:eastAsia="仿宋_GB2312" w:cs="Times New Roman"/>
                <w:color w:val="auto"/>
                <w:sz w:val="22"/>
                <w:highlight w:val="none"/>
                <w:lang w:val="en-US" w:eastAsia="zh-CN"/>
              </w:rPr>
              <w:t>75,000.00</w:t>
            </w:r>
          </w:p>
        </w:tc>
        <w:tc>
          <w:tcPr>
            <w:tcW w:w="2428" w:type="dxa"/>
            <w:vAlign w:val="center"/>
          </w:tcPr>
          <w:p>
            <w:pPr>
              <w:widowControl/>
              <w:ind w:right="-37"/>
              <w:jc w:val="right"/>
              <w:textAlignment w:val="center"/>
              <w:rPr>
                <w:rFonts w:hint="default" w:ascii="Times New Roman" w:hAnsi="Times New Roman" w:eastAsia="仿宋_GB2312" w:cs="Times New Roman"/>
                <w:color w:val="auto"/>
                <w:sz w:val="22"/>
                <w:highlight w:val="none"/>
              </w:rPr>
            </w:pPr>
            <w:r>
              <w:rPr>
                <w:rFonts w:hint="default" w:ascii="Times New Roman" w:hAnsi="Times New Roman" w:eastAsia="仿宋_GB2312" w:cs="Times New Roman"/>
                <w:color w:val="auto"/>
                <w:sz w:val="22"/>
                <w:highlight w:val="none"/>
              </w:rPr>
              <w:t xml:space="preserve">23,000.00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23"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存放系统内款项</w:t>
            </w:r>
          </w:p>
        </w:tc>
        <w:tc>
          <w:tcPr>
            <w:tcW w:w="2421" w:type="dxa"/>
            <w:vAlign w:val="center"/>
          </w:tcPr>
          <w:p>
            <w:pPr>
              <w:widowControl/>
              <w:ind w:right="-37"/>
              <w:jc w:val="right"/>
              <w:textAlignment w:val="center"/>
              <w:rPr>
                <w:rFonts w:hint="default" w:ascii="Times New Roman" w:hAnsi="Times New Roman" w:eastAsia="仿宋_GB2312" w:cs="Times New Roman"/>
                <w:color w:val="auto"/>
                <w:sz w:val="22"/>
                <w:highlight w:val="none"/>
                <w:lang w:val="en-US" w:eastAsia="zh-CN"/>
              </w:rPr>
            </w:pPr>
            <w:r>
              <w:rPr>
                <w:rFonts w:hint="default" w:ascii="Times New Roman" w:hAnsi="Times New Roman" w:eastAsia="仿宋_GB2312" w:cs="Times New Roman"/>
                <w:color w:val="auto"/>
                <w:sz w:val="22"/>
                <w:highlight w:val="none"/>
                <w:lang w:val="en-US" w:eastAsia="zh-CN"/>
              </w:rPr>
              <w:t>19,876.95</w:t>
            </w:r>
          </w:p>
        </w:tc>
        <w:tc>
          <w:tcPr>
            <w:tcW w:w="2428" w:type="dxa"/>
            <w:vAlign w:val="center"/>
          </w:tcPr>
          <w:p>
            <w:pPr>
              <w:widowControl/>
              <w:ind w:right="-37"/>
              <w:jc w:val="right"/>
              <w:textAlignment w:val="center"/>
              <w:rPr>
                <w:rFonts w:hint="default" w:ascii="Times New Roman" w:hAnsi="Times New Roman" w:eastAsia="仿宋_GB2312" w:cs="Times New Roman"/>
                <w:color w:val="auto"/>
                <w:sz w:val="22"/>
                <w:highlight w:val="none"/>
              </w:rPr>
            </w:pPr>
            <w:r>
              <w:rPr>
                <w:rFonts w:hint="default" w:ascii="Times New Roman" w:hAnsi="Times New Roman" w:eastAsia="仿宋_GB2312" w:cs="Times New Roman"/>
                <w:color w:val="auto"/>
                <w:sz w:val="22"/>
                <w:highlight w:val="none"/>
              </w:rPr>
              <w:t xml:space="preserve">24,377.23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23"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存放同业合计</w:t>
            </w:r>
          </w:p>
        </w:tc>
        <w:tc>
          <w:tcPr>
            <w:tcW w:w="2421" w:type="dxa"/>
            <w:vAlign w:val="center"/>
          </w:tcPr>
          <w:p>
            <w:pPr>
              <w:widowControl/>
              <w:ind w:right="-37"/>
              <w:jc w:val="right"/>
              <w:textAlignment w:val="center"/>
              <w:rPr>
                <w:rFonts w:hint="default" w:ascii="Times New Roman" w:hAnsi="Times New Roman" w:eastAsia="仿宋_GB2312" w:cs="Times New Roman"/>
                <w:color w:val="auto"/>
                <w:sz w:val="22"/>
                <w:highlight w:val="none"/>
                <w:lang w:val="en-US" w:eastAsia="zh-CN"/>
              </w:rPr>
            </w:pPr>
            <w:r>
              <w:rPr>
                <w:rFonts w:hint="default" w:ascii="Times New Roman" w:hAnsi="Times New Roman" w:eastAsia="仿宋_GB2312" w:cs="Times New Roman"/>
                <w:color w:val="auto"/>
                <w:sz w:val="22"/>
                <w:highlight w:val="none"/>
                <w:lang w:val="en-US" w:eastAsia="zh-CN"/>
              </w:rPr>
              <w:t>94,876.95</w:t>
            </w:r>
          </w:p>
        </w:tc>
        <w:tc>
          <w:tcPr>
            <w:tcW w:w="2428" w:type="dxa"/>
            <w:vAlign w:val="center"/>
          </w:tcPr>
          <w:p>
            <w:pPr>
              <w:widowControl/>
              <w:ind w:right="-37"/>
              <w:jc w:val="right"/>
              <w:textAlignment w:val="center"/>
              <w:rPr>
                <w:rFonts w:hint="default" w:ascii="Times New Roman" w:hAnsi="Times New Roman" w:eastAsia="仿宋_GB2312" w:cs="Times New Roman"/>
                <w:color w:val="auto"/>
                <w:sz w:val="22"/>
                <w:highlight w:val="none"/>
              </w:rPr>
            </w:pPr>
            <w:r>
              <w:rPr>
                <w:rFonts w:hint="default" w:ascii="Times New Roman" w:hAnsi="Times New Roman" w:eastAsia="仿宋_GB2312" w:cs="Times New Roman"/>
                <w:color w:val="auto"/>
                <w:sz w:val="22"/>
                <w:highlight w:val="none"/>
                <w:lang w:val="en-US" w:eastAsia="zh-CN"/>
              </w:rPr>
              <w:t>47,377.23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23"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加：应收利息</w:t>
            </w:r>
          </w:p>
        </w:tc>
        <w:tc>
          <w:tcPr>
            <w:tcW w:w="2421" w:type="dxa"/>
            <w:vAlign w:val="center"/>
          </w:tcPr>
          <w:p>
            <w:pPr>
              <w:widowControl/>
              <w:ind w:right="-37"/>
              <w:jc w:val="right"/>
              <w:textAlignment w:val="center"/>
              <w:rPr>
                <w:rFonts w:hint="default" w:ascii="Times New Roman" w:hAnsi="Times New Roman" w:eastAsia="仿宋_GB2312" w:cs="Times New Roman"/>
                <w:color w:val="auto"/>
                <w:sz w:val="22"/>
                <w:highlight w:val="none"/>
                <w:lang w:val="en-US" w:eastAsia="zh-CN"/>
              </w:rPr>
            </w:pPr>
            <w:r>
              <w:rPr>
                <w:rFonts w:hint="default" w:ascii="Times New Roman" w:hAnsi="Times New Roman" w:eastAsia="仿宋_GB2312" w:cs="Times New Roman"/>
                <w:color w:val="auto"/>
                <w:sz w:val="22"/>
                <w:highlight w:val="none"/>
                <w:lang w:val="en-US" w:eastAsia="zh-CN"/>
              </w:rPr>
              <w:t>15.34</w:t>
            </w:r>
          </w:p>
        </w:tc>
        <w:tc>
          <w:tcPr>
            <w:tcW w:w="2428" w:type="dxa"/>
            <w:vAlign w:val="center"/>
          </w:tcPr>
          <w:p>
            <w:pPr>
              <w:widowControl/>
              <w:ind w:right="-37"/>
              <w:jc w:val="right"/>
              <w:textAlignment w:val="center"/>
              <w:rPr>
                <w:rFonts w:hint="default" w:ascii="Times New Roman" w:hAnsi="Times New Roman" w:eastAsia="仿宋_GB2312" w:cs="Times New Roman"/>
                <w:color w:val="auto"/>
                <w:sz w:val="22"/>
                <w:highlight w:val="none"/>
              </w:rPr>
            </w:pPr>
            <w:r>
              <w:rPr>
                <w:rFonts w:hint="default" w:ascii="Times New Roman" w:hAnsi="Times New Roman" w:eastAsia="仿宋_GB2312" w:cs="Times New Roman"/>
                <w:color w:val="auto"/>
                <w:sz w:val="22"/>
                <w:highlight w:val="none"/>
                <w:lang w:val="en-US" w:eastAsia="zh-CN"/>
              </w:rPr>
              <w:t>15.46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23"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减：存放同业坏账准备</w:t>
            </w:r>
          </w:p>
        </w:tc>
        <w:tc>
          <w:tcPr>
            <w:tcW w:w="2421" w:type="dxa"/>
            <w:vAlign w:val="center"/>
          </w:tcPr>
          <w:p>
            <w:pPr>
              <w:widowControl/>
              <w:ind w:right="-37"/>
              <w:jc w:val="right"/>
              <w:textAlignment w:val="center"/>
              <w:rPr>
                <w:rFonts w:hint="default" w:ascii="Times New Roman" w:hAnsi="Times New Roman" w:eastAsia="仿宋_GB2312" w:cs="Times New Roman"/>
                <w:color w:val="auto"/>
                <w:sz w:val="22"/>
                <w:highlight w:val="none"/>
                <w:lang w:val="en-US" w:eastAsia="zh-CN"/>
              </w:rPr>
            </w:pPr>
            <w:r>
              <w:rPr>
                <w:rFonts w:hint="default" w:ascii="Times New Roman" w:hAnsi="Times New Roman" w:eastAsia="仿宋_GB2312" w:cs="Times New Roman"/>
                <w:color w:val="auto"/>
                <w:sz w:val="22"/>
                <w:highlight w:val="none"/>
                <w:lang w:val="en-US" w:eastAsia="zh-CN"/>
              </w:rPr>
              <w:t>808.62</w:t>
            </w:r>
          </w:p>
        </w:tc>
        <w:tc>
          <w:tcPr>
            <w:tcW w:w="2428" w:type="dxa"/>
            <w:vAlign w:val="center"/>
          </w:tcPr>
          <w:p>
            <w:pPr>
              <w:widowControl/>
              <w:ind w:right="-37"/>
              <w:jc w:val="right"/>
              <w:textAlignment w:val="center"/>
              <w:rPr>
                <w:rFonts w:hint="default" w:ascii="Times New Roman" w:hAnsi="Times New Roman" w:eastAsia="仿宋_GB2312" w:cs="Times New Roman"/>
                <w:color w:val="auto"/>
                <w:sz w:val="22"/>
                <w:highlight w:val="none"/>
              </w:rPr>
            </w:pPr>
            <w:r>
              <w:rPr>
                <w:rFonts w:hint="default" w:ascii="Times New Roman" w:hAnsi="Times New Roman" w:eastAsia="仿宋_GB2312" w:cs="Times New Roman"/>
                <w:color w:val="auto"/>
                <w:sz w:val="22"/>
                <w:highlight w:val="none"/>
              </w:rPr>
              <w:t xml:space="preserve">711.62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23"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存放同业账面价值</w:t>
            </w:r>
          </w:p>
        </w:tc>
        <w:tc>
          <w:tcPr>
            <w:tcW w:w="2421" w:type="dxa"/>
            <w:vAlign w:val="center"/>
          </w:tcPr>
          <w:p>
            <w:pPr>
              <w:widowControl/>
              <w:ind w:right="-37"/>
              <w:jc w:val="right"/>
              <w:textAlignment w:val="center"/>
              <w:rPr>
                <w:rFonts w:hint="default" w:ascii="Times New Roman" w:hAnsi="Times New Roman" w:eastAsia="仿宋_GB2312" w:cs="Times New Roman"/>
                <w:color w:val="auto"/>
                <w:sz w:val="22"/>
                <w:highlight w:val="none"/>
                <w:lang w:val="en-US" w:eastAsia="zh-CN"/>
              </w:rPr>
            </w:pPr>
            <w:r>
              <w:rPr>
                <w:rFonts w:hint="default" w:ascii="Times New Roman" w:hAnsi="Times New Roman" w:eastAsia="仿宋_GB2312" w:cs="Times New Roman"/>
                <w:color w:val="auto"/>
                <w:sz w:val="22"/>
                <w:highlight w:val="none"/>
                <w:lang w:val="en-US" w:eastAsia="zh-CN"/>
              </w:rPr>
              <w:t>94,083.67</w:t>
            </w:r>
          </w:p>
        </w:tc>
        <w:tc>
          <w:tcPr>
            <w:tcW w:w="2428" w:type="dxa"/>
            <w:vAlign w:val="center"/>
          </w:tcPr>
          <w:p>
            <w:pPr>
              <w:widowControl/>
              <w:ind w:right="-37"/>
              <w:jc w:val="right"/>
              <w:textAlignment w:val="center"/>
              <w:rPr>
                <w:rFonts w:hint="default" w:ascii="Times New Roman" w:hAnsi="Times New Roman" w:eastAsia="仿宋_GB2312" w:cs="Times New Roman"/>
                <w:color w:val="auto"/>
                <w:sz w:val="22"/>
                <w:highlight w:val="none"/>
              </w:rPr>
            </w:pPr>
            <w:r>
              <w:rPr>
                <w:rFonts w:hint="default" w:ascii="Times New Roman" w:hAnsi="Times New Roman" w:eastAsia="仿宋_GB2312" w:cs="Times New Roman"/>
                <w:color w:val="auto"/>
                <w:sz w:val="22"/>
                <w:highlight w:val="none"/>
                <w:lang w:val="en-US" w:eastAsia="zh-CN"/>
              </w:rPr>
              <w:t>46,681.07</w:t>
            </w:r>
          </w:p>
        </w:tc>
      </w:tr>
      <w:bookmarkEnd w:id="8"/>
    </w:tbl>
    <w:p>
      <w:pPr>
        <w:ind w:right="-40"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3.拆出资金</w:t>
      </w:r>
    </w:p>
    <w:tbl>
      <w:tblPr>
        <w:tblStyle w:val="25"/>
        <w:tblW w:w="897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22"/>
        <w:gridCol w:w="2421"/>
        <w:gridCol w:w="24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22"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2421" w:type="dxa"/>
            <w:vAlign w:val="center"/>
          </w:tcPr>
          <w:p>
            <w:pPr>
              <w:widowControl/>
              <w:ind w:right="-37"/>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2026-6-30</w:t>
            </w:r>
          </w:p>
        </w:tc>
        <w:tc>
          <w:tcPr>
            <w:tcW w:w="2428"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202</w:t>
            </w:r>
            <w:r>
              <w:rPr>
                <w:rFonts w:hint="default" w:ascii="Times New Roman" w:hAnsi="Times New Roman" w:eastAsia="仿宋_GB2312" w:cs="Times New Roman"/>
                <w:color w:val="auto"/>
                <w:kern w:val="0"/>
                <w:sz w:val="24"/>
                <w:szCs w:val="24"/>
                <w:highlight w:val="none"/>
                <w:lang w:val="en-US" w:eastAsia="zh-CN"/>
              </w:rPr>
              <w:t>5</w:t>
            </w:r>
            <w:r>
              <w:rPr>
                <w:rFonts w:hint="default" w:ascii="Times New Roman" w:hAnsi="Times New Roman" w:eastAsia="仿宋_GB2312" w:cs="Times New Roman"/>
                <w:color w:val="auto"/>
                <w:kern w:val="0"/>
                <w:sz w:val="24"/>
                <w:szCs w:val="24"/>
                <w:highlight w:val="none"/>
              </w:rPr>
              <w:t>-12-31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22"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拆放同业款项</w:t>
            </w:r>
          </w:p>
        </w:tc>
        <w:tc>
          <w:tcPr>
            <w:tcW w:w="2421" w:type="dxa"/>
            <w:vAlign w:val="center"/>
          </w:tcPr>
          <w:p>
            <w:pPr>
              <w:widowControl/>
              <w:adjustRightInd w:val="0"/>
              <w:snapToGrid w:val="0"/>
              <w:spacing w:line="240" w:lineRule="exact"/>
              <w:ind w:right="-37"/>
              <w:jc w:val="right"/>
              <w:rPr>
                <w:rFonts w:hint="default" w:ascii="Times New Roman" w:hAnsi="Times New Roman" w:eastAsia="仿宋_GB2312" w:cs="Times New Roman"/>
                <w:color w:val="auto"/>
                <w:kern w:val="0"/>
                <w:sz w:val="22"/>
                <w:highlight w:val="none"/>
                <w:lang w:val="en-US" w:eastAsia="zh-CN"/>
              </w:rPr>
            </w:pPr>
            <w:r>
              <w:rPr>
                <w:rFonts w:hint="default" w:ascii="Times New Roman" w:hAnsi="Times New Roman" w:eastAsia="仿宋_GB2312" w:cs="Times New Roman"/>
                <w:color w:val="auto"/>
                <w:kern w:val="0"/>
                <w:sz w:val="22"/>
                <w:highlight w:val="none"/>
                <w:lang w:val="en-US" w:eastAsia="zh-CN"/>
              </w:rPr>
              <w:t>20,000.00</w:t>
            </w:r>
          </w:p>
        </w:tc>
        <w:tc>
          <w:tcPr>
            <w:tcW w:w="2428" w:type="dxa"/>
            <w:vAlign w:val="center"/>
          </w:tcPr>
          <w:p>
            <w:pPr>
              <w:widowControl/>
              <w:adjustRightInd w:val="0"/>
              <w:snapToGrid w:val="0"/>
              <w:spacing w:line="240" w:lineRule="exact"/>
              <w:ind w:right="-37"/>
              <w:jc w:val="right"/>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15,000.00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22"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拆出资金合计</w:t>
            </w:r>
          </w:p>
        </w:tc>
        <w:tc>
          <w:tcPr>
            <w:tcW w:w="2421" w:type="dxa"/>
            <w:vAlign w:val="center"/>
          </w:tcPr>
          <w:p>
            <w:pPr>
              <w:widowControl/>
              <w:adjustRightInd w:val="0"/>
              <w:snapToGrid w:val="0"/>
              <w:spacing w:line="240" w:lineRule="exact"/>
              <w:ind w:right="-37"/>
              <w:jc w:val="right"/>
              <w:rPr>
                <w:rFonts w:hint="default" w:ascii="Times New Roman" w:hAnsi="Times New Roman" w:eastAsia="仿宋_GB2312" w:cs="Times New Roman"/>
                <w:color w:val="auto"/>
                <w:kern w:val="0"/>
                <w:sz w:val="22"/>
                <w:highlight w:val="none"/>
                <w:lang w:val="en-US" w:eastAsia="zh-CN"/>
              </w:rPr>
            </w:pPr>
            <w:r>
              <w:rPr>
                <w:rFonts w:hint="default" w:ascii="Times New Roman" w:hAnsi="Times New Roman" w:eastAsia="仿宋_GB2312" w:cs="Times New Roman"/>
                <w:color w:val="auto"/>
                <w:kern w:val="0"/>
                <w:sz w:val="22"/>
                <w:highlight w:val="none"/>
                <w:lang w:val="en-US" w:eastAsia="zh-CN"/>
              </w:rPr>
              <w:t>20,000.00</w:t>
            </w:r>
          </w:p>
        </w:tc>
        <w:tc>
          <w:tcPr>
            <w:tcW w:w="2428" w:type="dxa"/>
            <w:vAlign w:val="center"/>
          </w:tcPr>
          <w:p>
            <w:pPr>
              <w:widowControl/>
              <w:adjustRightInd w:val="0"/>
              <w:snapToGrid w:val="0"/>
              <w:spacing w:line="240" w:lineRule="exact"/>
              <w:ind w:right="-37"/>
              <w:jc w:val="right"/>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15,000.00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22"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加：应收利息</w:t>
            </w:r>
          </w:p>
        </w:tc>
        <w:tc>
          <w:tcPr>
            <w:tcW w:w="2421" w:type="dxa"/>
            <w:vAlign w:val="center"/>
          </w:tcPr>
          <w:p>
            <w:pPr>
              <w:widowControl/>
              <w:adjustRightInd w:val="0"/>
              <w:snapToGrid w:val="0"/>
              <w:spacing w:line="240" w:lineRule="exact"/>
              <w:ind w:right="-37"/>
              <w:jc w:val="right"/>
              <w:rPr>
                <w:rFonts w:hint="default" w:ascii="Times New Roman" w:hAnsi="Times New Roman" w:eastAsia="仿宋_GB2312" w:cs="Times New Roman"/>
                <w:color w:val="auto"/>
                <w:kern w:val="0"/>
                <w:sz w:val="22"/>
                <w:highlight w:val="none"/>
                <w:lang w:val="en-US" w:eastAsia="zh-CN"/>
              </w:rPr>
            </w:pPr>
            <w:r>
              <w:rPr>
                <w:rFonts w:hint="default" w:ascii="Times New Roman" w:hAnsi="Times New Roman" w:eastAsia="仿宋_GB2312" w:cs="Times New Roman"/>
                <w:color w:val="auto"/>
                <w:kern w:val="0"/>
                <w:sz w:val="22"/>
                <w:highlight w:val="none"/>
                <w:lang w:val="en-US" w:eastAsia="zh-CN"/>
              </w:rPr>
              <w:t>148.03</w:t>
            </w:r>
          </w:p>
        </w:tc>
        <w:tc>
          <w:tcPr>
            <w:tcW w:w="2428" w:type="dxa"/>
            <w:vAlign w:val="center"/>
          </w:tcPr>
          <w:p>
            <w:pPr>
              <w:widowControl/>
              <w:adjustRightInd w:val="0"/>
              <w:snapToGrid w:val="0"/>
              <w:spacing w:line="240" w:lineRule="exact"/>
              <w:ind w:right="-37"/>
              <w:jc w:val="right"/>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sz w:val="22"/>
                <w:highlight w:val="none"/>
                <w:lang w:val="en-US" w:eastAsia="zh-CN"/>
              </w:rPr>
              <w:t>0.58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22"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减：拆出资金坏账准备</w:t>
            </w:r>
          </w:p>
        </w:tc>
        <w:tc>
          <w:tcPr>
            <w:tcW w:w="2421" w:type="dxa"/>
            <w:vAlign w:val="center"/>
          </w:tcPr>
          <w:p>
            <w:pPr>
              <w:widowControl/>
              <w:adjustRightInd w:val="0"/>
              <w:snapToGrid w:val="0"/>
              <w:spacing w:line="240" w:lineRule="exact"/>
              <w:ind w:right="-37"/>
              <w:jc w:val="right"/>
              <w:rPr>
                <w:rFonts w:hint="default" w:ascii="Times New Roman" w:hAnsi="Times New Roman" w:eastAsia="仿宋_GB2312" w:cs="Times New Roman"/>
                <w:color w:val="auto"/>
                <w:kern w:val="0"/>
                <w:sz w:val="22"/>
                <w:highlight w:val="none"/>
                <w:lang w:val="en-US" w:eastAsia="zh-CN"/>
              </w:rPr>
            </w:pPr>
            <w:r>
              <w:rPr>
                <w:rFonts w:hint="default" w:ascii="Times New Roman" w:hAnsi="Times New Roman" w:eastAsia="仿宋_GB2312" w:cs="Times New Roman"/>
                <w:color w:val="auto"/>
                <w:kern w:val="0"/>
                <w:sz w:val="22"/>
                <w:highlight w:val="none"/>
                <w:lang w:val="en-US" w:eastAsia="zh-CN"/>
              </w:rPr>
              <w:t>327.24</w:t>
            </w:r>
          </w:p>
        </w:tc>
        <w:tc>
          <w:tcPr>
            <w:tcW w:w="2428" w:type="dxa"/>
            <w:vAlign w:val="center"/>
          </w:tcPr>
          <w:p>
            <w:pPr>
              <w:widowControl/>
              <w:adjustRightInd w:val="0"/>
              <w:snapToGrid w:val="0"/>
              <w:spacing w:line="240" w:lineRule="exact"/>
              <w:ind w:right="-37"/>
              <w:jc w:val="right"/>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lang w:val="en-US" w:eastAsia="zh-CN"/>
              </w:rPr>
              <w:t>225.00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22"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拆出资金账面价值</w:t>
            </w:r>
          </w:p>
        </w:tc>
        <w:tc>
          <w:tcPr>
            <w:tcW w:w="2421" w:type="dxa"/>
            <w:vAlign w:val="center"/>
          </w:tcPr>
          <w:p>
            <w:pPr>
              <w:widowControl/>
              <w:adjustRightInd w:val="0"/>
              <w:snapToGrid w:val="0"/>
              <w:spacing w:line="240" w:lineRule="exact"/>
              <w:ind w:right="-37"/>
              <w:jc w:val="right"/>
              <w:rPr>
                <w:rFonts w:hint="default" w:ascii="Times New Roman" w:hAnsi="Times New Roman" w:eastAsia="仿宋_GB2312" w:cs="Times New Roman"/>
                <w:color w:val="auto"/>
                <w:kern w:val="0"/>
                <w:sz w:val="22"/>
                <w:highlight w:val="none"/>
                <w:lang w:val="en-US" w:eastAsia="zh-CN"/>
              </w:rPr>
            </w:pPr>
            <w:r>
              <w:rPr>
                <w:rFonts w:hint="default" w:ascii="Times New Roman" w:hAnsi="Times New Roman" w:eastAsia="仿宋_GB2312" w:cs="Times New Roman"/>
                <w:color w:val="auto"/>
                <w:kern w:val="0"/>
                <w:sz w:val="22"/>
                <w:highlight w:val="none"/>
                <w:lang w:val="en-US" w:eastAsia="zh-CN"/>
              </w:rPr>
              <w:t>19,820.79</w:t>
            </w:r>
          </w:p>
        </w:tc>
        <w:tc>
          <w:tcPr>
            <w:tcW w:w="2428" w:type="dxa"/>
            <w:vAlign w:val="center"/>
          </w:tcPr>
          <w:p>
            <w:pPr>
              <w:widowControl/>
              <w:adjustRightInd w:val="0"/>
              <w:snapToGrid w:val="0"/>
              <w:spacing w:line="240" w:lineRule="exact"/>
              <w:ind w:right="-37"/>
              <w:jc w:val="right"/>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lang w:val="en-US" w:eastAsia="zh-CN"/>
              </w:rPr>
              <w:t>14,775.58</w:t>
            </w:r>
          </w:p>
        </w:tc>
      </w:tr>
    </w:tbl>
    <w:p>
      <w:pPr>
        <w:ind w:right="-40" w:firstLine="560" w:firstLineChars="200"/>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sz w:val="28"/>
          <w:szCs w:val="28"/>
          <w:highlight w:val="none"/>
        </w:rPr>
        <w:t>4</w:t>
      </w:r>
      <w:r>
        <w:rPr>
          <w:rFonts w:hint="default" w:ascii="Times New Roman" w:hAnsi="Times New Roman" w:eastAsia="仿宋_GB2312" w:cs="Times New Roman"/>
          <w:color w:val="auto"/>
          <w:sz w:val="28"/>
          <w:szCs w:val="28"/>
          <w:highlight w:val="none"/>
          <w:lang w:val="en-US" w:eastAsia="zh-CN"/>
        </w:rPr>
        <w:t>.交易性金融资产</w:t>
      </w:r>
    </w:p>
    <w:tbl>
      <w:tblPr>
        <w:tblStyle w:val="25"/>
        <w:tblW w:w="897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22"/>
        <w:gridCol w:w="2421"/>
        <w:gridCol w:w="24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22"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2421" w:type="dxa"/>
            <w:vAlign w:val="center"/>
          </w:tcPr>
          <w:p>
            <w:pPr>
              <w:widowControl/>
              <w:ind w:right="-37"/>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2026-6-30</w:t>
            </w:r>
          </w:p>
        </w:tc>
        <w:tc>
          <w:tcPr>
            <w:tcW w:w="2428"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202</w:t>
            </w:r>
            <w:r>
              <w:rPr>
                <w:rFonts w:hint="default" w:ascii="Times New Roman" w:hAnsi="Times New Roman" w:eastAsia="仿宋_GB2312" w:cs="Times New Roman"/>
                <w:color w:val="auto"/>
                <w:kern w:val="0"/>
                <w:sz w:val="24"/>
                <w:szCs w:val="24"/>
                <w:highlight w:val="none"/>
                <w:lang w:val="en-US" w:eastAsia="zh-CN"/>
              </w:rPr>
              <w:t>5</w:t>
            </w:r>
            <w:r>
              <w:rPr>
                <w:rFonts w:hint="default" w:ascii="Times New Roman" w:hAnsi="Times New Roman" w:eastAsia="仿宋_GB2312" w:cs="Times New Roman"/>
                <w:color w:val="auto"/>
                <w:kern w:val="0"/>
                <w:sz w:val="24"/>
                <w:szCs w:val="24"/>
                <w:highlight w:val="none"/>
              </w:rPr>
              <w:t>-12-31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22"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交易性同业存单成本</w:t>
            </w:r>
          </w:p>
        </w:tc>
        <w:tc>
          <w:tcPr>
            <w:tcW w:w="2421" w:type="dxa"/>
            <w:vAlign w:val="center"/>
          </w:tcPr>
          <w:p>
            <w:pPr>
              <w:widowControl/>
              <w:adjustRightInd w:val="0"/>
              <w:snapToGrid w:val="0"/>
              <w:spacing w:line="240" w:lineRule="exact"/>
              <w:ind w:right="-37"/>
              <w:jc w:val="right"/>
              <w:rPr>
                <w:rFonts w:hint="default" w:ascii="Times New Roman" w:hAnsi="Times New Roman" w:eastAsia="仿宋_GB2312" w:cs="Times New Roman"/>
                <w:color w:val="auto"/>
                <w:kern w:val="0"/>
                <w:sz w:val="22"/>
                <w:highlight w:val="none"/>
                <w:lang w:val="en-US" w:eastAsia="zh-CN"/>
              </w:rPr>
            </w:pPr>
            <w:r>
              <w:rPr>
                <w:rFonts w:hint="default" w:ascii="Times New Roman" w:hAnsi="Times New Roman" w:eastAsia="仿宋_GB2312" w:cs="Times New Roman"/>
                <w:color w:val="auto"/>
                <w:kern w:val="0"/>
                <w:sz w:val="22"/>
                <w:highlight w:val="none"/>
                <w:lang w:val="en-US" w:eastAsia="zh-CN"/>
              </w:rPr>
              <w:t>95,714.05</w:t>
            </w:r>
          </w:p>
        </w:tc>
        <w:tc>
          <w:tcPr>
            <w:tcW w:w="2428" w:type="dxa"/>
            <w:vAlign w:val="center"/>
          </w:tcPr>
          <w:p>
            <w:pPr>
              <w:widowControl/>
              <w:adjustRightInd w:val="0"/>
              <w:snapToGrid w:val="0"/>
              <w:spacing w:line="240" w:lineRule="exact"/>
              <w:ind w:right="-37"/>
              <w:jc w:val="right"/>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34,366.89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22"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公允价值变动</w:t>
            </w:r>
          </w:p>
        </w:tc>
        <w:tc>
          <w:tcPr>
            <w:tcW w:w="2421" w:type="dxa"/>
            <w:vAlign w:val="center"/>
          </w:tcPr>
          <w:p>
            <w:pPr>
              <w:widowControl/>
              <w:adjustRightInd w:val="0"/>
              <w:snapToGrid w:val="0"/>
              <w:spacing w:line="240" w:lineRule="exact"/>
              <w:ind w:right="-37"/>
              <w:jc w:val="right"/>
              <w:rPr>
                <w:rFonts w:hint="default" w:ascii="Times New Roman" w:hAnsi="Times New Roman" w:eastAsia="仿宋_GB2312" w:cs="Times New Roman"/>
                <w:color w:val="auto"/>
                <w:kern w:val="0"/>
                <w:sz w:val="22"/>
                <w:highlight w:val="none"/>
                <w:lang w:val="en-US" w:eastAsia="zh-CN"/>
              </w:rPr>
            </w:pPr>
            <w:r>
              <w:rPr>
                <w:rFonts w:hint="default" w:ascii="Times New Roman" w:hAnsi="Times New Roman" w:eastAsia="仿宋_GB2312" w:cs="Times New Roman"/>
                <w:color w:val="auto"/>
                <w:kern w:val="0"/>
                <w:sz w:val="22"/>
                <w:highlight w:val="none"/>
                <w:lang w:val="en-US" w:eastAsia="zh-CN"/>
              </w:rPr>
              <w:t>409.68</w:t>
            </w:r>
          </w:p>
        </w:tc>
        <w:tc>
          <w:tcPr>
            <w:tcW w:w="2428" w:type="dxa"/>
            <w:vAlign w:val="center"/>
          </w:tcPr>
          <w:p>
            <w:pPr>
              <w:widowControl/>
              <w:adjustRightInd w:val="0"/>
              <w:snapToGrid w:val="0"/>
              <w:spacing w:line="240" w:lineRule="exact"/>
              <w:ind w:right="-37"/>
              <w:jc w:val="right"/>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562.02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22" w:type="dxa"/>
            <w:vAlign w:val="center"/>
          </w:tcPr>
          <w:p>
            <w:pPr>
              <w:widowControl/>
              <w:ind w:right="-37"/>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lang w:eastAsia="zh-CN"/>
              </w:rPr>
              <w:t>加：</w:t>
            </w:r>
            <w:r>
              <w:rPr>
                <w:rFonts w:hint="default" w:ascii="Times New Roman" w:hAnsi="Times New Roman" w:eastAsia="仿宋_GB2312" w:cs="Times New Roman"/>
                <w:color w:val="auto"/>
                <w:kern w:val="0"/>
                <w:sz w:val="24"/>
                <w:szCs w:val="24"/>
                <w:highlight w:val="none"/>
              </w:rPr>
              <w:t>应计利息</w:t>
            </w:r>
          </w:p>
        </w:tc>
        <w:tc>
          <w:tcPr>
            <w:tcW w:w="2421" w:type="dxa"/>
            <w:vAlign w:val="center"/>
          </w:tcPr>
          <w:p>
            <w:pPr>
              <w:widowControl/>
              <w:adjustRightInd w:val="0"/>
              <w:snapToGrid w:val="0"/>
              <w:spacing w:line="240" w:lineRule="exact"/>
              <w:ind w:right="-37"/>
              <w:jc w:val="right"/>
              <w:rPr>
                <w:rFonts w:hint="default" w:ascii="Times New Roman" w:hAnsi="Times New Roman" w:eastAsia="仿宋_GB2312" w:cs="Times New Roman"/>
                <w:color w:val="auto"/>
                <w:kern w:val="0"/>
                <w:sz w:val="22"/>
                <w:highlight w:val="none"/>
                <w:lang w:val="en-US" w:eastAsia="zh-CN"/>
              </w:rPr>
            </w:pPr>
            <w:r>
              <w:rPr>
                <w:rFonts w:hint="default" w:ascii="Times New Roman" w:hAnsi="Times New Roman" w:eastAsia="仿宋_GB2312" w:cs="Times New Roman"/>
                <w:color w:val="auto"/>
                <w:kern w:val="0"/>
                <w:sz w:val="22"/>
                <w:highlight w:val="none"/>
                <w:lang w:val="en-US" w:eastAsia="zh-CN"/>
              </w:rPr>
              <w:t>393.83</w:t>
            </w:r>
          </w:p>
        </w:tc>
        <w:tc>
          <w:tcPr>
            <w:tcW w:w="2428" w:type="dxa"/>
            <w:vAlign w:val="center"/>
          </w:tcPr>
          <w:p>
            <w:pPr>
              <w:widowControl/>
              <w:adjustRightInd w:val="0"/>
              <w:snapToGrid w:val="0"/>
              <w:spacing w:line="240" w:lineRule="exact"/>
              <w:ind w:right="-37"/>
              <w:jc w:val="right"/>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547.80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22" w:type="dxa"/>
            <w:vAlign w:val="center"/>
          </w:tcPr>
          <w:p>
            <w:pPr>
              <w:widowControl/>
              <w:ind w:right="-37"/>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交易性金融资产</w:t>
            </w:r>
            <w:r>
              <w:rPr>
                <w:rFonts w:hint="default" w:ascii="Times New Roman" w:hAnsi="Times New Roman" w:eastAsia="仿宋_GB2312" w:cs="Times New Roman"/>
                <w:color w:val="auto"/>
                <w:kern w:val="0"/>
                <w:sz w:val="24"/>
                <w:szCs w:val="24"/>
                <w:highlight w:val="none"/>
              </w:rPr>
              <w:t>账面价值</w:t>
            </w:r>
          </w:p>
        </w:tc>
        <w:tc>
          <w:tcPr>
            <w:tcW w:w="2421" w:type="dxa"/>
            <w:vAlign w:val="center"/>
          </w:tcPr>
          <w:p>
            <w:pPr>
              <w:widowControl/>
              <w:adjustRightInd w:val="0"/>
              <w:snapToGrid w:val="0"/>
              <w:spacing w:line="240" w:lineRule="exact"/>
              <w:ind w:right="-37"/>
              <w:jc w:val="right"/>
              <w:rPr>
                <w:rFonts w:hint="default" w:ascii="Times New Roman" w:hAnsi="Times New Roman" w:eastAsia="仿宋_GB2312" w:cs="Times New Roman"/>
                <w:color w:val="auto"/>
                <w:kern w:val="0"/>
                <w:sz w:val="22"/>
                <w:highlight w:val="none"/>
                <w:lang w:val="en-US" w:eastAsia="zh-CN"/>
              </w:rPr>
            </w:pPr>
            <w:r>
              <w:rPr>
                <w:rFonts w:hint="default" w:ascii="Times New Roman" w:hAnsi="Times New Roman" w:eastAsia="仿宋_GB2312" w:cs="Times New Roman"/>
                <w:color w:val="auto"/>
                <w:kern w:val="0"/>
                <w:sz w:val="22"/>
                <w:highlight w:val="none"/>
                <w:lang w:val="en-US" w:eastAsia="zh-CN"/>
              </w:rPr>
              <w:t>96517.56</w:t>
            </w:r>
          </w:p>
        </w:tc>
        <w:tc>
          <w:tcPr>
            <w:tcW w:w="2428" w:type="dxa"/>
            <w:vAlign w:val="center"/>
          </w:tcPr>
          <w:p>
            <w:pPr>
              <w:widowControl/>
              <w:adjustRightInd w:val="0"/>
              <w:snapToGrid w:val="0"/>
              <w:spacing w:line="240" w:lineRule="exact"/>
              <w:ind w:right="-37"/>
              <w:jc w:val="right"/>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lang w:val="en-US" w:eastAsia="zh-CN"/>
              </w:rPr>
              <w:t>35,476.71</w:t>
            </w:r>
            <w:r>
              <w:rPr>
                <w:rFonts w:hint="default" w:ascii="Times New Roman" w:hAnsi="Times New Roman" w:eastAsia="仿宋_GB2312" w:cs="Times New Roman"/>
                <w:color w:val="auto"/>
                <w:kern w:val="0"/>
                <w:sz w:val="22"/>
                <w:highlight w:val="none"/>
              </w:rPr>
              <w:t xml:space="preserve"> </w:t>
            </w:r>
          </w:p>
        </w:tc>
      </w:tr>
    </w:tbl>
    <w:p>
      <w:pPr>
        <w:spacing w:line="480" w:lineRule="exact"/>
        <w:ind w:right="-37"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5.其他应收款</w:t>
      </w:r>
    </w:p>
    <w:p>
      <w:pPr>
        <w:ind w:right="-40"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5.1 按性质列示</w:t>
      </w:r>
    </w:p>
    <w:tbl>
      <w:tblPr>
        <w:tblStyle w:val="25"/>
        <w:tblW w:w="897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09"/>
        <w:gridCol w:w="2448"/>
        <w:gridCol w:w="24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4109"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2448" w:type="dxa"/>
            <w:vAlign w:val="center"/>
          </w:tcPr>
          <w:p>
            <w:pPr>
              <w:widowControl/>
              <w:ind w:right="-37"/>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2026-6-30</w:t>
            </w:r>
          </w:p>
        </w:tc>
        <w:tc>
          <w:tcPr>
            <w:tcW w:w="2414"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202</w:t>
            </w:r>
            <w:r>
              <w:rPr>
                <w:rFonts w:hint="default" w:ascii="Times New Roman" w:hAnsi="Times New Roman" w:eastAsia="仿宋_GB2312" w:cs="Times New Roman"/>
                <w:color w:val="auto"/>
                <w:kern w:val="0"/>
                <w:sz w:val="24"/>
                <w:szCs w:val="24"/>
                <w:highlight w:val="none"/>
                <w:lang w:val="en-US" w:eastAsia="zh-CN"/>
              </w:rPr>
              <w:t>5</w:t>
            </w:r>
            <w:r>
              <w:rPr>
                <w:rFonts w:hint="default" w:ascii="Times New Roman" w:hAnsi="Times New Roman" w:eastAsia="仿宋_GB2312" w:cs="Times New Roman"/>
                <w:color w:val="auto"/>
                <w:kern w:val="0"/>
                <w:sz w:val="24"/>
                <w:szCs w:val="24"/>
                <w:highlight w:val="none"/>
              </w:rPr>
              <w:t>-12-31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09"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lang w:val="en-US" w:eastAsia="zh-CN"/>
              </w:rPr>
              <w:t>应收代垫诉讼费</w:t>
            </w:r>
          </w:p>
        </w:tc>
        <w:tc>
          <w:tcPr>
            <w:tcW w:w="2448"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1197.18</w:t>
            </w:r>
          </w:p>
        </w:tc>
        <w:tc>
          <w:tcPr>
            <w:tcW w:w="241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975.93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09"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lang w:val="en-US" w:eastAsia="zh-CN"/>
              </w:rPr>
              <w:t>应收手续费</w:t>
            </w:r>
          </w:p>
        </w:tc>
        <w:tc>
          <w:tcPr>
            <w:tcW w:w="2448"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5.05</w:t>
            </w:r>
          </w:p>
        </w:tc>
        <w:tc>
          <w:tcPr>
            <w:tcW w:w="2414" w:type="dxa"/>
            <w:vAlign w:val="center"/>
          </w:tcPr>
          <w:p>
            <w:pPr>
              <w:jc w:val="right"/>
              <w:rPr>
                <w:rFonts w:hint="default" w:ascii="Times New Roman" w:hAnsi="Times New Roman" w:eastAsia="仿宋_GB2312" w:cs="Times New Roman"/>
                <w:color w:val="auto"/>
                <w:kern w:val="0"/>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09"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lang w:val="en-US" w:eastAsia="zh-CN"/>
              </w:rPr>
              <w:t>应收业主收款业务垫付</w:t>
            </w:r>
          </w:p>
        </w:tc>
        <w:tc>
          <w:tcPr>
            <w:tcW w:w="2448"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237.81</w:t>
            </w:r>
          </w:p>
        </w:tc>
        <w:tc>
          <w:tcPr>
            <w:tcW w:w="241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255.01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09"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lang w:val="en-US" w:eastAsia="zh-CN"/>
              </w:rPr>
              <w:t>应收职工借款</w:t>
            </w:r>
          </w:p>
        </w:tc>
        <w:tc>
          <w:tcPr>
            <w:tcW w:w="2448"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12.2</w:t>
            </w:r>
          </w:p>
        </w:tc>
        <w:tc>
          <w:tcPr>
            <w:tcW w:w="2414" w:type="dxa"/>
            <w:vAlign w:val="center"/>
          </w:tcPr>
          <w:p>
            <w:pPr>
              <w:jc w:val="right"/>
              <w:rPr>
                <w:rFonts w:hint="default" w:ascii="Times New Roman" w:hAnsi="Times New Roman" w:eastAsia="仿宋_GB2312" w:cs="Times New Roman"/>
                <w:color w:val="auto"/>
                <w:kern w:val="0"/>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09"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lang w:val="en-US" w:eastAsia="zh-CN"/>
              </w:rPr>
              <w:t>应收贷记卡费用</w:t>
            </w:r>
          </w:p>
        </w:tc>
        <w:tc>
          <w:tcPr>
            <w:tcW w:w="2448"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10.34</w:t>
            </w:r>
          </w:p>
        </w:tc>
        <w:tc>
          <w:tcPr>
            <w:tcW w:w="241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8.74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09"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lang w:val="en-US" w:eastAsia="zh-CN"/>
              </w:rPr>
              <w:t>应收其他暂付款项</w:t>
            </w:r>
          </w:p>
        </w:tc>
        <w:tc>
          <w:tcPr>
            <w:tcW w:w="2448"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44.55</w:t>
            </w:r>
          </w:p>
        </w:tc>
        <w:tc>
          <w:tcPr>
            <w:tcW w:w="241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25.29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09"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lang w:val="en-US" w:eastAsia="zh-CN"/>
              </w:rPr>
              <w:t>应收预付款项</w:t>
            </w:r>
          </w:p>
        </w:tc>
        <w:tc>
          <w:tcPr>
            <w:tcW w:w="2448"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20.77</w:t>
            </w:r>
          </w:p>
        </w:tc>
        <w:tc>
          <w:tcPr>
            <w:tcW w:w="241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42.26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09"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lang w:val="en-US" w:eastAsia="zh-CN"/>
              </w:rPr>
              <w:t>其他应收款</w:t>
            </w:r>
          </w:p>
        </w:tc>
        <w:tc>
          <w:tcPr>
            <w:tcW w:w="2448" w:type="dxa"/>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2444.77</w:t>
            </w:r>
          </w:p>
        </w:tc>
        <w:tc>
          <w:tcPr>
            <w:tcW w:w="2414" w:type="dxa"/>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3,818.20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09"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lang w:val="en-US" w:eastAsia="zh-CN"/>
              </w:rPr>
              <w:t>其他应收款合计</w:t>
            </w:r>
          </w:p>
        </w:tc>
        <w:tc>
          <w:tcPr>
            <w:tcW w:w="2448" w:type="dxa"/>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3,972.67</w:t>
            </w:r>
          </w:p>
        </w:tc>
        <w:tc>
          <w:tcPr>
            <w:tcW w:w="2414" w:type="dxa"/>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5,125.43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09"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lang w:val="en-US" w:eastAsia="zh-CN"/>
              </w:rPr>
              <w:t>坏账准备-其他应收款坏账准备</w:t>
            </w:r>
          </w:p>
        </w:tc>
        <w:tc>
          <w:tcPr>
            <w:tcW w:w="2448" w:type="dxa"/>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748.04</w:t>
            </w:r>
          </w:p>
        </w:tc>
        <w:tc>
          <w:tcPr>
            <w:tcW w:w="2414" w:type="dxa"/>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746.54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109"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其他应收款账面价值</w:t>
            </w:r>
          </w:p>
        </w:tc>
        <w:tc>
          <w:tcPr>
            <w:tcW w:w="2448" w:type="dxa"/>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3,224.63</w:t>
            </w:r>
          </w:p>
        </w:tc>
        <w:tc>
          <w:tcPr>
            <w:tcW w:w="2414" w:type="dxa"/>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4,378.89</w:t>
            </w:r>
          </w:p>
        </w:tc>
      </w:tr>
    </w:tbl>
    <w:p>
      <w:pPr>
        <w:ind w:right="-40" w:firstLine="560" w:firstLineChars="200"/>
        <w:jc w:val="left"/>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5.2其他应收款账龄分析</w:t>
      </w:r>
    </w:p>
    <w:tbl>
      <w:tblPr>
        <w:tblStyle w:val="25"/>
        <w:tblW w:w="897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52"/>
        <w:gridCol w:w="1896"/>
        <w:gridCol w:w="1777"/>
        <w:gridCol w:w="1906"/>
        <w:gridCol w:w="18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blHeader/>
          <w:jc w:val="center"/>
        </w:trPr>
        <w:tc>
          <w:tcPr>
            <w:tcW w:w="1552" w:type="dxa"/>
            <w:vMerge w:val="restart"/>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账龄</w:t>
            </w:r>
          </w:p>
        </w:tc>
        <w:tc>
          <w:tcPr>
            <w:tcW w:w="3673" w:type="dxa"/>
            <w:gridSpan w:val="2"/>
            <w:vAlign w:val="center"/>
          </w:tcPr>
          <w:p>
            <w:pPr>
              <w:ind w:right="-37"/>
              <w:jc w:val="center"/>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2026-6-30</w:t>
            </w:r>
          </w:p>
        </w:tc>
        <w:tc>
          <w:tcPr>
            <w:tcW w:w="3746" w:type="dxa"/>
            <w:gridSpan w:val="2"/>
            <w:vAlign w:val="center"/>
          </w:tcPr>
          <w:p>
            <w:pPr>
              <w:ind w:right="-37"/>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202</w:t>
            </w:r>
            <w:r>
              <w:rPr>
                <w:rFonts w:hint="default" w:ascii="Times New Roman" w:hAnsi="Times New Roman" w:eastAsia="仿宋_GB2312" w:cs="Times New Roman"/>
                <w:color w:val="auto"/>
                <w:sz w:val="24"/>
                <w:szCs w:val="24"/>
                <w:highlight w:val="none"/>
                <w:lang w:val="en-US" w:eastAsia="zh-CN"/>
              </w:rPr>
              <w:t>5</w:t>
            </w:r>
            <w:r>
              <w:rPr>
                <w:rFonts w:hint="default" w:ascii="Times New Roman" w:hAnsi="Times New Roman" w:eastAsia="仿宋_GB2312" w:cs="Times New Roman"/>
                <w:color w:val="auto"/>
                <w:sz w:val="24"/>
                <w:szCs w:val="24"/>
                <w:highlight w:val="none"/>
              </w:rPr>
              <w:t>-12-31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blHeader/>
          <w:jc w:val="center"/>
        </w:trPr>
        <w:tc>
          <w:tcPr>
            <w:tcW w:w="1552" w:type="dxa"/>
            <w:vMerge w:val="continue"/>
            <w:vAlign w:val="center"/>
          </w:tcPr>
          <w:p>
            <w:pPr>
              <w:rPr>
                <w:rFonts w:hint="default" w:ascii="Times New Roman" w:hAnsi="Times New Roman" w:cs="Times New Roman"/>
              </w:rPr>
            </w:pPr>
          </w:p>
        </w:tc>
        <w:tc>
          <w:tcPr>
            <w:tcW w:w="1896" w:type="dxa"/>
            <w:vAlign w:val="center"/>
          </w:tcPr>
          <w:p>
            <w:pPr>
              <w:widowControl/>
              <w:ind w:right="-37"/>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金额</w:t>
            </w:r>
          </w:p>
        </w:tc>
        <w:tc>
          <w:tcPr>
            <w:tcW w:w="1777" w:type="dxa"/>
            <w:vAlign w:val="center"/>
          </w:tcPr>
          <w:p>
            <w:pPr>
              <w:widowControl/>
              <w:ind w:right="-37"/>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比例（%）</w:t>
            </w:r>
          </w:p>
        </w:tc>
        <w:tc>
          <w:tcPr>
            <w:tcW w:w="1906" w:type="dxa"/>
            <w:vAlign w:val="center"/>
          </w:tcPr>
          <w:p>
            <w:pPr>
              <w:widowControl/>
              <w:ind w:right="-37"/>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金额</w:t>
            </w:r>
          </w:p>
        </w:tc>
        <w:tc>
          <w:tcPr>
            <w:tcW w:w="1840" w:type="dxa"/>
            <w:vAlign w:val="center"/>
          </w:tcPr>
          <w:p>
            <w:pPr>
              <w:widowControl/>
              <w:ind w:right="-37"/>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1552" w:type="dxa"/>
            <w:vAlign w:val="center"/>
          </w:tcPr>
          <w:p>
            <w:pPr>
              <w:widowControl/>
              <w:ind w:right="-37"/>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1年以内</w:t>
            </w:r>
          </w:p>
        </w:tc>
        <w:tc>
          <w:tcPr>
            <w:tcW w:w="1896"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3,312.05</w:t>
            </w:r>
          </w:p>
        </w:tc>
        <w:tc>
          <w:tcPr>
            <w:tcW w:w="177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83.37</w:t>
            </w:r>
          </w:p>
        </w:tc>
        <w:tc>
          <w:tcPr>
            <w:tcW w:w="1906"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4,575.76</w:t>
            </w:r>
          </w:p>
        </w:tc>
        <w:tc>
          <w:tcPr>
            <w:tcW w:w="1840"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89.28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1552" w:type="dxa"/>
            <w:vAlign w:val="center"/>
          </w:tcPr>
          <w:p>
            <w:pPr>
              <w:widowControl/>
              <w:ind w:right="-37"/>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1至2年</w:t>
            </w:r>
          </w:p>
        </w:tc>
        <w:tc>
          <w:tcPr>
            <w:tcW w:w="1896"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447.85</w:t>
            </w:r>
          </w:p>
        </w:tc>
        <w:tc>
          <w:tcPr>
            <w:tcW w:w="177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11.27</w:t>
            </w:r>
          </w:p>
        </w:tc>
        <w:tc>
          <w:tcPr>
            <w:tcW w:w="1906"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504.86</w:t>
            </w:r>
          </w:p>
        </w:tc>
        <w:tc>
          <w:tcPr>
            <w:tcW w:w="1840"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1552" w:type="dxa"/>
            <w:vAlign w:val="center"/>
          </w:tcPr>
          <w:p>
            <w:pPr>
              <w:widowControl/>
              <w:ind w:right="-37"/>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2年以上</w:t>
            </w:r>
          </w:p>
        </w:tc>
        <w:tc>
          <w:tcPr>
            <w:tcW w:w="1896"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212.77</w:t>
            </w:r>
          </w:p>
        </w:tc>
        <w:tc>
          <w:tcPr>
            <w:tcW w:w="177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5.36</w:t>
            </w:r>
          </w:p>
        </w:tc>
        <w:tc>
          <w:tcPr>
            <w:tcW w:w="1906"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44.81</w:t>
            </w:r>
          </w:p>
        </w:tc>
        <w:tc>
          <w:tcPr>
            <w:tcW w:w="1840"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0.87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1552" w:type="dxa"/>
            <w:vAlign w:val="center"/>
          </w:tcPr>
          <w:p>
            <w:pPr>
              <w:widowControl/>
              <w:ind w:right="-37"/>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合计</w:t>
            </w:r>
          </w:p>
        </w:tc>
        <w:tc>
          <w:tcPr>
            <w:tcW w:w="1896"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3,972.67</w:t>
            </w:r>
          </w:p>
        </w:tc>
        <w:tc>
          <w:tcPr>
            <w:tcW w:w="177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100</w:t>
            </w:r>
          </w:p>
        </w:tc>
        <w:tc>
          <w:tcPr>
            <w:tcW w:w="1906"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5,125.43</w:t>
            </w:r>
          </w:p>
        </w:tc>
        <w:tc>
          <w:tcPr>
            <w:tcW w:w="1840"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100</w:t>
            </w:r>
          </w:p>
        </w:tc>
      </w:tr>
    </w:tbl>
    <w:p>
      <w:pPr>
        <w:spacing w:line="480" w:lineRule="exact"/>
        <w:ind w:right="-37"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6.发放贷款和垫款</w:t>
      </w:r>
    </w:p>
    <w:p>
      <w:pPr>
        <w:spacing w:line="360" w:lineRule="auto"/>
        <w:ind w:right="-37" w:firstLine="560" w:firstLineChars="200"/>
        <w:jc w:val="left"/>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6.1贷款和垫款按个人和企业分布情况</w:t>
      </w:r>
    </w:p>
    <w:tbl>
      <w:tblPr>
        <w:tblStyle w:val="25"/>
        <w:tblW w:w="897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92"/>
        <w:gridCol w:w="1838"/>
        <w:gridCol w:w="21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tblHeader/>
          <w:jc w:val="center"/>
        </w:trPr>
        <w:tc>
          <w:tcPr>
            <w:tcW w:w="4992"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1838" w:type="dxa"/>
            <w:vAlign w:val="center"/>
          </w:tcPr>
          <w:p>
            <w:pPr>
              <w:widowControl/>
              <w:ind w:right="-37"/>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2026-6-30</w:t>
            </w:r>
          </w:p>
        </w:tc>
        <w:tc>
          <w:tcPr>
            <w:tcW w:w="2141"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202</w:t>
            </w:r>
            <w:r>
              <w:rPr>
                <w:rFonts w:hint="default" w:ascii="Times New Roman" w:hAnsi="Times New Roman" w:eastAsia="仿宋_GB2312" w:cs="Times New Roman"/>
                <w:color w:val="auto"/>
                <w:kern w:val="0"/>
                <w:sz w:val="24"/>
                <w:szCs w:val="24"/>
                <w:highlight w:val="none"/>
                <w:lang w:val="en-US" w:eastAsia="zh-CN"/>
              </w:rPr>
              <w:t>5</w:t>
            </w:r>
            <w:r>
              <w:rPr>
                <w:rFonts w:hint="default" w:ascii="Times New Roman" w:hAnsi="Times New Roman" w:eastAsia="仿宋_GB2312" w:cs="Times New Roman"/>
                <w:color w:val="auto"/>
                <w:kern w:val="0"/>
                <w:sz w:val="24"/>
                <w:szCs w:val="24"/>
                <w:highlight w:val="none"/>
              </w:rPr>
              <w:t>-12-31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4992"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sz w:val="24"/>
                <w:szCs w:val="24"/>
                <w:highlight w:val="none"/>
              </w:rPr>
              <w:t>个人贷款和垫款：</w:t>
            </w:r>
          </w:p>
        </w:tc>
        <w:tc>
          <w:tcPr>
            <w:tcW w:w="1838" w:type="dxa"/>
            <w:vAlign w:val="center"/>
          </w:tcPr>
          <w:p>
            <w:pPr>
              <w:widowControl/>
              <w:jc w:val="right"/>
              <w:rPr>
                <w:rFonts w:hint="default" w:ascii="Times New Roman" w:hAnsi="Times New Roman" w:cs="Times New Roman"/>
                <w:color w:val="auto"/>
                <w:kern w:val="0"/>
                <w:sz w:val="22"/>
                <w:highlight w:val="none"/>
              </w:rPr>
            </w:pPr>
          </w:p>
        </w:tc>
        <w:tc>
          <w:tcPr>
            <w:tcW w:w="2141" w:type="dxa"/>
            <w:vAlign w:val="center"/>
          </w:tcPr>
          <w:p>
            <w:pPr>
              <w:widowControl/>
              <w:jc w:val="right"/>
              <w:rPr>
                <w:rFonts w:hint="default" w:ascii="Times New Roman" w:hAnsi="Times New Roman" w:cs="Times New Roman"/>
                <w:color w:val="auto"/>
                <w:kern w:val="0"/>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4992" w:type="dxa"/>
            <w:vAlign w:val="center"/>
          </w:tcPr>
          <w:p>
            <w:pPr>
              <w:widowControl/>
              <w:ind w:right="-4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sz w:val="24"/>
                <w:szCs w:val="24"/>
                <w:highlight w:val="none"/>
              </w:rPr>
              <w:t xml:space="preserve">农户贷款 </w:t>
            </w:r>
          </w:p>
        </w:tc>
        <w:tc>
          <w:tcPr>
            <w:tcW w:w="1838" w:type="dxa"/>
            <w:vAlign w:val="center"/>
          </w:tcPr>
          <w:p>
            <w:pPr>
              <w:keepNext w:val="0"/>
              <w:keepLines w:val="0"/>
              <w:widowControl/>
              <w:suppressLineNumbers w:val="0"/>
              <w:jc w:val="right"/>
              <w:textAlignment w:val="center"/>
              <w:rPr>
                <w:rFonts w:hint="default" w:ascii="Times New Roman" w:hAnsi="Times New Roman"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105,671.73 </w:t>
            </w:r>
          </w:p>
        </w:tc>
        <w:tc>
          <w:tcPr>
            <w:tcW w:w="2141" w:type="dxa"/>
            <w:vAlign w:val="center"/>
          </w:tcPr>
          <w:p>
            <w:pPr>
              <w:widowControl/>
              <w:ind w:right="-37"/>
              <w:jc w:val="right"/>
              <w:rPr>
                <w:rFonts w:hint="default" w:ascii="Times New Roman" w:hAnsi="Times New Roman" w:eastAsia="等线" w:cs="Times New Roman"/>
                <w:color w:val="auto"/>
                <w:kern w:val="0"/>
                <w:sz w:val="22"/>
                <w:highlight w:val="none"/>
              </w:rPr>
            </w:pPr>
            <w:r>
              <w:rPr>
                <w:rFonts w:hint="default" w:ascii="Times New Roman" w:hAnsi="Times New Roman" w:cs="Times New Roman"/>
                <w:color w:val="auto"/>
                <w:kern w:val="0"/>
                <w:sz w:val="22"/>
                <w:highlight w:val="none"/>
              </w:rPr>
              <w:t>114</w:t>
            </w:r>
            <w:r>
              <w:rPr>
                <w:rFonts w:hint="default" w:ascii="Times New Roman" w:hAnsi="Times New Roman" w:cs="Times New Roman"/>
                <w:color w:val="auto"/>
                <w:kern w:val="0"/>
                <w:sz w:val="22"/>
                <w:highlight w:val="none"/>
                <w:lang w:val="en-US" w:eastAsia="zh-CN"/>
              </w:rPr>
              <w:t>,</w:t>
            </w:r>
            <w:r>
              <w:rPr>
                <w:rFonts w:hint="default" w:ascii="Times New Roman" w:hAnsi="Times New Roman" w:cs="Times New Roman"/>
                <w:color w:val="auto"/>
                <w:kern w:val="0"/>
                <w:sz w:val="22"/>
                <w:highlight w:val="none"/>
              </w:rPr>
              <w:t>098.7</w:t>
            </w:r>
            <w:r>
              <w:rPr>
                <w:rFonts w:hint="default" w:ascii="Times New Roman" w:hAnsi="Times New Roman" w:cs="Times New Roman"/>
                <w:color w:val="auto"/>
                <w:kern w:val="0"/>
                <w:sz w:val="22"/>
                <w:highlight w:val="none"/>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4992" w:type="dxa"/>
            <w:vAlign w:val="center"/>
          </w:tcPr>
          <w:p>
            <w:pPr>
              <w:widowControl/>
              <w:ind w:right="-4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 xml:space="preserve">非农个人贷款 </w:t>
            </w:r>
          </w:p>
        </w:tc>
        <w:tc>
          <w:tcPr>
            <w:tcW w:w="1838" w:type="dxa"/>
            <w:vAlign w:val="center"/>
          </w:tcPr>
          <w:p>
            <w:pPr>
              <w:keepNext w:val="0"/>
              <w:keepLines w:val="0"/>
              <w:widowControl/>
              <w:suppressLineNumbers w:val="0"/>
              <w:jc w:val="right"/>
              <w:textAlignment w:val="center"/>
              <w:rPr>
                <w:rFonts w:hint="default" w:ascii="Times New Roman" w:hAnsi="Times New Roman"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471,746.01 </w:t>
            </w:r>
          </w:p>
        </w:tc>
        <w:tc>
          <w:tcPr>
            <w:tcW w:w="2141" w:type="dxa"/>
            <w:vAlign w:val="center"/>
          </w:tcPr>
          <w:p>
            <w:pPr>
              <w:widowControl/>
              <w:ind w:right="-37"/>
              <w:jc w:val="right"/>
              <w:rPr>
                <w:rFonts w:hint="default" w:ascii="Times New Roman" w:hAnsi="Times New Roman" w:cs="Times New Roman"/>
                <w:color w:val="auto"/>
                <w:kern w:val="0"/>
                <w:sz w:val="22"/>
                <w:highlight w:val="none"/>
              </w:rPr>
            </w:pPr>
            <w:r>
              <w:rPr>
                <w:rFonts w:hint="default" w:ascii="Times New Roman" w:hAnsi="Times New Roman" w:cs="Times New Roman"/>
                <w:color w:val="auto"/>
                <w:kern w:val="0"/>
                <w:sz w:val="22"/>
                <w:highlight w:val="none"/>
              </w:rPr>
              <w:t>499</w:t>
            </w:r>
            <w:r>
              <w:rPr>
                <w:rFonts w:hint="default" w:ascii="Times New Roman" w:hAnsi="Times New Roman" w:cs="Times New Roman"/>
                <w:color w:val="auto"/>
                <w:kern w:val="0"/>
                <w:sz w:val="22"/>
                <w:highlight w:val="none"/>
                <w:lang w:val="en-US" w:eastAsia="zh-CN"/>
              </w:rPr>
              <w:t>,</w:t>
            </w:r>
            <w:r>
              <w:rPr>
                <w:rFonts w:hint="default" w:ascii="Times New Roman" w:hAnsi="Times New Roman" w:cs="Times New Roman"/>
                <w:color w:val="auto"/>
                <w:kern w:val="0"/>
                <w:sz w:val="22"/>
                <w:highlight w:val="none"/>
              </w:rPr>
              <w:t>520.15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4992" w:type="dxa"/>
            <w:vAlign w:val="center"/>
          </w:tcPr>
          <w:p>
            <w:pPr>
              <w:widowControl/>
              <w:ind w:right="-4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 xml:space="preserve">个人信用卡透支 </w:t>
            </w:r>
          </w:p>
        </w:tc>
        <w:tc>
          <w:tcPr>
            <w:tcW w:w="1838" w:type="dxa"/>
            <w:vAlign w:val="center"/>
          </w:tcPr>
          <w:p>
            <w:pPr>
              <w:keepNext w:val="0"/>
              <w:keepLines w:val="0"/>
              <w:widowControl/>
              <w:suppressLineNumbers w:val="0"/>
              <w:jc w:val="right"/>
              <w:textAlignment w:val="center"/>
              <w:rPr>
                <w:rFonts w:hint="default" w:ascii="Times New Roman" w:hAnsi="Times New Roman"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2,903.48 </w:t>
            </w:r>
          </w:p>
        </w:tc>
        <w:tc>
          <w:tcPr>
            <w:tcW w:w="2141" w:type="dxa"/>
            <w:vAlign w:val="center"/>
          </w:tcPr>
          <w:p>
            <w:pPr>
              <w:widowControl/>
              <w:ind w:right="-37"/>
              <w:jc w:val="right"/>
              <w:rPr>
                <w:rFonts w:hint="default" w:ascii="Times New Roman" w:hAnsi="Times New Roman" w:cs="Times New Roman"/>
                <w:color w:val="auto"/>
                <w:kern w:val="0"/>
                <w:sz w:val="22"/>
                <w:highlight w:val="none"/>
              </w:rPr>
            </w:pPr>
            <w:r>
              <w:rPr>
                <w:rFonts w:hint="default" w:ascii="Times New Roman" w:hAnsi="Times New Roman" w:cs="Times New Roman"/>
                <w:color w:val="auto"/>
                <w:kern w:val="0"/>
                <w:sz w:val="22"/>
                <w:highlight w:val="none"/>
              </w:rPr>
              <w:t>3</w:t>
            </w:r>
            <w:r>
              <w:rPr>
                <w:rFonts w:hint="default" w:ascii="Times New Roman" w:hAnsi="Times New Roman" w:cs="Times New Roman"/>
                <w:color w:val="auto"/>
                <w:kern w:val="0"/>
                <w:sz w:val="22"/>
                <w:highlight w:val="none"/>
                <w:lang w:val="en-US" w:eastAsia="zh-CN"/>
              </w:rPr>
              <w:t>,</w:t>
            </w:r>
            <w:r>
              <w:rPr>
                <w:rFonts w:hint="default" w:ascii="Times New Roman" w:hAnsi="Times New Roman" w:cs="Times New Roman"/>
                <w:color w:val="auto"/>
                <w:kern w:val="0"/>
                <w:sz w:val="22"/>
                <w:highlight w:val="none"/>
              </w:rPr>
              <w:t>658.11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4992" w:type="dxa"/>
            <w:vAlign w:val="center"/>
          </w:tcPr>
          <w:p>
            <w:pPr>
              <w:widowControl/>
              <w:ind w:right="-37"/>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小计</w:t>
            </w:r>
          </w:p>
        </w:tc>
        <w:tc>
          <w:tcPr>
            <w:tcW w:w="1838" w:type="dxa"/>
            <w:vAlign w:val="center"/>
          </w:tcPr>
          <w:p>
            <w:pPr>
              <w:keepNext w:val="0"/>
              <w:keepLines w:val="0"/>
              <w:widowControl/>
              <w:suppressLineNumbers w:val="0"/>
              <w:jc w:val="right"/>
              <w:textAlignment w:val="center"/>
              <w:rPr>
                <w:rFonts w:hint="default" w:ascii="Times New Roman" w:hAnsi="Times New Roman"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580,321.22 </w:t>
            </w:r>
          </w:p>
        </w:tc>
        <w:tc>
          <w:tcPr>
            <w:tcW w:w="2141" w:type="dxa"/>
            <w:vAlign w:val="center"/>
          </w:tcPr>
          <w:p>
            <w:pPr>
              <w:widowControl/>
              <w:ind w:right="-37"/>
              <w:jc w:val="right"/>
              <w:rPr>
                <w:rFonts w:hint="default" w:ascii="Times New Roman" w:hAnsi="Times New Roman" w:cs="Times New Roman"/>
                <w:color w:val="auto"/>
                <w:kern w:val="0"/>
                <w:sz w:val="22"/>
                <w:highlight w:val="none"/>
              </w:rPr>
            </w:pPr>
            <w:r>
              <w:rPr>
                <w:rFonts w:hint="default" w:ascii="Times New Roman" w:hAnsi="Times New Roman" w:cs="Times New Roman"/>
                <w:color w:val="auto"/>
                <w:kern w:val="0"/>
                <w:sz w:val="22"/>
                <w:highlight w:val="none"/>
              </w:rPr>
              <w:t>617</w:t>
            </w:r>
            <w:r>
              <w:rPr>
                <w:rFonts w:hint="default" w:ascii="Times New Roman" w:hAnsi="Times New Roman" w:cs="Times New Roman"/>
                <w:color w:val="auto"/>
                <w:kern w:val="0"/>
                <w:sz w:val="22"/>
                <w:highlight w:val="none"/>
                <w:lang w:val="en-US" w:eastAsia="zh-CN"/>
              </w:rPr>
              <w:t>,</w:t>
            </w:r>
            <w:r>
              <w:rPr>
                <w:rFonts w:hint="default" w:ascii="Times New Roman" w:hAnsi="Times New Roman" w:cs="Times New Roman"/>
                <w:color w:val="auto"/>
                <w:kern w:val="0"/>
                <w:sz w:val="22"/>
                <w:highlight w:val="none"/>
              </w:rPr>
              <w:t>276.96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4992"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sz w:val="24"/>
                <w:szCs w:val="24"/>
                <w:highlight w:val="none"/>
              </w:rPr>
              <w:t xml:space="preserve">企业贷款和垫款： </w:t>
            </w:r>
          </w:p>
        </w:tc>
        <w:tc>
          <w:tcPr>
            <w:tcW w:w="1838" w:type="dxa"/>
            <w:vAlign w:val="center"/>
          </w:tcPr>
          <w:p>
            <w:pPr>
              <w:jc w:val="right"/>
              <w:rPr>
                <w:rFonts w:hint="default" w:ascii="Times New Roman" w:hAnsi="Times New Roman" w:cs="Times New Roman"/>
                <w:color w:val="auto"/>
                <w:kern w:val="0"/>
                <w:sz w:val="22"/>
                <w:highlight w:val="none"/>
              </w:rPr>
            </w:pPr>
          </w:p>
        </w:tc>
        <w:tc>
          <w:tcPr>
            <w:tcW w:w="2141" w:type="dxa"/>
            <w:vAlign w:val="center"/>
          </w:tcPr>
          <w:p>
            <w:pPr>
              <w:jc w:val="right"/>
              <w:rPr>
                <w:rFonts w:hint="default" w:ascii="Times New Roman" w:hAnsi="Times New Roman" w:cs="Times New Roman"/>
                <w:color w:val="auto"/>
                <w:kern w:val="0"/>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4992" w:type="dxa"/>
            <w:vAlign w:val="center"/>
          </w:tcPr>
          <w:p>
            <w:pPr>
              <w:widowControl/>
              <w:ind w:right="-37"/>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 xml:space="preserve">农村经济组织贷款 </w:t>
            </w:r>
          </w:p>
        </w:tc>
        <w:tc>
          <w:tcPr>
            <w:tcW w:w="1838" w:type="dxa"/>
            <w:vAlign w:val="center"/>
          </w:tcPr>
          <w:p>
            <w:pPr>
              <w:widowControl/>
              <w:jc w:val="right"/>
              <w:textAlignment w:val="center"/>
              <w:rPr>
                <w:rFonts w:hint="default" w:ascii="Times New Roman" w:hAnsi="Times New Roman" w:cs="Times New Roman"/>
                <w:color w:val="auto"/>
                <w:kern w:val="0"/>
                <w:sz w:val="22"/>
                <w:highlight w:val="none"/>
              </w:rPr>
            </w:pPr>
          </w:p>
        </w:tc>
        <w:tc>
          <w:tcPr>
            <w:tcW w:w="2141" w:type="dxa"/>
            <w:vAlign w:val="center"/>
          </w:tcPr>
          <w:p>
            <w:pPr>
              <w:widowControl/>
              <w:jc w:val="right"/>
              <w:textAlignment w:val="center"/>
              <w:rPr>
                <w:rFonts w:hint="default" w:ascii="Times New Roman" w:hAnsi="Times New Roman" w:cs="Times New Roman"/>
                <w:color w:val="auto"/>
                <w:kern w:val="0"/>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4992" w:type="dxa"/>
            <w:vAlign w:val="center"/>
          </w:tcPr>
          <w:p>
            <w:pPr>
              <w:widowControl/>
              <w:ind w:right="-37"/>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 xml:space="preserve">农村企业贷款 </w:t>
            </w:r>
          </w:p>
        </w:tc>
        <w:tc>
          <w:tcPr>
            <w:tcW w:w="1838" w:type="dxa"/>
            <w:vAlign w:val="center"/>
          </w:tcPr>
          <w:p>
            <w:pPr>
              <w:widowControl/>
              <w:jc w:val="right"/>
              <w:textAlignment w:val="center"/>
              <w:rPr>
                <w:rFonts w:hint="default" w:ascii="Times New Roman" w:hAnsi="Times New Roman" w:cs="Times New Roman"/>
                <w:color w:val="auto"/>
                <w:kern w:val="0"/>
                <w:sz w:val="22"/>
                <w:highlight w:val="none"/>
              </w:rPr>
            </w:pPr>
          </w:p>
        </w:tc>
        <w:tc>
          <w:tcPr>
            <w:tcW w:w="2141" w:type="dxa"/>
            <w:vAlign w:val="center"/>
          </w:tcPr>
          <w:p>
            <w:pPr>
              <w:widowControl/>
              <w:jc w:val="right"/>
              <w:textAlignment w:val="center"/>
              <w:rPr>
                <w:rFonts w:hint="default" w:ascii="Times New Roman" w:hAnsi="Times New Roman" w:cs="Times New Roman"/>
                <w:color w:val="auto"/>
                <w:kern w:val="0"/>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4992" w:type="dxa"/>
            <w:vAlign w:val="center"/>
          </w:tcPr>
          <w:p>
            <w:pPr>
              <w:widowControl/>
              <w:ind w:right="-37"/>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 xml:space="preserve">非农企业贷款 </w:t>
            </w:r>
          </w:p>
        </w:tc>
        <w:tc>
          <w:tcPr>
            <w:tcW w:w="1838" w:type="dxa"/>
            <w:vAlign w:val="center"/>
          </w:tcPr>
          <w:p>
            <w:pPr>
              <w:keepNext w:val="0"/>
              <w:keepLines w:val="0"/>
              <w:widowControl/>
              <w:suppressLineNumbers w:val="0"/>
              <w:jc w:val="right"/>
              <w:textAlignment w:val="center"/>
              <w:rPr>
                <w:rFonts w:hint="default" w:ascii="Times New Roman" w:hAnsi="Times New Roman"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1,071,294.23 </w:t>
            </w:r>
          </w:p>
        </w:tc>
        <w:tc>
          <w:tcPr>
            <w:tcW w:w="2141" w:type="dxa"/>
            <w:vAlign w:val="center"/>
          </w:tcPr>
          <w:p>
            <w:pPr>
              <w:widowControl/>
              <w:jc w:val="right"/>
              <w:textAlignment w:val="center"/>
              <w:rPr>
                <w:rFonts w:hint="default" w:ascii="Times New Roman" w:hAnsi="Times New Roman" w:cs="Times New Roman"/>
                <w:color w:val="auto"/>
                <w:kern w:val="0"/>
                <w:sz w:val="22"/>
                <w:highlight w:val="none"/>
              </w:rPr>
            </w:pPr>
            <w:r>
              <w:rPr>
                <w:rFonts w:hint="default" w:ascii="Times New Roman" w:hAnsi="Times New Roman" w:cs="Times New Roman"/>
                <w:color w:val="auto"/>
                <w:kern w:val="0"/>
                <w:sz w:val="22"/>
                <w:highlight w:val="none"/>
              </w:rPr>
              <w:t>939</w:t>
            </w:r>
            <w:r>
              <w:rPr>
                <w:rFonts w:hint="default" w:ascii="Times New Roman" w:hAnsi="Times New Roman" w:cs="Times New Roman"/>
                <w:color w:val="auto"/>
                <w:kern w:val="0"/>
                <w:sz w:val="22"/>
                <w:highlight w:val="none"/>
                <w:lang w:val="en-US" w:eastAsia="zh-CN"/>
              </w:rPr>
              <w:t>,</w:t>
            </w:r>
            <w:r>
              <w:rPr>
                <w:rFonts w:hint="default" w:ascii="Times New Roman" w:hAnsi="Times New Roman" w:cs="Times New Roman"/>
                <w:color w:val="auto"/>
                <w:kern w:val="0"/>
                <w:sz w:val="22"/>
                <w:highlight w:val="none"/>
              </w:rPr>
              <w:t>080.08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4992" w:type="dxa"/>
            <w:vAlign w:val="center"/>
          </w:tcPr>
          <w:p>
            <w:pPr>
              <w:widowControl/>
              <w:ind w:right="-37"/>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 xml:space="preserve">贴现资产 </w:t>
            </w:r>
          </w:p>
        </w:tc>
        <w:tc>
          <w:tcPr>
            <w:tcW w:w="1838" w:type="dxa"/>
            <w:vAlign w:val="center"/>
          </w:tcPr>
          <w:p>
            <w:pPr>
              <w:keepNext w:val="0"/>
              <w:keepLines w:val="0"/>
              <w:widowControl/>
              <w:suppressLineNumbers w:val="0"/>
              <w:jc w:val="right"/>
              <w:textAlignment w:val="center"/>
              <w:rPr>
                <w:rFonts w:hint="default" w:ascii="Times New Roman" w:hAnsi="Times New Roman"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89,561.48 </w:t>
            </w:r>
          </w:p>
        </w:tc>
        <w:tc>
          <w:tcPr>
            <w:tcW w:w="2141" w:type="dxa"/>
            <w:vAlign w:val="center"/>
          </w:tcPr>
          <w:p>
            <w:pPr>
              <w:widowControl/>
              <w:jc w:val="right"/>
              <w:textAlignment w:val="center"/>
              <w:rPr>
                <w:rFonts w:hint="default" w:ascii="Times New Roman" w:hAnsi="Times New Roman" w:cs="Times New Roman"/>
                <w:color w:val="auto"/>
                <w:kern w:val="0"/>
                <w:sz w:val="22"/>
                <w:highlight w:val="none"/>
              </w:rPr>
            </w:pPr>
            <w:r>
              <w:rPr>
                <w:rFonts w:hint="default" w:ascii="Times New Roman" w:hAnsi="Times New Roman" w:cs="Times New Roman"/>
                <w:color w:val="auto"/>
                <w:kern w:val="0"/>
                <w:sz w:val="22"/>
                <w:highlight w:val="none"/>
              </w:rPr>
              <w:t>82</w:t>
            </w:r>
            <w:r>
              <w:rPr>
                <w:rFonts w:hint="default" w:ascii="Times New Roman" w:hAnsi="Times New Roman" w:cs="Times New Roman"/>
                <w:color w:val="auto"/>
                <w:kern w:val="0"/>
                <w:sz w:val="22"/>
                <w:highlight w:val="none"/>
                <w:lang w:val="en-US" w:eastAsia="zh-CN"/>
              </w:rPr>
              <w:t>,</w:t>
            </w:r>
            <w:r>
              <w:rPr>
                <w:rFonts w:hint="default" w:ascii="Times New Roman" w:hAnsi="Times New Roman" w:cs="Times New Roman"/>
                <w:color w:val="auto"/>
                <w:kern w:val="0"/>
                <w:sz w:val="22"/>
                <w:highlight w:val="none"/>
              </w:rPr>
              <w:t>854.37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4992" w:type="dxa"/>
            <w:vAlign w:val="center"/>
          </w:tcPr>
          <w:p>
            <w:pPr>
              <w:widowControl/>
              <w:ind w:right="-37"/>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小计</w:t>
            </w:r>
          </w:p>
        </w:tc>
        <w:tc>
          <w:tcPr>
            <w:tcW w:w="1838" w:type="dxa"/>
            <w:vAlign w:val="center"/>
          </w:tcPr>
          <w:p>
            <w:pPr>
              <w:keepNext w:val="0"/>
              <w:keepLines w:val="0"/>
              <w:widowControl/>
              <w:suppressLineNumbers w:val="0"/>
              <w:jc w:val="right"/>
              <w:textAlignment w:val="center"/>
              <w:rPr>
                <w:rFonts w:hint="default" w:ascii="Times New Roman" w:hAnsi="Times New Roman"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1,160,855.71 </w:t>
            </w:r>
          </w:p>
        </w:tc>
        <w:tc>
          <w:tcPr>
            <w:tcW w:w="2141" w:type="dxa"/>
            <w:vAlign w:val="center"/>
          </w:tcPr>
          <w:p>
            <w:pPr>
              <w:widowControl/>
              <w:ind w:right="-37"/>
              <w:jc w:val="right"/>
              <w:rPr>
                <w:rFonts w:hint="default" w:ascii="Times New Roman" w:hAnsi="Times New Roman" w:cs="Times New Roman"/>
                <w:color w:val="auto"/>
                <w:kern w:val="0"/>
                <w:sz w:val="22"/>
                <w:highlight w:val="none"/>
              </w:rPr>
            </w:pPr>
            <w:r>
              <w:rPr>
                <w:rFonts w:hint="default" w:ascii="Times New Roman" w:hAnsi="Times New Roman" w:cs="Times New Roman"/>
                <w:color w:val="auto"/>
                <w:kern w:val="0"/>
                <w:sz w:val="22"/>
                <w:highlight w:val="none"/>
              </w:rPr>
              <w:t>1</w:t>
            </w:r>
            <w:r>
              <w:rPr>
                <w:rFonts w:hint="default" w:ascii="Times New Roman" w:hAnsi="Times New Roman" w:cs="Times New Roman"/>
                <w:color w:val="auto"/>
                <w:kern w:val="0"/>
                <w:sz w:val="22"/>
                <w:highlight w:val="none"/>
                <w:lang w:val="en-US" w:eastAsia="zh-CN"/>
              </w:rPr>
              <w:t>,</w:t>
            </w:r>
            <w:r>
              <w:rPr>
                <w:rFonts w:hint="default" w:ascii="Times New Roman" w:hAnsi="Times New Roman" w:cs="Times New Roman"/>
                <w:color w:val="auto"/>
                <w:kern w:val="0"/>
                <w:sz w:val="22"/>
                <w:highlight w:val="none"/>
              </w:rPr>
              <w:t>021</w:t>
            </w:r>
            <w:r>
              <w:rPr>
                <w:rFonts w:hint="default" w:ascii="Times New Roman" w:hAnsi="Times New Roman" w:cs="Times New Roman"/>
                <w:color w:val="auto"/>
                <w:kern w:val="0"/>
                <w:sz w:val="22"/>
                <w:highlight w:val="none"/>
                <w:lang w:val="en-US" w:eastAsia="zh-CN"/>
              </w:rPr>
              <w:t>,</w:t>
            </w:r>
            <w:r>
              <w:rPr>
                <w:rFonts w:hint="default" w:ascii="Times New Roman" w:hAnsi="Times New Roman" w:cs="Times New Roman"/>
                <w:color w:val="auto"/>
                <w:kern w:val="0"/>
                <w:sz w:val="22"/>
                <w:highlight w:val="none"/>
              </w:rPr>
              <w:t>934.45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4992"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sz w:val="24"/>
                <w:szCs w:val="24"/>
                <w:highlight w:val="none"/>
              </w:rPr>
              <w:t>贷款和垫款总额</w:t>
            </w:r>
          </w:p>
        </w:tc>
        <w:tc>
          <w:tcPr>
            <w:tcW w:w="1838" w:type="dxa"/>
            <w:vAlign w:val="center"/>
          </w:tcPr>
          <w:p>
            <w:pPr>
              <w:keepNext w:val="0"/>
              <w:keepLines w:val="0"/>
              <w:widowControl/>
              <w:suppressLineNumbers w:val="0"/>
              <w:jc w:val="right"/>
              <w:textAlignment w:val="center"/>
              <w:rPr>
                <w:rFonts w:hint="default" w:ascii="Times New Roman" w:hAnsi="Times New Roman"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1</w:t>
            </w:r>
            <w:r>
              <w:rPr>
                <w:rFonts w:hint="default" w:ascii="Times New Roman" w:hAnsi="Times New Roman" w:cs="Times New Roman"/>
                <w:i w:val="0"/>
                <w:color w:val="auto"/>
                <w:kern w:val="0"/>
                <w:sz w:val="22"/>
                <w:szCs w:val="22"/>
                <w:highlight w:val="none"/>
                <w:u w:val="none"/>
                <w:lang w:val="en-US" w:eastAsia="zh-CN"/>
              </w:rPr>
              <w:t>,</w:t>
            </w:r>
            <w:r>
              <w:rPr>
                <w:rFonts w:hint="default" w:ascii="Times New Roman" w:hAnsi="Times New Roman" w:eastAsia="宋体" w:cs="Times New Roman"/>
                <w:i w:val="0"/>
                <w:color w:val="auto"/>
                <w:kern w:val="0"/>
                <w:sz w:val="22"/>
                <w:szCs w:val="22"/>
                <w:highlight w:val="none"/>
                <w:u w:val="none"/>
                <w:lang w:val="en-US" w:eastAsia="zh-CN"/>
              </w:rPr>
              <w:t>741</w:t>
            </w:r>
            <w:r>
              <w:rPr>
                <w:rFonts w:hint="default" w:ascii="Times New Roman" w:hAnsi="Times New Roman" w:cs="Times New Roman"/>
                <w:i w:val="0"/>
                <w:color w:val="auto"/>
                <w:kern w:val="0"/>
                <w:sz w:val="22"/>
                <w:szCs w:val="22"/>
                <w:highlight w:val="none"/>
                <w:u w:val="none"/>
                <w:lang w:val="en-US" w:eastAsia="zh-CN"/>
              </w:rPr>
              <w:t>,</w:t>
            </w:r>
            <w:r>
              <w:rPr>
                <w:rFonts w:hint="default" w:ascii="Times New Roman" w:hAnsi="Times New Roman" w:eastAsia="宋体" w:cs="Times New Roman"/>
                <w:i w:val="0"/>
                <w:color w:val="auto"/>
                <w:kern w:val="0"/>
                <w:sz w:val="22"/>
                <w:szCs w:val="22"/>
                <w:highlight w:val="none"/>
                <w:u w:val="none"/>
                <w:lang w:val="en-US" w:eastAsia="zh-CN"/>
              </w:rPr>
              <w:t xml:space="preserve">176.93 </w:t>
            </w:r>
          </w:p>
        </w:tc>
        <w:tc>
          <w:tcPr>
            <w:tcW w:w="2141" w:type="dxa"/>
            <w:vAlign w:val="center"/>
          </w:tcPr>
          <w:p>
            <w:pPr>
              <w:widowControl/>
              <w:ind w:right="-37"/>
              <w:jc w:val="right"/>
              <w:rPr>
                <w:rFonts w:hint="default" w:ascii="Times New Roman" w:hAnsi="Times New Roman" w:cs="Times New Roman"/>
                <w:color w:val="auto"/>
                <w:kern w:val="0"/>
                <w:sz w:val="22"/>
                <w:highlight w:val="none"/>
              </w:rPr>
            </w:pPr>
            <w:r>
              <w:rPr>
                <w:rFonts w:hint="default" w:ascii="Times New Roman" w:hAnsi="Times New Roman" w:cs="Times New Roman"/>
                <w:color w:val="auto"/>
                <w:kern w:val="0"/>
                <w:sz w:val="22"/>
                <w:highlight w:val="none"/>
              </w:rPr>
              <w:t>1</w:t>
            </w:r>
            <w:r>
              <w:rPr>
                <w:rFonts w:hint="default" w:ascii="Times New Roman" w:hAnsi="Times New Roman" w:cs="Times New Roman"/>
                <w:color w:val="auto"/>
                <w:kern w:val="0"/>
                <w:sz w:val="22"/>
                <w:highlight w:val="none"/>
                <w:lang w:val="en-US" w:eastAsia="zh-CN"/>
              </w:rPr>
              <w:t>,</w:t>
            </w:r>
            <w:r>
              <w:rPr>
                <w:rFonts w:hint="default" w:ascii="Times New Roman" w:hAnsi="Times New Roman" w:cs="Times New Roman"/>
                <w:color w:val="auto"/>
                <w:kern w:val="0"/>
                <w:sz w:val="22"/>
                <w:highlight w:val="none"/>
              </w:rPr>
              <w:t>639</w:t>
            </w:r>
            <w:r>
              <w:rPr>
                <w:rFonts w:hint="default" w:ascii="Times New Roman" w:hAnsi="Times New Roman" w:cs="Times New Roman"/>
                <w:color w:val="auto"/>
                <w:kern w:val="0"/>
                <w:sz w:val="22"/>
                <w:highlight w:val="none"/>
                <w:lang w:val="en-US" w:eastAsia="zh-CN"/>
              </w:rPr>
              <w:t>,</w:t>
            </w:r>
            <w:r>
              <w:rPr>
                <w:rFonts w:hint="default" w:ascii="Times New Roman" w:hAnsi="Times New Roman" w:cs="Times New Roman"/>
                <w:color w:val="auto"/>
                <w:kern w:val="0"/>
                <w:sz w:val="22"/>
                <w:highlight w:val="none"/>
              </w:rPr>
              <w:t>211.41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4992"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sz w:val="24"/>
                <w:szCs w:val="24"/>
                <w:highlight w:val="none"/>
              </w:rPr>
              <w:t xml:space="preserve">加：拆放境内其他非银行同业款项 </w:t>
            </w:r>
          </w:p>
        </w:tc>
        <w:tc>
          <w:tcPr>
            <w:tcW w:w="1838" w:type="dxa"/>
            <w:vAlign w:val="center"/>
          </w:tcPr>
          <w:p>
            <w:pPr>
              <w:keepNext w:val="0"/>
              <w:keepLines w:val="0"/>
              <w:widowControl/>
              <w:suppressLineNumbers w:val="0"/>
              <w:jc w:val="right"/>
              <w:textAlignment w:val="center"/>
              <w:rPr>
                <w:rFonts w:hint="default" w:ascii="Times New Roman" w:hAnsi="Times New Roman"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160,000.00 </w:t>
            </w:r>
          </w:p>
        </w:tc>
        <w:tc>
          <w:tcPr>
            <w:tcW w:w="2141" w:type="dxa"/>
            <w:vAlign w:val="center"/>
          </w:tcPr>
          <w:p>
            <w:pPr>
              <w:widowControl/>
              <w:ind w:right="-37"/>
              <w:jc w:val="right"/>
              <w:rPr>
                <w:rFonts w:hint="default" w:ascii="Times New Roman" w:hAnsi="Times New Roman" w:cs="Times New Roman"/>
                <w:color w:val="auto"/>
                <w:kern w:val="0"/>
                <w:sz w:val="22"/>
                <w:highlight w:val="none"/>
              </w:rPr>
            </w:pPr>
            <w:r>
              <w:rPr>
                <w:rFonts w:hint="default" w:ascii="Times New Roman" w:hAnsi="Times New Roman" w:cs="Times New Roman"/>
                <w:color w:val="auto"/>
                <w:kern w:val="0"/>
                <w:sz w:val="22"/>
                <w:highlight w:val="none"/>
              </w:rPr>
              <w:t>128</w:t>
            </w:r>
            <w:r>
              <w:rPr>
                <w:rFonts w:hint="default" w:ascii="Times New Roman" w:hAnsi="Times New Roman" w:cs="Times New Roman"/>
                <w:color w:val="auto"/>
                <w:kern w:val="0"/>
                <w:sz w:val="22"/>
                <w:highlight w:val="none"/>
                <w:lang w:val="en-US" w:eastAsia="zh-CN"/>
              </w:rPr>
              <w:t>,</w:t>
            </w:r>
            <w:r>
              <w:rPr>
                <w:rFonts w:hint="default" w:ascii="Times New Roman" w:hAnsi="Times New Roman" w:cs="Times New Roman"/>
                <w:color w:val="auto"/>
                <w:kern w:val="0"/>
                <w:sz w:val="22"/>
                <w:highlight w:val="none"/>
              </w:rPr>
              <w:t>000</w:t>
            </w:r>
            <w:r>
              <w:rPr>
                <w:rFonts w:hint="default" w:ascii="Times New Roman" w:hAnsi="Times New Roman" w:cs="Times New Roman"/>
                <w:color w:val="auto"/>
                <w:kern w:val="0"/>
                <w:sz w:val="22"/>
                <w:highlight w:val="none"/>
                <w:lang w:val="en-US" w:eastAsia="zh-CN"/>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4992" w:type="dxa"/>
            <w:vAlign w:val="center"/>
          </w:tcPr>
          <w:p>
            <w:pPr>
              <w:widowControl/>
              <w:ind w:right="-37" w:firstLine="480" w:firstLineChars="20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sz w:val="24"/>
                <w:szCs w:val="24"/>
                <w:highlight w:val="none"/>
              </w:rPr>
              <w:t>拆放境内非银行同业应收利息</w:t>
            </w:r>
          </w:p>
        </w:tc>
        <w:tc>
          <w:tcPr>
            <w:tcW w:w="1838" w:type="dxa"/>
            <w:vAlign w:val="center"/>
          </w:tcPr>
          <w:p>
            <w:pPr>
              <w:keepNext w:val="0"/>
              <w:keepLines w:val="0"/>
              <w:widowControl/>
              <w:suppressLineNumbers w:val="0"/>
              <w:jc w:val="right"/>
              <w:textAlignment w:val="center"/>
              <w:rPr>
                <w:rFonts w:hint="default" w:ascii="Times New Roman" w:hAnsi="Times New Roman"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764.14  </w:t>
            </w:r>
          </w:p>
        </w:tc>
        <w:tc>
          <w:tcPr>
            <w:tcW w:w="2141" w:type="dxa"/>
            <w:vAlign w:val="center"/>
          </w:tcPr>
          <w:p>
            <w:pPr>
              <w:widowControl/>
              <w:ind w:right="-37"/>
              <w:jc w:val="right"/>
              <w:rPr>
                <w:rFonts w:hint="default" w:ascii="Times New Roman" w:hAnsi="Times New Roman" w:cs="Times New Roman"/>
                <w:color w:val="auto"/>
                <w:kern w:val="0"/>
                <w:sz w:val="22"/>
                <w:highlight w:val="none"/>
              </w:rPr>
            </w:pPr>
            <w:r>
              <w:rPr>
                <w:rFonts w:hint="default" w:ascii="Times New Roman" w:hAnsi="Times New Roman" w:cs="Times New Roman"/>
                <w:color w:val="auto"/>
                <w:kern w:val="0"/>
                <w:sz w:val="22"/>
                <w:highlight w:val="none"/>
              </w:rPr>
              <w:t xml:space="preserve">1,541.13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4992" w:type="dxa"/>
            <w:vAlign w:val="center"/>
          </w:tcPr>
          <w:p>
            <w:pPr>
              <w:widowControl/>
              <w:ind w:right="-37" w:firstLine="480" w:firstLineChars="20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应收利息合计</w:t>
            </w:r>
          </w:p>
        </w:tc>
        <w:tc>
          <w:tcPr>
            <w:tcW w:w="1838" w:type="dxa"/>
            <w:vAlign w:val="center"/>
          </w:tcPr>
          <w:p>
            <w:pPr>
              <w:widowControl/>
              <w:ind w:right="-37"/>
              <w:jc w:val="right"/>
              <w:rPr>
                <w:rFonts w:hint="default" w:ascii="Times New Roman" w:hAnsi="Times New Roman" w:cs="Times New Roman"/>
                <w:color w:val="auto"/>
                <w:kern w:val="0"/>
                <w:sz w:val="22"/>
                <w:highlight w:val="none"/>
              </w:rPr>
            </w:pPr>
            <w:r>
              <w:rPr>
                <w:rFonts w:hint="default" w:ascii="Times New Roman" w:hAnsi="Times New Roman" w:cs="Times New Roman"/>
                <w:color w:val="auto"/>
                <w:kern w:val="0"/>
                <w:sz w:val="22"/>
                <w:highlight w:val="none"/>
              </w:rPr>
              <w:t>2,155.5</w:t>
            </w:r>
            <w:r>
              <w:rPr>
                <w:rFonts w:hint="default" w:ascii="Times New Roman" w:hAnsi="Times New Roman" w:cs="Times New Roman"/>
                <w:color w:val="auto"/>
                <w:kern w:val="0"/>
                <w:sz w:val="22"/>
                <w:highlight w:val="none"/>
                <w:lang w:val="en-US" w:eastAsia="zh-CN"/>
              </w:rPr>
              <w:t>2</w:t>
            </w:r>
            <w:r>
              <w:rPr>
                <w:rFonts w:hint="default" w:ascii="Times New Roman" w:hAnsi="Times New Roman" w:cs="Times New Roman"/>
                <w:color w:val="auto"/>
                <w:kern w:val="0"/>
                <w:sz w:val="22"/>
                <w:highlight w:val="none"/>
              </w:rPr>
              <w:t xml:space="preserve"> </w:t>
            </w:r>
          </w:p>
        </w:tc>
        <w:tc>
          <w:tcPr>
            <w:tcW w:w="2141" w:type="dxa"/>
            <w:vAlign w:val="center"/>
          </w:tcPr>
          <w:p>
            <w:pPr>
              <w:widowControl/>
              <w:ind w:right="-37"/>
              <w:jc w:val="right"/>
              <w:rPr>
                <w:rFonts w:hint="default" w:ascii="Times New Roman" w:hAnsi="Times New Roman" w:cs="Times New Roman"/>
                <w:color w:val="auto"/>
                <w:kern w:val="0"/>
                <w:sz w:val="22"/>
                <w:highlight w:val="none"/>
              </w:rPr>
            </w:pPr>
            <w:r>
              <w:rPr>
                <w:rFonts w:hint="default" w:ascii="Times New Roman" w:hAnsi="Times New Roman" w:cs="Times New Roman"/>
                <w:color w:val="auto"/>
                <w:kern w:val="0"/>
                <w:sz w:val="22"/>
                <w:highlight w:val="none"/>
              </w:rPr>
              <w:t xml:space="preserve">2,116.13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4992" w:type="dxa"/>
            <w:vAlign w:val="center"/>
          </w:tcPr>
          <w:p>
            <w:pPr>
              <w:widowControl/>
              <w:ind w:right="-37" w:firstLine="480" w:firstLineChars="20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信用卡应收息</w:t>
            </w:r>
          </w:p>
        </w:tc>
        <w:tc>
          <w:tcPr>
            <w:tcW w:w="1838" w:type="dxa"/>
            <w:vAlign w:val="center"/>
          </w:tcPr>
          <w:p>
            <w:pPr>
              <w:widowControl/>
              <w:ind w:right="-37"/>
              <w:jc w:val="right"/>
              <w:rPr>
                <w:rFonts w:hint="default" w:ascii="Times New Roman" w:hAnsi="Times New Roman" w:cs="Times New Roman"/>
                <w:color w:val="auto"/>
                <w:kern w:val="0"/>
                <w:sz w:val="22"/>
                <w:highlight w:val="none"/>
              </w:rPr>
            </w:pPr>
            <w:r>
              <w:rPr>
                <w:rFonts w:hint="default" w:ascii="Times New Roman" w:hAnsi="Times New Roman" w:cs="Times New Roman"/>
                <w:color w:val="auto"/>
                <w:kern w:val="0"/>
                <w:sz w:val="22"/>
                <w:highlight w:val="none"/>
              </w:rPr>
              <w:t xml:space="preserve">19.22 </w:t>
            </w:r>
          </w:p>
        </w:tc>
        <w:tc>
          <w:tcPr>
            <w:tcW w:w="2141" w:type="dxa"/>
            <w:vAlign w:val="center"/>
          </w:tcPr>
          <w:p>
            <w:pPr>
              <w:widowControl/>
              <w:ind w:right="-37"/>
              <w:jc w:val="right"/>
              <w:rPr>
                <w:rFonts w:hint="default" w:ascii="Times New Roman" w:hAnsi="Times New Roman" w:cs="Times New Roman"/>
                <w:color w:val="auto"/>
                <w:kern w:val="0"/>
                <w:sz w:val="22"/>
                <w:highlight w:val="none"/>
              </w:rPr>
            </w:pPr>
            <w:r>
              <w:rPr>
                <w:rFonts w:hint="default" w:ascii="Times New Roman" w:hAnsi="Times New Roman" w:cs="Times New Roman"/>
                <w:color w:val="auto"/>
                <w:kern w:val="0"/>
                <w:sz w:val="22"/>
                <w:highlight w:val="none"/>
              </w:rPr>
              <w:t xml:space="preserve">21.65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4992" w:type="dxa"/>
            <w:vAlign w:val="center"/>
          </w:tcPr>
          <w:p>
            <w:pPr>
              <w:widowControl/>
              <w:ind w:right="-37"/>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 xml:space="preserve">减：贷款损失准备 </w:t>
            </w:r>
          </w:p>
        </w:tc>
        <w:tc>
          <w:tcPr>
            <w:tcW w:w="1838" w:type="dxa"/>
            <w:vAlign w:val="center"/>
          </w:tcPr>
          <w:p>
            <w:pPr>
              <w:widowControl/>
              <w:ind w:right="-37"/>
              <w:jc w:val="right"/>
              <w:rPr>
                <w:rFonts w:hint="default" w:ascii="Times New Roman" w:hAnsi="Times New Roman" w:cs="Times New Roman"/>
                <w:color w:val="auto"/>
                <w:kern w:val="0"/>
                <w:sz w:val="22"/>
                <w:highlight w:val="none"/>
              </w:rPr>
            </w:pPr>
            <w:r>
              <w:rPr>
                <w:rFonts w:hint="default" w:ascii="Times New Roman" w:hAnsi="Times New Roman" w:cs="Times New Roman"/>
                <w:color w:val="auto"/>
                <w:kern w:val="0"/>
                <w:sz w:val="22"/>
                <w:highlight w:val="none"/>
                <w:lang w:val="en-US" w:eastAsia="zh-CN"/>
              </w:rPr>
              <w:t>46,569.11</w:t>
            </w:r>
          </w:p>
        </w:tc>
        <w:tc>
          <w:tcPr>
            <w:tcW w:w="2141" w:type="dxa"/>
            <w:vAlign w:val="center"/>
          </w:tcPr>
          <w:p>
            <w:pPr>
              <w:widowControl/>
              <w:ind w:right="-37"/>
              <w:jc w:val="right"/>
              <w:rPr>
                <w:rFonts w:hint="default" w:ascii="Times New Roman" w:hAnsi="Times New Roman" w:cs="Times New Roman"/>
                <w:color w:val="auto"/>
                <w:kern w:val="0"/>
                <w:sz w:val="22"/>
                <w:highlight w:val="none"/>
              </w:rPr>
            </w:pPr>
            <w:r>
              <w:rPr>
                <w:rFonts w:hint="default" w:ascii="Times New Roman" w:hAnsi="Times New Roman" w:cs="Times New Roman"/>
                <w:color w:val="auto"/>
                <w:kern w:val="0"/>
                <w:sz w:val="22"/>
                <w:highlight w:val="none"/>
                <w:lang w:val="en-US" w:eastAsia="zh-CN"/>
              </w:rPr>
              <w:t>47,371.15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4992" w:type="dxa"/>
            <w:vAlign w:val="center"/>
          </w:tcPr>
          <w:p>
            <w:pPr>
              <w:widowControl/>
              <w:ind w:right="-37" w:firstLine="480" w:firstLineChars="20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sz w:val="24"/>
                <w:szCs w:val="24"/>
                <w:highlight w:val="none"/>
              </w:rPr>
              <w:t>贴现利息调整</w:t>
            </w:r>
          </w:p>
        </w:tc>
        <w:tc>
          <w:tcPr>
            <w:tcW w:w="1838" w:type="dxa"/>
            <w:vAlign w:val="center"/>
          </w:tcPr>
          <w:p>
            <w:pPr>
              <w:widowControl/>
              <w:ind w:right="-37"/>
              <w:jc w:val="right"/>
              <w:rPr>
                <w:rFonts w:hint="default" w:ascii="Times New Roman" w:hAnsi="Times New Roman" w:cs="Times New Roman"/>
                <w:color w:val="auto"/>
                <w:kern w:val="0"/>
                <w:sz w:val="22"/>
                <w:highlight w:val="none"/>
              </w:rPr>
            </w:pPr>
            <w:r>
              <w:rPr>
                <w:rFonts w:hint="default" w:ascii="Times New Roman" w:hAnsi="Times New Roman" w:cs="Times New Roman"/>
                <w:color w:val="auto"/>
                <w:kern w:val="0"/>
                <w:sz w:val="22"/>
                <w:highlight w:val="none"/>
                <w:lang w:val="en-US" w:eastAsia="zh-CN"/>
              </w:rPr>
              <w:t>194.45</w:t>
            </w:r>
          </w:p>
        </w:tc>
        <w:tc>
          <w:tcPr>
            <w:tcW w:w="2141" w:type="dxa"/>
            <w:vAlign w:val="center"/>
          </w:tcPr>
          <w:p>
            <w:pPr>
              <w:widowControl/>
              <w:ind w:right="-37"/>
              <w:jc w:val="right"/>
              <w:rPr>
                <w:rFonts w:hint="default" w:ascii="Times New Roman" w:hAnsi="Times New Roman" w:cs="Times New Roman"/>
                <w:color w:val="auto"/>
                <w:kern w:val="0"/>
                <w:sz w:val="22"/>
                <w:highlight w:val="none"/>
              </w:rPr>
            </w:pPr>
            <w:r>
              <w:rPr>
                <w:rFonts w:hint="default" w:ascii="Times New Roman" w:hAnsi="Times New Roman" w:cs="Times New Roman"/>
                <w:color w:val="auto"/>
                <w:kern w:val="0"/>
                <w:sz w:val="22"/>
                <w:highlight w:val="none"/>
                <w:lang w:val="en-US" w:eastAsia="zh-CN"/>
              </w:rPr>
              <w:t>88.71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4992"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 xml:space="preserve">    拆放境内非存款类同业款项坏账准备 </w:t>
            </w:r>
          </w:p>
        </w:tc>
        <w:tc>
          <w:tcPr>
            <w:tcW w:w="1838" w:type="dxa"/>
            <w:vAlign w:val="center"/>
          </w:tcPr>
          <w:p>
            <w:pPr>
              <w:widowControl/>
              <w:ind w:right="-37"/>
              <w:jc w:val="right"/>
              <w:rPr>
                <w:rFonts w:hint="default" w:ascii="Times New Roman" w:hAnsi="Times New Roman" w:cs="Times New Roman"/>
                <w:color w:val="auto"/>
                <w:kern w:val="0"/>
                <w:sz w:val="22"/>
                <w:highlight w:val="none"/>
              </w:rPr>
            </w:pPr>
            <w:r>
              <w:rPr>
                <w:rFonts w:hint="default" w:ascii="Times New Roman" w:hAnsi="Times New Roman" w:cs="Times New Roman"/>
                <w:color w:val="auto"/>
                <w:kern w:val="0"/>
                <w:sz w:val="22"/>
                <w:highlight w:val="none"/>
              </w:rPr>
              <w:t xml:space="preserve">2,400.02 </w:t>
            </w:r>
          </w:p>
        </w:tc>
        <w:tc>
          <w:tcPr>
            <w:tcW w:w="2141" w:type="dxa"/>
            <w:vAlign w:val="center"/>
          </w:tcPr>
          <w:p>
            <w:pPr>
              <w:widowControl/>
              <w:ind w:right="-37"/>
              <w:jc w:val="right"/>
              <w:rPr>
                <w:rFonts w:hint="default" w:ascii="Times New Roman" w:hAnsi="Times New Roman" w:cs="Times New Roman"/>
                <w:color w:val="auto"/>
                <w:kern w:val="0"/>
                <w:sz w:val="22"/>
                <w:highlight w:val="none"/>
              </w:rPr>
            </w:pPr>
            <w:r>
              <w:rPr>
                <w:rFonts w:hint="default" w:ascii="Times New Roman" w:hAnsi="Times New Roman" w:cs="Times New Roman"/>
                <w:color w:val="auto"/>
                <w:kern w:val="0"/>
                <w:sz w:val="22"/>
                <w:highlight w:val="none"/>
              </w:rPr>
              <w:t xml:space="preserve">1,920.02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4992"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贷款和垫款账面价值</w:t>
            </w:r>
          </w:p>
        </w:tc>
        <w:tc>
          <w:tcPr>
            <w:tcW w:w="1838" w:type="dxa"/>
            <w:vAlign w:val="center"/>
          </w:tcPr>
          <w:p>
            <w:pPr>
              <w:widowControl/>
              <w:ind w:right="-37"/>
              <w:jc w:val="right"/>
              <w:rPr>
                <w:rFonts w:hint="default" w:ascii="Times New Roman" w:hAnsi="Times New Roman" w:cs="Times New Roman"/>
                <w:color w:val="auto"/>
                <w:kern w:val="0"/>
                <w:sz w:val="22"/>
                <w:highlight w:val="none"/>
              </w:rPr>
            </w:pPr>
            <w:r>
              <w:rPr>
                <w:rFonts w:hint="default" w:ascii="Times New Roman" w:hAnsi="Times New Roman" w:cs="Times New Roman"/>
                <w:color w:val="auto"/>
                <w:kern w:val="0"/>
                <w:sz w:val="22"/>
                <w:highlight w:val="none"/>
                <w:lang w:val="en-US" w:eastAsia="zh-CN"/>
              </w:rPr>
              <w:t>1,854,952.23</w:t>
            </w:r>
          </w:p>
        </w:tc>
        <w:tc>
          <w:tcPr>
            <w:tcW w:w="2141" w:type="dxa"/>
            <w:vAlign w:val="center"/>
          </w:tcPr>
          <w:p>
            <w:pPr>
              <w:widowControl/>
              <w:ind w:right="-37"/>
              <w:jc w:val="right"/>
              <w:rPr>
                <w:rFonts w:hint="default" w:ascii="Times New Roman" w:hAnsi="Times New Roman" w:cs="Times New Roman"/>
                <w:color w:val="auto"/>
                <w:kern w:val="0"/>
                <w:sz w:val="22"/>
                <w:highlight w:val="none"/>
              </w:rPr>
            </w:pPr>
            <w:r>
              <w:rPr>
                <w:rFonts w:hint="default" w:ascii="Times New Roman" w:hAnsi="Times New Roman" w:cs="Times New Roman"/>
                <w:color w:val="auto"/>
                <w:kern w:val="0"/>
                <w:sz w:val="22"/>
                <w:highlight w:val="none"/>
              </w:rPr>
              <w:t>1</w:t>
            </w:r>
            <w:r>
              <w:rPr>
                <w:rFonts w:hint="default" w:ascii="Times New Roman" w:hAnsi="Times New Roman" w:cs="Times New Roman"/>
                <w:color w:val="auto"/>
                <w:kern w:val="0"/>
                <w:sz w:val="22"/>
                <w:highlight w:val="none"/>
                <w:lang w:val="en-US" w:eastAsia="zh-CN"/>
              </w:rPr>
              <w:t>,</w:t>
            </w:r>
            <w:r>
              <w:rPr>
                <w:rFonts w:hint="default" w:ascii="Times New Roman" w:hAnsi="Times New Roman" w:cs="Times New Roman"/>
                <w:color w:val="auto"/>
                <w:kern w:val="0"/>
                <w:sz w:val="22"/>
                <w:highlight w:val="none"/>
              </w:rPr>
              <w:t>721</w:t>
            </w:r>
            <w:r>
              <w:rPr>
                <w:rFonts w:hint="default" w:ascii="Times New Roman" w:hAnsi="Times New Roman" w:cs="Times New Roman"/>
                <w:color w:val="auto"/>
                <w:kern w:val="0"/>
                <w:sz w:val="22"/>
                <w:highlight w:val="none"/>
                <w:lang w:val="en-US" w:eastAsia="zh-CN"/>
              </w:rPr>
              <w:t>,</w:t>
            </w:r>
            <w:r>
              <w:rPr>
                <w:rFonts w:hint="default" w:ascii="Times New Roman" w:hAnsi="Times New Roman" w:cs="Times New Roman"/>
                <w:color w:val="auto"/>
                <w:kern w:val="0"/>
                <w:sz w:val="22"/>
                <w:highlight w:val="none"/>
              </w:rPr>
              <w:t>510.44</w:t>
            </w:r>
          </w:p>
        </w:tc>
      </w:tr>
    </w:tbl>
    <w:p>
      <w:pPr>
        <w:ind w:right="-40" w:firstLine="560" w:firstLineChars="200"/>
        <w:jc w:val="left"/>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6.2 发放贷款按行业分布情况</w:t>
      </w:r>
    </w:p>
    <w:tbl>
      <w:tblPr>
        <w:tblStyle w:val="25"/>
        <w:tblW w:w="9052"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870"/>
        <w:gridCol w:w="1427"/>
        <w:gridCol w:w="1145"/>
        <w:gridCol w:w="1527"/>
        <w:gridCol w:w="10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tblHeader/>
          <w:jc w:val="center"/>
        </w:trPr>
        <w:tc>
          <w:tcPr>
            <w:tcW w:w="3870" w:type="dxa"/>
            <w:vMerge w:val="restart"/>
            <w:vAlign w:val="center"/>
          </w:tcPr>
          <w:p>
            <w:pPr>
              <w:widowControl/>
              <w:ind w:right="-37"/>
              <w:jc w:val="center"/>
              <w:textAlignment w:val="center"/>
              <w:rPr>
                <w:rFonts w:hint="default" w:ascii="Times New Roman" w:hAnsi="Times New Roman" w:eastAsia="仿宋_GB2312" w:cs="Times New Roman"/>
                <w:bCs/>
                <w:color w:val="auto"/>
                <w:sz w:val="24"/>
                <w:szCs w:val="24"/>
                <w:highlight w:val="none"/>
              </w:rPr>
            </w:pPr>
            <w:r>
              <w:rPr>
                <w:rStyle w:val="117"/>
                <w:rFonts w:hint="default" w:ascii="Times New Roman" w:hAnsi="Times New Roman" w:eastAsia="仿宋_GB2312" w:cs="Times New Roman"/>
                <w:b w:val="0"/>
                <w:bCs/>
                <w:color w:val="auto"/>
                <w:sz w:val="24"/>
                <w:szCs w:val="24"/>
                <w:highlight w:val="none"/>
              </w:rPr>
              <w:t>行业分类</w:t>
            </w:r>
          </w:p>
        </w:tc>
        <w:tc>
          <w:tcPr>
            <w:tcW w:w="2572" w:type="dxa"/>
            <w:gridSpan w:val="2"/>
            <w:vAlign w:val="center"/>
          </w:tcPr>
          <w:p>
            <w:pPr>
              <w:widowControl/>
              <w:ind w:right="-37"/>
              <w:jc w:val="center"/>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2026-6-30</w:t>
            </w:r>
          </w:p>
        </w:tc>
        <w:tc>
          <w:tcPr>
            <w:tcW w:w="2610" w:type="dxa"/>
            <w:gridSpan w:val="2"/>
            <w:vAlign w:val="center"/>
          </w:tcPr>
          <w:p>
            <w:pPr>
              <w:widowControl/>
              <w:ind w:right="-37"/>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202</w:t>
            </w:r>
            <w:r>
              <w:rPr>
                <w:rFonts w:hint="default" w:ascii="Times New Roman" w:hAnsi="Times New Roman" w:cs="Times New Roman"/>
                <w:color w:val="auto"/>
                <w:kern w:val="0"/>
                <w:sz w:val="24"/>
                <w:szCs w:val="24"/>
                <w:highlight w:val="none"/>
                <w:lang w:val="en-US" w:eastAsia="zh-CN"/>
              </w:rPr>
              <w:t>5</w:t>
            </w:r>
            <w:r>
              <w:rPr>
                <w:rFonts w:hint="default" w:ascii="Times New Roman" w:hAnsi="Times New Roman" w:cs="Times New Roman"/>
                <w:color w:val="auto"/>
                <w:kern w:val="0"/>
                <w:sz w:val="24"/>
                <w:szCs w:val="24"/>
                <w:highlight w:val="none"/>
              </w:rPr>
              <w:t>-12-31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tblHeader/>
          <w:jc w:val="center"/>
        </w:trPr>
        <w:tc>
          <w:tcPr>
            <w:tcW w:w="3870" w:type="dxa"/>
            <w:vMerge w:val="continue"/>
            <w:vAlign w:val="center"/>
          </w:tcPr>
          <w:p>
            <w:pPr>
              <w:rPr>
                <w:rFonts w:hint="default" w:ascii="Times New Roman" w:hAnsi="Times New Roman" w:cs="Times New Roman"/>
              </w:rPr>
            </w:pPr>
          </w:p>
        </w:tc>
        <w:tc>
          <w:tcPr>
            <w:tcW w:w="1427" w:type="dxa"/>
            <w:vAlign w:val="center"/>
          </w:tcPr>
          <w:p>
            <w:pPr>
              <w:widowControl/>
              <w:ind w:right="-37"/>
              <w:jc w:val="center"/>
              <w:textAlignment w:val="center"/>
              <w:rPr>
                <w:rStyle w:val="117"/>
                <w:rFonts w:hint="default" w:ascii="Times New Roman" w:hAnsi="Times New Roman" w:eastAsia="仿宋_GB2312" w:cs="Times New Roman"/>
                <w:b w:val="0"/>
                <w:bCs/>
                <w:color w:val="auto"/>
                <w:sz w:val="24"/>
                <w:szCs w:val="24"/>
                <w:highlight w:val="none"/>
              </w:rPr>
            </w:pPr>
            <w:r>
              <w:rPr>
                <w:rStyle w:val="117"/>
                <w:rFonts w:hint="default" w:ascii="Times New Roman" w:hAnsi="Times New Roman" w:eastAsia="仿宋_GB2312" w:cs="Times New Roman"/>
                <w:b w:val="0"/>
                <w:bCs/>
                <w:color w:val="auto"/>
                <w:sz w:val="24"/>
                <w:szCs w:val="24"/>
                <w:highlight w:val="none"/>
              </w:rPr>
              <w:t>金额</w:t>
            </w:r>
          </w:p>
        </w:tc>
        <w:tc>
          <w:tcPr>
            <w:tcW w:w="1145" w:type="dxa"/>
            <w:vAlign w:val="center"/>
          </w:tcPr>
          <w:p>
            <w:pPr>
              <w:widowControl/>
              <w:ind w:right="-37"/>
              <w:jc w:val="center"/>
              <w:textAlignment w:val="center"/>
              <w:rPr>
                <w:rStyle w:val="117"/>
                <w:rFonts w:hint="default" w:ascii="Times New Roman" w:hAnsi="Times New Roman" w:eastAsia="仿宋_GB2312" w:cs="Times New Roman"/>
                <w:b w:val="0"/>
                <w:bCs/>
                <w:color w:val="auto"/>
                <w:sz w:val="24"/>
                <w:szCs w:val="24"/>
                <w:highlight w:val="none"/>
              </w:rPr>
            </w:pPr>
            <w:r>
              <w:rPr>
                <w:rStyle w:val="117"/>
                <w:rFonts w:hint="default" w:ascii="Times New Roman" w:hAnsi="Times New Roman" w:eastAsia="仿宋_GB2312" w:cs="Times New Roman"/>
                <w:b w:val="0"/>
                <w:bCs/>
                <w:color w:val="auto"/>
                <w:sz w:val="24"/>
                <w:szCs w:val="24"/>
                <w:highlight w:val="none"/>
              </w:rPr>
              <w:t>比例</w:t>
            </w:r>
          </w:p>
        </w:tc>
        <w:tc>
          <w:tcPr>
            <w:tcW w:w="1527" w:type="dxa"/>
            <w:vAlign w:val="center"/>
          </w:tcPr>
          <w:p>
            <w:pPr>
              <w:widowControl/>
              <w:ind w:right="-37"/>
              <w:jc w:val="center"/>
              <w:textAlignment w:val="center"/>
              <w:rPr>
                <w:rStyle w:val="117"/>
                <w:rFonts w:hint="default" w:ascii="Times New Roman" w:hAnsi="Times New Roman" w:eastAsia="仿宋_GB2312" w:cs="Times New Roman"/>
                <w:b w:val="0"/>
                <w:bCs/>
                <w:color w:val="auto"/>
                <w:sz w:val="24"/>
                <w:szCs w:val="24"/>
                <w:highlight w:val="none"/>
              </w:rPr>
            </w:pPr>
            <w:r>
              <w:rPr>
                <w:rStyle w:val="117"/>
                <w:rFonts w:hint="default" w:ascii="Times New Roman" w:hAnsi="Times New Roman" w:eastAsia="仿宋_GB2312" w:cs="Times New Roman"/>
                <w:b w:val="0"/>
                <w:bCs/>
                <w:color w:val="auto"/>
                <w:sz w:val="24"/>
                <w:szCs w:val="24"/>
                <w:highlight w:val="none"/>
              </w:rPr>
              <w:t>金额</w:t>
            </w:r>
          </w:p>
        </w:tc>
        <w:tc>
          <w:tcPr>
            <w:tcW w:w="1083" w:type="dxa"/>
            <w:vAlign w:val="center"/>
          </w:tcPr>
          <w:p>
            <w:pPr>
              <w:widowControl/>
              <w:ind w:right="-37"/>
              <w:jc w:val="center"/>
              <w:textAlignment w:val="center"/>
              <w:rPr>
                <w:rStyle w:val="117"/>
                <w:rFonts w:hint="default" w:ascii="Times New Roman" w:hAnsi="Times New Roman" w:eastAsia="仿宋_GB2312" w:cs="Times New Roman"/>
                <w:b w:val="0"/>
                <w:bCs/>
                <w:color w:val="auto"/>
                <w:sz w:val="24"/>
                <w:szCs w:val="24"/>
                <w:highlight w:val="none"/>
              </w:rPr>
            </w:pPr>
            <w:r>
              <w:rPr>
                <w:rStyle w:val="117"/>
                <w:rFonts w:hint="default" w:ascii="Times New Roman" w:hAnsi="Times New Roman" w:eastAsia="仿宋_GB2312" w:cs="Times New Roman"/>
                <w:b w:val="0"/>
                <w:bCs/>
                <w:color w:val="auto"/>
                <w:sz w:val="24"/>
                <w:szCs w:val="24"/>
                <w:highlight w:val="none"/>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textAlignment w:val="center"/>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农、林、牧、渔业</w:t>
            </w:r>
          </w:p>
        </w:tc>
        <w:tc>
          <w:tcPr>
            <w:tcW w:w="14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188,798.59 </w:t>
            </w:r>
          </w:p>
        </w:tc>
        <w:tc>
          <w:tcPr>
            <w:tcW w:w="1145"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10.8</w:t>
            </w:r>
            <w:r>
              <w:rPr>
                <w:rFonts w:hint="default" w:ascii="Times New Roman" w:hAnsi="Times New Roman" w:cs="Times New Roman"/>
                <w:b w:val="0"/>
                <w:bCs w:val="0"/>
                <w:i w:val="0"/>
                <w:color w:val="auto"/>
                <w:kern w:val="0"/>
                <w:sz w:val="22"/>
                <w:szCs w:val="22"/>
                <w:highlight w:val="none"/>
                <w:u w:val="none"/>
                <w:lang w:val="en-US" w:eastAsia="zh-CN"/>
              </w:rPr>
              <w:t>5</w:t>
            </w:r>
            <w:r>
              <w:rPr>
                <w:rFonts w:hint="default" w:ascii="Times New Roman" w:hAnsi="Times New Roman" w:eastAsia="宋体" w:cs="Times New Roman"/>
                <w:b w:val="0"/>
                <w:bCs w:val="0"/>
                <w:i w:val="0"/>
                <w:color w:val="auto"/>
                <w:kern w:val="0"/>
                <w:sz w:val="22"/>
                <w:szCs w:val="22"/>
                <w:highlight w:val="none"/>
                <w:u w:val="none"/>
                <w:lang w:val="en-US" w:eastAsia="zh-CN"/>
              </w:rPr>
              <w:t>%</w:t>
            </w:r>
          </w:p>
        </w:tc>
        <w:tc>
          <w:tcPr>
            <w:tcW w:w="1527"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199,199.89 </w:t>
            </w:r>
          </w:p>
        </w:tc>
        <w:tc>
          <w:tcPr>
            <w:tcW w:w="1083"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12.15%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textAlignment w:val="center"/>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采矿业</w:t>
            </w:r>
          </w:p>
        </w:tc>
        <w:tc>
          <w:tcPr>
            <w:tcW w:w="14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p>
        </w:tc>
        <w:tc>
          <w:tcPr>
            <w:tcW w:w="1145"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p>
        </w:tc>
        <w:tc>
          <w:tcPr>
            <w:tcW w:w="1527"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p>
        </w:tc>
        <w:tc>
          <w:tcPr>
            <w:tcW w:w="1083"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textAlignment w:val="center"/>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制造业</w:t>
            </w:r>
          </w:p>
        </w:tc>
        <w:tc>
          <w:tcPr>
            <w:tcW w:w="14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365,544.44 </w:t>
            </w:r>
          </w:p>
        </w:tc>
        <w:tc>
          <w:tcPr>
            <w:tcW w:w="1145"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20.99%</w:t>
            </w:r>
          </w:p>
        </w:tc>
        <w:tc>
          <w:tcPr>
            <w:tcW w:w="1527"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321,233.30 </w:t>
            </w:r>
          </w:p>
        </w:tc>
        <w:tc>
          <w:tcPr>
            <w:tcW w:w="1083"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19.60%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textAlignment w:val="center"/>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电力、燃气及水的生产和供应业</w:t>
            </w:r>
          </w:p>
        </w:tc>
        <w:tc>
          <w:tcPr>
            <w:tcW w:w="14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1,509.74 </w:t>
            </w:r>
          </w:p>
        </w:tc>
        <w:tc>
          <w:tcPr>
            <w:tcW w:w="1145"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0.09%</w:t>
            </w:r>
          </w:p>
        </w:tc>
        <w:tc>
          <w:tcPr>
            <w:tcW w:w="1527"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1,470.00 </w:t>
            </w:r>
          </w:p>
        </w:tc>
        <w:tc>
          <w:tcPr>
            <w:tcW w:w="1083"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0.09%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textAlignment w:val="center"/>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建筑业</w:t>
            </w:r>
          </w:p>
        </w:tc>
        <w:tc>
          <w:tcPr>
            <w:tcW w:w="14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155,381.17 </w:t>
            </w:r>
          </w:p>
        </w:tc>
        <w:tc>
          <w:tcPr>
            <w:tcW w:w="1145"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8.92%</w:t>
            </w:r>
          </w:p>
        </w:tc>
        <w:tc>
          <w:tcPr>
            <w:tcW w:w="1527"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158,563.16 </w:t>
            </w:r>
          </w:p>
        </w:tc>
        <w:tc>
          <w:tcPr>
            <w:tcW w:w="1083"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9.67%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textAlignment w:val="center"/>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交通运输、仓储和邮政业</w:t>
            </w:r>
          </w:p>
        </w:tc>
        <w:tc>
          <w:tcPr>
            <w:tcW w:w="14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37,996.95 </w:t>
            </w:r>
          </w:p>
        </w:tc>
        <w:tc>
          <w:tcPr>
            <w:tcW w:w="1145"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2.18%</w:t>
            </w:r>
          </w:p>
        </w:tc>
        <w:tc>
          <w:tcPr>
            <w:tcW w:w="15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34,729.34 </w:t>
            </w:r>
          </w:p>
        </w:tc>
        <w:tc>
          <w:tcPr>
            <w:tcW w:w="1083"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2.12%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textAlignment w:val="center"/>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信息传输、计算机服务和软件业</w:t>
            </w:r>
          </w:p>
        </w:tc>
        <w:tc>
          <w:tcPr>
            <w:tcW w:w="14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14,435.75 </w:t>
            </w:r>
          </w:p>
        </w:tc>
        <w:tc>
          <w:tcPr>
            <w:tcW w:w="1145"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0.83%</w:t>
            </w:r>
          </w:p>
        </w:tc>
        <w:tc>
          <w:tcPr>
            <w:tcW w:w="15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9,684.98 </w:t>
            </w:r>
          </w:p>
        </w:tc>
        <w:tc>
          <w:tcPr>
            <w:tcW w:w="1083"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0.59%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textAlignment w:val="center"/>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批发和零售业</w:t>
            </w:r>
          </w:p>
        </w:tc>
        <w:tc>
          <w:tcPr>
            <w:tcW w:w="14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409,695.36 </w:t>
            </w:r>
          </w:p>
        </w:tc>
        <w:tc>
          <w:tcPr>
            <w:tcW w:w="1145"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23.53%</w:t>
            </w:r>
          </w:p>
        </w:tc>
        <w:tc>
          <w:tcPr>
            <w:tcW w:w="15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367,077.71 </w:t>
            </w:r>
          </w:p>
        </w:tc>
        <w:tc>
          <w:tcPr>
            <w:tcW w:w="1083"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22.39%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textAlignment w:val="center"/>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住宿和餐饮业</w:t>
            </w:r>
          </w:p>
        </w:tc>
        <w:tc>
          <w:tcPr>
            <w:tcW w:w="14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30,845.20 </w:t>
            </w:r>
          </w:p>
        </w:tc>
        <w:tc>
          <w:tcPr>
            <w:tcW w:w="1145"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1.77%</w:t>
            </w:r>
          </w:p>
        </w:tc>
        <w:tc>
          <w:tcPr>
            <w:tcW w:w="15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30,823.53 </w:t>
            </w:r>
          </w:p>
        </w:tc>
        <w:tc>
          <w:tcPr>
            <w:tcW w:w="1083"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1.88%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textAlignment w:val="center"/>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金融业</w:t>
            </w:r>
          </w:p>
        </w:tc>
        <w:tc>
          <w:tcPr>
            <w:tcW w:w="14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p>
        </w:tc>
        <w:tc>
          <w:tcPr>
            <w:tcW w:w="1145"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p>
        </w:tc>
        <w:tc>
          <w:tcPr>
            <w:tcW w:w="1527"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p>
        </w:tc>
        <w:tc>
          <w:tcPr>
            <w:tcW w:w="1083"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textAlignment w:val="center"/>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房地产业</w:t>
            </w:r>
          </w:p>
        </w:tc>
        <w:tc>
          <w:tcPr>
            <w:tcW w:w="14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18,189.71 </w:t>
            </w:r>
          </w:p>
        </w:tc>
        <w:tc>
          <w:tcPr>
            <w:tcW w:w="1145"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1.04%</w:t>
            </w:r>
          </w:p>
        </w:tc>
        <w:tc>
          <w:tcPr>
            <w:tcW w:w="15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21,764.35 </w:t>
            </w:r>
          </w:p>
        </w:tc>
        <w:tc>
          <w:tcPr>
            <w:tcW w:w="1083"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1.33%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textAlignment w:val="center"/>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租赁和商务服务业</w:t>
            </w:r>
          </w:p>
        </w:tc>
        <w:tc>
          <w:tcPr>
            <w:tcW w:w="14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127,866.60 </w:t>
            </w:r>
          </w:p>
        </w:tc>
        <w:tc>
          <w:tcPr>
            <w:tcW w:w="1145"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7.3</w:t>
            </w:r>
            <w:r>
              <w:rPr>
                <w:rFonts w:hint="default" w:ascii="Times New Roman" w:hAnsi="Times New Roman" w:cs="Times New Roman"/>
                <w:b w:val="0"/>
                <w:bCs w:val="0"/>
                <w:i w:val="0"/>
                <w:color w:val="auto"/>
                <w:kern w:val="0"/>
                <w:sz w:val="22"/>
                <w:szCs w:val="22"/>
                <w:highlight w:val="none"/>
                <w:u w:val="none"/>
                <w:lang w:val="en-US" w:eastAsia="zh-CN"/>
              </w:rPr>
              <w:t>5</w:t>
            </w:r>
            <w:r>
              <w:rPr>
                <w:rFonts w:hint="default" w:ascii="Times New Roman" w:hAnsi="Times New Roman" w:eastAsia="宋体" w:cs="Times New Roman"/>
                <w:b w:val="0"/>
                <w:bCs w:val="0"/>
                <w:i w:val="0"/>
                <w:color w:val="auto"/>
                <w:kern w:val="0"/>
                <w:sz w:val="22"/>
                <w:szCs w:val="22"/>
                <w:highlight w:val="none"/>
                <w:u w:val="none"/>
                <w:lang w:val="en-US" w:eastAsia="zh-CN"/>
              </w:rPr>
              <w:t>%</w:t>
            </w:r>
          </w:p>
        </w:tc>
        <w:tc>
          <w:tcPr>
            <w:tcW w:w="15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127,515.37 </w:t>
            </w:r>
          </w:p>
        </w:tc>
        <w:tc>
          <w:tcPr>
            <w:tcW w:w="1083"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7.78%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textAlignment w:val="center"/>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科学研究、技术服务和地质勘查业</w:t>
            </w:r>
          </w:p>
        </w:tc>
        <w:tc>
          <w:tcPr>
            <w:tcW w:w="14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9,123.30 </w:t>
            </w:r>
          </w:p>
        </w:tc>
        <w:tc>
          <w:tcPr>
            <w:tcW w:w="1145"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0.5</w:t>
            </w:r>
            <w:r>
              <w:rPr>
                <w:rFonts w:hint="default" w:ascii="Times New Roman" w:hAnsi="Times New Roman" w:cs="Times New Roman"/>
                <w:b w:val="0"/>
                <w:bCs w:val="0"/>
                <w:i w:val="0"/>
                <w:color w:val="auto"/>
                <w:kern w:val="0"/>
                <w:sz w:val="22"/>
                <w:szCs w:val="22"/>
                <w:highlight w:val="none"/>
                <w:u w:val="none"/>
                <w:lang w:val="en-US" w:eastAsia="zh-CN"/>
              </w:rPr>
              <w:t>3</w:t>
            </w:r>
            <w:r>
              <w:rPr>
                <w:rFonts w:hint="default" w:ascii="Times New Roman" w:hAnsi="Times New Roman" w:eastAsia="宋体" w:cs="Times New Roman"/>
                <w:b w:val="0"/>
                <w:bCs w:val="0"/>
                <w:i w:val="0"/>
                <w:color w:val="auto"/>
                <w:kern w:val="0"/>
                <w:sz w:val="22"/>
                <w:szCs w:val="22"/>
                <w:highlight w:val="none"/>
                <w:u w:val="none"/>
                <w:lang w:val="en-US" w:eastAsia="zh-CN"/>
              </w:rPr>
              <w:t>%</w:t>
            </w:r>
          </w:p>
        </w:tc>
        <w:tc>
          <w:tcPr>
            <w:tcW w:w="15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7,895.98 </w:t>
            </w:r>
          </w:p>
        </w:tc>
        <w:tc>
          <w:tcPr>
            <w:tcW w:w="1083"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0.48%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textAlignment w:val="center"/>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水利、环境和公共设施管理业</w:t>
            </w:r>
          </w:p>
        </w:tc>
        <w:tc>
          <w:tcPr>
            <w:tcW w:w="14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91,121.93 </w:t>
            </w:r>
          </w:p>
        </w:tc>
        <w:tc>
          <w:tcPr>
            <w:tcW w:w="1145"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5.23%</w:t>
            </w:r>
          </w:p>
        </w:tc>
        <w:tc>
          <w:tcPr>
            <w:tcW w:w="15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74,824.56 </w:t>
            </w:r>
          </w:p>
        </w:tc>
        <w:tc>
          <w:tcPr>
            <w:tcW w:w="1083"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4.56%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textAlignment w:val="center"/>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居民服务和其他服务业</w:t>
            </w:r>
          </w:p>
        </w:tc>
        <w:tc>
          <w:tcPr>
            <w:tcW w:w="14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35,515.61 </w:t>
            </w:r>
          </w:p>
        </w:tc>
        <w:tc>
          <w:tcPr>
            <w:tcW w:w="1145"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2.04%</w:t>
            </w:r>
          </w:p>
        </w:tc>
        <w:tc>
          <w:tcPr>
            <w:tcW w:w="15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39,244.48 </w:t>
            </w:r>
          </w:p>
        </w:tc>
        <w:tc>
          <w:tcPr>
            <w:tcW w:w="1083"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2.39%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textAlignment w:val="center"/>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教育</w:t>
            </w:r>
          </w:p>
        </w:tc>
        <w:tc>
          <w:tcPr>
            <w:tcW w:w="14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1,639.94 </w:t>
            </w:r>
          </w:p>
        </w:tc>
        <w:tc>
          <w:tcPr>
            <w:tcW w:w="1145"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0.09%</w:t>
            </w:r>
          </w:p>
        </w:tc>
        <w:tc>
          <w:tcPr>
            <w:tcW w:w="15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1,418.14 </w:t>
            </w:r>
          </w:p>
        </w:tc>
        <w:tc>
          <w:tcPr>
            <w:tcW w:w="1083"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0.09%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textAlignment w:val="center"/>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卫生、社会保障和社会福利业</w:t>
            </w:r>
          </w:p>
        </w:tc>
        <w:tc>
          <w:tcPr>
            <w:tcW w:w="14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13,399.90 </w:t>
            </w:r>
          </w:p>
        </w:tc>
        <w:tc>
          <w:tcPr>
            <w:tcW w:w="1145"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0.77%</w:t>
            </w:r>
          </w:p>
        </w:tc>
        <w:tc>
          <w:tcPr>
            <w:tcW w:w="15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10,383.92 </w:t>
            </w:r>
          </w:p>
        </w:tc>
        <w:tc>
          <w:tcPr>
            <w:tcW w:w="1083"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0.63%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textAlignment w:val="center"/>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文化、体育和娱乐业</w:t>
            </w:r>
          </w:p>
        </w:tc>
        <w:tc>
          <w:tcPr>
            <w:tcW w:w="14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755.28 </w:t>
            </w:r>
          </w:p>
        </w:tc>
        <w:tc>
          <w:tcPr>
            <w:tcW w:w="1145"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0.04%</w:t>
            </w:r>
          </w:p>
        </w:tc>
        <w:tc>
          <w:tcPr>
            <w:tcW w:w="15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815.39 </w:t>
            </w:r>
          </w:p>
        </w:tc>
        <w:tc>
          <w:tcPr>
            <w:tcW w:w="1083"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0.05%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textAlignment w:val="center"/>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公共管理和社会组织</w:t>
            </w:r>
          </w:p>
        </w:tc>
        <w:tc>
          <w:tcPr>
            <w:tcW w:w="14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p>
        </w:tc>
        <w:tc>
          <w:tcPr>
            <w:tcW w:w="1145"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p>
        </w:tc>
        <w:tc>
          <w:tcPr>
            <w:tcW w:w="15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p>
        </w:tc>
        <w:tc>
          <w:tcPr>
            <w:tcW w:w="1083"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textAlignment w:val="center"/>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国际组织</w:t>
            </w:r>
          </w:p>
        </w:tc>
        <w:tc>
          <w:tcPr>
            <w:tcW w:w="14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p>
        </w:tc>
        <w:tc>
          <w:tcPr>
            <w:tcW w:w="1145"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p>
        </w:tc>
        <w:tc>
          <w:tcPr>
            <w:tcW w:w="15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p>
        </w:tc>
        <w:tc>
          <w:tcPr>
            <w:tcW w:w="1083"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textAlignment w:val="center"/>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其他（贴现）</w:t>
            </w:r>
          </w:p>
        </w:tc>
        <w:tc>
          <w:tcPr>
            <w:tcW w:w="14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63,680.57 </w:t>
            </w:r>
          </w:p>
        </w:tc>
        <w:tc>
          <w:tcPr>
            <w:tcW w:w="1145"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3.66%</w:t>
            </w:r>
          </w:p>
        </w:tc>
        <w:tc>
          <w:tcPr>
            <w:tcW w:w="15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47,992.94 </w:t>
            </w:r>
          </w:p>
        </w:tc>
        <w:tc>
          <w:tcPr>
            <w:tcW w:w="1083"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2.93%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textAlignment w:val="center"/>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个人</w:t>
            </w:r>
          </w:p>
        </w:tc>
        <w:tc>
          <w:tcPr>
            <w:tcW w:w="1427" w:type="dxa"/>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175,676.89 </w:t>
            </w:r>
          </w:p>
        </w:tc>
        <w:tc>
          <w:tcPr>
            <w:tcW w:w="1145"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10.09%</w:t>
            </w:r>
          </w:p>
        </w:tc>
        <w:tc>
          <w:tcPr>
            <w:tcW w:w="1527"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184,574.37 </w:t>
            </w:r>
          </w:p>
        </w:tc>
        <w:tc>
          <w:tcPr>
            <w:tcW w:w="1083"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11.26%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ind w:right="-37"/>
              <w:textAlignment w:val="bottom"/>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贷款和垫款总额</w:t>
            </w:r>
          </w:p>
        </w:tc>
        <w:tc>
          <w:tcPr>
            <w:tcW w:w="1427"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1,741,176.93 </w:t>
            </w:r>
          </w:p>
        </w:tc>
        <w:tc>
          <w:tcPr>
            <w:tcW w:w="1145"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100.00%</w:t>
            </w:r>
          </w:p>
        </w:tc>
        <w:tc>
          <w:tcPr>
            <w:tcW w:w="1527"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1,639,211.41 </w:t>
            </w:r>
          </w:p>
        </w:tc>
        <w:tc>
          <w:tcPr>
            <w:tcW w:w="1083"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100.00%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ind w:right="-37"/>
              <w:jc w:val="left"/>
              <w:textAlignment w:val="bottom"/>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 xml:space="preserve"> 加：拆放境内其他非银行同业款项</w:t>
            </w:r>
          </w:p>
        </w:tc>
        <w:tc>
          <w:tcPr>
            <w:tcW w:w="1427"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160,000.00 </w:t>
            </w:r>
          </w:p>
        </w:tc>
        <w:tc>
          <w:tcPr>
            <w:tcW w:w="1145" w:type="dxa"/>
            <w:vAlign w:val="center"/>
          </w:tcPr>
          <w:p>
            <w:pPr>
              <w:rPr>
                <w:rFonts w:hint="default" w:ascii="Times New Roman" w:hAnsi="Times New Roman" w:eastAsia="仿宋_GB2312" w:cs="Times New Roman"/>
                <w:b w:val="0"/>
                <w:bCs w:val="0"/>
                <w:color w:val="auto"/>
                <w:kern w:val="0"/>
                <w:sz w:val="22"/>
                <w:szCs w:val="22"/>
                <w:highlight w:val="none"/>
              </w:rPr>
            </w:pPr>
          </w:p>
        </w:tc>
        <w:tc>
          <w:tcPr>
            <w:tcW w:w="1527"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128,000.00 </w:t>
            </w:r>
          </w:p>
        </w:tc>
        <w:tc>
          <w:tcPr>
            <w:tcW w:w="1083" w:type="dxa"/>
            <w:vAlign w:val="center"/>
          </w:tcPr>
          <w:p>
            <w:pPr>
              <w:rPr>
                <w:rFonts w:hint="default" w:ascii="Times New Roman" w:hAnsi="Times New Roman" w:eastAsia="仿宋_GB2312" w:cs="Times New Roman"/>
                <w:b w:val="0"/>
                <w:bCs w:val="0"/>
                <w:color w:val="auto"/>
                <w:kern w:val="0"/>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ind w:right="-37"/>
              <w:jc w:val="left"/>
              <w:textAlignment w:val="bottom"/>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 xml:space="preserve">     拆放境内非银行同业应收利息</w:t>
            </w:r>
          </w:p>
        </w:tc>
        <w:tc>
          <w:tcPr>
            <w:tcW w:w="1427" w:type="dxa"/>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eastAsia="宋体" w:cs="Times New Roman"/>
                <w:b w:val="0"/>
                <w:bCs w:val="0"/>
                <w:i w:val="0"/>
                <w:color w:val="auto"/>
                <w:kern w:val="0"/>
                <w:sz w:val="22"/>
                <w:szCs w:val="22"/>
                <w:highlight w:val="none"/>
                <w:u w:val="none"/>
                <w:lang w:val="en-US" w:eastAsia="zh-CN"/>
              </w:rPr>
              <w:t xml:space="preserve">764.14  </w:t>
            </w:r>
          </w:p>
        </w:tc>
        <w:tc>
          <w:tcPr>
            <w:tcW w:w="1145" w:type="dxa"/>
            <w:vAlign w:val="center"/>
          </w:tcPr>
          <w:p>
            <w:pPr>
              <w:rPr>
                <w:rFonts w:hint="default" w:ascii="Times New Roman" w:hAnsi="Times New Roman" w:eastAsia="仿宋_GB2312" w:cs="Times New Roman"/>
                <w:b w:val="0"/>
                <w:bCs w:val="0"/>
                <w:color w:val="auto"/>
                <w:kern w:val="0"/>
                <w:sz w:val="22"/>
                <w:szCs w:val="22"/>
                <w:highlight w:val="none"/>
              </w:rPr>
            </w:pPr>
          </w:p>
        </w:tc>
        <w:tc>
          <w:tcPr>
            <w:tcW w:w="1527" w:type="dxa"/>
            <w:vAlign w:val="center"/>
          </w:tcPr>
          <w:p>
            <w:pPr>
              <w:widowControl/>
              <w:ind w:right="-37"/>
              <w:jc w:val="right"/>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cs="Times New Roman"/>
                <w:b w:val="0"/>
                <w:bCs w:val="0"/>
                <w:color w:val="auto"/>
                <w:kern w:val="0"/>
                <w:sz w:val="22"/>
                <w:szCs w:val="22"/>
                <w:highlight w:val="none"/>
              </w:rPr>
              <w:t xml:space="preserve">1,541.13 </w:t>
            </w:r>
          </w:p>
        </w:tc>
        <w:tc>
          <w:tcPr>
            <w:tcW w:w="1083" w:type="dxa"/>
            <w:vAlign w:val="center"/>
          </w:tcPr>
          <w:p>
            <w:pPr>
              <w:rPr>
                <w:rFonts w:hint="default" w:ascii="Times New Roman" w:hAnsi="Times New Roman" w:eastAsia="仿宋_GB2312" w:cs="Times New Roman"/>
                <w:b w:val="0"/>
                <w:bCs w:val="0"/>
                <w:color w:val="auto"/>
                <w:kern w:val="0"/>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ind w:right="-37"/>
              <w:jc w:val="left"/>
              <w:textAlignment w:val="bottom"/>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 xml:space="preserve">     应收利息合计</w:t>
            </w:r>
          </w:p>
        </w:tc>
        <w:tc>
          <w:tcPr>
            <w:tcW w:w="1427" w:type="dxa"/>
            <w:vAlign w:val="center"/>
          </w:tcPr>
          <w:p>
            <w:pPr>
              <w:widowControl/>
              <w:ind w:right="-37"/>
              <w:jc w:val="right"/>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cs="Times New Roman"/>
                <w:b w:val="0"/>
                <w:bCs w:val="0"/>
                <w:color w:val="auto"/>
                <w:kern w:val="0"/>
                <w:sz w:val="22"/>
                <w:szCs w:val="22"/>
                <w:highlight w:val="none"/>
              </w:rPr>
              <w:t>2,155.5</w:t>
            </w:r>
            <w:r>
              <w:rPr>
                <w:rFonts w:hint="default" w:ascii="Times New Roman" w:hAnsi="Times New Roman" w:cs="Times New Roman"/>
                <w:b w:val="0"/>
                <w:bCs w:val="0"/>
                <w:color w:val="auto"/>
                <w:kern w:val="0"/>
                <w:sz w:val="22"/>
                <w:szCs w:val="22"/>
                <w:highlight w:val="none"/>
                <w:lang w:val="en-US" w:eastAsia="zh-CN"/>
              </w:rPr>
              <w:t>2</w:t>
            </w:r>
            <w:r>
              <w:rPr>
                <w:rFonts w:hint="default" w:ascii="Times New Roman" w:hAnsi="Times New Roman" w:cs="Times New Roman"/>
                <w:b w:val="0"/>
                <w:bCs w:val="0"/>
                <w:color w:val="auto"/>
                <w:kern w:val="0"/>
                <w:sz w:val="22"/>
                <w:szCs w:val="22"/>
                <w:highlight w:val="none"/>
              </w:rPr>
              <w:t xml:space="preserve"> </w:t>
            </w:r>
          </w:p>
        </w:tc>
        <w:tc>
          <w:tcPr>
            <w:tcW w:w="1145" w:type="dxa"/>
            <w:vAlign w:val="center"/>
          </w:tcPr>
          <w:p>
            <w:pPr>
              <w:rPr>
                <w:rFonts w:hint="default" w:ascii="Times New Roman" w:hAnsi="Times New Roman" w:eastAsia="仿宋_GB2312" w:cs="Times New Roman"/>
                <w:b w:val="0"/>
                <w:bCs w:val="0"/>
                <w:color w:val="auto"/>
                <w:kern w:val="0"/>
                <w:sz w:val="22"/>
                <w:szCs w:val="22"/>
                <w:highlight w:val="none"/>
              </w:rPr>
            </w:pPr>
          </w:p>
        </w:tc>
        <w:tc>
          <w:tcPr>
            <w:tcW w:w="1527" w:type="dxa"/>
            <w:vAlign w:val="center"/>
          </w:tcPr>
          <w:p>
            <w:pPr>
              <w:widowControl/>
              <w:ind w:right="-37"/>
              <w:jc w:val="right"/>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cs="Times New Roman"/>
                <w:b w:val="0"/>
                <w:bCs w:val="0"/>
                <w:color w:val="auto"/>
                <w:kern w:val="0"/>
                <w:sz w:val="22"/>
                <w:szCs w:val="22"/>
                <w:highlight w:val="none"/>
              </w:rPr>
              <w:t xml:space="preserve">2,116.13 </w:t>
            </w:r>
          </w:p>
        </w:tc>
        <w:tc>
          <w:tcPr>
            <w:tcW w:w="1083" w:type="dxa"/>
            <w:vAlign w:val="center"/>
          </w:tcPr>
          <w:p>
            <w:pPr>
              <w:rPr>
                <w:rFonts w:hint="default" w:ascii="Times New Roman" w:hAnsi="Times New Roman" w:eastAsia="仿宋_GB2312" w:cs="Times New Roman"/>
                <w:b w:val="0"/>
                <w:bCs w:val="0"/>
                <w:color w:val="auto"/>
                <w:kern w:val="0"/>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ind w:right="-37"/>
              <w:jc w:val="left"/>
              <w:textAlignment w:val="bottom"/>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 xml:space="preserve">     信用卡应收息</w:t>
            </w:r>
          </w:p>
        </w:tc>
        <w:tc>
          <w:tcPr>
            <w:tcW w:w="1427" w:type="dxa"/>
            <w:vAlign w:val="center"/>
          </w:tcPr>
          <w:p>
            <w:pPr>
              <w:widowControl/>
              <w:ind w:right="-37"/>
              <w:jc w:val="right"/>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cs="Times New Roman"/>
                <w:b w:val="0"/>
                <w:bCs w:val="0"/>
                <w:color w:val="auto"/>
                <w:kern w:val="0"/>
                <w:sz w:val="22"/>
                <w:szCs w:val="22"/>
                <w:highlight w:val="none"/>
              </w:rPr>
              <w:t xml:space="preserve">19.22 </w:t>
            </w:r>
          </w:p>
        </w:tc>
        <w:tc>
          <w:tcPr>
            <w:tcW w:w="1145" w:type="dxa"/>
            <w:vAlign w:val="center"/>
          </w:tcPr>
          <w:p>
            <w:pPr>
              <w:rPr>
                <w:rFonts w:hint="default" w:ascii="Times New Roman" w:hAnsi="Times New Roman" w:eastAsia="仿宋_GB2312" w:cs="Times New Roman"/>
                <w:b w:val="0"/>
                <w:bCs w:val="0"/>
                <w:color w:val="auto"/>
                <w:kern w:val="0"/>
                <w:sz w:val="22"/>
                <w:szCs w:val="22"/>
                <w:highlight w:val="none"/>
              </w:rPr>
            </w:pPr>
          </w:p>
        </w:tc>
        <w:tc>
          <w:tcPr>
            <w:tcW w:w="1527" w:type="dxa"/>
            <w:vAlign w:val="center"/>
          </w:tcPr>
          <w:p>
            <w:pPr>
              <w:widowControl/>
              <w:ind w:right="-37"/>
              <w:jc w:val="right"/>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cs="Times New Roman"/>
                <w:b w:val="0"/>
                <w:bCs w:val="0"/>
                <w:color w:val="auto"/>
                <w:kern w:val="0"/>
                <w:sz w:val="22"/>
                <w:szCs w:val="22"/>
                <w:highlight w:val="none"/>
              </w:rPr>
              <w:t xml:space="preserve">21.65 </w:t>
            </w:r>
          </w:p>
        </w:tc>
        <w:tc>
          <w:tcPr>
            <w:tcW w:w="1083" w:type="dxa"/>
            <w:vAlign w:val="center"/>
          </w:tcPr>
          <w:p>
            <w:pPr>
              <w:rPr>
                <w:rFonts w:hint="default" w:ascii="Times New Roman" w:hAnsi="Times New Roman" w:eastAsia="仿宋_GB2312" w:cs="Times New Roman"/>
                <w:b w:val="0"/>
                <w:bCs w:val="0"/>
                <w:color w:val="auto"/>
                <w:kern w:val="0"/>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ind w:right="-37"/>
              <w:jc w:val="left"/>
              <w:textAlignment w:val="bottom"/>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 xml:space="preserve"> 减：贷款损失准备</w:t>
            </w:r>
          </w:p>
        </w:tc>
        <w:tc>
          <w:tcPr>
            <w:tcW w:w="1427" w:type="dxa"/>
            <w:vAlign w:val="center"/>
          </w:tcPr>
          <w:p>
            <w:pPr>
              <w:widowControl/>
              <w:ind w:right="-37"/>
              <w:jc w:val="right"/>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cs="Times New Roman"/>
                <w:b w:val="0"/>
                <w:bCs w:val="0"/>
                <w:color w:val="auto"/>
                <w:kern w:val="0"/>
                <w:sz w:val="22"/>
                <w:szCs w:val="22"/>
                <w:highlight w:val="none"/>
                <w:lang w:val="en-US" w:eastAsia="zh-CN"/>
              </w:rPr>
              <w:t>46,569.11</w:t>
            </w:r>
          </w:p>
        </w:tc>
        <w:tc>
          <w:tcPr>
            <w:tcW w:w="1145" w:type="dxa"/>
            <w:vAlign w:val="center"/>
          </w:tcPr>
          <w:p>
            <w:pPr>
              <w:rPr>
                <w:rFonts w:hint="default" w:ascii="Times New Roman" w:hAnsi="Times New Roman" w:eastAsia="仿宋_GB2312" w:cs="Times New Roman"/>
                <w:b w:val="0"/>
                <w:bCs w:val="0"/>
                <w:color w:val="auto"/>
                <w:kern w:val="0"/>
                <w:sz w:val="22"/>
                <w:szCs w:val="22"/>
                <w:highlight w:val="none"/>
              </w:rPr>
            </w:pPr>
          </w:p>
        </w:tc>
        <w:tc>
          <w:tcPr>
            <w:tcW w:w="1527" w:type="dxa"/>
            <w:vAlign w:val="center"/>
          </w:tcPr>
          <w:p>
            <w:pPr>
              <w:widowControl/>
              <w:ind w:right="-37"/>
              <w:jc w:val="right"/>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cs="Times New Roman"/>
                <w:b w:val="0"/>
                <w:bCs w:val="0"/>
                <w:color w:val="auto"/>
                <w:kern w:val="0"/>
                <w:sz w:val="22"/>
                <w:szCs w:val="22"/>
                <w:highlight w:val="none"/>
                <w:lang w:val="en-US" w:eastAsia="zh-CN"/>
              </w:rPr>
              <w:t>47,371.15</w:t>
            </w:r>
          </w:p>
        </w:tc>
        <w:tc>
          <w:tcPr>
            <w:tcW w:w="1083" w:type="dxa"/>
            <w:vAlign w:val="center"/>
          </w:tcPr>
          <w:p>
            <w:pPr>
              <w:rPr>
                <w:rFonts w:hint="default" w:ascii="Times New Roman" w:hAnsi="Times New Roman" w:eastAsia="仿宋_GB2312" w:cs="Times New Roman"/>
                <w:b w:val="0"/>
                <w:bCs w:val="0"/>
                <w:color w:val="auto"/>
                <w:kern w:val="0"/>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ind w:right="-37"/>
              <w:jc w:val="left"/>
              <w:textAlignment w:val="bottom"/>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 xml:space="preserve">     贴现利息调整</w:t>
            </w:r>
          </w:p>
        </w:tc>
        <w:tc>
          <w:tcPr>
            <w:tcW w:w="1427" w:type="dxa"/>
            <w:vAlign w:val="center"/>
          </w:tcPr>
          <w:p>
            <w:pPr>
              <w:widowControl/>
              <w:ind w:right="-37"/>
              <w:jc w:val="right"/>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cs="Times New Roman"/>
                <w:b w:val="0"/>
                <w:bCs w:val="0"/>
                <w:color w:val="auto"/>
                <w:kern w:val="0"/>
                <w:sz w:val="22"/>
                <w:szCs w:val="22"/>
                <w:highlight w:val="none"/>
                <w:lang w:val="en-US" w:eastAsia="zh-CN"/>
              </w:rPr>
              <w:t>194.45</w:t>
            </w:r>
          </w:p>
        </w:tc>
        <w:tc>
          <w:tcPr>
            <w:tcW w:w="1145" w:type="dxa"/>
            <w:vAlign w:val="center"/>
          </w:tcPr>
          <w:p>
            <w:pPr>
              <w:rPr>
                <w:rFonts w:hint="default" w:ascii="Times New Roman" w:hAnsi="Times New Roman" w:eastAsia="仿宋_GB2312" w:cs="Times New Roman"/>
                <w:b w:val="0"/>
                <w:bCs w:val="0"/>
                <w:color w:val="auto"/>
                <w:kern w:val="0"/>
                <w:sz w:val="22"/>
                <w:szCs w:val="22"/>
                <w:highlight w:val="none"/>
              </w:rPr>
            </w:pPr>
          </w:p>
        </w:tc>
        <w:tc>
          <w:tcPr>
            <w:tcW w:w="1527" w:type="dxa"/>
            <w:vAlign w:val="center"/>
          </w:tcPr>
          <w:p>
            <w:pPr>
              <w:widowControl/>
              <w:ind w:right="-37"/>
              <w:jc w:val="right"/>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cs="Times New Roman"/>
                <w:b w:val="0"/>
                <w:bCs w:val="0"/>
                <w:color w:val="auto"/>
                <w:kern w:val="0"/>
                <w:sz w:val="22"/>
                <w:szCs w:val="22"/>
                <w:highlight w:val="none"/>
                <w:lang w:val="en-US" w:eastAsia="zh-CN"/>
              </w:rPr>
              <w:t>88.71</w:t>
            </w:r>
          </w:p>
        </w:tc>
        <w:tc>
          <w:tcPr>
            <w:tcW w:w="1083" w:type="dxa"/>
            <w:vAlign w:val="center"/>
          </w:tcPr>
          <w:p>
            <w:pPr>
              <w:rPr>
                <w:rFonts w:hint="default" w:ascii="Times New Roman" w:hAnsi="Times New Roman" w:eastAsia="仿宋_GB2312" w:cs="Times New Roman"/>
                <w:b w:val="0"/>
                <w:bCs w:val="0"/>
                <w:color w:val="auto"/>
                <w:kern w:val="0"/>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ind w:right="-37"/>
              <w:jc w:val="left"/>
              <w:textAlignment w:val="bottom"/>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 xml:space="preserve">     拆放境内非存款类同业款项坏账准备</w:t>
            </w:r>
          </w:p>
        </w:tc>
        <w:tc>
          <w:tcPr>
            <w:tcW w:w="1427" w:type="dxa"/>
            <w:vAlign w:val="center"/>
          </w:tcPr>
          <w:p>
            <w:pPr>
              <w:widowControl/>
              <w:ind w:right="-37"/>
              <w:jc w:val="right"/>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cs="Times New Roman"/>
                <w:b w:val="0"/>
                <w:bCs w:val="0"/>
                <w:color w:val="auto"/>
                <w:kern w:val="0"/>
                <w:sz w:val="22"/>
                <w:szCs w:val="22"/>
                <w:highlight w:val="none"/>
              </w:rPr>
              <w:t xml:space="preserve">2,400.02 </w:t>
            </w:r>
          </w:p>
        </w:tc>
        <w:tc>
          <w:tcPr>
            <w:tcW w:w="1145" w:type="dxa"/>
            <w:vAlign w:val="center"/>
          </w:tcPr>
          <w:p>
            <w:pPr>
              <w:rPr>
                <w:rFonts w:hint="default" w:ascii="Times New Roman" w:hAnsi="Times New Roman" w:eastAsia="仿宋_GB2312" w:cs="Times New Roman"/>
                <w:b w:val="0"/>
                <w:bCs w:val="0"/>
                <w:color w:val="auto"/>
                <w:kern w:val="0"/>
                <w:sz w:val="22"/>
                <w:szCs w:val="22"/>
                <w:highlight w:val="none"/>
              </w:rPr>
            </w:pPr>
          </w:p>
        </w:tc>
        <w:tc>
          <w:tcPr>
            <w:tcW w:w="1527" w:type="dxa"/>
            <w:vAlign w:val="center"/>
          </w:tcPr>
          <w:p>
            <w:pPr>
              <w:widowControl/>
              <w:ind w:right="-37"/>
              <w:jc w:val="right"/>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cs="Times New Roman"/>
                <w:b w:val="0"/>
                <w:bCs w:val="0"/>
                <w:color w:val="auto"/>
                <w:kern w:val="0"/>
                <w:sz w:val="22"/>
                <w:szCs w:val="22"/>
                <w:highlight w:val="none"/>
              </w:rPr>
              <w:t xml:space="preserve">1,920.02 </w:t>
            </w:r>
          </w:p>
        </w:tc>
        <w:tc>
          <w:tcPr>
            <w:tcW w:w="1083" w:type="dxa"/>
            <w:vAlign w:val="center"/>
          </w:tcPr>
          <w:p>
            <w:pPr>
              <w:rPr>
                <w:rFonts w:hint="default" w:ascii="Times New Roman" w:hAnsi="Times New Roman" w:eastAsia="仿宋_GB2312" w:cs="Times New Roman"/>
                <w:b w:val="0"/>
                <w:bCs w:val="0"/>
                <w:color w:val="auto"/>
                <w:kern w:val="0"/>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3870" w:type="dxa"/>
            <w:vAlign w:val="center"/>
          </w:tcPr>
          <w:p>
            <w:pPr>
              <w:widowControl/>
              <w:ind w:right="-37"/>
              <w:jc w:val="left"/>
              <w:textAlignment w:val="bottom"/>
              <w:rPr>
                <w:rFonts w:hint="default" w:ascii="Times New Roman" w:hAnsi="Times New Roman" w:eastAsia="仿宋_GB2312" w:cs="Times New Roman"/>
                <w:bCs/>
                <w:color w:val="auto"/>
                <w:kern w:val="0"/>
                <w:sz w:val="24"/>
                <w:szCs w:val="24"/>
                <w:highlight w:val="none"/>
              </w:rPr>
            </w:pPr>
            <w:r>
              <w:rPr>
                <w:rFonts w:hint="default" w:ascii="Times New Roman" w:hAnsi="Times New Roman" w:eastAsia="仿宋_GB2312" w:cs="Times New Roman"/>
                <w:bCs/>
                <w:color w:val="auto"/>
                <w:kern w:val="0"/>
                <w:sz w:val="24"/>
                <w:szCs w:val="24"/>
                <w:highlight w:val="none"/>
              </w:rPr>
              <w:t>贷款和垫款账面价值</w:t>
            </w:r>
          </w:p>
        </w:tc>
        <w:tc>
          <w:tcPr>
            <w:tcW w:w="1427" w:type="dxa"/>
            <w:vAlign w:val="center"/>
          </w:tcPr>
          <w:p>
            <w:pPr>
              <w:widowControl/>
              <w:ind w:right="-37"/>
              <w:jc w:val="right"/>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cs="Times New Roman"/>
                <w:b w:val="0"/>
                <w:bCs w:val="0"/>
                <w:color w:val="auto"/>
                <w:kern w:val="0"/>
                <w:sz w:val="22"/>
                <w:szCs w:val="22"/>
                <w:highlight w:val="none"/>
                <w:lang w:val="en-US" w:eastAsia="zh-CN"/>
              </w:rPr>
              <w:t>1,854,952.23</w:t>
            </w:r>
          </w:p>
        </w:tc>
        <w:tc>
          <w:tcPr>
            <w:tcW w:w="1145" w:type="dxa"/>
            <w:vAlign w:val="center"/>
          </w:tcPr>
          <w:p>
            <w:pPr>
              <w:rPr>
                <w:rFonts w:hint="default" w:ascii="Times New Roman" w:hAnsi="Times New Roman" w:eastAsia="仿宋_GB2312" w:cs="Times New Roman"/>
                <w:b w:val="0"/>
                <w:bCs w:val="0"/>
                <w:color w:val="auto"/>
                <w:kern w:val="0"/>
                <w:sz w:val="22"/>
                <w:szCs w:val="22"/>
                <w:highlight w:val="none"/>
              </w:rPr>
            </w:pPr>
          </w:p>
        </w:tc>
        <w:tc>
          <w:tcPr>
            <w:tcW w:w="1527" w:type="dxa"/>
            <w:vAlign w:val="center"/>
          </w:tcPr>
          <w:p>
            <w:pPr>
              <w:widowControl/>
              <w:ind w:right="-37"/>
              <w:jc w:val="right"/>
              <w:rPr>
                <w:rFonts w:hint="default" w:ascii="Times New Roman" w:hAnsi="Times New Roman" w:eastAsia="仿宋_GB2312" w:cs="Times New Roman"/>
                <w:b w:val="0"/>
                <w:bCs w:val="0"/>
                <w:color w:val="auto"/>
                <w:kern w:val="0"/>
                <w:sz w:val="22"/>
                <w:szCs w:val="22"/>
                <w:highlight w:val="none"/>
              </w:rPr>
            </w:pPr>
            <w:r>
              <w:rPr>
                <w:rFonts w:hint="default" w:ascii="Times New Roman" w:hAnsi="Times New Roman" w:cs="Times New Roman"/>
                <w:b w:val="0"/>
                <w:bCs w:val="0"/>
                <w:color w:val="auto"/>
                <w:kern w:val="0"/>
                <w:sz w:val="22"/>
                <w:szCs w:val="22"/>
                <w:highlight w:val="none"/>
              </w:rPr>
              <w:t>1</w:t>
            </w:r>
            <w:r>
              <w:rPr>
                <w:rFonts w:hint="default" w:ascii="Times New Roman" w:hAnsi="Times New Roman" w:cs="Times New Roman"/>
                <w:b w:val="0"/>
                <w:bCs w:val="0"/>
                <w:color w:val="auto"/>
                <w:kern w:val="0"/>
                <w:sz w:val="22"/>
                <w:szCs w:val="22"/>
                <w:highlight w:val="none"/>
                <w:lang w:val="en-US" w:eastAsia="zh-CN"/>
              </w:rPr>
              <w:t>,</w:t>
            </w:r>
            <w:r>
              <w:rPr>
                <w:rFonts w:hint="default" w:ascii="Times New Roman" w:hAnsi="Times New Roman" w:cs="Times New Roman"/>
                <w:b w:val="0"/>
                <w:bCs w:val="0"/>
                <w:color w:val="auto"/>
                <w:kern w:val="0"/>
                <w:sz w:val="22"/>
                <w:szCs w:val="22"/>
                <w:highlight w:val="none"/>
              </w:rPr>
              <w:t>721</w:t>
            </w:r>
            <w:r>
              <w:rPr>
                <w:rFonts w:hint="default" w:ascii="Times New Roman" w:hAnsi="Times New Roman" w:cs="Times New Roman"/>
                <w:b w:val="0"/>
                <w:bCs w:val="0"/>
                <w:color w:val="auto"/>
                <w:kern w:val="0"/>
                <w:sz w:val="22"/>
                <w:szCs w:val="22"/>
                <w:highlight w:val="none"/>
                <w:lang w:val="en-US" w:eastAsia="zh-CN"/>
              </w:rPr>
              <w:t>,</w:t>
            </w:r>
            <w:r>
              <w:rPr>
                <w:rFonts w:hint="default" w:ascii="Times New Roman" w:hAnsi="Times New Roman" w:cs="Times New Roman"/>
                <w:b w:val="0"/>
                <w:bCs w:val="0"/>
                <w:color w:val="auto"/>
                <w:kern w:val="0"/>
                <w:sz w:val="22"/>
                <w:szCs w:val="22"/>
                <w:highlight w:val="none"/>
              </w:rPr>
              <w:t>510.44</w:t>
            </w:r>
          </w:p>
        </w:tc>
        <w:tc>
          <w:tcPr>
            <w:tcW w:w="1083" w:type="dxa"/>
            <w:vAlign w:val="center"/>
          </w:tcPr>
          <w:p>
            <w:pPr>
              <w:rPr>
                <w:rFonts w:hint="default" w:ascii="Times New Roman" w:hAnsi="Times New Roman" w:eastAsia="仿宋_GB2312" w:cs="Times New Roman"/>
                <w:b w:val="0"/>
                <w:bCs w:val="0"/>
                <w:color w:val="auto"/>
                <w:kern w:val="0"/>
                <w:sz w:val="22"/>
                <w:szCs w:val="22"/>
                <w:highlight w:val="none"/>
              </w:rPr>
            </w:pPr>
          </w:p>
        </w:tc>
      </w:tr>
    </w:tbl>
    <w:p>
      <w:pPr>
        <w:spacing w:before="156" w:beforeLines="50"/>
        <w:ind w:right="-40" w:firstLine="700" w:firstLineChars="250"/>
        <w:jc w:val="left"/>
        <w:outlineLvl w:val="2"/>
        <w:rPr>
          <w:rFonts w:hint="default" w:ascii="Times New Roman" w:hAnsi="Times New Roman" w:eastAsia="仿宋_GB2312" w:cs="Times New Roman"/>
          <w:color w:val="auto"/>
          <w:sz w:val="28"/>
          <w:szCs w:val="28"/>
          <w:highlight w:val="none"/>
        </w:rPr>
        <w:sectPr>
          <w:headerReference r:id="rId8" w:type="default"/>
          <w:footerReference r:id="rId9" w:type="default"/>
          <w:footerReference r:id="rId10" w:type="even"/>
          <w:pgSz w:w="11907" w:h="16840"/>
          <w:pgMar w:top="1134" w:right="1361" w:bottom="1417" w:left="1588" w:header="1021" w:footer="680" w:gutter="0"/>
          <w:pgNumType w:fmt="numberInDash"/>
          <w:cols w:space="720" w:num="1"/>
          <w:docGrid w:type="lines" w:linePitch="312" w:charSpace="0"/>
        </w:sectPr>
      </w:pPr>
      <w:r>
        <w:rPr>
          <w:rFonts w:hint="default" w:ascii="Times New Roman" w:hAnsi="Times New Roman" w:eastAsia="仿宋_GB2312" w:cs="Times New Roman"/>
          <w:color w:val="auto"/>
          <w:sz w:val="28"/>
          <w:szCs w:val="28"/>
          <w:highlight w:val="none"/>
        </w:rPr>
        <w:t>6.3 贷款和垫款按合同约定期限及担保方式分布情况</w:t>
      </w:r>
    </w:p>
    <w:tbl>
      <w:tblPr>
        <w:tblStyle w:val="25"/>
        <w:tblW w:w="13757"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366"/>
        <w:gridCol w:w="1371"/>
        <w:gridCol w:w="1229"/>
        <w:gridCol w:w="1206"/>
        <w:gridCol w:w="1371"/>
        <w:gridCol w:w="1371"/>
        <w:gridCol w:w="1266"/>
        <w:gridCol w:w="1206"/>
        <w:gridCol w:w="137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3366" w:type="dxa"/>
            <w:vMerge w:val="restart"/>
            <w:vAlign w:val="center"/>
          </w:tcPr>
          <w:p>
            <w:pPr>
              <w:widowControl/>
              <w:ind w:right="-37"/>
              <w:jc w:val="center"/>
              <w:rPr>
                <w:rFonts w:hint="default" w:ascii="Times New Roman" w:hAnsi="Times New Roman" w:eastAsia="仿宋" w:cs="Times New Roman"/>
                <w:color w:val="auto"/>
                <w:kern w:val="0"/>
                <w:szCs w:val="21"/>
                <w:highlight w:val="none"/>
              </w:rPr>
            </w:pPr>
            <w:r>
              <w:rPr>
                <w:rFonts w:hint="default" w:ascii="Times New Roman" w:hAnsi="Times New Roman" w:eastAsia="仿宋" w:cs="Times New Roman"/>
                <w:color w:val="auto"/>
                <w:kern w:val="0"/>
                <w:szCs w:val="21"/>
                <w:highlight w:val="none"/>
              </w:rPr>
              <w:t>项目</w:t>
            </w:r>
          </w:p>
        </w:tc>
        <w:tc>
          <w:tcPr>
            <w:tcW w:w="5177" w:type="dxa"/>
            <w:gridSpan w:val="4"/>
            <w:vAlign w:val="center"/>
          </w:tcPr>
          <w:p>
            <w:pPr>
              <w:widowControl/>
              <w:ind w:right="-37"/>
              <w:jc w:val="center"/>
              <w:rPr>
                <w:rFonts w:hint="default" w:ascii="Times New Roman" w:hAnsi="Times New Roman" w:eastAsia="仿宋" w:cs="Times New Roman"/>
                <w:color w:val="auto"/>
                <w:kern w:val="0"/>
                <w:szCs w:val="21"/>
                <w:highlight w:val="none"/>
                <w:lang w:val="en-US" w:eastAsia="zh-CN"/>
              </w:rPr>
            </w:pPr>
            <w:r>
              <w:rPr>
                <w:rFonts w:hint="default" w:ascii="Times New Roman" w:hAnsi="Times New Roman" w:eastAsia="仿宋" w:cs="Times New Roman"/>
                <w:color w:val="auto"/>
                <w:szCs w:val="21"/>
                <w:highlight w:val="none"/>
                <w:lang w:val="en-US" w:eastAsia="zh-CN"/>
              </w:rPr>
              <w:t>2026-6-30</w:t>
            </w:r>
          </w:p>
        </w:tc>
        <w:tc>
          <w:tcPr>
            <w:tcW w:w="5214" w:type="dxa"/>
            <w:gridSpan w:val="4"/>
            <w:vAlign w:val="center"/>
          </w:tcPr>
          <w:p>
            <w:pPr>
              <w:widowControl/>
              <w:ind w:right="-37"/>
              <w:jc w:val="center"/>
              <w:rPr>
                <w:rFonts w:hint="default" w:ascii="Times New Roman" w:hAnsi="Times New Roman" w:eastAsia="仿宋" w:cs="Times New Roman"/>
                <w:color w:val="auto"/>
                <w:kern w:val="0"/>
                <w:szCs w:val="21"/>
                <w:highlight w:val="none"/>
              </w:rPr>
            </w:pPr>
            <w:r>
              <w:rPr>
                <w:rFonts w:hint="default" w:ascii="Times New Roman" w:hAnsi="Times New Roman" w:eastAsia="仿宋" w:cs="Times New Roman"/>
                <w:color w:val="auto"/>
                <w:szCs w:val="21"/>
                <w:highlight w:val="none"/>
              </w:rPr>
              <w:t>202</w:t>
            </w:r>
            <w:r>
              <w:rPr>
                <w:rFonts w:hint="default" w:ascii="Times New Roman" w:hAnsi="Times New Roman" w:eastAsia="仿宋" w:cs="Times New Roman"/>
                <w:color w:val="auto"/>
                <w:szCs w:val="21"/>
                <w:highlight w:val="none"/>
                <w:lang w:val="en-US" w:eastAsia="zh-CN"/>
              </w:rPr>
              <w:t>5</w:t>
            </w:r>
            <w:r>
              <w:rPr>
                <w:rFonts w:hint="default" w:ascii="Times New Roman" w:hAnsi="Times New Roman" w:eastAsia="仿宋" w:cs="Times New Roman"/>
                <w:color w:val="auto"/>
                <w:szCs w:val="21"/>
                <w:highlight w:val="none"/>
              </w:rPr>
              <w:t>-12-31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3366" w:type="dxa"/>
            <w:vMerge w:val="continue"/>
            <w:vAlign w:val="center"/>
          </w:tcPr>
          <w:p>
            <w:pPr>
              <w:rPr>
                <w:rFonts w:hint="default" w:ascii="Times New Roman" w:hAnsi="Times New Roman" w:cs="Times New Roman"/>
              </w:rPr>
            </w:pPr>
          </w:p>
        </w:tc>
        <w:tc>
          <w:tcPr>
            <w:tcW w:w="1371" w:type="dxa"/>
            <w:vAlign w:val="center"/>
          </w:tcPr>
          <w:p>
            <w:pPr>
              <w:widowControl/>
              <w:spacing w:line="240" w:lineRule="exact"/>
              <w:ind w:right="-37"/>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1年以内</w:t>
            </w:r>
          </w:p>
          <w:p>
            <w:pPr>
              <w:widowControl/>
              <w:spacing w:line="240" w:lineRule="exact"/>
              <w:ind w:right="-37"/>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（含1年）</w:t>
            </w:r>
          </w:p>
        </w:tc>
        <w:tc>
          <w:tcPr>
            <w:tcW w:w="1229" w:type="dxa"/>
            <w:vAlign w:val="center"/>
          </w:tcPr>
          <w:p>
            <w:pPr>
              <w:widowControl/>
              <w:spacing w:line="240" w:lineRule="exact"/>
              <w:ind w:right="-37"/>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1年至5年</w:t>
            </w:r>
          </w:p>
          <w:p>
            <w:pPr>
              <w:widowControl/>
              <w:spacing w:line="240" w:lineRule="exact"/>
              <w:ind w:right="-37"/>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（含5年）</w:t>
            </w:r>
          </w:p>
        </w:tc>
        <w:tc>
          <w:tcPr>
            <w:tcW w:w="1206" w:type="dxa"/>
            <w:vAlign w:val="center"/>
          </w:tcPr>
          <w:p>
            <w:pPr>
              <w:widowControl/>
              <w:spacing w:line="240" w:lineRule="exact"/>
              <w:ind w:right="-37"/>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5年以上</w:t>
            </w:r>
          </w:p>
        </w:tc>
        <w:tc>
          <w:tcPr>
            <w:tcW w:w="1371" w:type="dxa"/>
            <w:vAlign w:val="center"/>
          </w:tcPr>
          <w:p>
            <w:pPr>
              <w:widowControl/>
              <w:spacing w:line="240" w:lineRule="exact"/>
              <w:ind w:right="-37"/>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合计</w:t>
            </w:r>
          </w:p>
        </w:tc>
        <w:tc>
          <w:tcPr>
            <w:tcW w:w="1371" w:type="dxa"/>
            <w:vAlign w:val="center"/>
          </w:tcPr>
          <w:p>
            <w:pPr>
              <w:widowControl/>
              <w:spacing w:line="240" w:lineRule="exact"/>
              <w:ind w:right="-37"/>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1年以内</w:t>
            </w:r>
          </w:p>
          <w:p>
            <w:pPr>
              <w:widowControl/>
              <w:spacing w:line="240" w:lineRule="exact"/>
              <w:ind w:right="-37"/>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（含1年）</w:t>
            </w:r>
          </w:p>
        </w:tc>
        <w:tc>
          <w:tcPr>
            <w:tcW w:w="1266" w:type="dxa"/>
            <w:vAlign w:val="center"/>
          </w:tcPr>
          <w:p>
            <w:pPr>
              <w:widowControl/>
              <w:spacing w:line="240" w:lineRule="exact"/>
              <w:ind w:right="-37"/>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1年至5年</w:t>
            </w:r>
          </w:p>
          <w:p>
            <w:pPr>
              <w:widowControl/>
              <w:spacing w:line="240" w:lineRule="exact"/>
              <w:ind w:right="-37"/>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（含5年）</w:t>
            </w:r>
          </w:p>
        </w:tc>
        <w:tc>
          <w:tcPr>
            <w:tcW w:w="1206" w:type="dxa"/>
            <w:vAlign w:val="center"/>
          </w:tcPr>
          <w:p>
            <w:pPr>
              <w:widowControl/>
              <w:spacing w:line="240" w:lineRule="exact"/>
              <w:ind w:right="-37"/>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5年以上</w:t>
            </w:r>
          </w:p>
        </w:tc>
        <w:tc>
          <w:tcPr>
            <w:tcW w:w="1371" w:type="dxa"/>
            <w:vAlign w:val="center"/>
          </w:tcPr>
          <w:p>
            <w:pPr>
              <w:widowControl/>
              <w:spacing w:line="240" w:lineRule="exact"/>
              <w:ind w:right="-37"/>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合计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3366"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信用贷款</w:t>
            </w:r>
          </w:p>
        </w:tc>
        <w:tc>
          <w:tcPr>
            <w:tcW w:w="1371"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 xml:space="preserve">182,065.50 </w:t>
            </w:r>
          </w:p>
        </w:tc>
        <w:tc>
          <w:tcPr>
            <w:tcW w:w="1229"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 xml:space="preserve">20,522.84 </w:t>
            </w:r>
          </w:p>
        </w:tc>
        <w:tc>
          <w:tcPr>
            <w:tcW w:w="1206"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 xml:space="preserve">10,295.64 </w:t>
            </w:r>
          </w:p>
        </w:tc>
        <w:tc>
          <w:tcPr>
            <w:tcW w:w="1371"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 xml:space="preserve">212,883.99 </w:t>
            </w:r>
          </w:p>
        </w:tc>
        <w:tc>
          <w:tcPr>
            <w:tcW w:w="1371"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rPr>
              <w:t>195</w:t>
            </w:r>
            <w:r>
              <w:rPr>
                <w:rFonts w:hint="default" w:ascii="Times New Roman" w:hAnsi="Times New Roman" w:cs="Times New Roman"/>
                <w:color w:val="auto"/>
                <w:kern w:val="0"/>
                <w:sz w:val="22"/>
                <w:szCs w:val="22"/>
                <w:highlight w:val="none"/>
                <w:lang w:val="en-US" w:eastAsia="zh-CN"/>
              </w:rPr>
              <w:t>,</w:t>
            </w:r>
            <w:r>
              <w:rPr>
                <w:rFonts w:hint="default" w:ascii="Times New Roman" w:hAnsi="Times New Roman" w:cs="Times New Roman"/>
                <w:color w:val="auto"/>
                <w:kern w:val="0"/>
                <w:sz w:val="22"/>
                <w:szCs w:val="22"/>
                <w:highlight w:val="none"/>
              </w:rPr>
              <w:t>327.06</w:t>
            </w:r>
          </w:p>
        </w:tc>
        <w:tc>
          <w:tcPr>
            <w:tcW w:w="1266"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14</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302.79</w:t>
            </w:r>
          </w:p>
        </w:tc>
        <w:tc>
          <w:tcPr>
            <w:tcW w:w="1206"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10</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275.73</w:t>
            </w:r>
          </w:p>
        </w:tc>
        <w:tc>
          <w:tcPr>
            <w:tcW w:w="1371"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219</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905.58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3366"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保证贷款</w:t>
            </w:r>
          </w:p>
        </w:tc>
        <w:tc>
          <w:tcPr>
            <w:tcW w:w="1371"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 xml:space="preserve">564,049.48 </w:t>
            </w:r>
          </w:p>
        </w:tc>
        <w:tc>
          <w:tcPr>
            <w:tcW w:w="1229"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 xml:space="preserve">95,638.71 </w:t>
            </w:r>
          </w:p>
        </w:tc>
        <w:tc>
          <w:tcPr>
            <w:tcW w:w="1206"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 xml:space="preserve">107,973.02 </w:t>
            </w:r>
          </w:p>
        </w:tc>
        <w:tc>
          <w:tcPr>
            <w:tcW w:w="1371"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 xml:space="preserve">767,661.21 </w:t>
            </w:r>
          </w:p>
        </w:tc>
        <w:tc>
          <w:tcPr>
            <w:tcW w:w="1371"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514</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055.74</w:t>
            </w:r>
          </w:p>
        </w:tc>
        <w:tc>
          <w:tcPr>
            <w:tcW w:w="1266"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70</w:t>
            </w:r>
            <w:r>
              <w:rPr>
                <w:rFonts w:hint="default" w:ascii="Times New Roman" w:hAnsi="Times New Roman" w:cs="Times New Roman"/>
                <w:i w:val="0"/>
                <w:color w:val="auto"/>
                <w:kern w:val="0"/>
                <w:sz w:val="22"/>
                <w:szCs w:val="22"/>
                <w:highlight w:val="none"/>
                <w:u w:val="none"/>
                <w:lang w:val="en-US" w:eastAsia="zh-CN"/>
              </w:rPr>
              <w:t>,</w:t>
            </w:r>
            <w:r>
              <w:rPr>
                <w:rFonts w:hint="default" w:ascii="Times New Roman" w:hAnsi="Times New Roman" w:eastAsia="宋体" w:cs="Times New Roman"/>
                <w:i w:val="0"/>
                <w:color w:val="auto"/>
                <w:kern w:val="0"/>
                <w:sz w:val="22"/>
                <w:szCs w:val="22"/>
                <w:highlight w:val="none"/>
                <w:u w:val="none"/>
                <w:lang w:val="en-US" w:eastAsia="zh-CN"/>
              </w:rPr>
              <w:t>989.35</w:t>
            </w:r>
          </w:p>
        </w:tc>
        <w:tc>
          <w:tcPr>
            <w:tcW w:w="1206"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99</w:t>
            </w:r>
            <w:r>
              <w:rPr>
                <w:rFonts w:hint="default" w:ascii="Times New Roman" w:hAnsi="Times New Roman" w:cs="Times New Roman"/>
                <w:i w:val="0"/>
                <w:color w:val="auto"/>
                <w:kern w:val="0"/>
                <w:sz w:val="22"/>
                <w:szCs w:val="22"/>
                <w:highlight w:val="none"/>
                <w:u w:val="none"/>
                <w:lang w:val="en-US" w:eastAsia="zh-CN"/>
              </w:rPr>
              <w:t>,</w:t>
            </w:r>
            <w:r>
              <w:rPr>
                <w:rFonts w:hint="default" w:ascii="Times New Roman" w:hAnsi="Times New Roman" w:eastAsia="宋体" w:cs="Times New Roman"/>
                <w:i w:val="0"/>
                <w:color w:val="auto"/>
                <w:kern w:val="0"/>
                <w:sz w:val="22"/>
                <w:szCs w:val="22"/>
                <w:highlight w:val="none"/>
                <w:u w:val="none"/>
                <w:lang w:val="en-US" w:eastAsia="zh-CN"/>
              </w:rPr>
              <w:t>150.76</w:t>
            </w:r>
          </w:p>
        </w:tc>
        <w:tc>
          <w:tcPr>
            <w:tcW w:w="1371"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684</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195.85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3366"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抵押贷款</w:t>
            </w:r>
          </w:p>
        </w:tc>
        <w:tc>
          <w:tcPr>
            <w:tcW w:w="1371"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 xml:space="preserve">451,853.62 </w:t>
            </w:r>
          </w:p>
        </w:tc>
        <w:tc>
          <w:tcPr>
            <w:tcW w:w="1229"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 xml:space="preserve">111,260.68 </w:t>
            </w:r>
          </w:p>
        </w:tc>
        <w:tc>
          <w:tcPr>
            <w:tcW w:w="1206"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 xml:space="preserve">102,870.34 </w:t>
            </w:r>
          </w:p>
        </w:tc>
        <w:tc>
          <w:tcPr>
            <w:tcW w:w="1371"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 xml:space="preserve">665,984.65 </w:t>
            </w:r>
          </w:p>
        </w:tc>
        <w:tc>
          <w:tcPr>
            <w:tcW w:w="1371"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450</w:t>
            </w:r>
            <w:r>
              <w:rPr>
                <w:rFonts w:hint="default" w:ascii="Times New Roman" w:hAnsi="Times New Roman" w:cs="Times New Roman"/>
                <w:i w:val="0"/>
                <w:color w:val="auto"/>
                <w:kern w:val="0"/>
                <w:sz w:val="22"/>
                <w:szCs w:val="22"/>
                <w:highlight w:val="none"/>
                <w:u w:val="none"/>
                <w:lang w:val="en-US" w:eastAsia="zh-CN"/>
              </w:rPr>
              <w:t>,</w:t>
            </w:r>
            <w:r>
              <w:rPr>
                <w:rFonts w:hint="default" w:ascii="Times New Roman" w:hAnsi="Times New Roman" w:eastAsia="宋体" w:cs="Times New Roman"/>
                <w:i w:val="0"/>
                <w:color w:val="auto"/>
                <w:kern w:val="0"/>
                <w:sz w:val="22"/>
                <w:szCs w:val="22"/>
                <w:highlight w:val="none"/>
                <w:u w:val="none"/>
                <w:lang w:val="en-US" w:eastAsia="zh-CN"/>
              </w:rPr>
              <w:t>761.34</w:t>
            </w:r>
          </w:p>
        </w:tc>
        <w:tc>
          <w:tcPr>
            <w:tcW w:w="1266"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81</w:t>
            </w:r>
            <w:r>
              <w:rPr>
                <w:rFonts w:hint="default" w:ascii="Times New Roman" w:hAnsi="Times New Roman" w:cs="Times New Roman"/>
                <w:i w:val="0"/>
                <w:color w:val="auto"/>
                <w:kern w:val="0"/>
                <w:sz w:val="22"/>
                <w:szCs w:val="22"/>
                <w:highlight w:val="none"/>
                <w:u w:val="none"/>
                <w:lang w:val="en-US" w:eastAsia="zh-CN"/>
              </w:rPr>
              <w:t>,</w:t>
            </w:r>
            <w:r>
              <w:rPr>
                <w:rFonts w:hint="default" w:ascii="Times New Roman" w:hAnsi="Times New Roman" w:eastAsia="宋体" w:cs="Times New Roman"/>
                <w:i w:val="0"/>
                <w:color w:val="auto"/>
                <w:kern w:val="0"/>
                <w:sz w:val="22"/>
                <w:szCs w:val="22"/>
                <w:highlight w:val="none"/>
                <w:u w:val="none"/>
                <w:lang w:val="en-US" w:eastAsia="zh-CN"/>
              </w:rPr>
              <w:t>223.86</w:t>
            </w:r>
          </w:p>
        </w:tc>
        <w:tc>
          <w:tcPr>
            <w:tcW w:w="1206"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115</w:t>
            </w:r>
            <w:r>
              <w:rPr>
                <w:rFonts w:hint="default" w:ascii="Times New Roman" w:hAnsi="Times New Roman" w:cs="Times New Roman"/>
                <w:i w:val="0"/>
                <w:color w:val="auto"/>
                <w:kern w:val="0"/>
                <w:sz w:val="22"/>
                <w:szCs w:val="22"/>
                <w:highlight w:val="none"/>
                <w:u w:val="none"/>
                <w:lang w:val="en-US" w:eastAsia="zh-CN"/>
              </w:rPr>
              <w:t>,</w:t>
            </w:r>
            <w:r>
              <w:rPr>
                <w:rFonts w:hint="default" w:ascii="Times New Roman" w:hAnsi="Times New Roman" w:eastAsia="宋体" w:cs="Times New Roman"/>
                <w:i w:val="0"/>
                <w:color w:val="auto"/>
                <w:kern w:val="0"/>
                <w:sz w:val="22"/>
                <w:szCs w:val="22"/>
                <w:highlight w:val="none"/>
                <w:u w:val="none"/>
                <w:lang w:val="en-US" w:eastAsia="zh-CN"/>
              </w:rPr>
              <w:t>150.34</w:t>
            </w:r>
          </w:p>
        </w:tc>
        <w:tc>
          <w:tcPr>
            <w:tcW w:w="1371"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647</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135.54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3366"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质押贷款</w:t>
            </w:r>
          </w:p>
        </w:tc>
        <w:tc>
          <w:tcPr>
            <w:tcW w:w="1371"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 xml:space="preserve">3,241.60 </w:t>
            </w:r>
          </w:p>
        </w:tc>
        <w:tc>
          <w:tcPr>
            <w:tcW w:w="1229"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 xml:space="preserve">1,844.00 </w:t>
            </w:r>
          </w:p>
        </w:tc>
        <w:tc>
          <w:tcPr>
            <w:tcW w:w="1206"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p>
        </w:tc>
        <w:tc>
          <w:tcPr>
            <w:tcW w:w="1371"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 xml:space="preserve">5,085.60 </w:t>
            </w:r>
          </w:p>
        </w:tc>
        <w:tc>
          <w:tcPr>
            <w:tcW w:w="1371"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w:t>
            </w:r>
            <w:r>
              <w:rPr>
                <w:rFonts w:hint="default" w:ascii="Times New Roman" w:hAnsi="Times New Roman" w:cs="Times New Roman"/>
                <w:i w:val="0"/>
                <w:color w:val="auto"/>
                <w:kern w:val="0"/>
                <w:sz w:val="22"/>
                <w:szCs w:val="22"/>
                <w:highlight w:val="none"/>
                <w:u w:val="none"/>
                <w:lang w:val="en-US" w:eastAsia="zh-CN"/>
              </w:rPr>
              <w:t>,</w:t>
            </w:r>
            <w:r>
              <w:rPr>
                <w:rFonts w:hint="default" w:ascii="Times New Roman" w:hAnsi="Times New Roman" w:eastAsia="宋体" w:cs="Times New Roman"/>
                <w:i w:val="0"/>
                <w:color w:val="auto"/>
                <w:kern w:val="0"/>
                <w:sz w:val="22"/>
                <w:szCs w:val="22"/>
                <w:highlight w:val="none"/>
                <w:u w:val="none"/>
                <w:lang w:val="en-US" w:eastAsia="zh-CN"/>
              </w:rPr>
              <w:t>200.07</w:t>
            </w:r>
          </w:p>
        </w:tc>
        <w:tc>
          <w:tcPr>
            <w:tcW w:w="1266"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w:t>
            </w:r>
            <w:r>
              <w:rPr>
                <w:rFonts w:hint="default" w:ascii="Times New Roman" w:hAnsi="Times New Roman" w:cs="Times New Roman"/>
                <w:i w:val="0"/>
                <w:color w:val="auto"/>
                <w:kern w:val="0"/>
                <w:sz w:val="22"/>
                <w:szCs w:val="22"/>
                <w:highlight w:val="none"/>
                <w:u w:val="none"/>
                <w:lang w:val="en-US" w:eastAsia="zh-CN"/>
              </w:rPr>
              <w:t>,</w:t>
            </w:r>
            <w:r>
              <w:rPr>
                <w:rFonts w:hint="default" w:ascii="Times New Roman" w:hAnsi="Times New Roman" w:eastAsia="宋体" w:cs="Times New Roman"/>
                <w:i w:val="0"/>
                <w:color w:val="auto"/>
                <w:kern w:val="0"/>
                <w:sz w:val="22"/>
                <w:szCs w:val="22"/>
                <w:highlight w:val="none"/>
                <w:u w:val="none"/>
                <w:lang w:val="en-US" w:eastAsia="zh-CN"/>
              </w:rPr>
              <w:t>920</w:t>
            </w:r>
            <w:r>
              <w:rPr>
                <w:rFonts w:hint="default" w:ascii="Times New Roman" w:hAnsi="Times New Roman" w:cs="Times New Roman"/>
                <w:i w:val="0"/>
                <w:color w:val="auto"/>
                <w:kern w:val="0"/>
                <w:sz w:val="22"/>
                <w:szCs w:val="22"/>
                <w:highlight w:val="none"/>
                <w:u w:val="none"/>
                <w:lang w:val="en-US" w:eastAsia="zh-CN"/>
              </w:rPr>
              <w:t>.00</w:t>
            </w:r>
          </w:p>
        </w:tc>
        <w:tc>
          <w:tcPr>
            <w:tcW w:w="1206" w:type="dxa"/>
            <w:vAlign w:val="center"/>
          </w:tcPr>
          <w:p>
            <w:pPr>
              <w:jc w:val="right"/>
              <w:rPr>
                <w:rFonts w:hint="default" w:ascii="Times New Roman" w:hAnsi="Times New Roman" w:eastAsia="等线" w:cs="Times New Roman"/>
                <w:color w:val="auto"/>
                <w:kern w:val="0"/>
                <w:sz w:val="22"/>
                <w:szCs w:val="22"/>
                <w:highlight w:val="none"/>
              </w:rPr>
            </w:pPr>
          </w:p>
        </w:tc>
        <w:tc>
          <w:tcPr>
            <w:tcW w:w="1371"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5</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120.07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3366"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贴现贷款</w:t>
            </w:r>
          </w:p>
        </w:tc>
        <w:tc>
          <w:tcPr>
            <w:tcW w:w="1371"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 xml:space="preserve">89,561.48 </w:t>
            </w:r>
          </w:p>
        </w:tc>
        <w:tc>
          <w:tcPr>
            <w:tcW w:w="1229"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p>
        </w:tc>
        <w:tc>
          <w:tcPr>
            <w:tcW w:w="1206"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p>
        </w:tc>
        <w:tc>
          <w:tcPr>
            <w:tcW w:w="1371"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 xml:space="preserve">89,561.48 </w:t>
            </w:r>
          </w:p>
        </w:tc>
        <w:tc>
          <w:tcPr>
            <w:tcW w:w="1371"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82</w:t>
            </w:r>
            <w:r>
              <w:rPr>
                <w:rFonts w:hint="default" w:ascii="Times New Roman" w:hAnsi="Times New Roman" w:cs="Times New Roman"/>
                <w:i w:val="0"/>
                <w:color w:val="auto"/>
                <w:kern w:val="0"/>
                <w:sz w:val="22"/>
                <w:szCs w:val="22"/>
                <w:highlight w:val="none"/>
                <w:u w:val="none"/>
                <w:lang w:val="en-US" w:eastAsia="zh-CN"/>
              </w:rPr>
              <w:t>,</w:t>
            </w:r>
            <w:r>
              <w:rPr>
                <w:rFonts w:hint="default" w:ascii="Times New Roman" w:hAnsi="Times New Roman" w:eastAsia="宋体" w:cs="Times New Roman"/>
                <w:i w:val="0"/>
                <w:color w:val="auto"/>
                <w:kern w:val="0"/>
                <w:sz w:val="22"/>
                <w:szCs w:val="22"/>
                <w:highlight w:val="none"/>
                <w:u w:val="none"/>
                <w:lang w:val="en-US" w:eastAsia="zh-CN"/>
              </w:rPr>
              <w:t>854.37</w:t>
            </w:r>
          </w:p>
        </w:tc>
        <w:tc>
          <w:tcPr>
            <w:tcW w:w="1266" w:type="dxa"/>
            <w:vAlign w:val="center"/>
          </w:tcPr>
          <w:p>
            <w:pPr>
              <w:jc w:val="right"/>
              <w:rPr>
                <w:rFonts w:hint="default" w:ascii="Times New Roman" w:hAnsi="Times New Roman" w:eastAsia="等线" w:cs="Times New Roman"/>
                <w:color w:val="auto"/>
                <w:kern w:val="0"/>
                <w:sz w:val="22"/>
                <w:szCs w:val="22"/>
                <w:highlight w:val="none"/>
              </w:rPr>
            </w:pPr>
          </w:p>
        </w:tc>
        <w:tc>
          <w:tcPr>
            <w:tcW w:w="1206" w:type="dxa"/>
            <w:vAlign w:val="center"/>
          </w:tcPr>
          <w:p>
            <w:pPr>
              <w:jc w:val="right"/>
              <w:rPr>
                <w:rFonts w:hint="default" w:ascii="Times New Roman" w:hAnsi="Times New Roman" w:eastAsia="等线" w:cs="Times New Roman"/>
                <w:color w:val="auto"/>
                <w:kern w:val="0"/>
                <w:sz w:val="22"/>
                <w:szCs w:val="22"/>
                <w:highlight w:val="none"/>
              </w:rPr>
            </w:pPr>
          </w:p>
        </w:tc>
        <w:tc>
          <w:tcPr>
            <w:tcW w:w="1371"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82</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854.37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3366"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贷款和垫款总额</w:t>
            </w:r>
          </w:p>
        </w:tc>
        <w:tc>
          <w:tcPr>
            <w:tcW w:w="1371"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 xml:space="preserve">1,290,771.69 </w:t>
            </w:r>
          </w:p>
        </w:tc>
        <w:tc>
          <w:tcPr>
            <w:tcW w:w="1229"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 xml:space="preserve">229,266.24 </w:t>
            </w:r>
          </w:p>
        </w:tc>
        <w:tc>
          <w:tcPr>
            <w:tcW w:w="1206"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 xml:space="preserve">221,139.00 </w:t>
            </w:r>
          </w:p>
        </w:tc>
        <w:tc>
          <w:tcPr>
            <w:tcW w:w="1371"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 xml:space="preserve">1,741,176.93 </w:t>
            </w:r>
          </w:p>
        </w:tc>
        <w:tc>
          <w:tcPr>
            <w:tcW w:w="1371"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1</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246</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198.58</w:t>
            </w:r>
          </w:p>
        </w:tc>
        <w:tc>
          <w:tcPr>
            <w:tcW w:w="1266"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168</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436</w:t>
            </w:r>
            <w:r>
              <w:rPr>
                <w:rFonts w:hint="default" w:ascii="Times New Roman" w:hAnsi="Times New Roman" w:eastAsia="等线" w:cs="Times New Roman"/>
                <w:color w:val="auto"/>
                <w:kern w:val="0"/>
                <w:sz w:val="22"/>
                <w:szCs w:val="22"/>
                <w:highlight w:val="none"/>
                <w:lang w:val="en-US" w:eastAsia="zh-CN"/>
              </w:rPr>
              <w:t>.00</w:t>
            </w:r>
          </w:p>
        </w:tc>
        <w:tc>
          <w:tcPr>
            <w:tcW w:w="1206" w:type="dxa"/>
            <w:vAlign w:val="center"/>
          </w:tcPr>
          <w:p>
            <w:pPr>
              <w:widowControl/>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224</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576.83</w:t>
            </w:r>
          </w:p>
        </w:tc>
        <w:tc>
          <w:tcPr>
            <w:tcW w:w="1371" w:type="dxa"/>
            <w:vAlign w:val="center"/>
          </w:tcPr>
          <w:p>
            <w:pPr>
              <w:widowControl/>
              <w:jc w:val="right"/>
              <w:textAlignment w:val="bottom"/>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1,639,211.41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3366"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加：拆放境内其他非银行同业款项</w:t>
            </w:r>
          </w:p>
        </w:tc>
        <w:tc>
          <w:tcPr>
            <w:tcW w:w="1371" w:type="dxa"/>
            <w:vAlign w:val="center"/>
          </w:tcPr>
          <w:p>
            <w:pPr>
              <w:rPr>
                <w:rFonts w:hint="default" w:ascii="Times New Roman" w:hAnsi="Times New Roman" w:eastAsia="等线" w:cs="Times New Roman"/>
                <w:color w:val="auto"/>
                <w:kern w:val="0"/>
                <w:sz w:val="22"/>
                <w:szCs w:val="22"/>
                <w:highlight w:val="none"/>
              </w:rPr>
            </w:pPr>
          </w:p>
        </w:tc>
        <w:tc>
          <w:tcPr>
            <w:tcW w:w="1229" w:type="dxa"/>
            <w:vAlign w:val="center"/>
          </w:tcPr>
          <w:p>
            <w:pPr>
              <w:rPr>
                <w:rFonts w:hint="default" w:ascii="Times New Roman" w:hAnsi="Times New Roman" w:eastAsia="等线" w:cs="Times New Roman"/>
                <w:color w:val="auto"/>
                <w:kern w:val="0"/>
                <w:sz w:val="22"/>
                <w:szCs w:val="22"/>
                <w:highlight w:val="none"/>
              </w:rPr>
            </w:pPr>
          </w:p>
        </w:tc>
        <w:tc>
          <w:tcPr>
            <w:tcW w:w="1206" w:type="dxa"/>
            <w:vAlign w:val="center"/>
          </w:tcPr>
          <w:p>
            <w:pPr>
              <w:rPr>
                <w:rFonts w:hint="default" w:ascii="Times New Roman" w:hAnsi="Times New Roman" w:eastAsia="等线" w:cs="Times New Roman"/>
                <w:color w:val="auto"/>
                <w:kern w:val="0"/>
                <w:sz w:val="22"/>
                <w:szCs w:val="22"/>
                <w:highlight w:val="none"/>
              </w:rPr>
            </w:pPr>
          </w:p>
        </w:tc>
        <w:tc>
          <w:tcPr>
            <w:tcW w:w="1371"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color w:val="auto"/>
                <w:kern w:val="0"/>
                <w:sz w:val="22"/>
                <w:szCs w:val="22"/>
                <w:highlight w:val="none"/>
                <w:lang w:val="en-US" w:eastAsia="zh-CN"/>
              </w:rPr>
              <w:t xml:space="preserve">160,000.00 </w:t>
            </w:r>
          </w:p>
        </w:tc>
        <w:tc>
          <w:tcPr>
            <w:tcW w:w="1371" w:type="dxa"/>
            <w:vAlign w:val="bottom"/>
          </w:tcPr>
          <w:p>
            <w:pPr>
              <w:jc w:val="right"/>
              <w:rPr>
                <w:rFonts w:hint="default" w:ascii="Times New Roman" w:hAnsi="Times New Roman" w:eastAsia="等线" w:cs="Times New Roman"/>
                <w:color w:val="auto"/>
                <w:kern w:val="0"/>
                <w:sz w:val="22"/>
                <w:szCs w:val="22"/>
                <w:highlight w:val="none"/>
              </w:rPr>
            </w:pPr>
          </w:p>
        </w:tc>
        <w:tc>
          <w:tcPr>
            <w:tcW w:w="1266" w:type="dxa"/>
            <w:vAlign w:val="bottom"/>
          </w:tcPr>
          <w:p>
            <w:pPr>
              <w:jc w:val="right"/>
              <w:rPr>
                <w:rFonts w:hint="default" w:ascii="Times New Roman" w:hAnsi="Times New Roman" w:eastAsia="等线" w:cs="Times New Roman"/>
                <w:color w:val="auto"/>
                <w:kern w:val="0"/>
                <w:sz w:val="22"/>
                <w:szCs w:val="22"/>
                <w:highlight w:val="none"/>
              </w:rPr>
            </w:pPr>
          </w:p>
        </w:tc>
        <w:tc>
          <w:tcPr>
            <w:tcW w:w="1206" w:type="dxa"/>
            <w:vAlign w:val="bottom"/>
          </w:tcPr>
          <w:p>
            <w:pPr>
              <w:jc w:val="right"/>
              <w:rPr>
                <w:rFonts w:hint="default" w:ascii="Times New Roman" w:hAnsi="Times New Roman" w:eastAsia="等线" w:cs="Times New Roman"/>
                <w:color w:val="auto"/>
                <w:kern w:val="0"/>
                <w:sz w:val="22"/>
                <w:szCs w:val="22"/>
                <w:highlight w:val="none"/>
              </w:rPr>
            </w:pPr>
          </w:p>
        </w:tc>
        <w:tc>
          <w:tcPr>
            <w:tcW w:w="1371" w:type="dxa"/>
            <w:vAlign w:val="center"/>
          </w:tcPr>
          <w:p>
            <w:pPr>
              <w:widowControl/>
              <w:jc w:val="right"/>
              <w:textAlignment w:val="bottom"/>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128,000.00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3366"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拆放境内非银行同业应收利息</w:t>
            </w:r>
          </w:p>
        </w:tc>
        <w:tc>
          <w:tcPr>
            <w:tcW w:w="1371" w:type="dxa"/>
            <w:vAlign w:val="bottom"/>
          </w:tcPr>
          <w:p>
            <w:pPr>
              <w:jc w:val="right"/>
              <w:rPr>
                <w:rFonts w:hint="default" w:ascii="Times New Roman" w:hAnsi="Times New Roman" w:eastAsia="等线" w:cs="Times New Roman"/>
                <w:color w:val="auto"/>
                <w:kern w:val="0"/>
                <w:sz w:val="22"/>
                <w:szCs w:val="22"/>
                <w:highlight w:val="none"/>
              </w:rPr>
            </w:pPr>
          </w:p>
        </w:tc>
        <w:tc>
          <w:tcPr>
            <w:tcW w:w="1229" w:type="dxa"/>
            <w:vAlign w:val="bottom"/>
          </w:tcPr>
          <w:p>
            <w:pPr>
              <w:jc w:val="right"/>
              <w:rPr>
                <w:rFonts w:hint="default" w:ascii="Times New Roman" w:hAnsi="Times New Roman" w:eastAsia="等线" w:cs="Times New Roman"/>
                <w:color w:val="auto"/>
                <w:kern w:val="0"/>
                <w:sz w:val="22"/>
                <w:szCs w:val="22"/>
                <w:highlight w:val="none"/>
              </w:rPr>
            </w:pPr>
          </w:p>
        </w:tc>
        <w:tc>
          <w:tcPr>
            <w:tcW w:w="1206" w:type="dxa"/>
            <w:vAlign w:val="bottom"/>
          </w:tcPr>
          <w:p>
            <w:pPr>
              <w:jc w:val="right"/>
              <w:rPr>
                <w:rFonts w:hint="default" w:ascii="Times New Roman" w:hAnsi="Times New Roman" w:eastAsia="等线" w:cs="Times New Roman"/>
                <w:color w:val="auto"/>
                <w:kern w:val="0"/>
                <w:sz w:val="22"/>
                <w:szCs w:val="22"/>
                <w:highlight w:val="none"/>
              </w:rPr>
            </w:pPr>
          </w:p>
        </w:tc>
        <w:tc>
          <w:tcPr>
            <w:tcW w:w="1371"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764.14  </w:t>
            </w:r>
          </w:p>
        </w:tc>
        <w:tc>
          <w:tcPr>
            <w:tcW w:w="1371" w:type="dxa"/>
            <w:vAlign w:val="bottom"/>
          </w:tcPr>
          <w:p>
            <w:pPr>
              <w:jc w:val="right"/>
              <w:rPr>
                <w:rFonts w:hint="default" w:ascii="Times New Roman" w:hAnsi="Times New Roman" w:eastAsia="等线" w:cs="Times New Roman"/>
                <w:color w:val="auto"/>
                <w:kern w:val="0"/>
                <w:sz w:val="22"/>
                <w:szCs w:val="22"/>
                <w:highlight w:val="none"/>
              </w:rPr>
            </w:pPr>
          </w:p>
        </w:tc>
        <w:tc>
          <w:tcPr>
            <w:tcW w:w="1266" w:type="dxa"/>
            <w:vAlign w:val="bottom"/>
          </w:tcPr>
          <w:p>
            <w:pPr>
              <w:jc w:val="right"/>
              <w:rPr>
                <w:rFonts w:hint="default" w:ascii="Times New Roman" w:hAnsi="Times New Roman" w:eastAsia="等线" w:cs="Times New Roman"/>
                <w:color w:val="auto"/>
                <w:kern w:val="0"/>
                <w:sz w:val="22"/>
                <w:szCs w:val="22"/>
                <w:highlight w:val="none"/>
              </w:rPr>
            </w:pPr>
          </w:p>
        </w:tc>
        <w:tc>
          <w:tcPr>
            <w:tcW w:w="1206" w:type="dxa"/>
            <w:vAlign w:val="bottom"/>
          </w:tcPr>
          <w:p>
            <w:pPr>
              <w:jc w:val="right"/>
              <w:rPr>
                <w:rFonts w:hint="default" w:ascii="Times New Roman" w:hAnsi="Times New Roman" w:eastAsia="等线" w:cs="Times New Roman"/>
                <w:color w:val="auto"/>
                <w:kern w:val="0"/>
                <w:sz w:val="22"/>
                <w:szCs w:val="22"/>
                <w:highlight w:val="none"/>
              </w:rPr>
            </w:pPr>
          </w:p>
        </w:tc>
        <w:tc>
          <w:tcPr>
            <w:tcW w:w="1371" w:type="dxa"/>
            <w:vAlign w:val="center"/>
          </w:tcPr>
          <w:p>
            <w:pPr>
              <w:widowControl/>
              <w:ind w:right="-37"/>
              <w:jc w:val="right"/>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rPr>
              <w:t xml:space="preserve">1,541.13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3366"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 xml:space="preserve">     应收利息合计</w:t>
            </w:r>
          </w:p>
        </w:tc>
        <w:tc>
          <w:tcPr>
            <w:tcW w:w="1371" w:type="dxa"/>
            <w:vAlign w:val="bottom"/>
          </w:tcPr>
          <w:p>
            <w:pPr>
              <w:jc w:val="right"/>
              <w:rPr>
                <w:rFonts w:hint="default" w:ascii="Times New Roman" w:hAnsi="Times New Roman" w:eastAsia="等线" w:cs="Times New Roman"/>
                <w:color w:val="auto"/>
                <w:kern w:val="0"/>
                <w:sz w:val="22"/>
                <w:szCs w:val="22"/>
                <w:highlight w:val="none"/>
              </w:rPr>
            </w:pPr>
          </w:p>
        </w:tc>
        <w:tc>
          <w:tcPr>
            <w:tcW w:w="1229" w:type="dxa"/>
            <w:vAlign w:val="bottom"/>
          </w:tcPr>
          <w:p>
            <w:pPr>
              <w:jc w:val="right"/>
              <w:rPr>
                <w:rFonts w:hint="default" w:ascii="Times New Roman" w:hAnsi="Times New Roman" w:eastAsia="等线" w:cs="Times New Roman"/>
                <w:color w:val="auto"/>
                <w:kern w:val="0"/>
                <w:sz w:val="22"/>
                <w:szCs w:val="22"/>
                <w:highlight w:val="none"/>
              </w:rPr>
            </w:pPr>
          </w:p>
        </w:tc>
        <w:tc>
          <w:tcPr>
            <w:tcW w:w="1206" w:type="dxa"/>
            <w:vAlign w:val="bottom"/>
          </w:tcPr>
          <w:p>
            <w:pPr>
              <w:jc w:val="right"/>
              <w:rPr>
                <w:rFonts w:hint="default" w:ascii="Times New Roman" w:hAnsi="Times New Roman" w:eastAsia="等线" w:cs="Times New Roman"/>
                <w:color w:val="auto"/>
                <w:kern w:val="0"/>
                <w:sz w:val="22"/>
                <w:szCs w:val="22"/>
                <w:highlight w:val="none"/>
              </w:rPr>
            </w:pPr>
          </w:p>
        </w:tc>
        <w:tc>
          <w:tcPr>
            <w:tcW w:w="1371" w:type="dxa"/>
            <w:vAlign w:val="center"/>
          </w:tcPr>
          <w:p>
            <w:pPr>
              <w:widowControl/>
              <w:ind w:right="-37"/>
              <w:jc w:val="right"/>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rPr>
              <w:t>2,155.5</w:t>
            </w:r>
            <w:r>
              <w:rPr>
                <w:rFonts w:hint="default" w:ascii="Times New Roman" w:hAnsi="Times New Roman" w:cs="Times New Roman"/>
                <w:color w:val="auto"/>
                <w:kern w:val="0"/>
                <w:sz w:val="22"/>
                <w:szCs w:val="22"/>
                <w:highlight w:val="none"/>
                <w:lang w:val="en-US" w:eastAsia="zh-CN"/>
              </w:rPr>
              <w:t>2</w:t>
            </w:r>
            <w:r>
              <w:rPr>
                <w:rFonts w:hint="default" w:ascii="Times New Roman" w:hAnsi="Times New Roman" w:cs="Times New Roman"/>
                <w:color w:val="auto"/>
                <w:kern w:val="0"/>
                <w:sz w:val="22"/>
                <w:szCs w:val="22"/>
                <w:highlight w:val="none"/>
              </w:rPr>
              <w:t xml:space="preserve"> </w:t>
            </w:r>
          </w:p>
        </w:tc>
        <w:tc>
          <w:tcPr>
            <w:tcW w:w="1371" w:type="dxa"/>
            <w:vAlign w:val="bottom"/>
          </w:tcPr>
          <w:p>
            <w:pPr>
              <w:jc w:val="right"/>
              <w:rPr>
                <w:rFonts w:hint="default" w:ascii="Times New Roman" w:hAnsi="Times New Roman" w:eastAsia="等线" w:cs="Times New Roman"/>
                <w:color w:val="auto"/>
                <w:kern w:val="0"/>
                <w:sz w:val="22"/>
                <w:szCs w:val="22"/>
                <w:highlight w:val="none"/>
              </w:rPr>
            </w:pPr>
          </w:p>
        </w:tc>
        <w:tc>
          <w:tcPr>
            <w:tcW w:w="1266" w:type="dxa"/>
            <w:vAlign w:val="bottom"/>
          </w:tcPr>
          <w:p>
            <w:pPr>
              <w:jc w:val="right"/>
              <w:rPr>
                <w:rFonts w:hint="default" w:ascii="Times New Roman" w:hAnsi="Times New Roman" w:eastAsia="等线" w:cs="Times New Roman"/>
                <w:color w:val="auto"/>
                <w:kern w:val="0"/>
                <w:sz w:val="22"/>
                <w:szCs w:val="22"/>
                <w:highlight w:val="none"/>
              </w:rPr>
            </w:pPr>
          </w:p>
        </w:tc>
        <w:tc>
          <w:tcPr>
            <w:tcW w:w="1206" w:type="dxa"/>
            <w:vAlign w:val="bottom"/>
          </w:tcPr>
          <w:p>
            <w:pPr>
              <w:jc w:val="right"/>
              <w:rPr>
                <w:rFonts w:hint="default" w:ascii="Times New Roman" w:hAnsi="Times New Roman" w:eastAsia="等线" w:cs="Times New Roman"/>
                <w:color w:val="auto"/>
                <w:kern w:val="0"/>
                <w:sz w:val="22"/>
                <w:szCs w:val="22"/>
                <w:highlight w:val="none"/>
              </w:rPr>
            </w:pPr>
          </w:p>
        </w:tc>
        <w:tc>
          <w:tcPr>
            <w:tcW w:w="1371" w:type="dxa"/>
            <w:vAlign w:val="center"/>
          </w:tcPr>
          <w:p>
            <w:pPr>
              <w:widowControl/>
              <w:ind w:right="-37"/>
              <w:jc w:val="right"/>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rPr>
              <w:t xml:space="preserve">2,116.13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3366"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 xml:space="preserve">     信用卡应收息</w:t>
            </w:r>
          </w:p>
        </w:tc>
        <w:tc>
          <w:tcPr>
            <w:tcW w:w="1371" w:type="dxa"/>
            <w:vAlign w:val="bottom"/>
          </w:tcPr>
          <w:p>
            <w:pPr>
              <w:jc w:val="right"/>
              <w:rPr>
                <w:rFonts w:hint="default" w:ascii="Times New Roman" w:hAnsi="Times New Roman" w:eastAsia="等线" w:cs="Times New Roman"/>
                <w:color w:val="auto"/>
                <w:kern w:val="0"/>
                <w:sz w:val="22"/>
                <w:szCs w:val="22"/>
                <w:highlight w:val="none"/>
              </w:rPr>
            </w:pPr>
          </w:p>
        </w:tc>
        <w:tc>
          <w:tcPr>
            <w:tcW w:w="1229" w:type="dxa"/>
            <w:vAlign w:val="bottom"/>
          </w:tcPr>
          <w:p>
            <w:pPr>
              <w:jc w:val="right"/>
              <w:rPr>
                <w:rFonts w:hint="default" w:ascii="Times New Roman" w:hAnsi="Times New Roman" w:eastAsia="等线" w:cs="Times New Roman"/>
                <w:color w:val="auto"/>
                <w:kern w:val="0"/>
                <w:sz w:val="22"/>
                <w:szCs w:val="22"/>
                <w:highlight w:val="none"/>
              </w:rPr>
            </w:pPr>
          </w:p>
        </w:tc>
        <w:tc>
          <w:tcPr>
            <w:tcW w:w="1206" w:type="dxa"/>
            <w:vAlign w:val="bottom"/>
          </w:tcPr>
          <w:p>
            <w:pPr>
              <w:jc w:val="right"/>
              <w:rPr>
                <w:rFonts w:hint="default" w:ascii="Times New Roman" w:hAnsi="Times New Roman" w:eastAsia="等线" w:cs="Times New Roman"/>
                <w:color w:val="auto"/>
                <w:kern w:val="0"/>
                <w:sz w:val="22"/>
                <w:szCs w:val="22"/>
                <w:highlight w:val="none"/>
              </w:rPr>
            </w:pPr>
          </w:p>
        </w:tc>
        <w:tc>
          <w:tcPr>
            <w:tcW w:w="1371" w:type="dxa"/>
            <w:vAlign w:val="center"/>
          </w:tcPr>
          <w:p>
            <w:pPr>
              <w:widowControl/>
              <w:ind w:right="-37"/>
              <w:jc w:val="right"/>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rPr>
              <w:t xml:space="preserve">19.22 </w:t>
            </w:r>
          </w:p>
        </w:tc>
        <w:tc>
          <w:tcPr>
            <w:tcW w:w="1371" w:type="dxa"/>
            <w:vAlign w:val="bottom"/>
          </w:tcPr>
          <w:p>
            <w:pPr>
              <w:jc w:val="right"/>
              <w:rPr>
                <w:rFonts w:hint="default" w:ascii="Times New Roman" w:hAnsi="Times New Roman" w:eastAsia="等线" w:cs="Times New Roman"/>
                <w:color w:val="auto"/>
                <w:kern w:val="0"/>
                <w:sz w:val="22"/>
                <w:szCs w:val="22"/>
                <w:highlight w:val="none"/>
              </w:rPr>
            </w:pPr>
          </w:p>
        </w:tc>
        <w:tc>
          <w:tcPr>
            <w:tcW w:w="1266" w:type="dxa"/>
            <w:vAlign w:val="bottom"/>
          </w:tcPr>
          <w:p>
            <w:pPr>
              <w:jc w:val="right"/>
              <w:rPr>
                <w:rFonts w:hint="default" w:ascii="Times New Roman" w:hAnsi="Times New Roman" w:eastAsia="等线" w:cs="Times New Roman"/>
                <w:color w:val="auto"/>
                <w:kern w:val="0"/>
                <w:sz w:val="22"/>
                <w:szCs w:val="22"/>
                <w:highlight w:val="none"/>
              </w:rPr>
            </w:pPr>
          </w:p>
        </w:tc>
        <w:tc>
          <w:tcPr>
            <w:tcW w:w="1206" w:type="dxa"/>
            <w:vAlign w:val="bottom"/>
          </w:tcPr>
          <w:p>
            <w:pPr>
              <w:jc w:val="right"/>
              <w:rPr>
                <w:rFonts w:hint="default" w:ascii="Times New Roman" w:hAnsi="Times New Roman" w:eastAsia="等线" w:cs="Times New Roman"/>
                <w:color w:val="auto"/>
                <w:kern w:val="0"/>
                <w:sz w:val="22"/>
                <w:szCs w:val="22"/>
                <w:highlight w:val="none"/>
              </w:rPr>
            </w:pPr>
          </w:p>
        </w:tc>
        <w:tc>
          <w:tcPr>
            <w:tcW w:w="1371" w:type="dxa"/>
            <w:vAlign w:val="center"/>
          </w:tcPr>
          <w:p>
            <w:pPr>
              <w:widowControl/>
              <w:ind w:right="-37"/>
              <w:jc w:val="right"/>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rPr>
              <w:t xml:space="preserve">21.65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3366"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 xml:space="preserve"> 减：贷款损失准备</w:t>
            </w:r>
          </w:p>
        </w:tc>
        <w:tc>
          <w:tcPr>
            <w:tcW w:w="1371" w:type="dxa"/>
            <w:vAlign w:val="bottom"/>
          </w:tcPr>
          <w:p>
            <w:pPr>
              <w:jc w:val="right"/>
              <w:rPr>
                <w:rFonts w:hint="default" w:ascii="Times New Roman" w:hAnsi="Times New Roman" w:eastAsia="等线" w:cs="Times New Roman"/>
                <w:color w:val="auto"/>
                <w:kern w:val="0"/>
                <w:sz w:val="22"/>
                <w:szCs w:val="22"/>
                <w:highlight w:val="none"/>
              </w:rPr>
            </w:pPr>
          </w:p>
        </w:tc>
        <w:tc>
          <w:tcPr>
            <w:tcW w:w="1229" w:type="dxa"/>
            <w:vAlign w:val="bottom"/>
          </w:tcPr>
          <w:p>
            <w:pPr>
              <w:jc w:val="right"/>
              <w:rPr>
                <w:rFonts w:hint="default" w:ascii="Times New Roman" w:hAnsi="Times New Roman" w:eastAsia="等线" w:cs="Times New Roman"/>
                <w:color w:val="auto"/>
                <w:kern w:val="0"/>
                <w:sz w:val="22"/>
                <w:szCs w:val="22"/>
                <w:highlight w:val="none"/>
              </w:rPr>
            </w:pPr>
          </w:p>
        </w:tc>
        <w:tc>
          <w:tcPr>
            <w:tcW w:w="1206" w:type="dxa"/>
            <w:vAlign w:val="bottom"/>
          </w:tcPr>
          <w:p>
            <w:pPr>
              <w:jc w:val="right"/>
              <w:rPr>
                <w:rFonts w:hint="default" w:ascii="Times New Roman" w:hAnsi="Times New Roman" w:eastAsia="等线" w:cs="Times New Roman"/>
                <w:color w:val="auto"/>
                <w:kern w:val="0"/>
                <w:sz w:val="22"/>
                <w:szCs w:val="22"/>
                <w:highlight w:val="none"/>
              </w:rPr>
            </w:pPr>
          </w:p>
        </w:tc>
        <w:tc>
          <w:tcPr>
            <w:tcW w:w="1371" w:type="dxa"/>
            <w:vAlign w:val="center"/>
          </w:tcPr>
          <w:p>
            <w:pPr>
              <w:widowControl/>
              <w:ind w:right="-37"/>
              <w:jc w:val="right"/>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46,569.11</w:t>
            </w:r>
          </w:p>
        </w:tc>
        <w:tc>
          <w:tcPr>
            <w:tcW w:w="1371" w:type="dxa"/>
            <w:vAlign w:val="bottom"/>
          </w:tcPr>
          <w:p>
            <w:pPr>
              <w:jc w:val="right"/>
              <w:rPr>
                <w:rFonts w:hint="default" w:ascii="Times New Roman" w:hAnsi="Times New Roman" w:eastAsia="等线" w:cs="Times New Roman"/>
                <w:color w:val="auto"/>
                <w:kern w:val="0"/>
                <w:sz w:val="22"/>
                <w:szCs w:val="22"/>
                <w:highlight w:val="none"/>
              </w:rPr>
            </w:pPr>
          </w:p>
        </w:tc>
        <w:tc>
          <w:tcPr>
            <w:tcW w:w="1266" w:type="dxa"/>
            <w:vAlign w:val="bottom"/>
          </w:tcPr>
          <w:p>
            <w:pPr>
              <w:jc w:val="right"/>
              <w:rPr>
                <w:rFonts w:hint="default" w:ascii="Times New Roman" w:hAnsi="Times New Roman" w:eastAsia="等线" w:cs="Times New Roman"/>
                <w:color w:val="auto"/>
                <w:kern w:val="0"/>
                <w:sz w:val="22"/>
                <w:szCs w:val="22"/>
                <w:highlight w:val="none"/>
              </w:rPr>
            </w:pPr>
          </w:p>
        </w:tc>
        <w:tc>
          <w:tcPr>
            <w:tcW w:w="1206" w:type="dxa"/>
            <w:vAlign w:val="bottom"/>
          </w:tcPr>
          <w:p>
            <w:pPr>
              <w:jc w:val="right"/>
              <w:rPr>
                <w:rFonts w:hint="default" w:ascii="Times New Roman" w:hAnsi="Times New Roman" w:eastAsia="等线" w:cs="Times New Roman"/>
                <w:color w:val="auto"/>
                <w:kern w:val="0"/>
                <w:sz w:val="22"/>
                <w:szCs w:val="22"/>
                <w:highlight w:val="none"/>
              </w:rPr>
            </w:pPr>
          </w:p>
        </w:tc>
        <w:tc>
          <w:tcPr>
            <w:tcW w:w="1371" w:type="dxa"/>
            <w:vAlign w:val="center"/>
          </w:tcPr>
          <w:p>
            <w:pPr>
              <w:widowControl/>
              <w:ind w:right="-37"/>
              <w:jc w:val="right"/>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47,371.15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3366"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 xml:space="preserve">     贴现利息调整</w:t>
            </w:r>
          </w:p>
        </w:tc>
        <w:tc>
          <w:tcPr>
            <w:tcW w:w="1371" w:type="dxa"/>
            <w:vAlign w:val="center"/>
          </w:tcPr>
          <w:p>
            <w:pPr>
              <w:rPr>
                <w:rFonts w:hint="default" w:ascii="Times New Roman" w:hAnsi="Times New Roman" w:eastAsia="等线" w:cs="Times New Roman"/>
                <w:color w:val="auto"/>
                <w:kern w:val="0"/>
                <w:sz w:val="22"/>
                <w:szCs w:val="22"/>
                <w:highlight w:val="none"/>
              </w:rPr>
            </w:pPr>
          </w:p>
        </w:tc>
        <w:tc>
          <w:tcPr>
            <w:tcW w:w="1229" w:type="dxa"/>
            <w:vAlign w:val="center"/>
          </w:tcPr>
          <w:p>
            <w:pPr>
              <w:rPr>
                <w:rFonts w:hint="default" w:ascii="Times New Roman" w:hAnsi="Times New Roman" w:eastAsia="等线" w:cs="Times New Roman"/>
                <w:color w:val="auto"/>
                <w:kern w:val="0"/>
                <w:sz w:val="22"/>
                <w:szCs w:val="22"/>
                <w:highlight w:val="none"/>
              </w:rPr>
            </w:pPr>
          </w:p>
        </w:tc>
        <w:tc>
          <w:tcPr>
            <w:tcW w:w="1206" w:type="dxa"/>
            <w:vAlign w:val="center"/>
          </w:tcPr>
          <w:p>
            <w:pPr>
              <w:rPr>
                <w:rFonts w:hint="default" w:ascii="Times New Roman" w:hAnsi="Times New Roman" w:eastAsia="等线" w:cs="Times New Roman"/>
                <w:color w:val="auto"/>
                <w:kern w:val="0"/>
                <w:sz w:val="22"/>
                <w:szCs w:val="22"/>
                <w:highlight w:val="none"/>
              </w:rPr>
            </w:pPr>
          </w:p>
        </w:tc>
        <w:tc>
          <w:tcPr>
            <w:tcW w:w="1371" w:type="dxa"/>
            <w:vAlign w:val="center"/>
          </w:tcPr>
          <w:p>
            <w:pPr>
              <w:widowControl/>
              <w:ind w:right="-37"/>
              <w:jc w:val="right"/>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194.45</w:t>
            </w:r>
          </w:p>
        </w:tc>
        <w:tc>
          <w:tcPr>
            <w:tcW w:w="1371" w:type="dxa"/>
            <w:vAlign w:val="center"/>
          </w:tcPr>
          <w:p>
            <w:pPr>
              <w:rPr>
                <w:rFonts w:hint="default" w:ascii="Times New Roman" w:hAnsi="Times New Roman" w:eastAsia="等线" w:cs="Times New Roman"/>
                <w:color w:val="auto"/>
                <w:kern w:val="0"/>
                <w:sz w:val="22"/>
                <w:szCs w:val="22"/>
                <w:highlight w:val="none"/>
              </w:rPr>
            </w:pPr>
          </w:p>
        </w:tc>
        <w:tc>
          <w:tcPr>
            <w:tcW w:w="1266" w:type="dxa"/>
            <w:vAlign w:val="center"/>
          </w:tcPr>
          <w:p>
            <w:pPr>
              <w:rPr>
                <w:rFonts w:hint="default" w:ascii="Times New Roman" w:hAnsi="Times New Roman" w:eastAsia="等线" w:cs="Times New Roman"/>
                <w:color w:val="auto"/>
                <w:kern w:val="0"/>
                <w:sz w:val="22"/>
                <w:szCs w:val="22"/>
                <w:highlight w:val="none"/>
              </w:rPr>
            </w:pPr>
          </w:p>
        </w:tc>
        <w:tc>
          <w:tcPr>
            <w:tcW w:w="1206" w:type="dxa"/>
            <w:vAlign w:val="center"/>
          </w:tcPr>
          <w:p>
            <w:pPr>
              <w:rPr>
                <w:rFonts w:hint="default" w:ascii="Times New Roman" w:hAnsi="Times New Roman" w:eastAsia="等线" w:cs="Times New Roman"/>
                <w:color w:val="auto"/>
                <w:kern w:val="0"/>
                <w:sz w:val="22"/>
                <w:szCs w:val="22"/>
                <w:highlight w:val="none"/>
              </w:rPr>
            </w:pPr>
          </w:p>
        </w:tc>
        <w:tc>
          <w:tcPr>
            <w:tcW w:w="1371" w:type="dxa"/>
            <w:vAlign w:val="center"/>
          </w:tcPr>
          <w:p>
            <w:pPr>
              <w:widowControl/>
              <w:ind w:right="-37"/>
              <w:jc w:val="right"/>
              <w:rPr>
                <w:rFonts w:hint="default" w:ascii="Times New Roman" w:hAnsi="Times New Roman"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88.71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3366"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拆放境内非存款类同业款坏账准备</w:t>
            </w:r>
          </w:p>
        </w:tc>
        <w:tc>
          <w:tcPr>
            <w:tcW w:w="1371" w:type="dxa"/>
            <w:vAlign w:val="center"/>
          </w:tcPr>
          <w:p>
            <w:pPr>
              <w:rPr>
                <w:rFonts w:hint="default" w:ascii="Times New Roman" w:hAnsi="Times New Roman" w:eastAsia="等线" w:cs="Times New Roman"/>
                <w:color w:val="auto"/>
                <w:kern w:val="0"/>
                <w:sz w:val="22"/>
                <w:szCs w:val="22"/>
                <w:highlight w:val="none"/>
              </w:rPr>
            </w:pPr>
          </w:p>
        </w:tc>
        <w:tc>
          <w:tcPr>
            <w:tcW w:w="1229" w:type="dxa"/>
            <w:vAlign w:val="center"/>
          </w:tcPr>
          <w:p>
            <w:pPr>
              <w:rPr>
                <w:rFonts w:hint="default" w:ascii="Times New Roman" w:hAnsi="Times New Roman" w:eastAsia="等线" w:cs="Times New Roman"/>
                <w:color w:val="auto"/>
                <w:kern w:val="0"/>
                <w:sz w:val="22"/>
                <w:szCs w:val="22"/>
                <w:highlight w:val="none"/>
              </w:rPr>
            </w:pPr>
          </w:p>
        </w:tc>
        <w:tc>
          <w:tcPr>
            <w:tcW w:w="1206" w:type="dxa"/>
            <w:vAlign w:val="center"/>
          </w:tcPr>
          <w:p>
            <w:pPr>
              <w:rPr>
                <w:rFonts w:hint="default" w:ascii="Times New Roman" w:hAnsi="Times New Roman" w:eastAsia="等线" w:cs="Times New Roman"/>
                <w:color w:val="auto"/>
                <w:kern w:val="0"/>
                <w:sz w:val="22"/>
                <w:szCs w:val="22"/>
                <w:highlight w:val="none"/>
              </w:rPr>
            </w:pPr>
          </w:p>
        </w:tc>
        <w:tc>
          <w:tcPr>
            <w:tcW w:w="1371" w:type="dxa"/>
            <w:vAlign w:val="center"/>
          </w:tcPr>
          <w:p>
            <w:pPr>
              <w:widowControl/>
              <w:ind w:right="-37"/>
              <w:jc w:val="right"/>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rPr>
              <w:t xml:space="preserve">2,400.02 </w:t>
            </w:r>
          </w:p>
        </w:tc>
        <w:tc>
          <w:tcPr>
            <w:tcW w:w="1371" w:type="dxa"/>
            <w:vAlign w:val="center"/>
          </w:tcPr>
          <w:p>
            <w:pPr>
              <w:rPr>
                <w:rFonts w:hint="default" w:ascii="Times New Roman" w:hAnsi="Times New Roman" w:eastAsia="等线" w:cs="Times New Roman"/>
                <w:color w:val="auto"/>
                <w:kern w:val="0"/>
                <w:sz w:val="22"/>
                <w:szCs w:val="22"/>
                <w:highlight w:val="none"/>
              </w:rPr>
            </w:pPr>
          </w:p>
        </w:tc>
        <w:tc>
          <w:tcPr>
            <w:tcW w:w="1266" w:type="dxa"/>
            <w:vAlign w:val="center"/>
          </w:tcPr>
          <w:p>
            <w:pPr>
              <w:rPr>
                <w:rFonts w:hint="default" w:ascii="Times New Roman" w:hAnsi="Times New Roman" w:eastAsia="等线" w:cs="Times New Roman"/>
                <w:color w:val="auto"/>
                <w:kern w:val="0"/>
                <w:sz w:val="22"/>
                <w:szCs w:val="22"/>
                <w:highlight w:val="none"/>
              </w:rPr>
            </w:pPr>
          </w:p>
        </w:tc>
        <w:tc>
          <w:tcPr>
            <w:tcW w:w="1206" w:type="dxa"/>
            <w:vAlign w:val="center"/>
          </w:tcPr>
          <w:p>
            <w:pPr>
              <w:rPr>
                <w:rFonts w:hint="default" w:ascii="Times New Roman" w:hAnsi="Times New Roman" w:eastAsia="等线" w:cs="Times New Roman"/>
                <w:color w:val="auto"/>
                <w:kern w:val="0"/>
                <w:sz w:val="22"/>
                <w:szCs w:val="22"/>
                <w:highlight w:val="none"/>
              </w:rPr>
            </w:pPr>
          </w:p>
        </w:tc>
        <w:tc>
          <w:tcPr>
            <w:tcW w:w="1371" w:type="dxa"/>
            <w:vAlign w:val="center"/>
          </w:tcPr>
          <w:p>
            <w:pPr>
              <w:widowControl/>
              <w:ind w:right="-37"/>
              <w:jc w:val="right"/>
              <w:rPr>
                <w:rFonts w:hint="default" w:ascii="Times New Roman" w:hAnsi="Times New Roman" w:cs="Times New Roman"/>
                <w:color w:val="auto"/>
                <w:kern w:val="0"/>
                <w:sz w:val="22"/>
                <w:szCs w:val="22"/>
                <w:highlight w:val="none"/>
              </w:rPr>
            </w:pPr>
            <w:r>
              <w:rPr>
                <w:rFonts w:hint="default" w:ascii="Times New Roman" w:hAnsi="Times New Roman" w:cs="Times New Roman"/>
                <w:color w:val="auto"/>
                <w:kern w:val="0"/>
                <w:sz w:val="22"/>
                <w:szCs w:val="22"/>
                <w:highlight w:val="none"/>
              </w:rPr>
              <w:t xml:space="preserve">1,920.02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3366"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贷款和垫款账面价值</w:t>
            </w:r>
          </w:p>
        </w:tc>
        <w:tc>
          <w:tcPr>
            <w:tcW w:w="1371" w:type="dxa"/>
            <w:vAlign w:val="center"/>
          </w:tcPr>
          <w:p>
            <w:pPr>
              <w:rPr>
                <w:rFonts w:hint="default" w:ascii="Times New Roman" w:hAnsi="Times New Roman" w:eastAsia="等线" w:cs="Times New Roman"/>
                <w:color w:val="auto"/>
                <w:kern w:val="0"/>
                <w:sz w:val="22"/>
                <w:szCs w:val="22"/>
                <w:highlight w:val="none"/>
              </w:rPr>
            </w:pPr>
          </w:p>
        </w:tc>
        <w:tc>
          <w:tcPr>
            <w:tcW w:w="1229" w:type="dxa"/>
            <w:vAlign w:val="center"/>
          </w:tcPr>
          <w:p>
            <w:pPr>
              <w:rPr>
                <w:rFonts w:hint="default" w:ascii="Times New Roman" w:hAnsi="Times New Roman" w:eastAsia="等线" w:cs="Times New Roman"/>
                <w:color w:val="auto"/>
                <w:kern w:val="0"/>
                <w:sz w:val="22"/>
                <w:szCs w:val="22"/>
                <w:highlight w:val="none"/>
              </w:rPr>
            </w:pPr>
          </w:p>
        </w:tc>
        <w:tc>
          <w:tcPr>
            <w:tcW w:w="1206" w:type="dxa"/>
            <w:vAlign w:val="center"/>
          </w:tcPr>
          <w:p>
            <w:pPr>
              <w:rPr>
                <w:rFonts w:hint="default" w:ascii="Times New Roman" w:hAnsi="Times New Roman" w:eastAsia="等线" w:cs="Times New Roman"/>
                <w:color w:val="auto"/>
                <w:kern w:val="0"/>
                <w:sz w:val="22"/>
                <w:szCs w:val="22"/>
                <w:highlight w:val="none"/>
              </w:rPr>
            </w:pPr>
          </w:p>
        </w:tc>
        <w:tc>
          <w:tcPr>
            <w:tcW w:w="1371" w:type="dxa"/>
            <w:vAlign w:val="center"/>
          </w:tcPr>
          <w:p>
            <w:pPr>
              <w:widowControl/>
              <w:ind w:right="-37"/>
              <w:jc w:val="right"/>
              <w:rPr>
                <w:rFonts w:hint="default" w:ascii="Times New Roman" w:hAnsi="Times New Roman" w:eastAsia="等线" w:cs="Times New Roman"/>
                <w:color w:val="auto"/>
                <w:kern w:val="0"/>
                <w:sz w:val="22"/>
                <w:szCs w:val="22"/>
                <w:highlight w:val="none"/>
              </w:rPr>
            </w:pPr>
            <w:r>
              <w:rPr>
                <w:rFonts w:hint="default" w:ascii="Times New Roman" w:hAnsi="Times New Roman" w:cs="Times New Roman"/>
                <w:color w:val="auto"/>
                <w:kern w:val="0"/>
                <w:sz w:val="22"/>
                <w:szCs w:val="22"/>
                <w:highlight w:val="none"/>
                <w:lang w:val="en-US" w:eastAsia="zh-CN"/>
              </w:rPr>
              <w:t>1,854,952.23</w:t>
            </w:r>
          </w:p>
        </w:tc>
        <w:tc>
          <w:tcPr>
            <w:tcW w:w="1371" w:type="dxa"/>
            <w:vAlign w:val="center"/>
          </w:tcPr>
          <w:p>
            <w:pPr>
              <w:rPr>
                <w:rFonts w:hint="default" w:ascii="Times New Roman" w:hAnsi="Times New Roman" w:eastAsia="等线" w:cs="Times New Roman"/>
                <w:color w:val="auto"/>
                <w:kern w:val="0"/>
                <w:sz w:val="22"/>
                <w:szCs w:val="22"/>
                <w:highlight w:val="none"/>
              </w:rPr>
            </w:pPr>
          </w:p>
        </w:tc>
        <w:tc>
          <w:tcPr>
            <w:tcW w:w="1266" w:type="dxa"/>
            <w:vAlign w:val="center"/>
          </w:tcPr>
          <w:p>
            <w:pPr>
              <w:rPr>
                <w:rFonts w:hint="default" w:ascii="Times New Roman" w:hAnsi="Times New Roman" w:eastAsia="等线" w:cs="Times New Roman"/>
                <w:color w:val="auto"/>
                <w:kern w:val="0"/>
                <w:sz w:val="22"/>
                <w:szCs w:val="22"/>
                <w:highlight w:val="none"/>
              </w:rPr>
            </w:pPr>
          </w:p>
        </w:tc>
        <w:tc>
          <w:tcPr>
            <w:tcW w:w="1206" w:type="dxa"/>
            <w:vAlign w:val="center"/>
          </w:tcPr>
          <w:p>
            <w:pPr>
              <w:rPr>
                <w:rFonts w:hint="default" w:ascii="Times New Roman" w:hAnsi="Times New Roman" w:eastAsia="等线" w:cs="Times New Roman"/>
                <w:color w:val="auto"/>
                <w:kern w:val="0"/>
                <w:sz w:val="22"/>
                <w:szCs w:val="22"/>
                <w:highlight w:val="none"/>
              </w:rPr>
            </w:pPr>
          </w:p>
        </w:tc>
        <w:tc>
          <w:tcPr>
            <w:tcW w:w="1371" w:type="dxa"/>
            <w:vAlign w:val="center"/>
          </w:tcPr>
          <w:p>
            <w:pPr>
              <w:widowControl/>
              <w:jc w:val="right"/>
              <w:textAlignment w:val="bottom"/>
              <w:rPr>
                <w:rFonts w:hint="default" w:ascii="Times New Roman" w:hAnsi="Times New Roman" w:cs="Times New Roman"/>
                <w:color w:val="auto"/>
                <w:kern w:val="0"/>
                <w:sz w:val="22"/>
                <w:szCs w:val="22"/>
                <w:highlight w:val="none"/>
                <w:lang w:val="en-US" w:eastAsia="zh-CN"/>
              </w:rPr>
            </w:pPr>
            <w:r>
              <w:rPr>
                <w:rFonts w:hint="default" w:ascii="Times New Roman" w:hAnsi="Times New Roman" w:cs="Times New Roman"/>
                <w:color w:val="auto"/>
                <w:kern w:val="0"/>
                <w:sz w:val="22"/>
                <w:szCs w:val="22"/>
                <w:highlight w:val="none"/>
              </w:rPr>
              <w:t>1</w:t>
            </w:r>
            <w:r>
              <w:rPr>
                <w:rFonts w:hint="default" w:ascii="Times New Roman" w:hAnsi="Times New Roman" w:cs="Times New Roman"/>
                <w:color w:val="auto"/>
                <w:kern w:val="0"/>
                <w:sz w:val="22"/>
                <w:szCs w:val="22"/>
                <w:highlight w:val="none"/>
                <w:lang w:val="en-US" w:eastAsia="zh-CN"/>
              </w:rPr>
              <w:t>,</w:t>
            </w:r>
            <w:r>
              <w:rPr>
                <w:rFonts w:hint="default" w:ascii="Times New Roman" w:hAnsi="Times New Roman" w:cs="Times New Roman"/>
                <w:color w:val="auto"/>
                <w:kern w:val="0"/>
                <w:sz w:val="22"/>
                <w:szCs w:val="22"/>
                <w:highlight w:val="none"/>
              </w:rPr>
              <w:t>721</w:t>
            </w:r>
            <w:r>
              <w:rPr>
                <w:rFonts w:hint="default" w:ascii="Times New Roman" w:hAnsi="Times New Roman" w:cs="Times New Roman"/>
                <w:color w:val="auto"/>
                <w:kern w:val="0"/>
                <w:sz w:val="22"/>
                <w:szCs w:val="22"/>
                <w:highlight w:val="none"/>
                <w:lang w:val="en-US" w:eastAsia="zh-CN"/>
              </w:rPr>
              <w:t>,</w:t>
            </w:r>
            <w:r>
              <w:rPr>
                <w:rFonts w:hint="default" w:ascii="Times New Roman" w:hAnsi="Times New Roman" w:cs="Times New Roman"/>
                <w:color w:val="auto"/>
                <w:kern w:val="0"/>
                <w:sz w:val="22"/>
                <w:szCs w:val="22"/>
                <w:highlight w:val="none"/>
              </w:rPr>
              <w:t>510.4</w:t>
            </w:r>
            <w:r>
              <w:rPr>
                <w:rFonts w:hint="default" w:ascii="Times New Roman" w:hAnsi="Times New Roman" w:cs="Times New Roman"/>
                <w:color w:val="auto"/>
                <w:kern w:val="0"/>
                <w:sz w:val="22"/>
                <w:szCs w:val="22"/>
                <w:highlight w:val="none"/>
                <w:lang w:val="en-US" w:eastAsia="zh-CN"/>
              </w:rPr>
              <w:t>4</w:t>
            </w:r>
          </w:p>
          <w:p>
            <w:pPr>
              <w:widowControl/>
              <w:ind w:right="-37"/>
              <w:jc w:val="both"/>
              <w:rPr>
                <w:rFonts w:hint="default" w:ascii="Times New Roman" w:hAnsi="Times New Roman" w:cs="Times New Roman"/>
                <w:color w:val="auto"/>
                <w:kern w:val="0"/>
                <w:sz w:val="22"/>
                <w:szCs w:val="22"/>
                <w:highlight w:val="none"/>
              </w:rPr>
            </w:pPr>
          </w:p>
        </w:tc>
      </w:tr>
    </w:tbl>
    <w:p>
      <w:pPr>
        <w:ind w:right="-37" w:firstLine="420" w:firstLineChars="200"/>
        <w:jc w:val="left"/>
        <w:outlineLvl w:val="2"/>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6.4 逾期贷款</w:t>
      </w:r>
    </w:p>
    <w:tbl>
      <w:tblPr>
        <w:tblStyle w:val="25"/>
        <w:tblW w:w="1423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86"/>
        <w:gridCol w:w="1322"/>
        <w:gridCol w:w="1623"/>
        <w:gridCol w:w="1459"/>
        <w:gridCol w:w="941"/>
        <w:gridCol w:w="1159"/>
        <w:gridCol w:w="1473"/>
        <w:gridCol w:w="1704"/>
        <w:gridCol w:w="1419"/>
        <w:gridCol w:w="859"/>
        <w:gridCol w:w="11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tblHeader/>
          <w:jc w:val="center"/>
        </w:trPr>
        <w:tc>
          <w:tcPr>
            <w:tcW w:w="1086" w:type="dxa"/>
            <w:vMerge w:val="restart"/>
            <w:vAlign w:val="center"/>
          </w:tcPr>
          <w:p>
            <w:pPr>
              <w:widowControl/>
              <w:ind w:right="-37"/>
              <w:jc w:val="center"/>
              <w:rPr>
                <w:rFonts w:hint="default" w:ascii="Times New Roman" w:hAnsi="Times New Roman" w:eastAsia="仿宋" w:cs="Times New Roman"/>
                <w:color w:val="auto"/>
                <w:kern w:val="0"/>
                <w:szCs w:val="21"/>
                <w:highlight w:val="none"/>
              </w:rPr>
            </w:pPr>
            <w:r>
              <w:rPr>
                <w:rFonts w:hint="default" w:ascii="Times New Roman" w:hAnsi="Times New Roman" w:eastAsia="仿宋_GB2312" w:cs="Times New Roman"/>
                <w:color w:val="auto"/>
                <w:kern w:val="0"/>
                <w:szCs w:val="21"/>
                <w:highlight w:val="none"/>
              </w:rPr>
              <w:t>项目</w:t>
            </w:r>
          </w:p>
        </w:tc>
        <w:tc>
          <w:tcPr>
            <w:tcW w:w="6504" w:type="dxa"/>
            <w:gridSpan w:val="5"/>
            <w:vAlign w:val="center"/>
          </w:tcPr>
          <w:p>
            <w:pPr>
              <w:widowControl/>
              <w:ind w:right="-37"/>
              <w:jc w:val="center"/>
              <w:rPr>
                <w:rFonts w:hint="default" w:ascii="Times New Roman" w:hAnsi="Times New Roman" w:eastAsia="仿宋" w:cs="Times New Roman"/>
                <w:color w:val="auto"/>
                <w:kern w:val="0"/>
                <w:szCs w:val="21"/>
                <w:highlight w:val="none"/>
                <w:lang w:val="en-US" w:eastAsia="zh-CN"/>
              </w:rPr>
            </w:pPr>
            <w:r>
              <w:rPr>
                <w:rFonts w:hint="default" w:ascii="Times New Roman" w:hAnsi="Times New Roman" w:eastAsia="等线" w:cs="Times New Roman"/>
                <w:color w:val="auto"/>
                <w:kern w:val="0"/>
                <w:szCs w:val="21"/>
                <w:highlight w:val="none"/>
                <w:lang w:val="en-US" w:eastAsia="zh-CN"/>
              </w:rPr>
              <w:t>2026-6-30</w:t>
            </w:r>
          </w:p>
        </w:tc>
        <w:tc>
          <w:tcPr>
            <w:tcW w:w="6646" w:type="dxa"/>
            <w:gridSpan w:val="5"/>
            <w:vAlign w:val="center"/>
          </w:tcPr>
          <w:p>
            <w:pPr>
              <w:widowControl/>
              <w:ind w:right="-37"/>
              <w:jc w:val="center"/>
              <w:rPr>
                <w:rFonts w:hint="default" w:ascii="Times New Roman" w:hAnsi="Times New Roman" w:eastAsia="仿宋" w:cs="Times New Roman"/>
                <w:color w:val="auto"/>
                <w:kern w:val="0"/>
                <w:szCs w:val="21"/>
                <w:highlight w:val="none"/>
                <w:lang w:val="en-US" w:eastAsia="zh-CN"/>
              </w:rPr>
            </w:pPr>
            <w:r>
              <w:rPr>
                <w:rFonts w:hint="default" w:ascii="Times New Roman" w:hAnsi="Times New Roman" w:eastAsia="仿宋" w:cs="Times New Roman"/>
                <w:color w:val="auto"/>
                <w:szCs w:val="21"/>
                <w:highlight w:val="none"/>
                <w:lang w:val="en-US" w:eastAsia="zh-CN"/>
              </w:rPr>
              <w:t>2025-12-31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tblHeader/>
          <w:jc w:val="center"/>
        </w:trPr>
        <w:tc>
          <w:tcPr>
            <w:tcW w:w="1086" w:type="dxa"/>
            <w:vMerge w:val="continue"/>
            <w:vAlign w:val="center"/>
          </w:tcPr>
          <w:p>
            <w:pPr>
              <w:rPr>
                <w:rFonts w:hint="default" w:ascii="Times New Roman" w:hAnsi="Times New Roman" w:cs="Times New Roman"/>
              </w:rPr>
            </w:pPr>
          </w:p>
        </w:tc>
        <w:tc>
          <w:tcPr>
            <w:tcW w:w="1322" w:type="dxa"/>
            <w:vAlign w:val="center"/>
          </w:tcPr>
          <w:p>
            <w:pPr>
              <w:widowControl/>
              <w:spacing w:line="240" w:lineRule="exact"/>
              <w:ind w:right="-37"/>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逾期1天至90天（含90天）</w:t>
            </w:r>
          </w:p>
        </w:tc>
        <w:tc>
          <w:tcPr>
            <w:tcW w:w="1623" w:type="dxa"/>
            <w:vAlign w:val="center"/>
          </w:tcPr>
          <w:p>
            <w:pPr>
              <w:widowControl/>
              <w:spacing w:line="240" w:lineRule="exact"/>
              <w:ind w:right="-37"/>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逾期90天至360天（含360天）</w:t>
            </w:r>
          </w:p>
        </w:tc>
        <w:tc>
          <w:tcPr>
            <w:tcW w:w="1459" w:type="dxa"/>
            <w:vAlign w:val="center"/>
          </w:tcPr>
          <w:p>
            <w:pPr>
              <w:widowControl/>
              <w:spacing w:line="240" w:lineRule="exact"/>
              <w:ind w:right="-37"/>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逾期360天至3年（含3年）</w:t>
            </w:r>
          </w:p>
        </w:tc>
        <w:tc>
          <w:tcPr>
            <w:tcW w:w="941" w:type="dxa"/>
            <w:vAlign w:val="center"/>
          </w:tcPr>
          <w:p>
            <w:pPr>
              <w:widowControl/>
              <w:spacing w:line="240" w:lineRule="exact"/>
              <w:ind w:right="-37"/>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逾期3年以上</w:t>
            </w:r>
          </w:p>
        </w:tc>
        <w:tc>
          <w:tcPr>
            <w:tcW w:w="1159" w:type="dxa"/>
            <w:vAlign w:val="center"/>
          </w:tcPr>
          <w:p>
            <w:pPr>
              <w:widowControl/>
              <w:spacing w:line="240" w:lineRule="exact"/>
              <w:ind w:right="-37"/>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合计</w:t>
            </w:r>
          </w:p>
        </w:tc>
        <w:tc>
          <w:tcPr>
            <w:tcW w:w="1473" w:type="dxa"/>
            <w:vAlign w:val="center"/>
          </w:tcPr>
          <w:p>
            <w:pPr>
              <w:widowControl/>
              <w:spacing w:line="240" w:lineRule="exact"/>
              <w:ind w:right="-37"/>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逾期1天至90天（含90天）</w:t>
            </w:r>
          </w:p>
        </w:tc>
        <w:tc>
          <w:tcPr>
            <w:tcW w:w="1704" w:type="dxa"/>
            <w:vAlign w:val="center"/>
          </w:tcPr>
          <w:p>
            <w:pPr>
              <w:widowControl/>
              <w:spacing w:line="240" w:lineRule="exact"/>
              <w:ind w:right="-37"/>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逾期90天至360天（含360天）</w:t>
            </w:r>
          </w:p>
        </w:tc>
        <w:tc>
          <w:tcPr>
            <w:tcW w:w="1419" w:type="dxa"/>
            <w:vAlign w:val="center"/>
          </w:tcPr>
          <w:p>
            <w:pPr>
              <w:widowControl/>
              <w:spacing w:line="240" w:lineRule="exact"/>
              <w:ind w:right="-37"/>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逾期360天至3年（含3年）</w:t>
            </w:r>
          </w:p>
        </w:tc>
        <w:tc>
          <w:tcPr>
            <w:tcW w:w="859" w:type="dxa"/>
            <w:vAlign w:val="center"/>
          </w:tcPr>
          <w:p>
            <w:pPr>
              <w:widowControl/>
              <w:spacing w:line="240" w:lineRule="exact"/>
              <w:ind w:right="-37"/>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逾期3年以上</w:t>
            </w:r>
          </w:p>
        </w:tc>
        <w:tc>
          <w:tcPr>
            <w:tcW w:w="1191" w:type="dxa"/>
            <w:vAlign w:val="center"/>
          </w:tcPr>
          <w:p>
            <w:pPr>
              <w:widowControl/>
              <w:spacing w:line="240" w:lineRule="exact"/>
              <w:ind w:right="-37"/>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合计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1086" w:type="dxa"/>
            <w:vAlign w:val="center"/>
          </w:tcPr>
          <w:p>
            <w:pPr>
              <w:widowControl/>
              <w:ind w:right="-37"/>
              <w:jc w:val="left"/>
              <w:rPr>
                <w:rFonts w:hint="default" w:ascii="Times New Roman" w:hAnsi="Times New Roman" w:eastAsia="仿宋_GB2312" w:cs="Times New Roman"/>
                <w:color w:val="auto"/>
                <w:kern w:val="0"/>
                <w:sz w:val="22"/>
                <w:szCs w:val="22"/>
                <w:highlight w:val="none"/>
              </w:rPr>
            </w:pPr>
            <w:r>
              <w:rPr>
                <w:rFonts w:hint="default" w:ascii="Times New Roman" w:hAnsi="Times New Roman" w:eastAsia="仿宋_GB2312" w:cs="Times New Roman"/>
                <w:color w:val="auto"/>
                <w:kern w:val="0"/>
                <w:sz w:val="22"/>
                <w:szCs w:val="22"/>
                <w:highlight w:val="none"/>
              </w:rPr>
              <w:t>信用贷款</w:t>
            </w:r>
          </w:p>
        </w:tc>
        <w:tc>
          <w:tcPr>
            <w:tcW w:w="1322"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lang w:val="en-US" w:eastAsia="zh-CN"/>
              </w:rPr>
              <w:t xml:space="preserve">2,556.28 </w:t>
            </w:r>
          </w:p>
        </w:tc>
        <w:tc>
          <w:tcPr>
            <w:tcW w:w="1623"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lang w:val="en-US" w:eastAsia="zh-CN"/>
              </w:rPr>
              <w:t xml:space="preserve">5,053.44 </w:t>
            </w:r>
          </w:p>
        </w:tc>
        <w:tc>
          <w:tcPr>
            <w:tcW w:w="1459"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lang w:val="en-US" w:eastAsia="zh-CN"/>
              </w:rPr>
              <w:t xml:space="preserve">4,431.36 </w:t>
            </w:r>
          </w:p>
        </w:tc>
        <w:tc>
          <w:tcPr>
            <w:tcW w:w="941"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lang w:val="en-US" w:eastAsia="zh-CN"/>
              </w:rPr>
              <w:t xml:space="preserve">16.85 </w:t>
            </w:r>
          </w:p>
        </w:tc>
        <w:tc>
          <w:tcPr>
            <w:tcW w:w="1159"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lang w:val="en-US" w:eastAsia="zh-CN"/>
              </w:rPr>
              <w:t xml:space="preserve">12,057.93 </w:t>
            </w:r>
          </w:p>
        </w:tc>
        <w:tc>
          <w:tcPr>
            <w:tcW w:w="1473"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3</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439.39</w:t>
            </w:r>
          </w:p>
        </w:tc>
        <w:tc>
          <w:tcPr>
            <w:tcW w:w="1704"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4</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658.31</w:t>
            </w:r>
          </w:p>
        </w:tc>
        <w:tc>
          <w:tcPr>
            <w:tcW w:w="1419"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2</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717.73</w:t>
            </w:r>
          </w:p>
        </w:tc>
        <w:tc>
          <w:tcPr>
            <w:tcW w:w="859"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10</w:t>
            </w:r>
            <w:r>
              <w:rPr>
                <w:rFonts w:hint="default" w:ascii="Times New Roman" w:hAnsi="Times New Roman" w:eastAsia="等线" w:cs="Times New Roman"/>
                <w:color w:val="auto"/>
                <w:kern w:val="0"/>
                <w:sz w:val="22"/>
                <w:szCs w:val="22"/>
                <w:highlight w:val="none"/>
                <w:lang w:val="en-US" w:eastAsia="zh-CN"/>
              </w:rPr>
              <w:t>.00</w:t>
            </w:r>
          </w:p>
        </w:tc>
        <w:tc>
          <w:tcPr>
            <w:tcW w:w="1191"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10</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825.43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1086" w:type="dxa"/>
            <w:vAlign w:val="center"/>
          </w:tcPr>
          <w:p>
            <w:pPr>
              <w:widowControl/>
              <w:ind w:right="-37"/>
              <w:jc w:val="left"/>
              <w:rPr>
                <w:rFonts w:hint="default" w:ascii="Times New Roman" w:hAnsi="Times New Roman" w:eastAsia="仿宋_GB2312" w:cs="Times New Roman"/>
                <w:color w:val="auto"/>
                <w:kern w:val="0"/>
                <w:sz w:val="22"/>
                <w:szCs w:val="22"/>
                <w:highlight w:val="none"/>
              </w:rPr>
            </w:pPr>
            <w:r>
              <w:rPr>
                <w:rFonts w:hint="default" w:ascii="Times New Roman" w:hAnsi="Times New Roman" w:eastAsia="仿宋_GB2312" w:cs="Times New Roman"/>
                <w:color w:val="auto"/>
                <w:kern w:val="0"/>
                <w:sz w:val="22"/>
                <w:szCs w:val="22"/>
                <w:highlight w:val="none"/>
              </w:rPr>
              <w:t>保证贷款</w:t>
            </w:r>
          </w:p>
        </w:tc>
        <w:tc>
          <w:tcPr>
            <w:tcW w:w="1322"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lang w:val="en-US" w:eastAsia="zh-CN"/>
              </w:rPr>
              <w:t xml:space="preserve">11,381.63 </w:t>
            </w:r>
          </w:p>
        </w:tc>
        <w:tc>
          <w:tcPr>
            <w:tcW w:w="1623"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lang w:val="en-US" w:eastAsia="zh-CN"/>
              </w:rPr>
              <w:t xml:space="preserve">6,924.23 </w:t>
            </w:r>
          </w:p>
        </w:tc>
        <w:tc>
          <w:tcPr>
            <w:tcW w:w="1459"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lang w:val="en-US" w:eastAsia="zh-CN"/>
              </w:rPr>
              <w:t xml:space="preserve">391.06 </w:t>
            </w:r>
          </w:p>
        </w:tc>
        <w:tc>
          <w:tcPr>
            <w:tcW w:w="941"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lang w:val="en-US" w:eastAsia="zh-CN"/>
              </w:rPr>
              <w:t xml:space="preserve">32.74 </w:t>
            </w:r>
          </w:p>
        </w:tc>
        <w:tc>
          <w:tcPr>
            <w:tcW w:w="1159"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lang w:val="en-US" w:eastAsia="zh-CN"/>
              </w:rPr>
              <w:t xml:space="preserve">18,729.66 </w:t>
            </w:r>
          </w:p>
        </w:tc>
        <w:tc>
          <w:tcPr>
            <w:tcW w:w="1473"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11</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412.14</w:t>
            </w:r>
          </w:p>
        </w:tc>
        <w:tc>
          <w:tcPr>
            <w:tcW w:w="1704"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4</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233.46</w:t>
            </w:r>
          </w:p>
        </w:tc>
        <w:tc>
          <w:tcPr>
            <w:tcW w:w="1419" w:type="dxa"/>
            <w:vAlign w:val="center"/>
          </w:tcPr>
          <w:p>
            <w:pPr>
              <w:widowControl/>
              <w:ind w:right="-37"/>
              <w:jc w:val="center"/>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lang w:val="en-US" w:eastAsia="zh-CN"/>
              </w:rPr>
              <w:t xml:space="preserve">     </w:t>
            </w:r>
            <w:r>
              <w:rPr>
                <w:rFonts w:hint="default" w:ascii="Times New Roman" w:hAnsi="Times New Roman" w:eastAsia="等线" w:cs="Times New Roman"/>
                <w:color w:val="auto"/>
                <w:kern w:val="0"/>
                <w:sz w:val="22"/>
                <w:szCs w:val="22"/>
                <w:highlight w:val="none"/>
              </w:rPr>
              <w:t>417.25</w:t>
            </w:r>
          </w:p>
        </w:tc>
        <w:tc>
          <w:tcPr>
            <w:tcW w:w="859"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37</w:t>
            </w:r>
            <w:r>
              <w:rPr>
                <w:rFonts w:hint="default" w:ascii="Times New Roman" w:hAnsi="Times New Roman" w:eastAsia="等线" w:cs="Times New Roman"/>
                <w:color w:val="auto"/>
                <w:kern w:val="0"/>
                <w:sz w:val="22"/>
                <w:szCs w:val="22"/>
                <w:highlight w:val="none"/>
                <w:lang w:val="en-US" w:eastAsia="zh-CN"/>
              </w:rPr>
              <w:t>.00</w:t>
            </w:r>
          </w:p>
        </w:tc>
        <w:tc>
          <w:tcPr>
            <w:tcW w:w="1191"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16</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099.85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1086" w:type="dxa"/>
            <w:vAlign w:val="center"/>
          </w:tcPr>
          <w:p>
            <w:pPr>
              <w:widowControl/>
              <w:ind w:right="-37"/>
              <w:jc w:val="left"/>
              <w:rPr>
                <w:rFonts w:hint="default" w:ascii="Times New Roman" w:hAnsi="Times New Roman" w:eastAsia="仿宋_GB2312" w:cs="Times New Roman"/>
                <w:color w:val="auto"/>
                <w:kern w:val="0"/>
                <w:sz w:val="22"/>
                <w:szCs w:val="22"/>
                <w:highlight w:val="none"/>
              </w:rPr>
            </w:pPr>
            <w:r>
              <w:rPr>
                <w:rFonts w:hint="default" w:ascii="Times New Roman" w:hAnsi="Times New Roman" w:eastAsia="仿宋_GB2312" w:cs="Times New Roman"/>
                <w:color w:val="auto"/>
                <w:kern w:val="0"/>
                <w:sz w:val="22"/>
                <w:szCs w:val="22"/>
                <w:highlight w:val="none"/>
              </w:rPr>
              <w:t>抵押贷款</w:t>
            </w:r>
          </w:p>
        </w:tc>
        <w:tc>
          <w:tcPr>
            <w:tcW w:w="1322"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lang w:val="en-US" w:eastAsia="zh-CN"/>
              </w:rPr>
              <w:t xml:space="preserve">16,643.34 </w:t>
            </w:r>
          </w:p>
        </w:tc>
        <w:tc>
          <w:tcPr>
            <w:tcW w:w="1623"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lang w:val="en-US" w:eastAsia="zh-CN"/>
              </w:rPr>
              <w:t xml:space="preserve">7,419.42 </w:t>
            </w:r>
          </w:p>
        </w:tc>
        <w:tc>
          <w:tcPr>
            <w:tcW w:w="1459"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lang w:val="en-US" w:eastAsia="zh-CN"/>
              </w:rPr>
              <w:t xml:space="preserve">268.07 </w:t>
            </w:r>
          </w:p>
        </w:tc>
        <w:tc>
          <w:tcPr>
            <w:tcW w:w="941"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lang w:val="en-US" w:eastAsia="zh-CN"/>
              </w:rPr>
              <w:t xml:space="preserve">15.66 </w:t>
            </w:r>
          </w:p>
        </w:tc>
        <w:tc>
          <w:tcPr>
            <w:tcW w:w="1159"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lang w:val="en-US" w:eastAsia="zh-CN"/>
              </w:rPr>
              <w:t xml:space="preserve">24,346.49 </w:t>
            </w:r>
          </w:p>
        </w:tc>
        <w:tc>
          <w:tcPr>
            <w:tcW w:w="1473"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13</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733.79</w:t>
            </w:r>
          </w:p>
        </w:tc>
        <w:tc>
          <w:tcPr>
            <w:tcW w:w="1704"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4</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917.42</w:t>
            </w:r>
          </w:p>
        </w:tc>
        <w:tc>
          <w:tcPr>
            <w:tcW w:w="1419"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1</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021.72</w:t>
            </w:r>
          </w:p>
        </w:tc>
        <w:tc>
          <w:tcPr>
            <w:tcW w:w="859"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27.48</w:t>
            </w:r>
          </w:p>
        </w:tc>
        <w:tc>
          <w:tcPr>
            <w:tcW w:w="1191"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19</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700.41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1086" w:type="dxa"/>
            <w:vAlign w:val="center"/>
          </w:tcPr>
          <w:p>
            <w:pPr>
              <w:widowControl/>
              <w:ind w:right="-37"/>
              <w:jc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仿宋_GB2312" w:cs="Times New Roman"/>
                <w:color w:val="auto"/>
                <w:kern w:val="0"/>
                <w:sz w:val="22"/>
                <w:szCs w:val="22"/>
                <w:highlight w:val="none"/>
              </w:rPr>
              <w:t>合计</w:t>
            </w:r>
          </w:p>
        </w:tc>
        <w:tc>
          <w:tcPr>
            <w:tcW w:w="1322"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lang w:val="en-US" w:eastAsia="zh-CN" w:bidi="ar-SA"/>
              </w:rPr>
              <w:t xml:space="preserve">30,581.25 </w:t>
            </w:r>
          </w:p>
        </w:tc>
        <w:tc>
          <w:tcPr>
            <w:tcW w:w="1623"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lang w:val="en-US" w:eastAsia="zh-CN" w:bidi="ar-SA"/>
              </w:rPr>
              <w:t xml:space="preserve">19,397.09 </w:t>
            </w:r>
          </w:p>
        </w:tc>
        <w:tc>
          <w:tcPr>
            <w:tcW w:w="1459"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lang w:val="en-US" w:eastAsia="zh-CN" w:bidi="ar-SA"/>
              </w:rPr>
              <w:t xml:space="preserve">5,090.49 </w:t>
            </w:r>
          </w:p>
        </w:tc>
        <w:tc>
          <w:tcPr>
            <w:tcW w:w="941"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lang w:val="en-US" w:eastAsia="zh-CN" w:bidi="ar-SA"/>
              </w:rPr>
              <w:t xml:space="preserve">65.25 </w:t>
            </w:r>
          </w:p>
        </w:tc>
        <w:tc>
          <w:tcPr>
            <w:tcW w:w="1159"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lang w:val="en-US" w:eastAsia="zh-CN" w:bidi="ar-SA"/>
              </w:rPr>
              <w:t xml:space="preserve">55,134.08 </w:t>
            </w:r>
          </w:p>
        </w:tc>
        <w:tc>
          <w:tcPr>
            <w:tcW w:w="1473"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28</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585.32</w:t>
            </w:r>
          </w:p>
        </w:tc>
        <w:tc>
          <w:tcPr>
            <w:tcW w:w="1704"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13</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809.19</w:t>
            </w:r>
          </w:p>
        </w:tc>
        <w:tc>
          <w:tcPr>
            <w:tcW w:w="1419"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4</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156.7</w:t>
            </w:r>
            <w:r>
              <w:rPr>
                <w:rFonts w:hint="default" w:ascii="Times New Roman" w:hAnsi="Times New Roman" w:eastAsia="等线" w:cs="Times New Roman"/>
                <w:color w:val="auto"/>
                <w:kern w:val="0"/>
                <w:sz w:val="22"/>
                <w:szCs w:val="22"/>
                <w:highlight w:val="none"/>
                <w:lang w:val="en-US" w:eastAsia="zh-CN"/>
              </w:rPr>
              <w:t>0</w:t>
            </w:r>
          </w:p>
        </w:tc>
        <w:tc>
          <w:tcPr>
            <w:tcW w:w="859"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74.48</w:t>
            </w:r>
          </w:p>
        </w:tc>
        <w:tc>
          <w:tcPr>
            <w:tcW w:w="1191" w:type="dxa"/>
            <w:vAlign w:val="center"/>
          </w:tcPr>
          <w:p>
            <w:pPr>
              <w:widowControl/>
              <w:ind w:right="-37"/>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等线" w:cs="Times New Roman"/>
                <w:color w:val="auto"/>
                <w:kern w:val="0"/>
                <w:sz w:val="22"/>
                <w:szCs w:val="22"/>
                <w:highlight w:val="none"/>
              </w:rPr>
              <w:t>46</w:t>
            </w:r>
            <w:r>
              <w:rPr>
                <w:rFonts w:hint="default" w:ascii="Times New Roman" w:hAnsi="Times New Roman" w:eastAsia="等线" w:cs="Times New Roman"/>
                <w:color w:val="auto"/>
                <w:kern w:val="0"/>
                <w:sz w:val="22"/>
                <w:szCs w:val="22"/>
                <w:highlight w:val="none"/>
                <w:lang w:val="en-US" w:eastAsia="zh-CN"/>
              </w:rPr>
              <w:t>,</w:t>
            </w:r>
            <w:r>
              <w:rPr>
                <w:rFonts w:hint="default" w:ascii="Times New Roman" w:hAnsi="Times New Roman" w:eastAsia="等线" w:cs="Times New Roman"/>
                <w:color w:val="auto"/>
                <w:kern w:val="0"/>
                <w:sz w:val="22"/>
                <w:szCs w:val="22"/>
                <w:highlight w:val="none"/>
              </w:rPr>
              <w:t>625.69</w:t>
            </w:r>
          </w:p>
        </w:tc>
      </w:tr>
    </w:tbl>
    <w:p>
      <w:pPr>
        <w:spacing w:line="480" w:lineRule="exact"/>
        <w:ind w:right="168" w:rightChars="80" w:firstLine="420" w:firstLineChars="200"/>
        <w:jc w:val="left"/>
        <w:outlineLvl w:val="3"/>
        <w:rPr>
          <w:rFonts w:hint="default" w:ascii="Times New Roman" w:hAnsi="Times New Roman" w:eastAsia="仿宋_GB2312" w:cs="Times New Roman"/>
          <w:bCs/>
          <w:color w:val="auto"/>
          <w:sz w:val="24"/>
          <w:szCs w:val="24"/>
          <w:highlight w:val="none"/>
        </w:rPr>
        <w:sectPr>
          <w:pgSz w:w="16838" w:h="11906" w:orient="landscape"/>
          <w:pgMar w:top="1287" w:right="1327" w:bottom="1287" w:left="1270" w:header="680" w:footer="680" w:gutter="0"/>
          <w:pgNumType w:fmt="numberInDash"/>
          <w:cols w:space="720" w:num="1"/>
          <w:docGrid w:type="linesAndChars" w:linePitch="312" w:charSpace="0"/>
        </w:sectPr>
      </w:pPr>
      <w:r>
        <w:rPr>
          <w:rFonts w:hint="default" w:ascii="Times New Roman" w:hAnsi="Times New Roman" w:eastAsia="仿宋_GB2312" w:cs="Times New Roman"/>
          <w:bCs/>
          <w:color w:val="auto"/>
          <w:szCs w:val="21"/>
          <w:highlight w:val="none"/>
        </w:rPr>
        <w:t>逾期贷款是指本金或利息逾期1天或以上的贷款。</w:t>
      </w:r>
    </w:p>
    <w:p>
      <w:pPr>
        <w:ind w:right="-40" w:firstLine="560" w:firstLineChars="200"/>
        <w:jc w:val="left"/>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6.5 贷款损失准备</w:t>
      </w:r>
    </w:p>
    <w:tbl>
      <w:tblPr>
        <w:tblStyle w:val="25"/>
        <w:tblW w:w="903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1"/>
        <w:gridCol w:w="3011"/>
        <w:gridCol w:w="30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3011"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3011" w:type="dxa"/>
            <w:vAlign w:val="center"/>
          </w:tcPr>
          <w:p>
            <w:pPr>
              <w:widowControl/>
              <w:ind w:right="-37"/>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2026-6-30</w:t>
            </w:r>
          </w:p>
        </w:tc>
        <w:tc>
          <w:tcPr>
            <w:tcW w:w="3014" w:type="dxa"/>
            <w:vAlign w:val="center"/>
          </w:tcPr>
          <w:p>
            <w:pPr>
              <w:widowControl/>
              <w:ind w:right="-37"/>
              <w:jc w:val="center"/>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2025-12-31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3011" w:type="dxa"/>
            <w:vAlign w:val="center"/>
          </w:tcPr>
          <w:p>
            <w:pPr>
              <w:widowControl/>
              <w:ind w:right="-37"/>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年初余额</w:t>
            </w:r>
          </w:p>
        </w:tc>
        <w:tc>
          <w:tcPr>
            <w:tcW w:w="3011"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47,371.15</w:t>
            </w:r>
          </w:p>
        </w:tc>
        <w:tc>
          <w:tcPr>
            <w:tcW w:w="3014"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cs="Times New Roman"/>
                <w:color w:val="auto"/>
                <w:kern w:val="0"/>
                <w:sz w:val="22"/>
                <w:highlight w:val="none"/>
              </w:rPr>
              <w:t>44,498.48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3011" w:type="dxa"/>
            <w:vAlign w:val="center"/>
          </w:tcPr>
          <w:p>
            <w:pPr>
              <w:widowControl/>
              <w:ind w:right="-37"/>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本年计提</w:t>
            </w:r>
          </w:p>
        </w:tc>
        <w:tc>
          <w:tcPr>
            <w:tcW w:w="3011"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15,883.96</w:t>
            </w:r>
          </w:p>
        </w:tc>
        <w:tc>
          <w:tcPr>
            <w:tcW w:w="3014"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cs="Times New Roman"/>
                <w:color w:val="auto"/>
                <w:kern w:val="0"/>
                <w:sz w:val="22"/>
                <w:highlight w:val="none"/>
              </w:rPr>
              <w:t>20,150.32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3011" w:type="dxa"/>
            <w:vAlign w:val="center"/>
          </w:tcPr>
          <w:p>
            <w:pPr>
              <w:widowControl/>
              <w:ind w:right="-37"/>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本年核销</w:t>
            </w:r>
          </w:p>
        </w:tc>
        <w:tc>
          <w:tcPr>
            <w:tcW w:w="3011"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20,344.74</w:t>
            </w:r>
          </w:p>
        </w:tc>
        <w:tc>
          <w:tcPr>
            <w:tcW w:w="3014"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cs="Times New Roman"/>
                <w:color w:val="auto"/>
                <w:kern w:val="0"/>
                <w:sz w:val="22"/>
                <w:highlight w:val="none"/>
              </w:rPr>
              <w:t>24,652.73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3011" w:type="dxa"/>
            <w:vAlign w:val="center"/>
          </w:tcPr>
          <w:p>
            <w:pPr>
              <w:widowControl/>
              <w:ind w:right="-37"/>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本年转入、转出</w:t>
            </w:r>
          </w:p>
        </w:tc>
        <w:tc>
          <w:tcPr>
            <w:tcW w:w="3011"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3,658.74</w:t>
            </w:r>
          </w:p>
        </w:tc>
        <w:tc>
          <w:tcPr>
            <w:tcW w:w="3014"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cs="Times New Roman"/>
                <w:color w:val="auto"/>
                <w:kern w:val="0"/>
                <w:sz w:val="22"/>
                <w:highlight w:val="none"/>
              </w:rPr>
              <w:t>7,375.08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3011" w:type="dxa"/>
            <w:vAlign w:val="center"/>
          </w:tcPr>
          <w:p>
            <w:pPr>
              <w:widowControl/>
              <w:ind w:right="-37"/>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年末余额</w:t>
            </w:r>
          </w:p>
        </w:tc>
        <w:tc>
          <w:tcPr>
            <w:tcW w:w="3011" w:type="dxa"/>
            <w:vAlign w:val="center"/>
          </w:tcPr>
          <w:p>
            <w:pPr>
              <w:keepNext w:val="0"/>
              <w:keepLines w:val="0"/>
              <w:widowControl/>
              <w:suppressLineNumbers w:val="0"/>
              <w:jc w:val="right"/>
              <w:textAlignment w:val="center"/>
              <w:rPr>
                <w:rFonts w:hint="default" w:ascii="Times New Roman" w:hAnsi="Times New Roman" w:cs="Times New Roman"/>
                <w:color w:val="auto"/>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46,569.11</w:t>
            </w:r>
          </w:p>
        </w:tc>
        <w:tc>
          <w:tcPr>
            <w:tcW w:w="3014"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cs="Times New Roman"/>
                <w:color w:val="auto"/>
                <w:kern w:val="0"/>
                <w:sz w:val="22"/>
                <w:highlight w:val="none"/>
              </w:rPr>
              <w:t>47,371.15</w:t>
            </w:r>
          </w:p>
        </w:tc>
      </w:tr>
    </w:tbl>
    <w:p>
      <w:pPr>
        <w:ind w:right="-40" w:firstLine="560" w:firstLineChars="200"/>
        <w:jc w:val="left"/>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6.6 贷款及垫款五级分类情况</w:t>
      </w:r>
    </w:p>
    <w:tbl>
      <w:tblPr>
        <w:tblStyle w:val="25"/>
        <w:tblW w:w="903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06"/>
        <w:gridCol w:w="1960"/>
        <w:gridCol w:w="1654"/>
        <w:gridCol w:w="1857"/>
        <w:gridCol w:w="17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1806" w:type="dxa"/>
            <w:vMerge w:val="restart"/>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五级分类</w:t>
            </w:r>
          </w:p>
        </w:tc>
        <w:tc>
          <w:tcPr>
            <w:tcW w:w="3614" w:type="dxa"/>
            <w:gridSpan w:val="2"/>
            <w:vAlign w:val="center"/>
          </w:tcPr>
          <w:p>
            <w:pPr>
              <w:widowControl/>
              <w:ind w:right="-37"/>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2026-6-30</w:t>
            </w:r>
          </w:p>
        </w:tc>
        <w:tc>
          <w:tcPr>
            <w:tcW w:w="3616" w:type="dxa"/>
            <w:gridSpan w:val="2"/>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lang w:val="en-US" w:eastAsia="zh-CN"/>
              </w:rPr>
              <w:t>2025</w:t>
            </w:r>
            <w:r>
              <w:rPr>
                <w:rFonts w:hint="default" w:ascii="Times New Roman" w:hAnsi="Times New Roman" w:eastAsia="仿宋_GB2312" w:cs="Times New Roman"/>
                <w:color w:val="auto"/>
                <w:kern w:val="0"/>
                <w:sz w:val="24"/>
                <w:szCs w:val="24"/>
                <w:highlight w:val="none"/>
              </w:rPr>
              <w:t>-12-31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1806" w:type="dxa"/>
            <w:vMerge w:val="continue"/>
            <w:vAlign w:val="center"/>
          </w:tcPr>
          <w:p>
            <w:pPr>
              <w:rPr>
                <w:rFonts w:hint="default" w:ascii="Times New Roman" w:hAnsi="Times New Roman" w:cs="Times New Roman"/>
              </w:rPr>
            </w:pPr>
          </w:p>
        </w:tc>
        <w:tc>
          <w:tcPr>
            <w:tcW w:w="1960"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金额</w:t>
            </w:r>
          </w:p>
        </w:tc>
        <w:tc>
          <w:tcPr>
            <w:tcW w:w="1654"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比例</w:t>
            </w:r>
          </w:p>
        </w:tc>
        <w:tc>
          <w:tcPr>
            <w:tcW w:w="1857"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金额</w:t>
            </w:r>
          </w:p>
        </w:tc>
        <w:tc>
          <w:tcPr>
            <w:tcW w:w="1759"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180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正常类</w:t>
            </w:r>
          </w:p>
        </w:tc>
        <w:tc>
          <w:tcPr>
            <w:tcW w:w="196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1,631,611.51</w:t>
            </w:r>
          </w:p>
        </w:tc>
        <w:tc>
          <w:tcPr>
            <w:tcW w:w="16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93.72 </w:t>
            </w:r>
          </w:p>
        </w:tc>
        <w:tc>
          <w:tcPr>
            <w:tcW w:w="1857"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1,551,268.68</w:t>
            </w:r>
          </w:p>
        </w:tc>
        <w:tc>
          <w:tcPr>
            <w:tcW w:w="1759"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94.64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180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关注类</w:t>
            </w:r>
          </w:p>
        </w:tc>
        <w:tc>
          <w:tcPr>
            <w:tcW w:w="196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84,682.05</w:t>
            </w:r>
          </w:p>
        </w:tc>
        <w:tc>
          <w:tcPr>
            <w:tcW w:w="16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4.86 </w:t>
            </w:r>
          </w:p>
        </w:tc>
        <w:tc>
          <w:tcPr>
            <w:tcW w:w="1857"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69,155.49</w:t>
            </w:r>
          </w:p>
        </w:tc>
        <w:tc>
          <w:tcPr>
            <w:tcW w:w="1759"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180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次级类</w:t>
            </w:r>
          </w:p>
        </w:tc>
        <w:tc>
          <w:tcPr>
            <w:tcW w:w="196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17,653.76</w:t>
            </w:r>
          </w:p>
        </w:tc>
        <w:tc>
          <w:tcPr>
            <w:tcW w:w="16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1.01 </w:t>
            </w:r>
          </w:p>
        </w:tc>
        <w:tc>
          <w:tcPr>
            <w:tcW w:w="1857"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12,081.49</w:t>
            </w:r>
          </w:p>
        </w:tc>
        <w:tc>
          <w:tcPr>
            <w:tcW w:w="1759"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0.74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180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可疑类</w:t>
            </w:r>
          </w:p>
        </w:tc>
        <w:tc>
          <w:tcPr>
            <w:tcW w:w="196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1,780.47</w:t>
            </w:r>
          </w:p>
        </w:tc>
        <w:tc>
          <w:tcPr>
            <w:tcW w:w="16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0.10 </w:t>
            </w:r>
          </w:p>
        </w:tc>
        <w:tc>
          <w:tcPr>
            <w:tcW w:w="1857"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2,197.85</w:t>
            </w:r>
          </w:p>
        </w:tc>
        <w:tc>
          <w:tcPr>
            <w:tcW w:w="1759"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0.13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180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损失类</w:t>
            </w:r>
          </w:p>
        </w:tc>
        <w:tc>
          <w:tcPr>
            <w:tcW w:w="196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5,449.14</w:t>
            </w:r>
          </w:p>
        </w:tc>
        <w:tc>
          <w:tcPr>
            <w:tcW w:w="16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0.31 </w:t>
            </w:r>
          </w:p>
        </w:tc>
        <w:tc>
          <w:tcPr>
            <w:tcW w:w="1857"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4,507.90</w:t>
            </w:r>
          </w:p>
        </w:tc>
        <w:tc>
          <w:tcPr>
            <w:tcW w:w="1759"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0.27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1806"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196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1,741,176.93</w:t>
            </w:r>
          </w:p>
        </w:tc>
        <w:tc>
          <w:tcPr>
            <w:tcW w:w="16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100.00 </w:t>
            </w:r>
          </w:p>
        </w:tc>
        <w:tc>
          <w:tcPr>
            <w:tcW w:w="1857"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1,639,211.41</w:t>
            </w:r>
          </w:p>
        </w:tc>
        <w:tc>
          <w:tcPr>
            <w:tcW w:w="1759"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100.00 </w:t>
            </w:r>
          </w:p>
        </w:tc>
      </w:tr>
    </w:tbl>
    <w:p>
      <w:pPr>
        <w:spacing w:line="480" w:lineRule="exact"/>
        <w:ind w:right="-37" w:firstLine="560" w:firstLineChars="200"/>
        <w:jc w:val="left"/>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6.7 期末前十名单户贷款客户明细</w:t>
      </w:r>
    </w:p>
    <w:p>
      <w:pPr>
        <w:ind w:right="-40" w:firstLine="560" w:firstLineChars="200"/>
        <w:outlineLvl w:val="3"/>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6.7.1  202</w:t>
      </w:r>
      <w:r>
        <w:rPr>
          <w:rFonts w:hint="default" w:ascii="Times New Roman" w:hAnsi="Times New Roman" w:eastAsia="仿宋_GB2312" w:cs="Times New Roman"/>
          <w:color w:val="auto"/>
          <w:sz w:val="28"/>
          <w:szCs w:val="28"/>
          <w:highlight w:val="none"/>
          <w:lang w:val="en-US" w:eastAsia="zh-CN"/>
        </w:rPr>
        <w:t>6</w:t>
      </w:r>
      <w:r>
        <w:rPr>
          <w:rFonts w:hint="default" w:ascii="Times New Roman" w:hAnsi="Times New Roman" w:eastAsia="仿宋_GB2312" w:cs="Times New Roman"/>
          <w:color w:val="auto"/>
          <w:sz w:val="28"/>
          <w:szCs w:val="28"/>
          <w:highlight w:val="none"/>
        </w:rPr>
        <w:t>年</w:t>
      </w:r>
      <w:r>
        <w:rPr>
          <w:rFonts w:hint="default" w:ascii="Times New Roman" w:hAnsi="Times New Roman" w:eastAsia="仿宋_GB2312" w:cs="Times New Roman"/>
          <w:color w:val="auto"/>
          <w:sz w:val="28"/>
          <w:szCs w:val="28"/>
          <w:highlight w:val="none"/>
          <w:lang w:val="en-US" w:eastAsia="zh-CN"/>
        </w:rPr>
        <w:t>6</w:t>
      </w:r>
      <w:r>
        <w:rPr>
          <w:rFonts w:hint="default" w:ascii="Times New Roman" w:hAnsi="Times New Roman" w:eastAsia="仿宋_GB2312" w:cs="Times New Roman"/>
          <w:color w:val="auto"/>
          <w:sz w:val="28"/>
          <w:szCs w:val="28"/>
          <w:highlight w:val="none"/>
        </w:rPr>
        <w:t>月3</w:t>
      </w:r>
      <w:r>
        <w:rPr>
          <w:rFonts w:hint="default" w:ascii="Times New Roman" w:hAnsi="Times New Roman" w:eastAsia="仿宋_GB2312" w:cs="Times New Roman"/>
          <w:color w:val="auto"/>
          <w:sz w:val="28"/>
          <w:szCs w:val="28"/>
          <w:highlight w:val="none"/>
          <w:lang w:val="en-US" w:eastAsia="zh-CN"/>
        </w:rPr>
        <w:t>0</w:t>
      </w:r>
      <w:r>
        <w:rPr>
          <w:rFonts w:hint="default" w:ascii="Times New Roman" w:hAnsi="Times New Roman" w:eastAsia="仿宋_GB2312" w:cs="Times New Roman"/>
          <w:color w:val="auto"/>
          <w:sz w:val="28"/>
          <w:szCs w:val="28"/>
          <w:highlight w:val="none"/>
        </w:rPr>
        <w:t>日贷款前十名</w:t>
      </w:r>
    </w:p>
    <w:tbl>
      <w:tblPr>
        <w:tblStyle w:val="25"/>
        <w:tblW w:w="9238"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14"/>
        <w:gridCol w:w="1901"/>
        <w:gridCol w:w="1350"/>
        <w:gridCol w:w="994"/>
        <w:gridCol w:w="77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4214"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客户</w:t>
            </w:r>
          </w:p>
        </w:tc>
        <w:tc>
          <w:tcPr>
            <w:tcW w:w="1901"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行业</w:t>
            </w:r>
          </w:p>
        </w:tc>
        <w:tc>
          <w:tcPr>
            <w:tcW w:w="1350"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贷款余额</w:t>
            </w:r>
          </w:p>
        </w:tc>
        <w:tc>
          <w:tcPr>
            <w:tcW w:w="994" w:type="dxa"/>
            <w:vAlign w:val="center"/>
          </w:tcPr>
          <w:p>
            <w:pPr>
              <w:widowControl/>
              <w:spacing w:line="240" w:lineRule="exact"/>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占贷款总额比例%</w:t>
            </w:r>
          </w:p>
        </w:tc>
        <w:tc>
          <w:tcPr>
            <w:tcW w:w="779"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五级</w:t>
            </w:r>
          </w:p>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分类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14"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南京高淳国有资产经营控股集团有限公司</w:t>
            </w:r>
          </w:p>
        </w:tc>
        <w:tc>
          <w:tcPr>
            <w:tcW w:w="1901"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租赁和商务服务业</w:t>
            </w:r>
          </w:p>
        </w:tc>
        <w:tc>
          <w:tcPr>
            <w:tcW w:w="1350"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20,000.00 </w:t>
            </w:r>
          </w:p>
        </w:tc>
        <w:tc>
          <w:tcPr>
            <w:tcW w:w="99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1.15</w:t>
            </w:r>
          </w:p>
        </w:tc>
        <w:tc>
          <w:tcPr>
            <w:tcW w:w="779"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正常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14"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江苏高淳国际慢城文化旅游产业投资集团有限公司</w:t>
            </w:r>
          </w:p>
        </w:tc>
        <w:tc>
          <w:tcPr>
            <w:tcW w:w="1901"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租赁和商务服务业</w:t>
            </w:r>
          </w:p>
        </w:tc>
        <w:tc>
          <w:tcPr>
            <w:tcW w:w="1350"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19,000.00 </w:t>
            </w:r>
          </w:p>
        </w:tc>
        <w:tc>
          <w:tcPr>
            <w:tcW w:w="99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1.09</w:t>
            </w:r>
          </w:p>
        </w:tc>
        <w:tc>
          <w:tcPr>
            <w:tcW w:w="779"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正常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14"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南京龙墩湖现代农业开发有限公司</w:t>
            </w:r>
          </w:p>
        </w:tc>
        <w:tc>
          <w:tcPr>
            <w:tcW w:w="1901"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农、林、牧、渔业</w:t>
            </w:r>
          </w:p>
        </w:tc>
        <w:tc>
          <w:tcPr>
            <w:tcW w:w="1350"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17,500.00 </w:t>
            </w:r>
          </w:p>
        </w:tc>
        <w:tc>
          <w:tcPr>
            <w:tcW w:w="99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1.01</w:t>
            </w:r>
          </w:p>
        </w:tc>
        <w:tc>
          <w:tcPr>
            <w:tcW w:w="779"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正常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14"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江苏高淳经济开发区开发集团有限公司</w:t>
            </w:r>
          </w:p>
        </w:tc>
        <w:tc>
          <w:tcPr>
            <w:tcW w:w="1901"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公共设施管理业</w:t>
            </w:r>
          </w:p>
        </w:tc>
        <w:tc>
          <w:tcPr>
            <w:tcW w:w="1350"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16,200.00 </w:t>
            </w:r>
          </w:p>
        </w:tc>
        <w:tc>
          <w:tcPr>
            <w:tcW w:w="99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0.93</w:t>
            </w:r>
          </w:p>
        </w:tc>
        <w:tc>
          <w:tcPr>
            <w:tcW w:w="779"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正常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14"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江苏迎湖现代渔业产业发展有限公司</w:t>
            </w:r>
          </w:p>
        </w:tc>
        <w:tc>
          <w:tcPr>
            <w:tcW w:w="1901"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农、林、牧、渔业</w:t>
            </w:r>
          </w:p>
        </w:tc>
        <w:tc>
          <w:tcPr>
            <w:tcW w:w="1350"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16,105.00 </w:t>
            </w:r>
          </w:p>
        </w:tc>
        <w:tc>
          <w:tcPr>
            <w:tcW w:w="99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0.92</w:t>
            </w:r>
          </w:p>
        </w:tc>
        <w:tc>
          <w:tcPr>
            <w:tcW w:w="779"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正常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14"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南京市高淳区建设发展集团有限公司</w:t>
            </w:r>
          </w:p>
        </w:tc>
        <w:tc>
          <w:tcPr>
            <w:tcW w:w="1901"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公共设施管理业</w:t>
            </w:r>
          </w:p>
        </w:tc>
        <w:tc>
          <w:tcPr>
            <w:tcW w:w="1350"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16,000.00 </w:t>
            </w:r>
          </w:p>
        </w:tc>
        <w:tc>
          <w:tcPr>
            <w:tcW w:w="99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0.92</w:t>
            </w:r>
          </w:p>
        </w:tc>
        <w:tc>
          <w:tcPr>
            <w:tcW w:w="779"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正常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14"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南京都市食品产业发展有限公司</w:t>
            </w:r>
          </w:p>
        </w:tc>
        <w:tc>
          <w:tcPr>
            <w:tcW w:w="1901"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批发和零售业</w:t>
            </w:r>
          </w:p>
        </w:tc>
        <w:tc>
          <w:tcPr>
            <w:tcW w:w="1350"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14,950.00 </w:t>
            </w:r>
          </w:p>
        </w:tc>
        <w:tc>
          <w:tcPr>
            <w:tcW w:w="99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0.86</w:t>
            </w:r>
          </w:p>
        </w:tc>
        <w:tc>
          <w:tcPr>
            <w:tcW w:w="779"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正常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14"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南京胥河现代农业发展有限公司</w:t>
            </w:r>
          </w:p>
        </w:tc>
        <w:tc>
          <w:tcPr>
            <w:tcW w:w="1901"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农、林、牧、渔业</w:t>
            </w:r>
          </w:p>
        </w:tc>
        <w:tc>
          <w:tcPr>
            <w:tcW w:w="1350"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14,750.00 </w:t>
            </w:r>
          </w:p>
        </w:tc>
        <w:tc>
          <w:tcPr>
            <w:tcW w:w="99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0.85</w:t>
            </w:r>
          </w:p>
        </w:tc>
        <w:tc>
          <w:tcPr>
            <w:tcW w:w="779"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正常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14"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南京市高淳区东坝城镇建设投资发展有限公司</w:t>
            </w:r>
          </w:p>
        </w:tc>
        <w:tc>
          <w:tcPr>
            <w:tcW w:w="1901"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租赁和商务服务业</w:t>
            </w:r>
          </w:p>
        </w:tc>
        <w:tc>
          <w:tcPr>
            <w:tcW w:w="1350"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14,560.00 </w:t>
            </w:r>
          </w:p>
        </w:tc>
        <w:tc>
          <w:tcPr>
            <w:tcW w:w="99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0.84</w:t>
            </w:r>
          </w:p>
        </w:tc>
        <w:tc>
          <w:tcPr>
            <w:tcW w:w="779"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正常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14"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南京淳科公交有限公司</w:t>
            </w:r>
          </w:p>
        </w:tc>
        <w:tc>
          <w:tcPr>
            <w:tcW w:w="1901"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交通运输、仓储和邮政业</w:t>
            </w:r>
          </w:p>
        </w:tc>
        <w:tc>
          <w:tcPr>
            <w:tcW w:w="1350"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14,168.00 </w:t>
            </w:r>
          </w:p>
        </w:tc>
        <w:tc>
          <w:tcPr>
            <w:tcW w:w="99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0.81</w:t>
            </w:r>
          </w:p>
        </w:tc>
        <w:tc>
          <w:tcPr>
            <w:tcW w:w="779"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正常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14" w:type="dxa"/>
            <w:vAlign w:val="bottom"/>
          </w:tcPr>
          <w:p>
            <w:pPr>
              <w:widowControl/>
              <w:jc w:val="center"/>
              <w:textAlignment w:val="bottom"/>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合计</w:t>
            </w:r>
          </w:p>
        </w:tc>
        <w:tc>
          <w:tcPr>
            <w:tcW w:w="1901" w:type="dxa"/>
            <w:vAlign w:val="bottom"/>
          </w:tcPr>
          <w:p>
            <w:pPr>
              <w:rPr>
                <w:rFonts w:hint="default" w:ascii="Times New Roman" w:hAnsi="Times New Roman" w:eastAsia="仿宋_GB2312" w:cs="Times New Roman"/>
                <w:color w:val="auto"/>
                <w:kern w:val="0"/>
                <w:sz w:val="24"/>
                <w:szCs w:val="24"/>
                <w:highlight w:val="none"/>
              </w:rPr>
            </w:pPr>
          </w:p>
        </w:tc>
        <w:tc>
          <w:tcPr>
            <w:tcW w:w="1350"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163,233.00 </w:t>
            </w:r>
          </w:p>
        </w:tc>
        <w:tc>
          <w:tcPr>
            <w:tcW w:w="99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9.3</w:t>
            </w:r>
            <w:r>
              <w:rPr>
                <w:rFonts w:hint="default" w:ascii="Times New Roman" w:hAnsi="Times New Roman" w:cs="Times New Roman"/>
                <w:i w:val="0"/>
                <w:color w:val="auto"/>
                <w:kern w:val="0"/>
                <w:sz w:val="22"/>
                <w:szCs w:val="22"/>
                <w:highlight w:val="none"/>
                <w:u w:val="none"/>
                <w:lang w:val="en-US" w:eastAsia="zh-CN"/>
              </w:rPr>
              <w:t>8</w:t>
            </w:r>
          </w:p>
        </w:tc>
        <w:tc>
          <w:tcPr>
            <w:tcW w:w="779" w:type="dxa"/>
            <w:vAlign w:val="bottom"/>
          </w:tcPr>
          <w:p>
            <w:pPr>
              <w:rPr>
                <w:rFonts w:hint="default" w:ascii="Times New Roman" w:hAnsi="Times New Roman" w:eastAsia="仿宋_GB2312" w:cs="Times New Roman"/>
                <w:color w:val="auto"/>
                <w:kern w:val="0"/>
                <w:sz w:val="24"/>
                <w:szCs w:val="24"/>
                <w:highlight w:val="none"/>
              </w:rPr>
            </w:pPr>
          </w:p>
        </w:tc>
      </w:tr>
    </w:tbl>
    <w:p>
      <w:pPr>
        <w:ind w:right="-40"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6.7.2  202</w:t>
      </w:r>
      <w:r>
        <w:rPr>
          <w:rFonts w:hint="default" w:ascii="Times New Roman" w:hAnsi="Times New Roman" w:eastAsia="仿宋_GB2312" w:cs="Times New Roman"/>
          <w:color w:val="auto"/>
          <w:sz w:val="28"/>
          <w:szCs w:val="28"/>
          <w:highlight w:val="none"/>
          <w:lang w:val="en-US" w:eastAsia="zh-CN"/>
        </w:rPr>
        <w:t>5</w:t>
      </w:r>
      <w:r>
        <w:rPr>
          <w:rFonts w:hint="default" w:ascii="Times New Roman" w:hAnsi="Times New Roman" w:eastAsia="仿宋_GB2312" w:cs="Times New Roman"/>
          <w:color w:val="auto"/>
          <w:sz w:val="28"/>
          <w:szCs w:val="28"/>
          <w:highlight w:val="none"/>
        </w:rPr>
        <w:t>年12月31日贷款前十名</w:t>
      </w:r>
    </w:p>
    <w:tbl>
      <w:tblPr>
        <w:tblStyle w:val="25"/>
        <w:tblW w:w="908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762"/>
        <w:gridCol w:w="2164"/>
        <w:gridCol w:w="1354"/>
        <w:gridCol w:w="910"/>
        <w:gridCol w:w="8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3762"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客户</w:t>
            </w:r>
          </w:p>
        </w:tc>
        <w:tc>
          <w:tcPr>
            <w:tcW w:w="2164"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行业</w:t>
            </w:r>
          </w:p>
        </w:tc>
        <w:tc>
          <w:tcPr>
            <w:tcW w:w="1354"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贷款余额</w:t>
            </w:r>
          </w:p>
        </w:tc>
        <w:tc>
          <w:tcPr>
            <w:tcW w:w="910" w:type="dxa"/>
            <w:vAlign w:val="center"/>
          </w:tcPr>
          <w:p>
            <w:pPr>
              <w:widowControl/>
              <w:spacing w:line="240" w:lineRule="exact"/>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占贷款总额比例</w:t>
            </w:r>
            <w:r>
              <w:rPr>
                <w:rFonts w:hint="default" w:ascii="Times New Roman" w:hAnsi="Times New Roman" w:eastAsia="仿宋_GB2312" w:cs="Times New Roman"/>
                <w:color w:val="auto"/>
                <w:sz w:val="24"/>
                <w:szCs w:val="24"/>
                <w:highlight w:val="none"/>
              </w:rPr>
              <w:t>%</w:t>
            </w:r>
          </w:p>
        </w:tc>
        <w:tc>
          <w:tcPr>
            <w:tcW w:w="894" w:type="dxa"/>
            <w:vAlign w:val="center"/>
          </w:tcPr>
          <w:p>
            <w:pPr>
              <w:widowControl/>
              <w:spacing w:line="240" w:lineRule="exact"/>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五级分类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762"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江苏高淳国际慢城文化旅游产业投资集团有限公司</w:t>
            </w:r>
          </w:p>
        </w:tc>
        <w:tc>
          <w:tcPr>
            <w:tcW w:w="2164"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租赁和商务服务业</w:t>
            </w:r>
          </w:p>
        </w:tc>
        <w:tc>
          <w:tcPr>
            <w:tcW w:w="1354"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 19,000.00 </w:t>
            </w:r>
          </w:p>
        </w:tc>
        <w:tc>
          <w:tcPr>
            <w:tcW w:w="910"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1.16 </w:t>
            </w:r>
          </w:p>
        </w:tc>
        <w:tc>
          <w:tcPr>
            <w:tcW w:w="894"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正常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762"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南京龙墩湖现代农业开发有限公司</w:t>
            </w:r>
          </w:p>
        </w:tc>
        <w:tc>
          <w:tcPr>
            <w:tcW w:w="2164"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农、林、牧、渔业</w:t>
            </w:r>
          </w:p>
        </w:tc>
        <w:tc>
          <w:tcPr>
            <w:tcW w:w="1354"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 18,500.00 </w:t>
            </w:r>
          </w:p>
        </w:tc>
        <w:tc>
          <w:tcPr>
            <w:tcW w:w="910"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1.13 </w:t>
            </w:r>
          </w:p>
        </w:tc>
        <w:tc>
          <w:tcPr>
            <w:tcW w:w="894"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正常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762"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江苏迎湖现代渔业产业发展有限公司</w:t>
            </w:r>
          </w:p>
        </w:tc>
        <w:tc>
          <w:tcPr>
            <w:tcW w:w="2164"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农、林、牧、渔业</w:t>
            </w:r>
          </w:p>
        </w:tc>
        <w:tc>
          <w:tcPr>
            <w:tcW w:w="1354"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 16,548.00 </w:t>
            </w:r>
          </w:p>
        </w:tc>
        <w:tc>
          <w:tcPr>
            <w:tcW w:w="910"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1.01 </w:t>
            </w:r>
          </w:p>
        </w:tc>
        <w:tc>
          <w:tcPr>
            <w:tcW w:w="894"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正常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762"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江苏高淳经济开发区开发集团有限公司</w:t>
            </w:r>
          </w:p>
        </w:tc>
        <w:tc>
          <w:tcPr>
            <w:tcW w:w="2164"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公共设施管理业</w:t>
            </w:r>
          </w:p>
        </w:tc>
        <w:tc>
          <w:tcPr>
            <w:tcW w:w="1354"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 16,200.00 </w:t>
            </w:r>
          </w:p>
        </w:tc>
        <w:tc>
          <w:tcPr>
            <w:tcW w:w="910"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0.99 </w:t>
            </w:r>
          </w:p>
        </w:tc>
        <w:tc>
          <w:tcPr>
            <w:tcW w:w="894"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正常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762"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南京胥河现代农业发展有限公司</w:t>
            </w:r>
          </w:p>
        </w:tc>
        <w:tc>
          <w:tcPr>
            <w:tcW w:w="2164"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农、林、牧、渔业</w:t>
            </w:r>
          </w:p>
        </w:tc>
        <w:tc>
          <w:tcPr>
            <w:tcW w:w="1354"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 14,900.00 </w:t>
            </w:r>
          </w:p>
        </w:tc>
        <w:tc>
          <w:tcPr>
            <w:tcW w:w="910"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0.91 </w:t>
            </w:r>
          </w:p>
        </w:tc>
        <w:tc>
          <w:tcPr>
            <w:tcW w:w="894"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正常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762"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南京市高淳区建设发展集团产业投资有限公司</w:t>
            </w:r>
          </w:p>
        </w:tc>
        <w:tc>
          <w:tcPr>
            <w:tcW w:w="2164"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建筑业</w:t>
            </w:r>
          </w:p>
        </w:tc>
        <w:tc>
          <w:tcPr>
            <w:tcW w:w="1354"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 14,000.00 </w:t>
            </w:r>
          </w:p>
        </w:tc>
        <w:tc>
          <w:tcPr>
            <w:tcW w:w="910"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0.85 </w:t>
            </w:r>
          </w:p>
        </w:tc>
        <w:tc>
          <w:tcPr>
            <w:tcW w:w="894"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正常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762"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南京三条垄文化旅游发展有限公司</w:t>
            </w:r>
          </w:p>
        </w:tc>
        <w:tc>
          <w:tcPr>
            <w:tcW w:w="2164"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文化、体育和娱乐业</w:t>
            </w:r>
          </w:p>
        </w:tc>
        <w:tc>
          <w:tcPr>
            <w:tcW w:w="1354"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 13,930.20 </w:t>
            </w:r>
          </w:p>
        </w:tc>
        <w:tc>
          <w:tcPr>
            <w:tcW w:w="910"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0.85 </w:t>
            </w:r>
          </w:p>
        </w:tc>
        <w:tc>
          <w:tcPr>
            <w:tcW w:w="894"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正常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762"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南京桠溪慢城产业园发展有限公司</w:t>
            </w:r>
          </w:p>
        </w:tc>
        <w:tc>
          <w:tcPr>
            <w:tcW w:w="2164"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建筑业</w:t>
            </w:r>
          </w:p>
        </w:tc>
        <w:tc>
          <w:tcPr>
            <w:tcW w:w="1354"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 13,600.00 </w:t>
            </w:r>
          </w:p>
        </w:tc>
        <w:tc>
          <w:tcPr>
            <w:tcW w:w="910"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0.83 </w:t>
            </w:r>
          </w:p>
        </w:tc>
        <w:tc>
          <w:tcPr>
            <w:tcW w:w="894"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正常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762"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南京冠盛汽配有限公司</w:t>
            </w:r>
          </w:p>
        </w:tc>
        <w:tc>
          <w:tcPr>
            <w:tcW w:w="2164"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制造业</w:t>
            </w:r>
          </w:p>
        </w:tc>
        <w:tc>
          <w:tcPr>
            <w:tcW w:w="1354"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 12,250.00 </w:t>
            </w:r>
          </w:p>
        </w:tc>
        <w:tc>
          <w:tcPr>
            <w:tcW w:w="910"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0.75 </w:t>
            </w:r>
          </w:p>
        </w:tc>
        <w:tc>
          <w:tcPr>
            <w:tcW w:w="894"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正常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762"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南京创源动力科技有限公司</w:t>
            </w:r>
          </w:p>
        </w:tc>
        <w:tc>
          <w:tcPr>
            <w:tcW w:w="2164"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科学研究和技术服务业</w:t>
            </w:r>
          </w:p>
        </w:tc>
        <w:tc>
          <w:tcPr>
            <w:tcW w:w="1354"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 11,600.00 </w:t>
            </w:r>
          </w:p>
        </w:tc>
        <w:tc>
          <w:tcPr>
            <w:tcW w:w="910"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0.71 </w:t>
            </w:r>
          </w:p>
        </w:tc>
        <w:tc>
          <w:tcPr>
            <w:tcW w:w="894"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正常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50" w:hRule="atLeast"/>
          <w:jc w:val="center"/>
        </w:trPr>
        <w:tc>
          <w:tcPr>
            <w:tcW w:w="3762" w:type="dxa"/>
            <w:vAlign w:val="bottom"/>
          </w:tcPr>
          <w:p>
            <w:pPr>
              <w:widowControl/>
              <w:jc w:val="center"/>
              <w:textAlignment w:val="bottom"/>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合计</w:t>
            </w:r>
          </w:p>
        </w:tc>
        <w:tc>
          <w:tcPr>
            <w:tcW w:w="2164" w:type="dxa"/>
            <w:vAlign w:val="bottom"/>
          </w:tcPr>
          <w:p>
            <w:pPr>
              <w:rPr>
                <w:rFonts w:hint="default" w:ascii="Times New Roman" w:hAnsi="Times New Roman" w:eastAsia="仿宋_GB2312" w:cs="Times New Roman"/>
                <w:color w:val="auto"/>
                <w:sz w:val="24"/>
                <w:szCs w:val="24"/>
                <w:highlight w:val="none"/>
              </w:rPr>
            </w:pPr>
          </w:p>
        </w:tc>
        <w:tc>
          <w:tcPr>
            <w:tcW w:w="1354"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 150,528.20 </w:t>
            </w:r>
          </w:p>
        </w:tc>
        <w:tc>
          <w:tcPr>
            <w:tcW w:w="910"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9.19 </w:t>
            </w:r>
          </w:p>
        </w:tc>
        <w:tc>
          <w:tcPr>
            <w:tcW w:w="894" w:type="dxa"/>
            <w:vAlign w:val="bottom"/>
          </w:tcPr>
          <w:p>
            <w:pPr>
              <w:rPr>
                <w:rFonts w:hint="default" w:ascii="Times New Roman" w:hAnsi="Times New Roman" w:eastAsia="仿宋_GB2312" w:cs="Times New Roman"/>
                <w:color w:val="auto"/>
                <w:kern w:val="0"/>
                <w:sz w:val="24"/>
                <w:szCs w:val="24"/>
                <w:highlight w:val="none"/>
              </w:rPr>
            </w:pPr>
          </w:p>
        </w:tc>
      </w:tr>
    </w:tbl>
    <w:p>
      <w:pPr>
        <w:spacing w:line="480" w:lineRule="exact"/>
        <w:ind w:right="-37" w:firstLine="560" w:firstLineChars="200"/>
        <w:jc w:val="left"/>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6.8期末前十名集团客户贷款明细</w:t>
      </w:r>
    </w:p>
    <w:p>
      <w:pPr>
        <w:ind w:right="-37" w:firstLine="560" w:firstLineChars="200"/>
        <w:outlineLvl w:val="3"/>
        <w:rPr>
          <w:rFonts w:hint="default" w:ascii="Times New Roman" w:hAnsi="Times New Roman" w:cs="Times New Roman"/>
          <w:color w:val="auto"/>
          <w:highlight w:val="none"/>
        </w:rPr>
      </w:pPr>
      <w:r>
        <w:rPr>
          <w:rFonts w:hint="default" w:ascii="Times New Roman" w:hAnsi="Times New Roman" w:eastAsia="仿宋_GB2312" w:cs="Times New Roman"/>
          <w:color w:val="auto"/>
          <w:sz w:val="28"/>
          <w:szCs w:val="28"/>
          <w:highlight w:val="none"/>
        </w:rPr>
        <w:t>6.8.1  202</w:t>
      </w:r>
      <w:r>
        <w:rPr>
          <w:rFonts w:hint="default" w:ascii="Times New Roman" w:hAnsi="Times New Roman" w:eastAsia="仿宋_GB2312" w:cs="Times New Roman"/>
          <w:color w:val="auto"/>
          <w:sz w:val="28"/>
          <w:szCs w:val="28"/>
          <w:highlight w:val="none"/>
          <w:lang w:val="en-US" w:eastAsia="zh-CN"/>
        </w:rPr>
        <w:t>6</w:t>
      </w:r>
      <w:r>
        <w:rPr>
          <w:rFonts w:hint="default" w:ascii="Times New Roman" w:hAnsi="Times New Roman" w:eastAsia="仿宋_GB2312" w:cs="Times New Roman"/>
          <w:color w:val="auto"/>
          <w:sz w:val="28"/>
          <w:szCs w:val="28"/>
          <w:highlight w:val="none"/>
        </w:rPr>
        <w:t>年</w:t>
      </w:r>
      <w:r>
        <w:rPr>
          <w:rFonts w:hint="default" w:ascii="Times New Roman" w:hAnsi="Times New Roman" w:eastAsia="仿宋_GB2312" w:cs="Times New Roman"/>
          <w:color w:val="auto"/>
          <w:sz w:val="28"/>
          <w:szCs w:val="28"/>
          <w:highlight w:val="none"/>
          <w:lang w:val="en-US" w:eastAsia="zh-CN"/>
        </w:rPr>
        <w:t>6</w:t>
      </w:r>
      <w:r>
        <w:rPr>
          <w:rFonts w:hint="default" w:ascii="Times New Roman" w:hAnsi="Times New Roman" w:eastAsia="仿宋_GB2312" w:cs="Times New Roman"/>
          <w:color w:val="auto"/>
          <w:sz w:val="28"/>
          <w:szCs w:val="28"/>
          <w:highlight w:val="none"/>
        </w:rPr>
        <w:t>月3</w:t>
      </w:r>
      <w:r>
        <w:rPr>
          <w:rFonts w:hint="default" w:ascii="Times New Roman" w:hAnsi="Times New Roman" w:eastAsia="仿宋_GB2312" w:cs="Times New Roman"/>
          <w:color w:val="auto"/>
          <w:sz w:val="28"/>
          <w:szCs w:val="28"/>
          <w:highlight w:val="none"/>
          <w:lang w:val="en-US" w:eastAsia="zh-CN"/>
        </w:rPr>
        <w:t>0</w:t>
      </w:r>
      <w:r>
        <w:rPr>
          <w:rFonts w:hint="default" w:ascii="Times New Roman" w:hAnsi="Times New Roman" w:eastAsia="仿宋_GB2312" w:cs="Times New Roman"/>
          <w:color w:val="auto"/>
          <w:sz w:val="28"/>
          <w:szCs w:val="28"/>
          <w:highlight w:val="none"/>
        </w:rPr>
        <w:t>日前十名集团客户贷款情况</w:t>
      </w:r>
    </w:p>
    <w:tbl>
      <w:tblPr>
        <w:tblStyle w:val="25"/>
        <w:tblW w:w="903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39"/>
        <w:gridCol w:w="2243"/>
        <w:gridCol w:w="25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blHeader/>
          <w:jc w:val="center"/>
        </w:trPr>
        <w:tc>
          <w:tcPr>
            <w:tcW w:w="4239" w:type="dxa"/>
            <w:vAlign w:val="center"/>
          </w:tcPr>
          <w:p>
            <w:pPr>
              <w:ind w:right="-37"/>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集团客户</w:t>
            </w:r>
          </w:p>
        </w:tc>
        <w:tc>
          <w:tcPr>
            <w:tcW w:w="2243" w:type="dxa"/>
            <w:vAlign w:val="center"/>
          </w:tcPr>
          <w:p>
            <w:pPr>
              <w:ind w:right="-37"/>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贷款余额</w:t>
            </w:r>
          </w:p>
        </w:tc>
        <w:tc>
          <w:tcPr>
            <w:tcW w:w="2554" w:type="dxa"/>
            <w:vAlign w:val="center"/>
          </w:tcPr>
          <w:p>
            <w:pPr>
              <w:ind w:right="-37"/>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占贷款总额比例%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239"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南京胥河现代农业发展有限公司</w:t>
            </w:r>
          </w:p>
        </w:tc>
        <w:tc>
          <w:tcPr>
            <w:tcW w:w="2243"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28,670.30 </w:t>
            </w:r>
          </w:p>
        </w:tc>
        <w:tc>
          <w:tcPr>
            <w:tcW w:w="255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1.65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239"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南京枕松酒店有限公司</w:t>
            </w:r>
          </w:p>
        </w:tc>
        <w:tc>
          <w:tcPr>
            <w:tcW w:w="2243"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21,890.00 </w:t>
            </w:r>
          </w:p>
        </w:tc>
        <w:tc>
          <w:tcPr>
            <w:tcW w:w="255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1.26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239"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南京高职园开发建设有限公司</w:t>
            </w:r>
          </w:p>
        </w:tc>
        <w:tc>
          <w:tcPr>
            <w:tcW w:w="2243"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17,250.00 </w:t>
            </w:r>
          </w:p>
        </w:tc>
        <w:tc>
          <w:tcPr>
            <w:tcW w:w="255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0.99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239"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南京花莲生物科技开发有限公司</w:t>
            </w:r>
          </w:p>
        </w:tc>
        <w:tc>
          <w:tcPr>
            <w:tcW w:w="2243"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15,819.00 </w:t>
            </w:r>
          </w:p>
        </w:tc>
        <w:tc>
          <w:tcPr>
            <w:tcW w:w="255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0.91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239"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南京淳科公交有限公司</w:t>
            </w:r>
          </w:p>
        </w:tc>
        <w:tc>
          <w:tcPr>
            <w:tcW w:w="2243"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14,168.00 </w:t>
            </w:r>
          </w:p>
        </w:tc>
        <w:tc>
          <w:tcPr>
            <w:tcW w:w="255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0.81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39" w:hRule="exact"/>
          <w:jc w:val="center"/>
        </w:trPr>
        <w:tc>
          <w:tcPr>
            <w:tcW w:w="4239"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南京创源动力科技有限公司</w:t>
            </w:r>
          </w:p>
        </w:tc>
        <w:tc>
          <w:tcPr>
            <w:tcW w:w="2243"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13,900.00 </w:t>
            </w:r>
          </w:p>
        </w:tc>
        <w:tc>
          <w:tcPr>
            <w:tcW w:w="255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0.80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239"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江苏固城湖水产市场股份有限公司</w:t>
            </w:r>
          </w:p>
        </w:tc>
        <w:tc>
          <w:tcPr>
            <w:tcW w:w="2243"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13,350.00 </w:t>
            </w:r>
          </w:p>
        </w:tc>
        <w:tc>
          <w:tcPr>
            <w:tcW w:w="255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0.77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239"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南京市高淳区青松水产专业合作社</w:t>
            </w:r>
          </w:p>
        </w:tc>
        <w:tc>
          <w:tcPr>
            <w:tcW w:w="2243"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12,900.00 </w:t>
            </w:r>
          </w:p>
        </w:tc>
        <w:tc>
          <w:tcPr>
            <w:tcW w:w="255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0.74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239"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红宝丽集团股份有限公司</w:t>
            </w:r>
          </w:p>
        </w:tc>
        <w:tc>
          <w:tcPr>
            <w:tcW w:w="2243"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11,900.00 </w:t>
            </w:r>
          </w:p>
        </w:tc>
        <w:tc>
          <w:tcPr>
            <w:tcW w:w="255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0.68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239"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南京振业工贸实业有限责任公司</w:t>
            </w:r>
          </w:p>
        </w:tc>
        <w:tc>
          <w:tcPr>
            <w:tcW w:w="2243"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9,950.00 </w:t>
            </w:r>
          </w:p>
        </w:tc>
        <w:tc>
          <w:tcPr>
            <w:tcW w:w="255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0.57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239" w:type="dxa"/>
            <w:vAlign w:val="bottom"/>
          </w:tcPr>
          <w:p>
            <w:pPr>
              <w:widowControl/>
              <w:textAlignment w:val="bottom"/>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合计</w:t>
            </w:r>
          </w:p>
        </w:tc>
        <w:tc>
          <w:tcPr>
            <w:tcW w:w="2243"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159,797.30 </w:t>
            </w:r>
          </w:p>
        </w:tc>
        <w:tc>
          <w:tcPr>
            <w:tcW w:w="255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宋体" w:cs="Times New Roman"/>
                <w:i w:val="0"/>
                <w:color w:val="auto"/>
                <w:kern w:val="0"/>
                <w:sz w:val="22"/>
                <w:szCs w:val="22"/>
                <w:highlight w:val="none"/>
                <w:u w:val="none"/>
                <w:lang w:val="en-US" w:eastAsia="zh-CN"/>
              </w:rPr>
              <w:t>9.18</w:t>
            </w:r>
          </w:p>
        </w:tc>
      </w:tr>
    </w:tbl>
    <w:p>
      <w:pPr>
        <w:ind w:right="-37"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6.8.2  202</w:t>
      </w:r>
      <w:r>
        <w:rPr>
          <w:rFonts w:hint="default" w:ascii="Times New Roman" w:hAnsi="Times New Roman" w:eastAsia="仿宋_GB2312" w:cs="Times New Roman"/>
          <w:color w:val="auto"/>
          <w:sz w:val="28"/>
          <w:szCs w:val="28"/>
          <w:highlight w:val="none"/>
          <w:lang w:val="en-US" w:eastAsia="zh-CN"/>
        </w:rPr>
        <w:t>5</w:t>
      </w:r>
      <w:r>
        <w:rPr>
          <w:rFonts w:hint="default" w:ascii="Times New Roman" w:hAnsi="Times New Roman" w:eastAsia="仿宋_GB2312" w:cs="Times New Roman"/>
          <w:color w:val="auto"/>
          <w:sz w:val="28"/>
          <w:szCs w:val="28"/>
          <w:highlight w:val="none"/>
        </w:rPr>
        <w:t>年12月31日前十名集团客户贷款情况</w:t>
      </w:r>
    </w:p>
    <w:tbl>
      <w:tblPr>
        <w:tblStyle w:val="25"/>
        <w:tblW w:w="903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51"/>
        <w:gridCol w:w="2216"/>
        <w:gridCol w:w="25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blHeader/>
          <w:jc w:val="center"/>
        </w:trPr>
        <w:tc>
          <w:tcPr>
            <w:tcW w:w="4251" w:type="dxa"/>
            <w:vAlign w:val="center"/>
          </w:tcPr>
          <w:p>
            <w:pPr>
              <w:ind w:right="-37"/>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集团客户</w:t>
            </w:r>
          </w:p>
        </w:tc>
        <w:tc>
          <w:tcPr>
            <w:tcW w:w="2216" w:type="dxa"/>
            <w:vAlign w:val="center"/>
          </w:tcPr>
          <w:p>
            <w:pPr>
              <w:ind w:right="-37"/>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贷款余额</w:t>
            </w:r>
          </w:p>
        </w:tc>
        <w:tc>
          <w:tcPr>
            <w:tcW w:w="2569" w:type="dxa"/>
            <w:vAlign w:val="center"/>
          </w:tcPr>
          <w:p>
            <w:pPr>
              <w:ind w:right="-37"/>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占贷款总额比例%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251"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南京胥河现代农业发展有限公司</w:t>
            </w:r>
          </w:p>
        </w:tc>
        <w:tc>
          <w:tcPr>
            <w:tcW w:w="2216"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28,830.20</w:t>
            </w:r>
          </w:p>
        </w:tc>
        <w:tc>
          <w:tcPr>
            <w:tcW w:w="2569"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1.76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36" w:hRule="exact"/>
          <w:jc w:val="center"/>
        </w:trPr>
        <w:tc>
          <w:tcPr>
            <w:tcW w:w="4251"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南京枕松酒店有限公司</w:t>
            </w:r>
          </w:p>
        </w:tc>
        <w:tc>
          <w:tcPr>
            <w:tcW w:w="2216"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19,000.00</w:t>
            </w:r>
          </w:p>
        </w:tc>
        <w:tc>
          <w:tcPr>
            <w:tcW w:w="2569"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1.16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251"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南京创源动力科技有限公司</w:t>
            </w:r>
          </w:p>
        </w:tc>
        <w:tc>
          <w:tcPr>
            <w:tcW w:w="2216"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14,100.00</w:t>
            </w:r>
          </w:p>
        </w:tc>
        <w:tc>
          <w:tcPr>
            <w:tcW w:w="2569"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0.86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251"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江苏固城湖水产市场股份有限公司</w:t>
            </w:r>
          </w:p>
        </w:tc>
        <w:tc>
          <w:tcPr>
            <w:tcW w:w="2216"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13,350.00</w:t>
            </w:r>
          </w:p>
        </w:tc>
        <w:tc>
          <w:tcPr>
            <w:tcW w:w="2569"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0.81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251"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红宝丽集团股份有限公司</w:t>
            </w:r>
          </w:p>
        </w:tc>
        <w:tc>
          <w:tcPr>
            <w:tcW w:w="2216"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11,950.00</w:t>
            </w:r>
          </w:p>
        </w:tc>
        <w:tc>
          <w:tcPr>
            <w:tcW w:w="2569"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0.73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251"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南京花莲生物科技开发有限公司</w:t>
            </w:r>
          </w:p>
        </w:tc>
        <w:tc>
          <w:tcPr>
            <w:tcW w:w="2216"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11,819.00</w:t>
            </w:r>
          </w:p>
        </w:tc>
        <w:tc>
          <w:tcPr>
            <w:tcW w:w="2569"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0.72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251"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南京淳科公交有限公司</w:t>
            </w:r>
          </w:p>
        </w:tc>
        <w:tc>
          <w:tcPr>
            <w:tcW w:w="2216"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11,288.00</w:t>
            </w:r>
          </w:p>
        </w:tc>
        <w:tc>
          <w:tcPr>
            <w:tcW w:w="2569"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0.69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02" w:hRule="exact"/>
          <w:jc w:val="center"/>
        </w:trPr>
        <w:tc>
          <w:tcPr>
            <w:tcW w:w="4251"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南京振业工贸实业有限责任公司</w:t>
            </w:r>
          </w:p>
        </w:tc>
        <w:tc>
          <w:tcPr>
            <w:tcW w:w="2216"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10,200.00</w:t>
            </w:r>
          </w:p>
        </w:tc>
        <w:tc>
          <w:tcPr>
            <w:tcW w:w="2569"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0.62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251"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江苏华玻光电技术有限公司</w:t>
            </w:r>
          </w:p>
        </w:tc>
        <w:tc>
          <w:tcPr>
            <w:tcW w:w="2216"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7,738.44</w:t>
            </w:r>
          </w:p>
        </w:tc>
        <w:tc>
          <w:tcPr>
            <w:tcW w:w="2569"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0.47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251" w:type="dxa"/>
            <w:vAlign w:val="center"/>
          </w:tcPr>
          <w:p>
            <w:pPr>
              <w:widowControl/>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江苏祥弘建设有限公司</w:t>
            </w:r>
          </w:p>
        </w:tc>
        <w:tc>
          <w:tcPr>
            <w:tcW w:w="2216"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6,650.00</w:t>
            </w:r>
          </w:p>
        </w:tc>
        <w:tc>
          <w:tcPr>
            <w:tcW w:w="2569"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0.41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251" w:type="dxa"/>
            <w:vAlign w:val="center"/>
          </w:tcPr>
          <w:p>
            <w:pPr>
              <w:widowControl/>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合计</w:t>
            </w:r>
          </w:p>
        </w:tc>
        <w:tc>
          <w:tcPr>
            <w:tcW w:w="2216"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134,925.64</w:t>
            </w:r>
          </w:p>
        </w:tc>
        <w:tc>
          <w:tcPr>
            <w:tcW w:w="2569" w:type="dxa"/>
            <w:vAlign w:val="center"/>
          </w:tcPr>
          <w:p>
            <w:pPr>
              <w:widowControl/>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仿宋_GB2312" w:cs="Times New Roman"/>
                <w:color w:val="auto"/>
                <w:kern w:val="0"/>
                <w:sz w:val="22"/>
                <w:highlight w:val="none"/>
              </w:rPr>
              <w:t>8.23</w:t>
            </w:r>
          </w:p>
        </w:tc>
      </w:tr>
    </w:tbl>
    <w:p>
      <w:pPr>
        <w:spacing w:line="480" w:lineRule="exact"/>
        <w:ind w:right="-37" w:firstLine="560" w:firstLineChars="200"/>
        <w:jc w:val="left"/>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6.9前十大股东贷款明细</w:t>
      </w:r>
    </w:p>
    <w:p>
      <w:pPr>
        <w:ind w:right="-40" w:firstLine="560" w:firstLineChars="200"/>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6.9.1  202</w:t>
      </w:r>
      <w:r>
        <w:rPr>
          <w:rFonts w:hint="default" w:ascii="Times New Roman" w:hAnsi="Times New Roman" w:eastAsia="仿宋_GB2312" w:cs="Times New Roman"/>
          <w:color w:val="auto"/>
          <w:sz w:val="28"/>
          <w:szCs w:val="28"/>
          <w:highlight w:val="none"/>
          <w:lang w:val="en-US" w:eastAsia="zh-CN"/>
        </w:rPr>
        <w:t>6</w:t>
      </w:r>
      <w:r>
        <w:rPr>
          <w:rFonts w:hint="default" w:ascii="Times New Roman" w:hAnsi="Times New Roman" w:eastAsia="仿宋_GB2312" w:cs="Times New Roman"/>
          <w:color w:val="auto"/>
          <w:sz w:val="28"/>
          <w:szCs w:val="28"/>
          <w:highlight w:val="none"/>
        </w:rPr>
        <w:t>年</w:t>
      </w:r>
      <w:r>
        <w:rPr>
          <w:rFonts w:hint="default" w:ascii="Times New Roman" w:hAnsi="Times New Roman" w:eastAsia="仿宋_GB2312" w:cs="Times New Roman"/>
          <w:color w:val="auto"/>
          <w:sz w:val="28"/>
          <w:szCs w:val="28"/>
          <w:highlight w:val="none"/>
          <w:lang w:val="en-US" w:eastAsia="zh-CN"/>
        </w:rPr>
        <w:t>6</w:t>
      </w:r>
      <w:r>
        <w:rPr>
          <w:rFonts w:hint="default" w:ascii="Times New Roman" w:hAnsi="Times New Roman" w:eastAsia="仿宋_GB2312" w:cs="Times New Roman"/>
          <w:color w:val="auto"/>
          <w:sz w:val="28"/>
          <w:szCs w:val="28"/>
          <w:highlight w:val="none"/>
        </w:rPr>
        <w:t>月3</w:t>
      </w:r>
      <w:r>
        <w:rPr>
          <w:rFonts w:hint="default" w:ascii="Times New Roman" w:hAnsi="Times New Roman" w:eastAsia="仿宋_GB2312" w:cs="Times New Roman"/>
          <w:color w:val="auto"/>
          <w:sz w:val="28"/>
          <w:szCs w:val="28"/>
          <w:highlight w:val="none"/>
          <w:lang w:val="en-US" w:eastAsia="zh-CN"/>
        </w:rPr>
        <w:t>0</w:t>
      </w:r>
      <w:r>
        <w:rPr>
          <w:rFonts w:hint="default" w:ascii="Times New Roman" w:hAnsi="Times New Roman" w:eastAsia="仿宋_GB2312" w:cs="Times New Roman"/>
          <w:color w:val="auto"/>
          <w:sz w:val="28"/>
          <w:szCs w:val="28"/>
          <w:highlight w:val="none"/>
        </w:rPr>
        <w:t>日前十大股东贷款情况</w:t>
      </w:r>
    </w:p>
    <w:tbl>
      <w:tblPr>
        <w:tblStyle w:val="25"/>
        <w:tblW w:w="89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73"/>
        <w:gridCol w:w="2205"/>
        <w:gridCol w:w="1095"/>
        <w:gridCol w:w="1012"/>
        <w:gridCol w:w="7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6" w:hRule="atLeast"/>
          <w:tblHeader/>
          <w:jc w:val="center"/>
        </w:trPr>
        <w:tc>
          <w:tcPr>
            <w:tcW w:w="3873" w:type="dxa"/>
            <w:vAlign w:val="center"/>
          </w:tcPr>
          <w:p>
            <w:pPr>
              <w:widowControl/>
              <w:jc w:val="center"/>
              <w:textAlignment w:val="bottom"/>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十大股东</w:t>
            </w:r>
          </w:p>
        </w:tc>
        <w:tc>
          <w:tcPr>
            <w:tcW w:w="2205" w:type="dxa"/>
            <w:vAlign w:val="center"/>
          </w:tcPr>
          <w:p>
            <w:pPr>
              <w:widowControl/>
              <w:jc w:val="center"/>
              <w:textAlignment w:val="bottom"/>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行业</w:t>
            </w:r>
          </w:p>
        </w:tc>
        <w:tc>
          <w:tcPr>
            <w:tcW w:w="1095" w:type="dxa"/>
            <w:vAlign w:val="center"/>
          </w:tcPr>
          <w:p>
            <w:pPr>
              <w:widowControl/>
              <w:jc w:val="center"/>
              <w:textAlignment w:val="bottom"/>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贷款</w:t>
            </w:r>
          </w:p>
          <w:p>
            <w:pPr>
              <w:widowControl/>
              <w:jc w:val="center"/>
              <w:textAlignment w:val="bottom"/>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余额</w:t>
            </w:r>
          </w:p>
        </w:tc>
        <w:tc>
          <w:tcPr>
            <w:tcW w:w="1012" w:type="dxa"/>
            <w:vAlign w:val="center"/>
          </w:tcPr>
          <w:p>
            <w:pPr>
              <w:widowControl/>
              <w:jc w:val="center"/>
              <w:textAlignment w:val="bottom"/>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占贷款总额比例</w:t>
            </w:r>
          </w:p>
        </w:tc>
        <w:tc>
          <w:tcPr>
            <w:tcW w:w="752" w:type="dxa"/>
            <w:vAlign w:val="center"/>
          </w:tcPr>
          <w:p>
            <w:pPr>
              <w:widowControl/>
              <w:jc w:val="center"/>
              <w:textAlignment w:val="bottom"/>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五级分类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873"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江苏紫金农村商业银行股份有限公司</w:t>
            </w:r>
          </w:p>
        </w:tc>
        <w:tc>
          <w:tcPr>
            <w:tcW w:w="2205" w:type="dxa"/>
            <w:vAlign w:val="center"/>
          </w:tcPr>
          <w:p>
            <w:pPr>
              <w:widowControl/>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金融业</w:t>
            </w:r>
          </w:p>
        </w:tc>
        <w:tc>
          <w:tcPr>
            <w:tcW w:w="1095" w:type="dxa"/>
            <w:vAlign w:val="center"/>
          </w:tcPr>
          <w:p>
            <w:pPr>
              <w:widowControl/>
              <w:jc w:val="center"/>
              <w:textAlignment w:val="bottom"/>
              <w:rPr>
                <w:rFonts w:hint="default" w:ascii="Times New Roman" w:hAnsi="Times New Roman" w:eastAsia="仿宋_GB2312" w:cs="Times New Roman"/>
                <w:color w:val="auto"/>
                <w:sz w:val="22"/>
                <w:highlight w:val="none"/>
              </w:rPr>
            </w:pPr>
          </w:p>
        </w:tc>
        <w:tc>
          <w:tcPr>
            <w:tcW w:w="1012" w:type="dxa"/>
            <w:vAlign w:val="center"/>
          </w:tcPr>
          <w:p>
            <w:pPr>
              <w:widowControl/>
              <w:jc w:val="center"/>
              <w:textAlignment w:val="bottom"/>
              <w:rPr>
                <w:rFonts w:hint="default" w:ascii="Times New Roman" w:hAnsi="Times New Roman" w:eastAsia="仿宋_GB2312" w:cs="Times New Roman"/>
                <w:color w:val="auto"/>
                <w:sz w:val="22"/>
                <w:highlight w:val="none"/>
              </w:rPr>
            </w:pPr>
          </w:p>
        </w:tc>
        <w:tc>
          <w:tcPr>
            <w:tcW w:w="752" w:type="dxa"/>
            <w:vAlign w:val="center"/>
          </w:tcPr>
          <w:p>
            <w:pPr>
              <w:jc w:val="center"/>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873"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南京长江发展股份有限公司</w:t>
            </w:r>
          </w:p>
        </w:tc>
        <w:tc>
          <w:tcPr>
            <w:tcW w:w="2205" w:type="dxa"/>
            <w:vAlign w:val="center"/>
          </w:tcPr>
          <w:p>
            <w:pPr>
              <w:widowControl/>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批发和零售业</w:t>
            </w:r>
          </w:p>
        </w:tc>
        <w:tc>
          <w:tcPr>
            <w:tcW w:w="1095" w:type="dxa"/>
            <w:vAlign w:val="center"/>
          </w:tcPr>
          <w:p>
            <w:pPr>
              <w:widowControl/>
              <w:jc w:val="center"/>
              <w:textAlignment w:val="bottom"/>
              <w:rPr>
                <w:rFonts w:hint="default" w:ascii="Times New Roman" w:hAnsi="Times New Roman" w:eastAsia="仿宋_GB2312" w:cs="Times New Roman"/>
                <w:color w:val="auto"/>
                <w:sz w:val="22"/>
                <w:highlight w:val="none"/>
              </w:rPr>
            </w:pPr>
          </w:p>
        </w:tc>
        <w:tc>
          <w:tcPr>
            <w:tcW w:w="1012" w:type="dxa"/>
            <w:vAlign w:val="center"/>
          </w:tcPr>
          <w:p>
            <w:pPr>
              <w:widowControl/>
              <w:jc w:val="center"/>
              <w:textAlignment w:val="bottom"/>
              <w:rPr>
                <w:rFonts w:hint="default" w:ascii="Times New Roman" w:hAnsi="Times New Roman" w:eastAsia="仿宋_GB2312" w:cs="Times New Roman"/>
                <w:color w:val="auto"/>
                <w:sz w:val="22"/>
                <w:highlight w:val="none"/>
              </w:rPr>
            </w:pPr>
          </w:p>
        </w:tc>
        <w:tc>
          <w:tcPr>
            <w:tcW w:w="752" w:type="dxa"/>
            <w:vAlign w:val="center"/>
          </w:tcPr>
          <w:p>
            <w:pPr>
              <w:jc w:val="center"/>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873"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常州乔尔塑料有限公司</w:t>
            </w:r>
          </w:p>
        </w:tc>
        <w:tc>
          <w:tcPr>
            <w:tcW w:w="2205" w:type="dxa"/>
            <w:vAlign w:val="center"/>
          </w:tcPr>
          <w:p>
            <w:pPr>
              <w:widowControl/>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制造业</w:t>
            </w:r>
          </w:p>
        </w:tc>
        <w:tc>
          <w:tcPr>
            <w:tcW w:w="1095" w:type="dxa"/>
            <w:vAlign w:val="center"/>
          </w:tcPr>
          <w:p>
            <w:pPr>
              <w:widowControl/>
              <w:jc w:val="center"/>
              <w:textAlignment w:val="bottom"/>
              <w:rPr>
                <w:rFonts w:hint="default" w:ascii="Times New Roman" w:hAnsi="Times New Roman" w:eastAsia="仿宋_GB2312" w:cs="Times New Roman"/>
                <w:color w:val="auto"/>
                <w:sz w:val="22"/>
                <w:highlight w:val="none"/>
              </w:rPr>
            </w:pPr>
          </w:p>
        </w:tc>
        <w:tc>
          <w:tcPr>
            <w:tcW w:w="1012" w:type="dxa"/>
            <w:vAlign w:val="center"/>
          </w:tcPr>
          <w:p>
            <w:pPr>
              <w:widowControl/>
              <w:jc w:val="center"/>
              <w:textAlignment w:val="bottom"/>
              <w:rPr>
                <w:rFonts w:hint="default" w:ascii="Times New Roman" w:hAnsi="Times New Roman" w:eastAsia="仿宋_GB2312" w:cs="Times New Roman"/>
                <w:color w:val="auto"/>
                <w:sz w:val="22"/>
                <w:highlight w:val="none"/>
              </w:rPr>
            </w:pPr>
          </w:p>
        </w:tc>
        <w:tc>
          <w:tcPr>
            <w:tcW w:w="752" w:type="dxa"/>
            <w:vAlign w:val="center"/>
          </w:tcPr>
          <w:p>
            <w:pPr>
              <w:jc w:val="center"/>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873"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南京金腾橡塑有限公司</w:t>
            </w:r>
          </w:p>
        </w:tc>
        <w:tc>
          <w:tcPr>
            <w:tcW w:w="2205" w:type="dxa"/>
            <w:vAlign w:val="center"/>
          </w:tcPr>
          <w:p>
            <w:pPr>
              <w:widowControl/>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制造业</w:t>
            </w:r>
          </w:p>
        </w:tc>
        <w:tc>
          <w:tcPr>
            <w:tcW w:w="1095" w:type="dxa"/>
            <w:vAlign w:val="center"/>
          </w:tcPr>
          <w:p>
            <w:pPr>
              <w:widowControl/>
              <w:jc w:val="center"/>
              <w:textAlignment w:val="bottom"/>
              <w:rPr>
                <w:rFonts w:hint="default" w:ascii="Times New Roman" w:hAnsi="Times New Roman" w:eastAsia="仿宋_GB2312" w:cs="Times New Roman"/>
                <w:color w:val="auto"/>
                <w:sz w:val="22"/>
                <w:highlight w:val="none"/>
              </w:rPr>
            </w:pPr>
          </w:p>
        </w:tc>
        <w:tc>
          <w:tcPr>
            <w:tcW w:w="1012" w:type="dxa"/>
            <w:vAlign w:val="center"/>
          </w:tcPr>
          <w:p>
            <w:pPr>
              <w:widowControl/>
              <w:jc w:val="center"/>
              <w:textAlignment w:val="bottom"/>
              <w:rPr>
                <w:rFonts w:hint="default" w:ascii="Times New Roman" w:hAnsi="Times New Roman" w:eastAsia="仿宋_GB2312" w:cs="Times New Roman"/>
                <w:color w:val="auto"/>
                <w:sz w:val="22"/>
                <w:highlight w:val="none"/>
              </w:rPr>
            </w:pPr>
          </w:p>
        </w:tc>
        <w:tc>
          <w:tcPr>
            <w:tcW w:w="752" w:type="dxa"/>
            <w:vAlign w:val="center"/>
          </w:tcPr>
          <w:p>
            <w:pPr>
              <w:jc w:val="center"/>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873"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南京炼油厂有限责任公司</w:t>
            </w:r>
          </w:p>
        </w:tc>
        <w:tc>
          <w:tcPr>
            <w:tcW w:w="2205" w:type="dxa"/>
            <w:vAlign w:val="center"/>
          </w:tcPr>
          <w:p>
            <w:pPr>
              <w:widowControl/>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制造业</w:t>
            </w:r>
          </w:p>
        </w:tc>
        <w:tc>
          <w:tcPr>
            <w:tcW w:w="1095" w:type="dxa"/>
            <w:vAlign w:val="center"/>
          </w:tcPr>
          <w:p>
            <w:pPr>
              <w:widowControl/>
              <w:jc w:val="center"/>
              <w:textAlignment w:val="bottom"/>
              <w:rPr>
                <w:rFonts w:hint="default" w:ascii="Times New Roman" w:hAnsi="Times New Roman" w:eastAsia="仿宋_GB2312" w:cs="Times New Roman"/>
                <w:color w:val="auto"/>
                <w:sz w:val="22"/>
                <w:highlight w:val="none"/>
              </w:rPr>
            </w:pPr>
          </w:p>
        </w:tc>
        <w:tc>
          <w:tcPr>
            <w:tcW w:w="1012" w:type="dxa"/>
            <w:vAlign w:val="center"/>
          </w:tcPr>
          <w:p>
            <w:pPr>
              <w:widowControl/>
              <w:jc w:val="center"/>
              <w:textAlignment w:val="bottom"/>
              <w:rPr>
                <w:rFonts w:hint="default" w:ascii="Times New Roman" w:hAnsi="Times New Roman" w:eastAsia="仿宋_GB2312" w:cs="Times New Roman"/>
                <w:color w:val="auto"/>
                <w:sz w:val="22"/>
                <w:highlight w:val="none"/>
              </w:rPr>
            </w:pPr>
          </w:p>
        </w:tc>
        <w:tc>
          <w:tcPr>
            <w:tcW w:w="752" w:type="dxa"/>
            <w:vAlign w:val="center"/>
          </w:tcPr>
          <w:p>
            <w:pPr>
              <w:jc w:val="center"/>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873"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南京浦泰房地产开发有限公司</w:t>
            </w:r>
          </w:p>
        </w:tc>
        <w:tc>
          <w:tcPr>
            <w:tcW w:w="2205" w:type="dxa"/>
            <w:vAlign w:val="center"/>
          </w:tcPr>
          <w:p>
            <w:pPr>
              <w:widowControl/>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房地产业</w:t>
            </w:r>
          </w:p>
        </w:tc>
        <w:tc>
          <w:tcPr>
            <w:tcW w:w="1095" w:type="dxa"/>
            <w:vAlign w:val="center"/>
          </w:tcPr>
          <w:p>
            <w:pPr>
              <w:widowControl/>
              <w:jc w:val="center"/>
              <w:textAlignment w:val="bottom"/>
              <w:rPr>
                <w:rFonts w:hint="default" w:ascii="Times New Roman" w:hAnsi="Times New Roman" w:eastAsia="仿宋_GB2312" w:cs="Times New Roman"/>
                <w:color w:val="auto"/>
                <w:sz w:val="22"/>
                <w:highlight w:val="none"/>
              </w:rPr>
            </w:pPr>
          </w:p>
        </w:tc>
        <w:tc>
          <w:tcPr>
            <w:tcW w:w="1012" w:type="dxa"/>
            <w:vAlign w:val="center"/>
          </w:tcPr>
          <w:p>
            <w:pPr>
              <w:widowControl/>
              <w:jc w:val="center"/>
              <w:textAlignment w:val="bottom"/>
              <w:rPr>
                <w:rFonts w:hint="default" w:ascii="Times New Roman" w:hAnsi="Times New Roman" w:eastAsia="仿宋_GB2312" w:cs="Times New Roman"/>
                <w:color w:val="auto"/>
                <w:sz w:val="22"/>
                <w:highlight w:val="none"/>
              </w:rPr>
            </w:pPr>
          </w:p>
        </w:tc>
        <w:tc>
          <w:tcPr>
            <w:tcW w:w="752" w:type="dxa"/>
            <w:vAlign w:val="center"/>
          </w:tcPr>
          <w:p>
            <w:pPr>
              <w:jc w:val="center"/>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873"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江苏宝润置业集团有限公司</w:t>
            </w:r>
          </w:p>
        </w:tc>
        <w:tc>
          <w:tcPr>
            <w:tcW w:w="2205" w:type="dxa"/>
            <w:vAlign w:val="center"/>
          </w:tcPr>
          <w:p>
            <w:pPr>
              <w:widowControl/>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租赁和商务服务业</w:t>
            </w:r>
          </w:p>
        </w:tc>
        <w:tc>
          <w:tcPr>
            <w:tcW w:w="1095" w:type="dxa"/>
            <w:vAlign w:val="center"/>
          </w:tcPr>
          <w:p>
            <w:pPr>
              <w:widowControl/>
              <w:jc w:val="center"/>
              <w:textAlignment w:val="bottom"/>
              <w:rPr>
                <w:rFonts w:hint="default" w:ascii="Times New Roman" w:hAnsi="Times New Roman" w:eastAsia="仿宋_GB2312" w:cs="Times New Roman"/>
                <w:color w:val="auto"/>
                <w:sz w:val="22"/>
                <w:highlight w:val="none"/>
              </w:rPr>
            </w:pPr>
          </w:p>
        </w:tc>
        <w:tc>
          <w:tcPr>
            <w:tcW w:w="1012" w:type="dxa"/>
            <w:vAlign w:val="center"/>
          </w:tcPr>
          <w:p>
            <w:pPr>
              <w:widowControl/>
              <w:jc w:val="center"/>
              <w:textAlignment w:val="bottom"/>
              <w:rPr>
                <w:rFonts w:hint="default" w:ascii="Times New Roman" w:hAnsi="Times New Roman" w:eastAsia="仿宋_GB2312" w:cs="Times New Roman"/>
                <w:color w:val="auto"/>
                <w:sz w:val="22"/>
                <w:highlight w:val="none"/>
              </w:rPr>
            </w:pPr>
          </w:p>
        </w:tc>
        <w:tc>
          <w:tcPr>
            <w:tcW w:w="752" w:type="dxa"/>
            <w:vAlign w:val="center"/>
          </w:tcPr>
          <w:p>
            <w:pPr>
              <w:jc w:val="center"/>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873"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南京兴业建设有限公司</w:t>
            </w:r>
          </w:p>
        </w:tc>
        <w:tc>
          <w:tcPr>
            <w:tcW w:w="2205" w:type="dxa"/>
            <w:vAlign w:val="center"/>
          </w:tcPr>
          <w:p>
            <w:pPr>
              <w:widowControl/>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建筑业</w:t>
            </w:r>
          </w:p>
        </w:tc>
        <w:tc>
          <w:tcPr>
            <w:tcW w:w="1095" w:type="dxa"/>
            <w:vAlign w:val="center"/>
          </w:tcPr>
          <w:p>
            <w:pPr>
              <w:widowControl/>
              <w:jc w:val="center"/>
              <w:textAlignment w:val="bottom"/>
              <w:rPr>
                <w:rFonts w:hint="default" w:ascii="Times New Roman" w:hAnsi="Times New Roman" w:eastAsia="仿宋_GB2312" w:cs="Times New Roman"/>
                <w:color w:val="auto"/>
                <w:sz w:val="22"/>
                <w:highlight w:val="none"/>
              </w:rPr>
            </w:pPr>
          </w:p>
        </w:tc>
        <w:tc>
          <w:tcPr>
            <w:tcW w:w="1012" w:type="dxa"/>
            <w:vAlign w:val="center"/>
          </w:tcPr>
          <w:p>
            <w:pPr>
              <w:widowControl/>
              <w:jc w:val="center"/>
              <w:textAlignment w:val="bottom"/>
              <w:rPr>
                <w:rFonts w:hint="default" w:ascii="Times New Roman" w:hAnsi="Times New Roman" w:eastAsia="仿宋_GB2312" w:cs="Times New Roman"/>
                <w:color w:val="auto"/>
                <w:sz w:val="22"/>
                <w:highlight w:val="none"/>
              </w:rPr>
            </w:pPr>
          </w:p>
        </w:tc>
        <w:tc>
          <w:tcPr>
            <w:tcW w:w="752" w:type="dxa"/>
            <w:vAlign w:val="center"/>
          </w:tcPr>
          <w:p>
            <w:pPr>
              <w:jc w:val="center"/>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87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王起龙</w:t>
            </w:r>
          </w:p>
        </w:tc>
        <w:tc>
          <w:tcPr>
            <w:tcW w:w="2205" w:type="dxa"/>
            <w:vAlign w:val="center"/>
          </w:tcPr>
          <w:p>
            <w:pPr>
              <w:widowControl/>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建筑业</w:t>
            </w:r>
          </w:p>
        </w:tc>
        <w:tc>
          <w:tcPr>
            <w:tcW w:w="1095" w:type="dxa"/>
            <w:vAlign w:val="center"/>
          </w:tcPr>
          <w:p>
            <w:pPr>
              <w:widowControl/>
              <w:jc w:val="center"/>
              <w:textAlignment w:val="bottom"/>
              <w:rPr>
                <w:rFonts w:hint="default" w:ascii="Times New Roman" w:hAnsi="Times New Roman" w:eastAsia="仿宋_GB2312" w:cs="Times New Roman"/>
                <w:color w:val="auto"/>
                <w:sz w:val="22"/>
                <w:highlight w:val="none"/>
              </w:rPr>
            </w:pPr>
          </w:p>
        </w:tc>
        <w:tc>
          <w:tcPr>
            <w:tcW w:w="1012" w:type="dxa"/>
            <w:vAlign w:val="center"/>
          </w:tcPr>
          <w:p>
            <w:pPr>
              <w:widowControl/>
              <w:jc w:val="center"/>
              <w:textAlignment w:val="bottom"/>
              <w:rPr>
                <w:rFonts w:hint="default" w:ascii="Times New Roman" w:hAnsi="Times New Roman" w:eastAsia="仿宋_GB2312" w:cs="Times New Roman"/>
                <w:color w:val="auto"/>
                <w:sz w:val="22"/>
                <w:highlight w:val="none"/>
              </w:rPr>
            </w:pPr>
          </w:p>
        </w:tc>
        <w:tc>
          <w:tcPr>
            <w:tcW w:w="752" w:type="dxa"/>
            <w:vAlign w:val="center"/>
          </w:tcPr>
          <w:p>
            <w:pPr>
              <w:widowControl/>
              <w:jc w:val="center"/>
              <w:textAlignment w:val="bottom"/>
              <w:rPr>
                <w:rFonts w:hint="default" w:ascii="Times New Roman" w:hAnsi="Times New Roman" w:eastAsia="仿宋_GB2312"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873"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江苏祥弘建设有限公司</w:t>
            </w:r>
          </w:p>
        </w:tc>
        <w:tc>
          <w:tcPr>
            <w:tcW w:w="2205" w:type="dxa"/>
            <w:vAlign w:val="center"/>
          </w:tcPr>
          <w:p>
            <w:pPr>
              <w:widowControl/>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建筑业</w:t>
            </w:r>
          </w:p>
        </w:tc>
        <w:tc>
          <w:tcPr>
            <w:tcW w:w="1095" w:type="dxa"/>
            <w:vAlign w:val="center"/>
          </w:tcPr>
          <w:p>
            <w:pPr>
              <w:widowControl/>
              <w:jc w:val="center"/>
              <w:textAlignment w:val="bottom"/>
              <w:rPr>
                <w:rFonts w:hint="default" w:ascii="Times New Roman" w:hAnsi="Times New Roman" w:eastAsia="仿宋_GB2312" w:cs="Times New Roman"/>
                <w:color w:val="auto"/>
                <w:sz w:val="22"/>
                <w:highlight w:val="none"/>
              </w:rPr>
            </w:pPr>
            <w:r>
              <w:rPr>
                <w:rFonts w:hint="default" w:ascii="Times New Roman" w:hAnsi="Times New Roman" w:cs="Times New Roman"/>
                <w:color w:val="auto"/>
                <w:sz w:val="22"/>
                <w:highlight w:val="none"/>
                <w:lang w:val="en-US" w:eastAsia="zh-CN"/>
              </w:rPr>
              <w:t>4240</w:t>
            </w:r>
          </w:p>
        </w:tc>
        <w:tc>
          <w:tcPr>
            <w:tcW w:w="1012" w:type="dxa"/>
            <w:vAlign w:val="center"/>
          </w:tcPr>
          <w:p>
            <w:pPr>
              <w:widowControl/>
              <w:jc w:val="center"/>
              <w:textAlignment w:val="bottom"/>
              <w:rPr>
                <w:rFonts w:hint="default" w:ascii="Times New Roman" w:hAnsi="Times New Roman" w:eastAsia="仿宋_GB2312" w:cs="Times New Roman"/>
                <w:color w:val="auto"/>
                <w:sz w:val="22"/>
                <w:highlight w:val="none"/>
              </w:rPr>
            </w:pPr>
            <w:r>
              <w:rPr>
                <w:rFonts w:hint="default" w:ascii="Times New Roman" w:hAnsi="Times New Roman" w:cs="Times New Roman"/>
                <w:color w:val="auto"/>
                <w:sz w:val="22"/>
                <w:highlight w:val="none"/>
                <w:lang w:val="en-US" w:eastAsia="zh-CN"/>
              </w:rPr>
              <w:t>0.24%</w:t>
            </w:r>
          </w:p>
        </w:tc>
        <w:tc>
          <w:tcPr>
            <w:tcW w:w="752" w:type="dxa"/>
            <w:vAlign w:val="center"/>
          </w:tcPr>
          <w:p>
            <w:pPr>
              <w:widowControl/>
              <w:jc w:val="center"/>
              <w:textAlignment w:val="bottom"/>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873" w:type="dxa"/>
            <w:vAlign w:val="bottom"/>
          </w:tcPr>
          <w:p>
            <w:pPr>
              <w:widowControl/>
              <w:jc w:val="center"/>
              <w:textAlignment w:val="bottom"/>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合计</w:t>
            </w:r>
          </w:p>
        </w:tc>
        <w:tc>
          <w:tcPr>
            <w:tcW w:w="2205" w:type="dxa"/>
            <w:vAlign w:val="bottom"/>
          </w:tcPr>
          <w:p>
            <w:pPr>
              <w:rPr>
                <w:rFonts w:hint="default" w:ascii="Times New Roman" w:hAnsi="Times New Roman" w:eastAsia="仿宋_GB2312" w:cs="Times New Roman"/>
                <w:color w:val="auto"/>
                <w:sz w:val="24"/>
                <w:szCs w:val="24"/>
                <w:highlight w:val="none"/>
              </w:rPr>
            </w:pPr>
          </w:p>
        </w:tc>
        <w:tc>
          <w:tcPr>
            <w:tcW w:w="1095" w:type="dxa"/>
            <w:vAlign w:val="center"/>
          </w:tcPr>
          <w:p>
            <w:pPr>
              <w:widowControl/>
              <w:jc w:val="center"/>
              <w:textAlignment w:val="bottom"/>
              <w:rPr>
                <w:rFonts w:hint="default" w:ascii="Times New Roman" w:hAnsi="Times New Roman" w:eastAsia="仿宋_GB2312" w:cs="Times New Roman"/>
                <w:color w:val="auto"/>
                <w:sz w:val="22"/>
                <w:highlight w:val="none"/>
              </w:rPr>
            </w:pPr>
            <w:r>
              <w:rPr>
                <w:rFonts w:hint="default" w:ascii="Times New Roman" w:hAnsi="Times New Roman" w:cs="Times New Roman"/>
                <w:color w:val="auto"/>
                <w:sz w:val="22"/>
                <w:highlight w:val="none"/>
                <w:lang w:val="en-US" w:eastAsia="zh-CN"/>
              </w:rPr>
              <w:t>4240</w:t>
            </w:r>
          </w:p>
        </w:tc>
        <w:tc>
          <w:tcPr>
            <w:tcW w:w="1012" w:type="dxa"/>
            <w:vAlign w:val="center"/>
          </w:tcPr>
          <w:p>
            <w:pPr>
              <w:widowControl/>
              <w:jc w:val="center"/>
              <w:textAlignment w:val="bottom"/>
              <w:rPr>
                <w:rFonts w:hint="default" w:ascii="Times New Roman" w:hAnsi="Times New Roman" w:eastAsia="仿宋_GB2312" w:cs="Times New Roman"/>
                <w:color w:val="auto"/>
                <w:sz w:val="22"/>
                <w:highlight w:val="none"/>
              </w:rPr>
            </w:pPr>
            <w:r>
              <w:rPr>
                <w:rFonts w:hint="default" w:ascii="Times New Roman" w:hAnsi="Times New Roman" w:cs="Times New Roman"/>
                <w:color w:val="auto"/>
                <w:sz w:val="22"/>
                <w:highlight w:val="none"/>
                <w:lang w:val="en-US" w:eastAsia="zh-CN"/>
              </w:rPr>
              <w:t>0.24%</w:t>
            </w:r>
          </w:p>
        </w:tc>
        <w:tc>
          <w:tcPr>
            <w:tcW w:w="752" w:type="dxa"/>
            <w:noWrap/>
            <w:vAlign w:val="center"/>
          </w:tcPr>
          <w:p>
            <w:pPr>
              <w:widowControl/>
              <w:jc w:val="center"/>
              <w:textAlignment w:val="bottom"/>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正常</w:t>
            </w:r>
          </w:p>
        </w:tc>
      </w:tr>
    </w:tbl>
    <w:p>
      <w:pPr>
        <w:ind w:right="-37"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6.9.2  202</w:t>
      </w:r>
      <w:r>
        <w:rPr>
          <w:rFonts w:hint="default" w:ascii="Times New Roman" w:hAnsi="Times New Roman" w:eastAsia="仿宋_GB2312" w:cs="Times New Roman"/>
          <w:color w:val="auto"/>
          <w:sz w:val="28"/>
          <w:szCs w:val="28"/>
          <w:highlight w:val="none"/>
          <w:lang w:val="en-US" w:eastAsia="zh-CN"/>
        </w:rPr>
        <w:t>5</w:t>
      </w:r>
      <w:r>
        <w:rPr>
          <w:rFonts w:hint="default" w:ascii="Times New Roman" w:hAnsi="Times New Roman" w:eastAsia="仿宋_GB2312" w:cs="Times New Roman"/>
          <w:color w:val="auto"/>
          <w:sz w:val="28"/>
          <w:szCs w:val="28"/>
          <w:highlight w:val="none"/>
        </w:rPr>
        <w:t>年12月31日前十大股东贷款情况</w:t>
      </w:r>
    </w:p>
    <w:tbl>
      <w:tblPr>
        <w:tblStyle w:val="25"/>
        <w:tblW w:w="895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2"/>
        <w:gridCol w:w="2375"/>
        <w:gridCol w:w="1050"/>
        <w:gridCol w:w="1169"/>
        <w:gridCol w:w="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1" w:hRule="atLeast"/>
          <w:jc w:val="center"/>
        </w:trPr>
        <w:tc>
          <w:tcPr>
            <w:tcW w:w="3612" w:type="dxa"/>
            <w:vAlign w:val="center"/>
          </w:tcPr>
          <w:p>
            <w:pPr>
              <w:widowControl/>
              <w:jc w:val="center"/>
              <w:textAlignment w:val="bottom"/>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十大股东</w:t>
            </w:r>
          </w:p>
        </w:tc>
        <w:tc>
          <w:tcPr>
            <w:tcW w:w="2375" w:type="dxa"/>
            <w:vAlign w:val="center"/>
          </w:tcPr>
          <w:p>
            <w:pPr>
              <w:widowControl/>
              <w:jc w:val="center"/>
              <w:textAlignment w:val="bottom"/>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行业</w:t>
            </w:r>
          </w:p>
        </w:tc>
        <w:tc>
          <w:tcPr>
            <w:tcW w:w="1050" w:type="dxa"/>
            <w:vAlign w:val="center"/>
          </w:tcPr>
          <w:p>
            <w:pPr>
              <w:widowControl/>
              <w:jc w:val="center"/>
              <w:textAlignment w:val="bottom"/>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贷款</w:t>
            </w:r>
          </w:p>
          <w:p>
            <w:pPr>
              <w:widowControl/>
              <w:jc w:val="center"/>
              <w:textAlignment w:val="bottom"/>
              <w:rPr>
                <w:rFonts w:hint="default" w:ascii="Times New Roman" w:hAnsi="Times New Roman" w:cs="Times New Roman"/>
                <w:color w:val="auto"/>
                <w:highlight w:val="none"/>
              </w:rPr>
            </w:pPr>
            <w:r>
              <w:rPr>
                <w:rFonts w:hint="default" w:ascii="Times New Roman" w:hAnsi="Times New Roman" w:eastAsia="仿宋_GB2312" w:cs="Times New Roman"/>
                <w:color w:val="auto"/>
                <w:kern w:val="0"/>
                <w:sz w:val="24"/>
                <w:szCs w:val="24"/>
                <w:highlight w:val="none"/>
              </w:rPr>
              <w:t>余额</w:t>
            </w:r>
          </w:p>
        </w:tc>
        <w:tc>
          <w:tcPr>
            <w:tcW w:w="1169" w:type="dxa"/>
            <w:vAlign w:val="center"/>
          </w:tcPr>
          <w:p>
            <w:pPr>
              <w:widowControl/>
              <w:jc w:val="center"/>
              <w:textAlignment w:val="bottom"/>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占贷款总额比例</w:t>
            </w:r>
          </w:p>
        </w:tc>
        <w:tc>
          <w:tcPr>
            <w:tcW w:w="744" w:type="dxa"/>
            <w:vAlign w:val="center"/>
          </w:tcPr>
          <w:p>
            <w:pPr>
              <w:widowControl/>
              <w:jc w:val="center"/>
              <w:textAlignment w:val="bottom"/>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五级分类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612" w:type="dxa"/>
            <w:vAlign w:val="center"/>
          </w:tcPr>
          <w:p>
            <w:pPr>
              <w:widowControl/>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江苏紫金农村商业银行股份有限公司</w:t>
            </w:r>
          </w:p>
        </w:tc>
        <w:tc>
          <w:tcPr>
            <w:tcW w:w="2375" w:type="dxa"/>
            <w:vAlign w:val="center"/>
          </w:tcPr>
          <w:p>
            <w:pPr>
              <w:widowControl/>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金融业</w:t>
            </w:r>
          </w:p>
        </w:tc>
        <w:tc>
          <w:tcPr>
            <w:tcW w:w="1050" w:type="dxa"/>
            <w:vAlign w:val="bottom"/>
          </w:tcPr>
          <w:p>
            <w:pPr>
              <w:widowControl/>
              <w:jc w:val="right"/>
              <w:textAlignment w:val="bottom"/>
              <w:rPr>
                <w:rFonts w:hint="default" w:ascii="Times New Roman" w:hAnsi="Times New Roman" w:cs="Times New Roman"/>
                <w:color w:val="auto"/>
                <w:highlight w:val="none"/>
              </w:rPr>
            </w:pPr>
          </w:p>
        </w:tc>
        <w:tc>
          <w:tcPr>
            <w:tcW w:w="1169" w:type="dxa"/>
            <w:vAlign w:val="bottom"/>
          </w:tcPr>
          <w:p>
            <w:pPr>
              <w:widowControl/>
              <w:jc w:val="right"/>
              <w:textAlignment w:val="bottom"/>
              <w:rPr>
                <w:rFonts w:hint="default" w:ascii="Times New Roman" w:hAnsi="Times New Roman" w:cs="Times New Roman"/>
                <w:color w:val="auto"/>
                <w:sz w:val="22"/>
                <w:highlight w:val="none"/>
              </w:rPr>
            </w:pPr>
          </w:p>
        </w:tc>
        <w:tc>
          <w:tcPr>
            <w:tcW w:w="744" w:type="dxa"/>
            <w:vAlign w:val="bottom"/>
          </w:tcPr>
          <w:p>
            <w:pPr>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612" w:type="dxa"/>
            <w:vAlign w:val="center"/>
          </w:tcPr>
          <w:p>
            <w:pPr>
              <w:widowControl/>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南京长江发展股份有限公司</w:t>
            </w:r>
          </w:p>
        </w:tc>
        <w:tc>
          <w:tcPr>
            <w:tcW w:w="2375" w:type="dxa"/>
            <w:vAlign w:val="center"/>
          </w:tcPr>
          <w:p>
            <w:pPr>
              <w:widowControl/>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批发和零售业</w:t>
            </w:r>
          </w:p>
        </w:tc>
        <w:tc>
          <w:tcPr>
            <w:tcW w:w="1050" w:type="dxa"/>
            <w:vAlign w:val="bottom"/>
          </w:tcPr>
          <w:p>
            <w:pPr>
              <w:widowControl/>
              <w:jc w:val="right"/>
              <w:textAlignment w:val="bottom"/>
              <w:rPr>
                <w:rFonts w:hint="default" w:ascii="Times New Roman" w:hAnsi="Times New Roman" w:cs="Times New Roman"/>
                <w:color w:val="auto"/>
                <w:highlight w:val="none"/>
              </w:rPr>
            </w:pPr>
          </w:p>
        </w:tc>
        <w:tc>
          <w:tcPr>
            <w:tcW w:w="1169" w:type="dxa"/>
            <w:vAlign w:val="bottom"/>
          </w:tcPr>
          <w:p>
            <w:pPr>
              <w:widowControl/>
              <w:jc w:val="right"/>
              <w:textAlignment w:val="bottom"/>
              <w:rPr>
                <w:rFonts w:hint="default" w:ascii="Times New Roman" w:hAnsi="Times New Roman" w:cs="Times New Roman"/>
                <w:color w:val="auto"/>
                <w:sz w:val="22"/>
                <w:highlight w:val="none"/>
              </w:rPr>
            </w:pPr>
          </w:p>
        </w:tc>
        <w:tc>
          <w:tcPr>
            <w:tcW w:w="744" w:type="dxa"/>
            <w:vAlign w:val="bottom"/>
          </w:tcPr>
          <w:p>
            <w:pPr>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612" w:type="dxa"/>
            <w:vAlign w:val="center"/>
          </w:tcPr>
          <w:p>
            <w:pPr>
              <w:widowControl/>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常州乔尔塑料有限公司</w:t>
            </w:r>
          </w:p>
        </w:tc>
        <w:tc>
          <w:tcPr>
            <w:tcW w:w="2375" w:type="dxa"/>
            <w:vAlign w:val="center"/>
          </w:tcPr>
          <w:p>
            <w:pPr>
              <w:widowControl/>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制造业</w:t>
            </w:r>
          </w:p>
        </w:tc>
        <w:tc>
          <w:tcPr>
            <w:tcW w:w="1050" w:type="dxa"/>
            <w:vAlign w:val="bottom"/>
          </w:tcPr>
          <w:p>
            <w:pPr>
              <w:widowControl/>
              <w:jc w:val="right"/>
              <w:textAlignment w:val="bottom"/>
              <w:rPr>
                <w:rFonts w:hint="default" w:ascii="Times New Roman" w:hAnsi="Times New Roman" w:cs="Times New Roman"/>
                <w:color w:val="auto"/>
                <w:highlight w:val="none"/>
              </w:rPr>
            </w:pPr>
          </w:p>
        </w:tc>
        <w:tc>
          <w:tcPr>
            <w:tcW w:w="1169" w:type="dxa"/>
            <w:vAlign w:val="bottom"/>
          </w:tcPr>
          <w:p>
            <w:pPr>
              <w:widowControl/>
              <w:jc w:val="right"/>
              <w:textAlignment w:val="bottom"/>
              <w:rPr>
                <w:rFonts w:hint="default" w:ascii="Times New Roman" w:hAnsi="Times New Roman" w:cs="Times New Roman"/>
                <w:color w:val="auto"/>
                <w:sz w:val="22"/>
                <w:highlight w:val="none"/>
              </w:rPr>
            </w:pPr>
          </w:p>
        </w:tc>
        <w:tc>
          <w:tcPr>
            <w:tcW w:w="744" w:type="dxa"/>
            <w:vAlign w:val="bottom"/>
          </w:tcPr>
          <w:p>
            <w:pPr>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612" w:type="dxa"/>
            <w:vAlign w:val="center"/>
          </w:tcPr>
          <w:p>
            <w:pPr>
              <w:widowControl/>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南京金腾橡塑有限公司</w:t>
            </w:r>
          </w:p>
        </w:tc>
        <w:tc>
          <w:tcPr>
            <w:tcW w:w="2375" w:type="dxa"/>
            <w:vAlign w:val="center"/>
          </w:tcPr>
          <w:p>
            <w:pPr>
              <w:widowControl/>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制造业</w:t>
            </w:r>
          </w:p>
        </w:tc>
        <w:tc>
          <w:tcPr>
            <w:tcW w:w="1050" w:type="dxa"/>
            <w:vAlign w:val="bottom"/>
          </w:tcPr>
          <w:p>
            <w:pPr>
              <w:widowControl/>
              <w:jc w:val="right"/>
              <w:textAlignment w:val="bottom"/>
              <w:rPr>
                <w:rFonts w:hint="default" w:ascii="Times New Roman" w:hAnsi="Times New Roman" w:cs="Times New Roman"/>
                <w:color w:val="auto"/>
                <w:highlight w:val="none"/>
              </w:rPr>
            </w:pPr>
          </w:p>
        </w:tc>
        <w:tc>
          <w:tcPr>
            <w:tcW w:w="1169" w:type="dxa"/>
            <w:vAlign w:val="bottom"/>
          </w:tcPr>
          <w:p>
            <w:pPr>
              <w:widowControl/>
              <w:jc w:val="right"/>
              <w:textAlignment w:val="bottom"/>
              <w:rPr>
                <w:rFonts w:hint="default" w:ascii="Times New Roman" w:hAnsi="Times New Roman" w:cs="Times New Roman"/>
                <w:color w:val="auto"/>
                <w:sz w:val="22"/>
                <w:highlight w:val="none"/>
              </w:rPr>
            </w:pPr>
          </w:p>
        </w:tc>
        <w:tc>
          <w:tcPr>
            <w:tcW w:w="744" w:type="dxa"/>
            <w:vAlign w:val="bottom"/>
          </w:tcPr>
          <w:p>
            <w:pPr>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612" w:type="dxa"/>
            <w:vAlign w:val="center"/>
          </w:tcPr>
          <w:p>
            <w:pPr>
              <w:widowControl/>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南京炼油厂有限责任公司</w:t>
            </w:r>
          </w:p>
        </w:tc>
        <w:tc>
          <w:tcPr>
            <w:tcW w:w="2375" w:type="dxa"/>
            <w:vAlign w:val="center"/>
          </w:tcPr>
          <w:p>
            <w:pPr>
              <w:widowControl/>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制造业</w:t>
            </w:r>
          </w:p>
        </w:tc>
        <w:tc>
          <w:tcPr>
            <w:tcW w:w="1050" w:type="dxa"/>
            <w:vAlign w:val="bottom"/>
          </w:tcPr>
          <w:p>
            <w:pPr>
              <w:widowControl/>
              <w:jc w:val="right"/>
              <w:textAlignment w:val="bottom"/>
              <w:rPr>
                <w:rFonts w:hint="default" w:ascii="Times New Roman" w:hAnsi="Times New Roman" w:cs="Times New Roman"/>
                <w:color w:val="auto"/>
                <w:highlight w:val="none"/>
              </w:rPr>
            </w:pPr>
          </w:p>
        </w:tc>
        <w:tc>
          <w:tcPr>
            <w:tcW w:w="1169" w:type="dxa"/>
            <w:vAlign w:val="bottom"/>
          </w:tcPr>
          <w:p>
            <w:pPr>
              <w:widowControl/>
              <w:jc w:val="right"/>
              <w:textAlignment w:val="bottom"/>
              <w:rPr>
                <w:rFonts w:hint="default" w:ascii="Times New Roman" w:hAnsi="Times New Roman" w:cs="Times New Roman"/>
                <w:color w:val="auto"/>
                <w:sz w:val="22"/>
                <w:highlight w:val="none"/>
              </w:rPr>
            </w:pPr>
          </w:p>
        </w:tc>
        <w:tc>
          <w:tcPr>
            <w:tcW w:w="744" w:type="dxa"/>
            <w:vAlign w:val="bottom"/>
          </w:tcPr>
          <w:p>
            <w:pPr>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612" w:type="dxa"/>
            <w:vAlign w:val="center"/>
          </w:tcPr>
          <w:p>
            <w:pPr>
              <w:widowControl/>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南京浦泰房地产开发有限公司</w:t>
            </w:r>
          </w:p>
        </w:tc>
        <w:tc>
          <w:tcPr>
            <w:tcW w:w="2375" w:type="dxa"/>
            <w:vAlign w:val="center"/>
          </w:tcPr>
          <w:p>
            <w:pPr>
              <w:widowControl/>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房地产业</w:t>
            </w:r>
          </w:p>
        </w:tc>
        <w:tc>
          <w:tcPr>
            <w:tcW w:w="1050" w:type="dxa"/>
            <w:vAlign w:val="bottom"/>
          </w:tcPr>
          <w:p>
            <w:pPr>
              <w:widowControl/>
              <w:jc w:val="right"/>
              <w:textAlignment w:val="bottom"/>
              <w:rPr>
                <w:rFonts w:hint="default" w:ascii="Times New Roman" w:hAnsi="Times New Roman" w:cs="Times New Roman"/>
                <w:color w:val="auto"/>
                <w:highlight w:val="none"/>
              </w:rPr>
            </w:pPr>
          </w:p>
        </w:tc>
        <w:tc>
          <w:tcPr>
            <w:tcW w:w="1169" w:type="dxa"/>
            <w:vAlign w:val="bottom"/>
          </w:tcPr>
          <w:p>
            <w:pPr>
              <w:widowControl/>
              <w:jc w:val="right"/>
              <w:textAlignment w:val="bottom"/>
              <w:rPr>
                <w:rFonts w:hint="default" w:ascii="Times New Roman" w:hAnsi="Times New Roman" w:cs="Times New Roman"/>
                <w:color w:val="auto"/>
                <w:sz w:val="22"/>
                <w:highlight w:val="none"/>
              </w:rPr>
            </w:pPr>
          </w:p>
        </w:tc>
        <w:tc>
          <w:tcPr>
            <w:tcW w:w="744" w:type="dxa"/>
            <w:vAlign w:val="bottom"/>
          </w:tcPr>
          <w:p>
            <w:pPr>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612" w:type="dxa"/>
            <w:vAlign w:val="center"/>
          </w:tcPr>
          <w:p>
            <w:pPr>
              <w:widowControl/>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江苏宝润置业集团有限公司</w:t>
            </w:r>
          </w:p>
        </w:tc>
        <w:tc>
          <w:tcPr>
            <w:tcW w:w="2375" w:type="dxa"/>
            <w:vAlign w:val="center"/>
          </w:tcPr>
          <w:p>
            <w:pPr>
              <w:widowControl/>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租赁和商务服务业</w:t>
            </w:r>
          </w:p>
        </w:tc>
        <w:tc>
          <w:tcPr>
            <w:tcW w:w="1050" w:type="dxa"/>
            <w:vAlign w:val="bottom"/>
          </w:tcPr>
          <w:p>
            <w:pPr>
              <w:widowControl/>
              <w:jc w:val="right"/>
              <w:textAlignment w:val="bottom"/>
              <w:rPr>
                <w:rFonts w:hint="default" w:ascii="Times New Roman" w:hAnsi="Times New Roman" w:cs="Times New Roman"/>
                <w:color w:val="auto"/>
                <w:highlight w:val="none"/>
              </w:rPr>
            </w:pPr>
          </w:p>
        </w:tc>
        <w:tc>
          <w:tcPr>
            <w:tcW w:w="1169" w:type="dxa"/>
            <w:vAlign w:val="bottom"/>
          </w:tcPr>
          <w:p>
            <w:pPr>
              <w:widowControl/>
              <w:jc w:val="right"/>
              <w:textAlignment w:val="bottom"/>
              <w:rPr>
                <w:rFonts w:hint="default" w:ascii="Times New Roman" w:hAnsi="Times New Roman" w:cs="Times New Roman"/>
                <w:color w:val="auto"/>
                <w:sz w:val="22"/>
                <w:highlight w:val="none"/>
              </w:rPr>
            </w:pPr>
          </w:p>
        </w:tc>
        <w:tc>
          <w:tcPr>
            <w:tcW w:w="744" w:type="dxa"/>
            <w:vAlign w:val="bottom"/>
          </w:tcPr>
          <w:p>
            <w:pPr>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612" w:type="dxa"/>
            <w:vAlign w:val="center"/>
          </w:tcPr>
          <w:p>
            <w:pPr>
              <w:widowControl/>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南京兴业建设有限公司</w:t>
            </w:r>
          </w:p>
        </w:tc>
        <w:tc>
          <w:tcPr>
            <w:tcW w:w="2375" w:type="dxa"/>
            <w:vAlign w:val="center"/>
          </w:tcPr>
          <w:p>
            <w:pPr>
              <w:widowControl/>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建筑业</w:t>
            </w:r>
          </w:p>
        </w:tc>
        <w:tc>
          <w:tcPr>
            <w:tcW w:w="1050" w:type="dxa"/>
            <w:vAlign w:val="bottom"/>
          </w:tcPr>
          <w:p>
            <w:pPr>
              <w:widowControl/>
              <w:jc w:val="right"/>
              <w:textAlignment w:val="bottom"/>
              <w:rPr>
                <w:rFonts w:hint="default" w:ascii="Times New Roman" w:hAnsi="Times New Roman" w:cs="Times New Roman"/>
                <w:color w:val="auto"/>
                <w:highlight w:val="none"/>
              </w:rPr>
            </w:pPr>
          </w:p>
        </w:tc>
        <w:tc>
          <w:tcPr>
            <w:tcW w:w="1169" w:type="dxa"/>
            <w:vAlign w:val="bottom"/>
          </w:tcPr>
          <w:p>
            <w:pPr>
              <w:widowControl/>
              <w:jc w:val="right"/>
              <w:textAlignment w:val="bottom"/>
              <w:rPr>
                <w:rFonts w:hint="default" w:ascii="Times New Roman" w:hAnsi="Times New Roman" w:cs="Times New Roman"/>
                <w:color w:val="auto"/>
                <w:sz w:val="22"/>
                <w:highlight w:val="none"/>
              </w:rPr>
            </w:pPr>
          </w:p>
        </w:tc>
        <w:tc>
          <w:tcPr>
            <w:tcW w:w="744" w:type="dxa"/>
            <w:vAlign w:val="bottom"/>
          </w:tcPr>
          <w:p>
            <w:pPr>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612" w:type="dxa"/>
            <w:vAlign w:val="center"/>
          </w:tcPr>
          <w:p>
            <w:pPr>
              <w:widowControl/>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王起龙</w:t>
            </w:r>
          </w:p>
        </w:tc>
        <w:tc>
          <w:tcPr>
            <w:tcW w:w="2375" w:type="dxa"/>
            <w:vAlign w:val="center"/>
          </w:tcPr>
          <w:p>
            <w:pPr>
              <w:widowControl/>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建筑业</w:t>
            </w:r>
          </w:p>
        </w:tc>
        <w:tc>
          <w:tcPr>
            <w:tcW w:w="1050" w:type="dxa"/>
            <w:vAlign w:val="bottom"/>
          </w:tcPr>
          <w:p>
            <w:pPr>
              <w:jc w:val="right"/>
              <w:rPr>
                <w:rFonts w:hint="default" w:ascii="Times New Roman" w:hAnsi="Times New Roman" w:cs="Times New Roman"/>
                <w:color w:val="auto"/>
                <w:highlight w:val="none"/>
              </w:rPr>
            </w:pPr>
          </w:p>
        </w:tc>
        <w:tc>
          <w:tcPr>
            <w:tcW w:w="1169" w:type="dxa"/>
            <w:vAlign w:val="bottom"/>
          </w:tcPr>
          <w:p>
            <w:pPr>
              <w:jc w:val="right"/>
              <w:rPr>
                <w:rFonts w:hint="default" w:ascii="Times New Roman" w:hAnsi="Times New Roman" w:cs="Times New Roman"/>
                <w:color w:val="auto"/>
                <w:sz w:val="22"/>
                <w:highlight w:val="none"/>
              </w:rPr>
            </w:pPr>
          </w:p>
        </w:tc>
        <w:tc>
          <w:tcPr>
            <w:tcW w:w="744" w:type="dxa"/>
            <w:vAlign w:val="bottom"/>
          </w:tcPr>
          <w:p>
            <w:pPr>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612" w:type="dxa"/>
            <w:vAlign w:val="center"/>
          </w:tcPr>
          <w:p>
            <w:pPr>
              <w:widowControl/>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江苏祥弘建设有限公司</w:t>
            </w:r>
          </w:p>
        </w:tc>
        <w:tc>
          <w:tcPr>
            <w:tcW w:w="2375" w:type="dxa"/>
            <w:vAlign w:val="center"/>
          </w:tcPr>
          <w:p>
            <w:pPr>
              <w:widowControl/>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建筑业</w:t>
            </w:r>
          </w:p>
        </w:tc>
        <w:tc>
          <w:tcPr>
            <w:tcW w:w="1050" w:type="dxa"/>
            <w:vAlign w:val="bottom"/>
          </w:tcPr>
          <w:p>
            <w:pPr>
              <w:widowControl/>
              <w:jc w:val="right"/>
              <w:textAlignment w:val="bottom"/>
              <w:rPr>
                <w:rFonts w:hint="default" w:ascii="Times New Roman" w:hAnsi="Times New Roman" w:cs="Times New Roman"/>
                <w:color w:val="auto"/>
                <w:highlight w:val="none"/>
              </w:rPr>
            </w:pPr>
            <w:r>
              <w:rPr>
                <w:rFonts w:hint="default" w:ascii="Times New Roman" w:hAnsi="Times New Roman" w:eastAsia="仿宋_GB2312" w:cs="Times New Roman"/>
                <w:color w:val="auto"/>
                <w:kern w:val="0"/>
                <w:sz w:val="22"/>
                <w:highlight w:val="none"/>
              </w:rPr>
              <w:t xml:space="preserve">2,000.00   </w:t>
            </w:r>
          </w:p>
        </w:tc>
        <w:tc>
          <w:tcPr>
            <w:tcW w:w="1169" w:type="dxa"/>
            <w:vAlign w:val="bottom"/>
          </w:tcPr>
          <w:p>
            <w:pPr>
              <w:widowControl/>
              <w:jc w:val="right"/>
              <w:textAlignment w:val="bottom"/>
              <w:rPr>
                <w:rFonts w:hint="default" w:ascii="Times New Roman" w:hAnsi="Times New Roman" w:cs="Times New Roman"/>
                <w:color w:val="auto"/>
                <w:sz w:val="22"/>
                <w:highlight w:val="none"/>
              </w:rPr>
            </w:pPr>
            <w:r>
              <w:rPr>
                <w:rFonts w:hint="default" w:ascii="Times New Roman" w:hAnsi="Times New Roman" w:eastAsia="仿宋_GB2312" w:cs="Times New Roman"/>
                <w:color w:val="auto"/>
                <w:kern w:val="0"/>
                <w:sz w:val="22"/>
                <w:highlight w:val="none"/>
              </w:rPr>
              <w:t>0.12%</w:t>
            </w:r>
          </w:p>
        </w:tc>
        <w:tc>
          <w:tcPr>
            <w:tcW w:w="744" w:type="dxa"/>
            <w:vAlign w:val="bottom"/>
          </w:tcPr>
          <w:p>
            <w:pPr>
              <w:widowControl/>
              <w:jc w:val="center"/>
              <w:textAlignment w:val="bottom"/>
              <w:rPr>
                <w:rFonts w:hint="default" w:ascii="Times New Roman" w:hAnsi="Times New Roman" w:cs="Times New Roman"/>
                <w:color w:val="auto"/>
                <w:szCs w:val="21"/>
                <w:highlight w:val="none"/>
              </w:rPr>
            </w:pPr>
            <w:r>
              <w:rPr>
                <w:rFonts w:hint="default" w:ascii="Times New Roman" w:hAnsi="Times New Roman" w:eastAsia="仿宋_GB2312" w:cs="Times New Roman"/>
                <w:color w:val="auto"/>
                <w:kern w:val="0"/>
                <w:sz w:val="24"/>
                <w:szCs w:val="24"/>
                <w:highlight w:val="none"/>
              </w:rPr>
              <w:t>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612" w:type="dxa"/>
            <w:vAlign w:val="bottom"/>
          </w:tcPr>
          <w:p>
            <w:pPr>
              <w:widowControl/>
              <w:jc w:val="center"/>
              <w:textAlignment w:val="bottom"/>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合计</w:t>
            </w:r>
          </w:p>
        </w:tc>
        <w:tc>
          <w:tcPr>
            <w:tcW w:w="2375" w:type="dxa"/>
            <w:vAlign w:val="bottom"/>
          </w:tcPr>
          <w:p>
            <w:pPr>
              <w:rPr>
                <w:rFonts w:hint="default" w:ascii="Times New Roman" w:hAnsi="Times New Roman" w:eastAsia="仿宋_GB2312" w:cs="Times New Roman"/>
                <w:color w:val="auto"/>
                <w:sz w:val="24"/>
                <w:szCs w:val="24"/>
                <w:highlight w:val="none"/>
              </w:rPr>
            </w:pPr>
          </w:p>
        </w:tc>
        <w:tc>
          <w:tcPr>
            <w:tcW w:w="1050" w:type="dxa"/>
            <w:vAlign w:val="bottom"/>
          </w:tcPr>
          <w:p>
            <w:pPr>
              <w:widowControl/>
              <w:jc w:val="right"/>
              <w:textAlignment w:val="bottom"/>
              <w:rPr>
                <w:rFonts w:hint="default" w:ascii="Times New Roman" w:hAnsi="Times New Roman" w:cs="Times New Roman"/>
                <w:color w:val="auto"/>
                <w:highlight w:val="none"/>
              </w:rPr>
            </w:pPr>
            <w:r>
              <w:rPr>
                <w:rFonts w:hint="default" w:ascii="Times New Roman" w:hAnsi="Times New Roman" w:eastAsia="仿宋_GB2312" w:cs="Times New Roman"/>
                <w:color w:val="auto"/>
                <w:kern w:val="0"/>
                <w:sz w:val="22"/>
                <w:highlight w:val="none"/>
              </w:rPr>
              <w:t>2,000.00</w:t>
            </w:r>
          </w:p>
        </w:tc>
        <w:tc>
          <w:tcPr>
            <w:tcW w:w="1169" w:type="dxa"/>
            <w:vAlign w:val="bottom"/>
          </w:tcPr>
          <w:p>
            <w:pPr>
              <w:widowControl/>
              <w:jc w:val="right"/>
              <w:textAlignment w:val="bottom"/>
              <w:rPr>
                <w:rFonts w:hint="default" w:ascii="Times New Roman" w:hAnsi="Times New Roman" w:cs="Times New Roman"/>
                <w:color w:val="auto"/>
                <w:sz w:val="22"/>
                <w:highlight w:val="none"/>
              </w:rPr>
            </w:pPr>
            <w:r>
              <w:rPr>
                <w:rFonts w:hint="default" w:ascii="Times New Roman" w:hAnsi="Times New Roman" w:eastAsia="仿宋_GB2312" w:cs="Times New Roman"/>
                <w:color w:val="auto"/>
                <w:kern w:val="0"/>
                <w:sz w:val="22"/>
                <w:highlight w:val="none"/>
              </w:rPr>
              <w:t>0.12%</w:t>
            </w:r>
          </w:p>
        </w:tc>
        <w:tc>
          <w:tcPr>
            <w:tcW w:w="744" w:type="dxa"/>
            <w:noWrap/>
            <w:vAlign w:val="bottom"/>
          </w:tcPr>
          <w:p>
            <w:pPr>
              <w:rPr>
                <w:rFonts w:hint="default" w:ascii="Times New Roman" w:hAnsi="Times New Roman" w:cs="Times New Roman"/>
                <w:color w:val="auto"/>
                <w:sz w:val="24"/>
                <w:szCs w:val="24"/>
                <w:highlight w:val="none"/>
              </w:rPr>
            </w:pPr>
          </w:p>
        </w:tc>
      </w:tr>
    </w:tbl>
    <w:p>
      <w:pPr>
        <w:ind w:right="-37"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7.其他债权投资</w:t>
      </w:r>
    </w:p>
    <w:tbl>
      <w:tblPr>
        <w:tblStyle w:val="25"/>
        <w:tblW w:w="902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374"/>
        <w:gridCol w:w="3074"/>
        <w:gridCol w:w="25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3374"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3074" w:type="dxa"/>
            <w:vAlign w:val="center"/>
          </w:tcPr>
          <w:p>
            <w:pPr>
              <w:widowControl/>
              <w:ind w:right="-37"/>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2026-6-30</w:t>
            </w:r>
          </w:p>
        </w:tc>
        <w:tc>
          <w:tcPr>
            <w:tcW w:w="2581"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202</w:t>
            </w:r>
            <w:r>
              <w:rPr>
                <w:rFonts w:hint="default" w:ascii="Times New Roman" w:hAnsi="Times New Roman" w:eastAsia="仿宋_GB2312" w:cs="Times New Roman"/>
                <w:color w:val="auto"/>
                <w:kern w:val="0"/>
                <w:sz w:val="24"/>
                <w:szCs w:val="24"/>
                <w:highlight w:val="none"/>
                <w:lang w:val="en-US" w:eastAsia="zh-CN"/>
              </w:rPr>
              <w:t>5</w:t>
            </w:r>
            <w:r>
              <w:rPr>
                <w:rFonts w:hint="default" w:ascii="Times New Roman" w:hAnsi="Times New Roman" w:eastAsia="仿宋_GB2312" w:cs="Times New Roman"/>
                <w:color w:val="auto"/>
                <w:kern w:val="0"/>
                <w:sz w:val="24"/>
                <w:szCs w:val="24"/>
                <w:highlight w:val="none"/>
              </w:rPr>
              <w:t>-12-31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374" w:type="dxa"/>
            <w:vAlign w:val="center"/>
          </w:tcPr>
          <w:p>
            <w:pPr>
              <w:widowControl/>
              <w:ind w:right="-37"/>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国家债券</w:t>
            </w:r>
          </w:p>
        </w:tc>
        <w:tc>
          <w:tcPr>
            <w:tcW w:w="307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173,715.27</w:t>
            </w:r>
          </w:p>
        </w:tc>
        <w:tc>
          <w:tcPr>
            <w:tcW w:w="2581" w:type="dxa"/>
            <w:vAlign w:val="center"/>
          </w:tcPr>
          <w:p>
            <w:pPr>
              <w:widowControl/>
              <w:ind w:right="-37"/>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lang w:val="en-US" w:eastAsia="zh-CN"/>
              </w:rPr>
              <w:t xml:space="preserve"> 231,632.89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374" w:type="dxa"/>
            <w:vAlign w:val="center"/>
          </w:tcPr>
          <w:p>
            <w:pPr>
              <w:widowControl/>
              <w:ind w:right="-37"/>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金融债券</w:t>
            </w:r>
          </w:p>
        </w:tc>
        <w:tc>
          <w:tcPr>
            <w:tcW w:w="307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92,645.71</w:t>
            </w:r>
          </w:p>
        </w:tc>
        <w:tc>
          <w:tcPr>
            <w:tcW w:w="2581" w:type="dxa"/>
            <w:vAlign w:val="center"/>
          </w:tcPr>
          <w:p>
            <w:pPr>
              <w:widowControl/>
              <w:ind w:right="-37"/>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lang w:val="en-US" w:eastAsia="zh-CN"/>
              </w:rPr>
              <w:t xml:space="preserve"> 129,447.74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374" w:type="dxa"/>
            <w:vAlign w:val="center"/>
          </w:tcPr>
          <w:p>
            <w:pPr>
              <w:widowControl/>
              <w:ind w:right="-37"/>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企业债券</w:t>
            </w:r>
          </w:p>
        </w:tc>
        <w:tc>
          <w:tcPr>
            <w:tcW w:w="307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1,163.08</w:t>
            </w:r>
          </w:p>
        </w:tc>
        <w:tc>
          <w:tcPr>
            <w:tcW w:w="2581" w:type="dxa"/>
            <w:vAlign w:val="center"/>
          </w:tcPr>
          <w:p>
            <w:pPr>
              <w:widowControl/>
              <w:ind w:right="-37"/>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lang w:val="en-US" w:eastAsia="zh-CN"/>
              </w:rPr>
              <w:t xml:space="preserve"> 1,146.02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374" w:type="dxa"/>
            <w:vAlign w:val="center"/>
          </w:tcPr>
          <w:p>
            <w:pPr>
              <w:widowControl/>
              <w:ind w:right="-37"/>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地方政府债券</w:t>
            </w:r>
          </w:p>
        </w:tc>
        <w:tc>
          <w:tcPr>
            <w:tcW w:w="307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122,442.93</w:t>
            </w:r>
          </w:p>
        </w:tc>
        <w:tc>
          <w:tcPr>
            <w:tcW w:w="2581" w:type="dxa"/>
            <w:vAlign w:val="center"/>
          </w:tcPr>
          <w:p>
            <w:pPr>
              <w:widowControl/>
              <w:ind w:right="-37"/>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lang w:val="en-US" w:eastAsia="zh-CN"/>
              </w:rPr>
              <w:t xml:space="preserve"> 200,073.15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374"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其他债权投资合计</w:t>
            </w:r>
          </w:p>
        </w:tc>
        <w:tc>
          <w:tcPr>
            <w:tcW w:w="307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389,966.99</w:t>
            </w:r>
          </w:p>
        </w:tc>
        <w:tc>
          <w:tcPr>
            <w:tcW w:w="2581" w:type="dxa"/>
            <w:vAlign w:val="center"/>
          </w:tcPr>
          <w:p>
            <w:pPr>
              <w:widowControl/>
              <w:ind w:right="-37"/>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lang w:val="en-US" w:eastAsia="zh-CN"/>
              </w:rPr>
              <w:t xml:space="preserve"> 562,299.80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374" w:type="dxa"/>
            <w:vAlign w:val="center"/>
          </w:tcPr>
          <w:p>
            <w:pPr>
              <w:widowControl/>
              <w:ind w:right="-37"/>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其他债权投资应收利息</w:t>
            </w:r>
          </w:p>
        </w:tc>
        <w:tc>
          <w:tcPr>
            <w:tcW w:w="307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3,763.53</w:t>
            </w:r>
          </w:p>
        </w:tc>
        <w:tc>
          <w:tcPr>
            <w:tcW w:w="2581" w:type="dxa"/>
            <w:vAlign w:val="center"/>
          </w:tcPr>
          <w:p>
            <w:pPr>
              <w:widowControl/>
              <w:ind w:right="-37"/>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lang w:val="en-US" w:eastAsia="zh-CN"/>
              </w:rPr>
              <w:t xml:space="preserve"> 5,439.90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374"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其他债权投资账面价值</w:t>
            </w:r>
          </w:p>
        </w:tc>
        <w:tc>
          <w:tcPr>
            <w:tcW w:w="307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393,730.52</w:t>
            </w:r>
          </w:p>
        </w:tc>
        <w:tc>
          <w:tcPr>
            <w:tcW w:w="2581" w:type="dxa"/>
            <w:vAlign w:val="center"/>
          </w:tcPr>
          <w:p>
            <w:pPr>
              <w:widowControl/>
              <w:ind w:right="-37"/>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lang w:val="en-US" w:eastAsia="zh-CN"/>
              </w:rPr>
              <w:t xml:space="preserve"> 567,739.70 </w:t>
            </w:r>
          </w:p>
        </w:tc>
      </w:tr>
    </w:tbl>
    <w:p>
      <w:pPr>
        <w:ind w:right="-40"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8.债权投资</w:t>
      </w:r>
    </w:p>
    <w:tbl>
      <w:tblPr>
        <w:tblStyle w:val="25"/>
        <w:tblW w:w="902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364"/>
        <w:gridCol w:w="3071"/>
        <w:gridCol w:w="25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364"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3071"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lang w:val="en-US" w:eastAsia="zh-CN"/>
              </w:rPr>
              <w:t>2026-6-30</w:t>
            </w:r>
          </w:p>
        </w:tc>
        <w:tc>
          <w:tcPr>
            <w:tcW w:w="2594"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202</w:t>
            </w:r>
            <w:r>
              <w:rPr>
                <w:rFonts w:hint="default" w:ascii="Times New Roman" w:hAnsi="Times New Roman" w:eastAsia="仿宋_GB2312" w:cs="Times New Roman"/>
                <w:color w:val="auto"/>
                <w:kern w:val="0"/>
                <w:sz w:val="24"/>
                <w:szCs w:val="24"/>
                <w:highlight w:val="none"/>
                <w:lang w:val="en-US" w:eastAsia="zh-CN"/>
              </w:rPr>
              <w:t>5</w:t>
            </w:r>
            <w:r>
              <w:rPr>
                <w:rFonts w:hint="default" w:ascii="Times New Roman" w:hAnsi="Times New Roman" w:eastAsia="仿宋_GB2312" w:cs="Times New Roman"/>
                <w:color w:val="auto"/>
                <w:kern w:val="0"/>
                <w:sz w:val="24"/>
                <w:szCs w:val="24"/>
                <w:highlight w:val="none"/>
              </w:rPr>
              <w:t>-12-31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364" w:type="dxa"/>
            <w:vAlign w:val="center"/>
          </w:tcPr>
          <w:p>
            <w:pPr>
              <w:widowControl/>
              <w:ind w:right="-37"/>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国家债券</w:t>
            </w:r>
          </w:p>
        </w:tc>
        <w:tc>
          <w:tcPr>
            <w:tcW w:w="3071"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18,080.76</w:t>
            </w:r>
          </w:p>
        </w:tc>
        <w:tc>
          <w:tcPr>
            <w:tcW w:w="2594" w:type="dxa"/>
            <w:vAlign w:val="center"/>
          </w:tcPr>
          <w:p>
            <w:pPr>
              <w:widowControl/>
              <w:ind w:right="-37"/>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lang w:val="en-US" w:eastAsia="zh-CN"/>
              </w:rPr>
              <w:t xml:space="preserve"> 8,094.04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364" w:type="dxa"/>
            <w:vAlign w:val="center"/>
          </w:tcPr>
          <w:p>
            <w:pPr>
              <w:widowControl/>
              <w:ind w:right="-37"/>
              <w:jc w:val="left"/>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kern w:val="0"/>
                <w:sz w:val="24"/>
                <w:szCs w:val="24"/>
                <w:highlight w:val="none"/>
              </w:rPr>
              <w:t>金融债券</w:t>
            </w:r>
          </w:p>
        </w:tc>
        <w:tc>
          <w:tcPr>
            <w:tcW w:w="3071"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68,181.35</w:t>
            </w:r>
          </w:p>
        </w:tc>
        <w:tc>
          <w:tcPr>
            <w:tcW w:w="2594" w:type="dxa"/>
            <w:vAlign w:val="center"/>
          </w:tcPr>
          <w:p>
            <w:pPr>
              <w:widowControl/>
              <w:ind w:right="-37"/>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lang w:val="en-US" w:eastAsia="zh-CN"/>
              </w:rPr>
              <w:t xml:space="preserve"> 68,326.14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364" w:type="dxa"/>
            <w:vAlign w:val="center"/>
          </w:tcPr>
          <w:p>
            <w:pPr>
              <w:ind w:right="-37"/>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同业存单</w:t>
            </w:r>
          </w:p>
        </w:tc>
        <w:tc>
          <w:tcPr>
            <w:tcW w:w="3071"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24851.14</w:t>
            </w:r>
          </w:p>
        </w:tc>
        <w:tc>
          <w:tcPr>
            <w:tcW w:w="2594" w:type="dxa"/>
            <w:vAlign w:val="center"/>
          </w:tcPr>
          <w:p>
            <w:pPr>
              <w:widowControl/>
              <w:ind w:right="-37"/>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rPr>
              <w:t>19,781.6</w:t>
            </w:r>
            <w:r>
              <w:rPr>
                <w:rFonts w:hint="default" w:ascii="Times New Roman" w:hAnsi="Times New Roman" w:eastAsia="仿宋_GB2312" w:cs="Times New Roman"/>
                <w:color w:val="auto"/>
                <w:kern w:val="0"/>
                <w:sz w:val="22"/>
                <w:highlight w:val="none"/>
                <w:lang w:val="en-US" w:eastAsia="zh-CN"/>
              </w:rPr>
              <w:t>2</w:t>
            </w:r>
            <w:r>
              <w:rPr>
                <w:rFonts w:hint="default" w:ascii="Times New Roman" w:hAnsi="Times New Roman" w:eastAsia="仿宋_GB2312" w:cs="Times New Roman"/>
                <w:color w:val="auto"/>
                <w:kern w:val="0"/>
                <w:sz w:val="22"/>
                <w:highlight w:val="non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364" w:type="dxa"/>
            <w:vAlign w:val="center"/>
          </w:tcPr>
          <w:p>
            <w:pPr>
              <w:ind w:right="-37"/>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地方政府债券</w:t>
            </w:r>
          </w:p>
        </w:tc>
        <w:tc>
          <w:tcPr>
            <w:tcW w:w="3071"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189,533.34</w:t>
            </w:r>
          </w:p>
        </w:tc>
        <w:tc>
          <w:tcPr>
            <w:tcW w:w="2594" w:type="dxa"/>
            <w:vAlign w:val="center"/>
          </w:tcPr>
          <w:p>
            <w:pPr>
              <w:widowControl/>
              <w:ind w:right="-37"/>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58,888.40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364" w:type="dxa"/>
            <w:vAlign w:val="center"/>
          </w:tcPr>
          <w:p>
            <w:pPr>
              <w:ind w:right="-37"/>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债权投资合计</w:t>
            </w:r>
          </w:p>
        </w:tc>
        <w:tc>
          <w:tcPr>
            <w:tcW w:w="3071"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300,646.59</w:t>
            </w:r>
          </w:p>
        </w:tc>
        <w:tc>
          <w:tcPr>
            <w:tcW w:w="2594" w:type="dxa"/>
            <w:vAlign w:val="center"/>
          </w:tcPr>
          <w:p>
            <w:pPr>
              <w:widowControl/>
              <w:ind w:right="-37"/>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lang w:val="en-US" w:eastAsia="zh-CN"/>
              </w:rPr>
              <w:t>155,090.20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364" w:type="dxa"/>
            <w:vAlign w:val="center"/>
          </w:tcPr>
          <w:p>
            <w:pPr>
              <w:ind w:right="-37"/>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债权投资应收利息</w:t>
            </w:r>
          </w:p>
        </w:tc>
        <w:tc>
          <w:tcPr>
            <w:tcW w:w="3071"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2529.89</w:t>
            </w:r>
          </w:p>
        </w:tc>
        <w:tc>
          <w:tcPr>
            <w:tcW w:w="2594" w:type="dxa"/>
            <w:vAlign w:val="center"/>
          </w:tcPr>
          <w:p>
            <w:pPr>
              <w:widowControl/>
              <w:ind w:right="-37"/>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rPr>
              <w:t>1,165.7</w:t>
            </w:r>
            <w:r>
              <w:rPr>
                <w:rFonts w:hint="default" w:ascii="Times New Roman" w:hAnsi="Times New Roman" w:eastAsia="仿宋_GB2312" w:cs="Times New Roman"/>
                <w:color w:val="auto"/>
                <w:kern w:val="0"/>
                <w:sz w:val="22"/>
                <w:highlight w:val="none"/>
                <w:lang w:val="en-US" w:eastAsia="zh-CN"/>
              </w:rPr>
              <w:t>6</w:t>
            </w:r>
            <w:r>
              <w:rPr>
                <w:rFonts w:hint="default" w:ascii="Times New Roman" w:hAnsi="Times New Roman" w:eastAsia="仿宋_GB2312" w:cs="Times New Roman"/>
                <w:color w:val="auto"/>
                <w:kern w:val="0"/>
                <w:sz w:val="22"/>
                <w:highlight w:val="non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364" w:type="dxa"/>
            <w:vAlign w:val="center"/>
          </w:tcPr>
          <w:p>
            <w:pPr>
              <w:ind w:right="-37"/>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债权投资减值准备</w:t>
            </w:r>
          </w:p>
        </w:tc>
        <w:tc>
          <w:tcPr>
            <w:tcW w:w="3071"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712.45</w:t>
            </w:r>
          </w:p>
        </w:tc>
        <w:tc>
          <w:tcPr>
            <w:tcW w:w="2594" w:type="dxa"/>
            <w:vAlign w:val="center"/>
          </w:tcPr>
          <w:p>
            <w:pPr>
              <w:widowControl/>
              <w:ind w:right="-37"/>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rPr>
              <w:t xml:space="preserve">493.59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364" w:type="dxa"/>
            <w:vAlign w:val="center"/>
          </w:tcPr>
          <w:p>
            <w:pPr>
              <w:ind w:right="-37"/>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债权投资账面价值</w:t>
            </w:r>
          </w:p>
        </w:tc>
        <w:tc>
          <w:tcPr>
            <w:tcW w:w="3071"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302,464.03</w:t>
            </w:r>
          </w:p>
        </w:tc>
        <w:tc>
          <w:tcPr>
            <w:tcW w:w="2594" w:type="dxa"/>
            <w:vAlign w:val="center"/>
          </w:tcPr>
          <w:p>
            <w:pPr>
              <w:widowControl/>
              <w:ind w:right="-37"/>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lang w:val="en-US" w:eastAsia="zh-CN"/>
              </w:rPr>
              <w:t>155,762.37</w:t>
            </w:r>
          </w:p>
        </w:tc>
      </w:tr>
    </w:tbl>
    <w:p>
      <w:pPr>
        <w:ind w:left="0" w:right="-40" w:firstLine="560" w:firstLineChars="200"/>
        <w:jc w:val="left"/>
        <w:outlineLvl w:val="1"/>
        <w:rPr>
          <w:rFonts w:hint="default" w:ascii="Times New Roman" w:hAnsi="Times New Roman" w:cs="Times New Roman"/>
          <w:color w:val="auto"/>
          <w:highlight w:val="none"/>
        </w:rPr>
      </w:pPr>
      <w:r>
        <w:rPr>
          <w:rFonts w:hint="default" w:ascii="Times New Roman" w:hAnsi="Times New Roman" w:eastAsia="仿宋_GB2312" w:cs="Times New Roman"/>
          <w:color w:val="auto"/>
          <w:sz w:val="28"/>
          <w:szCs w:val="28"/>
          <w:highlight w:val="none"/>
          <w:lang w:val="en-US" w:eastAsia="zh-CN"/>
        </w:rPr>
        <w:t>9.</w:t>
      </w:r>
      <w:r>
        <w:rPr>
          <w:rFonts w:hint="default" w:ascii="Times New Roman" w:hAnsi="Times New Roman" w:eastAsia="仿宋_GB2312" w:cs="Times New Roman"/>
          <w:color w:val="auto"/>
          <w:sz w:val="28"/>
          <w:szCs w:val="28"/>
          <w:highlight w:val="none"/>
        </w:rPr>
        <w:t>固定资产</w:t>
      </w:r>
    </w:p>
    <w:tbl>
      <w:tblPr>
        <w:tblStyle w:val="25"/>
        <w:tblW w:w="903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66"/>
        <w:gridCol w:w="1667"/>
        <w:gridCol w:w="1667"/>
        <w:gridCol w:w="1667"/>
        <w:gridCol w:w="16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2366"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bookmarkStart w:id="9" w:name="_Hlk156053021"/>
            <w:r>
              <w:rPr>
                <w:rFonts w:hint="default" w:ascii="Times New Roman" w:hAnsi="Times New Roman" w:eastAsia="仿宋_GB2312" w:cs="Times New Roman"/>
                <w:color w:val="auto"/>
                <w:kern w:val="0"/>
                <w:sz w:val="24"/>
                <w:szCs w:val="24"/>
                <w:highlight w:val="none"/>
              </w:rPr>
              <w:t>项目</w:t>
            </w:r>
          </w:p>
        </w:tc>
        <w:tc>
          <w:tcPr>
            <w:tcW w:w="1667"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202</w:t>
            </w:r>
            <w:r>
              <w:rPr>
                <w:rFonts w:hint="default" w:ascii="Times New Roman" w:hAnsi="Times New Roman" w:eastAsia="仿宋_GB2312" w:cs="Times New Roman"/>
                <w:color w:val="auto"/>
                <w:kern w:val="0"/>
                <w:sz w:val="24"/>
                <w:szCs w:val="24"/>
                <w:highlight w:val="none"/>
                <w:lang w:val="en-US" w:eastAsia="zh-CN"/>
              </w:rPr>
              <w:t>5</w:t>
            </w:r>
            <w:r>
              <w:rPr>
                <w:rFonts w:hint="default" w:ascii="Times New Roman" w:hAnsi="Times New Roman" w:eastAsia="仿宋_GB2312" w:cs="Times New Roman"/>
                <w:color w:val="auto"/>
                <w:kern w:val="0"/>
                <w:sz w:val="24"/>
                <w:szCs w:val="24"/>
                <w:highlight w:val="none"/>
              </w:rPr>
              <w:t>-12-31</w:t>
            </w:r>
          </w:p>
        </w:tc>
        <w:tc>
          <w:tcPr>
            <w:tcW w:w="1667"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本期增加</w:t>
            </w:r>
          </w:p>
        </w:tc>
        <w:tc>
          <w:tcPr>
            <w:tcW w:w="1667"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本期减少</w:t>
            </w:r>
          </w:p>
        </w:tc>
        <w:tc>
          <w:tcPr>
            <w:tcW w:w="1669" w:type="dxa"/>
            <w:vAlign w:val="center"/>
          </w:tcPr>
          <w:p>
            <w:pPr>
              <w:widowControl/>
              <w:ind w:right="-37"/>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2026-6-30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固定资产原值</w:t>
            </w:r>
          </w:p>
        </w:tc>
        <w:tc>
          <w:tcPr>
            <w:tcW w:w="1667" w:type="dxa"/>
            <w:vAlign w:val="center"/>
          </w:tcPr>
          <w:p>
            <w:pPr>
              <w:jc w:val="right"/>
              <w:rPr>
                <w:rFonts w:hint="default" w:ascii="Times New Roman" w:hAnsi="Times New Roman" w:eastAsia="仿宋_GB2312" w:cs="Times New Roman"/>
                <w:color w:val="auto"/>
                <w:kern w:val="0"/>
                <w:sz w:val="22"/>
                <w:highlight w:val="none"/>
              </w:rPr>
            </w:pPr>
          </w:p>
        </w:tc>
        <w:tc>
          <w:tcPr>
            <w:tcW w:w="1667" w:type="dxa"/>
            <w:vAlign w:val="center"/>
          </w:tcPr>
          <w:p>
            <w:pPr>
              <w:jc w:val="right"/>
              <w:rPr>
                <w:rFonts w:hint="default" w:ascii="Times New Roman" w:hAnsi="Times New Roman" w:eastAsia="仿宋_GB2312" w:cs="Times New Roman"/>
                <w:color w:val="auto"/>
                <w:kern w:val="0"/>
                <w:sz w:val="22"/>
                <w:highlight w:val="none"/>
              </w:rPr>
            </w:pPr>
          </w:p>
        </w:tc>
        <w:tc>
          <w:tcPr>
            <w:tcW w:w="1667" w:type="dxa"/>
            <w:vAlign w:val="center"/>
          </w:tcPr>
          <w:p>
            <w:pPr>
              <w:jc w:val="right"/>
              <w:rPr>
                <w:rFonts w:hint="default" w:ascii="Times New Roman" w:hAnsi="Times New Roman" w:eastAsia="仿宋_GB2312" w:cs="Times New Roman"/>
                <w:color w:val="auto"/>
                <w:kern w:val="0"/>
                <w:sz w:val="22"/>
                <w:highlight w:val="none"/>
              </w:rPr>
            </w:pPr>
          </w:p>
        </w:tc>
        <w:tc>
          <w:tcPr>
            <w:tcW w:w="1669" w:type="dxa"/>
            <w:vAlign w:val="center"/>
          </w:tcPr>
          <w:p>
            <w:pPr>
              <w:jc w:val="right"/>
              <w:rPr>
                <w:rFonts w:hint="default" w:ascii="Times New Roman" w:hAnsi="Times New Roman" w:eastAsia="仿宋_GB2312" w:cs="Times New Roman"/>
                <w:color w:val="auto"/>
                <w:kern w:val="0"/>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其中：房屋及建筑物</w:t>
            </w:r>
          </w:p>
        </w:tc>
        <w:tc>
          <w:tcPr>
            <w:tcW w:w="1667" w:type="dxa"/>
            <w:vAlign w:val="bottom"/>
          </w:tcPr>
          <w:p>
            <w:pPr>
              <w:keepNext w:val="0"/>
              <w:keepLines w:val="0"/>
              <w:widowControl/>
              <w:suppressLineNumbers w:val="0"/>
              <w:jc w:val="right"/>
              <w:textAlignment w:val="bottom"/>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14,847.97</w:t>
            </w:r>
          </w:p>
        </w:tc>
        <w:tc>
          <w:tcPr>
            <w:tcW w:w="1667" w:type="dxa"/>
            <w:vAlign w:val="center"/>
          </w:tcPr>
          <w:p>
            <w:pPr>
              <w:jc w:val="right"/>
              <w:rPr>
                <w:rFonts w:hint="default" w:ascii="Times New Roman" w:hAnsi="Times New Roman" w:eastAsia="仿宋_GB2312" w:cs="Times New Roman"/>
                <w:color w:val="auto"/>
                <w:kern w:val="0"/>
                <w:sz w:val="22"/>
                <w:szCs w:val="22"/>
                <w:highlight w:val="none"/>
                <w:lang w:val="en-US"/>
              </w:rPr>
            </w:pP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192.59</w:t>
            </w:r>
          </w:p>
        </w:tc>
        <w:tc>
          <w:tcPr>
            <w:tcW w:w="1669" w:type="dxa"/>
            <w:vAlign w:val="bottom"/>
          </w:tcPr>
          <w:p>
            <w:pPr>
              <w:keepNext w:val="0"/>
              <w:keepLines w:val="0"/>
              <w:widowControl/>
              <w:suppressLineNumbers w:val="0"/>
              <w:jc w:val="right"/>
              <w:textAlignment w:val="bottom"/>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14,655.38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机器设备</w:t>
            </w:r>
          </w:p>
        </w:tc>
        <w:tc>
          <w:tcPr>
            <w:tcW w:w="1667" w:type="dxa"/>
            <w:vAlign w:val="bottom"/>
          </w:tcPr>
          <w:p>
            <w:pPr>
              <w:keepNext w:val="0"/>
              <w:keepLines w:val="0"/>
              <w:widowControl/>
              <w:suppressLineNumbers w:val="0"/>
              <w:jc w:val="right"/>
              <w:textAlignment w:val="bottom"/>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1,979.02</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65.55</w:t>
            </w:r>
          </w:p>
        </w:tc>
        <w:tc>
          <w:tcPr>
            <w:tcW w:w="1667" w:type="dxa"/>
            <w:vAlign w:val="center"/>
          </w:tcPr>
          <w:p>
            <w:pPr>
              <w:jc w:val="right"/>
              <w:rPr>
                <w:rFonts w:hint="default" w:ascii="Times New Roman" w:hAnsi="Times New Roman" w:eastAsia="仿宋_GB2312" w:cs="Times New Roman"/>
                <w:color w:val="auto"/>
                <w:kern w:val="0"/>
                <w:sz w:val="22"/>
                <w:szCs w:val="22"/>
                <w:highlight w:val="none"/>
              </w:rPr>
            </w:pPr>
          </w:p>
        </w:tc>
        <w:tc>
          <w:tcPr>
            <w:tcW w:w="1669" w:type="dxa"/>
            <w:vAlign w:val="bottom"/>
          </w:tcPr>
          <w:p>
            <w:pPr>
              <w:keepNext w:val="0"/>
              <w:keepLines w:val="0"/>
              <w:widowControl/>
              <w:suppressLineNumbers w:val="0"/>
              <w:jc w:val="right"/>
              <w:textAlignment w:val="bottom"/>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2,044.57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运输工具</w:t>
            </w:r>
          </w:p>
        </w:tc>
        <w:tc>
          <w:tcPr>
            <w:tcW w:w="1667" w:type="dxa"/>
            <w:vAlign w:val="bottom"/>
          </w:tcPr>
          <w:p>
            <w:pPr>
              <w:keepNext w:val="0"/>
              <w:keepLines w:val="0"/>
              <w:widowControl/>
              <w:suppressLineNumbers w:val="0"/>
              <w:jc w:val="right"/>
              <w:textAlignment w:val="bottom"/>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357.13</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32.6</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84.92</w:t>
            </w:r>
          </w:p>
        </w:tc>
        <w:tc>
          <w:tcPr>
            <w:tcW w:w="1669" w:type="dxa"/>
            <w:vAlign w:val="bottom"/>
          </w:tcPr>
          <w:p>
            <w:pPr>
              <w:keepNext w:val="0"/>
              <w:keepLines w:val="0"/>
              <w:widowControl/>
              <w:suppressLineNumbers w:val="0"/>
              <w:jc w:val="right"/>
              <w:textAlignment w:val="bottom"/>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304.81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电子设备</w:t>
            </w:r>
          </w:p>
        </w:tc>
        <w:tc>
          <w:tcPr>
            <w:tcW w:w="1667" w:type="dxa"/>
            <w:vAlign w:val="bottom"/>
          </w:tcPr>
          <w:p>
            <w:pPr>
              <w:keepNext w:val="0"/>
              <w:keepLines w:val="0"/>
              <w:widowControl/>
              <w:suppressLineNumbers w:val="0"/>
              <w:jc w:val="right"/>
              <w:textAlignment w:val="bottom"/>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5,705.68</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37.61</w:t>
            </w:r>
          </w:p>
        </w:tc>
        <w:tc>
          <w:tcPr>
            <w:tcW w:w="1667" w:type="dxa"/>
            <w:vAlign w:val="center"/>
          </w:tcPr>
          <w:p>
            <w:pPr>
              <w:jc w:val="right"/>
              <w:rPr>
                <w:rFonts w:hint="default" w:ascii="Times New Roman" w:hAnsi="Times New Roman" w:eastAsia="仿宋_GB2312" w:cs="Times New Roman"/>
                <w:color w:val="auto"/>
                <w:kern w:val="0"/>
                <w:sz w:val="22"/>
                <w:szCs w:val="22"/>
                <w:highlight w:val="none"/>
                <w:lang w:val="en-US"/>
              </w:rPr>
            </w:pPr>
          </w:p>
        </w:tc>
        <w:tc>
          <w:tcPr>
            <w:tcW w:w="1669" w:type="dxa"/>
            <w:vAlign w:val="bottom"/>
          </w:tcPr>
          <w:p>
            <w:pPr>
              <w:keepNext w:val="0"/>
              <w:keepLines w:val="0"/>
              <w:widowControl/>
              <w:suppressLineNumbers w:val="0"/>
              <w:jc w:val="right"/>
              <w:textAlignment w:val="bottom"/>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5,743.29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其他固定资产</w:t>
            </w:r>
          </w:p>
        </w:tc>
        <w:tc>
          <w:tcPr>
            <w:tcW w:w="1667" w:type="dxa"/>
            <w:vAlign w:val="bottom"/>
          </w:tcPr>
          <w:p>
            <w:pPr>
              <w:keepNext w:val="0"/>
              <w:keepLines w:val="0"/>
              <w:widowControl/>
              <w:suppressLineNumbers w:val="0"/>
              <w:jc w:val="right"/>
              <w:textAlignment w:val="bottom"/>
              <w:rPr>
                <w:rFonts w:hint="default" w:ascii="Times New Roman" w:hAnsi="Times New Roman" w:eastAsia="仿宋_GB2312" w:cs="Times New Roman"/>
                <w:color w:val="auto"/>
                <w:kern w:val="0"/>
                <w:sz w:val="22"/>
                <w:szCs w:val="22"/>
                <w:highlight w:val="none"/>
                <w:lang w:val="en-US"/>
              </w:rPr>
            </w:pPr>
            <w:r>
              <w:rPr>
                <w:rFonts w:hint="default" w:ascii="Times New Roman" w:hAnsi="Times New Roman" w:eastAsia="宋体" w:cs="Times New Roman"/>
                <w:i w:val="0"/>
                <w:color w:val="auto"/>
                <w:kern w:val="0"/>
                <w:sz w:val="22"/>
                <w:szCs w:val="22"/>
                <w:highlight w:val="none"/>
                <w:u w:val="none"/>
                <w:lang w:val="en-US" w:eastAsia="zh-CN"/>
              </w:rPr>
              <w:t>77.8</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39.9</w:t>
            </w:r>
          </w:p>
        </w:tc>
        <w:tc>
          <w:tcPr>
            <w:tcW w:w="1667" w:type="dxa"/>
            <w:vAlign w:val="center"/>
          </w:tcPr>
          <w:p>
            <w:pPr>
              <w:jc w:val="right"/>
              <w:rPr>
                <w:rFonts w:hint="default" w:ascii="Times New Roman" w:hAnsi="Times New Roman" w:eastAsia="仿宋_GB2312" w:cs="Times New Roman"/>
                <w:color w:val="auto"/>
                <w:kern w:val="0"/>
                <w:sz w:val="22"/>
                <w:szCs w:val="22"/>
                <w:highlight w:val="none"/>
              </w:rPr>
            </w:pPr>
          </w:p>
        </w:tc>
        <w:tc>
          <w:tcPr>
            <w:tcW w:w="1669" w:type="dxa"/>
            <w:vAlign w:val="bottom"/>
          </w:tcPr>
          <w:p>
            <w:pPr>
              <w:keepNext w:val="0"/>
              <w:keepLines w:val="0"/>
              <w:widowControl/>
              <w:suppressLineNumbers w:val="0"/>
              <w:jc w:val="right"/>
              <w:textAlignment w:val="bottom"/>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117.70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6"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22,967.60</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175.66</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277.51</w:t>
            </w:r>
          </w:p>
        </w:tc>
        <w:tc>
          <w:tcPr>
            <w:tcW w:w="1669"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22,865.75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累计折旧</w:t>
            </w:r>
          </w:p>
        </w:tc>
        <w:tc>
          <w:tcPr>
            <w:tcW w:w="1667" w:type="dxa"/>
            <w:vAlign w:val="center"/>
          </w:tcPr>
          <w:p>
            <w:pPr>
              <w:jc w:val="right"/>
              <w:rPr>
                <w:rFonts w:hint="default" w:ascii="Times New Roman" w:hAnsi="Times New Roman" w:eastAsia="仿宋_GB2312" w:cs="Times New Roman"/>
                <w:color w:val="auto"/>
                <w:kern w:val="0"/>
                <w:sz w:val="22"/>
                <w:szCs w:val="22"/>
                <w:highlight w:val="none"/>
              </w:rPr>
            </w:pPr>
          </w:p>
        </w:tc>
        <w:tc>
          <w:tcPr>
            <w:tcW w:w="1667" w:type="dxa"/>
            <w:vAlign w:val="center"/>
          </w:tcPr>
          <w:p>
            <w:pPr>
              <w:jc w:val="right"/>
              <w:rPr>
                <w:rFonts w:hint="default" w:ascii="Times New Roman" w:hAnsi="Times New Roman" w:eastAsia="仿宋_GB2312" w:cs="Times New Roman"/>
                <w:color w:val="auto"/>
                <w:kern w:val="0"/>
                <w:sz w:val="22"/>
                <w:szCs w:val="22"/>
                <w:highlight w:val="none"/>
              </w:rPr>
            </w:pPr>
          </w:p>
        </w:tc>
        <w:tc>
          <w:tcPr>
            <w:tcW w:w="1667" w:type="dxa"/>
            <w:vAlign w:val="center"/>
          </w:tcPr>
          <w:p>
            <w:pPr>
              <w:jc w:val="right"/>
              <w:rPr>
                <w:rFonts w:hint="default" w:ascii="Times New Roman" w:hAnsi="Times New Roman" w:eastAsia="仿宋_GB2312" w:cs="Times New Roman"/>
                <w:color w:val="auto"/>
                <w:kern w:val="0"/>
                <w:sz w:val="22"/>
                <w:szCs w:val="22"/>
                <w:highlight w:val="none"/>
              </w:rPr>
            </w:pPr>
          </w:p>
        </w:tc>
        <w:tc>
          <w:tcPr>
            <w:tcW w:w="1669" w:type="dxa"/>
            <w:vAlign w:val="center"/>
          </w:tcPr>
          <w:p>
            <w:pPr>
              <w:jc w:val="right"/>
              <w:rPr>
                <w:rFonts w:hint="default" w:ascii="Times New Roman" w:hAnsi="Times New Roman" w:eastAsia="仿宋_GB2312" w:cs="Times New Roman"/>
                <w:color w:val="auto"/>
                <w:kern w:val="0"/>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其中：房屋及建筑物</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8,699.81</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315.73</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110.53</w:t>
            </w:r>
          </w:p>
        </w:tc>
        <w:tc>
          <w:tcPr>
            <w:tcW w:w="1669"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8,905.01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机器设备</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1,607.10</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67.94</w:t>
            </w:r>
          </w:p>
        </w:tc>
        <w:tc>
          <w:tcPr>
            <w:tcW w:w="1667" w:type="dxa"/>
            <w:vAlign w:val="center"/>
          </w:tcPr>
          <w:p>
            <w:pPr>
              <w:jc w:val="right"/>
              <w:rPr>
                <w:rFonts w:hint="default" w:ascii="Times New Roman" w:hAnsi="Times New Roman" w:eastAsia="仿宋_GB2312" w:cs="Times New Roman"/>
                <w:color w:val="auto"/>
                <w:kern w:val="0"/>
                <w:sz w:val="22"/>
                <w:szCs w:val="22"/>
                <w:highlight w:val="none"/>
              </w:rPr>
            </w:pPr>
          </w:p>
        </w:tc>
        <w:tc>
          <w:tcPr>
            <w:tcW w:w="1669"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1,675.04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运输工具</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333.52</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2.55</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82.37</w:t>
            </w:r>
          </w:p>
        </w:tc>
        <w:tc>
          <w:tcPr>
            <w:tcW w:w="1669"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253.70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电子设备</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5,209.80</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113.63</w:t>
            </w:r>
          </w:p>
        </w:tc>
        <w:tc>
          <w:tcPr>
            <w:tcW w:w="1667" w:type="dxa"/>
            <w:vAlign w:val="center"/>
          </w:tcPr>
          <w:p>
            <w:pPr>
              <w:jc w:val="right"/>
              <w:rPr>
                <w:rFonts w:hint="default" w:ascii="Times New Roman" w:hAnsi="Times New Roman" w:eastAsia="仿宋_GB2312" w:cs="Times New Roman"/>
                <w:color w:val="auto"/>
                <w:kern w:val="0"/>
                <w:sz w:val="22"/>
                <w:szCs w:val="22"/>
                <w:highlight w:val="none"/>
              </w:rPr>
            </w:pPr>
          </w:p>
        </w:tc>
        <w:tc>
          <w:tcPr>
            <w:tcW w:w="1669"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5,323.43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其他固定资产</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45.18</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8.02</w:t>
            </w:r>
          </w:p>
        </w:tc>
        <w:tc>
          <w:tcPr>
            <w:tcW w:w="1667" w:type="dxa"/>
            <w:vAlign w:val="center"/>
          </w:tcPr>
          <w:p>
            <w:pPr>
              <w:jc w:val="right"/>
              <w:rPr>
                <w:rFonts w:hint="default" w:ascii="Times New Roman" w:hAnsi="Times New Roman" w:eastAsia="仿宋_GB2312" w:cs="Times New Roman"/>
                <w:color w:val="auto"/>
                <w:kern w:val="0"/>
                <w:sz w:val="22"/>
                <w:szCs w:val="22"/>
                <w:highlight w:val="none"/>
              </w:rPr>
            </w:pPr>
          </w:p>
        </w:tc>
        <w:tc>
          <w:tcPr>
            <w:tcW w:w="1669"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6"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15,895.41</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507.87</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192.9</w:t>
            </w:r>
          </w:p>
        </w:tc>
        <w:tc>
          <w:tcPr>
            <w:tcW w:w="1669"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16,210.38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固定资产净值</w:t>
            </w:r>
          </w:p>
        </w:tc>
        <w:tc>
          <w:tcPr>
            <w:tcW w:w="1667" w:type="dxa"/>
            <w:vAlign w:val="center"/>
          </w:tcPr>
          <w:p>
            <w:pPr>
              <w:jc w:val="right"/>
              <w:rPr>
                <w:rFonts w:hint="default" w:ascii="Times New Roman" w:hAnsi="Times New Roman" w:eastAsia="仿宋_GB2312" w:cs="Times New Roman"/>
                <w:color w:val="auto"/>
                <w:kern w:val="0"/>
                <w:sz w:val="22"/>
                <w:szCs w:val="22"/>
                <w:highlight w:val="none"/>
              </w:rPr>
            </w:pPr>
          </w:p>
        </w:tc>
        <w:tc>
          <w:tcPr>
            <w:tcW w:w="1667" w:type="dxa"/>
            <w:vAlign w:val="center"/>
          </w:tcPr>
          <w:p>
            <w:pPr>
              <w:jc w:val="right"/>
              <w:rPr>
                <w:rFonts w:hint="default" w:ascii="Times New Roman" w:hAnsi="Times New Roman" w:eastAsia="仿宋_GB2312" w:cs="Times New Roman"/>
                <w:color w:val="auto"/>
                <w:kern w:val="0"/>
                <w:sz w:val="22"/>
                <w:szCs w:val="22"/>
                <w:highlight w:val="none"/>
              </w:rPr>
            </w:pPr>
          </w:p>
        </w:tc>
        <w:tc>
          <w:tcPr>
            <w:tcW w:w="1667" w:type="dxa"/>
            <w:vAlign w:val="center"/>
          </w:tcPr>
          <w:p>
            <w:pPr>
              <w:jc w:val="right"/>
              <w:rPr>
                <w:rFonts w:hint="default" w:ascii="Times New Roman" w:hAnsi="Times New Roman" w:eastAsia="仿宋_GB2312" w:cs="Times New Roman"/>
                <w:color w:val="auto"/>
                <w:kern w:val="0"/>
                <w:sz w:val="22"/>
                <w:szCs w:val="22"/>
                <w:highlight w:val="none"/>
              </w:rPr>
            </w:pPr>
          </w:p>
        </w:tc>
        <w:tc>
          <w:tcPr>
            <w:tcW w:w="1669" w:type="dxa"/>
            <w:vAlign w:val="center"/>
          </w:tcPr>
          <w:p>
            <w:pPr>
              <w:jc w:val="right"/>
              <w:rPr>
                <w:rFonts w:hint="default" w:ascii="Times New Roman" w:hAnsi="Times New Roman" w:eastAsia="仿宋_GB2312" w:cs="Times New Roman"/>
                <w:color w:val="auto"/>
                <w:kern w:val="0"/>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其中：房屋及建筑物</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6,148.15</w:t>
            </w:r>
          </w:p>
        </w:tc>
        <w:tc>
          <w:tcPr>
            <w:tcW w:w="1667" w:type="dxa"/>
            <w:vAlign w:val="center"/>
          </w:tcPr>
          <w:p>
            <w:pPr>
              <w:jc w:val="right"/>
              <w:rPr>
                <w:rFonts w:hint="default" w:ascii="Times New Roman" w:hAnsi="Times New Roman" w:eastAsia="仿宋_GB2312" w:cs="Times New Roman"/>
                <w:color w:val="auto"/>
                <w:kern w:val="0"/>
                <w:sz w:val="22"/>
                <w:szCs w:val="22"/>
                <w:highlight w:val="none"/>
                <w:lang w:val="en-US"/>
              </w:rPr>
            </w:pPr>
          </w:p>
        </w:tc>
        <w:tc>
          <w:tcPr>
            <w:tcW w:w="1667" w:type="dxa"/>
            <w:vAlign w:val="center"/>
          </w:tcPr>
          <w:p>
            <w:pPr>
              <w:jc w:val="right"/>
              <w:rPr>
                <w:rFonts w:hint="default" w:ascii="Times New Roman" w:hAnsi="Times New Roman" w:eastAsia="仿宋_GB2312" w:cs="Times New Roman"/>
                <w:color w:val="auto"/>
                <w:kern w:val="0"/>
                <w:sz w:val="22"/>
                <w:szCs w:val="22"/>
                <w:highlight w:val="none"/>
              </w:rPr>
            </w:pPr>
          </w:p>
        </w:tc>
        <w:tc>
          <w:tcPr>
            <w:tcW w:w="1669"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5,750.37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机器设备</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371.91</w:t>
            </w:r>
          </w:p>
        </w:tc>
        <w:tc>
          <w:tcPr>
            <w:tcW w:w="1667" w:type="dxa"/>
            <w:vAlign w:val="center"/>
          </w:tcPr>
          <w:p>
            <w:pPr>
              <w:jc w:val="right"/>
              <w:rPr>
                <w:rFonts w:hint="default" w:ascii="Times New Roman" w:hAnsi="Times New Roman" w:eastAsia="仿宋_GB2312" w:cs="Times New Roman"/>
                <w:color w:val="auto"/>
                <w:kern w:val="0"/>
                <w:sz w:val="22"/>
                <w:szCs w:val="22"/>
                <w:highlight w:val="none"/>
              </w:rPr>
            </w:pPr>
          </w:p>
        </w:tc>
        <w:tc>
          <w:tcPr>
            <w:tcW w:w="1667" w:type="dxa"/>
            <w:vAlign w:val="center"/>
          </w:tcPr>
          <w:p>
            <w:pPr>
              <w:jc w:val="right"/>
              <w:rPr>
                <w:rFonts w:hint="default" w:ascii="Times New Roman" w:hAnsi="Times New Roman" w:eastAsia="仿宋_GB2312" w:cs="Times New Roman"/>
                <w:color w:val="auto"/>
                <w:kern w:val="0"/>
                <w:sz w:val="22"/>
                <w:szCs w:val="22"/>
                <w:highlight w:val="none"/>
                <w:lang w:val="en-US"/>
              </w:rPr>
            </w:pPr>
          </w:p>
        </w:tc>
        <w:tc>
          <w:tcPr>
            <w:tcW w:w="1669"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369.53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运输工具</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23.61</w:t>
            </w:r>
          </w:p>
        </w:tc>
        <w:tc>
          <w:tcPr>
            <w:tcW w:w="1667" w:type="dxa"/>
            <w:vAlign w:val="center"/>
          </w:tcPr>
          <w:p>
            <w:pPr>
              <w:jc w:val="right"/>
              <w:rPr>
                <w:rFonts w:hint="default" w:ascii="Times New Roman" w:hAnsi="Times New Roman" w:eastAsia="仿宋_GB2312" w:cs="Times New Roman"/>
                <w:color w:val="auto"/>
                <w:kern w:val="0"/>
                <w:sz w:val="22"/>
                <w:szCs w:val="22"/>
                <w:highlight w:val="none"/>
              </w:rPr>
            </w:pPr>
          </w:p>
        </w:tc>
        <w:tc>
          <w:tcPr>
            <w:tcW w:w="1667" w:type="dxa"/>
            <w:vAlign w:val="center"/>
          </w:tcPr>
          <w:p>
            <w:pPr>
              <w:jc w:val="right"/>
              <w:rPr>
                <w:rFonts w:hint="default" w:ascii="Times New Roman" w:hAnsi="Times New Roman" w:eastAsia="仿宋_GB2312" w:cs="Times New Roman"/>
                <w:color w:val="auto"/>
                <w:kern w:val="0"/>
                <w:sz w:val="22"/>
                <w:szCs w:val="22"/>
                <w:highlight w:val="none"/>
              </w:rPr>
            </w:pPr>
          </w:p>
        </w:tc>
        <w:tc>
          <w:tcPr>
            <w:tcW w:w="1669"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51.11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电子设备</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495.87</w:t>
            </w:r>
          </w:p>
        </w:tc>
        <w:tc>
          <w:tcPr>
            <w:tcW w:w="1667" w:type="dxa"/>
            <w:vAlign w:val="center"/>
          </w:tcPr>
          <w:p>
            <w:pPr>
              <w:jc w:val="right"/>
              <w:rPr>
                <w:rFonts w:hint="default" w:ascii="Times New Roman" w:hAnsi="Times New Roman" w:eastAsia="仿宋_GB2312" w:cs="Times New Roman"/>
                <w:color w:val="auto"/>
                <w:kern w:val="0"/>
                <w:sz w:val="22"/>
                <w:szCs w:val="22"/>
                <w:highlight w:val="none"/>
              </w:rPr>
            </w:pPr>
          </w:p>
        </w:tc>
        <w:tc>
          <w:tcPr>
            <w:tcW w:w="1667" w:type="dxa"/>
            <w:vAlign w:val="center"/>
          </w:tcPr>
          <w:p>
            <w:pPr>
              <w:jc w:val="right"/>
              <w:rPr>
                <w:rFonts w:hint="default" w:ascii="Times New Roman" w:hAnsi="Times New Roman" w:eastAsia="仿宋_GB2312" w:cs="Times New Roman"/>
                <w:color w:val="auto"/>
                <w:kern w:val="0"/>
                <w:sz w:val="22"/>
                <w:szCs w:val="22"/>
                <w:highlight w:val="none"/>
              </w:rPr>
            </w:pPr>
          </w:p>
        </w:tc>
        <w:tc>
          <w:tcPr>
            <w:tcW w:w="1669"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419.86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其他固定资产</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32.61</w:t>
            </w:r>
          </w:p>
        </w:tc>
        <w:tc>
          <w:tcPr>
            <w:tcW w:w="1667" w:type="dxa"/>
            <w:vAlign w:val="center"/>
          </w:tcPr>
          <w:p>
            <w:pPr>
              <w:jc w:val="right"/>
              <w:rPr>
                <w:rFonts w:hint="default" w:ascii="Times New Roman" w:hAnsi="Times New Roman" w:eastAsia="仿宋_GB2312" w:cs="Times New Roman"/>
                <w:color w:val="auto"/>
                <w:kern w:val="0"/>
                <w:sz w:val="22"/>
                <w:szCs w:val="22"/>
                <w:highlight w:val="none"/>
              </w:rPr>
            </w:pPr>
          </w:p>
        </w:tc>
        <w:tc>
          <w:tcPr>
            <w:tcW w:w="1667" w:type="dxa"/>
            <w:vAlign w:val="center"/>
          </w:tcPr>
          <w:p>
            <w:pPr>
              <w:jc w:val="right"/>
              <w:rPr>
                <w:rFonts w:hint="default" w:ascii="Times New Roman" w:hAnsi="Times New Roman" w:eastAsia="仿宋_GB2312" w:cs="Times New Roman"/>
                <w:color w:val="auto"/>
                <w:kern w:val="0"/>
                <w:sz w:val="22"/>
                <w:szCs w:val="22"/>
                <w:highlight w:val="none"/>
              </w:rPr>
            </w:pPr>
          </w:p>
        </w:tc>
        <w:tc>
          <w:tcPr>
            <w:tcW w:w="1669"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64.5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6"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7,072.19</w:t>
            </w:r>
          </w:p>
        </w:tc>
        <w:tc>
          <w:tcPr>
            <w:tcW w:w="1667" w:type="dxa"/>
            <w:vAlign w:val="center"/>
          </w:tcPr>
          <w:p>
            <w:pPr>
              <w:jc w:val="right"/>
              <w:rPr>
                <w:rFonts w:hint="default" w:ascii="Times New Roman" w:hAnsi="Times New Roman" w:eastAsia="仿宋_GB2312" w:cs="Times New Roman"/>
                <w:color w:val="auto"/>
                <w:kern w:val="0"/>
                <w:sz w:val="22"/>
                <w:szCs w:val="22"/>
                <w:highlight w:val="none"/>
              </w:rPr>
            </w:pPr>
          </w:p>
        </w:tc>
        <w:tc>
          <w:tcPr>
            <w:tcW w:w="1667" w:type="dxa"/>
            <w:vAlign w:val="center"/>
          </w:tcPr>
          <w:p>
            <w:pPr>
              <w:jc w:val="right"/>
              <w:rPr>
                <w:rFonts w:hint="default" w:ascii="Times New Roman" w:hAnsi="Times New Roman" w:eastAsia="仿宋_GB2312" w:cs="Times New Roman"/>
                <w:color w:val="auto"/>
                <w:kern w:val="0"/>
                <w:sz w:val="22"/>
                <w:szCs w:val="22"/>
                <w:highlight w:val="none"/>
              </w:rPr>
            </w:pPr>
          </w:p>
        </w:tc>
        <w:tc>
          <w:tcPr>
            <w:tcW w:w="1669"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6,655.37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固定资产减值准备</w:t>
            </w:r>
          </w:p>
        </w:tc>
        <w:tc>
          <w:tcPr>
            <w:tcW w:w="1667"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51.15</w:t>
            </w:r>
          </w:p>
        </w:tc>
        <w:tc>
          <w:tcPr>
            <w:tcW w:w="1667" w:type="dxa"/>
            <w:vAlign w:val="center"/>
          </w:tcPr>
          <w:p>
            <w:pPr>
              <w:jc w:val="right"/>
              <w:rPr>
                <w:rFonts w:hint="default" w:ascii="Times New Roman" w:hAnsi="Times New Roman" w:eastAsia="仿宋_GB2312" w:cs="Times New Roman"/>
                <w:color w:val="auto"/>
                <w:kern w:val="0"/>
                <w:sz w:val="22"/>
                <w:szCs w:val="22"/>
                <w:highlight w:val="none"/>
              </w:rPr>
            </w:pPr>
          </w:p>
        </w:tc>
        <w:tc>
          <w:tcPr>
            <w:tcW w:w="1667" w:type="dxa"/>
            <w:vAlign w:val="center"/>
          </w:tcPr>
          <w:p>
            <w:pPr>
              <w:jc w:val="right"/>
              <w:rPr>
                <w:rFonts w:hint="default" w:ascii="Times New Roman" w:hAnsi="Times New Roman" w:eastAsia="仿宋_GB2312" w:cs="Times New Roman"/>
                <w:color w:val="auto"/>
                <w:kern w:val="0"/>
                <w:sz w:val="22"/>
                <w:szCs w:val="22"/>
                <w:highlight w:val="none"/>
              </w:rPr>
            </w:pPr>
          </w:p>
        </w:tc>
        <w:tc>
          <w:tcPr>
            <w:tcW w:w="1669"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51.15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6" w:type="dxa"/>
            <w:tcBorders>
              <w:bottom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固定资产账面价值</w:t>
            </w:r>
          </w:p>
        </w:tc>
        <w:tc>
          <w:tcPr>
            <w:tcW w:w="1667" w:type="dxa"/>
            <w:tcBorders>
              <w:bottom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7,021.04</w:t>
            </w:r>
          </w:p>
        </w:tc>
        <w:tc>
          <w:tcPr>
            <w:tcW w:w="1667" w:type="dxa"/>
            <w:tcBorders>
              <w:bottom w:val="single" w:color="auto" w:sz="4" w:space="0"/>
            </w:tcBorders>
            <w:vAlign w:val="center"/>
          </w:tcPr>
          <w:p>
            <w:pPr>
              <w:jc w:val="right"/>
              <w:rPr>
                <w:rFonts w:hint="default" w:ascii="Times New Roman" w:hAnsi="Times New Roman" w:eastAsia="仿宋_GB2312" w:cs="Times New Roman"/>
                <w:color w:val="auto"/>
                <w:kern w:val="0"/>
                <w:sz w:val="22"/>
                <w:szCs w:val="22"/>
                <w:highlight w:val="none"/>
              </w:rPr>
            </w:pPr>
          </w:p>
        </w:tc>
        <w:tc>
          <w:tcPr>
            <w:tcW w:w="1667" w:type="dxa"/>
            <w:tcBorders>
              <w:bottom w:val="single" w:color="auto" w:sz="4" w:space="0"/>
            </w:tcBorders>
            <w:vAlign w:val="center"/>
          </w:tcPr>
          <w:p>
            <w:pPr>
              <w:jc w:val="right"/>
              <w:rPr>
                <w:rFonts w:hint="default" w:ascii="Times New Roman" w:hAnsi="Times New Roman" w:eastAsia="仿宋_GB2312" w:cs="Times New Roman"/>
                <w:color w:val="auto"/>
                <w:kern w:val="0"/>
                <w:sz w:val="22"/>
                <w:szCs w:val="22"/>
                <w:highlight w:val="none"/>
              </w:rPr>
            </w:pPr>
          </w:p>
        </w:tc>
        <w:tc>
          <w:tcPr>
            <w:tcW w:w="1669" w:type="dxa"/>
            <w:tcBorders>
              <w:bottom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6,604.22</w:t>
            </w:r>
          </w:p>
        </w:tc>
      </w:tr>
      <w:bookmarkEnd w:id="9"/>
    </w:tbl>
    <w:p>
      <w:pPr>
        <w:rPr>
          <w:rFonts w:hint="default" w:ascii="Times New Roman" w:hAnsi="Times New Roman" w:cs="Times New Roman"/>
          <w:vanish/>
          <w:color w:val="auto"/>
          <w:highlight w:val="none"/>
        </w:rPr>
      </w:pPr>
    </w:p>
    <w:tbl>
      <w:tblPr>
        <w:tblStyle w:val="25"/>
        <w:tblpPr w:leftFromText="180" w:rightFromText="180" w:vertAnchor="text" w:horzAnchor="margin" w:tblpXSpec="center" w:tblpY="648"/>
        <w:tblOverlap w:val="never"/>
        <w:tblW w:w="917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78"/>
        <w:gridCol w:w="1384"/>
        <w:gridCol w:w="1161"/>
        <w:gridCol w:w="1650"/>
        <w:gridCol w:w="1185"/>
        <w:gridCol w:w="14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blHeader/>
        </w:trPr>
        <w:tc>
          <w:tcPr>
            <w:tcW w:w="2378" w:type="dxa"/>
            <w:vMerge w:val="restart"/>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1384" w:type="dxa"/>
            <w:vMerge w:val="restart"/>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202</w:t>
            </w:r>
            <w:r>
              <w:rPr>
                <w:rFonts w:hint="default" w:ascii="Times New Roman" w:hAnsi="Times New Roman" w:eastAsia="仿宋_GB2312" w:cs="Times New Roman"/>
                <w:color w:val="auto"/>
                <w:kern w:val="0"/>
                <w:sz w:val="24"/>
                <w:szCs w:val="24"/>
                <w:highlight w:val="none"/>
                <w:lang w:val="en-US" w:eastAsia="zh-CN"/>
              </w:rPr>
              <w:t>5</w:t>
            </w:r>
            <w:r>
              <w:rPr>
                <w:rFonts w:hint="default" w:ascii="Times New Roman" w:hAnsi="Times New Roman" w:eastAsia="仿宋_GB2312" w:cs="Times New Roman"/>
                <w:color w:val="auto"/>
                <w:kern w:val="0"/>
                <w:sz w:val="24"/>
                <w:szCs w:val="24"/>
                <w:highlight w:val="none"/>
              </w:rPr>
              <w:t>-12-31</w:t>
            </w:r>
          </w:p>
        </w:tc>
        <w:tc>
          <w:tcPr>
            <w:tcW w:w="1161" w:type="dxa"/>
            <w:vMerge w:val="restart"/>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本期增加</w:t>
            </w:r>
          </w:p>
        </w:tc>
        <w:tc>
          <w:tcPr>
            <w:tcW w:w="2835" w:type="dxa"/>
            <w:gridSpan w:val="2"/>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本期减少</w:t>
            </w:r>
          </w:p>
        </w:tc>
        <w:tc>
          <w:tcPr>
            <w:tcW w:w="1417" w:type="dxa"/>
            <w:vMerge w:val="restart"/>
            <w:vAlign w:val="center"/>
          </w:tcPr>
          <w:p>
            <w:pPr>
              <w:widowControl/>
              <w:ind w:right="-37"/>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rPr>
              <w:t>2</w:t>
            </w:r>
            <w:r>
              <w:rPr>
                <w:rFonts w:hint="default" w:ascii="Times New Roman" w:hAnsi="Times New Roman" w:eastAsia="仿宋_GB2312" w:cs="Times New Roman"/>
                <w:color w:val="auto"/>
                <w:kern w:val="0"/>
                <w:sz w:val="24"/>
                <w:szCs w:val="24"/>
                <w:highlight w:val="none"/>
                <w:lang w:val="en-US" w:eastAsia="zh-CN"/>
              </w:rPr>
              <w:t>026-6-30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blHeader/>
        </w:trPr>
        <w:tc>
          <w:tcPr>
            <w:tcW w:w="2378" w:type="dxa"/>
            <w:vMerge w:val="continue"/>
            <w:vAlign w:val="center"/>
          </w:tcPr>
          <w:p>
            <w:pPr>
              <w:rPr>
                <w:rFonts w:hint="default" w:ascii="Times New Roman" w:hAnsi="Times New Roman" w:cs="Times New Roman"/>
              </w:rPr>
            </w:pPr>
          </w:p>
        </w:tc>
        <w:tc>
          <w:tcPr>
            <w:tcW w:w="1384" w:type="dxa"/>
            <w:vMerge w:val="continue"/>
            <w:vAlign w:val="center"/>
          </w:tcPr>
          <w:p>
            <w:pPr>
              <w:rPr>
                <w:rFonts w:hint="default" w:ascii="Times New Roman" w:hAnsi="Times New Roman" w:cs="Times New Roman"/>
              </w:rPr>
            </w:pPr>
          </w:p>
        </w:tc>
        <w:tc>
          <w:tcPr>
            <w:tcW w:w="1161" w:type="dxa"/>
            <w:vMerge w:val="continue"/>
            <w:vAlign w:val="center"/>
          </w:tcPr>
          <w:p>
            <w:pPr>
              <w:rPr>
                <w:rFonts w:hint="default" w:ascii="Times New Roman" w:hAnsi="Times New Roman" w:cs="Times New Roman"/>
              </w:rPr>
            </w:pPr>
          </w:p>
        </w:tc>
        <w:tc>
          <w:tcPr>
            <w:tcW w:w="1650" w:type="dxa"/>
            <w:vAlign w:val="center"/>
          </w:tcPr>
          <w:p>
            <w:pPr>
              <w:widowControl/>
              <w:spacing w:line="240" w:lineRule="exact"/>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转入固定资产</w:t>
            </w:r>
          </w:p>
        </w:tc>
        <w:tc>
          <w:tcPr>
            <w:tcW w:w="1185" w:type="dxa"/>
            <w:vAlign w:val="center"/>
          </w:tcPr>
          <w:p>
            <w:pPr>
              <w:widowControl/>
              <w:spacing w:line="240" w:lineRule="exact"/>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其他减少</w:t>
            </w:r>
          </w:p>
        </w:tc>
        <w:tc>
          <w:tcPr>
            <w:tcW w:w="1417" w:type="dxa"/>
            <w:vMerge w:val="continue"/>
            <w:vAlign w:val="center"/>
          </w:tcPr>
          <w:p>
            <w:pP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2378"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房屋建筑类</w:t>
            </w:r>
          </w:p>
        </w:tc>
        <w:tc>
          <w:tcPr>
            <w:tcW w:w="1384"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19.80 </w:t>
            </w:r>
          </w:p>
        </w:tc>
        <w:tc>
          <w:tcPr>
            <w:tcW w:w="1161"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0.11 </w:t>
            </w:r>
          </w:p>
        </w:tc>
        <w:tc>
          <w:tcPr>
            <w:tcW w:w="1650"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c>
          <w:tcPr>
            <w:tcW w:w="1185"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c>
          <w:tcPr>
            <w:tcW w:w="1417"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19.91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2378"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软件工程类</w:t>
            </w:r>
          </w:p>
        </w:tc>
        <w:tc>
          <w:tcPr>
            <w:tcW w:w="1384"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18.00 </w:t>
            </w:r>
          </w:p>
        </w:tc>
        <w:tc>
          <w:tcPr>
            <w:tcW w:w="1161"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c>
          <w:tcPr>
            <w:tcW w:w="1650"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18.00 </w:t>
            </w:r>
          </w:p>
        </w:tc>
        <w:tc>
          <w:tcPr>
            <w:tcW w:w="1185"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c>
          <w:tcPr>
            <w:tcW w:w="1417"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2378"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其他类</w:t>
            </w:r>
          </w:p>
        </w:tc>
        <w:tc>
          <w:tcPr>
            <w:tcW w:w="1384"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90.10 </w:t>
            </w:r>
          </w:p>
        </w:tc>
        <w:tc>
          <w:tcPr>
            <w:tcW w:w="1161"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80.63 </w:t>
            </w:r>
          </w:p>
        </w:tc>
        <w:tc>
          <w:tcPr>
            <w:tcW w:w="1650"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c>
          <w:tcPr>
            <w:tcW w:w="1185"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158.18 </w:t>
            </w:r>
          </w:p>
        </w:tc>
        <w:tc>
          <w:tcPr>
            <w:tcW w:w="1417"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12.55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2378" w:type="dxa"/>
            <w:vAlign w:val="center"/>
          </w:tcPr>
          <w:p>
            <w:pPr>
              <w:adjustRightInd w:val="0"/>
              <w:snapToGrid w:val="0"/>
              <w:spacing w:line="240" w:lineRule="exact"/>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合计</w:t>
            </w:r>
          </w:p>
        </w:tc>
        <w:tc>
          <w:tcPr>
            <w:tcW w:w="1384"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127.90 </w:t>
            </w:r>
          </w:p>
        </w:tc>
        <w:tc>
          <w:tcPr>
            <w:tcW w:w="1161"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80.74 </w:t>
            </w:r>
          </w:p>
        </w:tc>
        <w:tc>
          <w:tcPr>
            <w:tcW w:w="1650"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18.00 </w:t>
            </w:r>
          </w:p>
        </w:tc>
        <w:tc>
          <w:tcPr>
            <w:tcW w:w="1185"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158.18 </w:t>
            </w:r>
          </w:p>
        </w:tc>
        <w:tc>
          <w:tcPr>
            <w:tcW w:w="1417"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32.46</w:t>
            </w:r>
          </w:p>
        </w:tc>
      </w:tr>
    </w:tbl>
    <w:p>
      <w:pPr>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w:t>
      </w:r>
      <w:r>
        <w:rPr>
          <w:rFonts w:hint="default" w:ascii="Times New Roman" w:hAnsi="Times New Roman" w:eastAsia="仿宋_GB2312" w:cs="Times New Roman"/>
          <w:color w:val="auto"/>
          <w:sz w:val="28"/>
          <w:szCs w:val="28"/>
          <w:highlight w:val="none"/>
          <w:lang w:val="en-US" w:eastAsia="zh-CN"/>
        </w:rPr>
        <w:t>0</w:t>
      </w:r>
      <w:r>
        <w:rPr>
          <w:rFonts w:hint="default" w:ascii="Times New Roman" w:hAnsi="Times New Roman" w:eastAsia="仿宋_GB2312" w:cs="Times New Roman"/>
          <w:color w:val="auto"/>
          <w:sz w:val="28"/>
          <w:szCs w:val="28"/>
          <w:highlight w:val="none"/>
        </w:rPr>
        <w:t>.在建工程</w:t>
      </w:r>
    </w:p>
    <w:p>
      <w:pPr>
        <w:ind w:right="-37" w:firstLine="420"/>
        <w:jc w:val="left"/>
        <w:outlineLvl w:val="1"/>
        <w:rPr>
          <w:rFonts w:hint="default" w:ascii="Times New Roman" w:hAnsi="Times New Roman" w:eastAsia="仿宋_GB2312" w:cs="Times New Roman"/>
          <w:color w:val="auto"/>
          <w:sz w:val="28"/>
          <w:szCs w:val="28"/>
          <w:highlight w:val="none"/>
        </w:rPr>
      </w:pPr>
      <w:bookmarkStart w:id="10" w:name="_Hlk156052670"/>
      <w:r>
        <w:rPr>
          <w:rFonts w:hint="default" w:ascii="Times New Roman" w:hAnsi="Times New Roman" w:eastAsia="仿宋_GB2312" w:cs="Times New Roman"/>
          <w:color w:val="auto"/>
          <w:sz w:val="28"/>
          <w:szCs w:val="28"/>
          <w:highlight w:val="none"/>
        </w:rPr>
        <w:t>1</w:t>
      </w:r>
      <w:r>
        <w:rPr>
          <w:rFonts w:hint="default" w:ascii="Times New Roman" w:hAnsi="Times New Roman" w:eastAsia="仿宋_GB2312" w:cs="Times New Roman"/>
          <w:color w:val="auto"/>
          <w:sz w:val="28"/>
          <w:szCs w:val="28"/>
          <w:highlight w:val="none"/>
          <w:lang w:val="en-US" w:eastAsia="zh-CN"/>
        </w:rPr>
        <w:t>1</w:t>
      </w:r>
      <w:r>
        <w:rPr>
          <w:rFonts w:hint="default" w:ascii="Times New Roman" w:hAnsi="Times New Roman" w:eastAsia="仿宋_GB2312" w:cs="Times New Roman"/>
          <w:color w:val="auto"/>
          <w:sz w:val="28"/>
          <w:szCs w:val="28"/>
          <w:highlight w:val="none"/>
        </w:rPr>
        <w:t>.使用权资产</w:t>
      </w:r>
    </w:p>
    <w:tbl>
      <w:tblPr>
        <w:tblStyle w:val="25"/>
        <w:tblW w:w="903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67"/>
        <w:gridCol w:w="1667"/>
        <w:gridCol w:w="1667"/>
        <w:gridCol w:w="1667"/>
        <w:gridCol w:w="16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blHeader/>
          <w:jc w:val="center"/>
        </w:trPr>
        <w:tc>
          <w:tcPr>
            <w:tcW w:w="2367"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1667"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202</w:t>
            </w:r>
            <w:r>
              <w:rPr>
                <w:rFonts w:hint="default" w:ascii="Times New Roman" w:hAnsi="Times New Roman" w:eastAsia="仿宋_GB2312" w:cs="Times New Roman"/>
                <w:color w:val="auto"/>
                <w:kern w:val="0"/>
                <w:sz w:val="24"/>
                <w:szCs w:val="24"/>
                <w:highlight w:val="none"/>
                <w:lang w:val="en-US" w:eastAsia="zh-CN"/>
              </w:rPr>
              <w:t>5</w:t>
            </w:r>
            <w:r>
              <w:rPr>
                <w:rFonts w:hint="default" w:ascii="Times New Roman" w:hAnsi="Times New Roman" w:eastAsia="仿宋_GB2312" w:cs="Times New Roman"/>
                <w:color w:val="auto"/>
                <w:kern w:val="0"/>
                <w:sz w:val="24"/>
                <w:szCs w:val="24"/>
                <w:highlight w:val="none"/>
              </w:rPr>
              <w:t>-12-31</w:t>
            </w:r>
          </w:p>
        </w:tc>
        <w:tc>
          <w:tcPr>
            <w:tcW w:w="1667"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本期增加</w:t>
            </w:r>
          </w:p>
        </w:tc>
        <w:tc>
          <w:tcPr>
            <w:tcW w:w="1667"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本期减少</w:t>
            </w:r>
          </w:p>
        </w:tc>
        <w:tc>
          <w:tcPr>
            <w:tcW w:w="1668" w:type="dxa"/>
            <w:vAlign w:val="center"/>
          </w:tcPr>
          <w:p>
            <w:pPr>
              <w:widowControl/>
              <w:ind w:right="-37"/>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2026-6-30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7" w:type="dxa"/>
            <w:vAlign w:val="center"/>
          </w:tcPr>
          <w:p>
            <w:pPr>
              <w:widowControl/>
              <w:ind w:right="-37"/>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使用权资产原值</w:t>
            </w:r>
          </w:p>
        </w:tc>
        <w:tc>
          <w:tcPr>
            <w:tcW w:w="1667"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c>
          <w:tcPr>
            <w:tcW w:w="1667"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c>
          <w:tcPr>
            <w:tcW w:w="1667"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c>
          <w:tcPr>
            <w:tcW w:w="1668"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7" w:type="dxa"/>
            <w:vAlign w:val="center"/>
          </w:tcPr>
          <w:p>
            <w:pPr>
              <w:widowControl/>
              <w:ind w:right="-37"/>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其中：房屋及建筑物</w:t>
            </w:r>
          </w:p>
        </w:tc>
        <w:tc>
          <w:tcPr>
            <w:tcW w:w="1667"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574.90 </w:t>
            </w:r>
          </w:p>
        </w:tc>
        <w:tc>
          <w:tcPr>
            <w:tcW w:w="1667"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391.59 </w:t>
            </w:r>
          </w:p>
        </w:tc>
        <w:tc>
          <w:tcPr>
            <w:tcW w:w="1667"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c>
          <w:tcPr>
            <w:tcW w:w="1668"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966.49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7"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合计</w:t>
            </w:r>
          </w:p>
        </w:tc>
        <w:tc>
          <w:tcPr>
            <w:tcW w:w="1667"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574.90 </w:t>
            </w:r>
          </w:p>
        </w:tc>
        <w:tc>
          <w:tcPr>
            <w:tcW w:w="1667"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391.59 </w:t>
            </w:r>
          </w:p>
        </w:tc>
        <w:tc>
          <w:tcPr>
            <w:tcW w:w="1667"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c>
          <w:tcPr>
            <w:tcW w:w="1668"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966.49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7" w:type="dxa"/>
            <w:vAlign w:val="center"/>
          </w:tcPr>
          <w:p>
            <w:pPr>
              <w:widowControl/>
              <w:ind w:right="-37"/>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使用权资产累计折旧</w:t>
            </w:r>
          </w:p>
        </w:tc>
        <w:tc>
          <w:tcPr>
            <w:tcW w:w="1667"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c>
          <w:tcPr>
            <w:tcW w:w="1667"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c>
          <w:tcPr>
            <w:tcW w:w="1667"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c>
          <w:tcPr>
            <w:tcW w:w="1668"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7" w:type="dxa"/>
            <w:vAlign w:val="center"/>
          </w:tcPr>
          <w:p>
            <w:pPr>
              <w:widowControl/>
              <w:ind w:right="-37"/>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其中：房屋及建筑物</w:t>
            </w:r>
          </w:p>
        </w:tc>
        <w:tc>
          <w:tcPr>
            <w:tcW w:w="1667"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191.63 </w:t>
            </w:r>
          </w:p>
        </w:tc>
        <w:tc>
          <w:tcPr>
            <w:tcW w:w="1667"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66.68 </w:t>
            </w:r>
          </w:p>
        </w:tc>
        <w:tc>
          <w:tcPr>
            <w:tcW w:w="1667"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c>
          <w:tcPr>
            <w:tcW w:w="1668"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258.31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7"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合计</w:t>
            </w:r>
          </w:p>
        </w:tc>
        <w:tc>
          <w:tcPr>
            <w:tcW w:w="1667"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191.63 </w:t>
            </w:r>
          </w:p>
        </w:tc>
        <w:tc>
          <w:tcPr>
            <w:tcW w:w="1667"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66.68 </w:t>
            </w:r>
          </w:p>
        </w:tc>
        <w:tc>
          <w:tcPr>
            <w:tcW w:w="1667"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c>
          <w:tcPr>
            <w:tcW w:w="1668"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258.31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7" w:type="dxa"/>
            <w:vAlign w:val="center"/>
          </w:tcPr>
          <w:p>
            <w:pPr>
              <w:widowControl/>
              <w:ind w:right="-37"/>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使用权资产净值</w:t>
            </w:r>
          </w:p>
        </w:tc>
        <w:tc>
          <w:tcPr>
            <w:tcW w:w="1667"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c>
          <w:tcPr>
            <w:tcW w:w="1667"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c>
          <w:tcPr>
            <w:tcW w:w="1667"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c>
          <w:tcPr>
            <w:tcW w:w="1668"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7" w:type="dxa"/>
            <w:vAlign w:val="center"/>
          </w:tcPr>
          <w:p>
            <w:pPr>
              <w:widowControl/>
              <w:ind w:right="-37"/>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其中：房屋及建筑物</w:t>
            </w:r>
          </w:p>
        </w:tc>
        <w:tc>
          <w:tcPr>
            <w:tcW w:w="1667"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383.27 </w:t>
            </w:r>
          </w:p>
        </w:tc>
        <w:tc>
          <w:tcPr>
            <w:tcW w:w="1667"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c>
          <w:tcPr>
            <w:tcW w:w="1667"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c>
          <w:tcPr>
            <w:tcW w:w="1668"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708.18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367"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合计</w:t>
            </w:r>
          </w:p>
        </w:tc>
        <w:tc>
          <w:tcPr>
            <w:tcW w:w="1667"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383.27 </w:t>
            </w:r>
          </w:p>
        </w:tc>
        <w:tc>
          <w:tcPr>
            <w:tcW w:w="1667"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c>
          <w:tcPr>
            <w:tcW w:w="1667"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c>
          <w:tcPr>
            <w:tcW w:w="1668"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708.18 </w:t>
            </w:r>
          </w:p>
        </w:tc>
      </w:tr>
      <w:bookmarkEnd w:id="10"/>
    </w:tbl>
    <w:p>
      <w:pPr>
        <w:ind w:right="-37"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w:t>
      </w:r>
      <w:r>
        <w:rPr>
          <w:rFonts w:hint="default" w:ascii="Times New Roman" w:hAnsi="Times New Roman" w:eastAsia="仿宋_GB2312" w:cs="Times New Roman"/>
          <w:color w:val="auto"/>
          <w:sz w:val="28"/>
          <w:szCs w:val="28"/>
          <w:highlight w:val="none"/>
          <w:lang w:val="en-US" w:eastAsia="zh-CN"/>
        </w:rPr>
        <w:t>2</w:t>
      </w:r>
      <w:r>
        <w:rPr>
          <w:rFonts w:hint="default" w:ascii="Times New Roman" w:hAnsi="Times New Roman" w:eastAsia="仿宋_GB2312" w:cs="Times New Roman"/>
          <w:color w:val="auto"/>
          <w:sz w:val="28"/>
          <w:szCs w:val="28"/>
          <w:highlight w:val="none"/>
        </w:rPr>
        <w:t>.无形资产</w:t>
      </w:r>
    </w:p>
    <w:tbl>
      <w:tblPr>
        <w:tblStyle w:val="25"/>
        <w:tblW w:w="902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2377"/>
        <w:gridCol w:w="1689"/>
        <w:gridCol w:w="1642"/>
        <w:gridCol w:w="1678"/>
        <w:gridCol w:w="16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tblHeader/>
          <w:jc w:val="center"/>
        </w:trPr>
        <w:tc>
          <w:tcPr>
            <w:tcW w:w="2377" w:type="dxa"/>
            <w:vAlign w:val="center"/>
          </w:tcPr>
          <w:p>
            <w:pPr>
              <w:widowControl/>
              <w:ind w:right="-37"/>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1689" w:type="dxa"/>
            <w:vAlign w:val="center"/>
          </w:tcPr>
          <w:p>
            <w:pPr>
              <w:widowControl/>
              <w:ind w:right="-37"/>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202</w:t>
            </w:r>
            <w:r>
              <w:rPr>
                <w:rFonts w:hint="default" w:ascii="Times New Roman" w:hAnsi="Times New Roman" w:eastAsia="仿宋_GB2312" w:cs="Times New Roman"/>
                <w:color w:val="auto"/>
                <w:kern w:val="0"/>
                <w:sz w:val="24"/>
                <w:szCs w:val="24"/>
                <w:highlight w:val="none"/>
                <w:lang w:val="en-US" w:eastAsia="zh-CN"/>
              </w:rPr>
              <w:t>5</w:t>
            </w:r>
            <w:r>
              <w:rPr>
                <w:rFonts w:hint="default" w:ascii="Times New Roman" w:hAnsi="Times New Roman" w:eastAsia="仿宋_GB2312" w:cs="Times New Roman"/>
                <w:color w:val="auto"/>
                <w:kern w:val="0"/>
                <w:sz w:val="24"/>
                <w:szCs w:val="24"/>
                <w:highlight w:val="none"/>
              </w:rPr>
              <w:t>-12-31</w:t>
            </w:r>
          </w:p>
        </w:tc>
        <w:tc>
          <w:tcPr>
            <w:tcW w:w="1642" w:type="dxa"/>
            <w:vAlign w:val="center"/>
          </w:tcPr>
          <w:p>
            <w:pPr>
              <w:widowControl/>
              <w:ind w:right="-37"/>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本期增加</w:t>
            </w:r>
          </w:p>
        </w:tc>
        <w:tc>
          <w:tcPr>
            <w:tcW w:w="1678" w:type="dxa"/>
            <w:vAlign w:val="center"/>
          </w:tcPr>
          <w:p>
            <w:pPr>
              <w:widowControl/>
              <w:ind w:right="-37"/>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本期摊销</w:t>
            </w:r>
          </w:p>
        </w:tc>
        <w:tc>
          <w:tcPr>
            <w:tcW w:w="1643" w:type="dxa"/>
            <w:vAlign w:val="center"/>
          </w:tcPr>
          <w:p>
            <w:pPr>
              <w:widowControl/>
              <w:ind w:right="-37"/>
              <w:jc w:val="center"/>
              <w:textAlignment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2026-6-30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377" w:type="dxa"/>
            <w:vAlign w:val="center"/>
          </w:tcPr>
          <w:p>
            <w:pPr>
              <w:widowControl/>
              <w:ind w:right="-37"/>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土地使用权</w:t>
            </w:r>
          </w:p>
        </w:tc>
        <w:tc>
          <w:tcPr>
            <w:tcW w:w="168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4283.75 </w:t>
            </w:r>
          </w:p>
        </w:tc>
        <w:tc>
          <w:tcPr>
            <w:tcW w:w="1642" w:type="dxa"/>
            <w:vAlign w:val="center"/>
          </w:tcPr>
          <w:p>
            <w:pPr>
              <w:jc w:val="right"/>
              <w:rPr>
                <w:rFonts w:hint="default" w:ascii="Times New Roman" w:hAnsi="Times New Roman" w:eastAsia="宋体" w:cs="Times New Roman"/>
                <w:i w:val="0"/>
                <w:iCs w:val="0"/>
                <w:color w:val="auto"/>
                <w:kern w:val="0"/>
                <w:sz w:val="22"/>
                <w:szCs w:val="22"/>
                <w:highlight w:val="none"/>
                <w:u w:val="none"/>
                <w:lang w:val="en-US" w:eastAsia="zh-CN"/>
              </w:rPr>
            </w:pPr>
          </w:p>
        </w:tc>
        <w:tc>
          <w:tcPr>
            <w:tcW w:w="1678"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58.81 </w:t>
            </w:r>
          </w:p>
        </w:tc>
        <w:tc>
          <w:tcPr>
            <w:tcW w:w="1643"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4224.94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377" w:type="dxa"/>
            <w:vAlign w:val="center"/>
          </w:tcPr>
          <w:p>
            <w:pPr>
              <w:widowControl/>
              <w:ind w:right="-37"/>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软件使用权</w:t>
            </w:r>
          </w:p>
        </w:tc>
        <w:tc>
          <w:tcPr>
            <w:tcW w:w="168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125.02 </w:t>
            </w:r>
          </w:p>
        </w:tc>
        <w:tc>
          <w:tcPr>
            <w:tcW w:w="1642"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18.00 </w:t>
            </w:r>
          </w:p>
        </w:tc>
        <w:tc>
          <w:tcPr>
            <w:tcW w:w="1678"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7.87 </w:t>
            </w:r>
          </w:p>
        </w:tc>
        <w:tc>
          <w:tcPr>
            <w:tcW w:w="1643"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135.15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377" w:type="dxa"/>
            <w:shd w:val="clear" w:color="000000" w:fill="auto"/>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合计</w:t>
            </w:r>
          </w:p>
        </w:tc>
        <w:tc>
          <w:tcPr>
            <w:tcW w:w="168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4408.77 </w:t>
            </w:r>
          </w:p>
        </w:tc>
        <w:tc>
          <w:tcPr>
            <w:tcW w:w="1642"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18.00 </w:t>
            </w:r>
          </w:p>
        </w:tc>
        <w:tc>
          <w:tcPr>
            <w:tcW w:w="1678"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66.68 </w:t>
            </w:r>
          </w:p>
        </w:tc>
        <w:tc>
          <w:tcPr>
            <w:tcW w:w="1643"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4360.09 </w:t>
            </w:r>
          </w:p>
        </w:tc>
      </w:tr>
    </w:tbl>
    <w:p>
      <w:pPr>
        <w:ind w:right="-40"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w:t>
      </w:r>
      <w:r>
        <w:rPr>
          <w:rFonts w:hint="default" w:ascii="Times New Roman" w:hAnsi="Times New Roman" w:eastAsia="仿宋_GB2312" w:cs="Times New Roman"/>
          <w:color w:val="auto"/>
          <w:sz w:val="28"/>
          <w:szCs w:val="28"/>
          <w:highlight w:val="none"/>
          <w:lang w:val="en-US" w:eastAsia="zh-CN"/>
        </w:rPr>
        <w:t>3</w:t>
      </w:r>
      <w:r>
        <w:rPr>
          <w:rFonts w:hint="default" w:ascii="Times New Roman" w:hAnsi="Times New Roman" w:eastAsia="仿宋_GB2312" w:cs="Times New Roman"/>
          <w:color w:val="auto"/>
          <w:sz w:val="28"/>
          <w:szCs w:val="28"/>
          <w:highlight w:val="none"/>
        </w:rPr>
        <w:t>.长期待摊费用</w:t>
      </w:r>
    </w:p>
    <w:tbl>
      <w:tblPr>
        <w:tblStyle w:val="25"/>
        <w:tblW w:w="903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40"/>
        <w:gridCol w:w="1444"/>
        <w:gridCol w:w="1604"/>
        <w:gridCol w:w="1678"/>
        <w:gridCol w:w="16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blHeader/>
          <w:jc w:val="center"/>
        </w:trPr>
        <w:tc>
          <w:tcPr>
            <w:tcW w:w="2640"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1444"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202</w:t>
            </w:r>
            <w:r>
              <w:rPr>
                <w:rFonts w:hint="default" w:ascii="Times New Roman" w:hAnsi="Times New Roman" w:eastAsia="仿宋_GB2312" w:cs="Times New Roman"/>
                <w:color w:val="auto"/>
                <w:kern w:val="0"/>
                <w:sz w:val="24"/>
                <w:szCs w:val="24"/>
                <w:highlight w:val="none"/>
                <w:lang w:val="en-US" w:eastAsia="zh-CN"/>
              </w:rPr>
              <w:t>5</w:t>
            </w:r>
            <w:r>
              <w:rPr>
                <w:rFonts w:hint="default" w:ascii="Times New Roman" w:hAnsi="Times New Roman" w:eastAsia="仿宋_GB2312" w:cs="Times New Roman"/>
                <w:color w:val="auto"/>
                <w:kern w:val="0"/>
                <w:sz w:val="24"/>
                <w:szCs w:val="24"/>
                <w:highlight w:val="none"/>
              </w:rPr>
              <w:t>-12-31</w:t>
            </w:r>
          </w:p>
        </w:tc>
        <w:tc>
          <w:tcPr>
            <w:tcW w:w="1604"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本期增加</w:t>
            </w:r>
          </w:p>
        </w:tc>
        <w:tc>
          <w:tcPr>
            <w:tcW w:w="1678"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本期摊销</w:t>
            </w:r>
          </w:p>
        </w:tc>
        <w:tc>
          <w:tcPr>
            <w:tcW w:w="1670" w:type="dxa"/>
            <w:vAlign w:val="center"/>
          </w:tcPr>
          <w:p>
            <w:pPr>
              <w:widowControl/>
              <w:ind w:right="-37"/>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2026-6-30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2640" w:type="dxa"/>
            <w:vAlign w:val="center"/>
          </w:tcPr>
          <w:p>
            <w:pPr>
              <w:widowControl/>
              <w:ind w:right="-37"/>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租入固定资产改良支出</w:t>
            </w:r>
          </w:p>
        </w:tc>
        <w:tc>
          <w:tcPr>
            <w:tcW w:w="144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507.7</w:t>
            </w:r>
          </w:p>
        </w:tc>
        <w:tc>
          <w:tcPr>
            <w:tcW w:w="160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17.96</w:t>
            </w:r>
          </w:p>
        </w:tc>
        <w:tc>
          <w:tcPr>
            <w:tcW w:w="1678"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61.64</w:t>
            </w:r>
          </w:p>
        </w:tc>
        <w:tc>
          <w:tcPr>
            <w:tcW w:w="1670"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464.02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2640" w:type="dxa"/>
            <w:vAlign w:val="center"/>
          </w:tcPr>
          <w:p>
            <w:pPr>
              <w:widowControl/>
              <w:ind w:right="-37"/>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自有资产改良支出</w:t>
            </w:r>
          </w:p>
        </w:tc>
        <w:tc>
          <w:tcPr>
            <w:tcW w:w="144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380.18</w:t>
            </w:r>
          </w:p>
        </w:tc>
        <w:tc>
          <w:tcPr>
            <w:tcW w:w="160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0</w:t>
            </w:r>
          </w:p>
        </w:tc>
        <w:tc>
          <w:tcPr>
            <w:tcW w:w="1678"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98.17</w:t>
            </w:r>
          </w:p>
        </w:tc>
        <w:tc>
          <w:tcPr>
            <w:tcW w:w="1670"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282.01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2640" w:type="dxa"/>
            <w:vAlign w:val="center"/>
          </w:tcPr>
          <w:p>
            <w:pPr>
              <w:widowControl/>
              <w:ind w:right="-37"/>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其他长期待摊费用</w:t>
            </w:r>
          </w:p>
        </w:tc>
        <w:tc>
          <w:tcPr>
            <w:tcW w:w="144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389.33</w:t>
            </w:r>
          </w:p>
        </w:tc>
        <w:tc>
          <w:tcPr>
            <w:tcW w:w="160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148.23</w:t>
            </w:r>
          </w:p>
        </w:tc>
        <w:tc>
          <w:tcPr>
            <w:tcW w:w="1678"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135.88</w:t>
            </w:r>
          </w:p>
        </w:tc>
        <w:tc>
          <w:tcPr>
            <w:tcW w:w="1670"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401.68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2640" w:type="dxa"/>
            <w:vAlign w:val="center"/>
          </w:tcPr>
          <w:p>
            <w:pPr>
              <w:widowControl/>
              <w:ind w:right="-37"/>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合计</w:t>
            </w:r>
          </w:p>
        </w:tc>
        <w:tc>
          <w:tcPr>
            <w:tcW w:w="144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1,277.21</w:t>
            </w:r>
          </w:p>
        </w:tc>
        <w:tc>
          <w:tcPr>
            <w:tcW w:w="1604"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166.19</w:t>
            </w:r>
          </w:p>
        </w:tc>
        <w:tc>
          <w:tcPr>
            <w:tcW w:w="1678"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295.69</w:t>
            </w:r>
          </w:p>
        </w:tc>
        <w:tc>
          <w:tcPr>
            <w:tcW w:w="1670"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1,147.71</w:t>
            </w:r>
          </w:p>
        </w:tc>
      </w:tr>
    </w:tbl>
    <w:p>
      <w:pPr>
        <w:tabs>
          <w:tab w:val="left" w:pos="5250"/>
        </w:tabs>
        <w:ind w:right="-40"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w:t>
      </w:r>
      <w:r>
        <w:rPr>
          <w:rFonts w:hint="default" w:ascii="Times New Roman" w:hAnsi="Times New Roman" w:eastAsia="仿宋_GB2312" w:cs="Times New Roman"/>
          <w:color w:val="auto"/>
          <w:sz w:val="28"/>
          <w:szCs w:val="28"/>
          <w:highlight w:val="none"/>
          <w:lang w:val="en-US" w:eastAsia="zh-CN"/>
        </w:rPr>
        <w:t>4</w:t>
      </w:r>
      <w:r>
        <w:rPr>
          <w:rFonts w:hint="default" w:ascii="Times New Roman" w:hAnsi="Times New Roman" w:eastAsia="仿宋_GB2312" w:cs="Times New Roman"/>
          <w:color w:val="auto"/>
          <w:sz w:val="28"/>
          <w:szCs w:val="28"/>
          <w:highlight w:val="none"/>
        </w:rPr>
        <w:t>.抵债资产</w:t>
      </w:r>
      <w:r>
        <w:rPr>
          <w:rFonts w:hint="default" w:ascii="Times New Roman" w:hAnsi="Times New Roman" w:eastAsia="仿宋_GB2312" w:cs="Times New Roman"/>
          <w:color w:val="auto"/>
          <w:sz w:val="28"/>
          <w:szCs w:val="28"/>
          <w:highlight w:val="none"/>
        </w:rPr>
        <w:tab/>
      </w:r>
    </w:p>
    <w:tbl>
      <w:tblPr>
        <w:tblStyle w:val="25"/>
        <w:tblW w:w="903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60"/>
        <w:gridCol w:w="3045"/>
        <w:gridCol w:w="33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blHeader/>
          <w:jc w:val="center"/>
        </w:trPr>
        <w:tc>
          <w:tcPr>
            <w:tcW w:w="2660"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3045" w:type="dxa"/>
            <w:vAlign w:val="center"/>
          </w:tcPr>
          <w:p>
            <w:pPr>
              <w:widowControl/>
              <w:ind w:right="-37"/>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2026-6-30</w:t>
            </w:r>
          </w:p>
        </w:tc>
        <w:tc>
          <w:tcPr>
            <w:tcW w:w="3331"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202</w:t>
            </w:r>
            <w:r>
              <w:rPr>
                <w:rFonts w:hint="default" w:ascii="Times New Roman" w:hAnsi="Times New Roman" w:eastAsia="仿宋_GB2312" w:cs="Times New Roman"/>
                <w:color w:val="auto"/>
                <w:kern w:val="0"/>
                <w:sz w:val="24"/>
                <w:szCs w:val="24"/>
                <w:highlight w:val="none"/>
                <w:lang w:val="en-US" w:eastAsia="zh-CN"/>
              </w:rPr>
              <w:t>5</w:t>
            </w:r>
            <w:r>
              <w:rPr>
                <w:rFonts w:hint="default" w:ascii="Times New Roman" w:hAnsi="Times New Roman" w:eastAsia="仿宋_GB2312" w:cs="Times New Roman"/>
                <w:color w:val="auto"/>
                <w:kern w:val="0"/>
                <w:sz w:val="24"/>
                <w:szCs w:val="24"/>
                <w:highlight w:val="none"/>
              </w:rPr>
              <w:t>-12-31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2660" w:type="dxa"/>
            <w:vAlign w:val="center"/>
          </w:tcPr>
          <w:p>
            <w:pPr>
              <w:widowControl/>
              <w:ind w:right="-37"/>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房屋建筑物</w:t>
            </w:r>
          </w:p>
        </w:tc>
        <w:tc>
          <w:tcPr>
            <w:tcW w:w="3045"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170.24 </w:t>
            </w:r>
          </w:p>
        </w:tc>
        <w:tc>
          <w:tcPr>
            <w:tcW w:w="3331" w:type="dxa"/>
            <w:vAlign w:val="center"/>
          </w:tcPr>
          <w:p>
            <w:pPr>
              <w:widowControl/>
              <w:ind w:right="-37"/>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rPr>
              <w:t>170.24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2660"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抵债资产合计</w:t>
            </w:r>
          </w:p>
        </w:tc>
        <w:tc>
          <w:tcPr>
            <w:tcW w:w="3045"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170.24 </w:t>
            </w:r>
          </w:p>
        </w:tc>
        <w:tc>
          <w:tcPr>
            <w:tcW w:w="3331" w:type="dxa"/>
            <w:vAlign w:val="center"/>
          </w:tcPr>
          <w:p>
            <w:pPr>
              <w:widowControl/>
              <w:ind w:right="-37"/>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rPr>
              <w:t>170.24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2660" w:type="dxa"/>
            <w:vAlign w:val="center"/>
          </w:tcPr>
          <w:p>
            <w:pPr>
              <w:widowControl/>
              <w:ind w:right="-37"/>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减：抵债资产减值准备</w:t>
            </w:r>
          </w:p>
        </w:tc>
        <w:tc>
          <w:tcPr>
            <w:tcW w:w="3045"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102.14 </w:t>
            </w:r>
          </w:p>
        </w:tc>
        <w:tc>
          <w:tcPr>
            <w:tcW w:w="3331" w:type="dxa"/>
            <w:vAlign w:val="center"/>
          </w:tcPr>
          <w:p>
            <w:pPr>
              <w:widowControl/>
              <w:ind w:right="-37"/>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rPr>
              <w:t>102.14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2660"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抵债资产账面价值</w:t>
            </w:r>
          </w:p>
        </w:tc>
        <w:tc>
          <w:tcPr>
            <w:tcW w:w="3045"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68.10 </w:t>
            </w:r>
          </w:p>
        </w:tc>
        <w:tc>
          <w:tcPr>
            <w:tcW w:w="3331" w:type="dxa"/>
            <w:vAlign w:val="center"/>
          </w:tcPr>
          <w:p>
            <w:pPr>
              <w:widowControl/>
              <w:ind w:right="-37"/>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rPr>
              <w:t>68.10</w:t>
            </w:r>
          </w:p>
        </w:tc>
      </w:tr>
    </w:tbl>
    <w:p>
      <w:pPr>
        <w:spacing w:line="480" w:lineRule="exact"/>
        <w:ind w:right="-37"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w:t>
      </w:r>
      <w:r>
        <w:rPr>
          <w:rFonts w:hint="default" w:ascii="Times New Roman" w:hAnsi="Times New Roman" w:eastAsia="仿宋_GB2312" w:cs="Times New Roman"/>
          <w:color w:val="auto"/>
          <w:sz w:val="28"/>
          <w:szCs w:val="28"/>
          <w:highlight w:val="none"/>
          <w:lang w:val="en-US" w:eastAsia="zh-CN"/>
        </w:rPr>
        <w:t>5</w:t>
      </w:r>
      <w:r>
        <w:rPr>
          <w:rFonts w:hint="default" w:ascii="Times New Roman" w:hAnsi="Times New Roman" w:eastAsia="仿宋_GB2312" w:cs="Times New Roman"/>
          <w:color w:val="auto"/>
          <w:sz w:val="28"/>
          <w:szCs w:val="28"/>
          <w:highlight w:val="none"/>
        </w:rPr>
        <w:t>.递延所得税资产</w:t>
      </w:r>
    </w:p>
    <w:tbl>
      <w:tblPr>
        <w:tblStyle w:val="25"/>
        <w:tblW w:w="939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58"/>
        <w:gridCol w:w="1498"/>
        <w:gridCol w:w="1679"/>
        <w:gridCol w:w="1676"/>
        <w:gridCol w:w="187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blHeader/>
          <w:jc w:val="center"/>
        </w:trPr>
        <w:tc>
          <w:tcPr>
            <w:tcW w:w="2658" w:type="dxa"/>
            <w:vMerge w:val="restart"/>
            <w:vAlign w:val="center"/>
          </w:tcPr>
          <w:p>
            <w:pPr>
              <w:spacing w:line="360" w:lineRule="auto"/>
              <w:jc w:val="center"/>
              <w:outlineLvl w:val="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3177" w:type="dxa"/>
            <w:gridSpan w:val="2"/>
            <w:vAlign w:val="center"/>
          </w:tcPr>
          <w:p>
            <w:pPr>
              <w:spacing w:line="360" w:lineRule="auto"/>
              <w:jc w:val="center"/>
              <w:outlineLvl w:val="0"/>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2026-6-30</w:t>
            </w:r>
          </w:p>
        </w:tc>
        <w:tc>
          <w:tcPr>
            <w:tcW w:w="3555" w:type="dxa"/>
            <w:gridSpan w:val="2"/>
            <w:vAlign w:val="center"/>
          </w:tcPr>
          <w:p>
            <w:pPr>
              <w:spacing w:line="360" w:lineRule="auto"/>
              <w:jc w:val="center"/>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202</w:t>
            </w:r>
            <w:r>
              <w:rPr>
                <w:rFonts w:hint="default" w:ascii="Times New Roman" w:hAnsi="Times New Roman" w:eastAsia="仿宋_GB2312" w:cs="Times New Roman"/>
                <w:color w:val="auto"/>
                <w:kern w:val="0"/>
                <w:sz w:val="24"/>
                <w:szCs w:val="24"/>
                <w:highlight w:val="none"/>
                <w:lang w:val="en-US" w:eastAsia="zh-CN"/>
              </w:rPr>
              <w:t>5</w:t>
            </w:r>
            <w:r>
              <w:rPr>
                <w:rFonts w:hint="default" w:ascii="Times New Roman" w:hAnsi="Times New Roman" w:eastAsia="仿宋_GB2312" w:cs="Times New Roman"/>
                <w:color w:val="auto"/>
                <w:kern w:val="0"/>
                <w:sz w:val="24"/>
                <w:szCs w:val="24"/>
                <w:highlight w:val="none"/>
              </w:rPr>
              <w:t>-12-31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blHeader/>
          <w:jc w:val="center"/>
        </w:trPr>
        <w:tc>
          <w:tcPr>
            <w:tcW w:w="2658" w:type="dxa"/>
            <w:vMerge w:val="continue"/>
            <w:vAlign w:val="center"/>
          </w:tcPr>
          <w:p>
            <w:pPr>
              <w:rPr>
                <w:rFonts w:hint="default" w:ascii="Times New Roman" w:hAnsi="Times New Roman" w:cs="Times New Roman"/>
              </w:rPr>
            </w:pPr>
          </w:p>
        </w:tc>
        <w:tc>
          <w:tcPr>
            <w:tcW w:w="1498" w:type="dxa"/>
            <w:vAlign w:val="center"/>
          </w:tcPr>
          <w:p>
            <w:pPr>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暂时性差异</w:t>
            </w:r>
          </w:p>
        </w:tc>
        <w:tc>
          <w:tcPr>
            <w:tcW w:w="1679" w:type="dxa"/>
            <w:vAlign w:val="center"/>
          </w:tcPr>
          <w:p>
            <w:pPr>
              <w:jc w:val="righ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递延所得税产</w:t>
            </w:r>
          </w:p>
        </w:tc>
        <w:tc>
          <w:tcPr>
            <w:tcW w:w="1676" w:type="dxa"/>
            <w:vAlign w:val="center"/>
          </w:tcPr>
          <w:p>
            <w:pPr>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暂时性差异</w:t>
            </w:r>
          </w:p>
        </w:tc>
        <w:tc>
          <w:tcPr>
            <w:tcW w:w="1879" w:type="dxa"/>
            <w:vAlign w:val="center"/>
          </w:tcPr>
          <w:p>
            <w:pPr>
              <w:jc w:val="righ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递延所得税产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2658"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贷款减值准备</w:t>
            </w:r>
          </w:p>
        </w:tc>
        <w:tc>
          <w:tcPr>
            <w:tcW w:w="1498"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83,868.76</w:t>
            </w:r>
          </w:p>
        </w:tc>
        <w:tc>
          <w:tcPr>
            <w:tcW w:w="167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20,967.19</w:t>
            </w:r>
          </w:p>
        </w:tc>
        <w:tc>
          <w:tcPr>
            <w:tcW w:w="1676"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84,670.80</w:t>
            </w:r>
          </w:p>
        </w:tc>
        <w:tc>
          <w:tcPr>
            <w:tcW w:w="1879"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21,167.70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2658"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其他债权投资减值准备</w:t>
            </w:r>
          </w:p>
        </w:tc>
        <w:tc>
          <w:tcPr>
            <w:tcW w:w="1498"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832.20</w:t>
            </w:r>
          </w:p>
        </w:tc>
        <w:tc>
          <w:tcPr>
            <w:tcW w:w="167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208.05</w:t>
            </w:r>
          </w:p>
        </w:tc>
        <w:tc>
          <w:tcPr>
            <w:tcW w:w="1676"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541.92</w:t>
            </w:r>
          </w:p>
        </w:tc>
        <w:tc>
          <w:tcPr>
            <w:tcW w:w="1879"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135.48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2658"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债权投资减值准备</w:t>
            </w:r>
          </w:p>
        </w:tc>
        <w:tc>
          <w:tcPr>
            <w:tcW w:w="1498"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712.44</w:t>
            </w:r>
          </w:p>
        </w:tc>
        <w:tc>
          <w:tcPr>
            <w:tcW w:w="167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178.11</w:t>
            </w:r>
          </w:p>
        </w:tc>
        <w:tc>
          <w:tcPr>
            <w:tcW w:w="1676"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493.6</w:t>
            </w:r>
          </w:p>
        </w:tc>
        <w:tc>
          <w:tcPr>
            <w:tcW w:w="1879"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123.4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2658"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固定资产减值准备</w:t>
            </w:r>
          </w:p>
        </w:tc>
        <w:tc>
          <w:tcPr>
            <w:tcW w:w="1498"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51.16</w:t>
            </w:r>
          </w:p>
        </w:tc>
        <w:tc>
          <w:tcPr>
            <w:tcW w:w="167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12.79</w:t>
            </w:r>
          </w:p>
        </w:tc>
        <w:tc>
          <w:tcPr>
            <w:tcW w:w="1676"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51.16</w:t>
            </w:r>
          </w:p>
        </w:tc>
        <w:tc>
          <w:tcPr>
            <w:tcW w:w="1879"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12.79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2658"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其他应收款减值准备</w:t>
            </w:r>
          </w:p>
        </w:tc>
        <w:tc>
          <w:tcPr>
            <w:tcW w:w="1498"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748.04</w:t>
            </w:r>
          </w:p>
        </w:tc>
        <w:tc>
          <w:tcPr>
            <w:tcW w:w="167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187.01</w:t>
            </w:r>
          </w:p>
        </w:tc>
        <w:tc>
          <w:tcPr>
            <w:tcW w:w="1676"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746.52</w:t>
            </w:r>
          </w:p>
        </w:tc>
        <w:tc>
          <w:tcPr>
            <w:tcW w:w="1879"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186.63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2658"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预计负债</w:t>
            </w:r>
          </w:p>
        </w:tc>
        <w:tc>
          <w:tcPr>
            <w:tcW w:w="1498"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732.88</w:t>
            </w:r>
          </w:p>
        </w:tc>
        <w:tc>
          <w:tcPr>
            <w:tcW w:w="167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183.22</w:t>
            </w:r>
          </w:p>
        </w:tc>
        <w:tc>
          <w:tcPr>
            <w:tcW w:w="1676"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202.8</w:t>
            </w:r>
          </w:p>
        </w:tc>
        <w:tc>
          <w:tcPr>
            <w:tcW w:w="1879"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50.7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2658"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抵债资产减值准备</w:t>
            </w:r>
          </w:p>
        </w:tc>
        <w:tc>
          <w:tcPr>
            <w:tcW w:w="1498"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102.12</w:t>
            </w:r>
          </w:p>
        </w:tc>
        <w:tc>
          <w:tcPr>
            <w:tcW w:w="167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25.53</w:t>
            </w:r>
          </w:p>
        </w:tc>
        <w:tc>
          <w:tcPr>
            <w:tcW w:w="1676"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102.16</w:t>
            </w:r>
          </w:p>
        </w:tc>
        <w:tc>
          <w:tcPr>
            <w:tcW w:w="1879"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25.54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2658"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同业资金坏账准备</w:t>
            </w:r>
          </w:p>
        </w:tc>
        <w:tc>
          <w:tcPr>
            <w:tcW w:w="1498"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3,535.88</w:t>
            </w:r>
          </w:p>
        </w:tc>
        <w:tc>
          <w:tcPr>
            <w:tcW w:w="167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883.97</w:t>
            </w:r>
          </w:p>
        </w:tc>
        <w:tc>
          <w:tcPr>
            <w:tcW w:w="1676"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2,856.64</w:t>
            </w:r>
          </w:p>
        </w:tc>
        <w:tc>
          <w:tcPr>
            <w:tcW w:w="1879"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714.16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2658" w:type="dxa"/>
            <w:vAlign w:val="bottom"/>
          </w:tcPr>
          <w:p>
            <w:pPr>
              <w:keepNext w:val="0"/>
              <w:keepLines w:val="0"/>
              <w:widowControl/>
              <w:suppressLineNumbers w:val="0"/>
              <w:jc w:val="both"/>
              <w:textAlignment w:val="bottom"/>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公允价值变动</w:t>
            </w:r>
          </w:p>
        </w:tc>
        <w:tc>
          <w:tcPr>
            <w:tcW w:w="1498"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-5,295.68</w:t>
            </w:r>
          </w:p>
        </w:tc>
        <w:tc>
          <w:tcPr>
            <w:tcW w:w="167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-1,323.92</w:t>
            </w:r>
          </w:p>
        </w:tc>
        <w:tc>
          <w:tcPr>
            <w:tcW w:w="1676"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-7,427.16</w:t>
            </w:r>
          </w:p>
        </w:tc>
        <w:tc>
          <w:tcPr>
            <w:tcW w:w="1879"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-1,856.79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2658" w:type="dxa"/>
            <w:tcBorders>
              <w:bottom w:val="single" w:color="auto" w:sz="4" w:space="0"/>
            </w:tcBorders>
            <w:vAlign w:val="bottom"/>
          </w:tcPr>
          <w:p>
            <w:pPr>
              <w:keepNext w:val="0"/>
              <w:keepLines w:val="0"/>
              <w:widowControl/>
              <w:suppressLineNumbers w:val="0"/>
              <w:jc w:val="both"/>
              <w:textAlignment w:val="bottom"/>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利息调整</w:t>
            </w:r>
          </w:p>
        </w:tc>
        <w:tc>
          <w:tcPr>
            <w:tcW w:w="1498" w:type="dxa"/>
            <w:tcBorders>
              <w:bottom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-194.44</w:t>
            </w:r>
          </w:p>
        </w:tc>
        <w:tc>
          <w:tcPr>
            <w:tcW w:w="1679" w:type="dxa"/>
            <w:tcBorders>
              <w:bottom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-48.61</w:t>
            </w:r>
          </w:p>
        </w:tc>
        <w:tc>
          <w:tcPr>
            <w:tcW w:w="1676" w:type="dxa"/>
            <w:tcBorders>
              <w:bottom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-88.72</w:t>
            </w:r>
          </w:p>
        </w:tc>
        <w:tc>
          <w:tcPr>
            <w:tcW w:w="1879" w:type="dxa"/>
            <w:tcBorders>
              <w:bottom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-22.18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2658" w:type="dxa"/>
            <w:tcBorders>
              <w:top w:val="single" w:color="auto" w:sz="4" w:space="0"/>
              <w:left w:val="single" w:color="auto" w:sz="4" w:space="0"/>
              <w:bottom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1498" w:type="dxa"/>
            <w:tcBorders>
              <w:top w:val="single" w:color="auto" w:sz="4" w:space="0"/>
              <w:bottom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85,093.36</w:t>
            </w:r>
          </w:p>
        </w:tc>
        <w:tc>
          <w:tcPr>
            <w:tcW w:w="1679" w:type="dxa"/>
            <w:tcBorders>
              <w:top w:val="single" w:color="auto" w:sz="4" w:space="0"/>
              <w:bottom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21,273.34</w:t>
            </w:r>
          </w:p>
        </w:tc>
        <w:tc>
          <w:tcPr>
            <w:tcW w:w="1676" w:type="dxa"/>
            <w:tcBorders>
              <w:top w:val="single" w:color="auto" w:sz="4" w:space="0"/>
              <w:bottom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82,149.72</w:t>
            </w:r>
          </w:p>
        </w:tc>
        <w:tc>
          <w:tcPr>
            <w:tcW w:w="1879" w:type="dxa"/>
            <w:tcBorders>
              <w:top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20,537.43</w:t>
            </w:r>
          </w:p>
        </w:tc>
      </w:tr>
    </w:tbl>
    <w:p>
      <w:pPr>
        <w:ind w:right="-40"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w:t>
      </w:r>
      <w:r>
        <w:rPr>
          <w:rFonts w:hint="default" w:ascii="Times New Roman" w:hAnsi="Times New Roman" w:eastAsia="仿宋_GB2312" w:cs="Times New Roman"/>
          <w:color w:val="auto"/>
          <w:sz w:val="28"/>
          <w:szCs w:val="28"/>
          <w:highlight w:val="none"/>
          <w:lang w:val="en-US" w:eastAsia="zh-CN"/>
        </w:rPr>
        <w:t>6</w:t>
      </w:r>
      <w:r>
        <w:rPr>
          <w:rFonts w:hint="default" w:ascii="Times New Roman" w:hAnsi="Times New Roman" w:eastAsia="仿宋_GB2312" w:cs="Times New Roman"/>
          <w:color w:val="auto"/>
          <w:sz w:val="28"/>
          <w:szCs w:val="28"/>
          <w:highlight w:val="none"/>
        </w:rPr>
        <w:t>.其他资产</w:t>
      </w:r>
    </w:p>
    <w:tbl>
      <w:tblPr>
        <w:tblStyle w:val="25"/>
        <w:tblW w:w="936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568"/>
        <w:gridCol w:w="3245"/>
        <w:gridCol w:w="254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3568"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3245" w:type="dxa"/>
          </w:tcPr>
          <w:p>
            <w:pPr>
              <w:spacing w:line="360" w:lineRule="auto"/>
              <w:ind w:right="-37"/>
              <w:jc w:val="center"/>
              <w:outlineLvl w:val="0"/>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2026-6-30</w:t>
            </w:r>
          </w:p>
        </w:tc>
        <w:tc>
          <w:tcPr>
            <w:tcW w:w="2548" w:type="dxa"/>
          </w:tcPr>
          <w:p>
            <w:pPr>
              <w:spacing w:line="360" w:lineRule="auto"/>
              <w:ind w:right="-37"/>
              <w:jc w:val="center"/>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202</w:t>
            </w:r>
            <w:r>
              <w:rPr>
                <w:rFonts w:hint="default" w:ascii="Times New Roman" w:hAnsi="Times New Roman" w:eastAsia="仿宋_GB2312" w:cs="Times New Roman"/>
                <w:color w:val="auto"/>
                <w:kern w:val="0"/>
                <w:sz w:val="24"/>
                <w:szCs w:val="24"/>
                <w:highlight w:val="none"/>
                <w:lang w:val="en-US" w:eastAsia="zh-CN"/>
              </w:rPr>
              <w:t>5</w:t>
            </w:r>
            <w:r>
              <w:rPr>
                <w:rFonts w:hint="default" w:ascii="Times New Roman" w:hAnsi="Times New Roman" w:eastAsia="仿宋_GB2312" w:cs="Times New Roman"/>
                <w:color w:val="auto"/>
                <w:kern w:val="0"/>
                <w:sz w:val="24"/>
                <w:szCs w:val="24"/>
                <w:highlight w:val="none"/>
              </w:rPr>
              <w:t>-12-31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568" w:type="dxa"/>
            <w:vAlign w:val="center"/>
          </w:tcPr>
          <w:p>
            <w:pPr>
              <w:ind w:right="-37"/>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农户贷款应收利息</w:t>
            </w:r>
          </w:p>
        </w:tc>
        <w:tc>
          <w:tcPr>
            <w:tcW w:w="3245"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61.15</w:t>
            </w:r>
          </w:p>
        </w:tc>
        <w:tc>
          <w:tcPr>
            <w:tcW w:w="2548" w:type="dxa"/>
            <w:vAlign w:val="center"/>
          </w:tcPr>
          <w:p>
            <w:pPr>
              <w:widowControl/>
              <w:ind w:right="-37"/>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lang w:val="en-US" w:eastAsia="zh-CN"/>
              </w:rPr>
              <w:t xml:space="preserve">50.02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568" w:type="dxa"/>
            <w:vAlign w:val="center"/>
          </w:tcPr>
          <w:p>
            <w:pPr>
              <w:ind w:right="-37"/>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农村企业贷款应收利息</w:t>
            </w:r>
          </w:p>
        </w:tc>
        <w:tc>
          <w:tcPr>
            <w:tcW w:w="3245"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21.63</w:t>
            </w:r>
          </w:p>
        </w:tc>
        <w:tc>
          <w:tcPr>
            <w:tcW w:w="2548" w:type="dxa"/>
            <w:vAlign w:val="center"/>
          </w:tcPr>
          <w:p>
            <w:pPr>
              <w:widowControl/>
              <w:ind w:right="-37"/>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lang w:val="en-US" w:eastAsia="zh-CN"/>
              </w:rPr>
              <w:t>2.74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568" w:type="dxa"/>
            <w:vAlign w:val="center"/>
          </w:tcPr>
          <w:p>
            <w:pPr>
              <w:ind w:right="-37"/>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非农贷款应收利息</w:t>
            </w:r>
          </w:p>
        </w:tc>
        <w:tc>
          <w:tcPr>
            <w:tcW w:w="3245"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257.15</w:t>
            </w:r>
          </w:p>
        </w:tc>
        <w:tc>
          <w:tcPr>
            <w:tcW w:w="2548" w:type="dxa"/>
            <w:vAlign w:val="center"/>
          </w:tcPr>
          <w:p>
            <w:pPr>
              <w:widowControl/>
              <w:ind w:right="-37"/>
              <w:jc w:val="right"/>
              <w:textAlignment w:val="center"/>
              <w:rPr>
                <w:rFonts w:hint="default" w:ascii="Times New Roman" w:hAnsi="Times New Roman" w:eastAsia="仿宋_GB2312" w:cs="Times New Roman"/>
                <w:color w:val="auto"/>
                <w:kern w:val="0"/>
                <w:sz w:val="22"/>
                <w:highlight w:val="none"/>
                <w:lang w:val="en-US" w:eastAsia="zh-CN"/>
              </w:rPr>
            </w:pPr>
            <w:r>
              <w:rPr>
                <w:rFonts w:hint="default" w:ascii="Times New Roman" w:hAnsi="Times New Roman" w:eastAsia="仿宋_GB2312" w:cs="Times New Roman"/>
                <w:color w:val="auto"/>
                <w:kern w:val="0"/>
                <w:sz w:val="22"/>
                <w:highlight w:val="none"/>
                <w:lang w:val="en-US" w:eastAsia="zh-CN"/>
              </w:rPr>
              <w:t xml:space="preserve">311.31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3568" w:type="dxa"/>
            <w:vAlign w:val="center"/>
          </w:tcPr>
          <w:p>
            <w:pPr>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合计</w:t>
            </w:r>
          </w:p>
        </w:tc>
        <w:tc>
          <w:tcPr>
            <w:tcW w:w="3245" w:type="dxa"/>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339.93</w:t>
            </w:r>
          </w:p>
        </w:tc>
        <w:tc>
          <w:tcPr>
            <w:tcW w:w="2548" w:type="dxa"/>
            <w:vAlign w:val="center"/>
          </w:tcPr>
          <w:p>
            <w:pPr>
              <w:widowControl/>
              <w:ind w:right="-37"/>
              <w:jc w:val="right"/>
              <w:textAlignment w:val="center"/>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2"/>
                <w:highlight w:val="none"/>
                <w:lang w:val="en-US" w:eastAsia="zh-CN"/>
              </w:rPr>
              <w:t>364.07</w:t>
            </w:r>
          </w:p>
        </w:tc>
      </w:tr>
    </w:tbl>
    <w:p>
      <w:pPr>
        <w:ind w:right="-37" w:firstLine="560" w:firstLineChars="200"/>
        <w:jc w:val="left"/>
        <w:outlineLvl w:val="1"/>
        <w:rPr>
          <w:rFonts w:hint="default" w:ascii="Times New Roman" w:hAnsi="Times New Roman" w:cs="Times New Roman"/>
          <w:color w:val="auto"/>
          <w:highlight w:val="none"/>
        </w:rPr>
      </w:pPr>
      <w:r>
        <w:rPr>
          <w:rFonts w:hint="default" w:ascii="Times New Roman" w:hAnsi="Times New Roman" w:eastAsia="仿宋_GB2312" w:cs="Times New Roman"/>
          <w:color w:val="auto"/>
          <w:sz w:val="28"/>
          <w:szCs w:val="28"/>
          <w:highlight w:val="none"/>
        </w:rPr>
        <w:t>1</w:t>
      </w:r>
      <w:r>
        <w:rPr>
          <w:rFonts w:hint="default" w:ascii="Times New Roman" w:hAnsi="Times New Roman" w:eastAsia="仿宋_GB2312" w:cs="Times New Roman"/>
          <w:color w:val="auto"/>
          <w:sz w:val="28"/>
          <w:szCs w:val="28"/>
          <w:highlight w:val="none"/>
          <w:lang w:val="en-US" w:eastAsia="zh-CN"/>
        </w:rPr>
        <w:t>7</w:t>
      </w:r>
      <w:r>
        <w:rPr>
          <w:rFonts w:hint="default" w:ascii="Times New Roman" w:hAnsi="Times New Roman" w:eastAsia="仿宋_GB2312" w:cs="Times New Roman"/>
          <w:color w:val="auto"/>
          <w:sz w:val="28"/>
          <w:szCs w:val="28"/>
          <w:highlight w:val="none"/>
        </w:rPr>
        <w:t>.资产减值准备明细</w:t>
      </w:r>
    </w:p>
    <w:tbl>
      <w:tblPr>
        <w:tblStyle w:val="25"/>
        <w:tblW w:w="9363"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56"/>
        <w:gridCol w:w="1236"/>
        <w:gridCol w:w="1152"/>
        <w:gridCol w:w="1056"/>
        <w:gridCol w:w="1032"/>
        <w:gridCol w:w="1010"/>
        <w:gridCol w:w="12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blHeader/>
          <w:jc w:val="center"/>
        </w:trPr>
        <w:tc>
          <w:tcPr>
            <w:tcW w:w="2656" w:type="dxa"/>
            <w:vMerge w:val="restart"/>
            <w:tcMar>
              <w:top w:w="15" w:type="dxa"/>
              <w:left w:w="15" w:type="dxa"/>
              <w:right w:w="15" w:type="dxa"/>
            </w:tcMar>
            <w:vAlign w:val="center"/>
          </w:tcPr>
          <w:p>
            <w:pPr>
              <w:widowControl/>
              <w:jc w:val="center"/>
              <w:textAlignment w:val="bottom"/>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1236" w:type="dxa"/>
            <w:vMerge w:val="restart"/>
            <w:tcMar>
              <w:top w:w="15" w:type="dxa"/>
              <w:left w:w="15" w:type="dxa"/>
              <w:right w:w="15" w:type="dxa"/>
            </w:tcMar>
            <w:vAlign w:val="center"/>
          </w:tcPr>
          <w:p>
            <w:pPr>
              <w:widowControl/>
              <w:jc w:val="center"/>
              <w:textAlignment w:val="bottom"/>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2025-12-31</w:t>
            </w:r>
          </w:p>
        </w:tc>
        <w:tc>
          <w:tcPr>
            <w:tcW w:w="2208" w:type="dxa"/>
            <w:gridSpan w:val="2"/>
            <w:tcMar>
              <w:top w:w="15" w:type="dxa"/>
              <w:left w:w="15" w:type="dxa"/>
              <w:right w:w="15" w:type="dxa"/>
            </w:tcMar>
            <w:vAlign w:val="center"/>
          </w:tcPr>
          <w:p>
            <w:pPr>
              <w:widowControl/>
              <w:jc w:val="center"/>
              <w:textAlignment w:val="bottom"/>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本年增加</w:t>
            </w:r>
          </w:p>
        </w:tc>
        <w:tc>
          <w:tcPr>
            <w:tcW w:w="2042" w:type="dxa"/>
            <w:gridSpan w:val="2"/>
            <w:tcMar>
              <w:top w:w="15" w:type="dxa"/>
              <w:left w:w="15" w:type="dxa"/>
              <w:right w:w="15" w:type="dxa"/>
            </w:tcMar>
            <w:vAlign w:val="center"/>
          </w:tcPr>
          <w:p>
            <w:pPr>
              <w:widowControl/>
              <w:jc w:val="center"/>
              <w:textAlignment w:val="bottom"/>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本年减少</w:t>
            </w:r>
          </w:p>
        </w:tc>
        <w:tc>
          <w:tcPr>
            <w:tcW w:w="1221" w:type="dxa"/>
            <w:vMerge w:val="restart"/>
            <w:tcMar>
              <w:top w:w="15" w:type="dxa"/>
              <w:left w:w="15" w:type="dxa"/>
              <w:right w:w="15" w:type="dxa"/>
            </w:tcMar>
            <w:vAlign w:val="center"/>
          </w:tcPr>
          <w:p>
            <w:pPr>
              <w:widowControl/>
              <w:jc w:val="center"/>
              <w:textAlignment w:val="bottom"/>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2026-6-30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blHeader/>
          <w:jc w:val="center"/>
        </w:trPr>
        <w:tc>
          <w:tcPr>
            <w:tcW w:w="2656" w:type="dxa"/>
            <w:vMerge w:val="continue"/>
            <w:tcMar>
              <w:top w:w="15" w:type="dxa"/>
              <w:left w:w="15" w:type="dxa"/>
              <w:right w:w="15" w:type="dxa"/>
            </w:tcMar>
            <w:vAlign w:val="center"/>
          </w:tcPr>
          <w:p>
            <w:pPr>
              <w:rPr>
                <w:rFonts w:hint="default" w:ascii="Times New Roman" w:hAnsi="Times New Roman" w:cs="Times New Roman"/>
              </w:rPr>
            </w:pPr>
          </w:p>
        </w:tc>
        <w:tc>
          <w:tcPr>
            <w:tcW w:w="1236" w:type="dxa"/>
            <w:vMerge w:val="continue"/>
            <w:tcMar>
              <w:top w:w="15" w:type="dxa"/>
              <w:left w:w="15" w:type="dxa"/>
              <w:right w:w="15" w:type="dxa"/>
            </w:tcMar>
            <w:vAlign w:val="center"/>
          </w:tcPr>
          <w:p>
            <w:pPr>
              <w:rPr>
                <w:rFonts w:hint="default" w:ascii="Times New Roman" w:hAnsi="Times New Roman" w:cs="Times New Roman"/>
              </w:rPr>
            </w:pPr>
          </w:p>
        </w:tc>
        <w:tc>
          <w:tcPr>
            <w:tcW w:w="1152" w:type="dxa"/>
            <w:vMerge w:val="restart"/>
            <w:tcMar>
              <w:top w:w="15" w:type="dxa"/>
              <w:left w:w="15" w:type="dxa"/>
              <w:right w:w="15" w:type="dxa"/>
            </w:tcMar>
            <w:vAlign w:val="center"/>
          </w:tcPr>
          <w:p>
            <w:pPr>
              <w:widowControl/>
              <w:jc w:val="center"/>
              <w:textAlignment w:val="bottom"/>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本年计提</w:t>
            </w:r>
          </w:p>
        </w:tc>
        <w:tc>
          <w:tcPr>
            <w:tcW w:w="1056" w:type="dxa"/>
            <w:vMerge w:val="restart"/>
            <w:tcMar>
              <w:top w:w="15" w:type="dxa"/>
              <w:left w:w="15" w:type="dxa"/>
              <w:right w:w="15" w:type="dxa"/>
            </w:tcMar>
            <w:vAlign w:val="center"/>
          </w:tcPr>
          <w:p>
            <w:pPr>
              <w:widowControl/>
              <w:jc w:val="center"/>
              <w:textAlignment w:val="bottom"/>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其他增加</w:t>
            </w:r>
          </w:p>
        </w:tc>
        <w:tc>
          <w:tcPr>
            <w:tcW w:w="1032" w:type="dxa"/>
            <w:vMerge w:val="restart"/>
            <w:tcMar>
              <w:top w:w="15" w:type="dxa"/>
              <w:left w:w="15" w:type="dxa"/>
              <w:right w:w="15" w:type="dxa"/>
            </w:tcMar>
            <w:vAlign w:val="center"/>
          </w:tcPr>
          <w:p>
            <w:pPr>
              <w:widowControl/>
              <w:jc w:val="center"/>
              <w:textAlignment w:val="bottom"/>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本年核销</w:t>
            </w:r>
          </w:p>
        </w:tc>
        <w:tc>
          <w:tcPr>
            <w:tcW w:w="1010" w:type="dxa"/>
            <w:vMerge w:val="restart"/>
            <w:tcMar>
              <w:top w:w="15" w:type="dxa"/>
              <w:left w:w="15" w:type="dxa"/>
              <w:right w:w="15" w:type="dxa"/>
            </w:tcMar>
            <w:vAlign w:val="center"/>
          </w:tcPr>
          <w:p>
            <w:pPr>
              <w:widowControl/>
              <w:jc w:val="center"/>
              <w:textAlignment w:val="bottom"/>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其他减少</w:t>
            </w:r>
          </w:p>
        </w:tc>
        <w:tc>
          <w:tcPr>
            <w:tcW w:w="1221" w:type="dxa"/>
            <w:vMerge w:val="continue"/>
            <w:tcMar>
              <w:top w:w="15" w:type="dxa"/>
              <w:left w:w="15" w:type="dxa"/>
              <w:right w:w="15" w:type="dxa"/>
            </w:tcMar>
            <w:vAlign w:val="center"/>
          </w:tcPr>
          <w:p>
            <w:pP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jc w:val="center"/>
        </w:trPr>
        <w:tc>
          <w:tcPr>
            <w:tcW w:w="2656" w:type="dxa"/>
            <w:vMerge w:val="continue"/>
            <w:tcMar>
              <w:top w:w="15" w:type="dxa"/>
              <w:left w:w="15" w:type="dxa"/>
              <w:right w:w="15" w:type="dxa"/>
            </w:tcMar>
            <w:vAlign w:val="center"/>
          </w:tcPr>
          <w:p>
            <w:pPr>
              <w:rPr>
                <w:rFonts w:hint="default" w:ascii="Times New Roman" w:hAnsi="Times New Roman" w:cs="Times New Roman"/>
              </w:rPr>
            </w:pPr>
          </w:p>
        </w:tc>
        <w:tc>
          <w:tcPr>
            <w:tcW w:w="1236" w:type="dxa"/>
            <w:vMerge w:val="continue"/>
            <w:tcMar>
              <w:top w:w="15" w:type="dxa"/>
              <w:left w:w="15" w:type="dxa"/>
              <w:right w:w="15" w:type="dxa"/>
            </w:tcMar>
            <w:vAlign w:val="center"/>
          </w:tcPr>
          <w:p>
            <w:pPr>
              <w:rPr>
                <w:rFonts w:hint="default" w:ascii="Times New Roman" w:hAnsi="Times New Roman" w:cs="Times New Roman"/>
              </w:rPr>
            </w:pPr>
          </w:p>
        </w:tc>
        <w:tc>
          <w:tcPr>
            <w:tcW w:w="1152" w:type="dxa"/>
            <w:vMerge w:val="continue"/>
            <w:tcMar>
              <w:top w:w="15" w:type="dxa"/>
              <w:left w:w="15" w:type="dxa"/>
              <w:right w:w="15" w:type="dxa"/>
            </w:tcMar>
            <w:vAlign w:val="center"/>
          </w:tcPr>
          <w:p>
            <w:pPr>
              <w:rPr>
                <w:rFonts w:hint="default" w:ascii="Times New Roman" w:hAnsi="Times New Roman" w:cs="Times New Roman"/>
              </w:rPr>
            </w:pPr>
          </w:p>
        </w:tc>
        <w:tc>
          <w:tcPr>
            <w:tcW w:w="1056" w:type="dxa"/>
            <w:vMerge w:val="continue"/>
            <w:tcMar>
              <w:top w:w="15" w:type="dxa"/>
              <w:left w:w="15" w:type="dxa"/>
              <w:right w:w="15" w:type="dxa"/>
            </w:tcMar>
            <w:vAlign w:val="center"/>
          </w:tcPr>
          <w:p>
            <w:pPr>
              <w:rPr>
                <w:rFonts w:hint="default" w:ascii="Times New Roman" w:hAnsi="Times New Roman" w:cs="Times New Roman"/>
              </w:rPr>
            </w:pPr>
          </w:p>
        </w:tc>
        <w:tc>
          <w:tcPr>
            <w:tcW w:w="1032" w:type="dxa"/>
            <w:vMerge w:val="continue"/>
            <w:tcMar>
              <w:top w:w="15" w:type="dxa"/>
              <w:left w:w="15" w:type="dxa"/>
              <w:right w:w="15" w:type="dxa"/>
            </w:tcMar>
            <w:vAlign w:val="center"/>
          </w:tcPr>
          <w:p>
            <w:pPr>
              <w:rPr>
                <w:rFonts w:hint="default" w:ascii="Times New Roman" w:hAnsi="Times New Roman" w:cs="Times New Roman"/>
              </w:rPr>
            </w:pPr>
          </w:p>
        </w:tc>
        <w:tc>
          <w:tcPr>
            <w:tcW w:w="1010" w:type="dxa"/>
            <w:vMerge w:val="continue"/>
            <w:tcMar>
              <w:top w:w="15" w:type="dxa"/>
              <w:left w:w="15" w:type="dxa"/>
              <w:right w:w="15" w:type="dxa"/>
            </w:tcMar>
            <w:vAlign w:val="center"/>
          </w:tcPr>
          <w:p>
            <w:pPr>
              <w:rPr>
                <w:rFonts w:hint="default" w:ascii="Times New Roman" w:hAnsi="Times New Roman" w:cs="Times New Roman"/>
              </w:rPr>
            </w:pPr>
          </w:p>
        </w:tc>
        <w:tc>
          <w:tcPr>
            <w:tcW w:w="1221" w:type="dxa"/>
            <w:vMerge w:val="continue"/>
            <w:tcMar>
              <w:top w:w="15" w:type="dxa"/>
              <w:left w:w="15" w:type="dxa"/>
              <w:right w:w="15" w:type="dxa"/>
            </w:tcMar>
            <w:vAlign w:val="center"/>
          </w:tcPr>
          <w:p>
            <w:pP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jc w:val="center"/>
        </w:trPr>
        <w:tc>
          <w:tcPr>
            <w:tcW w:w="2656" w:type="dxa"/>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存放同业坏账准备</w:t>
            </w:r>
          </w:p>
        </w:tc>
        <w:tc>
          <w:tcPr>
            <w:tcW w:w="123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711.62 </w:t>
            </w:r>
          </w:p>
        </w:tc>
        <w:tc>
          <w:tcPr>
            <w:tcW w:w="115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97.00 </w:t>
            </w:r>
          </w:p>
        </w:tc>
        <w:tc>
          <w:tcPr>
            <w:tcW w:w="105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3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10"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221"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808.62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jc w:val="center"/>
        </w:trPr>
        <w:tc>
          <w:tcPr>
            <w:tcW w:w="2656" w:type="dxa"/>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贷款损失准备</w:t>
            </w:r>
          </w:p>
        </w:tc>
        <w:tc>
          <w:tcPr>
            <w:tcW w:w="123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47,371.15 </w:t>
            </w:r>
          </w:p>
        </w:tc>
        <w:tc>
          <w:tcPr>
            <w:tcW w:w="115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15,883.96 </w:t>
            </w:r>
          </w:p>
        </w:tc>
        <w:tc>
          <w:tcPr>
            <w:tcW w:w="105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3,658.74 </w:t>
            </w:r>
          </w:p>
        </w:tc>
        <w:tc>
          <w:tcPr>
            <w:tcW w:w="103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20,344.74 </w:t>
            </w:r>
          </w:p>
        </w:tc>
        <w:tc>
          <w:tcPr>
            <w:tcW w:w="1010" w:type="dxa"/>
            <w:tcMar>
              <w:top w:w="17" w:type="dxa"/>
              <w:left w:w="17" w:type="dxa"/>
              <w:right w:w="108" w:type="dxa"/>
            </w:tcMar>
            <w:vAlign w:val="center"/>
          </w:tcPr>
          <w:p>
            <w:pPr>
              <w:jc w:val="right"/>
              <w:rPr>
                <w:rFonts w:hint="default" w:ascii="Times New Roman" w:hAnsi="Times New Roman" w:eastAsia="仿宋_GB2312" w:cs="Times New Roman"/>
                <w:color w:val="auto"/>
                <w:kern w:val="0"/>
                <w:sz w:val="22"/>
                <w:szCs w:val="22"/>
                <w:highlight w:val="none"/>
                <w:lang w:val="en-US" w:eastAsia="zh-CN"/>
              </w:rPr>
            </w:pPr>
          </w:p>
        </w:tc>
        <w:tc>
          <w:tcPr>
            <w:tcW w:w="1221"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46,569.11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jc w:val="center"/>
        </w:trPr>
        <w:tc>
          <w:tcPr>
            <w:tcW w:w="2656" w:type="dxa"/>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其他应收款减值准备</w:t>
            </w:r>
          </w:p>
        </w:tc>
        <w:tc>
          <w:tcPr>
            <w:tcW w:w="123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746.54 </w:t>
            </w:r>
          </w:p>
        </w:tc>
        <w:tc>
          <w:tcPr>
            <w:tcW w:w="115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5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1.50 </w:t>
            </w:r>
          </w:p>
        </w:tc>
        <w:tc>
          <w:tcPr>
            <w:tcW w:w="103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10"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221"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748.04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jc w:val="center"/>
        </w:trPr>
        <w:tc>
          <w:tcPr>
            <w:tcW w:w="2656" w:type="dxa"/>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lang w:eastAsia="zh-CN"/>
              </w:rPr>
            </w:pPr>
            <w:r>
              <w:rPr>
                <w:rFonts w:hint="default" w:ascii="Times New Roman" w:hAnsi="Times New Roman" w:eastAsia="仿宋_GB2312" w:cs="Times New Roman"/>
                <w:i w:val="0"/>
                <w:color w:val="auto"/>
                <w:kern w:val="0"/>
                <w:sz w:val="24"/>
                <w:szCs w:val="24"/>
                <w:highlight w:val="none"/>
                <w:u w:val="none"/>
                <w:lang w:val="en-US" w:eastAsia="zh-CN"/>
              </w:rPr>
              <w:t>债权投资减值准备</w:t>
            </w:r>
          </w:p>
        </w:tc>
        <w:tc>
          <w:tcPr>
            <w:tcW w:w="123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493.59 </w:t>
            </w:r>
          </w:p>
        </w:tc>
        <w:tc>
          <w:tcPr>
            <w:tcW w:w="115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218.86 </w:t>
            </w:r>
          </w:p>
        </w:tc>
        <w:tc>
          <w:tcPr>
            <w:tcW w:w="105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3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10"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221"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712.45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jc w:val="center"/>
        </w:trPr>
        <w:tc>
          <w:tcPr>
            <w:tcW w:w="2656" w:type="dxa"/>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应收利息坏账准备</w:t>
            </w:r>
          </w:p>
        </w:tc>
        <w:tc>
          <w:tcPr>
            <w:tcW w:w="123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15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5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3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10"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221"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jc w:val="center"/>
        </w:trPr>
        <w:tc>
          <w:tcPr>
            <w:tcW w:w="2656" w:type="dxa"/>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其他债权投资减值准备</w:t>
            </w:r>
          </w:p>
        </w:tc>
        <w:tc>
          <w:tcPr>
            <w:tcW w:w="123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541.91 </w:t>
            </w:r>
          </w:p>
        </w:tc>
        <w:tc>
          <w:tcPr>
            <w:tcW w:w="115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290.31 </w:t>
            </w:r>
          </w:p>
        </w:tc>
        <w:tc>
          <w:tcPr>
            <w:tcW w:w="105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3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10"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221"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832.22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jc w:val="center"/>
        </w:trPr>
        <w:tc>
          <w:tcPr>
            <w:tcW w:w="2656" w:type="dxa"/>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抵债资产减值准备</w:t>
            </w:r>
          </w:p>
        </w:tc>
        <w:tc>
          <w:tcPr>
            <w:tcW w:w="123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102.14 </w:t>
            </w:r>
          </w:p>
        </w:tc>
        <w:tc>
          <w:tcPr>
            <w:tcW w:w="115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5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3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10"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221"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102.14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jc w:val="center"/>
        </w:trPr>
        <w:tc>
          <w:tcPr>
            <w:tcW w:w="2656" w:type="dxa"/>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拆放同业坏账准备</w:t>
            </w:r>
          </w:p>
        </w:tc>
        <w:tc>
          <w:tcPr>
            <w:tcW w:w="123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2,145.01 </w:t>
            </w:r>
          </w:p>
        </w:tc>
        <w:tc>
          <w:tcPr>
            <w:tcW w:w="115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582.24 </w:t>
            </w:r>
          </w:p>
        </w:tc>
        <w:tc>
          <w:tcPr>
            <w:tcW w:w="105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3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10"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221"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2,727.25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jc w:val="center"/>
        </w:trPr>
        <w:tc>
          <w:tcPr>
            <w:tcW w:w="2656" w:type="dxa"/>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买入返售金融资产减值准备</w:t>
            </w:r>
          </w:p>
        </w:tc>
        <w:tc>
          <w:tcPr>
            <w:tcW w:w="123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15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5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3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10"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221"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jc w:val="center"/>
        </w:trPr>
        <w:tc>
          <w:tcPr>
            <w:tcW w:w="2656" w:type="dxa"/>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固定资产减值准备</w:t>
            </w:r>
          </w:p>
        </w:tc>
        <w:tc>
          <w:tcPr>
            <w:tcW w:w="123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51.15 </w:t>
            </w:r>
          </w:p>
        </w:tc>
        <w:tc>
          <w:tcPr>
            <w:tcW w:w="115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5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3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10"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221"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51.15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jc w:val="center"/>
        </w:trPr>
        <w:tc>
          <w:tcPr>
            <w:tcW w:w="2656" w:type="dxa"/>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预计负债</w:t>
            </w:r>
          </w:p>
        </w:tc>
        <w:tc>
          <w:tcPr>
            <w:tcW w:w="123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202.81 </w:t>
            </w:r>
          </w:p>
        </w:tc>
        <w:tc>
          <w:tcPr>
            <w:tcW w:w="115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530.07 </w:t>
            </w:r>
          </w:p>
        </w:tc>
        <w:tc>
          <w:tcPr>
            <w:tcW w:w="105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3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010"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221"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732.88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jc w:val="center"/>
        </w:trPr>
        <w:tc>
          <w:tcPr>
            <w:tcW w:w="2656" w:type="dxa"/>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123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52,365.92 </w:t>
            </w:r>
          </w:p>
        </w:tc>
        <w:tc>
          <w:tcPr>
            <w:tcW w:w="115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17,602.44 </w:t>
            </w:r>
          </w:p>
        </w:tc>
        <w:tc>
          <w:tcPr>
            <w:tcW w:w="1056"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3,660.24 </w:t>
            </w:r>
          </w:p>
        </w:tc>
        <w:tc>
          <w:tcPr>
            <w:tcW w:w="1032"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20,344.74 </w:t>
            </w:r>
          </w:p>
        </w:tc>
        <w:tc>
          <w:tcPr>
            <w:tcW w:w="1010"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1221" w:type="dxa"/>
            <w:tcMar>
              <w:top w:w="17" w:type="dxa"/>
              <w:left w:w="17" w:type="dxa"/>
              <w:right w:w="108" w:type="dxa"/>
            </w:tcMar>
            <w:vAlign w:val="center"/>
          </w:tcPr>
          <w:p>
            <w:pPr>
              <w:keepNext w:val="0"/>
              <w:keepLines w:val="0"/>
              <w:widowControl/>
              <w:suppressLineNumbers w:val="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53,283.86 </w:t>
            </w:r>
          </w:p>
        </w:tc>
      </w:tr>
    </w:tbl>
    <w:p>
      <w:pPr>
        <w:ind w:right="-37"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w:t>
      </w:r>
      <w:r>
        <w:rPr>
          <w:rFonts w:hint="default" w:ascii="Times New Roman" w:hAnsi="Times New Roman" w:eastAsia="仿宋_GB2312" w:cs="Times New Roman"/>
          <w:color w:val="auto"/>
          <w:sz w:val="28"/>
          <w:szCs w:val="28"/>
          <w:highlight w:val="none"/>
          <w:lang w:val="en-US" w:eastAsia="zh-CN"/>
        </w:rPr>
        <w:t>8</w:t>
      </w:r>
      <w:r>
        <w:rPr>
          <w:rFonts w:hint="default" w:ascii="Times New Roman" w:hAnsi="Times New Roman" w:eastAsia="仿宋_GB2312" w:cs="Times New Roman"/>
          <w:color w:val="auto"/>
          <w:sz w:val="28"/>
          <w:szCs w:val="28"/>
          <w:highlight w:val="none"/>
        </w:rPr>
        <w:t>.向中央银行借款</w:t>
      </w:r>
    </w:p>
    <w:tbl>
      <w:tblPr>
        <w:tblStyle w:val="25"/>
        <w:tblW w:w="9275" w:type="dxa"/>
        <w:tblInd w:w="-10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38"/>
        <w:gridCol w:w="2376"/>
        <w:gridCol w:w="23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538" w:type="dxa"/>
            <w:vAlign w:val="center"/>
          </w:tcPr>
          <w:p>
            <w:pPr>
              <w:ind w:right="-37"/>
              <w:jc w:val="center"/>
              <w:outlineLvl w:val="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2376" w:type="dxa"/>
            <w:vAlign w:val="center"/>
          </w:tcPr>
          <w:p>
            <w:pPr>
              <w:ind w:right="-37"/>
              <w:jc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2026-6-30</w:t>
            </w:r>
          </w:p>
        </w:tc>
        <w:tc>
          <w:tcPr>
            <w:tcW w:w="2361" w:type="dxa"/>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2025-12-31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538" w:type="dxa"/>
            <w:vAlign w:val="center"/>
          </w:tcPr>
          <w:p>
            <w:pPr>
              <w:ind w:right="-37"/>
              <w:jc w:val="left"/>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支小再贷款</w:t>
            </w:r>
          </w:p>
        </w:tc>
        <w:tc>
          <w:tcPr>
            <w:tcW w:w="2376"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157,300.00</w:t>
            </w:r>
          </w:p>
        </w:tc>
        <w:tc>
          <w:tcPr>
            <w:tcW w:w="2361" w:type="dxa"/>
            <w:vAlign w:val="center"/>
          </w:tcPr>
          <w:p>
            <w:pPr>
              <w:widowControl/>
              <w:ind w:right="-37"/>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等线" w:cs="Times New Roman"/>
                <w:color w:val="auto"/>
                <w:kern w:val="0"/>
                <w:sz w:val="22"/>
                <w:highlight w:val="none"/>
              </w:rPr>
              <w:t>154,000.00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538" w:type="dxa"/>
            <w:vAlign w:val="center"/>
          </w:tcPr>
          <w:p>
            <w:pPr>
              <w:ind w:right="-37"/>
              <w:jc w:val="left"/>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加：应付利息</w:t>
            </w:r>
          </w:p>
        </w:tc>
        <w:tc>
          <w:tcPr>
            <w:tcW w:w="2376"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1,290.30</w:t>
            </w:r>
          </w:p>
        </w:tc>
        <w:tc>
          <w:tcPr>
            <w:tcW w:w="2361" w:type="dxa"/>
            <w:vAlign w:val="center"/>
          </w:tcPr>
          <w:p>
            <w:pPr>
              <w:widowControl/>
              <w:ind w:right="-37"/>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等线" w:cs="Times New Roman"/>
                <w:color w:val="auto"/>
                <w:kern w:val="0"/>
                <w:sz w:val="22"/>
                <w:highlight w:val="none"/>
              </w:rPr>
              <w:t xml:space="preserve">1,164.33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538" w:type="dxa"/>
            <w:vAlign w:val="center"/>
          </w:tcPr>
          <w:p>
            <w:pPr>
              <w:ind w:right="-37"/>
              <w:jc w:val="center"/>
              <w:outlineLvl w:val="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合计</w:t>
            </w:r>
          </w:p>
        </w:tc>
        <w:tc>
          <w:tcPr>
            <w:tcW w:w="2376"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158,590.30</w:t>
            </w:r>
          </w:p>
        </w:tc>
        <w:tc>
          <w:tcPr>
            <w:tcW w:w="2361" w:type="dxa"/>
            <w:vAlign w:val="center"/>
          </w:tcPr>
          <w:p>
            <w:pPr>
              <w:widowControl/>
              <w:ind w:right="-37"/>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等线" w:cs="Times New Roman"/>
                <w:color w:val="auto"/>
                <w:kern w:val="0"/>
                <w:sz w:val="22"/>
                <w:highlight w:val="none"/>
              </w:rPr>
              <w:t>155,164.33</w:t>
            </w:r>
          </w:p>
        </w:tc>
      </w:tr>
    </w:tbl>
    <w:p>
      <w:pPr>
        <w:ind w:right="-37"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lang w:val="en-US" w:eastAsia="zh-CN"/>
        </w:rPr>
        <w:t>19</w:t>
      </w:r>
      <w:r>
        <w:rPr>
          <w:rFonts w:hint="default" w:ascii="Times New Roman" w:hAnsi="Times New Roman" w:eastAsia="仿宋_GB2312" w:cs="Times New Roman"/>
          <w:color w:val="auto"/>
          <w:sz w:val="28"/>
          <w:szCs w:val="28"/>
          <w:highlight w:val="none"/>
        </w:rPr>
        <w:t>.同业及其他金融机构存放款项</w:t>
      </w:r>
    </w:p>
    <w:tbl>
      <w:tblPr>
        <w:tblStyle w:val="25"/>
        <w:tblW w:w="9299" w:type="dxa"/>
        <w:tblInd w:w="-1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67"/>
        <w:gridCol w:w="2377"/>
        <w:gridCol w:w="23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trPr>
        <w:tc>
          <w:tcPr>
            <w:tcW w:w="4567"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2377" w:type="dxa"/>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2026-6-30</w:t>
            </w:r>
          </w:p>
        </w:tc>
        <w:tc>
          <w:tcPr>
            <w:tcW w:w="2355" w:type="dxa"/>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2025-12-31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567" w:type="dxa"/>
            <w:vAlign w:val="center"/>
          </w:tcPr>
          <w:p>
            <w:pPr>
              <w:widowControl/>
              <w:ind w:right="-37"/>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银行机构</w:t>
            </w:r>
          </w:p>
        </w:tc>
        <w:tc>
          <w:tcPr>
            <w:tcW w:w="2377"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356.06</w:t>
            </w:r>
          </w:p>
        </w:tc>
        <w:tc>
          <w:tcPr>
            <w:tcW w:w="2355" w:type="dxa"/>
            <w:vAlign w:val="center"/>
          </w:tcPr>
          <w:p>
            <w:pPr>
              <w:widowControl/>
              <w:ind w:right="-37"/>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等线" w:cs="Times New Roman"/>
                <w:color w:val="auto"/>
                <w:kern w:val="0"/>
                <w:sz w:val="22"/>
                <w:highlight w:val="none"/>
              </w:rPr>
              <w:t xml:space="preserve">45.47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567"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合计</w:t>
            </w:r>
          </w:p>
        </w:tc>
        <w:tc>
          <w:tcPr>
            <w:tcW w:w="2377"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356.06</w:t>
            </w:r>
          </w:p>
        </w:tc>
        <w:tc>
          <w:tcPr>
            <w:tcW w:w="2355" w:type="dxa"/>
            <w:vAlign w:val="center"/>
          </w:tcPr>
          <w:p>
            <w:pPr>
              <w:widowControl/>
              <w:ind w:right="-37"/>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等线" w:cs="Times New Roman"/>
                <w:color w:val="auto"/>
                <w:kern w:val="0"/>
                <w:sz w:val="22"/>
                <w:highlight w:val="none"/>
              </w:rPr>
              <w:t>45.47</w:t>
            </w:r>
          </w:p>
        </w:tc>
      </w:tr>
    </w:tbl>
    <w:p>
      <w:pPr>
        <w:ind w:right="-37"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w:t>
      </w:r>
      <w:r>
        <w:rPr>
          <w:rFonts w:hint="default" w:ascii="Times New Roman" w:hAnsi="Times New Roman" w:eastAsia="仿宋_GB2312" w:cs="Times New Roman"/>
          <w:color w:val="auto"/>
          <w:sz w:val="28"/>
          <w:szCs w:val="28"/>
          <w:highlight w:val="none"/>
          <w:lang w:val="en-US" w:eastAsia="zh-CN"/>
        </w:rPr>
        <w:t>0</w:t>
      </w:r>
      <w:r>
        <w:rPr>
          <w:rFonts w:hint="default" w:ascii="Times New Roman" w:hAnsi="Times New Roman" w:eastAsia="仿宋_GB2312" w:cs="Times New Roman"/>
          <w:color w:val="auto"/>
          <w:sz w:val="28"/>
          <w:szCs w:val="28"/>
          <w:highlight w:val="none"/>
        </w:rPr>
        <w:t>.卖出回购金融资产款</w:t>
      </w:r>
    </w:p>
    <w:tbl>
      <w:tblPr>
        <w:tblStyle w:val="25"/>
        <w:tblW w:w="9188" w:type="dxa"/>
        <w:tblInd w:w="-1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60"/>
        <w:gridCol w:w="2515"/>
        <w:gridCol w:w="221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trPr>
        <w:tc>
          <w:tcPr>
            <w:tcW w:w="4460"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2515" w:type="dxa"/>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2026-6-30</w:t>
            </w:r>
          </w:p>
        </w:tc>
        <w:tc>
          <w:tcPr>
            <w:tcW w:w="2213" w:type="dxa"/>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2025-12-31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460"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卖出回购股份制商业银行质押式债券款</w:t>
            </w:r>
          </w:p>
        </w:tc>
        <w:tc>
          <w:tcPr>
            <w:tcW w:w="251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15,000.00 </w:t>
            </w:r>
          </w:p>
        </w:tc>
        <w:tc>
          <w:tcPr>
            <w:tcW w:w="2213" w:type="dxa"/>
            <w:vAlign w:val="center"/>
          </w:tcPr>
          <w:p>
            <w:pPr>
              <w:widowControl/>
              <w:ind w:right="-37"/>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等线" w:cs="Times New Roman"/>
                <w:color w:val="auto"/>
                <w:kern w:val="0"/>
                <w:sz w:val="22"/>
                <w:highlight w:val="none"/>
              </w:rPr>
              <w:t>10,000.00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460"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卖出回购其他金融机构质押式债券款</w:t>
            </w:r>
          </w:p>
        </w:tc>
        <w:tc>
          <w:tcPr>
            <w:tcW w:w="251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102,650.00 </w:t>
            </w:r>
          </w:p>
        </w:tc>
        <w:tc>
          <w:tcPr>
            <w:tcW w:w="2213" w:type="dxa"/>
            <w:vAlign w:val="center"/>
          </w:tcPr>
          <w:p>
            <w:pPr>
              <w:widowControl/>
              <w:ind w:right="-37"/>
              <w:jc w:val="right"/>
              <w:textAlignment w:val="center"/>
              <w:rPr>
                <w:rFonts w:hint="default" w:ascii="Times New Roman" w:hAnsi="Times New Roman" w:eastAsia="等线" w:cs="Times New Roman"/>
                <w:color w:val="auto"/>
                <w:kern w:val="0"/>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460"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应付卖出回购债券款利息</w:t>
            </w:r>
          </w:p>
        </w:tc>
        <w:tc>
          <w:tcPr>
            <w:tcW w:w="251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31.48 </w:t>
            </w:r>
          </w:p>
        </w:tc>
        <w:tc>
          <w:tcPr>
            <w:tcW w:w="2213" w:type="dxa"/>
            <w:vAlign w:val="center"/>
          </w:tcPr>
          <w:p>
            <w:pPr>
              <w:widowControl/>
              <w:ind w:right="-37"/>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等线" w:cs="Times New Roman"/>
                <w:color w:val="auto"/>
                <w:kern w:val="0"/>
                <w:sz w:val="22"/>
                <w:highlight w:val="none"/>
              </w:rPr>
              <w:t>1.18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460" w:type="dxa"/>
            <w:vAlign w:val="center"/>
          </w:tcPr>
          <w:p>
            <w:pPr>
              <w:widowControl/>
              <w:ind w:right="-37"/>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卖出回购金融资产款账面价值</w:t>
            </w:r>
          </w:p>
        </w:tc>
        <w:tc>
          <w:tcPr>
            <w:tcW w:w="251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117,681.48 </w:t>
            </w:r>
          </w:p>
        </w:tc>
        <w:tc>
          <w:tcPr>
            <w:tcW w:w="2213" w:type="dxa"/>
            <w:vAlign w:val="center"/>
          </w:tcPr>
          <w:p>
            <w:pPr>
              <w:widowControl/>
              <w:ind w:right="-37"/>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等线" w:cs="Times New Roman"/>
                <w:color w:val="auto"/>
                <w:kern w:val="0"/>
                <w:sz w:val="22"/>
                <w:highlight w:val="none"/>
              </w:rPr>
              <w:t>10,001.18</w:t>
            </w:r>
          </w:p>
        </w:tc>
      </w:tr>
    </w:tbl>
    <w:p>
      <w:pPr>
        <w:ind w:right="-37"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21.拆入资金</w:t>
      </w:r>
    </w:p>
    <w:tbl>
      <w:tblPr>
        <w:tblStyle w:val="25"/>
        <w:tblW w:w="9188" w:type="dxa"/>
        <w:tblInd w:w="-1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60"/>
        <w:gridCol w:w="2515"/>
        <w:gridCol w:w="221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trPr>
        <w:tc>
          <w:tcPr>
            <w:tcW w:w="4460"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项目</w:t>
            </w:r>
          </w:p>
        </w:tc>
        <w:tc>
          <w:tcPr>
            <w:tcW w:w="2515" w:type="dxa"/>
            <w:vAlign w:val="center"/>
          </w:tcPr>
          <w:p>
            <w:pPr>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2026-6-30</w:t>
            </w:r>
          </w:p>
        </w:tc>
        <w:tc>
          <w:tcPr>
            <w:tcW w:w="2213" w:type="dxa"/>
            <w:vAlign w:val="center"/>
          </w:tcPr>
          <w:p>
            <w:pPr>
              <w:keepNext w:val="0"/>
              <w:keepLines w:val="0"/>
              <w:widowControl/>
              <w:suppressLineNumbers w:val="0"/>
              <w:jc w:val="center"/>
              <w:textAlignment w:val="center"/>
              <w:rPr>
                <w:rFonts w:hint="default" w:ascii="Times New Roman" w:hAnsi="Times New Roman" w:eastAsia="仿宋" w:cs="Times New Roman"/>
                <w:color w:val="auto"/>
                <w:sz w:val="24"/>
                <w:szCs w:val="24"/>
                <w:highlight w:val="none"/>
              </w:rPr>
            </w:pPr>
            <w:r>
              <w:rPr>
                <w:rFonts w:hint="default" w:ascii="Times New Roman" w:hAnsi="Times New Roman" w:eastAsia="宋体" w:cs="Times New Roman"/>
                <w:i w:val="0"/>
                <w:color w:val="auto"/>
                <w:kern w:val="0"/>
                <w:sz w:val="24"/>
                <w:szCs w:val="24"/>
                <w:highlight w:val="none"/>
                <w:u w:val="none"/>
                <w:lang w:val="en-US" w:eastAsia="zh-CN"/>
              </w:rPr>
              <w:t>2025/12/31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460"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县级拆入资金</w:t>
            </w:r>
          </w:p>
        </w:tc>
        <w:tc>
          <w:tcPr>
            <w:tcW w:w="251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10,000.00 </w:t>
            </w:r>
          </w:p>
        </w:tc>
        <w:tc>
          <w:tcPr>
            <w:tcW w:w="2213" w:type="dxa"/>
            <w:vAlign w:val="center"/>
          </w:tcPr>
          <w:p>
            <w:pPr>
              <w:jc w:val="right"/>
              <w:rPr>
                <w:rFonts w:hint="default" w:ascii="Times New Roman" w:hAnsi="Times New Roman" w:eastAsia="等线" w:cs="Times New Roman"/>
                <w:color w:val="auto"/>
                <w:kern w:val="0"/>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460"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拆入资金合计</w:t>
            </w:r>
          </w:p>
        </w:tc>
        <w:tc>
          <w:tcPr>
            <w:tcW w:w="251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10,000.00 </w:t>
            </w:r>
          </w:p>
        </w:tc>
        <w:tc>
          <w:tcPr>
            <w:tcW w:w="2213" w:type="dxa"/>
            <w:vAlign w:val="center"/>
          </w:tcPr>
          <w:p>
            <w:pPr>
              <w:jc w:val="right"/>
              <w:rPr>
                <w:rFonts w:hint="default" w:ascii="Times New Roman" w:hAnsi="Times New Roman" w:eastAsia="等线" w:cs="Times New Roman"/>
                <w:color w:val="auto"/>
                <w:kern w:val="0"/>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460"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加：应付利息</w:t>
            </w:r>
          </w:p>
        </w:tc>
        <w:tc>
          <w:tcPr>
            <w:tcW w:w="251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3.01 </w:t>
            </w:r>
          </w:p>
        </w:tc>
        <w:tc>
          <w:tcPr>
            <w:tcW w:w="2213" w:type="dxa"/>
            <w:vAlign w:val="center"/>
          </w:tcPr>
          <w:p>
            <w:pPr>
              <w:jc w:val="right"/>
              <w:rPr>
                <w:rFonts w:hint="default" w:ascii="Times New Roman" w:hAnsi="Times New Roman" w:eastAsia="等线" w:cs="Times New Roman"/>
                <w:color w:val="auto"/>
                <w:kern w:val="0"/>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460"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拆入资金账面价值</w:t>
            </w:r>
          </w:p>
        </w:tc>
        <w:tc>
          <w:tcPr>
            <w:tcW w:w="251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10,003.01 </w:t>
            </w:r>
          </w:p>
        </w:tc>
        <w:tc>
          <w:tcPr>
            <w:tcW w:w="2213" w:type="dxa"/>
            <w:vAlign w:val="center"/>
          </w:tcPr>
          <w:p>
            <w:pPr>
              <w:jc w:val="right"/>
              <w:rPr>
                <w:rFonts w:hint="default" w:ascii="Times New Roman" w:hAnsi="Times New Roman" w:eastAsia="等线" w:cs="Times New Roman"/>
                <w:color w:val="auto"/>
                <w:kern w:val="0"/>
                <w:sz w:val="22"/>
                <w:highlight w:val="none"/>
              </w:rPr>
            </w:pPr>
          </w:p>
        </w:tc>
      </w:tr>
    </w:tbl>
    <w:p>
      <w:pPr>
        <w:spacing w:line="480" w:lineRule="exact"/>
        <w:ind w:right="-37"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22.吸收存款</w:t>
      </w:r>
    </w:p>
    <w:p>
      <w:pPr>
        <w:spacing w:line="480" w:lineRule="exact"/>
        <w:ind w:right="-37" w:firstLine="560" w:firstLineChars="200"/>
        <w:jc w:val="left"/>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22.1各项存款列示</w:t>
      </w:r>
    </w:p>
    <w:tbl>
      <w:tblPr>
        <w:tblStyle w:val="25"/>
        <w:tblW w:w="9293"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69"/>
        <w:gridCol w:w="2389"/>
        <w:gridCol w:w="24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4469" w:type="dxa"/>
            <w:vAlign w:val="center"/>
          </w:tcPr>
          <w:p>
            <w:pPr>
              <w:snapToGrid w:val="0"/>
              <w:ind w:right="-37"/>
              <w:jc w:val="center"/>
              <w:outlineLvl w:val="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项目</w:t>
            </w:r>
          </w:p>
        </w:tc>
        <w:tc>
          <w:tcPr>
            <w:tcW w:w="2389" w:type="dxa"/>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2026-6-30</w:t>
            </w:r>
          </w:p>
        </w:tc>
        <w:tc>
          <w:tcPr>
            <w:tcW w:w="2435" w:type="dxa"/>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2025-12-31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469"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个人存款：</w:t>
            </w:r>
          </w:p>
        </w:tc>
        <w:tc>
          <w:tcPr>
            <w:tcW w:w="2389"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1,964,878.02</w:t>
            </w:r>
          </w:p>
        </w:tc>
        <w:tc>
          <w:tcPr>
            <w:tcW w:w="243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1,842,507.80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469"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其中：活期储蓄存款</w:t>
            </w:r>
          </w:p>
        </w:tc>
        <w:tc>
          <w:tcPr>
            <w:tcW w:w="2389"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200,608.32</w:t>
            </w:r>
          </w:p>
        </w:tc>
        <w:tc>
          <w:tcPr>
            <w:tcW w:w="243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211,906.12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469"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一年以下定期储蓄存款</w:t>
            </w:r>
          </w:p>
        </w:tc>
        <w:tc>
          <w:tcPr>
            <w:tcW w:w="2389"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47,821.80</w:t>
            </w:r>
          </w:p>
        </w:tc>
        <w:tc>
          <w:tcPr>
            <w:tcW w:w="243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50,631.51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469"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一年及一年以上定期储蓄存款</w:t>
            </w:r>
          </w:p>
        </w:tc>
        <w:tc>
          <w:tcPr>
            <w:tcW w:w="2389"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1,716,447.90</w:t>
            </w:r>
          </w:p>
        </w:tc>
        <w:tc>
          <w:tcPr>
            <w:tcW w:w="243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1,579,970.17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469"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单位存款：</w:t>
            </w:r>
          </w:p>
        </w:tc>
        <w:tc>
          <w:tcPr>
            <w:tcW w:w="2389"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389,564.51</w:t>
            </w:r>
          </w:p>
        </w:tc>
        <w:tc>
          <w:tcPr>
            <w:tcW w:w="243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363,242.45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469"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其中：活期存款</w:t>
            </w:r>
          </w:p>
        </w:tc>
        <w:tc>
          <w:tcPr>
            <w:tcW w:w="2389"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278,774.92</w:t>
            </w:r>
          </w:p>
        </w:tc>
        <w:tc>
          <w:tcPr>
            <w:tcW w:w="243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263,415.55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469"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一年以下定期存款</w:t>
            </w:r>
          </w:p>
        </w:tc>
        <w:tc>
          <w:tcPr>
            <w:tcW w:w="2389"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9,338.69</w:t>
            </w:r>
          </w:p>
        </w:tc>
        <w:tc>
          <w:tcPr>
            <w:tcW w:w="243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8,665.11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469"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一年及一年以上定期存款</w:t>
            </w:r>
          </w:p>
        </w:tc>
        <w:tc>
          <w:tcPr>
            <w:tcW w:w="2389"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101,450.90</w:t>
            </w:r>
          </w:p>
        </w:tc>
        <w:tc>
          <w:tcPr>
            <w:tcW w:w="243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91,161.79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469"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保证金</w:t>
            </w:r>
          </w:p>
        </w:tc>
        <w:tc>
          <w:tcPr>
            <w:tcW w:w="2389"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19,252.35</w:t>
            </w:r>
          </w:p>
        </w:tc>
        <w:tc>
          <w:tcPr>
            <w:tcW w:w="243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21,082.92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469"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其他存款</w:t>
            </w:r>
          </w:p>
        </w:tc>
        <w:tc>
          <w:tcPr>
            <w:tcW w:w="2389"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68.46</w:t>
            </w:r>
          </w:p>
        </w:tc>
        <w:tc>
          <w:tcPr>
            <w:tcW w:w="243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42.24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469"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应付存款利息</w:t>
            </w:r>
          </w:p>
        </w:tc>
        <w:tc>
          <w:tcPr>
            <w:tcW w:w="2389"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38,367.28</w:t>
            </w:r>
          </w:p>
        </w:tc>
        <w:tc>
          <w:tcPr>
            <w:tcW w:w="243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51,121.89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469"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2389"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2,412,130.62</w:t>
            </w:r>
          </w:p>
        </w:tc>
        <w:tc>
          <w:tcPr>
            <w:tcW w:w="243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2,277,997.30</w:t>
            </w:r>
          </w:p>
        </w:tc>
      </w:tr>
    </w:tbl>
    <w:p>
      <w:pPr>
        <w:ind w:right="-37" w:firstLine="560" w:firstLineChars="200"/>
        <w:jc w:val="left"/>
        <w:outlineLvl w:val="2"/>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22.2保证金列示</w:t>
      </w:r>
    </w:p>
    <w:tbl>
      <w:tblPr>
        <w:tblStyle w:val="25"/>
        <w:tblW w:w="9122"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55"/>
        <w:gridCol w:w="2430"/>
        <w:gridCol w:w="23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blHeader/>
          <w:jc w:val="center"/>
        </w:trPr>
        <w:tc>
          <w:tcPr>
            <w:tcW w:w="4355" w:type="dxa"/>
            <w:vAlign w:val="center"/>
          </w:tcPr>
          <w:p>
            <w:pPr>
              <w:snapToGrid w:val="0"/>
              <w:ind w:right="-37"/>
              <w:jc w:val="center"/>
              <w:outlineLvl w:val="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项目</w:t>
            </w:r>
          </w:p>
        </w:tc>
        <w:tc>
          <w:tcPr>
            <w:tcW w:w="2430" w:type="dxa"/>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2026-6-30</w:t>
            </w:r>
          </w:p>
        </w:tc>
        <w:tc>
          <w:tcPr>
            <w:tcW w:w="2337" w:type="dxa"/>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2025-12-31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355"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银行承兑汇票保证金</w:t>
            </w:r>
          </w:p>
        </w:tc>
        <w:tc>
          <w:tcPr>
            <w:tcW w:w="243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19,242.59</w:t>
            </w:r>
          </w:p>
        </w:tc>
        <w:tc>
          <w:tcPr>
            <w:tcW w:w="2337"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21,073.16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355"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保函保证金</w:t>
            </w:r>
          </w:p>
        </w:tc>
        <w:tc>
          <w:tcPr>
            <w:tcW w:w="243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9.76</w:t>
            </w:r>
          </w:p>
        </w:tc>
        <w:tc>
          <w:tcPr>
            <w:tcW w:w="2337"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9.76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355"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243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19,252.35</w:t>
            </w:r>
          </w:p>
        </w:tc>
        <w:tc>
          <w:tcPr>
            <w:tcW w:w="2337"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21,082.92</w:t>
            </w:r>
          </w:p>
        </w:tc>
      </w:tr>
    </w:tbl>
    <w:p>
      <w:pPr>
        <w:ind w:right="-37"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23.应付职工薪酬</w:t>
      </w:r>
    </w:p>
    <w:tbl>
      <w:tblPr>
        <w:tblStyle w:val="25"/>
        <w:tblW w:w="902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54"/>
        <w:gridCol w:w="2385"/>
        <w:gridCol w:w="2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354" w:type="dxa"/>
            <w:vAlign w:val="center"/>
          </w:tcPr>
          <w:p>
            <w:pPr>
              <w:widowControl/>
              <w:ind w:right="-37"/>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2385" w:type="dxa"/>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2026-6-30</w:t>
            </w:r>
          </w:p>
        </w:tc>
        <w:tc>
          <w:tcPr>
            <w:tcW w:w="2290" w:type="dxa"/>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2025-12-31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354"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应付职工薪酬</w:t>
            </w:r>
          </w:p>
        </w:tc>
        <w:tc>
          <w:tcPr>
            <w:tcW w:w="238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156.53 </w:t>
            </w:r>
          </w:p>
        </w:tc>
        <w:tc>
          <w:tcPr>
            <w:tcW w:w="229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1,100.00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354"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应付工会经费</w:t>
            </w:r>
          </w:p>
        </w:tc>
        <w:tc>
          <w:tcPr>
            <w:tcW w:w="238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41.00 </w:t>
            </w:r>
          </w:p>
        </w:tc>
        <w:tc>
          <w:tcPr>
            <w:tcW w:w="229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60.92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3" w:hRule="atLeast"/>
          <w:jc w:val="center"/>
        </w:trPr>
        <w:tc>
          <w:tcPr>
            <w:tcW w:w="4354"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应付补充医疗保险费</w:t>
            </w:r>
          </w:p>
        </w:tc>
        <w:tc>
          <w:tcPr>
            <w:tcW w:w="2385" w:type="dxa"/>
            <w:vAlign w:val="center"/>
          </w:tcPr>
          <w:p>
            <w:pPr>
              <w:jc w:val="right"/>
              <w:rPr>
                <w:rFonts w:hint="default" w:ascii="Times New Roman" w:hAnsi="Times New Roman" w:eastAsia="等线" w:cs="Times New Roman"/>
                <w:color w:val="auto"/>
                <w:kern w:val="0"/>
                <w:sz w:val="22"/>
                <w:szCs w:val="22"/>
                <w:highlight w:val="none"/>
              </w:rPr>
            </w:pPr>
          </w:p>
        </w:tc>
        <w:tc>
          <w:tcPr>
            <w:tcW w:w="2290" w:type="dxa"/>
            <w:vAlign w:val="center"/>
          </w:tcPr>
          <w:p>
            <w:pPr>
              <w:jc w:val="right"/>
              <w:rPr>
                <w:rFonts w:hint="default" w:ascii="Times New Roman" w:hAnsi="Times New Roman" w:eastAsia="等线" w:cs="Times New Roman"/>
                <w:color w:val="auto"/>
                <w:kern w:val="0"/>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354"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应付延期支付工资</w:t>
            </w:r>
          </w:p>
        </w:tc>
        <w:tc>
          <w:tcPr>
            <w:tcW w:w="238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3,885.46 </w:t>
            </w:r>
          </w:p>
        </w:tc>
        <w:tc>
          <w:tcPr>
            <w:tcW w:w="229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3,800.92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354"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238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4,082.99 </w:t>
            </w:r>
          </w:p>
        </w:tc>
        <w:tc>
          <w:tcPr>
            <w:tcW w:w="229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4,961.84 </w:t>
            </w:r>
          </w:p>
        </w:tc>
      </w:tr>
    </w:tbl>
    <w:p>
      <w:pPr>
        <w:ind w:right="-37"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24.应交税费</w:t>
      </w:r>
    </w:p>
    <w:tbl>
      <w:tblPr>
        <w:tblStyle w:val="25"/>
        <w:tblW w:w="902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24"/>
        <w:gridCol w:w="2400"/>
        <w:gridCol w:w="23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4324"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2400" w:type="dxa"/>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2026-6-30</w:t>
            </w:r>
          </w:p>
        </w:tc>
        <w:tc>
          <w:tcPr>
            <w:tcW w:w="2305" w:type="dxa"/>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2025-12-31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324"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企业所得税</w:t>
            </w:r>
          </w:p>
        </w:tc>
        <w:tc>
          <w:tcPr>
            <w:tcW w:w="2400" w:type="dxa"/>
            <w:vAlign w:val="center"/>
          </w:tcPr>
          <w:p>
            <w:pPr>
              <w:jc w:val="right"/>
              <w:rPr>
                <w:rFonts w:hint="default" w:ascii="Times New Roman" w:hAnsi="Times New Roman" w:eastAsia="等线" w:cs="Times New Roman"/>
                <w:color w:val="auto"/>
                <w:kern w:val="0"/>
                <w:sz w:val="22"/>
                <w:szCs w:val="22"/>
                <w:highlight w:val="none"/>
              </w:rPr>
            </w:pPr>
          </w:p>
        </w:tc>
        <w:tc>
          <w:tcPr>
            <w:tcW w:w="230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2,085.00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324"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增值税</w:t>
            </w:r>
          </w:p>
        </w:tc>
        <w:tc>
          <w:tcPr>
            <w:tcW w:w="240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859.57</w:t>
            </w:r>
          </w:p>
        </w:tc>
        <w:tc>
          <w:tcPr>
            <w:tcW w:w="230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510.21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324"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城市维护建设税及附加</w:t>
            </w:r>
          </w:p>
        </w:tc>
        <w:tc>
          <w:tcPr>
            <w:tcW w:w="240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103.15</w:t>
            </w:r>
          </w:p>
        </w:tc>
        <w:tc>
          <w:tcPr>
            <w:tcW w:w="230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61.23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324"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240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962.72</w:t>
            </w:r>
          </w:p>
        </w:tc>
        <w:tc>
          <w:tcPr>
            <w:tcW w:w="230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2,656.44</w:t>
            </w:r>
          </w:p>
        </w:tc>
      </w:tr>
    </w:tbl>
    <w:p>
      <w:pPr>
        <w:ind w:right="-37"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25.应付股利</w:t>
      </w:r>
    </w:p>
    <w:tbl>
      <w:tblPr>
        <w:tblStyle w:val="25"/>
        <w:tblW w:w="902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69"/>
        <w:gridCol w:w="2400"/>
        <w:gridCol w:w="22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369"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2400" w:type="dxa"/>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2026-6-30</w:t>
            </w:r>
          </w:p>
        </w:tc>
        <w:tc>
          <w:tcPr>
            <w:tcW w:w="2260" w:type="dxa"/>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2025-12-31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369"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应付法人股利</w:t>
            </w:r>
          </w:p>
        </w:tc>
        <w:tc>
          <w:tcPr>
            <w:tcW w:w="240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554.62</w:t>
            </w:r>
          </w:p>
        </w:tc>
        <w:tc>
          <w:tcPr>
            <w:tcW w:w="226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466.59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369"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应付自然人股利</w:t>
            </w:r>
          </w:p>
        </w:tc>
        <w:tc>
          <w:tcPr>
            <w:tcW w:w="240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22.59</w:t>
            </w:r>
          </w:p>
        </w:tc>
        <w:tc>
          <w:tcPr>
            <w:tcW w:w="226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14.75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369"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240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577.21</w:t>
            </w:r>
          </w:p>
        </w:tc>
        <w:tc>
          <w:tcPr>
            <w:tcW w:w="226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481.34</w:t>
            </w:r>
          </w:p>
        </w:tc>
      </w:tr>
    </w:tbl>
    <w:p>
      <w:pPr>
        <w:ind w:right="-37"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26.其他应付款</w:t>
      </w:r>
    </w:p>
    <w:tbl>
      <w:tblPr>
        <w:tblStyle w:val="25"/>
        <w:tblW w:w="902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54"/>
        <w:gridCol w:w="2400"/>
        <w:gridCol w:w="22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354"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2400" w:type="dxa"/>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2026-6-30</w:t>
            </w:r>
          </w:p>
        </w:tc>
        <w:tc>
          <w:tcPr>
            <w:tcW w:w="2275" w:type="dxa"/>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2025-12-31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354"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手续费、汇划费等业务类挂账</w:t>
            </w:r>
          </w:p>
        </w:tc>
        <w:tc>
          <w:tcPr>
            <w:tcW w:w="240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124.72</w:t>
            </w:r>
          </w:p>
        </w:tc>
        <w:tc>
          <w:tcPr>
            <w:tcW w:w="227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639.19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354"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待处理久悬未取款项</w:t>
            </w:r>
          </w:p>
        </w:tc>
        <w:tc>
          <w:tcPr>
            <w:tcW w:w="240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1,604.88</w:t>
            </w:r>
          </w:p>
        </w:tc>
        <w:tc>
          <w:tcPr>
            <w:tcW w:w="227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1,667.35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354"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质保金、风险金等</w:t>
            </w:r>
          </w:p>
        </w:tc>
        <w:tc>
          <w:tcPr>
            <w:tcW w:w="240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434.16</w:t>
            </w:r>
          </w:p>
        </w:tc>
        <w:tc>
          <w:tcPr>
            <w:tcW w:w="227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252.98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354"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240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2,163.76</w:t>
            </w:r>
          </w:p>
        </w:tc>
        <w:tc>
          <w:tcPr>
            <w:tcW w:w="227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2,559.52</w:t>
            </w:r>
          </w:p>
        </w:tc>
      </w:tr>
    </w:tbl>
    <w:p>
      <w:pPr>
        <w:ind w:right="-37"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27.预计负债</w:t>
      </w:r>
    </w:p>
    <w:tbl>
      <w:tblPr>
        <w:tblStyle w:val="25"/>
        <w:tblW w:w="9045"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77"/>
        <w:gridCol w:w="2430"/>
        <w:gridCol w:w="22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377"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2430" w:type="dxa"/>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2026-6-30</w:t>
            </w:r>
          </w:p>
        </w:tc>
        <w:tc>
          <w:tcPr>
            <w:tcW w:w="2238" w:type="dxa"/>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2025-12-31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377"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表外风险资产信用损失准备</w:t>
            </w:r>
          </w:p>
        </w:tc>
        <w:tc>
          <w:tcPr>
            <w:tcW w:w="243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732.88</w:t>
            </w:r>
          </w:p>
        </w:tc>
        <w:tc>
          <w:tcPr>
            <w:tcW w:w="2238"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202.81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377"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243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732.88</w:t>
            </w:r>
          </w:p>
        </w:tc>
        <w:tc>
          <w:tcPr>
            <w:tcW w:w="2238"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202.81</w:t>
            </w:r>
          </w:p>
        </w:tc>
      </w:tr>
    </w:tbl>
    <w:p>
      <w:pPr>
        <w:ind w:right="-37"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28.租赁负债</w:t>
      </w:r>
    </w:p>
    <w:tbl>
      <w:tblPr>
        <w:tblStyle w:val="25"/>
        <w:tblW w:w="9047"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78"/>
        <w:gridCol w:w="2430"/>
        <w:gridCol w:w="22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jc w:val="center"/>
        </w:trPr>
        <w:tc>
          <w:tcPr>
            <w:tcW w:w="4378" w:type="dxa"/>
            <w:tcMar>
              <w:top w:w="15" w:type="dxa"/>
              <w:left w:w="15" w:type="dxa"/>
              <w:right w:w="15" w:type="dxa"/>
            </w:tcMar>
            <w:vAlign w:val="center"/>
          </w:tcPr>
          <w:p>
            <w:pPr>
              <w:ind w:right="-37"/>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2430" w:type="dxa"/>
            <w:tcMar>
              <w:top w:w="15" w:type="dxa"/>
              <w:left w:w="15" w:type="dxa"/>
              <w:right w:w="15" w:type="dxa"/>
            </w:tcMar>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2026-6-30</w:t>
            </w:r>
          </w:p>
        </w:tc>
        <w:tc>
          <w:tcPr>
            <w:tcW w:w="2239" w:type="dxa"/>
            <w:tcMar>
              <w:top w:w="15" w:type="dxa"/>
              <w:left w:w="15" w:type="dxa"/>
              <w:right w:w="15" w:type="dxa"/>
            </w:tcMar>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2025-12-31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jc w:val="center"/>
        </w:trPr>
        <w:tc>
          <w:tcPr>
            <w:tcW w:w="4378" w:type="dxa"/>
            <w:tcMar>
              <w:top w:w="15" w:type="dxa"/>
              <w:left w:w="15" w:type="dxa"/>
              <w:right w:w="15" w:type="dxa"/>
            </w:tcMar>
            <w:vAlign w:val="bottom"/>
          </w:tcPr>
          <w:p>
            <w:pPr>
              <w:keepNext w:val="0"/>
              <w:keepLines w:val="0"/>
              <w:widowControl/>
              <w:suppressLineNumbers w:val="0"/>
              <w:jc w:val="left"/>
              <w:textAlignment w:val="bottom"/>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租赁付款额</w:t>
            </w:r>
          </w:p>
        </w:tc>
        <w:tc>
          <w:tcPr>
            <w:tcW w:w="2430" w:type="dxa"/>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756.26</w:t>
            </w:r>
          </w:p>
        </w:tc>
        <w:tc>
          <w:tcPr>
            <w:tcW w:w="2239" w:type="dxa"/>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402.87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jc w:val="center"/>
        </w:trPr>
        <w:tc>
          <w:tcPr>
            <w:tcW w:w="4378" w:type="dxa"/>
            <w:tcMar>
              <w:top w:w="15" w:type="dxa"/>
              <w:left w:w="15" w:type="dxa"/>
              <w:right w:w="15" w:type="dxa"/>
            </w:tcMar>
            <w:vAlign w:val="bottom"/>
          </w:tcPr>
          <w:p>
            <w:pPr>
              <w:keepNext w:val="0"/>
              <w:keepLines w:val="0"/>
              <w:widowControl/>
              <w:suppressLineNumbers w:val="0"/>
              <w:jc w:val="left"/>
              <w:textAlignment w:val="bottom"/>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未确认融资费用（租赁）</w:t>
            </w:r>
          </w:p>
        </w:tc>
        <w:tc>
          <w:tcPr>
            <w:tcW w:w="2430" w:type="dxa"/>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-72.31</w:t>
            </w:r>
          </w:p>
        </w:tc>
        <w:tc>
          <w:tcPr>
            <w:tcW w:w="2239" w:type="dxa"/>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jc w:val="center"/>
        </w:trPr>
        <w:tc>
          <w:tcPr>
            <w:tcW w:w="4378" w:type="dxa"/>
            <w:tcMar>
              <w:top w:w="15" w:type="dxa"/>
              <w:left w:w="15" w:type="dxa"/>
              <w:right w:w="15" w:type="dxa"/>
            </w:tcMar>
            <w:vAlign w:val="bottom"/>
          </w:tcPr>
          <w:p>
            <w:pPr>
              <w:keepNext w:val="0"/>
              <w:keepLines w:val="0"/>
              <w:widowControl/>
              <w:suppressLineNumbers w:val="0"/>
              <w:jc w:val="center"/>
              <w:textAlignment w:val="bottom"/>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2430" w:type="dxa"/>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683.95</w:t>
            </w:r>
          </w:p>
        </w:tc>
        <w:tc>
          <w:tcPr>
            <w:tcW w:w="2239" w:type="dxa"/>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354.87</w:t>
            </w:r>
          </w:p>
        </w:tc>
      </w:tr>
    </w:tbl>
    <w:p>
      <w:pPr>
        <w:numPr>
          <w:ilvl w:val="0"/>
          <w:numId w:val="4"/>
        </w:numPr>
        <w:ind w:left="0" w:right="-37"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其他负债</w:t>
      </w:r>
    </w:p>
    <w:tbl>
      <w:tblPr>
        <w:tblStyle w:val="25"/>
        <w:tblW w:w="9092"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85"/>
        <w:gridCol w:w="2392"/>
        <w:gridCol w:w="23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385" w:type="dxa"/>
            <w:vAlign w:val="center"/>
          </w:tcPr>
          <w:p>
            <w:pPr>
              <w:widowControl/>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2392" w:type="dxa"/>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2026-6-30</w:t>
            </w:r>
          </w:p>
        </w:tc>
        <w:tc>
          <w:tcPr>
            <w:tcW w:w="2315" w:type="dxa"/>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202</w:t>
            </w:r>
            <w:r>
              <w:rPr>
                <w:rFonts w:hint="default" w:ascii="Times New Roman" w:hAnsi="Times New Roman" w:eastAsia="仿宋" w:cs="Times New Roman"/>
                <w:color w:val="auto"/>
                <w:sz w:val="24"/>
                <w:szCs w:val="24"/>
                <w:highlight w:val="none"/>
                <w:lang w:val="en-US" w:eastAsia="zh-CN"/>
              </w:rPr>
              <w:t>5</w:t>
            </w:r>
            <w:r>
              <w:rPr>
                <w:rFonts w:hint="default" w:ascii="Times New Roman" w:hAnsi="Times New Roman" w:eastAsia="仿宋" w:cs="Times New Roman"/>
                <w:color w:val="auto"/>
                <w:sz w:val="24"/>
                <w:szCs w:val="24"/>
                <w:highlight w:val="none"/>
              </w:rPr>
              <w:t>-12-31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385"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待结算财政款项</w:t>
            </w:r>
          </w:p>
        </w:tc>
        <w:tc>
          <w:tcPr>
            <w:tcW w:w="239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52.07 </w:t>
            </w:r>
          </w:p>
        </w:tc>
        <w:tc>
          <w:tcPr>
            <w:tcW w:w="2315" w:type="dxa"/>
            <w:vAlign w:val="center"/>
          </w:tcPr>
          <w:p>
            <w:pPr>
              <w:jc w:val="center"/>
              <w:rPr>
                <w:rFonts w:hint="default" w:ascii="Times New Roman" w:hAnsi="Times New Roman" w:eastAsia="等线" w:cs="Times New Roman"/>
                <w:color w:val="auto"/>
                <w:kern w:val="0"/>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385"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应付财政性存款利息</w:t>
            </w:r>
          </w:p>
        </w:tc>
        <w:tc>
          <w:tcPr>
            <w:tcW w:w="239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1.23 </w:t>
            </w:r>
          </w:p>
        </w:tc>
        <w:tc>
          <w:tcPr>
            <w:tcW w:w="231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1.60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385"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239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53.30 </w:t>
            </w:r>
          </w:p>
        </w:tc>
        <w:tc>
          <w:tcPr>
            <w:tcW w:w="231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1.60 </w:t>
            </w:r>
          </w:p>
        </w:tc>
      </w:tr>
    </w:tbl>
    <w:p>
      <w:pPr>
        <w:ind w:right="-37"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30.股本</w:t>
      </w:r>
    </w:p>
    <w:tbl>
      <w:tblPr>
        <w:tblStyle w:val="25"/>
        <w:tblW w:w="9216" w:type="dxa"/>
        <w:jc w:val="center"/>
        <w:tblInd w:w="0" w:type="dxa"/>
        <w:tblBorders>
          <w:top w:val="single" w:color="000000" w:sz="4" w:space="0"/>
          <w:left w:val="single" w:color="000000" w:sz="4" w:space="0"/>
          <w:bottom w:val="single" w:color="000000" w:sz="4" w:space="0"/>
          <w:right w:val="single" w:color="000000" w:sz="4" w:space="0"/>
          <w:insideH w:val="dotted" w:color="000000" w:sz="4" w:space="0"/>
          <w:insideV w:val="single" w:color="000000" w:sz="4" w:space="0"/>
        </w:tblBorders>
        <w:tblLayout w:type="fixed"/>
        <w:tblCellMar>
          <w:top w:w="0" w:type="dxa"/>
          <w:left w:w="108" w:type="dxa"/>
          <w:bottom w:w="0" w:type="dxa"/>
          <w:right w:w="108" w:type="dxa"/>
        </w:tblCellMar>
      </w:tblPr>
      <w:tblGrid>
        <w:gridCol w:w="1620"/>
        <w:gridCol w:w="1302"/>
        <w:gridCol w:w="1169"/>
        <w:gridCol w:w="1885"/>
        <w:gridCol w:w="924"/>
        <w:gridCol w:w="1007"/>
        <w:gridCol w:w="1309"/>
      </w:tblGrid>
      <w:tr>
        <w:tblPrEx>
          <w:tblBorders>
            <w:top w:val="single" w:color="000000" w:sz="4" w:space="0"/>
            <w:left w:val="single" w:color="000000" w:sz="4" w:space="0"/>
            <w:bottom w:val="single" w:color="000000" w:sz="4" w:space="0"/>
            <w:right w:val="single" w:color="000000" w:sz="4" w:space="0"/>
            <w:insideH w:val="dotted"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1620"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ind w:right="-37"/>
              <w:jc w:val="center"/>
              <w:outlineLvl w:val="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项目</w:t>
            </w:r>
          </w:p>
        </w:tc>
        <w:tc>
          <w:tcPr>
            <w:tcW w:w="1302"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ind w:right="-37"/>
              <w:jc w:val="center"/>
              <w:outlineLvl w:val="0"/>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kern w:val="0"/>
                <w:sz w:val="24"/>
                <w:szCs w:val="24"/>
                <w:highlight w:val="none"/>
              </w:rPr>
              <w:t>2025-12-31</w:t>
            </w:r>
          </w:p>
        </w:tc>
        <w:tc>
          <w:tcPr>
            <w:tcW w:w="4985" w:type="dxa"/>
            <w:gridSpan w:val="4"/>
            <w:tcBorders>
              <w:top w:val="single" w:color="auto" w:sz="4" w:space="0"/>
              <w:left w:val="single" w:color="auto" w:sz="4" w:space="0"/>
              <w:bottom w:val="single" w:color="auto" w:sz="4" w:space="0"/>
              <w:right w:val="single" w:color="auto" w:sz="4" w:space="0"/>
            </w:tcBorders>
          </w:tcPr>
          <w:p>
            <w:pPr>
              <w:spacing w:line="360" w:lineRule="auto"/>
              <w:ind w:right="-37"/>
              <w:jc w:val="center"/>
              <w:outlineLvl w:val="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本年变动</w:t>
            </w:r>
          </w:p>
        </w:tc>
        <w:tc>
          <w:tcPr>
            <w:tcW w:w="1309"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ind w:right="-37"/>
              <w:jc w:val="center"/>
              <w:outlineLvl w:val="0"/>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 w:val="24"/>
                <w:szCs w:val="24"/>
                <w:highlight w:val="none"/>
                <w:lang w:val="en-US" w:eastAsia="zh-CN"/>
              </w:rPr>
              <w:t>2026-6-30</w:t>
            </w:r>
          </w:p>
        </w:tc>
      </w:tr>
      <w:tr>
        <w:tblPrEx>
          <w:tblBorders>
            <w:top w:val="single" w:color="000000" w:sz="4" w:space="0"/>
            <w:left w:val="single" w:color="000000" w:sz="4" w:space="0"/>
            <w:bottom w:val="single" w:color="000000" w:sz="4" w:space="0"/>
            <w:right w:val="single" w:color="000000" w:sz="4" w:space="0"/>
            <w:insideH w:val="dotted"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1620" w:type="dxa"/>
            <w:vMerge w:val="continue"/>
            <w:tcBorders>
              <w:top w:val="single" w:color="auto" w:sz="4" w:space="0"/>
              <w:left w:val="single" w:color="auto" w:sz="4" w:space="0"/>
              <w:bottom w:val="single" w:color="auto" w:sz="4" w:space="0"/>
              <w:right w:val="single" w:color="auto" w:sz="4" w:space="0"/>
            </w:tcBorders>
          </w:tcPr>
          <w:p>
            <w:pPr>
              <w:rPr>
                <w:rFonts w:hint="default" w:ascii="Times New Roman" w:hAnsi="Times New Roman" w:cs="Times New Roman"/>
              </w:rPr>
            </w:pPr>
          </w:p>
        </w:tc>
        <w:tc>
          <w:tcPr>
            <w:tcW w:w="1302"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1169" w:type="dxa"/>
            <w:tcBorders>
              <w:top w:val="single" w:color="auto" w:sz="4" w:space="0"/>
              <w:left w:val="single" w:color="auto" w:sz="4" w:space="0"/>
              <w:bottom w:val="single" w:color="auto" w:sz="4" w:space="0"/>
              <w:right w:val="single" w:color="auto" w:sz="4" w:space="0"/>
            </w:tcBorders>
            <w:vAlign w:val="center"/>
          </w:tcPr>
          <w:p>
            <w:pPr>
              <w:spacing w:line="360" w:lineRule="auto"/>
              <w:ind w:right="-37"/>
              <w:jc w:val="center"/>
              <w:outlineLvl w:val="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发行新股</w:t>
            </w:r>
          </w:p>
        </w:tc>
        <w:tc>
          <w:tcPr>
            <w:tcW w:w="1885" w:type="dxa"/>
            <w:tcBorders>
              <w:top w:val="single" w:color="auto" w:sz="4" w:space="0"/>
              <w:left w:val="single" w:color="auto" w:sz="4" w:space="0"/>
              <w:bottom w:val="single" w:color="auto" w:sz="4" w:space="0"/>
              <w:right w:val="single" w:color="auto" w:sz="4" w:space="0"/>
            </w:tcBorders>
            <w:vAlign w:val="center"/>
          </w:tcPr>
          <w:p>
            <w:pPr>
              <w:spacing w:line="360" w:lineRule="auto"/>
              <w:ind w:right="-37"/>
              <w:jc w:val="center"/>
              <w:outlineLvl w:val="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未分配利润转增</w:t>
            </w:r>
          </w:p>
        </w:tc>
        <w:tc>
          <w:tcPr>
            <w:tcW w:w="924" w:type="dxa"/>
            <w:tcBorders>
              <w:top w:val="single" w:color="auto" w:sz="4" w:space="0"/>
              <w:left w:val="single" w:color="auto" w:sz="4" w:space="0"/>
              <w:bottom w:val="single" w:color="auto" w:sz="4" w:space="0"/>
              <w:right w:val="single" w:color="auto" w:sz="4" w:space="0"/>
            </w:tcBorders>
            <w:vAlign w:val="center"/>
          </w:tcPr>
          <w:p>
            <w:pPr>
              <w:spacing w:line="360" w:lineRule="auto"/>
              <w:ind w:right="-37"/>
              <w:jc w:val="center"/>
              <w:outlineLvl w:val="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其他</w:t>
            </w:r>
          </w:p>
        </w:tc>
        <w:tc>
          <w:tcPr>
            <w:tcW w:w="1007" w:type="dxa"/>
            <w:tcBorders>
              <w:top w:val="single" w:color="auto" w:sz="4" w:space="0"/>
              <w:left w:val="single" w:color="auto" w:sz="4" w:space="0"/>
              <w:bottom w:val="single" w:color="auto" w:sz="4" w:space="0"/>
              <w:right w:val="single" w:color="auto" w:sz="4" w:space="0"/>
            </w:tcBorders>
            <w:vAlign w:val="center"/>
          </w:tcPr>
          <w:p>
            <w:pPr>
              <w:spacing w:line="360" w:lineRule="auto"/>
              <w:ind w:right="-37"/>
              <w:jc w:val="center"/>
              <w:outlineLvl w:val="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小计</w:t>
            </w:r>
          </w:p>
        </w:tc>
        <w:tc>
          <w:tcPr>
            <w:tcW w:w="1309" w:type="dxa"/>
            <w:vMerge w:val="continue"/>
            <w:tcBorders>
              <w:top w:val="single" w:color="auto" w:sz="4" w:space="0"/>
              <w:left w:val="single" w:color="auto" w:sz="4" w:space="0"/>
              <w:bottom w:val="single" w:color="auto" w:sz="4" w:space="0"/>
              <w:right w:val="single" w:color="auto" w:sz="4" w:space="0"/>
            </w:tcBorders>
          </w:tcPr>
          <w:p>
            <w:pP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dotted"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1620" w:type="dxa"/>
            <w:tcBorders>
              <w:top w:val="single" w:color="auto" w:sz="4" w:space="0"/>
              <w:left w:val="single" w:color="auto" w:sz="4" w:space="0"/>
              <w:bottom w:val="single" w:color="auto" w:sz="4" w:space="0"/>
              <w:right w:val="single" w:color="auto" w:sz="4" w:space="0"/>
            </w:tcBorders>
          </w:tcPr>
          <w:p>
            <w:pPr>
              <w:spacing w:line="360" w:lineRule="auto"/>
              <w:ind w:right="-37"/>
              <w:jc w:val="left"/>
              <w:outlineLvl w:val="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境内法人股</w:t>
            </w:r>
          </w:p>
        </w:tc>
        <w:tc>
          <w:tcPr>
            <w:tcW w:w="130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31,678.41</w:t>
            </w:r>
          </w:p>
        </w:tc>
        <w:tc>
          <w:tcPr>
            <w:tcW w:w="1169" w:type="dxa"/>
            <w:tcBorders>
              <w:top w:val="single" w:color="auto" w:sz="4" w:space="0"/>
              <w:left w:val="single" w:color="auto" w:sz="4" w:space="0"/>
              <w:bottom w:val="single" w:color="auto" w:sz="4" w:space="0"/>
              <w:right w:val="single" w:color="auto" w:sz="4" w:space="0"/>
            </w:tcBorders>
            <w:vAlign w:val="center"/>
          </w:tcPr>
          <w:p>
            <w:pPr>
              <w:jc w:val="right"/>
              <w:rPr>
                <w:rFonts w:hint="default" w:ascii="Times New Roman" w:hAnsi="Times New Roman" w:eastAsia="等线" w:cs="Times New Roman"/>
                <w:color w:val="auto"/>
                <w:kern w:val="0"/>
                <w:sz w:val="22"/>
                <w:szCs w:val="22"/>
                <w:highlight w:val="none"/>
              </w:rPr>
            </w:pPr>
          </w:p>
        </w:tc>
        <w:tc>
          <w:tcPr>
            <w:tcW w:w="188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1,267.13</w:t>
            </w:r>
          </w:p>
        </w:tc>
        <w:tc>
          <w:tcPr>
            <w:tcW w:w="924" w:type="dxa"/>
            <w:tcBorders>
              <w:top w:val="single" w:color="auto" w:sz="4" w:space="0"/>
              <w:left w:val="single" w:color="auto" w:sz="4" w:space="0"/>
              <w:bottom w:val="single" w:color="auto" w:sz="4" w:space="0"/>
              <w:right w:val="single" w:color="auto" w:sz="4" w:space="0"/>
            </w:tcBorders>
            <w:vAlign w:val="center"/>
          </w:tcPr>
          <w:p>
            <w:pPr>
              <w:jc w:val="right"/>
              <w:rPr>
                <w:rFonts w:hint="default" w:ascii="Times New Roman" w:hAnsi="Times New Roman" w:eastAsia="等线" w:cs="Times New Roman"/>
                <w:color w:val="auto"/>
                <w:kern w:val="0"/>
                <w:sz w:val="22"/>
                <w:szCs w:val="22"/>
                <w:highlight w:val="none"/>
              </w:rPr>
            </w:pPr>
          </w:p>
        </w:tc>
        <w:tc>
          <w:tcPr>
            <w:tcW w:w="1007" w:type="dxa"/>
            <w:tcBorders>
              <w:top w:val="single" w:color="auto" w:sz="4" w:space="0"/>
              <w:left w:val="single" w:color="auto" w:sz="4" w:space="0"/>
              <w:bottom w:val="single" w:color="auto" w:sz="4" w:space="0"/>
              <w:right w:val="single" w:color="auto" w:sz="4" w:space="0"/>
            </w:tcBorders>
            <w:vAlign w:val="center"/>
          </w:tcPr>
          <w:p>
            <w:pPr>
              <w:jc w:val="right"/>
              <w:rPr>
                <w:rFonts w:hint="default" w:ascii="Times New Roman" w:hAnsi="Times New Roman" w:eastAsia="等线" w:cs="Times New Roman"/>
                <w:color w:val="auto"/>
                <w:kern w:val="0"/>
                <w:sz w:val="22"/>
                <w:szCs w:val="22"/>
                <w:highlight w:val="none"/>
              </w:rPr>
            </w:pPr>
          </w:p>
        </w:tc>
        <w:tc>
          <w:tcPr>
            <w:tcW w:w="130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32,945.54</w:t>
            </w:r>
          </w:p>
        </w:tc>
      </w:tr>
      <w:tr>
        <w:tblPrEx>
          <w:tblBorders>
            <w:top w:val="single" w:color="000000" w:sz="4" w:space="0"/>
            <w:left w:val="single" w:color="000000" w:sz="4" w:space="0"/>
            <w:bottom w:val="single" w:color="000000" w:sz="4" w:space="0"/>
            <w:right w:val="single" w:color="000000" w:sz="4" w:space="0"/>
            <w:insideH w:val="dotted"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1620" w:type="dxa"/>
            <w:tcBorders>
              <w:top w:val="single" w:color="auto" w:sz="4" w:space="0"/>
              <w:left w:val="single" w:color="auto" w:sz="4" w:space="0"/>
              <w:bottom w:val="single" w:color="auto" w:sz="4" w:space="0"/>
              <w:right w:val="single" w:color="auto" w:sz="4" w:space="0"/>
            </w:tcBorders>
          </w:tcPr>
          <w:p>
            <w:pPr>
              <w:spacing w:line="360" w:lineRule="auto"/>
              <w:ind w:right="-37"/>
              <w:jc w:val="left"/>
              <w:outlineLvl w:val="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员工自然人股</w:t>
            </w:r>
          </w:p>
        </w:tc>
        <w:tc>
          <w:tcPr>
            <w:tcW w:w="130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4,035.62</w:t>
            </w:r>
          </w:p>
        </w:tc>
        <w:tc>
          <w:tcPr>
            <w:tcW w:w="1169" w:type="dxa"/>
            <w:tcBorders>
              <w:top w:val="single" w:color="auto" w:sz="4" w:space="0"/>
              <w:left w:val="single" w:color="auto" w:sz="4" w:space="0"/>
              <w:bottom w:val="single" w:color="auto" w:sz="4" w:space="0"/>
              <w:right w:val="single" w:color="auto" w:sz="4" w:space="0"/>
            </w:tcBorders>
            <w:vAlign w:val="center"/>
          </w:tcPr>
          <w:p>
            <w:pPr>
              <w:jc w:val="right"/>
              <w:rPr>
                <w:rFonts w:hint="default" w:ascii="Times New Roman" w:hAnsi="Times New Roman" w:eastAsia="等线" w:cs="Times New Roman"/>
                <w:color w:val="auto"/>
                <w:kern w:val="0"/>
                <w:sz w:val="22"/>
                <w:szCs w:val="22"/>
                <w:highlight w:val="none"/>
              </w:rPr>
            </w:pPr>
          </w:p>
        </w:tc>
        <w:tc>
          <w:tcPr>
            <w:tcW w:w="188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165.88</w:t>
            </w:r>
          </w:p>
        </w:tc>
        <w:tc>
          <w:tcPr>
            <w:tcW w:w="924" w:type="dxa"/>
            <w:tcBorders>
              <w:top w:val="single" w:color="auto" w:sz="4" w:space="0"/>
              <w:left w:val="single" w:color="auto" w:sz="4" w:space="0"/>
              <w:bottom w:val="single" w:color="auto" w:sz="4" w:space="0"/>
              <w:right w:val="single" w:color="auto" w:sz="4" w:space="0"/>
            </w:tcBorders>
            <w:vAlign w:val="center"/>
          </w:tcPr>
          <w:p>
            <w:pPr>
              <w:jc w:val="right"/>
              <w:rPr>
                <w:rFonts w:hint="default" w:ascii="Times New Roman" w:hAnsi="Times New Roman" w:eastAsia="等线" w:cs="Times New Roman"/>
                <w:color w:val="auto"/>
                <w:kern w:val="0"/>
                <w:sz w:val="22"/>
                <w:szCs w:val="22"/>
                <w:highlight w:val="none"/>
              </w:rPr>
            </w:pPr>
          </w:p>
        </w:tc>
        <w:tc>
          <w:tcPr>
            <w:tcW w:w="1007" w:type="dxa"/>
            <w:tcBorders>
              <w:top w:val="single" w:color="auto" w:sz="4" w:space="0"/>
              <w:left w:val="single" w:color="auto" w:sz="4" w:space="0"/>
              <w:bottom w:val="single" w:color="auto" w:sz="4" w:space="0"/>
              <w:right w:val="single" w:color="auto" w:sz="4" w:space="0"/>
            </w:tcBorders>
            <w:vAlign w:val="center"/>
          </w:tcPr>
          <w:p>
            <w:pPr>
              <w:jc w:val="right"/>
              <w:rPr>
                <w:rFonts w:hint="default" w:ascii="Times New Roman" w:hAnsi="Times New Roman" w:eastAsia="等线" w:cs="Times New Roman"/>
                <w:color w:val="auto"/>
                <w:kern w:val="0"/>
                <w:sz w:val="22"/>
                <w:szCs w:val="22"/>
                <w:highlight w:val="none"/>
              </w:rPr>
            </w:pPr>
          </w:p>
        </w:tc>
        <w:tc>
          <w:tcPr>
            <w:tcW w:w="130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4,201.50</w:t>
            </w:r>
          </w:p>
        </w:tc>
      </w:tr>
      <w:tr>
        <w:tblPrEx>
          <w:tblBorders>
            <w:top w:val="single" w:color="000000" w:sz="4" w:space="0"/>
            <w:left w:val="single" w:color="000000" w:sz="4" w:space="0"/>
            <w:bottom w:val="single" w:color="000000" w:sz="4" w:space="0"/>
            <w:right w:val="single" w:color="000000" w:sz="4" w:space="0"/>
            <w:insideH w:val="dotted"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1620" w:type="dxa"/>
            <w:tcBorders>
              <w:top w:val="single" w:color="auto" w:sz="4" w:space="0"/>
              <w:left w:val="single" w:color="auto" w:sz="4" w:space="0"/>
              <w:bottom w:val="single" w:color="auto" w:sz="4" w:space="0"/>
              <w:right w:val="single" w:color="auto" w:sz="4" w:space="0"/>
            </w:tcBorders>
          </w:tcPr>
          <w:p>
            <w:pPr>
              <w:spacing w:line="360" w:lineRule="auto"/>
              <w:ind w:right="-37"/>
              <w:jc w:val="left"/>
              <w:outlineLvl w:val="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社会自然人股</w:t>
            </w:r>
          </w:p>
        </w:tc>
        <w:tc>
          <w:tcPr>
            <w:tcW w:w="130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16,141.70</w:t>
            </w:r>
          </w:p>
        </w:tc>
        <w:tc>
          <w:tcPr>
            <w:tcW w:w="1169" w:type="dxa"/>
            <w:tcBorders>
              <w:top w:val="single" w:color="auto" w:sz="4" w:space="0"/>
              <w:left w:val="single" w:color="auto" w:sz="4" w:space="0"/>
              <w:bottom w:val="single" w:color="auto" w:sz="4" w:space="0"/>
              <w:right w:val="single" w:color="auto" w:sz="4" w:space="0"/>
            </w:tcBorders>
            <w:vAlign w:val="center"/>
          </w:tcPr>
          <w:p>
            <w:pPr>
              <w:jc w:val="right"/>
              <w:rPr>
                <w:rFonts w:hint="default" w:ascii="Times New Roman" w:hAnsi="Times New Roman" w:eastAsia="等线" w:cs="Times New Roman"/>
                <w:color w:val="auto"/>
                <w:kern w:val="0"/>
                <w:sz w:val="22"/>
                <w:szCs w:val="22"/>
                <w:highlight w:val="none"/>
              </w:rPr>
            </w:pPr>
          </w:p>
        </w:tc>
        <w:tc>
          <w:tcPr>
            <w:tcW w:w="188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737.61</w:t>
            </w:r>
          </w:p>
        </w:tc>
        <w:tc>
          <w:tcPr>
            <w:tcW w:w="92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-96.45</w:t>
            </w:r>
          </w:p>
        </w:tc>
        <w:tc>
          <w:tcPr>
            <w:tcW w:w="1007" w:type="dxa"/>
            <w:tcBorders>
              <w:top w:val="single" w:color="auto" w:sz="4" w:space="0"/>
              <w:left w:val="single" w:color="auto" w:sz="4" w:space="0"/>
              <w:bottom w:val="single" w:color="auto" w:sz="4" w:space="0"/>
              <w:right w:val="single" w:color="auto" w:sz="4" w:space="0"/>
            </w:tcBorders>
            <w:vAlign w:val="center"/>
          </w:tcPr>
          <w:p>
            <w:pPr>
              <w:jc w:val="right"/>
              <w:rPr>
                <w:rFonts w:hint="default" w:ascii="Times New Roman" w:hAnsi="Times New Roman" w:eastAsia="等线" w:cs="Times New Roman"/>
                <w:color w:val="auto"/>
                <w:kern w:val="0"/>
                <w:sz w:val="22"/>
                <w:szCs w:val="22"/>
                <w:highlight w:val="none"/>
              </w:rPr>
            </w:pPr>
          </w:p>
        </w:tc>
        <w:tc>
          <w:tcPr>
            <w:tcW w:w="130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16,782.86</w:t>
            </w:r>
          </w:p>
        </w:tc>
      </w:tr>
      <w:tr>
        <w:tblPrEx>
          <w:tblBorders>
            <w:top w:val="single" w:color="000000" w:sz="4" w:space="0"/>
            <w:left w:val="single" w:color="000000" w:sz="4" w:space="0"/>
            <w:bottom w:val="single" w:color="000000" w:sz="4" w:space="0"/>
            <w:right w:val="single" w:color="000000" w:sz="4" w:space="0"/>
            <w:insideH w:val="dotted"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1620" w:type="dxa"/>
            <w:tcBorders>
              <w:top w:val="single" w:color="auto" w:sz="4" w:space="0"/>
              <w:left w:val="single" w:color="auto" w:sz="4" w:space="0"/>
              <w:bottom w:val="single" w:color="auto" w:sz="4" w:space="0"/>
              <w:right w:val="single" w:color="auto" w:sz="4" w:space="0"/>
            </w:tcBorders>
          </w:tcPr>
          <w:p>
            <w:pPr>
              <w:spacing w:line="360" w:lineRule="auto"/>
              <w:ind w:right="-37"/>
              <w:jc w:val="center"/>
              <w:outlineLvl w:val="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合计</w:t>
            </w:r>
          </w:p>
        </w:tc>
        <w:tc>
          <w:tcPr>
            <w:tcW w:w="130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51,855.73</w:t>
            </w:r>
          </w:p>
        </w:tc>
        <w:tc>
          <w:tcPr>
            <w:tcW w:w="1169" w:type="dxa"/>
            <w:tcBorders>
              <w:top w:val="single" w:color="auto" w:sz="4" w:space="0"/>
              <w:left w:val="single" w:color="auto" w:sz="4" w:space="0"/>
              <w:bottom w:val="single" w:color="auto" w:sz="4" w:space="0"/>
              <w:right w:val="single" w:color="auto" w:sz="4" w:space="0"/>
            </w:tcBorders>
            <w:vAlign w:val="center"/>
          </w:tcPr>
          <w:p>
            <w:pPr>
              <w:jc w:val="right"/>
              <w:rPr>
                <w:rFonts w:hint="default" w:ascii="Times New Roman" w:hAnsi="Times New Roman" w:eastAsia="等线" w:cs="Times New Roman"/>
                <w:color w:val="auto"/>
                <w:kern w:val="0"/>
                <w:sz w:val="22"/>
                <w:szCs w:val="22"/>
                <w:highlight w:val="none"/>
              </w:rPr>
            </w:pPr>
          </w:p>
        </w:tc>
        <w:tc>
          <w:tcPr>
            <w:tcW w:w="188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2,170.62</w:t>
            </w:r>
          </w:p>
        </w:tc>
        <w:tc>
          <w:tcPr>
            <w:tcW w:w="92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-96.45</w:t>
            </w:r>
          </w:p>
        </w:tc>
        <w:tc>
          <w:tcPr>
            <w:tcW w:w="1007" w:type="dxa"/>
            <w:tcBorders>
              <w:top w:val="single" w:color="auto" w:sz="4" w:space="0"/>
              <w:left w:val="single" w:color="auto" w:sz="4" w:space="0"/>
              <w:bottom w:val="single" w:color="auto" w:sz="4" w:space="0"/>
              <w:right w:val="single" w:color="auto" w:sz="4" w:space="0"/>
            </w:tcBorders>
            <w:vAlign w:val="center"/>
          </w:tcPr>
          <w:p>
            <w:pPr>
              <w:jc w:val="right"/>
              <w:rPr>
                <w:rFonts w:hint="default" w:ascii="Times New Roman" w:hAnsi="Times New Roman" w:eastAsia="等线" w:cs="Times New Roman"/>
                <w:color w:val="auto"/>
                <w:kern w:val="0"/>
                <w:sz w:val="22"/>
                <w:szCs w:val="22"/>
                <w:highlight w:val="none"/>
              </w:rPr>
            </w:pPr>
          </w:p>
        </w:tc>
        <w:tc>
          <w:tcPr>
            <w:tcW w:w="130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53,929.90</w:t>
            </w:r>
          </w:p>
        </w:tc>
      </w:tr>
    </w:tbl>
    <w:p>
      <w:pPr>
        <w:ind w:right="-37"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31.资本公积</w:t>
      </w:r>
    </w:p>
    <w:tbl>
      <w:tblPr>
        <w:tblStyle w:val="25"/>
        <w:tblW w:w="915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05"/>
        <w:gridCol w:w="1482"/>
        <w:gridCol w:w="1480"/>
        <w:gridCol w:w="1461"/>
        <w:gridCol w:w="19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blHeader/>
          <w:jc w:val="center"/>
        </w:trPr>
        <w:tc>
          <w:tcPr>
            <w:tcW w:w="2805" w:type="dxa"/>
            <w:vAlign w:val="center"/>
          </w:tcPr>
          <w:p>
            <w:pPr>
              <w:spacing w:line="360" w:lineRule="auto"/>
              <w:ind w:right="-37"/>
              <w:jc w:val="center"/>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1482" w:type="dxa"/>
            <w:vAlign w:val="center"/>
          </w:tcPr>
          <w:p>
            <w:pPr>
              <w:spacing w:line="360" w:lineRule="auto"/>
              <w:ind w:right="-37"/>
              <w:jc w:val="center"/>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2025-12-31</w:t>
            </w:r>
          </w:p>
        </w:tc>
        <w:tc>
          <w:tcPr>
            <w:tcW w:w="1480" w:type="dxa"/>
            <w:vAlign w:val="center"/>
          </w:tcPr>
          <w:p>
            <w:pPr>
              <w:spacing w:line="360" w:lineRule="auto"/>
              <w:ind w:right="-37"/>
              <w:jc w:val="center"/>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本年增加</w:t>
            </w:r>
          </w:p>
        </w:tc>
        <w:tc>
          <w:tcPr>
            <w:tcW w:w="1461" w:type="dxa"/>
            <w:vAlign w:val="center"/>
          </w:tcPr>
          <w:p>
            <w:pPr>
              <w:spacing w:line="360" w:lineRule="auto"/>
              <w:ind w:right="-37"/>
              <w:jc w:val="center"/>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本年减少</w:t>
            </w:r>
          </w:p>
        </w:tc>
        <w:tc>
          <w:tcPr>
            <w:tcW w:w="1926" w:type="dxa"/>
            <w:vAlign w:val="center"/>
          </w:tcPr>
          <w:p>
            <w:pPr>
              <w:spacing w:line="360" w:lineRule="auto"/>
              <w:ind w:right="-37"/>
              <w:jc w:val="center"/>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 w:cs="Times New Roman"/>
                <w:color w:val="auto"/>
                <w:sz w:val="24"/>
                <w:szCs w:val="24"/>
                <w:highlight w:val="none"/>
                <w:lang w:val="en-US" w:eastAsia="zh-CN"/>
              </w:rPr>
              <w:t>2026-6-30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2805" w:type="dxa"/>
            <w:vAlign w:val="center"/>
          </w:tcPr>
          <w:p>
            <w:pPr>
              <w:spacing w:line="360" w:lineRule="auto"/>
              <w:ind w:right="-37"/>
              <w:jc w:val="left"/>
              <w:outlineLvl w:val="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股本溢价</w:t>
            </w:r>
          </w:p>
        </w:tc>
        <w:tc>
          <w:tcPr>
            <w:tcW w:w="1482" w:type="dxa"/>
            <w:vAlign w:val="center"/>
          </w:tcPr>
          <w:p>
            <w:pPr>
              <w:widowControl/>
              <w:ind w:right="-37"/>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等线" w:cs="Times New Roman"/>
                <w:color w:val="auto"/>
                <w:kern w:val="0"/>
                <w:sz w:val="22"/>
                <w:highlight w:val="none"/>
              </w:rPr>
              <w:t>20,581.29</w:t>
            </w:r>
          </w:p>
        </w:tc>
        <w:tc>
          <w:tcPr>
            <w:tcW w:w="1480" w:type="dxa"/>
            <w:vAlign w:val="center"/>
          </w:tcPr>
          <w:p>
            <w:pPr>
              <w:widowControl/>
              <w:ind w:right="-37"/>
              <w:jc w:val="right"/>
              <w:textAlignment w:val="center"/>
              <w:rPr>
                <w:rFonts w:hint="default" w:ascii="Times New Roman" w:hAnsi="Times New Roman" w:eastAsia="等线" w:cs="Times New Roman"/>
                <w:color w:val="auto"/>
                <w:kern w:val="0"/>
                <w:sz w:val="22"/>
                <w:highlight w:val="none"/>
              </w:rPr>
            </w:pPr>
          </w:p>
        </w:tc>
        <w:tc>
          <w:tcPr>
            <w:tcW w:w="1461" w:type="dxa"/>
            <w:vAlign w:val="center"/>
          </w:tcPr>
          <w:p>
            <w:pPr>
              <w:widowControl/>
              <w:ind w:right="-37"/>
              <w:jc w:val="right"/>
              <w:textAlignment w:val="center"/>
              <w:rPr>
                <w:rFonts w:hint="default" w:ascii="Times New Roman" w:hAnsi="Times New Roman" w:eastAsia="等线" w:cs="Times New Roman"/>
                <w:color w:val="auto"/>
                <w:kern w:val="0"/>
                <w:sz w:val="22"/>
                <w:highlight w:val="none"/>
              </w:rPr>
            </w:pPr>
          </w:p>
        </w:tc>
        <w:tc>
          <w:tcPr>
            <w:tcW w:w="1926" w:type="dxa"/>
            <w:vAlign w:val="center"/>
          </w:tcPr>
          <w:p>
            <w:pPr>
              <w:widowControl/>
              <w:ind w:right="-37"/>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等线" w:cs="Times New Roman"/>
                <w:color w:val="auto"/>
                <w:kern w:val="0"/>
                <w:sz w:val="22"/>
                <w:highlight w:val="none"/>
              </w:rPr>
              <w:t>20,581.29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2805" w:type="dxa"/>
            <w:vAlign w:val="center"/>
          </w:tcPr>
          <w:p>
            <w:pPr>
              <w:spacing w:line="360" w:lineRule="auto"/>
              <w:ind w:right="-37"/>
              <w:jc w:val="center"/>
              <w:outlineLvl w:val="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合计</w:t>
            </w:r>
          </w:p>
        </w:tc>
        <w:tc>
          <w:tcPr>
            <w:tcW w:w="1482" w:type="dxa"/>
            <w:vAlign w:val="center"/>
          </w:tcPr>
          <w:p>
            <w:pPr>
              <w:widowControl/>
              <w:ind w:right="-37"/>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等线" w:cs="Times New Roman"/>
                <w:color w:val="auto"/>
                <w:kern w:val="0"/>
                <w:sz w:val="22"/>
                <w:highlight w:val="none"/>
              </w:rPr>
              <w:t>20,581.29</w:t>
            </w:r>
          </w:p>
        </w:tc>
        <w:tc>
          <w:tcPr>
            <w:tcW w:w="1480" w:type="dxa"/>
            <w:vAlign w:val="center"/>
          </w:tcPr>
          <w:p>
            <w:pPr>
              <w:widowControl/>
              <w:ind w:right="-37"/>
              <w:jc w:val="right"/>
              <w:textAlignment w:val="center"/>
              <w:rPr>
                <w:rFonts w:hint="default" w:ascii="Times New Roman" w:hAnsi="Times New Roman" w:eastAsia="等线" w:cs="Times New Roman"/>
                <w:color w:val="auto"/>
                <w:kern w:val="0"/>
                <w:sz w:val="22"/>
                <w:highlight w:val="none"/>
              </w:rPr>
            </w:pPr>
          </w:p>
        </w:tc>
        <w:tc>
          <w:tcPr>
            <w:tcW w:w="1461" w:type="dxa"/>
            <w:vAlign w:val="center"/>
          </w:tcPr>
          <w:p>
            <w:pPr>
              <w:widowControl/>
              <w:ind w:right="-37"/>
              <w:jc w:val="right"/>
              <w:textAlignment w:val="center"/>
              <w:rPr>
                <w:rFonts w:hint="default" w:ascii="Times New Roman" w:hAnsi="Times New Roman" w:eastAsia="等线" w:cs="Times New Roman"/>
                <w:color w:val="auto"/>
                <w:kern w:val="0"/>
                <w:sz w:val="22"/>
                <w:highlight w:val="none"/>
              </w:rPr>
            </w:pPr>
          </w:p>
        </w:tc>
        <w:tc>
          <w:tcPr>
            <w:tcW w:w="1926" w:type="dxa"/>
            <w:vAlign w:val="center"/>
          </w:tcPr>
          <w:p>
            <w:pPr>
              <w:widowControl/>
              <w:ind w:right="-37"/>
              <w:jc w:val="right"/>
              <w:textAlignment w:val="center"/>
              <w:rPr>
                <w:rFonts w:hint="default" w:ascii="Times New Roman" w:hAnsi="Times New Roman" w:eastAsia="等线" w:cs="Times New Roman"/>
                <w:color w:val="auto"/>
                <w:kern w:val="0"/>
                <w:sz w:val="22"/>
                <w:highlight w:val="none"/>
              </w:rPr>
            </w:pPr>
            <w:r>
              <w:rPr>
                <w:rFonts w:hint="default" w:ascii="Times New Roman" w:hAnsi="Times New Roman" w:eastAsia="等线" w:cs="Times New Roman"/>
                <w:color w:val="auto"/>
                <w:kern w:val="0"/>
                <w:sz w:val="22"/>
                <w:highlight w:val="none"/>
              </w:rPr>
              <w:t>20,581.29</w:t>
            </w:r>
          </w:p>
        </w:tc>
      </w:tr>
    </w:tbl>
    <w:p>
      <w:pPr>
        <w:ind w:right="-37"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32.其他综合收益</w:t>
      </w:r>
    </w:p>
    <w:tbl>
      <w:tblPr>
        <w:tblStyle w:val="25"/>
        <w:tblW w:w="903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14"/>
        <w:gridCol w:w="2510"/>
        <w:gridCol w:w="25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blHeader/>
          <w:jc w:val="center"/>
        </w:trPr>
        <w:tc>
          <w:tcPr>
            <w:tcW w:w="4014" w:type="dxa"/>
            <w:vAlign w:val="center"/>
          </w:tcPr>
          <w:p>
            <w:pPr>
              <w:spacing w:line="360" w:lineRule="auto"/>
              <w:ind w:right="-37"/>
              <w:jc w:val="center"/>
              <w:outlineLvl w:val="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项目</w:t>
            </w:r>
          </w:p>
          <w:p>
            <w:pPr>
              <w:spacing w:line="360" w:lineRule="auto"/>
              <w:ind w:right="-37"/>
              <w:jc w:val="center"/>
              <w:rPr>
                <w:rFonts w:hint="default" w:ascii="Times New Roman" w:hAnsi="Times New Roman" w:eastAsia="仿宋_GB2312" w:cs="Times New Roman"/>
                <w:color w:val="auto"/>
                <w:sz w:val="24"/>
                <w:szCs w:val="24"/>
                <w:highlight w:val="none"/>
              </w:rPr>
            </w:pPr>
          </w:p>
        </w:tc>
        <w:tc>
          <w:tcPr>
            <w:tcW w:w="2510" w:type="dxa"/>
            <w:vAlign w:val="center"/>
          </w:tcPr>
          <w:p>
            <w:pPr>
              <w:ind w:right="-37"/>
              <w:jc w:val="center"/>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2026-6-30</w:t>
            </w:r>
          </w:p>
        </w:tc>
        <w:tc>
          <w:tcPr>
            <w:tcW w:w="2512" w:type="dxa"/>
            <w:vAlign w:val="center"/>
          </w:tcPr>
          <w:p>
            <w:pPr>
              <w:ind w:right="-37"/>
              <w:jc w:val="center"/>
              <w:rPr>
                <w:rFonts w:hint="default" w:ascii="Times New Roman" w:hAnsi="Times New Roman" w:eastAsia="仿宋_GB2312" w:cs="Times New Roman"/>
                <w:color w:val="auto"/>
                <w:sz w:val="24"/>
                <w:szCs w:val="24"/>
                <w:highlight w:val="none"/>
                <w:lang w:val="en-US"/>
              </w:rPr>
            </w:pPr>
            <w:r>
              <w:rPr>
                <w:rFonts w:hint="default" w:ascii="Times New Roman" w:hAnsi="Times New Roman" w:eastAsia="仿宋" w:cs="Times New Roman"/>
                <w:color w:val="auto"/>
                <w:sz w:val="24"/>
                <w:szCs w:val="24"/>
                <w:highlight w:val="none"/>
                <w:lang w:val="en-US" w:eastAsia="zh-CN"/>
              </w:rPr>
              <w:t>2025-12-31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014"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其他债权投资公允价值变动</w:t>
            </w:r>
          </w:p>
        </w:tc>
        <w:tc>
          <w:tcPr>
            <w:tcW w:w="251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5,295.70</w:t>
            </w:r>
          </w:p>
        </w:tc>
        <w:tc>
          <w:tcPr>
            <w:tcW w:w="251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7,427.16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014"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其他债权投资信用减值准备</w:t>
            </w:r>
          </w:p>
        </w:tc>
        <w:tc>
          <w:tcPr>
            <w:tcW w:w="251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832.22</w:t>
            </w:r>
          </w:p>
        </w:tc>
        <w:tc>
          <w:tcPr>
            <w:tcW w:w="251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541.91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44" w:hRule="exact"/>
          <w:jc w:val="center"/>
        </w:trPr>
        <w:tc>
          <w:tcPr>
            <w:tcW w:w="4014"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金融资产重分类计入其他综合收益的金额</w:t>
            </w:r>
          </w:p>
        </w:tc>
        <w:tc>
          <w:tcPr>
            <w:tcW w:w="251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1.6</w:t>
            </w:r>
          </w:p>
        </w:tc>
        <w:tc>
          <w:tcPr>
            <w:tcW w:w="251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jc w:val="center"/>
        </w:trPr>
        <w:tc>
          <w:tcPr>
            <w:tcW w:w="4014"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251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6,129.52</w:t>
            </w:r>
          </w:p>
        </w:tc>
        <w:tc>
          <w:tcPr>
            <w:tcW w:w="251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7,970.67</w:t>
            </w:r>
          </w:p>
        </w:tc>
      </w:tr>
    </w:tbl>
    <w:p>
      <w:pPr>
        <w:ind w:right="-37"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33.盈余公积</w:t>
      </w:r>
    </w:p>
    <w:tbl>
      <w:tblPr>
        <w:tblStyle w:val="25"/>
        <w:tblW w:w="9065"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759"/>
        <w:gridCol w:w="1517"/>
        <w:gridCol w:w="1653"/>
        <w:gridCol w:w="1381"/>
        <w:gridCol w:w="17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2759" w:type="dxa"/>
            <w:vAlign w:val="center"/>
          </w:tcPr>
          <w:p>
            <w:pPr>
              <w:spacing w:line="360" w:lineRule="auto"/>
              <w:ind w:right="-37"/>
              <w:jc w:val="center"/>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1517" w:type="dxa"/>
            <w:vAlign w:val="center"/>
          </w:tcPr>
          <w:p>
            <w:pPr>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sz w:val="24"/>
                <w:szCs w:val="24"/>
                <w:highlight w:val="none"/>
              </w:rPr>
              <w:t>2025-12-31</w:t>
            </w:r>
          </w:p>
        </w:tc>
        <w:tc>
          <w:tcPr>
            <w:tcW w:w="1653" w:type="dxa"/>
            <w:vAlign w:val="center"/>
          </w:tcPr>
          <w:p>
            <w:pPr>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sz w:val="24"/>
                <w:szCs w:val="24"/>
                <w:highlight w:val="none"/>
              </w:rPr>
              <w:t>本年增加</w:t>
            </w:r>
          </w:p>
        </w:tc>
        <w:tc>
          <w:tcPr>
            <w:tcW w:w="1381" w:type="dxa"/>
            <w:vAlign w:val="center"/>
          </w:tcPr>
          <w:p>
            <w:pPr>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sz w:val="24"/>
                <w:szCs w:val="24"/>
                <w:highlight w:val="none"/>
              </w:rPr>
              <w:t>本年减少</w:t>
            </w:r>
          </w:p>
        </w:tc>
        <w:tc>
          <w:tcPr>
            <w:tcW w:w="1755" w:type="dxa"/>
            <w:vAlign w:val="center"/>
          </w:tcPr>
          <w:p>
            <w:pPr>
              <w:ind w:right="-37"/>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 w:cs="Times New Roman"/>
                <w:color w:val="auto"/>
                <w:sz w:val="24"/>
                <w:szCs w:val="24"/>
                <w:highlight w:val="none"/>
                <w:lang w:val="en-US" w:eastAsia="zh-CN"/>
              </w:rPr>
              <w:t>2026-6-30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759"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法定盈余公积</w:t>
            </w:r>
          </w:p>
        </w:tc>
        <w:tc>
          <w:tcPr>
            <w:tcW w:w="1517"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21,077.80</w:t>
            </w:r>
          </w:p>
        </w:tc>
        <w:tc>
          <w:tcPr>
            <w:tcW w:w="1653"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1,582.34</w:t>
            </w:r>
          </w:p>
        </w:tc>
        <w:tc>
          <w:tcPr>
            <w:tcW w:w="1381" w:type="dxa"/>
            <w:vAlign w:val="center"/>
          </w:tcPr>
          <w:p>
            <w:pPr>
              <w:jc w:val="right"/>
              <w:rPr>
                <w:rFonts w:hint="default" w:ascii="Times New Roman" w:hAnsi="Times New Roman" w:eastAsia="等线" w:cs="Times New Roman"/>
                <w:color w:val="auto"/>
                <w:kern w:val="0"/>
                <w:sz w:val="22"/>
                <w:szCs w:val="22"/>
                <w:highlight w:val="none"/>
              </w:rPr>
            </w:pPr>
          </w:p>
        </w:tc>
        <w:tc>
          <w:tcPr>
            <w:tcW w:w="175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22,660.14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759"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任意盈余公积</w:t>
            </w:r>
          </w:p>
        </w:tc>
        <w:tc>
          <w:tcPr>
            <w:tcW w:w="1517"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11,671.24</w:t>
            </w:r>
          </w:p>
        </w:tc>
        <w:tc>
          <w:tcPr>
            <w:tcW w:w="1653"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791.17</w:t>
            </w:r>
          </w:p>
        </w:tc>
        <w:tc>
          <w:tcPr>
            <w:tcW w:w="1381" w:type="dxa"/>
            <w:vAlign w:val="center"/>
          </w:tcPr>
          <w:p>
            <w:pPr>
              <w:jc w:val="right"/>
              <w:rPr>
                <w:rFonts w:hint="default" w:ascii="Times New Roman" w:hAnsi="Times New Roman" w:eastAsia="等线" w:cs="Times New Roman"/>
                <w:color w:val="auto"/>
                <w:kern w:val="0"/>
                <w:sz w:val="22"/>
                <w:szCs w:val="22"/>
                <w:highlight w:val="none"/>
              </w:rPr>
            </w:pPr>
          </w:p>
        </w:tc>
        <w:tc>
          <w:tcPr>
            <w:tcW w:w="175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12,462.41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759"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1517"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32,749.04</w:t>
            </w:r>
          </w:p>
        </w:tc>
        <w:tc>
          <w:tcPr>
            <w:tcW w:w="1653"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2,373.51</w:t>
            </w:r>
          </w:p>
        </w:tc>
        <w:tc>
          <w:tcPr>
            <w:tcW w:w="1381" w:type="dxa"/>
            <w:vAlign w:val="center"/>
          </w:tcPr>
          <w:p>
            <w:pPr>
              <w:jc w:val="right"/>
              <w:rPr>
                <w:rFonts w:hint="default" w:ascii="Times New Roman" w:hAnsi="Times New Roman" w:eastAsia="等线" w:cs="Times New Roman"/>
                <w:color w:val="auto"/>
                <w:kern w:val="0"/>
                <w:sz w:val="22"/>
                <w:szCs w:val="22"/>
                <w:highlight w:val="none"/>
              </w:rPr>
            </w:pPr>
          </w:p>
        </w:tc>
        <w:tc>
          <w:tcPr>
            <w:tcW w:w="175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35,122.55</w:t>
            </w:r>
          </w:p>
        </w:tc>
      </w:tr>
    </w:tbl>
    <w:p>
      <w:pPr>
        <w:ind w:right="-37"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34.一般风险准备</w:t>
      </w:r>
    </w:p>
    <w:tbl>
      <w:tblPr>
        <w:tblStyle w:val="25"/>
        <w:tblW w:w="9065"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759"/>
        <w:gridCol w:w="1517"/>
        <w:gridCol w:w="1653"/>
        <w:gridCol w:w="1381"/>
        <w:gridCol w:w="17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2759" w:type="dxa"/>
            <w:vAlign w:val="center"/>
          </w:tcPr>
          <w:p>
            <w:pPr>
              <w:spacing w:line="360" w:lineRule="auto"/>
              <w:ind w:right="-37"/>
              <w:jc w:val="center"/>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1517" w:type="dxa"/>
            <w:vAlign w:val="center"/>
          </w:tcPr>
          <w:p>
            <w:pPr>
              <w:spacing w:line="360" w:lineRule="auto"/>
              <w:ind w:right="-37"/>
              <w:jc w:val="center"/>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2025-12-31</w:t>
            </w:r>
          </w:p>
        </w:tc>
        <w:tc>
          <w:tcPr>
            <w:tcW w:w="1653" w:type="dxa"/>
            <w:vAlign w:val="center"/>
          </w:tcPr>
          <w:p>
            <w:pPr>
              <w:spacing w:line="360" w:lineRule="auto"/>
              <w:ind w:right="-37"/>
              <w:jc w:val="center"/>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本年增加</w:t>
            </w:r>
          </w:p>
        </w:tc>
        <w:tc>
          <w:tcPr>
            <w:tcW w:w="1381" w:type="dxa"/>
            <w:vAlign w:val="center"/>
          </w:tcPr>
          <w:p>
            <w:pPr>
              <w:spacing w:line="360" w:lineRule="auto"/>
              <w:ind w:right="-37"/>
              <w:jc w:val="center"/>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本年减少</w:t>
            </w:r>
          </w:p>
        </w:tc>
        <w:tc>
          <w:tcPr>
            <w:tcW w:w="1755" w:type="dxa"/>
            <w:vAlign w:val="center"/>
          </w:tcPr>
          <w:p>
            <w:pPr>
              <w:spacing w:line="360" w:lineRule="auto"/>
              <w:ind w:right="-37"/>
              <w:jc w:val="center"/>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 w:cs="Times New Roman"/>
                <w:color w:val="auto"/>
                <w:sz w:val="24"/>
                <w:szCs w:val="24"/>
                <w:highlight w:val="none"/>
                <w:lang w:val="en-US" w:eastAsia="zh-CN"/>
              </w:rPr>
              <w:t>2026-6-30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759" w:type="dxa"/>
          </w:tcPr>
          <w:p>
            <w:pPr>
              <w:keepNext w:val="0"/>
              <w:keepLines w:val="0"/>
              <w:widowControl/>
              <w:suppressLineNumbers w:val="0"/>
              <w:jc w:val="left"/>
              <w:textAlignment w:val="top"/>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一般风险准备</w:t>
            </w:r>
          </w:p>
        </w:tc>
        <w:tc>
          <w:tcPr>
            <w:tcW w:w="1517"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102,721.43</w:t>
            </w:r>
          </w:p>
        </w:tc>
        <w:tc>
          <w:tcPr>
            <w:tcW w:w="1653"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8,367.41</w:t>
            </w:r>
          </w:p>
        </w:tc>
        <w:tc>
          <w:tcPr>
            <w:tcW w:w="1381" w:type="dxa"/>
            <w:vAlign w:val="center"/>
          </w:tcPr>
          <w:p>
            <w:pPr>
              <w:jc w:val="right"/>
              <w:rPr>
                <w:rFonts w:hint="default" w:ascii="Times New Roman" w:hAnsi="Times New Roman" w:eastAsia="等线" w:cs="Times New Roman"/>
                <w:color w:val="auto"/>
                <w:kern w:val="0"/>
                <w:sz w:val="22"/>
                <w:szCs w:val="22"/>
                <w:highlight w:val="none"/>
              </w:rPr>
            </w:pPr>
          </w:p>
        </w:tc>
        <w:tc>
          <w:tcPr>
            <w:tcW w:w="175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111,088.84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759" w:type="dxa"/>
          </w:tcPr>
          <w:p>
            <w:pPr>
              <w:keepNext w:val="0"/>
              <w:keepLines w:val="0"/>
              <w:widowControl/>
              <w:suppressLineNumbers w:val="0"/>
              <w:jc w:val="left"/>
              <w:textAlignment w:val="top"/>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税费减免</w:t>
            </w:r>
          </w:p>
        </w:tc>
        <w:tc>
          <w:tcPr>
            <w:tcW w:w="1517"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17,267.52</w:t>
            </w:r>
          </w:p>
        </w:tc>
        <w:tc>
          <w:tcPr>
            <w:tcW w:w="1653"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1,452.57</w:t>
            </w:r>
          </w:p>
        </w:tc>
        <w:tc>
          <w:tcPr>
            <w:tcW w:w="1381" w:type="dxa"/>
            <w:vAlign w:val="center"/>
          </w:tcPr>
          <w:p>
            <w:pPr>
              <w:jc w:val="right"/>
              <w:rPr>
                <w:rFonts w:hint="default" w:ascii="Times New Roman" w:hAnsi="Times New Roman" w:eastAsia="等线" w:cs="Times New Roman"/>
                <w:color w:val="auto"/>
                <w:kern w:val="0"/>
                <w:sz w:val="22"/>
                <w:szCs w:val="22"/>
                <w:highlight w:val="none"/>
              </w:rPr>
            </w:pPr>
          </w:p>
        </w:tc>
        <w:tc>
          <w:tcPr>
            <w:tcW w:w="175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18,720.09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759" w:type="dxa"/>
          </w:tcPr>
          <w:p>
            <w:pPr>
              <w:keepNext w:val="0"/>
              <w:keepLines w:val="0"/>
              <w:widowControl/>
              <w:suppressLineNumbers w:val="0"/>
              <w:jc w:val="left"/>
              <w:textAlignment w:val="top"/>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政府补贴</w:t>
            </w:r>
          </w:p>
        </w:tc>
        <w:tc>
          <w:tcPr>
            <w:tcW w:w="1517"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1,311.41</w:t>
            </w:r>
          </w:p>
        </w:tc>
        <w:tc>
          <w:tcPr>
            <w:tcW w:w="1653" w:type="dxa"/>
            <w:vAlign w:val="center"/>
          </w:tcPr>
          <w:p>
            <w:pPr>
              <w:jc w:val="right"/>
              <w:rPr>
                <w:rFonts w:hint="default" w:ascii="Times New Roman" w:hAnsi="Times New Roman" w:eastAsia="等线" w:cs="Times New Roman"/>
                <w:color w:val="auto"/>
                <w:kern w:val="0"/>
                <w:sz w:val="22"/>
                <w:szCs w:val="22"/>
                <w:highlight w:val="none"/>
              </w:rPr>
            </w:pPr>
          </w:p>
        </w:tc>
        <w:tc>
          <w:tcPr>
            <w:tcW w:w="1381" w:type="dxa"/>
            <w:vAlign w:val="center"/>
          </w:tcPr>
          <w:p>
            <w:pPr>
              <w:jc w:val="right"/>
              <w:rPr>
                <w:rFonts w:hint="default" w:ascii="Times New Roman" w:hAnsi="Times New Roman" w:eastAsia="等线" w:cs="Times New Roman"/>
                <w:color w:val="auto"/>
                <w:kern w:val="0"/>
                <w:sz w:val="22"/>
                <w:szCs w:val="22"/>
                <w:highlight w:val="none"/>
              </w:rPr>
            </w:pPr>
          </w:p>
        </w:tc>
        <w:tc>
          <w:tcPr>
            <w:tcW w:w="175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1,311.41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759" w:type="dxa"/>
          </w:tcPr>
          <w:p>
            <w:pPr>
              <w:keepNext w:val="0"/>
              <w:keepLines w:val="0"/>
              <w:widowControl/>
              <w:suppressLineNumbers w:val="0"/>
              <w:jc w:val="left"/>
              <w:textAlignment w:val="top"/>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其他</w:t>
            </w:r>
          </w:p>
        </w:tc>
        <w:tc>
          <w:tcPr>
            <w:tcW w:w="1517"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23.1</w:t>
            </w:r>
          </w:p>
        </w:tc>
        <w:tc>
          <w:tcPr>
            <w:tcW w:w="1653" w:type="dxa"/>
            <w:vAlign w:val="center"/>
          </w:tcPr>
          <w:p>
            <w:pPr>
              <w:jc w:val="right"/>
              <w:rPr>
                <w:rFonts w:hint="default" w:ascii="Times New Roman" w:hAnsi="Times New Roman" w:eastAsia="等线" w:cs="Times New Roman"/>
                <w:color w:val="auto"/>
                <w:kern w:val="0"/>
                <w:sz w:val="22"/>
                <w:szCs w:val="22"/>
                <w:highlight w:val="none"/>
              </w:rPr>
            </w:pPr>
          </w:p>
        </w:tc>
        <w:tc>
          <w:tcPr>
            <w:tcW w:w="1381" w:type="dxa"/>
            <w:vAlign w:val="center"/>
          </w:tcPr>
          <w:p>
            <w:pPr>
              <w:jc w:val="right"/>
              <w:rPr>
                <w:rFonts w:hint="default" w:ascii="Times New Roman" w:hAnsi="Times New Roman" w:eastAsia="等线" w:cs="Times New Roman"/>
                <w:color w:val="auto"/>
                <w:kern w:val="0"/>
                <w:sz w:val="22"/>
                <w:szCs w:val="22"/>
                <w:highlight w:val="none"/>
              </w:rPr>
            </w:pPr>
          </w:p>
        </w:tc>
        <w:tc>
          <w:tcPr>
            <w:tcW w:w="175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759"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1517"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121,323.46</w:t>
            </w:r>
          </w:p>
        </w:tc>
        <w:tc>
          <w:tcPr>
            <w:tcW w:w="1653"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9,819.98</w:t>
            </w:r>
          </w:p>
        </w:tc>
        <w:tc>
          <w:tcPr>
            <w:tcW w:w="1381" w:type="dxa"/>
            <w:vAlign w:val="center"/>
          </w:tcPr>
          <w:p>
            <w:pPr>
              <w:jc w:val="right"/>
              <w:rPr>
                <w:rFonts w:hint="default" w:ascii="Times New Roman" w:hAnsi="Times New Roman" w:eastAsia="等线" w:cs="Times New Roman"/>
                <w:color w:val="auto"/>
                <w:kern w:val="0"/>
                <w:sz w:val="22"/>
                <w:szCs w:val="22"/>
                <w:highlight w:val="none"/>
              </w:rPr>
            </w:pPr>
          </w:p>
        </w:tc>
        <w:tc>
          <w:tcPr>
            <w:tcW w:w="1755"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131,143.44</w:t>
            </w:r>
          </w:p>
        </w:tc>
      </w:tr>
    </w:tbl>
    <w:p>
      <w:pPr>
        <w:ind w:right="-37"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35.未分配利润</w:t>
      </w:r>
    </w:p>
    <w:tbl>
      <w:tblPr>
        <w:tblStyle w:val="25"/>
        <w:tblW w:w="906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53"/>
        <w:gridCol w:w="2552"/>
        <w:gridCol w:w="2264"/>
      </w:tblGrid>
      <w:tr>
        <w:tblPrEx>
          <w:tblLayout w:type="fixed"/>
          <w:tblCellMar>
            <w:top w:w="0" w:type="dxa"/>
            <w:left w:w="108" w:type="dxa"/>
            <w:bottom w:w="0" w:type="dxa"/>
            <w:right w:w="108" w:type="dxa"/>
          </w:tblCellMar>
        </w:tblPrEx>
        <w:trPr>
          <w:trHeight w:val="454" w:hRule="atLeast"/>
          <w:tblHeader/>
          <w:jc w:val="center"/>
        </w:trPr>
        <w:tc>
          <w:tcPr>
            <w:tcW w:w="4253" w:type="dxa"/>
            <w:vAlign w:val="center"/>
          </w:tcPr>
          <w:p>
            <w:pPr>
              <w:spacing w:line="360" w:lineRule="auto"/>
              <w:ind w:right="-37"/>
              <w:jc w:val="center"/>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2552" w:type="dxa"/>
            <w:vAlign w:val="center"/>
          </w:tcPr>
          <w:p>
            <w:pPr>
              <w:ind w:right="-37"/>
              <w:jc w:val="center"/>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2026年上半年</w:t>
            </w:r>
          </w:p>
        </w:tc>
        <w:tc>
          <w:tcPr>
            <w:tcW w:w="2264" w:type="dxa"/>
            <w:vAlign w:val="center"/>
          </w:tcPr>
          <w:p>
            <w:pPr>
              <w:ind w:right="-37"/>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rPr>
              <w:t>2025</w:t>
            </w:r>
            <w:r>
              <w:rPr>
                <w:rFonts w:hint="default" w:ascii="Times New Roman" w:hAnsi="Times New Roman" w:eastAsia="仿宋_GB2312" w:cs="Times New Roman"/>
                <w:color w:val="auto"/>
                <w:sz w:val="24"/>
                <w:szCs w:val="24"/>
                <w:highlight w:val="none"/>
              </w:rPr>
              <w:t>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上年年末未分配利润</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15,823.39</w:t>
            </w:r>
          </w:p>
        </w:tc>
        <w:tc>
          <w:tcPr>
            <w:tcW w:w="226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18,395.62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加：以前年度损益调整</w:t>
            </w:r>
          </w:p>
        </w:tc>
        <w:tc>
          <w:tcPr>
            <w:tcW w:w="2552" w:type="dxa"/>
            <w:vAlign w:val="center"/>
          </w:tcPr>
          <w:p>
            <w:pPr>
              <w:jc w:val="right"/>
              <w:rPr>
                <w:rFonts w:hint="default" w:ascii="Times New Roman" w:hAnsi="Times New Roman" w:eastAsia="等线" w:cs="Times New Roman"/>
                <w:color w:val="auto"/>
                <w:kern w:val="0"/>
                <w:sz w:val="22"/>
                <w:szCs w:val="22"/>
                <w:highlight w:val="none"/>
              </w:rPr>
            </w:pPr>
          </w:p>
        </w:tc>
        <w:tc>
          <w:tcPr>
            <w:tcW w:w="2264" w:type="dxa"/>
            <w:vAlign w:val="center"/>
          </w:tcPr>
          <w:p>
            <w:pPr>
              <w:jc w:val="right"/>
              <w:rPr>
                <w:rFonts w:hint="default" w:ascii="Times New Roman" w:hAnsi="Times New Roman" w:eastAsia="等线" w:cs="Times New Roman"/>
                <w:color w:val="auto"/>
                <w:kern w:val="0"/>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本年年初未分配利润</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15,823.39</w:t>
            </w:r>
          </w:p>
        </w:tc>
        <w:tc>
          <w:tcPr>
            <w:tcW w:w="226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18,395.62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加：本期净利润</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3,981.82</w:t>
            </w:r>
          </w:p>
        </w:tc>
        <w:tc>
          <w:tcPr>
            <w:tcW w:w="226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15,823.39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减：提取盈余公积</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2,373.51</w:t>
            </w:r>
          </w:p>
        </w:tc>
        <w:tc>
          <w:tcPr>
            <w:tcW w:w="226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2,759.35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提取一般风险准备</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9,819.98</w:t>
            </w:r>
          </w:p>
        </w:tc>
        <w:tc>
          <w:tcPr>
            <w:tcW w:w="226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12,145.98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对股东的分配</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3,629.90</w:t>
            </w:r>
          </w:p>
        </w:tc>
        <w:tc>
          <w:tcPr>
            <w:tcW w:w="226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3,490.29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期末未分配利润</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3,981.82</w:t>
            </w:r>
          </w:p>
        </w:tc>
        <w:tc>
          <w:tcPr>
            <w:tcW w:w="226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15,823.39</w:t>
            </w:r>
          </w:p>
        </w:tc>
      </w:tr>
    </w:tbl>
    <w:p>
      <w:pPr>
        <w:spacing w:line="360" w:lineRule="auto"/>
        <w:ind w:right="-40" w:firstLine="560" w:firstLineChars="200"/>
        <w:jc w:val="left"/>
        <w:outlineLvl w:val="1"/>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8"/>
          <w:szCs w:val="28"/>
          <w:highlight w:val="none"/>
        </w:rPr>
        <w:t>36.利息净收入</w:t>
      </w:r>
    </w:p>
    <w:tbl>
      <w:tblPr>
        <w:tblStyle w:val="25"/>
        <w:tblW w:w="905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53"/>
        <w:gridCol w:w="2552"/>
        <w:gridCol w:w="22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4253" w:type="dxa"/>
            <w:vAlign w:val="center"/>
          </w:tcPr>
          <w:p>
            <w:pPr>
              <w:widowControl/>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2552" w:type="dxa"/>
            <w:vAlign w:val="center"/>
          </w:tcPr>
          <w:p>
            <w:pPr>
              <w:widowControl/>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sz w:val="24"/>
                <w:szCs w:val="24"/>
                <w:highlight w:val="none"/>
                <w:lang w:val="en-US" w:eastAsia="zh-CN"/>
              </w:rPr>
              <w:t>2026年上半年</w:t>
            </w:r>
          </w:p>
        </w:tc>
        <w:tc>
          <w:tcPr>
            <w:tcW w:w="2254" w:type="dxa"/>
            <w:vAlign w:val="center"/>
          </w:tcPr>
          <w:p>
            <w:pPr>
              <w:widowControl/>
              <w:jc w:val="center"/>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rPr>
              <w:t>2025年度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利息收入合计</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34,210.43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71,863.58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农户贷款利息收入</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4,768.15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11,890.59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农村经济组织贷款利息收入</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65.68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165.00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农村企业贷款利息收入</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3,775.69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8,222.24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非农贷款利息收入</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22,254.47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45,351.38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信用卡透支利息收入</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83.00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211.43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贴现利息收入</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145.66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205.15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垫款利息收入</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存放中央银行款项利息收入</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957.87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1,782.17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存放同业款项利息收入</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372.47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709.14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存放系统内款项利息收入</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32.95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74.36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拆放同业款利息收入</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1,306.57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2,640.67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拆放系统内款项利息收入</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151.53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317.74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买入返售金融资产利息收入</w:t>
            </w:r>
          </w:p>
        </w:tc>
        <w:tc>
          <w:tcPr>
            <w:tcW w:w="2552" w:type="dxa"/>
            <w:vAlign w:val="center"/>
          </w:tcPr>
          <w:p>
            <w:pPr>
              <w:jc w:val="right"/>
              <w:rPr>
                <w:rFonts w:hint="default" w:ascii="Times New Roman" w:hAnsi="Times New Roman" w:eastAsia="等线" w:cs="Times New Roman"/>
                <w:color w:val="auto"/>
                <w:kern w:val="0"/>
                <w:sz w:val="22"/>
                <w:szCs w:val="22"/>
                <w:highlight w:val="none"/>
              </w:rPr>
            </w:pP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33.40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转（再）贴现利息收入</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296.33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260.31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其他金融机构往来利息收入</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0.06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利息支出合计</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18,707.12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40,917.46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单位活期存款利息支出</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183.17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466.30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单位定期存款利息支出</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834.93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1,635.15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个人活期存款利息支出</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3.34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14.02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个人定期存款利息支出</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15,539.31 </w:t>
            </w:r>
          </w:p>
        </w:tc>
        <w:tc>
          <w:tcPr>
            <w:tcW w:w="2254" w:type="dxa"/>
            <w:vAlign w:val="center"/>
          </w:tcPr>
          <w:p>
            <w:pPr>
              <w:keepNext w:val="0"/>
              <w:keepLines w:val="0"/>
              <w:widowControl/>
              <w:suppressLineNumbers w:val="0"/>
              <w:jc w:val="right"/>
              <w:textAlignment w:val="center"/>
              <w:rPr>
                <w:rFonts w:hint="default" w:ascii="Times New Roman" w:hAnsi="Times New Roman"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33,951.84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财政性存款利息支出</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30.64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18.88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保证金存款利息支出</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99.92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347.46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其他利息支出</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15.94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54.92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向中央银行借款利息支出</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1,241.71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1,640.14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系统内拆入款项利息支出</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25.51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168.22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同业存放款利息支出</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0.07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0.16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同业拆入款项利息支出</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5.66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47.71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卖出回购金融资产利息支出</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726.92 </w:t>
            </w:r>
          </w:p>
        </w:tc>
        <w:tc>
          <w:tcPr>
            <w:tcW w:w="225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2,572.66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利息净收入</w:t>
            </w:r>
          </w:p>
        </w:tc>
        <w:tc>
          <w:tcPr>
            <w:tcW w:w="2552" w:type="dxa"/>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15,503.31 </w:t>
            </w:r>
          </w:p>
        </w:tc>
        <w:tc>
          <w:tcPr>
            <w:tcW w:w="2254" w:type="dxa"/>
            <w:vAlign w:val="center"/>
          </w:tcPr>
          <w:p>
            <w:pPr>
              <w:keepNext w:val="0"/>
              <w:keepLines w:val="0"/>
              <w:widowControl/>
              <w:suppressLineNumbers w:val="0"/>
              <w:jc w:val="right"/>
              <w:textAlignment w:val="center"/>
              <w:rPr>
                <w:rFonts w:hint="default" w:ascii="Times New Roman" w:hAnsi="Times New Roman" w:eastAsia="宋体" w:cs="Times New Roman"/>
                <w:i w:val="0"/>
                <w:color w:val="auto"/>
                <w:kern w:val="0"/>
                <w:sz w:val="22"/>
                <w:szCs w:val="22"/>
                <w:highlight w:val="none"/>
                <w:u w:val="none"/>
                <w:lang w:val="en-US" w:eastAsia="zh-CN"/>
              </w:rPr>
            </w:pPr>
            <w:r>
              <w:rPr>
                <w:rFonts w:hint="default" w:ascii="Times New Roman" w:hAnsi="Times New Roman" w:eastAsia="宋体" w:cs="Times New Roman"/>
                <w:i w:val="0"/>
                <w:color w:val="auto"/>
                <w:kern w:val="0"/>
                <w:sz w:val="22"/>
                <w:szCs w:val="22"/>
                <w:highlight w:val="none"/>
                <w:u w:val="none"/>
                <w:lang w:val="en-US" w:eastAsia="zh-CN"/>
              </w:rPr>
              <w:t xml:space="preserve">30,946.12 </w:t>
            </w:r>
          </w:p>
        </w:tc>
      </w:tr>
    </w:tbl>
    <w:p>
      <w:pPr>
        <w:widowControl/>
        <w:ind w:firstLine="560" w:firstLineChars="200"/>
        <w:rPr>
          <w:rFonts w:hint="default" w:ascii="Times New Roman" w:hAnsi="Times New Roman" w:eastAsia="仿宋_GB2312" w:cs="Times New Roman"/>
          <w:color w:val="auto"/>
          <w:kern w:val="0"/>
          <w:sz w:val="28"/>
          <w:szCs w:val="28"/>
          <w:highlight w:val="none"/>
        </w:rPr>
      </w:pPr>
      <w:r>
        <w:rPr>
          <w:rFonts w:hint="default" w:ascii="Times New Roman" w:hAnsi="Times New Roman" w:eastAsia="仿宋_GB2312" w:cs="Times New Roman"/>
          <w:color w:val="auto"/>
          <w:kern w:val="0"/>
          <w:sz w:val="28"/>
          <w:szCs w:val="28"/>
          <w:highlight w:val="none"/>
        </w:rPr>
        <w:t>37.手续费及佣金净收入</w:t>
      </w:r>
    </w:p>
    <w:tbl>
      <w:tblPr>
        <w:tblStyle w:val="25"/>
        <w:tblW w:w="908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53"/>
        <w:gridCol w:w="2552"/>
        <w:gridCol w:w="22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4253" w:type="dxa"/>
            <w:vAlign w:val="center"/>
          </w:tcPr>
          <w:p>
            <w:pPr>
              <w:widowControl/>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2552" w:type="dxa"/>
            <w:vAlign w:val="center"/>
          </w:tcPr>
          <w:p>
            <w:pPr>
              <w:widowControl/>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sz w:val="24"/>
                <w:szCs w:val="24"/>
                <w:highlight w:val="none"/>
                <w:lang w:val="en-US" w:eastAsia="zh-CN"/>
              </w:rPr>
              <w:t>2026年上半年</w:t>
            </w:r>
          </w:p>
        </w:tc>
        <w:tc>
          <w:tcPr>
            <w:tcW w:w="2284" w:type="dxa"/>
            <w:vAlign w:val="center"/>
          </w:tcPr>
          <w:p>
            <w:pPr>
              <w:widowControl/>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lang w:val="en-US" w:eastAsia="zh-CN"/>
              </w:rPr>
              <w:t>2025年度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spacing w:line="360" w:lineRule="auto"/>
              <w:ind w:right="-37"/>
              <w:jc w:val="center"/>
              <w:outlineLvl w:val="0"/>
              <w:rPr>
                <w:rFonts w:hint="default" w:ascii="Times New Roman" w:hAnsi="Times New Roman" w:eastAsia="仿宋" w:cs="Times New Roman"/>
                <w:color w:val="auto"/>
                <w:kern w:val="0"/>
                <w:szCs w:val="21"/>
                <w:highlight w:val="none"/>
              </w:rPr>
            </w:pPr>
            <w:r>
              <w:rPr>
                <w:rFonts w:hint="default" w:ascii="Times New Roman" w:hAnsi="Times New Roman" w:eastAsia="仿宋_GB2312" w:cs="Times New Roman"/>
                <w:color w:val="auto"/>
                <w:kern w:val="0"/>
                <w:sz w:val="24"/>
                <w:szCs w:val="24"/>
                <w:highlight w:val="none"/>
              </w:rPr>
              <w:t>手续费及佣金收入合计</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686.46</w:t>
            </w:r>
          </w:p>
        </w:tc>
        <w:tc>
          <w:tcPr>
            <w:tcW w:w="228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482.7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spacing w:line="360" w:lineRule="auto"/>
              <w:ind w:right="-37"/>
              <w:jc w:val="left"/>
              <w:outlineLvl w:val="0"/>
              <w:rPr>
                <w:rFonts w:hint="default" w:ascii="Times New Roman" w:hAnsi="Times New Roman" w:eastAsia="仿宋" w:cs="Times New Roman"/>
                <w:color w:val="auto"/>
                <w:kern w:val="0"/>
                <w:szCs w:val="21"/>
                <w:highlight w:val="none"/>
              </w:rPr>
            </w:pPr>
            <w:r>
              <w:rPr>
                <w:rFonts w:hint="default" w:ascii="Times New Roman" w:hAnsi="Times New Roman" w:eastAsia="仿宋_GB2312" w:cs="Times New Roman"/>
                <w:color w:val="auto"/>
                <w:kern w:val="0"/>
                <w:sz w:val="24"/>
                <w:szCs w:val="24"/>
                <w:highlight w:val="none"/>
              </w:rPr>
              <w:t>银行卡业务手续费收入</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24.56</w:t>
            </w:r>
          </w:p>
        </w:tc>
        <w:tc>
          <w:tcPr>
            <w:tcW w:w="228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60.52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spacing w:line="360" w:lineRule="auto"/>
              <w:ind w:right="-37"/>
              <w:jc w:val="left"/>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结算业务手续费收入</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19.1</w:t>
            </w:r>
          </w:p>
        </w:tc>
        <w:tc>
          <w:tcPr>
            <w:tcW w:w="228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88.05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spacing w:line="360" w:lineRule="auto"/>
              <w:ind w:right="-37"/>
              <w:jc w:val="left"/>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代理业务手续费收入</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186.78</w:t>
            </w:r>
          </w:p>
        </w:tc>
        <w:tc>
          <w:tcPr>
            <w:tcW w:w="228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197.51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spacing w:line="360" w:lineRule="auto"/>
              <w:ind w:right="-37"/>
              <w:jc w:val="left"/>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担保手续费收入</w:t>
            </w:r>
          </w:p>
        </w:tc>
        <w:tc>
          <w:tcPr>
            <w:tcW w:w="2552" w:type="dxa"/>
            <w:vAlign w:val="center"/>
          </w:tcPr>
          <w:p>
            <w:pPr>
              <w:jc w:val="right"/>
              <w:rPr>
                <w:rFonts w:hint="default" w:ascii="Times New Roman" w:hAnsi="Times New Roman" w:eastAsia="等线" w:cs="Times New Roman"/>
                <w:color w:val="auto"/>
                <w:kern w:val="0"/>
                <w:sz w:val="22"/>
                <w:szCs w:val="22"/>
                <w:highlight w:val="none"/>
              </w:rPr>
            </w:pPr>
          </w:p>
        </w:tc>
        <w:tc>
          <w:tcPr>
            <w:tcW w:w="2284" w:type="dxa"/>
            <w:vAlign w:val="center"/>
          </w:tcPr>
          <w:p>
            <w:pPr>
              <w:jc w:val="right"/>
              <w:rPr>
                <w:rFonts w:hint="default" w:ascii="Times New Roman" w:hAnsi="Times New Roman" w:eastAsia="等线" w:cs="Times New Roman"/>
                <w:color w:val="auto"/>
                <w:kern w:val="0"/>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spacing w:line="360" w:lineRule="auto"/>
              <w:ind w:right="-37"/>
              <w:jc w:val="left"/>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投资银行及咨询顾问中间业务</w:t>
            </w:r>
          </w:p>
        </w:tc>
        <w:tc>
          <w:tcPr>
            <w:tcW w:w="2552" w:type="dxa"/>
            <w:vAlign w:val="center"/>
          </w:tcPr>
          <w:p>
            <w:pPr>
              <w:jc w:val="right"/>
              <w:rPr>
                <w:rFonts w:hint="default" w:ascii="Times New Roman" w:hAnsi="Times New Roman" w:eastAsia="等线" w:cs="Times New Roman"/>
                <w:color w:val="auto"/>
                <w:kern w:val="0"/>
                <w:sz w:val="22"/>
                <w:szCs w:val="22"/>
                <w:highlight w:val="none"/>
              </w:rPr>
            </w:pPr>
          </w:p>
        </w:tc>
        <w:tc>
          <w:tcPr>
            <w:tcW w:w="228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4.57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spacing w:line="360" w:lineRule="auto"/>
              <w:ind w:right="-37"/>
              <w:jc w:val="left"/>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其他</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456.02</w:t>
            </w:r>
          </w:p>
        </w:tc>
        <w:tc>
          <w:tcPr>
            <w:tcW w:w="228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132.05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spacing w:line="360" w:lineRule="auto"/>
              <w:ind w:right="-37"/>
              <w:jc w:val="center"/>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手续费及佣金支出合计</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427.39</w:t>
            </w:r>
          </w:p>
        </w:tc>
        <w:tc>
          <w:tcPr>
            <w:tcW w:w="228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996.03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spacing w:line="360" w:lineRule="auto"/>
              <w:ind w:right="-37"/>
              <w:jc w:val="left"/>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银行卡业务手续费支出</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12.57</w:t>
            </w:r>
          </w:p>
        </w:tc>
        <w:tc>
          <w:tcPr>
            <w:tcW w:w="228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43.16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spacing w:line="360" w:lineRule="auto"/>
              <w:ind w:right="-37"/>
              <w:jc w:val="left"/>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结算业务手续费支出</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47.6</w:t>
            </w:r>
          </w:p>
        </w:tc>
        <w:tc>
          <w:tcPr>
            <w:tcW w:w="228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116.42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spacing w:line="360" w:lineRule="auto"/>
              <w:ind w:right="-37"/>
              <w:jc w:val="left"/>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代理业务手续费支出</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80.09</w:t>
            </w:r>
          </w:p>
        </w:tc>
        <w:tc>
          <w:tcPr>
            <w:tcW w:w="228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220.38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spacing w:line="360" w:lineRule="auto"/>
              <w:ind w:right="-37"/>
              <w:jc w:val="left"/>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其他手续费支出</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23.95</w:t>
            </w:r>
          </w:p>
        </w:tc>
        <w:tc>
          <w:tcPr>
            <w:tcW w:w="228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59.85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spacing w:line="360" w:lineRule="auto"/>
              <w:ind w:right="-37"/>
              <w:jc w:val="left"/>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其他中间业务支出</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263.18</w:t>
            </w:r>
          </w:p>
        </w:tc>
        <w:tc>
          <w:tcPr>
            <w:tcW w:w="228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556.22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spacing w:line="360" w:lineRule="auto"/>
              <w:ind w:right="-37"/>
              <w:jc w:val="center"/>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手续费及佣金净收入</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259.07</w:t>
            </w:r>
          </w:p>
        </w:tc>
        <w:tc>
          <w:tcPr>
            <w:tcW w:w="228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-513.33</w:t>
            </w:r>
          </w:p>
        </w:tc>
      </w:tr>
    </w:tbl>
    <w:p>
      <w:pPr>
        <w:spacing w:line="360" w:lineRule="auto"/>
        <w:ind w:right="-40" w:firstLine="560" w:firstLineChars="200"/>
        <w:jc w:val="left"/>
        <w:outlineLvl w:val="1"/>
        <w:rPr>
          <w:rFonts w:hint="default" w:ascii="Times New Roman" w:hAnsi="Times New Roman" w:eastAsia="仿宋_GB2312" w:cs="Times New Roman"/>
          <w:color w:val="auto"/>
          <w:sz w:val="28"/>
          <w:szCs w:val="28"/>
          <w:highlight w:val="none"/>
        </w:rPr>
      </w:pPr>
      <w:bookmarkStart w:id="11" w:name="RANGE!A5:C26"/>
      <w:r>
        <w:rPr>
          <w:rFonts w:hint="default" w:ascii="Times New Roman" w:hAnsi="Times New Roman" w:eastAsia="仿宋_GB2312" w:cs="Times New Roman"/>
          <w:color w:val="auto"/>
          <w:sz w:val="28"/>
          <w:szCs w:val="28"/>
          <w:highlight w:val="none"/>
        </w:rPr>
        <w:t>38.投资收益</w:t>
      </w:r>
    </w:p>
    <w:tbl>
      <w:tblPr>
        <w:tblStyle w:val="25"/>
        <w:tblW w:w="908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53"/>
        <w:gridCol w:w="2552"/>
        <w:gridCol w:w="22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4253" w:type="dxa"/>
            <w:vAlign w:val="center"/>
          </w:tcPr>
          <w:p>
            <w:pPr>
              <w:spacing w:line="360" w:lineRule="auto"/>
              <w:ind w:right="-37"/>
              <w:jc w:val="center"/>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2552" w:type="dxa"/>
            <w:vAlign w:val="center"/>
          </w:tcPr>
          <w:p>
            <w:pPr>
              <w:widowControl/>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sz w:val="24"/>
                <w:szCs w:val="24"/>
                <w:highlight w:val="none"/>
                <w:lang w:val="en-US" w:eastAsia="zh-CN"/>
              </w:rPr>
              <w:t>2026年上半年</w:t>
            </w:r>
          </w:p>
        </w:tc>
        <w:tc>
          <w:tcPr>
            <w:tcW w:w="2284" w:type="dxa"/>
            <w:vAlign w:val="center"/>
          </w:tcPr>
          <w:p>
            <w:pPr>
              <w:widowControl/>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lang w:val="en-US" w:eastAsia="zh-CN"/>
              </w:rPr>
              <w:t>2025年度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债券利息收入</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7,544.38</w:t>
            </w:r>
          </w:p>
        </w:tc>
        <w:tc>
          <w:tcPr>
            <w:tcW w:w="228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15,216.92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投资买卖价差</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7,622.96</w:t>
            </w:r>
          </w:p>
        </w:tc>
        <w:tc>
          <w:tcPr>
            <w:tcW w:w="228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9,698.22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股利</w:t>
            </w:r>
          </w:p>
        </w:tc>
        <w:tc>
          <w:tcPr>
            <w:tcW w:w="2552" w:type="dxa"/>
            <w:vAlign w:val="center"/>
          </w:tcPr>
          <w:p>
            <w:pPr>
              <w:jc w:val="right"/>
              <w:rPr>
                <w:rFonts w:hint="default" w:ascii="Times New Roman" w:hAnsi="Times New Roman" w:eastAsia="等线" w:cs="Times New Roman"/>
                <w:color w:val="auto"/>
                <w:kern w:val="0"/>
                <w:sz w:val="22"/>
                <w:szCs w:val="22"/>
                <w:highlight w:val="none"/>
              </w:rPr>
            </w:pPr>
          </w:p>
        </w:tc>
        <w:tc>
          <w:tcPr>
            <w:tcW w:w="228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4,003.20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同业存单和非保本理财产品利息收入</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942.26</w:t>
            </w:r>
          </w:p>
        </w:tc>
        <w:tc>
          <w:tcPr>
            <w:tcW w:w="228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2,222.14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2552"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16,109.60</w:t>
            </w:r>
          </w:p>
        </w:tc>
        <w:tc>
          <w:tcPr>
            <w:tcW w:w="2284"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31,140.48</w:t>
            </w:r>
          </w:p>
        </w:tc>
      </w:tr>
    </w:tbl>
    <w:p>
      <w:pPr>
        <w:spacing w:line="360" w:lineRule="auto"/>
        <w:ind w:right="-40"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39.其他收益</w:t>
      </w:r>
    </w:p>
    <w:tbl>
      <w:tblPr>
        <w:tblStyle w:val="25"/>
        <w:tblW w:w="909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53"/>
        <w:gridCol w:w="2568"/>
        <w:gridCol w:w="22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4253" w:type="dxa"/>
            <w:vAlign w:val="center"/>
          </w:tcPr>
          <w:p>
            <w:pPr>
              <w:spacing w:line="360" w:lineRule="auto"/>
              <w:ind w:right="-37"/>
              <w:jc w:val="center"/>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2568" w:type="dxa"/>
            <w:vAlign w:val="center"/>
          </w:tcPr>
          <w:p>
            <w:pPr>
              <w:widowControl/>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sz w:val="24"/>
                <w:szCs w:val="24"/>
                <w:highlight w:val="none"/>
                <w:lang w:val="en-US" w:eastAsia="zh-CN"/>
              </w:rPr>
              <w:t>2026年上半年</w:t>
            </w:r>
          </w:p>
        </w:tc>
        <w:tc>
          <w:tcPr>
            <w:tcW w:w="2278" w:type="dxa"/>
            <w:vAlign w:val="center"/>
          </w:tcPr>
          <w:p>
            <w:pPr>
              <w:widowControl/>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lang w:val="en-US" w:eastAsia="zh-CN"/>
              </w:rPr>
              <w:t>2025年度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政府补贴</w:t>
            </w:r>
          </w:p>
        </w:tc>
        <w:tc>
          <w:tcPr>
            <w:tcW w:w="2568"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20.68</w:t>
            </w:r>
          </w:p>
        </w:tc>
        <w:tc>
          <w:tcPr>
            <w:tcW w:w="2278"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34.96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其他收益</w:t>
            </w:r>
          </w:p>
        </w:tc>
        <w:tc>
          <w:tcPr>
            <w:tcW w:w="2568"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13.64</w:t>
            </w:r>
          </w:p>
        </w:tc>
        <w:tc>
          <w:tcPr>
            <w:tcW w:w="2278"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11.04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2568"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34.32</w:t>
            </w:r>
          </w:p>
        </w:tc>
        <w:tc>
          <w:tcPr>
            <w:tcW w:w="2278"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lang w:val="en-US"/>
              </w:rPr>
            </w:pPr>
            <w:r>
              <w:rPr>
                <w:rFonts w:hint="default" w:ascii="Times New Roman" w:hAnsi="Times New Roman" w:eastAsia="宋体" w:cs="Times New Roman"/>
                <w:i w:val="0"/>
                <w:color w:val="auto"/>
                <w:kern w:val="0"/>
                <w:sz w:val="22"/>
                <w:szCs w:val="22"/>
                <w:highlight w:val="none"/>
                <w:u w:val="none"/>
                <w:lang w:val="en-US" w:eastAsia="zh-CN"/>
              </w:rPr>
              <w:t>46</w:t>
            </w:r>
            <w:r>
              <w:rPr>
                <w:rFonts w:hint="default" w:ascii="Times New Roman" w:hAnsi="Times New Roman" w:cs="Times New Roman"/>
                <w:i w:val="0"/>
                <w:color w:val="auto"/>
                <w:kern w:val="0"/>
                <w:sz w:val="22"/>
                <w:szCs w:val="22"/>
                <w:highlight w:val="none"/>
                <w:u w:val="none"/>
                <w:lang w:val="en-US" w:eastAsia="zh-CN"/>
              </w:rPr>
              <w:t>.00</w:t>
            </w:r>
          </w:p>
        </w:tc>
      </w:tr>
    </w:tbl>
    <w:p>
      <w:pPr>
        <w:spacing w:line="360" w:lineRule="auto"/>
        <w:ind w:right="-40"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40.资产处置收益</w:t>
      </w:r>
    </w:p>
    <w:tbl>
      <w:tblPr>
        <w:tblStyle w:val="25"/>
        <w:tblW w:w="909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53"/>
        <w:gridCol w:w="2580"/>
        <w:gridCol w:w="22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4253" w:type="dxa"/>
            <w:vAlign w:val="center"/>
          </w:tcPr>
          <w:p>
            <w:pPr>
              <w:spacing w:line="360" w:lineRule="auto"/>
              <w:ind w:right="-37"/>
              <w:jc w:val="center"/>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2580" w:type="dxa"/>
            <w:vAlign w:val="center"/>
          </w:tcPr>
          <w:p>
            <w:pPr>
              <w:widowControl/>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sz w:val="24"/>
                <w:szCs w:val="24"/>
                <w:highlight w:val="none"/>
                <w:lang w:val="en-US" w:eastAsia="zh-CN"/>
              </w:rPr>
              <w:t>2026年上半年</w:t>
            </w:r>
          </w:p>
        </w:tc>
        <w:tc>
          <w:tcPr>
            <w:tcW w:w="2266" w:type="dxa"/>
            <w:vAlign w:val="center"/>
          </w:tcPr>
          <w:p>
            <w:pPr>
              <w:widowControl/>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lang w:val="en-US" w:eastAsia="zh-CN"/>
              </w:rPr>
              <w:t>2025年度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widowControl/>
              <w:adjustRightInd w:val="0"/>
              <w:snapToGrid w:val="0"/>
              <w:spacing w:line="240" w:lineRule="exact"/>
              <w:ind w:right="-37"/>
              <w:rPr>
                <w:rFonts w:hint="default" w:ascii="Times New Roman" w:hAnsi="Times New Roman" w:eastAsia="仿宋_GB2312" w:cs="Times New Roman"/>
                <w:color w:val="auto"/>
                <w:kern w:val="0"/>
                <w:sz w:val="22"/>
                <w:highlight w:val="none"/>
              </w:rPr>
            </w:pPr>
            <w:r>
              <w:rPr>
                <w:rFonts w:hint="default" w:ascii="Times New Roman" w:hAnsi="Times New Roman" w:eastAsia="仿宋_GB2312" w:cs="Times New Roman"/>
                <w:color w:val="auto"/>
                <w:kern w:val="0"/>
                <w:sz w:val="24"/>
                <w:szCs w:val="24"/>
                <w:highlight w:val="none"/>
              </w:rPr>
              <w:t>资产清理收益</w:t>
            </w:r>
          </w:p>
        </w:tc>
        <w:tc>
          <w:tcPr>
            <w:tcW w:w="258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94.27</w:t>
            </w:r>
          </w:p>
        </w:tc>
        <w:tc>
          <w:tcPr>
            <w:tcW w:w="2266" w:type="dxa"/>
            <w:vAlign w:val="center"/>
          </w:tcPr>
          <w:p>
            <w:pPr>
              <w:jc w:val="right"/>
              <w:rPr>
                <w:rFonts w:hint="default" w:ascii="Times New Roman" w:hAnsi="Times New Roman" w:eastAsia="等线" w:cs="Times New Roman"/>
                <w:color w:val="auto"/>
                <w:kern w:val="0"/>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spacing w:line="360" w:lineRule="auto"/>
              <w:ind w:right="-37"/>
              <w:jc w:val="center"/>
              <w:outlineLvl w:val="0"/>
              <w:rPr>
                <w:rFonts w:hint="default" w:ascii="Times New Roman" w:hAnsi="Times New Roman" w:eastAsia="仿宋" w:cs="Times New Roman"/>
                <w:color w:val="auto"/>
                <w:kern w:val="0"/>
                <w:szCs w:val="21"/>
                <w:highlight w:val="none"/>
              </w:rPr>
            </w:pPr>
            <w:r>
              <w:rPr>
                <w:rFonts w:hint="default" w:ascii="Times New Roman" w:hAnsi="Times New Roman" w:eastAsia="仿宋_GB2312" w:cs="Times New Roman"/>
                <w:color w:val="auto"/>
                <w:kern w:val="0"/>
                <w:sz w:val="24"/>
                <w:szCs w:val="24"/>
                <w:highlight w:val="none"/>
              </w:rPr>
              <w:t>合计</w:t>
            </w:r>
          </w:p>
        </w:tc>
        <w:tc>
          <w:tcPr>
            <w:tcW w:w="258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94.27</w:t>
            </w:r>
          </w:p>
        </w:tc>
        <w:tc>
          <w:tcPr>
            <w:tcW w:w="2266" w:type="dxa"/>
            <w:vAlign w:val="center"/>
          </w:tcPr>
          <w:p>
            <w:pPr>
              <w:jc w:val="right"/>
              <w:rPr>
                <w:rFonts w:hint="default" w:ascii="Times New Roman" w:hAnsi="Times New Roman" w:eastAsia="等线" w:cs="Times New Roman"/>
                <w:color w:val="auto"/>
                <w:kern w:val="0"/>
                <w:sz w:val="22"/>
                <w:highlight w:val="none"/>
              </w:rPr>
            </w:pPr>
          </w:p>
        </w:tc>
      </w:tr>
    </w:tbl>
    <w:p>
      <w:pPr>
        <w:spacing w:line="360" w:lineRule="auto"/>
        <w:ind w:right="-40"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41.其他业务收入</w:t>
      </w:r>
    </w:p>
    <w:tbl>
      <w:tblPr>
        <w:tblStyle w:val="25"/>
        <w:tblW w:w="913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53"/>
        <w:gridCol w:w="2580"/>
        <w:gridCol w:w="23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4253" w:type="dxa"/>
            <w:vAlign w:val="center"/>
          </w:tcPr>
          <w:p>
            <w:pPr>
              <w:spacing w:line="360" w:lineRule="auto"/>
              <w:ind w:right="-37"/>
              <w:jc w:val="center"/>
              <w:outlineLvl w:val="0"/>
              <w:rPr>
                <w:rFonts w:hint="default" w:ascii="Times New Roman" w:hAnsi="Times New Roman" w:eastAsia="仿宋" w:cs="Times New Roman"/>
                <w:color w:val="auto"/>
                <w:kern w:val="0"/>
                <w:szCs w:val="21"/>
                <w:highlight w:val="none"/>
              </w:rPr>
            </w:pPr>
            <w:r>
              <w:rPr>
                <w:rFonts w:hint="default" w:ascii="Times New Roman" w:hAnsi="Times New Roman" w:eastAsia="仿宋_GB2312" w:cs="Times New Roman"/>
                <w:color w:val="auto"/>
                <w:kern w:val="0"/>
                <w:sz w:val="24"/>
                <w:szCs w:val="24"/>
                <w:highlight w:val="none"/>
              </w:rPr>
              <w:t>项目</w:t>
            </w:r>
          </w:p>
        </w:tc>
        <w:tc>
          <w:tcPr>
            <w:tcW w:w="2580" w:type="dxa"/>
            <w:vAlign w:val="center"/>
          </w:tcPr>
          <w:p>
            <w:pPr>
              <w:widowControl/>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sz w:val="24"/>
                <w:szCs w:val="24"/>
                <w:highlight w:val="none"/>
                <w:lang w:val="en-US" w:eastAsia="zh-CN"/>
              </w:rPr>
              <w:t>2026年上半年</w:t>
            </w:r>
          </w:p>
        </w:tc>
        <w:tc>
          <w:tcPr>
            <w:tcW w:w="2306" w:type="dxa"/>
            <w:vAlign w:val="center"/>
          </w:tcPr>
          <w:p>
            <w:pPr>
              <w:widowControl/>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lang w:val="en-US" w:eastAsia="zh-CN"/>
              </w:rPr>
              <w:t>2025年度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widowControl/>
              <w:ind w:right="-37"/>
              <w:jc w:val="left"/>
              <w:textAlignment w:val="center"/>
              <w:rPr>
                <w:rFonts w:hint="default" w:ascii="Times New Roman" w:hAnsi="Times New Roman" w:eastAsia="仿宋" w:cs="Times New Roman"/>
                <w:color w:val="auto"/>
                <w:szCs w:val="21"/>
                <w:highlight w:val="none"/>
              </w:rPr>
            </w:pPr>
            <w:r>
              <w:rPr>
                <w:rFonts w:hint="default" w:ascii="Times New Roman" w:hAnsi="Times New Roman" w:eastAsia="仿宋_GB2312" w:cs="Times New Roman"/>
                <w:color w:val="auto"/>
                <w:kern w:val="0"/>
                <w:sz w:val="24"/>
                <w:szCs w:val="24"/>
                <w:highlight w:val="none"/>
              </w:rPr>
              <w:t>房屋租金</w:t>
            </w:r>
          </w:p>
        </w:tc>
        <w:tc>
          <w:tcPr>
            <w:tcW w:w="258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1.12</w:t>
            </w:r>
          </w:p>
        </w:tc>
        <w:tc>
          <w:tcPr>
            <w:tcW w:w="2306"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21.12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spacing w:line="360" w:lineRule="auto"/>
              <w:ind w:right="-37"/>
              <w:jc w:val="center"/>
              <w:outlineLvl w:val="0"/>
              <w:rPr>
                <w:rFonts w:hint="default" w:ascii="Times New Roman" w:hAnsi="Times New Roman" w:eastAsia="仿宋" w:cs="Times New Roman"/>
                <w:color w:val="auto"/>
                <w:kern w:val="0"/>
                <w:szCs w:val="21"/>
                <w:highlight w:val="none"/>
              </w:rPr>
            </w:pPr>
            <w:r>
              <w:rPr>
                <w:rFonts w:hint="default" w:ascii="Times New Roman" w:hAnsi="Times New Roman" w:eastAsia="仿宋_GB2312" w:cs="Times New Roman"/>
                <w:color w:val="auto"/>
                <w:kern w:val="0"/>
                <w:sz w:val="24"/>
                <w:szCs w:val="24"/>
                <w:highlight w:val="none"/>
              </w:rPr>
              <w:t>合计</w:t>
            </w:r>
          </w:p>
        </w:tc>
        <w:tc>
          <w:tcPr>
            <w:tcW w:w="258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1.12</w:t>
            </w:r>
          </w:p>
        </w:tc>
        <w:tc>
          <w:tcPr>
            <w:tcW w:w="2306"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21.12</w:t>
            </w:r>
          </w:p>
        </w:tc>
      </w:tr>
    </w:tbl>
    <w:p>
      <w:pPr>
        <w:spacing w:line="360" w:lineRule="auto"/>
        <w:ind w:right="-40"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42.税金及附加</w:t>
      </w:r>
    </w:p>
    <w:tbl>
      <w:tblPr>
        <w:tblStyle w:val="25"/>
        <w:tblW w:w="913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53"/>
        <w:gridCol w:w="2580"/>
        <w:gridCol w:w="23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4253" w:type="dxa"/>
            <w:vAlign w:val="center"/>
          </w:tcPr>
          <w:p>
            <w:pPr>
              <w:spacing w:line="360" w:lineRule="auto"/>
              <w:ind w:right="-37"/>
              <w:jc w:val="center"/>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项目</w:t>
            </w:r>
          </w:p>
        </w:tc>
        <w:tc>
          <w:tcPr>
            <w:tcW w:w="2580" w:type="dxa"/>
            <w:vAlign w:val="center"/>
          </w:tcPr>
          <w:p>
            <w:pPr>
              <w:widowControl/>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sz w:val="24"/>
                <w:szCs w:val="24"/>
                <w:highlight w:val="none"/>
                <w:lang w:val="en-US" w:eastAsia="zh-CN"/>
              </w:rPr>
              <w:t>2026年上半年</w:t>
            </w:r>
          </w:p>
        </w:tc>
        <w:tc>
          <w:tcPr>
            <w:tcW w:w="2306" w:type="dxa"/>
            <w:vAlign w:val="center"/>
          </w:tcPr>
          <w:p>
            <w:pPr>
              <w:widowControl/>
              <w:jc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lang w:val="en-US" w:eastAsia="zh-CN"/>
              </w:rPr>
              <w:t>2025年度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spacing w:line="360" w:lineRule="auto"/>
              <w:ind w:right="-37"/>
              <w:jc w:val="left"/>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房产税</w:t>
            </w:r>
          </w:p>
        </w:tc>
        <w:tc>
          <w:tcPr>
            <w:tcW w:w="258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61.98 </w:t>
            </w:r>
          </w:p>
        </w:tc>
        <w:tc>
          <w:tcPr>
            <w:tcW w:w="2306"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152.93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spacing w:line="360" w:lineRule="auto"/>
              <w:ind w:right="-37"/>
              <w:jc w:val="left"/>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土地使用税</w:t>
            </w:r>
          </w:p>
        </w:tc>
        <w:tc>
          <w:tcPr>
            <w:tcW w:w="258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5.22 </w:t>
            </w:r>
          </w:p>
        </w:tc>
        <w:tc>
          <w:tcPr>
            <w:tcW w:w="2306"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16.15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spacing w:line="360" w:lineRule="auto"/>
              <w:ind w:right="-37"/>
              <w:jc w:val="left"/>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印花税</w:t>
            </w:r>
          </w:p>
        </w:tc>
        <w:tc>
          <w:tcPr>
            <w:tcW w:w="258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lang w:val="en-US"/>
              </w:rPr>
            </w:pPr>
            <w:r>
              <w:rPr>
                <w:rFonts w:hint="default" w:ascii="Times New Roman" w:hAnsi="Times New Roman" w:eastAsia="宋体" w:cs="Times New Roman"/>
                <w:i w:val="0"/>
                <w:color w:val="auto"/>
                <w:kern w:val="0"/>
                <w:sz w:val="22"/>
                <w:szCs w:val="22"/>
                <w:highlight w:val="none"/>
                <w:u w:val="none"/>
                <w:lang w:val="en-US" w:eastAsia="zh-CN"/>
              </w:rPr>
              <w:t xml:space="preserve">9.60 </w:t>
            </w:r>
          </w:p>
        </w:tc>
        <w:tc>
          <w:tcPr>
            <w:tcW w:w="2306"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30.00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spacing w:line="360" w:lineRule="auto"/>
              <w:ind w:right="-37"/>
              <w:jc w:val="left"/>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城市维护建设税</w:t>
            </w:r>
          </w:p>
        </w:tc>
        <w:tc>
          <w:tcPr>
            <w:tcW w:w="258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128.38 </w:t>
            </w:r>
          </w:p>
        </w:tc>
        <w:tc>
          <w:tcPr>
            <w:tcW w:w="2306"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170.86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spacing w:line="360" w:lineRule="auto"/>
              <w:ind w:right="-37"/>
              <w:jc w:val="left"/>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教育费附加</w:t>
            </w:r>
          </w:p>
        </w:tc>
        <w:tc>
          <w:tcPr>
            <w:tcW w:w="258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55.02 </w:t>
            </w:r>
          </w:p>
        </w:tc>
        <w:tc>
          <w:tcPr>
            <w:tcW w:w="2306"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73.23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spacing w:line="360" w:lineRule="auto"/>
              <w:ind w:right="-37"/>
              <w:jc w:val="left"/>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地方教育附加</w:t>
            </w:r>
          </w:p>
        </w:tc>
        <w:tc>
          <w:tcPr>
            <w:tcW w:w="258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36.68 </w:t>
            </w:r>
          </w:p>
        </w:tc>
        <w:tc>
          <w:tcPr>
            <w:tcW w:w="2306"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48.82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spacing w:line="360" w:lineRule="auto"/>
              <w:ind w:right="-37"/>
              <w:jc w:val="center"/>
              <w:outlineLvl w:val="0"/>
              <w:rPr>
                <w:rFonts w:hint="default" w:ascii="Times New Roman" w:hAnsi="Times New Roman" w:eastAsia="仿宋" w:cs="Times New Roman"/>
                <w:color w:val="auto"/>
                <w:kern w:val="0"/>
                <w:szCs w:val="21"/>
                <w:highlight w:val="none"/>
              </w:rPr>
            </w:pPr>
            <w:r>
              <w:rPr>
                <w:rFonts w:hint="default" w:ascii="Times New Roman" w:hAnsi="Times New Roman" w:eastAsia="仿宋_GB2312" w:cs="Times New Roman"/>
                <w:color w:val="auto"/>
                <w:kern w:val="0"/>
                <w:sz w:val="24"/>
                <w:szCs w:val="24"/>
                <w:highlight w:val="none"/>
              </w:rPr>
              <w:t>合计</w:t>
            </w:r>
          </w:p>
        </w:tc>
        <w:tc>
          <w:tcPr>
            <w:tcW w:w="258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296.88 </w:t>
            </w:r>
          </w:p>
        </w:tc>
        <w:tc>
          <w:tcPr>
            <w:tcW w:w="2306"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491.99 </w:t>
            </w:r>
          </w:p>
        </w:tc>
      </w:tr>
    </w:tbl>
    <w:p>
      <w:pPr>
        <w:spacing w:line="360" w:lineRule="auto"/>
        <w:ind w:right="-40"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43.业务及管理费用</w:t>
      </w:r>
    </w:p>
    <w:tbl>
      <w:tblPr>
        <w:tblStyle w:val="25"/>
        <w:tblW w:w="921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53"/>
        <w:gridCol w:w="2580"/>
        <w:gridCol w:w="23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4253" w:type="dxa"/>
            <w:vAlign w:val="center"/>
          </w:tcPr>
          <w:p>
            <w:pPr>
              <w:spacing w:line="360" w:lineRule="auto"/>
              <w:ind w:right="-40" w:firstLine="480" w:firstLineChars="200"/>
              <w:jc w:val="center"/>
              <w:outlineLvl w:val="1"/>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项目</w:t>
            </w:r>
          </w:p>
        </w:tc>
        <w:tc>
          <w:tcPr>
            <w:tcW w:w="2580" w:type="dxa"/>
            <w:vAlign w:val="center"/>
          </w:tcPr>
          <w:p>
            <w:pPr>
              <w:widowControl/>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val="en-US" w:eastAsia="zh-CN"/>
              </w:rPr>
              <w:t>2026年上半年</w:t>
            </w:r>
          </w:p>
        </w:tc>
        <w:tc>
          <w:tcPr>
            <w:tcW w:w="2381" w:type="dxa"/>
            <w:vAlign w:val="center"/>
          </w:tcPr>
          <w:p>
            <w:pPr>
              <w:widowControl/>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lang w:val="en-US" w:eastAsia="zh-CN"/>
              </w:rPr>
              <w:t>2025年度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员工费用</w:t>
            </w:r>
          </w:p>
        </w:tc>
        <w:tc>
          <w:tcPr>
            <w:tcW w:w="258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6,522.87</w:t>
            </w:r>
          </w:p>
        </w:tc>
        <w:tc>
          <w:tcPr>
            <w:tcW w:w="2381"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14,923.56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办公费</w:t>
            </w:r>
          </w:p>
        </w:tc>
        <w:tc>
          <w:tcPr>
            <w:tcW w:w="258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2,179.72</w:t>
            </w:r>
          </w:p>
        </w:tc>
        <w:tc>
          <w:tcPr>
            <w:tcW w:w="2381"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5,052.83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固定资产折旧</w:t>
            </w:r>
          </w:p>
        </w:tc>
        <w:tc>
          <w:tcPr>
            <w:tcW w:w="258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507.87</w:t>
            </w:r>
          </w:p>
        </w:tc>
        <w:tc>
          <w:tcPr>
            <w:tcW w:w="2381"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987.23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低值易耗品摊销</w:t>
            </w:r>
          </w:p>
        </w:tc>
        <w:tc>
          <w:tcPr>
            <w:tcW w:w="258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21.59</w:t>
            </w:r>
          </w:p>
        </w:tc>
        <w:tc>
          <w:tcPr>
            <w:tcW w:w="2381"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31.27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无形资产摊销</w:t>
            </w:r>
          </w:p>
        </w:tc>
        <w:tc>
          <w:tcPr>
            <w:tcW w:w="258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66.69</w:t>
            </w:r>
          </w:p>
        </w:tc>
        <w:tc>
          <w:tcPr>
            <w:tcW w:w="2381"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131.9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长期待摊费用摊销</w:t>
            </w:r>
          </w:p>
        </w:tc>
        <w:tc>
          <w:tcPr>
            <w:tcW w:w="258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295.69</w:t>
            </w:r>
          </w:p>
        </w:tc>
        <w:tc>
          <w:tcPr>
            <w:tcW w:w="2381"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538.27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省联社管理费</w:t>
            </w:r>
          </w:p>
        </w:tc>
        <w:tc>
          <w:tcPr>
            <w:tcW w:w="258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75.91</w:t>
            </w:r>
          </w:p>
        </w:tc>
        <w:tc>
          <w:tcPr>
            <w:tcW w:w="2381"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1,656.49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其他</w:t>
            </w:r>
          </w:p>
        </w:tc>
        <w:tc>
          <w:tcPr>
            <w:tcW w:w="258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88.58</w:t>
            </w:r>
          </w:p>
        </w:tc>
        <w:tc>
          <w:tcPr>
            <w:tcW w:w="2381"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75.09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2580"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9,758.92</w:t>
            </w:r>
          </w:p>
        </w:tc>
        <w:tc>
          <w:tcPr>
            <w:tcW w:w="2381" w:type="dxa"/>
            <w:vAlign w:val="center"/>
          </w:tcPr>
          <w:p>
            <w:pPr>
              <w:keepNext w:val="0"/>
              <w:keepLines w:val="0"/>
              <w:widowControl/>
              <w:suppressLineNumbers w:val="0"/>
              <w:jc w:val="right"/>
              <w:textAlignment w:val="center"/>
              <w:rPr>
                <w:rFonts w:hint="default" w:ascii="Times New Roman" w:hAnsi="Times New Roman" w:eastAsia="等线"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23,396.64</w:t>
            </w:r>
          </w:p>
        </w:tc>
      </w:tr>
    </w:tbl>
    <w:p>
      <w:pPr>
        <w:spacing w:line="360" w:lineRule="auto"/>
        <w:ind w:right="-40"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4</w:t>
      </w:r>
      <w:bookmarkEnd w:id="11"/>
      <w:r>
        <w:rPr>
          <w:rFonts w:hint="default" w:ascii="Times New Roman" w:hAnsi="Times New Roman" w:eastAsia="仿宋_GB2312" w:cs="Times New Roman"/>
          <w:color w:val="auto"/>
          <w:sz w:val="28"/>
          <w:szCs w:val="28"/>
          <w:highlight w:val="none"/>
          <w:lang w:val="en-US" w:eastAsia="zh-CN"/>
        </w:rPr>
        <w:t>4.</w:t>
      </w:r>
      <w:r>
        <w:rPr>
          <w:rFonts w:hint="default" w:ascii="Times New Roman" w:hAnsi="Times New Roman" w:eastAsia="仿宋_GB2312" w:cs="Times New Roman"/>
          <w:color w:val="auto"/>
          <w:sz w:val="28"/>
          <w:szCs w:val="28"/>
          <w:highlight w:val="none"/>
        </w:rPr>
        <w:t>信用减值损失</w:t>
      </w:r>
    </w:p>
    <w:tbl>
      <w:tblPr>
        <w:tblStyle w:val="25"/>
        <w:tblW w:w="921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53"/>
        <w:gridCol w:w="2568"/>
        <w:gridCol w:w="23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4253" w:type="dxa"/>
            <w:vAlign w:val="center"/>
          </w:tcPr>
          <w:p>
            <w:pPr>
              <w:ind w:right="-37"/>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项目</w:t>
            </w:r>
          </w:p>
        </w:tc>
        <w:tc>
          <w:tcPr>
            <w:tcW w:w="2568" w:type="dxa"/>
            <w:vAlign w:val="center"/>
          </w:tcPr>
          <w:p>
            <w:pPr>
              <w:widowControl/>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val="en-US" w:eastAsia="zh-CN"/>
              </w:rPr>
              <w:t>2026年上半年</w:t>
            </w:r>
          </w:p>
        </w:tc>
        <w:tc>
          <w:tcPr>
            <w:tcW w:w="2393" w:type="dxa"/>
            <w:vAlign w:val="center"/>
          </w:tcPr>
          <w:p>
            <w:pPr>
              <w:widowControl/>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lang w:val="en-US" w:eastAsia="zh-CN"/>
              </w:rPr>
              <w:t>2025年度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存放同业坏账损失</w:t>
            </w:r>
          </w:p>
        </w:tc>
        <w:tc>
          <w:tcPr>
            <w:tcW w:w="2568"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97.00 </w:t>
            </w:r>
          </w:p>
        </w:tc>
        <w:tc>
          <w:tcPr>
            <w:tcW w:w="2393"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-557.91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拆出资金坏账损失</w:t>
            </w:r>
          </w:p>
        </w:tc>
        <w:tc>
          <w:tcPr>
            <w:tcW w:w="2568"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582.24 </w:t>
            </w:r>
          </w:p>
        </w:tc>
        <w:tc>
          <w:tcPr>
            <w:tcW w:w="2393"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30.02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其他应收款坏账损失</w:t>
            </w:r>
          </w:p>
        </w:tc>
        <w:tc>
          <w:tcPr>
            <w:tcW w:w="2568" w:type="dxa"/>
            <w:vAlign w:val="bottom"/>
          </w:tcPr>
          <w:p>
            <w:pPr>
              <w:jc w:val="right"/>
              <w:rPr>
                <w:rFonts w:hint="default" w:ascii="Times New Roman" w:hAnsi="Times New Roman" w:eastAsia="仿宋" w:cs="Times New Roman"/>
                <w:color w:val="auto"/>
                <w:kern w:val="0"/>
                <w:sz w:val="22"/>
                <w:szCs w:val="22"/>
                <w:highlight w:val="none"/>
              </w:rPr>
            </w:pPr>
          </w:p>
        </w:tc>
        <w:tc>
          <w:tcPr>
            <w:tcW w:w="2393"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612.00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贷款减值损失</w:t>
            </w:r>
          </w:p>
        </w:tc>
        <w:tc>
          <w:tcPr>
            <w:tcW w:w="2568"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15,883.96 </w:t>
            </w:r>
          </w:p>
        </w:tc>
        <w:tc>
          <w:tcPr>
            <w:tcW w:w="2393"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20,204.53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贴现资产损失</w:t>
            </w:r>
          </w:p>
        </w:tc>
        <w:tc>
          <w:tcPr>
            <w:tcW w:w="2568" w:type="dxa"/>
            <w:vAlign w:val="bottom"/>
          </w:tcPr>
          <w:p>
            <w:pPr>
              <w:jc w:val="right"/>
              <w:rPr>
                <w:rFonts w:hint="default" w:ascii="Times New Roman" w:hAnsi="Times New Roman" w:eastAsia="仿宋" w:cs="Times New Roman"/>
                <w:color w:val="auto"/>
                <w:kern w:val="0"/>
                <w:sz w:val="22"/>
                <w:szCs w:val="22"/>
                <w:highlight w:val="none"/>
              </w:rPr>
            </w:pPr>
          </w:p>
        </w:tc>
        <w:tc>
          <w:tcPr>
            <w:tcW w:w="2393"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-54.21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其他债权投资减值损失</w:t>
            </w:r>
          </w:p>
        </w:tc>
        <w:tc>
          <w:tcPr>
            <w:tcW w:w="2568"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290.31 </w:t>
            </w:r>
          </w:p>
        </w:tc>
        <w:tc>
          <w:tcPr>
            <w:tcW w:w="2393"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-197.34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债权投资减值损失</w:t>
            </w:r>
          </w:p>
        </w:tc>
        <w:tc>
          <w:tcPr>
            <w:tcW w:w="2568"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218.86 </w:t>
            </w:r>
          </w:p>
        </w:tc>
        <w:tc>
          <w:tcPr>
            <w:tcW w:w="2393"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-556.71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买入返售金融资产减值损失</w:t>
            </w:r>
          </w:p>
        </w:tc>
        <w:tc>
          <w:tcPr>
            <w:tcW w:w="2568" w:type="dxa"/>
            <w:vAlign w:val="bottom"/>
          </w:tcPr>
          <w:p>
            <w:pPr>
              <w:jc w:val="right"/>
              <w:rPr>
                <w:rFonts w:hint="default" w:ascii="Times New Roman" w:hAnsi="Times New Roman" w:eastAsia="仿宋" w:cs="Times New Roman"/>
                <w:color w:val="auto"/>
                <w:kern w:val="0"/>
                <w:sz w:val="22"/>
                <w:szCs w:val="22"/>
                <w:highlight w:val="none"/>
              </w:rPr>
            </w:pPr>
          </w:p>
        </w:tc>
        <w:tc>
          <w:tcPr>
            <w:tcW w:w="2393" w:type="dxa"/>
            <w:vAlign w:val="bottom"/>
          </w:tcPr>
          <w:p>
            <w:pPr>
              <w:jc w:val="right"/>
              <w:rPr>
                <w:rFonts w:hint="default" w:ascii="Times New Roman" w:hAnsi="Times New Roman" w:eastAsia="仿宋" w:cs="Times New Roman"/>
                <w:color w:val="auto"/>
                <w:kern w:val="0"/>
                <w:sz w:val="22"/>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表外风险资产信用损失</w:t>
            </w:r>
          </w:p>
        </w:tc>
        <w:tc>
          <w:tcPr>
            <w:tcW w:w="2568"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530.07 </w:t>
            </w:r>
          </w:p>
        </w:tc>
        <w:tc>
          <w:tcPr>
            <w:tcW w:w="2393"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183.41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2568"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17,602.44 </w:t>
            </w:r>
          </w:p>
        </w:tc>
        <w:tc>
          <w:tcPr>
            <w:tcW w:w="2393"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19,663.78 </w:t>
            </w:r>
          </w:p>
        </w:tc>
      </w:tr>
    </w:tbl>
    <w:p>
      <w:pPr>
        <w:spacing w:line="360" w:lineRule="auto"/>
        <w:ind w:right="-40"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4</w:t>
      </w:r>
      <w:r>
        <w:rPr>
          <w:rFonts w:hint="default" w:ascii="Times New Roman" w:hAnsi="Times New Roman" w:eastAsia="仿宋_GB2312" w:cs="Times New Roman"/>
          <w:color w:val="auto"/>
          <w:sz w:val="28"/>
          <w:szCs w:val="28"/>
          <w:highlight w:val="none"/>
          <w:lang w:val="en-US" w:eastAsia="zh-CN"/>
        </w:rPr>
        <w:t>5</w:t>
      </w:r>
      <w:r>
        <w:rPr>
          <w:rFonts w:hint="default" w:ascii="Times New Roman" w:hAnsi="Times New Roman" w:eastAsia="仿宋_GB2312" w:cs="Times New Roman"/>
          <w:color w:val="auto"/>
          <w:sz w:val="28"/>
          <w:szCs w:val="28"/>
          <w:highlight w:val="none"/>
        </w:rPr>
        <w:t>.营业外收入</w:t>
      </w:r>
    </w:p>
    <w:tbl>
      <w:tblPr>
        <w:tblStyle w:val="25"/>
        <w:tblW w:w="9198"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44"/>
        <w:gridCol w:w="2568"/>
        <w:gridCol w:w="23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4244" w:type="dxa"/>
            <w:vAlign w:val="center"/>
          </w:tcPr>
          <w:p>
            <w:pPr>
              <w:spacing w:line="360" w:lineRule="auto"/>
              <w:ind w:right="-37"/>
              <w:jc w:val="center"/>
              <w:outlineLvl w:val="0"/>
              <w:rPr>
                <w:rFonts w:hint="default" w:ascii="Times New Roman" w:hAnsi="Times New Roman" w:eastAsia="仿宋" w:cs="Times New Roman"/>
                <w:b/>
                <w:bCs/>
                <w:color w:val="auto"/>
                <w:kern w:val="0"/>
                <w:szCs w:val="21"/>
                <w:highlight w:val="none"/>
              </w:rPr>
            </w:pPr>
            <w:r>
              <w:rPr>
                <w:rFonts w:hint="default" w:ascii="Times New Roman" w:hAnsi="Times New Roman" w:eastAsia="仿宋_GB2312" w:cs="Times New Roman"/>
                <w:color w:val="auto"/>
                <w:sz w:val="24"/>
                <w:szCs w:val="24"/>
                <w:highlight w:val="none"/>
              </w:rPr>
              <w:t>项目</w:t>
            </w:r>
          </w:p>
        </w:tc>
        <w:tc>
          <w:tcPr>
            <w:tcW w:w="2568" w:type="dxa"/>
            <w:vAlign w:val="center"/>
          </w:tcPr>
          <w:p>
            <w:pPr>
              <w:widowControl/>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val="en-US" w:eastAsia="zh-CN"/>
              </w:rPr>
              <w:t>2026年上半年</w:t>
            </w:r>
          </w:p>
        </w:tc>
        <w:tc>
          <w:tcPr>
            <w:tcW w:w="2386" w:type="dxa"/>
            <w:vAlign w:val="center"/>
          </w:tcPr>
          <w:p>
            <w:pPr>
              <w:widowControl/>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lang w:val="en-US" w:eastAsia="zh-CN"/>
              </w:rPr>
              <w:t>2025年度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4244"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资产清理收益</w:t>
            </w:r>
          </w:p>
        </w:tc>
        <w:tc>
          <w:tcPr>
            <w:tcW w:w="2568" w:type="dxa"/>
            <w:vAlign w:val="bottom"/>
          </w:tcPr>
          <w:p>
            <w:pPr>
              <w:jc w:val="right"/>
              <w:rPr>
                <w:rFonts w:hint="default" w:ascii="Times New Roman" w:hAnsi="Times New Roman" w:eastAsia="仿宋" w:cs="Times New Roman"/>
                <w:color w:val="auto"/>
                <w:kern w:val="0"/>
                <w:sz w:val="22"/>
                <w:szCs w:val="22"/>
                <w:highlight w:val="none"/>
              </w:rPr>
            </w:pPr>
          </w:p>
        </w:tc>
        <w:tc>
          <w:tcPr>
            <w:tcW w:w="2386"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0.45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4244"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长款收入</w:t>
            </w:r>
          </w:p>
        </w:tc>
        <w:tc>
          <w:tcPr>
            <w:tcW w:w="2568"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0.02</w:t>
            </w:r>
          </w:p>
        </w:tc>
        <w:tc>
          <w:tcPr>
            <w:tcW w:w="2386"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0.21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4244"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罚没款收入</w:t>
            </w:r>
          </w:p>
        </w:tc>
        <w:tc>
          <w:tcPr>
            <w:tcW w:w="2568" w:type="dxa"/>
            <w:vAlign w:val="bottom"/>
          </w:tcPr>
          <w:p>
            <w:pPr>
              <w:jc w:val="right"/>
              <w:rPr>
                <w:rFonts w:hint="default" w:ascii="Times New Roman" w:hAnsi="Times New Roman" w:eastAsia="仿宋" w:cs="Times New Roman"/>
                <w:color w:val="auto"/>
                <w:kern w:val="0"/>
                <w:sz w:val="22"/>
                <w:szCs w:val="22"/>
                <w:highlight w:val="none"/>
              </w:rPr>
            </w:pPr>
          </w:p>
        </w:tc>
        <w:tc>
          <w:tcPr>
            <w:tcW w:w="2386"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23.62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4244"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久悬未取款项利得</w:t>
            </w:r>
          </w:p>
        </w:tc>
        <w:tc>
          <w:tcPr>
            <w:tcW w:w="2568"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9.05</w:t>
            </w:r>
          </w:p>
        </w:tc>
        <w:tc>
          <w:tcPr>
            <w:tcW w:w="2386"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61.29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44"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政府补助利得</w:t>
            </w:r>
          </w:p>
        </w:tc>
        <w:tc>
          <w:tcPr>
            <w:tcW w:w="2568"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0.06</w:t>
            </w:r>
          </w:p>
        </w:tc>
        <w:tc>
          <w:tcPr>
            <w:tcW w:w="2386"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0.02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44" w:type="dxa"/>
            <w:vAlign w:val="center"/>
          </w:tcPr>
          <w:p>
            <w:pPr>
              <w:keepNext w:val="0"/>
              <w:keepLines w:val="0"/>
              <w:widowControl/>
              <w:suppressLineNumbers w:val="0"/>
              <w:jc w:val="both"/>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其他（拆迁补偿等）</w:t>
            </w:r>
          </w:p>
        </w:tc>
        <w:tc>
          <w:tcPr>
            <w:tcW w:w="2568"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0.01</w:t>
            </w:r>
          </w:p>
        </w:tc>
        <w:tc>
          <w:tcPr>
            <w:tcW w:w="2386"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0.34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44"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2568"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9.14</w:t>
            </w:r>
          </w:p>
        </w:tc>
        <w:tc>
          <w:tcPr>
            <w:tcW w:w="2386"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85.93</w:t>
            </w:r>
          </w:p>
        </w:tc>
      </w:tr>
    </w:tbl>
    <w:p>
      <w:pPr>
        <w:spacing w:line="360" w:lineRule="auto"/>
        <w:ind w:right="-40"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4</w:t>
      </w:r>
      <w:r>
        <w:rPr>
          <w:rFonts w:hint="default" w:ascii="Times New Roman" w:hAnsi="Times New Roman" w:eastAsia="仿宋_GB2312" w:cs="Times New Roman"/>
          <w:color w:val="auto"/>
          <w:sz w:val="28"/>
          <w:szCs w:val="28"/>
          <w:highlight w:val="none"/>
          <w:lang w:val="en-US" w:eastAsia="zh-CN"/>
        </w:rPr>
        <w:t>6</w:t>
      </w:r>
      <w:r>
        <w:rPr>
          <w:rFonts w:hint="default" w:ascii="Times New Roman" w:hAnsi="Times New Roman" w:eastAsia="仿宋_GB2312" w:cs="Times New Roman"/>
          <w:color w:val="auto"/>
          <w:sz w:val="28"/>
          <w:szCs w:val="28"/>
          <w:highlight w:val="none"/>
        </w:rPr>
        <w:t>.营业外支出</w:t>
      </w:r>
    </w:p>
    <w:tbl>
      <w:tblPr>
        <w:tblStyle w:val="25"/>
        <w:tblW w:w="9218"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76"/>
        <w:gridCol w:w="2556"/>
        <w:gridCol w:w="23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4276" w:type="dxa"/>
            <w:vAlign w:val="center"/>
          </w:tcPr>
          <w:p>
            <w:pPr>
              <w:spacing w:line="360" w:lineRule="auto"/>
              <w:ind w:right="-37"/>
              <w:jc w:val="center"/>
              <w:outlineLvl w:val="0"/>
              <w:rPr>
                <w:rFonts w:hint="default" w:ascii="Times New Roman" w:hAnsi="Times New Roman" w:eastAsia="仿宋" w:cs="Times New Roman"/>
                <w:color w:val="auto"/>
                <w:kern w:val="0"/>
                <w:szCs w:val="21"/>
                <w:highlight w:val="none"/>
              </w:rPr>
            </w:pPr>
            <w:r>
              <w:rPr>
                <w:rFonts w:hint="default" w:ascii="Times New Roman" w:hAnsi="Times New Roman" w:eastAsia="仿宋_GB2312" w:cs="Times New Roman"/>
                <w:color w:val="auto"/>
                <w:sz w:val="24"/>
                <w:szCs w:val="24"/>
                <w:highlight w:val="none"/>
              </w:rPr>
              <w:t>项目</w:t>
            </w:r>
          </w:p>
        </w:tc>
        <w:tc>
          <w:tcPr>
            <w:tcW w:w="2556" w:type="dxa"/>
            <w:vAlign w:val="center"/>
          </w:tcPr>
          <w:p>
            <w:pPr>
              <w:widowControl/>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val="en-US" w:eastAsia="zh-CN"/>
              </w:rPr>
              <w:t>2026年上半年</w:t>
            </w:r>
          </w:p>
        </w:tc>
        <w:tc>
          <w:tcPr>
            <w:tcW w:w="2386" w:type="dxa"/>
            <w:vAlign w:val="center"/>
          </w:tcPr>
          <w:p>
            <w:pPr>
              <w:widowControl/>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lang w:val="en-US" w:eastAsia="zh-CN"/>
              </w:rPr>
              <w:t>2025年度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7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资产盘亏及清理损失</w:t>
            </w:r>
          </w:p>
        </w:tc>
        <w:tc>
          <w:tcPr>
            <w:tcW w:w="2556"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0.00 </w:t>
            </w:r>
          </w:p>
        </w:tc>
        <w:tc>
          <w:tcPr>
            <w:tcW w:w="2386"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11.09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7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负债处置支出</w:t>
            </w:r>
          </w:p>
        </w:tc>
        <w:tc>
          <w:tcPr>
            <w:tcW w:w="2556"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3.84 </w:t>
            </w:r>
          </w:p>
        </w:tc>
        <w:tc>
          <w:tcPr>
            <w:tcW w:w="2386"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4.94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7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捐赠支出</w:t>
            </w:r>
          </w:p>
        </w:tc>
        <w:tc>
          <w:tcPr>
            <w:tcW w:w="2556"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16.80 </w:t>
            </w:r>
          </w:p>
        </w:tc>
        <w:tc>
          <w:tcPr>
            <w:tcW w:w="2386"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50.72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7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滞纳金</w:t>
            </w:r>
          </w:p>
        </w:tc>
        <w:tc>
          <w:tcPr>
            <w:tcW w:w="2556"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149.19 </w:t>
            </w:r>
          </w:p>
        </w:tc>
        <w:tc>
          <w:tcPr>
            <w:tcW w:w="2386"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74.57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76"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i w:val="0"/>
                <w:color w:val="auto"/>
                <w:kern w:val="0"/>
                <w:sz w:val="24"/>
                <w:szCs w:val="24"/>
                <w:highlight w:val="none"/>
                <w:u w:val="none"/>
                <w:lang w:val="en-US" w:eastAsia="zh-CN"/>
              </w:rPr>
              <w:t>罚没支出</w:t>
            </w:r>
          </w:p>
        </w:tc>
        <w:tc>
          <w:tcPr>
            <w:tcW w:w="2556"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lang w:val="en-US" w:eastAsia="zh-CN" w:bidi="ar-SA"/>
              </w:rPr>
            </w:pPr>
            <w:r>
              <w:rPr>
                <w:rFonts w:hint="default" w:ascii="Times New Roman" w:hAnsi="Times New Roman" w:eastAsia="宋体" w:cs="Times New Roman"/>
                <w:i w:val="0"/>
                <w:color w:val="auto"/>
                <w:kern w:val="0"/>
                <w:sz w:val="22"/>
                <w:szCs w:val="22"/>
                <w:highlight w:val="none"/>
                <w:u w:val="none"/>
                <w:lang w:val="en-US" w:eastAsia="zh-CN"/>
              </w:rPr>
              <w:t xml:space="preserve">189.90 </w:t>
            </w:r>
          </w:p>
        </w:tc>
        <w:tc>
          <w:tcPr>
            <w:tcW w:w="2386"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170.00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76"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2556"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lang w:val="en-US"/>
              </w:rPr>
            </w:pPr>
            <w:r>
              <w:rPr>
                <w:rFonts w:hint="default" w:ascii="Times New Roman" w:hAnsi="Times New Roman" w:eastAsia="宋体" w:cs="Times New Roman"/>
                <w:i w:val="0"/>
                <w:color w:val="auto"/>
                <w:kern w:val="0"/>
                <w:sz w:val="22"/>
                <w:szCs w:val="22"/>
                <w:highlight w:val="none"/>
                <w:u w:val="none"/>
                <w:lang w:val="en-US" w:eastAsia="zh-CN"/>
              </w:rPr>
              <w:t xml:space="preserve">359.73 </w:t>
            </w:r>
          </w:p>
        </w:tc>
        <w:tc>
          <w:tcPr>
            <w:tcW w:w="2386"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 xml:space="preserve">311.32 </w:t>
            </w:r>
          </w:p>
        </w:tc>
      </w:tr>
    </w:tbl>
    <w:p>
      <w:pPr>
        <w:spacing w:line="360" w:lineRule="auto"/>
        <w:ind w:right="-40" w:firstLine="560" w:firstLineChars="200"/>
        <w:jc w:val="left"/>
        <w:outlineLvl w:val="1"/>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4</w:t>
      </w:r>
      <w:r>
        <w:rPr>
          <w:rFonts w:hint="default" w:ascii="Times New Roman" w:hAnsi="Times New Roman" w:eastAsia="仿宋_GB2312" w:cs="Times New Roman"/>
          <w:color w:val="auto"/>
          <w:sz w:val="28"/>
          <w:szCs w:val="28"/>
          <w:highlight w:val="none"/>
          <w:lang w:val="en-US" w:eastAsia="zh-CN"/>
        </w:rPr>
        <w:t>7</w:t>
      </w:r>
      <w:r>
        <w:rPr>
          <w:rFonts w:hint="default" w:ascii="Times New Roman" w:hAnsi="Times New Roman" w:eastAsia="仿宋_GB2312" w:cs="Times New Roman"/>
          <w:color w:val="auto"/>
          <w:sz w:val="28"/>
          <w:szCs w:val="28"/>
          <w:highlight w:val="none"/>
        </w:rPr>
        <w:t>.所得税</w:t>
      </w:r>
    </w:p>
    <w:tbl>
      <w:tblPr>
        <w:tblStyle w:val="25"/>
        <w:tblW w:w="921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53"/>
        <w:gridCol w:w="2568"/>
        <w:gridCol w:w="23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4253" w:type="dxa"/>
            <w:vAlign w:val="center"/>
          </w:tcPr>
          <w:p>
            <w:pPr>
              <w:spacing w:line="360" w:lineRule="auto"/>
              <w:ind w:right="-37"/>
              <w:jc w:val="center"/>
              <w:outlineLvl w:val="0"/>
              <w:rPr>
                <w:rFonts w:hint="default" w:ascii="Times New Roman" w:hAnsi="Times New Roman" w:eastAsia="仿宋" w:cs="Times New Roman"/>
                <w:color w:val="auto"/>
                <w:kern w:val="0"/>
                <w:szCs w:val="21"/>
                <w:highlight w:val="none"/>
              </w:rPr>
            </w:pPr>
            <w:r>
              <w:rPr>
                <w:rFonts w:hint="default" w:ascii="Times New Roman" w:hAnsi="Times New Roman" w:eastAsia="仿宋_GB2312" w:cs="Times New Roman"/>
                <w:color w:val="auto"/>
                <w:sz w:val="24"/>
                <w:szCs w:val="24"/>
                <w:highlight w:val="none"/>
              </w:rPr>
              <w:t>项目</w:t>
            </w:r>
          </w:p>
        </w:tc>
        <w:tc>
          <w:tcPr>
            <w:tcW w:w="2568" w:type="dxa"/>
            <w:vAlign w:val="center"/>
          </w:tcPr>
          <w:p>
            <w:pPr>
              <w:widowControl/>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val="en-US" w:eastAsia="zh-CN"/>
              </w:rPr>
              <w:t>2026年上半年</w:t>
            </w:r>
          </w:p>
        </w:tc>
        <w:tc>
          <w:tcPr>
            <w:tcW w:w="2393" w:type="dxa"/>
            <w:vAlign w:val="center"/>
          </w:tcPr>
          <w:p>
            <w:pPr>
              <w:widowControl/>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0"/>
                <w:sz w:val="24"/>
                <w:szCs w:val="24"/>
                <w:highlight w:val="none"/>
                <w:lang w:val="en-US" w:eastAsia="zh-CN"/>
              </w:rPr>
              <w:t>2025年度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当期所得税费用</w:t>
            </w:r>
          </w:p>
        </w:tc>
        <w:tc>
          <w:tcPr>
            <w:tcW w:w="2568"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1,448.14</w:t>
            </w:r>
          </w:p>
        </w:tc>
        <w:tc>
          <w:tcPr>
            <w:tcW w:w="2393"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7,162.47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left"/>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递延所得税费用</w:t>
            </w:r>
          </w:p>
        </w:tc>
        <w:tc>
          <w:tcPr>
            <w:tcW w:w="2568"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-735.91</w:t>
            </w:r>
          </w:p>
        </w:tc>
        <w:tc>
          <w:tcPr>
            <w:tcW w:w="2393"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-2,753.52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4253"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i w:val="0"/>
                <w:color w:val="auto"/>
                <w:kern w:val="0"/>
                <w:sz w:val="24"/>
                <w:szCs w:val="24"/>
                <w:highlight w:val="none"/>
                <w:u w:val="none"/>
                <w:lang w:val="en-US" w:eastAsia="zh-CN"/>
              </w:rPr>
              <w:t>合计</w:t>
            </w:r>
          </w:p>
        </w:tc>
        <w:tc>
          <w:tcPr>
            <w:tcW w:w="2568"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712.23</w:t>
            </w:r>
          </w:p>
        </w:tc>
        <w:tc>
          <w:tcPr>
            <w:tcW w:w="2393" w:type="dxa"/>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4,408.95</w:t>
            </w:r>
          </w:p>
        </w:tc>
      </w:tr>
    </w:tbl>
    <w:p>
      <w:pPr>
        <w:autoSpaceDE w:val="0"/>
        <w:autoSpaceDN w:val="0"/>
        <w:adjustRightInd w:val="0"/>
        <w:spacing w:line="480" w:lineRule="exact"/>
        <w:ind w:firstLine="560" w:firstLineChars="200"/>
        <w:rPr>
          <w:rFonts w:hint="default" w:ascii="Times New Roman" w:hAnsi="Times New Roman" w:eastAsia="黑体" w:cs="Times New Roman"/>
          <w:color w:val="auto"/>
          <w:kern w:val="0"/>
          <w:sz w:val="32"/>
          <w:szCs w:val="32"/>
          <w:highlight w:val="none"/>
        </w:rPr>
      </w:pPr>
      <w:r>
        <w:rPr>
          <w:rFonts w:hint="default" w:ascii="Times New Roman" w:hAnsi="Times New Roman" w:eastAsia="黑体" w:cs="Times New Roman"/>
          <w:color w:val="auto"/>
          <w:sz w:val="28"/>
          <w:szCs w:val="28"/>
          <w:highlight w:val="none"/>
        </w:rPr>
        <w:t>八、关联方及关联交易</w:t>
      </w:r>
    </w:p>
    <w:p>
      <w:pPr>
        <w:spacing w:line="480" w:lineRule="exact"/>
        <w:ind w:firstLine="560" w:firstLineChars="200"/>
        <w:jc w:val="left"/>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（一）关联方</w:t>
      </w:r>
    </w:p>
    <w:p>
      <w:pPr>
        <w:autoSpaceDE w:val="0"/>
        <w:autoSpaceDN w:val="0"/>
        <w:adjustRightInd w:val="0"/>
        <w:spacing w:line="480" w:lineRule="exact"/>
        <w:ind w:firstLine="560" w:firstLineChars="200"/>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sz w:val="28"/>
          <w:szCs w:val="28"/>
          <w:highlight w:val="none"/>
        </w:rPr>
        <w:t>1.本行持有5%以上(含5%)股份的股东</w:t>
      </w:r>
    </w:p>
    <w:tbl>
      <w:tblPr>
        <w:tblStyle w:val="25"/>
        <w:tblW w:w="9214"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805"/>
        <w:gridCol w:w="1299"/>
        <w:gridCol w:w="1417"/>
        <w:gridCol w:w="1418"/>
        <w:gridCol w:w="12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jc w:val="center"/>
        </w:trPr>
        <w:tc>
          <w:tcPr>
            <w:tcW w:w="38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关联方名称</w:t>
            </w:r>
          </w:p>
        </w:tc>
        <w:tc>
          <w:tcPr>
            <w:tcW w:w="2716"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2025.12.31</w:t>
            </w:r>
          </w:p>
        </w:tc>
        <w:tc>
          <w:tcPr>
            <w:tcW w:w="26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2026.6.30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39" w:hRule="exact"/>
          <w:jc w:val="center"/>
        </w:trPr>
        <w:tc>
          <w:tcPr>
            <w:tcW w:w="3805"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1299"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股份份额</w:t>
            </w:r>
          </w:p>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rPr>
              <w:t>（万股）</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rPr>
              <w:t>持股比例（%）</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股份份额</w:t>
            </w:r>
          </w:p>
          <w:p>
            <w:pPr>
              <w:widowControl/>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（万股）</w:t>
            </w:r>
          </w:p>
        </w:tc>
        <w:tc>
          <w:tcPr>
            <w:tcW w:w="1275"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持股比例（%）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8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江苏紫金农村商业银行股份有限公司</w:t>
            </w:r>
          </w:p>
        </w:tc>
        <w:tc>
          <w:tcPr>
            <w:tcW w:w="129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10371.2279</w:t>
            </w:r>
          </w:p>
        </w:tc>
        <w:tc>
          <w:tcPr>
            <w:tcW w:w="141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 xml:space="preserve">20.00 </w:t>
            </w:r>
          </w:p>
        </w:tc>
        <w:tc>
          <w:tcPr>
            <w:tcW w:w="141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10786.0770</w:t>
            </w:r>
          </w:p>
        </w:tc>
        <w:tc>
          <w:tcPr>
            <w:tcW w:w="12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 xml:space="preserve">20.00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805"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南京长江发展股份有限公司</w:t>
            </w:r>
          </w:p>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1"/>
                <w:szCs w:val="21"/>
                <w:highlight w:val="none"/>
                <w:u w:val="none"/>
                <w:lang w:val="en-US" w:eastAsia="zh-CN"/>
              </w:rPr>
            </w:pPr>
          </w:p>
        </w:tc>
        <w:tc>
          <w:tcPr>
            <w:tcW w:w="129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3069.1370</w:t>
            </w:r>
          </w:p>
        </w:tc>
        <w:tc>
          <w:tcPr>
            <w:tcW w:w="141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 xml:space="preserve">5.92 </w:t>
            </w:r>
          </w:p>
        </w:tc>
        <w:tc>
          <w:tcPr>
            <w:tcW w:w="141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3191.9024</w:t>
            </w:r>
          </w:p>
        </w:tc>
        <w:tc>
          <w:tcPr>
            <w:tcW w:w="12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 xml:space="preserve">5.92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805"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合计</w:t>
            </w:r>
          </w:p>
        </w:tc>
        <w:tc>
          <w:tcPr>
            <w:tcW w:w="129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13440.3649</w:t>
            </w:r>
          </w:p>
        </w:tc>
        <w:tc>
          <w:tcPr>
            <w:tcW w:w="141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 xml:space="preserve">25.92 </w:t>
            </w:r>
          </w:p>
        </w:tc>
        <w:tc>
          <w:tcPr>
            <w:tcW w:w="141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13977.9794</w:t>
            </w:r>
          </w:p>
        </w:tc>
        <w:tc>
          <w:tcPr>
            <w:tcW w:w="127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 xml:space="preserve">25.92 </w:t>
            </w:r>
          </w:p>
        </w:tc>
      </w:tr>
    </w:tbl>
    <w:p>
      <w:pPr>
        <w:keepNext w:val="0"/>
        <w:keepLines w:val="0"/>
        <w:pageBreakBefore w:val="0"/>
        <w:widowControl w:val="0"/>
        <w:kinsoku/>
        <w:wordWrap/>
        <w:overflowPunct/>
        <w:topLinePunct w:val="0"/>
        <w:autoSpaceDE w:val="0"/>
        <w:autoSpaceDN w:val="0"/>
        <w:bidi w:val="0"/>
        <w:adjustRightInd w:val="0"/>
        <w:snapToGrid/>
        <w:spacing w:line="480" w:lineRule="exact"/>
        <w:ind w:firstLine="560" w:firstLineChars="200"/>
        <w:textAlignment w:val="auto"/>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lang w:val="en-US" w:eastAsia="zh-CN"/>
        </w:rPr>
        <w:t>二</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关联方交易</w:t>
      </w:r>
    </w:p>
    <w:p>
      <w:pPr>
        <w:keepNext w:val="0"/>
        <w:keepLines w:val="0"/>
        <w:pageBreakBefore w:val="0"/>
        <w:widowControl w:val="0"/>
        <w:kinsoku/>
        <w:wordWrap/>
        <w:overflowPunct/>
        <w:topLinePunct w:val="0"/>
        <w:autoSpaceDE w:val="0"/>
        <w:autoSpaceDN w:val="0"/>
        <w:bidi w:val="0"/>
        <w:adjustRightInd w:val="0"/>
        <w:snapToGrid/>
        <w:spacing w:line="480" w:lineRule="exact"/>
        <w:ind w:firstLine="560" w:firstLineChars="200"/>
        <w:textAlignment w:val="auto"/>
        <w:outlineLvl w:val="9"/>
        <w:rPr>
          <w:rFonts w:hint="default" w:ascii="Times New Roman" w:hAnsi="Times New Roman" w:eastAsia="黑体" w:cs="Times New Roman"/>
          <w:color w:val="auto"/>
          <w:kern w:val="0"/>
          <w:sz w:val="32"/>
          <w:szCs w:val="32"/>
          <w:highlight w:val="none"/>
        </w:rPr>
      </w:pPr>
      <w:r>
        <w:rPr>
          <w:rFonts w:hint="default" w:ascii="Times New Roman" w:hAnsi="Times New Roman" w:eastAsia="仿宋_GB2312" w:cs="Times New Roman"/>
          <w:color w:val="auto"/>
          <w:sz w:val="28"/>
          <w:szCs w:val="28"/>
          <w:highlight w:val="none"/>
        </w:rPr>
        <w:t>本行与关联方交易的条件及价格均按本行的正常业务进行处理。针对不同类型和内容的关联交易，本行由相应的机构实施审批。</w:t>
      </w:r>
      <w:r>
        <w:rPr>
          <w:rFonts w:hint="default" w:ascii="Times New Roman" w:hAnsi="Times New Roman" w:eastAsia="仿宋_GB2312" w:cs="Times New Roman"/>
          <w:color w:val="auto"/>
          <w:sz w:val="28"/>
          <w:szCs w:val="28"/>
          <w:highlight w:val="none"/>
          <w:lang w:val="en-US" w:eastAsia="zh-CN"/>
        </w:rPr>
        <w:t>同时，</w:t>
      </w:r>
      <w:r>
        <w:rPr>
          <w:rFonts w:hint="default" w:ascii="Times New Roman" w:hAnsi="Times New Roman" w:eastAsia="仿宋_GB2312" w:cs="Times New Roman"/>
          <w:color w:val="auto"/>
          <w:sz w:val="28"/>
          <w:szCs w:val="28"/>
          <w:highlight w:val="none"/>
        </w:rPr>
        <w:t>根据《高淳农商银行关联交易管理办法》进行的下列关联交易，可以免于按照关联交易的方式进行审议和披露：（一）与关联自然人单笔交易额在50万元以下或与关联法人单笔交易额在500万元以下的关联交易，且交易后累计未达到重大关联交易标准的；（二）一方以现金认购另一方公开发行的股票、公司债券或企业债券、可转换债券或其他衍生品种；（三）活期存款业务；（四）同一自然人同时担任本行和其他法人的独立董事且不存在其他构成关联方情形的，该法人与本行进行的交易；（五）交易的定价为国家规定的；</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lang w:val="en-US" w:eastAsia="zh-CN"/>
        </w:rPr>
        <w:t>六</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监管部门认可的其他情形。</w:t>
      </w:r>
    </w:p>
    <w:p>
      <w:pPr>
        <w:numPr>
          <w:ilvl w:val="0"/>
          <w:numId w:val="5"/>
        </w:numPr>
        <w:spacing w:line="500" w:lineRule="exact"/>
        <w:ind w:left="560"/>
        <w:jc w:val="left"/>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lang w:eastAsia="zh-CN"/>
        </w:rPr>
        <w:t>授信额度</w:t>
      </w:r>
    </w:p>
    <w:p>
      <w:pPr>
        <w:pStyle w:val="36"/>
        <w:ind w:left="2541" w:leftChars="1210" w:firstLine="5153" w:firstLineChars="2454"/>
        <w:rPr>
          <w:rFonts w:hint="default" w:ascii="Times New Roman" w:hAnsi="Times New Roman" w:cs="Times New Roman"/>
          <w:color w:val="auto"/>
          <w:highlight w:val="none"/>
        </w:rPr>
      </w:pPr>
      <w:r>
        <w:rPr>
          <w:rFonts w:hint="default" w:ascii="Times New Roman" w:hAnsi="Times New Roman" w:cs="Times New Roman"/>
          <w:color w:val="auto"/>
          <w:spacing w:val="0"/>
          <w:sz w:val="21"/>
          <w:szCs w:val="21"/>
          <w:highlight w:val="none"/>
        </w:rPr>
        <w:t>单位：万元</w:t>
      </w:r>
    </w:p>
    <w:tbl>
      <w:tblPr>
        <w:tblStyle w:val="25"/>
        <w:tblW w:w="902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06"/>
        <w:gridCol w:w="1767"/>
        <w:gridCol w:w="1980"/>
        <w:gridCol w:w="19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7" w:hRule="exact"/>
          <w:jc w:val="center"/>
        </w:trPr>
        <w:tc>
          <w:tcPr>
            <w:tcW w:w="3306"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关联方名称</w:t>
            </w:r>
          </w:p>
        </w:tc>
        <w:tc>
          <w:tcPr>
            <w:tcW w:w="1767"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2026.06.30</w:t>
            </w:r>
          </w:p>
        </w:tc>
        <w:tc>
          <w:tcPr>
            <w:tcW w:w="1980"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关联方名称</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2025.12.31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exact"/>
          <w:jc w:val="center"/>
        </w:trPr>
        <w:tc>
          <w:tcPr>
            <w:tcW w:w="3306"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红宝丽集团股份有限公司</w:t>
            </w:r>
          </w:p>
        </w:tc>
        <w:tc>
          <w:tcPr>
            <w:tcW w:w="1767"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23000</w:t>
            </w:r>
          </w:p>
        </w:tc>
        <w:tc>
          <w:tcPr>
            <w:tcW w:w="1980" w:type="dxa"/>
            <w:tcBorders>
              <w:top w:val="single" w:color="auto" w:sz="4" w:space="0"/>
              <w:left w:val="single" w:color="auto" w:sz="4" w:space="0"/>
              <w:bottom w:val="single" w:color="auto" w:sz="4" w:space="0"/>
              <w:right w:val="single" w:color="auto" w:sz="4" w:space="0"/>
            </w:tcBorders>
            <w:vAlign w:val="bottom"/>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红宝丽集团股份有限公司</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23000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3306"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南京红宝丽新材料有限公司</w:t>
            </w:r>
          </w:p>
        </w:tc>
        <w:tc>
          <w:tcPr>
            <w:tcW w:w="1767"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1000</w:t>
            </w:r>
          </w:p>
        </w:tc>
        <w:tc>
          <w:tcPr>
            <w:tcW w:w="1980" w:type="dxa"/>
            <w:tcBorders>
              <w:top w:val="single" w:color="auto" w:sz="4" w:space="0"/>
              <w:left w:val="single" w:color="auto" w:sz="4" w:space="0"/>
              <w:bottom w:val="single" w:color="auto" w:sz="4" w:space="0"/>
              <w:right w:val="single" w:color="auto" w:sz="4" w:space="0"/>
            </w:tcBorders>
            <w:vAlign w:val="bottom"/>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南京红宝丽新材料有限公司</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9" w:hRule="exact"/>
          <w:jc w:val="center"/>
        </w:trPr>
        <w:tc>
          <w:tcPr>
            <w:tcW w:w="3306"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南京红宝丽聚氨酯销售有限公司</w:t>
            </w:r>
          </w:p>
        </w:tc>
        <w:tc>
          <w:tcPr>
            <w:tcW w:w="1767"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1000</w:t>
            </w:r>
          </w:p>
        </w:tc>
        <w:tc>
          <w:tcPr>
            <w:tcW w:w="1980"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南京红宝丽聚氨酯销售有限公司</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3306"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魏晋禄</w:t>
            </w:r>
          </w:p>
        </w:tc>
        <w:tc>
          <w:tcPr>
            <w:tcW w:w="1767"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260</w:t>
            </w:r>
          </w:p>
        </w:tc>
        <w:tc>
          <w:tcPr>
            <w:tcW w:w="1980"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南京淳达科技发展有限公司</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3306"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沈曦</w:t>
            </w:r>
          </w:p>
        </w:tc>
        <w:tc>
          <w:tcPr>
            <w:tcW w:w="1767"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180</w:t>
            </w:r>
          </w:p>
        </w:tc>
        <w:tc>
          <w:tcPr>
            <w:tcW w:w="1980"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魏晋禄</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3306"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高海燕</w:t>
            </w:r>
          </w:p>
        </w:tc>
        <w:tc>
          <w:tcPr>
            <w:tcW w:w="1767"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150</w:t>
            </w:r>
          </w:p>
        </w:tc>
        <w:tc>
          <w:tcPr>
            <w:tcW w:w="1980"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沈曦</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3306"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史明辉</w:t>
            </w:r>
          </w:p>
        </w:tc>
        <w:tc>
          <w:tcPr>
            <w:tcW w:w="1767"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100</w:t>
            </w:r>
          </w:p>
        </w:tc>
        <w:tc>
          <w:tcPr>
            <w:tcW w:w="1980"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高海燕</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3306"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王君</w:t>
            </w:r>
          </w:p>
        </w:tc>
        <w:tc>
          <w:tcPr>
            <w:tcW w:w="1767"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100</w:t>
            </w:r>
          </w:p>
        </w:tc>
        <w:tc>
          <w:tcPr>
            <w:tcW w:w="1980"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史明辉</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3306"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陈桂香</w:t>
            </w:r>
          </w:p>
        </w:tc>
        <w:tc>
          <w:tcPr>
            <w:tcW w:w="1767"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100</w:t>
            </w:r>
          </w:p>
        </w:tc>
        <w:tc>
          <w:tcPr>
            <w:tcW w:w="1980"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王君</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3306"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袁小苗</w:t>
            </w:r>
          </w:p>
        </w:tc>
        <w:tc>
          <w:tcPr>
            <w:tcW w:w="1767"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85</w:t>
            </w:r>
          </w:p>
        </w:tc>
        <w:tc>
          <w:tcPr>
            <w:tcW w:w="1980"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陈桂香</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3306"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孙小华</w:t>
            </w:r>
          </w:p>
        </w:tc>
        <w:tc>
          <w:tcPr>
            <w:tcW w:w="1767"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85</w:t>
            </w:r>
          </w:p>
        </w:tc>
        <w:tc>
          <w:tcPr>
            <w:tcW w:w="1980"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孙小华</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3306"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诸云娣</w:t>
            </w:r>
          </w:p>
        </w:tc>
        <w:tc>
          <w:tcPr>
            <w:tcW w:w="1767"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82</w:t>
            </w:r>
          </w:p>
        </w:tc>
        <w:tc>
          <w:tcPr>
            <w:tcW w:w="1980"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杨翠萍</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3306"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卞国玮</w:t>
            </w:r>
          </w:p>
        </w:tc>
        <w:tc>
          <w:tcPr>
            <w:tcW w:w="1767"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80</w:t>
            </w:r>
          </w:p>
        </w:tc>
        <w:tc>
          <w:tcPr>
            <w:tcW w:w="1980"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袁小苗</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3306"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张胥磊</w:t>
            </w:r>
          </w:p>
        </w:tc>
        <w:tc>
          <w:tcPr>
            <w:tcW w:w="1767"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75</w:t>
            </w:r>
          </w:p>
        </w:tc>
        <w:tc>
          <w:tcPr>
            <w:tcW w:w="1980"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诸云娣</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3306"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杨桂玉</w:t>
            </w:r>
          </w:p>
        </w:tc>
        <w:tc>
          <w:tcPr>
            <w:tcW w:w="1767"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65</w:t>
            </w:r>
          </w:p>
        </w:tc>
        <w:tc>
          <w:tcPr>
            <w:tcW w:w="1980"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卞国玮</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3306"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刘萍</w:t>
            </w:r>
          </w:p>
        </w:tc>
        <w:tc>
          <w:tcPr>
            <w:tcW w:w="1767"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50</w:t>
            </w:r>
          </w:p>
        </w:tc>
        <w:tc>
          <w:tcPr>
            <w:tcW w:w="1980"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张胥磊</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3306"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宋培玲</w:t>
            </w:r>
          </w:p>
        </w:tc>
        <w:tc>
          <w:tcPr>
            <w:tcW w:w="1767"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Cs w:val="21"/>
                <w:highlight w:val="none"/>
                <w:lang w:val="en-US" w:eastAsia="zh-CN"/>
              </w:rPr>
              <w:t>50</w:t>
            </w:r>
          </w:p>
        </w:tc>
        <w:tc>
          <w:tcPr>
            <w:tcW w:w="1980"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刘萍</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3306"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p>
        </w:tc>
        <w:tc>
          <w:tcPr>
            <w:tcW w:w="1767"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 w:val="21"/>
                <w:szCs w:val="21"/>
                <w:highlight w:val="none"/>
                <w:lang w:val="en-US" w:eastAsia="zh-CN" w:bidi="ar-SA"/>
              </w:rPr>
            </w:pPr>
          </w:p>
        </w:tc>
        <w:tc>
          <w:tcPr>
            <w:tcW w:w="1980"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宋培玲</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3306"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合计</w:t>
            </w:r>
          </w:p>
        </w:tc>
        <w:tc>
          <w:tcPr>
            <w:tcW w:w="1767"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26462</w:t>
            </w:r>
          </w:p>
        </w:tc>
        <w:tc>
          <w:tcPr>
            <w:tcW w:w="1980"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合计</w:t>
            </w:r>
          </w:p>
        </w:tc>
        <w:tc>
          <w:tcPr>
            <w:tcW w:w="1971"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27492</w:t>
            </w:r>
          </w:p>
        </w:tc>
      </w:tr>
    </w:tbl>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outlineLvl w:val="0"/>
        <w:rPr>
          <w:rFonts w:hint="default" w:ascii="Times New Roman" w:hAnsi="Times New Roman" w:eastAsia="黑体" w:cs="Times New Roman"/>
          <w:color w:val="auto"/>
          <w:kern w:val="0"/>
          <w:sz w:val="32"/>
          <w:szCs w:val="32"/>
          <w:highlight w:val="none"/>
          <w:lang w:val="en-US" w:eastAsia="zh-CN"/>
        </w:rPr>
      </w:pPr>
      <w:r>
        <w:rPr>
          <w:rFonts w:hint="default" w:ascii="Times New Roman" w:hAnsi="Times New Roman" w:eastAsia="仿宋_GB2312" w:cs="Times New Roman"/>
          <w:color w:val="auto"/>
          <w:sz w:val="28"/>
          <w:szCs w:val="28"/>
          <w:highlight w:val="none"/>
        </w:rPr>
        <w:t>2.报告期内发生的重大关联交易</w:t>
      </w:r>
    </w:p>
    <w:p>
      <w:pPr>
        <w:pStyle w:val="36"/>
        <w:ind w:left="0" w:firstLine="560" w:firstLineChars="200"/>
        <w:rPr>
          <w:rFonts w:hint="default" w:ascii="Times New Roman" w:hAnsi="Times New Roman" w:eastAsia="仿宋_GB2312" w:cs="Times New Roman"/>
          <w:color w:val="auto"/>
          <w:spacing w:val="0"/>
          <w:kern w:val="2"/>
          <w:sz w:val="28"/>
          <w:szCs w:val="28"/>
          <w:highlight w:val="none"/>
          <w:lang w:val="en-US" w:eastAsia="zh-CN" w:bidi="ar-SA"/>
        </w:rPr>
      </w:pPr>
      <w:r>
        <w:rPr>
          <w:rFonts w:hint="default" w:ascii="Times New Roman" w:hAnsi="Times New Roman" w:eastAsia="仿宋_GB2312" w:cs="Times New Roman"/>
          <w:color w:val="auto"/>
          <w:spacing w:val="0"/>
          <w:kern w:val="2"/>
          <w:sz w:val="28"/>
          <w:szCs w:val="28"/>
          <w:highlight w:val="none"/>
          <w:lang w:val="en-US" w:eastAsia="zh-CN" w:bidi="ar-SA"/>
        </w:rPr>
        <w:t>报告期内未发生重大关联交易。</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outlineLvl w:val="0"/>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lang w:val="en-US" w:eastAsia="zh-CN"/>
        </w:rPr>
        <w:t>三</w:t>
      </w:r>
      <w:r>
        <w:rPr>
          <w:rFonts w:hint="default" w:ascii="Times New Roman" w:hAnsi="Times New Roman" w:eastAsia="仿宋_GB2312" w:cs="Times New Roman"/>
          <w:color w:val="auto"/>
          <w:sz w:val="28"/>
          <w:szCs w:val="28"/>
          <w:highlight w:val="none"/>
          <w:lang w:eastAsia="zh-CN"/>
        </w:rPr>
        <w:t>）报告期内</w:t>
      </w:r>
      <w:r>
        <w:rPr>
          <w:rFonts w:hint="default" w:ascii="Times New Roman" w:hAnsi="Times New Roman" w:eastAsia="仿宋_GB2312" w:cs="Times New Roman"/>
          <w:color w:val="auto"/>
          <w:sz w:val="28"/>
          <w:szCs w:val="28"/>
          <w:highlight w:val="none"/>
          <w:lang w:val="en-US" w:eastAsia="zh-CN"/>
        </w:rPr>
        <w:t>发放外部董监事2025年度薪酬情况</w:t>
      </w:r>
    </w:p>
    <w:tbl>
      <w:tblPr>
        <w:tblStyle w:val="25"/>
        <w:tblW w:w="84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2"/>
        <w:gridCol w:w="1784"/>
        <w:gridCol w:w="1862"/>
        <w:gridCol w:w="2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902" w:type="dxa"/>
            <w:vAlign w:val="center"/>
          </w:tcPr>
          <w:p>
            <w:pPr>
              <w:pStyle w:val="36"/>
              <w:widowControl w:val="0"/>
              <w:ind w:left="0" w:firstLine="0"/>
              <w:jc w:val="center"/>
              <w:rPr>
                <w:rFonts w:hint="default" w:ascii="Times New Roman" w:hAnsi="Times New Roman" w:cs="Times New Roman"/>
                <w:color w:val="auto"/>
                <w:spacing w:val="0"/>
                <w:sz w:val="21"/>
                <w:szCs w:val="21"/>
                <w:highlight w:val="none"/>
              </w:rPr>
            </w:pPr>
            <w:r>
              <w:rPr>
                <w:rFonts w:hint="default" w:ascii="Times New Roman" w:hAnsi="Times New Roman" w:cs="Times New Roman"/>
                <w:color w:val="auto"/>
                <w:spacing w:val="0"/>
                <w:sz w:val="21"/>
                <w:szCs w:val="21"/>
                <w:highlight w:val="none"/>
              </w:rPr>
              <w:t>姓名</w:t>
            </w:r>
          </w:p>
        </w:tc>
        <w:tc>
          <w:tcPr>
            <w:tcW w:w="1784" w:type="dxa"/>
            <w:vAlign w:val="center"/>
          </w:tcPr>
          <w:p>
            <w:pPr>
              <w:pStyle w:val="36"/>
              <w:widowControl w:val="0"/>
              <w:ind w:left="0" w:firstLine="0"/>
              <w:jc w:val="center"/>
              <w:rPr>
                <w:rFonts w:hint="default" w:ascii="Times New Roman" w:hAnsi="Times New Roman" w:cs="Times New Roman"/>
                <w:color w:val="auto"/>
                <w:spacing w:val="0"/>
                <w:sz w:val="21"/>
                <w:szCs w:val="21"/>
                <w:highlight w:val="none"/>
              </w:rPr>
            </w:pPr>
            <w:r>
              <w:rPr>
                <w:rFonts w:hint="default" w:ascii="Times New Roman" w:hAnsi="Times New Roman" w:cs="Times New Roman"/>
                <w:color w:val="auto"/>
                <w:spacing w:val="0"/>
                <w:sz w:val="21"/>
                <w:szCs w:val="21"/>
                <w:highlight w:val="none"/>
              </w:rPr>
              <w:t>职务</w:t>
            </w:r>
          </w:p>
        </w:tc>
        <w:tc>
          <w:tcPr>
            <w:tcW w:w="1862" w:type="dxa"/>
            <w:vAlign w:val="center"/>
          </w:tcPr>
          <w:p>
            <w:pPr>
              <w:pStyle w:val="36"/>
              <w:widowControl w:val="0"/>
              <w:ind w:left="0" w:firstLine="0"/>
              <w:jc w:val="center"/>
              <w:rPr>
                <w:rFonts w:hint="default" w:ascii="Times New Roman" w:hAnsi="Times New Roman" w:cs="Times New Roman"/>
                <w:color w:val="auto"/>
                <w:spacing w:val="0"/>
                <w:sz w:val="21"/>
                <w:szCs w:val="21"/>
                <w:highlight w:val="none"/>
              </w:rPr>
            </w:pPr>
            <w:r>
              <w:rPr>
                <w:rFonts w:hint="default" w:ascii="Times New Roman" w:hAnsi="Times New Roman" w:cs="Times New Roman"/>
                <w:color w:val="auto"/>
                <w:spacing w:val="0"/>
                <w:sz w:val="21"/>
                <w:szCs w:val="21"/>
                <w:highlight w:val="none"/>
              </w:rPr>
              <w:t>薪酬（万元）</w:t>
            </w:r>
          </w:p>
        </w:tc>
        <w:tc>
          <w:tcPr>
            <w:tcW w:w="2877" w:type="dxa"/>
            <w:vAlign w:val="center"/>
          </w:tcPr>
          <w:p>
            <w:pPr>
              <w:pStyle w:val="36"/>
              <w:widowControl w:val="0"/>
              <w:ind w:left="0" w:firstLine="0"/>
              <w:jc w:val="center"/>
              <w:rPr>
                <w:rFonts w:hint="default" w:ascii="Times New Roman" w:hAnsi="Times New Roman" w:cs="Times New Roman"/>
                <w:color w:val="auto"/>
                <w:spacing w:val="0"/>
                <w:sz w:val="21"/>
                <w:szCs w:val="21"/>
                <w:highlight w:val="none"/>
              </w:rPr>
            </w:pPr>
            <w:r>
              <w:rPr>
                <w:rFonts w:hint="default" w:ascii="Times New Roman" w:hAnsi="Times New Roman" w:cs="Times New Roman"/>
                <w:color w:val="auto"/>
                <w:spacing w:val="0"/>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90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rPr>
              <w:t>周宏</w:t>
            </w:r>
          </w:p>
        </w:tc>
        <w:tc>
          <w:tcPr>
            <w:tcW w:w="1784"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rPr>
              <w:t>独立董事</w:t>
            </w:r>
          </w:p>
        </w:tc>
        <w:tc>
          <w:tcPr>
            <w:tcW w:w="186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rPr>
              <w:t>6</w:t>
            </w:r>
          </w:p>
        </w:tc>
        <w:tc>
          <w:tcPr>
            <w:tcW w:w="2877"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90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rPr>
              <w:t>陈泉</w:t>
            </w:r>
          </w:p>
        </w:tc>
        <w:tc>
          <w:tcPr>
            <w:tcW w:w="1784"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rPr>
              <w:t>独立董事</w:t>
            </w:r>
          </w:p>
        </w:tc>
        <w:tc>
          <w:tcPr>
            <w:tcW w:w="186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rPr>
              <w:t>6</w:t>
            </w:r>
          </w:p>
        </w:tc>
        <w:tc>
          <w:tcPr>
            <w:tcW w:w="2877"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cs="Times New Roman"/>
                <w:color w:val="auto"/>
                <w:spacing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90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eastAsia="zh-CN"/>
              </w:rPr>
              <w:t>庄尚文</w:t>
            </w:r>
          </w:p>
        </w:tc>
        <w:tc>
          <w:tcPr>
            <w:tcW w:w="1784"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rPr>
              <w:t>独立董事</w:t>
            </w:r>
          </w:p>
        </w:tc>
        <w:tc>
          <w:tcPr>
            <w:tcW w:w="186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val="en-US" w:eastAsia="zh-CN"/>
              </w:rPr>
              <w:t>6</w:t>
            </w:r>
          </w:p>
        </w:tc>
        <w:tc>
          <w:tcPr>
            <w:tcW w:w="2877"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90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eastAsia="zh-CN"/>
              </w:rPr>
              <w:t>高波</w:t>
            </w:r>
          </w:p>
        </w:tc>
        <w:tc>
          <w:tcPr>
            <w:tcW w:w="1784"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rPr>
              <w:t>独立董事</w:t>
            </w:r>
          </w:p>
        </w:tc>
        <w:tc>
          <w:tcPr>
            <w:tcW w:w="186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val="en-US" w:eastAsia="zh-CN"/>
              </w:rPr>
              <w:t>6</w:t>
            </w:r>
          </w:p>
        </w:tc>
        <w:tc>
          <w:tcPr>
            <w:tcW w:w="2877"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0" w:hRule="exact"/>
          <w:jc w:val="center"/>
        </w:trPr>
        <w:tc>
          <w:tcPr>
            <w:tcW w:w="190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eastAsia="zh-CN"/>
              </w:rPr>
              <w:t>应瑞瑶</w:t>
            </w:r>
          </w:p>
        </w:tc>
        <w:tc>
          <w:tcPr>
            <w:tcW w:w="1784"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eastAsia="zh-CN"/>
              </w:rPr>
              <w:t>独立监事</w:t>
            </w:r>
          </w:p>
        </w:tc>
        <w:tc>
          <w:tcPr>
            <w:tcW w:w="186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val="en-US" w:eastAsia="zh-CN"/>
              </w:rPr>
              <w:t>6</w:t>
            </w:r>
          </w:p>
        </w:tc>
        <w:tc>
          <w:tcPr>
            <w:tcW w:w="2877"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val="en-US" w:eastAsia="zh-CN"/>
              </w:rPr>
              <w:t>2025年1-5月任外部监事，2025.05年当选独立董事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90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eastAsia="zh-CN"/>
              </w:rPr>
              <w:t>张毅</w:t>
            </w:r>
          </w:p>
        </w:tc>
        <w:tc>
          <w:tcPr>
            <w:tcW w:w="1784"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eastAsia="zh-CN"/>
              </w:rPr>
              <w:t>股权</w:t>
            </w:r>
            <w:r>
              <w:rPr>
                <w:rFonts w:hint="default" w:ascii="Times New Roman" w:hAnsi="Times New Roman" w:cs="Times New Roman"/>
                <w:color w:val="auto"/>
                <w:spacing w:val="0"/>
                <w:sz w:val="21"/>
                <w:szCs w:val="21"/>
                <w:highlight w:val="none"/>
              </w:rPr>
              <w:t>董事</w:t>
            </w:r>
          </w:p>
        </w:tc>
        <w:tc>
          <w:tcPr>
            <w:tcW w:w="186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rPr>
              <w:t>0</w:t>
            </w:r>
          </w:p>
        </w:tc>
        <w:tc>
          <w:tcPr>
            <w:tcW w:w="2877"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val="en-US" w:eastAsia="zh-CN"/>
              </w:rPr>
              <w:t>2025.05当选，</w:t>
            </w:r>
            <w:r>
              <w:rPr>
                <w:rFonts w:hint="default" w:ascii="Times New Roman" w:hAnsi="Times New Roman" w:cs="Times New Roman"/>
                <w:color w:val="auto"/>
                <w:spacing w:val="0"/>
                <w:sz w:val="21"/>
                <w:szCs w:val="21"/>
                <w:highlight w:val="none"/>
              </w:rPr>
              <w:t>不领取薪酬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90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rPr>
              <w:t>孔德威</w:t>
            </w:r>
          </w:p>
        </w:tc>
        <w:tc>
          <w:tcPr>
            <w:tcW w:w="1784"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eastAsia="zh-CN"/>
              </w:rPr>
              <w:t>股权</w:t>
            </w:r>
            <w:r>
              <w:rPr>
                <w:rFonts w:hint="default" w:ascii="Times New Roman" w:hAnsi="Times New Roman" w:cs="Times New Roman"/>
                <w:color w:val="auto"/>
                <w:spacing w:val="0"/>
                <w:sz w:val="21"/>
                <w:szCs w:val="21"/>
                <w:highlight w:val="none"/>
              </w:rPr>
              <w:t>董事</w:t>
            </w:r>
          </w:p>
        </w:tc>
        <w:tc>
          <w:tcPr>
            <w:tcW w:w="186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rPr>
              <w:t>2</w:t>
            </w:r>
          </w:p>
        </w:tc>
        <w:tc>
          <w:tcPr>
            <w:tcW w:w="2877"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cs="Times New Roman"/>
                <w:color w:val="auto"/>
                <w:spacing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90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eastAsia="zh-CN"/>
              </w:rPr>
              <w:t>危义忠</w:t>
            </w:r>
          </w:p>
        </w:tc>
        <w:tc>
          <w:tcPr>
            <w:tcW w:w="1784"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eastAsia="zh-CN"/>
              </w:rPr>
              <w:t>股权</w:t>
            </w:r>
            <w:r>
              <w:rPr>
                <w:rFonts w:hint="default" w:ascii="Times New Roman" w:hAnsi="Times New Roman" w:cs="Times New Roman"/>
                <w:color w:val="auto"/>
                <w:spacing w:val="0"/>
                <w:sz w:val="21"/>
                <w:szCs w:val="21"/>
                <w:highlight w:val="none"/>
              </w:rPr>
              <w:t>董事</w:t>
            </w:r>
          </w:p>
        </w:tc>
        <w:tc>
          <w:tcPr>
            <w:tcW w:w="186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val="en-US" w:eastAsia="zh-CN"/>
              </w:rPr>
              <w:t>2</w:t>
            </w:r>
          </w:p>
        </w:tc>
        <w:tc>
          <w:tcPr>
            <w:tcW w:w="2877"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90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eastAsia="zh-CN"/>
              </w:rPr>
              <w:t>鲁振国</w:t>
            </w:r>
          </w:p>
        </w:tc>
        <w:tc>
          <w:tcPr>
            <w:tcW w:w="1784"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eastAsia="zh-CN"/>
              </w:rPr>
              <w:t>股权</w:t>
            </w:r>
            <w:r>
              <w:rPr>
                <w:rFonts w:hint="default" w:ascii="Times New Roman" w:hAnsi="Times New Roman" w:cs="Times New Roman"/>
                <w:color w:val="auto"/>
                <w:spacing w:val="0"/>
                <w:sz w:val="21"/>
                <w:szCs w:val="21"/>
                <w:highlight w:val="none"/>
              </w:rPr>
              <w:t>董事</w:t>
            </w:r>
          </w:p>
        </w:tc>
        <w:tc>
          <w:tcPr>
            <w:tcW w:w="186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val="en-US" w:eastAsia="zh-CN"/>
              </w:rPr>
              <w:t>2</w:t>
            </w:r>
          </w:p>
        </w:tc>
        <w:tc>
          <w:tcPr>
            <w:tcW w:w="2877"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90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eastAsia="zh-CN"/>
              </w:rPr>
              <w:t>张菊娣</w:t>
            </w:r>
          </w:p>
        </w:tc>
        <w:tc>
          <w:tcPr>
            <w:tcW w:w="1784"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eastAsia="zh-CN"/>
              </w:rPr>
              <w:t>股权</w:t>
            </w:r>
            <w:r>
              <w:rPr>
                <w:rFonts w:hint="default" w:ascii="Times New Roman" w:hAnsi="Times New Roman" w:cs="Times New Roman"/>
                <w:color w:val="auto"/>
                <w:spacing w:val="0"/>
                <w:sz w:val="21"/>
                <w:szCs w:val="21"/>
                <w:highlight w:val="none"/>
              </w:rPr>
              <w:t>董事</w:t>
            </w:r>
          </w:p>
        </w:tc>
        <w:tc>
          <w:tcPr>
            <w:tcW w:w="186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val="en-US" w:eastAsia="zh-CN"/>
              </w:rPr>
              <w:t>2</w:t>
            </w:r>
          </w:p>
        </w:tc>
        <w:tc>
          <w:tcPr>
            <w:tcW w:w="2877"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90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eastAsia="zh-CN"/>
              </w:rPr>
              <w:t>殷俊明</w:t>
            </w:r>
          </w:p>
        </w:tc>
        <w:tc>
          <w:tcPr>
            <w:tcW w:w="1784"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rPr>
              <w:t>外部监事</w:t>
            </w:r>
          </w:p>
        </w:tc>
        <w:tc>
          <w:tcPr>
            <w:tcW w:w="186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val="en-US" w:eastAsia="zh-CN"/>
              </w:rPr>
              <w:t>2.5</w:t>
            </w:r>
          </w:p>
        </w:tc>
        <w:tc>
          <w:tcPr>
            <w:tcW w:w="2877"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val="en-US" w:eastAsia="zh-CN" w:bidi="ar-SA"/>
              </w:rPr>
              <w:t>2025.05离任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90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eastAsia="zh-CN"/>
              </w:rPr>
              <w:t>彭令才</w:t>
            </w:r>
          </w:p>
        </w:tc>
        <w:tc>
          <w:tcPr>
            <w:tcW w:w="1784"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eastAsia="zh-CN"/>
              </w:rPr>
              <w:t>股权监事</w:t>
            </w:r>
          </w:p>
        </w:tc>
        <w:tc>
          <w:tcPr>
            <w:tcW w:w="186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val="en-US" w:eastAsia="zh-CN"/>
              </w:rPr>
              <w:t>0.83</w:t>
            </w:r>
          </w:p>
        </w:tc>
        <w:tc>
          <w:tcPr>
            <w:tcW w:w="2877"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bidi="ar-SA"/>
              </w:rPr>
            </w:pPr>
            <w:r>
              <w:rPr>
                <w:rFonts w:hint="default" w:ascii="Times New Roman" w:hAnsi="Times New Roman" w:cs="Times New Roman"/>
                <w:color w:val="auto"/>
                <w:spacing w:val="0"/>
                <w:sz w:val="21"/>
                <w:szCs w:val="21"/>
                <w:highlight w:val="none"/>
                <w:lang w:val="en-US" w:eastAsia="zh-CN"/>
              </w:rPr>
              <w:t>2025.05离任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686" w:type="dxa"/>
            <w:gridSpan w:val="2"/>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cs="Times New Roman"/>
                <w:color w:val="auto"/>
                <w:spacing w:val="0"/>
                <w:sz w:val="21"/>
                <w:szCs w:val="21"/>
                <w:highlight w:val="none"/>
              </w:rPr>
            </w:pPr>
            <w:r>
              <w:rPr>
                <w:rFonts w:hint="default" w:ascii="Times New Roman" w:hAnsi="Times New Roman" w:cs="Times New Roman"/>
                <w:color w:val="auto"/>
                <w:spacing w:val="0"/>
                <w:sz w:val="21"/>
                <w:szCs w:val="21"/>
                <w:highlight w:val="none"/>
              </w:rPr>
              <w:t>总计</w:t>
            </w:r>
          </w:p>
        </w:tc>
        <w:tc>
          <w:tcPr>
            <w:tcW w:w="1862"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eastAsia="仿宋_GB2312" w:cs="Times New Roman"/>
                <w:color w:val="auto"/>
                <w:spacing w:val="0"/>
                <w:sz w:val="21"/>
                <w:szCs w:val="21"/>
                <w:highlight w:val="none"/>
                <w:lang w:val="en-US" w:eastAsia="zh-CN"/>
              </w:rPr>
            </w:pPr>
            <w:r>
              <w:rPr>
                <w:rFonts w:hint="default" w:ascii="Times New Roman" w:hAnsi="Times New Roman" w:cs="Times New Roman"/>
                <w:color w:val="auto"/>
                <w:spacing w:val="0"/>
                <w:sz w:val="21"/>
                <w:szCs w:val="21"/>
                <w:highlight w:val="none"/>
                <w:lang w:val="en-US" w:eastAsia="zh-CN"/>
              </w:rPr>
              <w:t>41.33</w:t>
            </w:r>
          </w:p>
        </w:tc>
        <w:tc>
          <w:tcPr>
            <w:tcW w:w="2877" w:type="dxa"/>
            <w:tcBorders>
              <w:top w:val="single" w:color="auto" w:sz="4" w:space="0"/>
              <w:left w:val="single" w:color="auto" w:sz="4" w:space="0"/>
              <w:bottom w:val="single" w:color="auto" w:sz="4" w:space="0"/>
              <w:right w:val="single" w:color="auto" w:sz="4" w:space="0"/>
            </w:tcBorders>
            <w:vAlign w:val="center"/>
          </w:tcPr>
          <w:p>
            <w:pPr>
              <w:pStyle w:val="36"/>
              <w:widowControl w:val="0"/>
              <w:ind w:left="0" w:firstLine="0"/>
              <w:jc w:val="center"/>
              <w:rPr>
                <w:rFonts w:hint="default" w:ascii="Times New Roman" w:hAnsi="Times New Roman" w:cs="Times New Roman"/>
                <w:color w:val="auto"/>
                <w:spacing w:val="0"/>
                <w:sz w:val="21"/>
                <w:szCs w:val="21"/>
                <w:highlight w:val="none"/>
              </w:rPr>
            </w:pPr>
          </w:p>
        </w:tc>
      </w:tr>
    </w:tbl>
    <w:p>
      <w:pPr>
        <w:keepNext w:val="0"/>
        <w:keepLines w:val="0"/>
        <w:pageBreakBefore w:val="0"/>
        <w:widowControl/>
        <w:kinsoku w:val="0"/>
        <w:wordWrap/>
        <w:overflowPunct/>
        <w:topLinePunct w:val="0"/>
        <w:autoSpaceDE w:val="0"/>
        <w:autoSpaceDN w:val="0"/>
        <w:bidi w:val="0"/>
        <w:adjustRightInd w:val="0"/>
        <w:snapToGrid w:val="0"/>
        <w:spacing w:line="480" w:lineRule="exact"/>
        <w:ind w:left="585"/>
        <w:textAlignment w:val="baseline"/>
        <w:outlineLvl w:val="9"/>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sz w:val="28"/>
          <w:szCs w:val="28"/>
          <w:highlight w:val="none"/>
        </w:rPr>
        <w:t>（四）薪酬制度及高级管理人员薪酬</w:t>
      </w:r>
    </w:p>
    <w:p>
      <w:pPr>
        <w:keepNext w:val="0"/>
        <w:keepLines w:val="0"/>
        <w:pageBreakBefore w:val="0"/>
        <w:wordWrap/>
        <w:overflowPunct/>
        <w:topLinePunct w:val="0"/>
        <w:bidi w:val="0"/>
        <w:spacing w:line="480" w:lineRule="exact"/>
        <w:ind w:firstLine="560" w:firstLineChars="200"/>
        <w:jc w:val="left"/>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1.薪酬管理架构及决策程序</w:t>
      </w:r>
    </w:p>
    <w:p>
      <w:pPr>
        <w:keepNext w:val="0"/>
        <w:keepLines w:val="0"/>
        <w:pageBreakBefore w:val="0"/>
        <w:wordWrap/>
        <w:overflowPunct/>
        <w:topLinePunct w:val="0"/>
        <w:bidi w:val="0"/>
        <w:spacing w:line="480" w:lineRule="exact"/>
        <w:ind w:firstLine="560" w:firstLineChars="200"/>
        <w:jc w:val="left"/>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本行薪酬管理以上级管理部门系统薪酬文件为主要依据，本行员工薪酬由基本薪酬、绩效薪酬和福利性收入三部分组成。</w:t>
      </w:r>
    </w:p>
    <w:p>
      <w:pPr>
        <w:keepNext w:val="0"/>
        <w:keepLines w:val="0"/>
        <w:pageBreakBefore w:val="0"/>
        <w:wordWrap/>
        <w:overflowPunct/>
        <w:topLinePunct w:val="0"/>
        <w:bidi w:val="0"/>
        <w:spacing w:line="480" w:lineRule="exact"/>
        <w:ind w:firstLine="560" w:firstLineChars="200"/>
        <w:jc w:val="left"/>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其中，基本薪酬是单位为保障员工基本生活而支付的基本报酬</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包含保障工资、岗位工资和各类津贴。计划控制在年度工资总额的35%以内。</w:t>
      </w:r>
    </w:p>
    <w:p>
      <w:pPr>
        <w:keepNext w:val="0"/>
        <w:keepLines w:val="0"/>
        <w:pageBreakBefore w:val="0"/>
        <w:wordWrap/>
        <w:overflowPunct/>
        <w:topLinePunct w:val="0"/>
        <w:bidi w:val="0"/>
        <w:spacing w:line="480" w:lineRule="exact"/>
        <w:ind w:firstLine="560" w:firstLineChars="200"/>
        <w:jc w:val="left"/>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绩效薪酬是薪酬中的浮动部分，年度绩效薪酬原则上控制在年度工资总额的65%以上。员工绩效薪酬根据年度绩效工资考核分配办法执行；总行领导班子绩效薪酬根据相关考核办法，经董事会审议通过后实施。</w:t>
      </w:r>
    </w:p>
    <w:p>
      <w:pPr>
        <w:keepNext w:val="0"/>
        <w:keepLines w:val="0"/>
        <w:pageBreakBefore w:val="0"/>
        <w:wordWrap/>
        <w:overflowPunct/>
        <w:topLinePunct w:val="0"/>
        <w:bidi w:val="0"/>
        <w:spacing w:line="480" w:lineRule="exact"/>
        <w:ind w:firstLine="560" w:firstLineChars="200"/>
        <w:jc w:val="left"/>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领导班子成员薪酬</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由江苏农商联合银行依据《江苏辖内农村商业银行薪酬管理办法》对领导班子成员年度薪酬单独核定，计入所在单位薪酬总额。</w:t>
      </w:r>
    </w:p>
    <w:p>
      <w:pPr>
        <w:keepNext w:val="0"/>
        <w:keepLines w:val="0"/>
        <w:pageBreakBefore w:val="0"/>
        <w:wordWrap/>
        <w:overflowPunct/>
        <w:topLinePunct w:val="0"/>
        <w:bidi w:val="0"/>
        <w:spacing w:line="480" w:lineRule="exact"/>
        <w:ind w:firstLine="560" w:firstLineChars="200"/>
        <w:jc w:val="left"/>
        <w:outlineLvl w:val="0"/>
        <w:rPr>
          <w:rFonts w:hint="default" w:ascii="Times New Roman" w:hAnsi="Times New Roman" w:eastAsia="仿宋_GB2312" w:cs="Times New Roman"/>
          <w:color w:val="auto"/>
          <w:sz w:val="28"/>
          <w:szCs w:val="28"/>
          <w:highlight w:val="none"/>
          <w:lang w:eastAsia="zh-CN"/>
        </w:rPr>
      </w:pPr>
      <w:r>
        <w:rPr>
          <w:rFonts w:hint="default" w:ascii="Times New Roman" w:hAnsi="Times New Roman" w:eastAsia="仿宋_GB2312" w:cs="Times New Roman"/>
          <w:color w:val="auto"/>
          <w:sz w:val="28"/>
          <w:szCs w:val="28"/>
          <w:highlight w:val="none"/>
        </w:rPr>
        <w:t>本行根据监管要求和上级管理机构指导意见，制定了《高淳农商银行员工薪酬管理办法》</w:t>
      </w:r>
      <w:r>
        <w:rPr>
          <w:rFonts w:hint="default" w:ascii="Times New Roman" w:hAnsi="Times New Roman" w:eastAsia="仿宋_GB2312" w:cs="Times New Roman"/>
          <w:color w:val="auto"/>
          <w:sz w:val="28"/>
          <w:szCs w:val="28"/>
          <w:highlight w:val="none"/>
          <w:lang w:eastAsia="zh-CN"/>
        </w:rPr>
        <w:t>、《高淳农商银行薪酬延期支付管理办法》</w:t>
      </w:r>
      <w:r>
        <w:rPr>
          <w:rFonts w:hint="default" w:ascii="Times New Roman" w:hAnsi="Times New Roman" w:eastAsia="仿宋_GB2312" w:cs="Times New Roman"/>
          <w:color w:val="auto"/>
          <w:sz w:val="28"/>
          <w:szCs w:val="28"/>
          <w:highlight w:val="none"/>
        </w:rPr>
        <w:t>并根据业务发展需要，</w:t>
      </w:r>
      <w:r>
        <w:rPr>
          <w:rFonts w:hint="default" w:ascii="Times New Roman" w:hAnsi="Times New Roman" w:eastAsia="仿宋_GB2312" w:cs="Times New Roman"/>
          <w:color w:val="auto"/>
          <w:sz w:val="28"/>
          <w:szCs w:val="28"/>
          <w:highlight w:val="none"/>
          <w:lang w:eastAsia="zh-CN"/>
        </w:rPr>
        <w:t>印发</w:t>
      </w:r>
      <w:r>
        <w:rPr>
          <w:rFonts w:hint="default" w:ascii="Times New Roman" w:hAnsi="Times New Roman" w:eastAsia="仿宋_GB2312" w:cs="Times New Roman"/>
          <w:color w:val="auto"/>
          <w:sz w:val="28"/>
          <w:szCs w:val="28"/>
          <w:highlight w:val="none"/>
        </w:rPr>
        <w:t>了《高淳农商银行202</w:t>
      </w:r>
      <w:r>
        <w:rPr>
          <w:rFonts w:hint="default" w:ascii="Times New Roman" w:hAnsi="Times New Roman" w:eastAsia="仿宋_GB2312" w:cs="Times New Roman"/>
          <w:color w:val="auto"/>
          <w:sz w:val="28"/>
          <w:szCs w:val="28"/>
          <w:highlight w:val="none"/>
          <w:lang w:val="en-US" w:eastAsia="zh-CN"/>
        </w:rPr>
        <w:t>6</w:t>
      </w:r>
      <w:r>
        <w:rPr>
          <w:rFonts w:hint="default" w:ascii="Times New Roman" w:hAnsi="Times New Roman" w:eastAsia="仿宋_GB2312" w:cs="Times New Roman"/>
          <w:color w:val="auto"/>
          <w:sz w:val="28"/>
          <w:szCs w:val="28"/>
          <w:highlight w:val="none"/>
        </w:rPr>
        <w:t>年绩效工资考核分配办法》</w:t>
      </w:r>
      <w:r>
        <w:rPr>
          <w:rFonts w:hint="default" w:ascii="Times New Roman" w:hAnsi="Times New Roman" w:eastAsia="仿宋_GB2312" w:cs="Times New Roman"/>
          <w:color w:val="auto"/>
          <w:sz w:val="28"/>
          <w:szCs w:val="28"/>
          <w:highlight w:val="none"/>
          <w:lang w:eastAsia="zh-CN"/>
        </w:rPr>
        <w:t>、</w:t>
      </w:r>
    </w:p>
    <w:p>
      <w:pPr>
        <w:keepNext w:val="0"/>
        <w:keepLines w:val="0"/>
        <w:pageBreakBefore w:val="0"/>
        <w:wordWrap/>
        <w:overflowPunct/>
        <w:topLinePunct w:val="0"/>
        <w:bidi w:val="0"/>
        <w:spacing w:line="480" w:lineRule="exact"/>
        <w:jc w:val="left"/>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lang w:val="en-US" w:eastAsia="zh-CN"/>
        </w:rPr>
        <w:t>《高淳农商银行2026年经营管理目标考核办法》、《高淳农商银行2026年总行部室管理目标考核办法》</w:t>
      </w:r>
      <w:r>
        <w:rPr>
          <w:rFonts w:hint="default" w:ascii="Times New Roman" w:hAnsi="Times New Roman" w:eastAsia="仿宋_GB2312" w:cs="Times New Roman"/>
          <w:color w:val="auto"/>
          <w:sz w:val="28"/>
          <w:szCs w:val="28"/>
          <w:highlight w:val="none"/>
        </w:rPr>
        <w:t>等</w:t>
      </w:r>
      <w:r>
        <w:rPr>
          <w:rFonts w:hint="default" w:ascii="Times New Roman" w:hAnsi="Times New Roman" w:eastAsia="仿宋_GB2312" w:cs="Times New Roman"/>
          <w:color w:val="auto"/>
          <w:sz w:val="28"/>
          <w:szCs w:val="28"/>
          <w:highlight w:val="none"/>
          <w:lang w:eastAsia="zh-CN"/>
        </w:rPr>
        <w:t>一系</w:t>
      </w:r>
      <w:r>
        <w:rPr>
          <w:rFonts w:hint="default" w:ascii="Times New Roman" w:hAnsi="Times New Roman" w:eastAsia="仿宋_GB2312" w:cs="Times New Roman"/>
          <w:color w:val="auto"/>
          <w:sz w:val="28"/>
          <w:szCs w:val="28"/>
          <w:highlight w:val="none"/>
        </w:rPr>
        <w:t>列的绩效考核办法，建立了较为完善的薪酬分配和延期支付管理体系。</w:t>
      </w:r>
    </w:p>
    <w:p>
      <w:pPr>
        <w:keepNext w:val="0"/>
        <w:keepLines w:val="0"/>
        <w:pageBreakBefore w:val="0"/>
        <w:wordWrap/>
        <w:overflowPunct/>
        <w:topLinePunct w:val="0"/>
        <w:bidi w:val="0"/>
        <w:spacing w:line="480" w:lineRule="exact"/>
        <w:ind w:firstLine="560" w:firstLineChars="200"/>
        <w:jc w:val="left"/>
        <w:outlineLvl w:val="0"/>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sz w:val="28"/>
          <w:szCs w:val="28"/>
          <w:highlight w:val="none"/>
          <w:lang w:val="en-US" w:eastAsia="zh-CN"/>
        </w:rPr>
        <w:t>2026年上半年，本行董事会提名与薪酬委员会由4名董事组成，由独立董事庄尚文先生担任主任委员，负责主持委员会工作。薪酬管理方面的主要职责权限是研究和拟定董事、高级管理人员的薪酬政策与方案，向董事会提出薪酬方案建议，并监督方案实施。</w:t>
      </w:r>
    </w:p>
    <w:p>
      <w:pPr>
        <w:keepNext w:val="0"/>
        <w:keepLines w:val="0"/>
        <w:pageBreakBefore w:val="0"/>
        <w:wordWrap/>
        <w:overflowPunct/>
        <w:topLinePunct w:val="0"/>
        <w:bidi w:val="0"/>
        <w:spacing w:line="480" w:lineRule="exact"/>
        <w:ind w:firstLine="560" w:firstLineChars="200"/>
        <w:jc w:val="left"/>
        <w:outlineLvl w:val="0"/>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sz w:val="28"/>
          <w:szCs w:val="28"/>
          <w:highlight w:val="none"/>
          <w:lang w:val="en-US" w:eastAsia="zh-CN"/>
        </w:rPr>
        <w:t>2.年度薪酬总量、受益人及薪酬结构分布</w:t>
      </w:r>
    </w:p>
    <w:p>
      <w:pPr>
        <w:keepNext w:val="0"/>
        <w:keepLines w:val="0"/>
        <w:pageBreakBefore w:val="0"/>
        <w:wordWrap/>
        <w:overflowPunct/>
        <w:topLinePunct w:val="0"/>
        <w:bidi w:val="0"/>
        <w:spacing w:line="480" w:lineRule="exact"/>
        <w:ind w:firstLine="560" w:firstLineChars="200"/>
        <w:jc w:val="left"/>
        <w:outlineLvl w:val="0"/>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sz w:val="28"/>
          <w:szCs w:val="28"/>
          <w:highlight w:val="none"/>
          <w:lang w:val="en-US" w:eastAsia="zh-CN"/>
        </w:rPr>
        <w:t>报告期内薪酬兑现总额3231.17万元，其中领导人员及督导员219.52万元，其他员工3011.65万元。报告期内基本薪酬总额1248万元，占比38.62%。受益人分为领导班子成员、中层管理人员以及其他员工。</w:t>
      </w:r>
    </w:p>
    <w:p>
      <w:pPr>
        <w:keepNext w:val="0"/>
        <w:keepLines w:val="0"/>
        <w:pageBreakBefore w:val="0"/>
        <w:wordWrap/>
        <w:overflowPunct/>
        <w:topLinePunct w:val="0"/>
        <w:bidi w:val="0"/>
        <w:spacing w:line="480" w:lineRule="exact"/>
        <w:ind w:firstLine="560" w:firstLineChars="200"/>
        <w:jc w:val="left"/>
        <w:outlineLvl w:val="0"/>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sz w:val="28"/>
          <w:szCs w:val="28"/>
          <w:highlight w:val="none"/>
          <w:lang w:val="en-US" w:eastAsia="zh-CN"/>
        </w:rPr>
        <w:t>建立职工延期支付台账380个，延期支付余额达3816.75万元，延期支付比例及期限均符合相关要求。</w:t>
      </w:r>
    </w:p>
    <w:p>
      <w:pPr>
        <w:keepNext w:val="0"/>
        <w:keepLines w:val="0"/>
        <w:pageBreakBefore w:val="0"/>
        <w:wordWrap/>
        <w:overflowPunct/>
        <w:topLinePunct w:val="0"/>
        <w:bidi w:val="0"/>
        <w:spacing w:line="480" w:lineRule="exact"/>
        <w:ind w:firstLine="560" w:firstLineChars="200"/>
        <w:jc w:val="left"/>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3.薪酬延期支付和非现金薪酬情况，包括因故扣回的情况</w:t>
      </w:r>
    </w:p>
    <w:p>
      <w:pPr>
        <w:keepNext w:val="0"/>
        <w:keepLines w:val="0"/>
        <w:pageBreakBefore w:val="0"/>
        <w:wordWrap/>
        <w:overflowPunct/>
        <w:topLinePunct w:val="0"/>
        <w:bidi w:val="0"/>
        <w:spacing w:line="480" w:lineRule="exact"/>
        <w:ind w:firstLine="560" w:firstLineChars="200"/>
        <w:jc w:val="left"/>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本行落实监管要求，根据《高淳农商银行薪酬延期支付管理办法》对符合条件对象按其年度绩效薪酬的一定比例进行延期支付，且按照延期支付返还期限要求进行严格管理。</w:t>
      </w:r>
    </w:p>
    <w:p>
      <w:pPr>
        <w:keepNext w:val="0"/>
        <w:keepLines w:val="0"/>
        <w:pageBreakBefore w:val="0"/>
        <w:wordWrap/>
        <w:overflowPunct/>
        <w:topLinePunct w:val="0"/>
        <w:bidi w:val="0"/>
        <w:spacing w:line="480" w:lineRule="exact"/>
        <w:ind w:firstLine="560" w:firstLineChars="200"/>
        <w:jc w:val="left"/>
        <w:outlineLvl w:val="0"/>
        <w:rPr>
          <w:rFonts w:hint="default" w:ascii="Times New Roman" w:hAnsi="Times New Roman" w:cs="Times New Roman"/>
          <w:color w:val="auto"/>
          <w:highlight w:val="none"/>
        </w:rPr>
      </w:pPr>
      <w:r>
        <w:rPr>
          <w:rFonts w:hint="default" w:ascii="Times New Roman" w:hAnsi="Times New Roman" w:eastAsia="仿宋_GB2312" w:cs="Times New Roman"/>
          <w:color w:val="auto"/>
          <w:sz w:val="28"/>
          <w:szCs w:val="28"/>
          <w:highlight w:val="none"/>
        </w:rPr>
        <w:t>4.董事会、高级管理层和对银行风险有重要影响岗位上的员工的具体薪酬信息</w:t>
      </w:r>
    </w:p>
    <w:p>
      <w:pPr>
        <w:keepNext w:val="0"/>
        <w:keepLines w:val="0"/>
        <w:pageBreakBefore w:val="0"/>
        <w:wordWrap/>
        <w:overflowPunct/>
        <w:topLinePunct w:val="0"/>
        <w:bidi w:val="0"/>
        <w:spacing w:line="480" w:lineRule="exact"/>
        <w:ind w:firstLine="560" w:firstLineChars="200"/>
        <w:jc w:val="left"/>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报告期内，本公司领取薪酬的领导班子成员7人，督导员1人，合计金额</w:t>
      </w:r>
      <w:r>
        <w:rPr>
          <w:rFonts w:hint="default" w:ascii="Times New Roman" w:hAnsi="Times New Roman" w:eastAsia="仿宋_GB2312" w:cs="Times New Roman"/>
          <w:color w:val="auto"/>
          <w:sz w:val="28"/>
          <w:szCs w:val="28"/>
          <w:highlight w:val="none"/>
          <w:lang w:val="en-US" w:eastAsia="zh-CN"/>
        </w:rPr>
        <w:t>219.52</w:t>
      </w:r>
      <w:r>
        <w:rPr>
          <w:rFonts w:hint="default" w:ascii="Times New Roman" w:hAnsi="Times New Roman" w:eastAsia="仿宋_GB2312" w:cs="Times New Roman"/>
          <w:color w:val="auto"/>
          <w:sz w:val="28"/>
          <w:szCs w:val="28"/>
          <w:highlight w:val="none"/>
        </w:rPr>
        <w:t>万元。</w:t>
      </w:r>
    </w:p>
    <w:p>
      <w:pPr>
        <w:keepNext w:val="0"/>
        <w:keepLines w:val="0"/>
        <w:pageBreakBefore w:val="0"/>
        <w:wordWrap/>
        <w:overflowPunct/>
        <w:topLinePunct w:val="0"/>
        <w:bidi w:val="0"/>
        <w:spacing w:line="480" w:lineRule="exact"/>
        <w:ind w:firstLine="560" w:firstLineChars="200"/>
        <w:jc w:val="left"/>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5.年度薪酬方案制定、备案</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outlineLvl w:val="0"/>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sz w:val="28"/>
          <w:szCs w:val="28"/>
          <w:highlight w:val="none"/>
        </w:rPr>
        <w:t>本行每年年初以</w:t>
      </w:r>
      <w:r>
        <w:rPr>
          <w:rFonts w:hint="default" w:ascii="Times New Roman" w:hAnsi="Times New Roman" w:eastAsia="仿宋_GB2312" w:cs="Times New Roman"/>
          <w:color w:val="auto"/>
          <w:sz w:val="28"/>
          <w:szCs w:val="28"/>
          <w:highlight w:val="none"/>
          <w:lang w:val="en-US" w:eastAsia="zh-CN"/>
        </w:rPr>
        <w:t>联合银行</w:t>
      </w:r>
      <w:r>
        <w:rPr>
          <w:rFonts w:hint="default" w:ascii="Times New Roman" w:hAnsi="Times New Roman" w:eastAsia="仿宋_GB2312" w:cs="Times New Roman"/>
          <w:color w:val="auto"/>
          <w:sz w:val="28"/>
          <w:szCs w:val="28"/>
          <w:highlight w:val="none"/>
        </w:rPr>
        <w:t>核准的上年度员工工资清算额为依据，综合考虑经营目标、经济效益情况和人力资源管理要求，编制当年薪酬预案。年度终了，根据综合考核情况制定年度薪酬清算方案，上报</w:t>
      </w:r>
      <w:r>
        <w:rPr>
          <w:rFonts w:hint="default" w:ascii="Times New Roman" w:hAnsi="Times New Roman" w:eastAsia="仿宋_GB2312" w:cs="Times New Roman"/>
          <w:color w:val="auto"/>
          <w:sz w:val="28"/>
          <w:szCs w:val="28"/>
          <w:highlight w:val="none"/>
          <w:lang w:val="en-US" w:eastAsia="zh-CN"/>
        </w:rPr>
        <w:t>联合银行</w:t>
      </w:r>
      <w:r>
        <w:rPr>
          <w:rFonts w:hint="default" w:ascii="Times New Roman" w:hAnsi="Times New Roman" w:eastAsia="仿宋_GB2312" w:cs="Times New Roman"/>
          <w:color w:val="auto"/>
          <w:sz w:val="28"/>
          <w:szCs w:val="28"/>
          <w:highlight w:val="none"/>
        </w:rPr>
        <w:t>备案审核。</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outlineLvl w:val="0"/>
        <w:rPr>
          <w:rFonts w:hint="default" w:ascii="Times New Roman" w:hAnsi="Times New Roman" w:eastAsia="黑体" w:cs="Times New Roman"/>
          <w:b w:val="0"/>
          <w:bCs w:val="0"/>
          <w:color w:val="auto"/>
          <w:sz w:val="28"/>
          <w:szCs w:val="28"/>
          <w:highlight w:val="none"/>
          <w:lang w:eastAsia="zh-CN"/>
        </w:rPr>
      </w:pPr>
      <w:r>
        <w:rPr>
          <w:rFonts w:hint="default" w:ascii="Times New Roman" w:hAnsi="Times New Roman" w:eastAsia="黑体" w:cs="Times New Roman"/>
          <w:b w:val="0"/>
          <w:bCs w:val="0"/>
          <w:color w:val="auto"/>
          <w:sz w:val="28"/>
          <w:szCs w:val="28"/>
          <w:highlight w:val="none"/>
          <w:lang w:val="en-US" w:eastAsia="zh-CN"/>
        </w:rPr>
        <w:t>九、</w:t>
      </w:r>
      <w:r>
        <w:rPr>
          <w:rFonts w:hint="default" w:ascii="Times New Roman" w:hAnsi="Times New Roman" w:eastAsia="黑体" w:cs="Times New Roman"/>
          <w:b w:val="0"/>
          <w:bCs w:val="0"/>
          <w:color w:val="auto"/>
          <w:sz w:val="28"/>
          <w:szCs w:val="28"/>
          <w:highlight w:val="none"/>
        </w:rPr>
        <w:t>承诺及保证事项</w:t>
      </w:r>
    </w:p>
    <w:tbl>
      <w:tblPr>
        <w:tblStyle w:val="25"/>
        <w:tblW w:w="935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5"/>
        <w:gridCol w:w="2551"/>
        <w:gridCol w:w="2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4395" w:type="dxa"/>
            <w:vAlign w:val="center"/>
          </w:tcPr>
          <w:p>
            <w:pPr>
              <w:spacing w:line="360" w:lineRule="auto"/>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项目</w:t>
            </w:r>
          </w:p>
        </w:tc>
        <w:tc>
          <w:tcPr>
            <w:tcW w:w="2551" w:type="dxa"/>
            <w:vAlign w:val="center"/>
          </w:tcPr>
          <w:p>
            <w:pPr>
              <w:spacing w:line="360" w:lineRule="auto"/>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kern w:val="0"/>
                <w:sz w:val="21"/>
                <w:szCs w:val="21"/>
                <w:highlight w:val="none"/>
              </w:rPr>
              <w:t>202</w:t>
            </w:r>
            <w:r>
              <w:rPr>
                <w:rFonts w:hint="default" w:ascii="Times New Roman" w:hAnsi="Times New Roman" w:eastAsia="仿宋_GB2312" w:cs="Times New Roman"/>
                <w:color w:val="auto"/>
                <w:kern w:val="0"/>
                <w:sz w:val="21"/>
                <w:szCs w:val="21"/>
                <w:highlight w:val="none"/>
                <w:lang w:val="en-US" w:eastAsia="zh-CN"/>
              </w:rPr>
              <w:t>6</w:t>
            </w:r>
            <w:r>
              <w:rPr>
                <w:rFonts w:hint="default" w:ascii="Times New Roman" w:hAnsi="Times New Roman" w:eastAsia="仿宋_GB2312" w:cs="Times New Roman"/>
                <w:color w:val="auto"/>
                <w:kern w:val="0"/>
                <w:sz w:val="21"/>
                <w:szCs w:val="21"/>
                <w:highlight w:val="none"/>
              </w:rPr>
              <w:t>.</w:t>
            </w:r>
            <w:r>
              <w:rPr>
                <w:rFonts w:hint="default" w:ascii="Times New Roman" w:hAnsi="Times New Roman" w:eastAsia="仿宋_GB2312" w:cs="Times New Roman"/>
                <w:color w:val="auto"/>
                <w:kern w:val="0"/>
                <w:sz w:val="21"/>
                <w:szCs w:val="21"/>
                <w:highlight w:val="none"/>
                <w:lang w:val="en-US" w:eastAsia="zh-CN"/>
              </w:rPr>
              <w:t>06</w:t>
            </w:r>
            <w:r>
              <w:rPr>
                <w:rFonts w:hint="default" w:ascii="Times New Roman" w:hAnsi="Times New Roman" w:eastAsia="仿宋_GB2312" w:cs="Times New Roman"/>
                <w:color w:val="auto"/>
                <w:kern w:val="0"/>
                <w:sz w:val="21"/>
                <w:szCs w:val="21"/>
                <w:highlight w:val="none"/>
              </w:rPr>
              <w:t>.3</w:t>
            </w:r>
            <w:r>
              <w:rPr>
                <w:rFonts w:hint="default" w:ascii="Times New Roman" w:hAnsi="Times New Roman" w:eastAsia="仿宋_GB2312" w:cs="Times New Roman"/>
                <w:color w:val="auto"/>
                <w:kern w:val="0"/>
                <w:sz w:val="21"/>
                <w:szCs w:val="21"/>
                <w:highlight w:val="none"/>
                <w:lang w:val="en-US" w:eastAsia="zh-CN"/>
              </w:rPr>
              <w:t>0</w:t>
            </w:r>
          </w:p>
        </w:tc>
        <w:tc>
          <w:tcPr>
            <w:tcW w:w="2410" w:type="dxa"/>
            <w:vAlign w:val="center"/>
          </w:tcPr>
          <w:p>
            <w:pPr>
              <w:spacing w:line="360" w:lineRule="auto"/>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kern w:val="0"/>
                <w:sz w:val="21"/>
                <w:szCs w:val="21"/>
                <w:highlight w:val="none"/>
              </w:rPr>
              <w:t>202</w:t>
            </w:r>
            <w:r>
              <w:rPr>
                <w:rFonts w:hint="default" w:ascii="Times New Roman" w:hAnsi="Times New Roman" w:eastAsia="仿宋_GB2312" w:cs="Times New Roman"/>
                <w:color w:val="auto"/>
                <w:kern w:val="0"/>
                <w:sz w:val="21"/>
                <w:szCs w:val="21"/>
                <w:highlight w:val="none"/>
                <w:lang w:val="en-US" w:eastAsia="zh-CN"/>
              </w:rPr>
              <w:t>5</w:t>
            </w:r>
            <w:r>
              <w:rPr>
                <w:rFonts w:hint="default" w:ascii="Times New Roman" w:hAnsi="Times New Roman" w:eastAsia="仿宋_GB2312" w:cs="Times New Roman"/>
                <w:color w:val="auto"/>
                <w:kern w:val="0"/>
                <w:sz w:val="21"/>
                <w:szCs w:val="21"/>
                <w:highlight w:val="none"/>
              </w:rPr>
              <w:t>.</w:t>
            </w:r>
            <w:r>
              <w:rPr>
                <w:rFonts w:hint="default" w:ascii="Times New Roman" w:hAnsi="Times New Roman" w:eastAsia="仿宋_GB2312" w:cs="Times New Roman"/>
                <w:color w:val="auto"/>
                <w:kern w:val="0"/>
                <w:sz w:val="21"/>
                <w:szCs w:val="21"/>
                <w:highlight w:val="none"/>
                <w:lang w:val="en-US" w:eastAsia="zh-CN"/>
              </w:rPr>
              <w:t>12</w:t>
            </w:r>
            <w:r>
              <w:rPr>
                <w:rFonts w:hint="default" w:ascii="Times New Roman" w:hAnsi="Times New Roman" w:eastAsia="仿宋_GB2312" w:cs="Times New Roman"/>
                <w:color w:val="auto"/>
                <w:kern w:val="0"/>
                <w:sz w:val="21"/>
                <w:szCs w:val="21"/>
                <w:highlight w:val="none"/>
              </w:rPr>
              <w:t>.3</w:t>
            </w:r>
            <w:r>
              <w:rPr>
                <w:rFonts w:hint="default" w:ascii="Times New Roman" w:hAnsi="Times New Roman" w:eastAsia="仿宋_GB2312" w:cs="Times New Roman"/>
                <w:color w:val="auto"/>
                <w:kern w:val="0"/>
                <w:sz w:val="21"/>
                <w:szCs w:val="21"/>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4395" w:type="dxa"/>
            <w:tcBorders>
              <w:top w:val="single" w:color="auto" w:sz="4" w:space="0"/>
              <w:left w:val="single" w:color="auto" w:sz="4" w:space="0"/>
              <w:bottom w:val="single" w:color="auto" w:sz="4" w:space="0"/>
              <w:right w:val="single" w:color="auto" w:sz="4" w:space="0"/>
            </w:tcBorders>
          </w:tcPr>
          <w:p>
            <w:pPr>
              <w:spacing w:line="360" w:lineRule="auto"/>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银行承兑汇票</w:t>
            </w:r>
          </w:p>
        </w:tc>
        <w:tc>
          <w:tcPr>
            <w:tcW w:w="2551"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26052.92</w:t>
            </w:r>
          </w:p>
        </w:tc>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27598.61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4395" w:type="dxa"/>
            <w:tcBorders>
              <w:top w:val="single" w:color="auto" w:sz="4" w:space="0"/>
              <w:left w:val="single" w:color="auto" w:sz="4" w:space="0"/>
              <w:bottom w:val="single" w:color="auto" w:sz="4" w:space="0"/>
              <w:right w:val="single" w:color="auto" w:sz="4" w:space="0"/>
            </w:tcBorders>
          </w:tcPr>
          <w:p>
            <w:pPr>
              <w:spacing w:line="360" w:lineRule="auto"/>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非融资性保函</w:t>
            </w:r>
          </w:p>
        </w:tc>
        <w:tc>
          <w:tcPr>
            <w:tcW w:w="2551"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9.76</w:t>
            </w:r>
          </w:p>
        </w:tc>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9.76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4395"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合计</w:t>
            </w:r>
          </w:p>
        </w:tc>
        <w:tc>
          <w:tcPr>
            <w:tcW w:w="2551"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26062.68</w:t>
            </w:r>
          </w:p>
        </w:tc>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27608.37</w:t>
            </w:r>
          </w:p>
        </w:tc>
      </w:tr>
    </w:tbl>
    <w:p>
      <w:pPr>
        <w:keepNext w:val="0"/>
        <w:keepLines w:val="0"/>
        <w:pageBreakBefore w:val="0"/>
        <w:widowControl w:val="0"/>
        <w:kinsoku/>
        <w:wordWrap/>
        <w:overflowPunct/>
        <w:topLinePunct w:val="0"/>
        <w:bidi w:val="0"/>
        <w:snapToGrid/>
        <w:spacing w:line="480" w:lineRule="exact"/>
        <w:ind w:firstLine="420"/>
        <w:jc w:val="both"/>
        <w:textAlignment w:val="auto"/>
        <w:outlineLvl w:val="0"/>
        <w:rPr>
          <w:rFonts w:hint="default" w:ascii="Times New Roman" w:hAnsi="Times New Roman" w:eastAsia="黑体" w:cs="Times New Roman"/>
          <w:color w:val="auto"/>
          <w:sz w:val="28"/>
          <w:szCs w:val="28"/>
          <w:highlight w:val="none"/>
          <w:lang w:eastAsia="zh-CN"/>
        </w:rPr>
      </w:pPr>
      <w:r>
        <w:rPr>
          <w:rFonts w:hint="default" w:ascii="Times New Roman" w:hAnsi="Times New Roman" w:eastAsia="黑体" w:cs="Times New Roman"/>
          <w:b w:val="0"/>
          <w:bCs w:val="0"/>
          <w:color w:val="auto"/>
          <w:sz w:val="28"/>
          <w:szCs w:val="28"/>
          <w:highlight w:val="none"/>
        </w:rPr>
        <w:t>十、</w:t>
      </w:r>
      <w:r>
        <w:rPr>
          <w:rFonts w:hint="default" w:ascii="Times New Roman" w:hAnsi="Times New Roman" w:eastAsia="黑体" w:cs="Times New Roman"/>
          <w:color w:val="auto"/>
          <w:sz w:val="28"/>
          <w:szCs w:val="28"/>
          <w:highlight w:val="none"/>
        </w:rPr>
        <w:t>资产负债表日后事项</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outlineLvl w:val="0"/>
        <w:rPr>
          <w:rFonts w:hint="default" w:ascii="Times New Roman" w:hAnsi="Times New Roman" w:eastAsia="黑体" w:cs="Times New Roman"/>
          <w:b w:val="0"/>
          <w:bCs w:val="0"/>
          <w:color w:val="auto"/>
          <w:sz w:val="28"/>
          <w:szCs w:val="28"/>
          <w:highlight w:val="none"/>
        </w:rPr>
      </w:pPr>
      <w:r>
        <w:rPr>
          <w:rFonts w:hint="default" w:ascii="Times New Roman" w:hAnsi="Times New Roman" w:eastAsia="仿宋_GB2312" w:cs="Times New Roman"/>
          <w:color w:val="auto"/>
          <w:sz w:val="28"/>
          <w:szCs w:val="28"/>
          <w:highlight w:val="none"/>
        </w:rPr>
        <w:t>截至财务报告日本行无调整事项。</w:t>
      </w:r>
    </w:p>
    <w:p>
      <w:pPr>
        <w:keepNext w:val="0"/>
        <w:keepLines w:val="0"/>
        <w:pageBreakBefore w:val="0"/>
        <w:widowControl w:val="0"/>
        <w:numPr>
          <w:ilvl w:val="0"/>
          <w:numId w:val="6"/>
        </w:numPr>
        <w:kinsoku/>
        <w:wordWrap/>
        <w:overflowPunct/>
        <w:topLinePunct w:val="0"/>
        <w:autoSpaceDE w:val="0"/>
        <w:autoSpaceDN w:val="0"/>
        <w:bidi w:val="0"/>
        <w:adjustRightInd w:val="0"/>
        <w:snapToGrid/>
        <w:spacing w:line="480" w:lineRule="exact"/>
        <w:ind w:left="0" w:firstLine="420"/>
        <w:jc w:val="both"/>
        <w:textAlignment w:val="auto"/>
        <w:rPr>
          <w:rFonts w:hint="default" w:ascii="Times New Roman" w:hAnsi="Times New Roman" w:eastAsia="黑体" w:cs="Times New Roman"/>
          <w:b w:val="0"/>
          <w:bCs w:val="0"/>
          <w:color w:val="auto"/>
          <w:sz w:val="28"/>
          <w:szCs w:val="28"/>
          <w:highlight w:val="none"/>
        </w:rPr>
      </w:pPr>
      <w:r>
        <w:rPr>
          <w:rFonts w:hint="default" w:ascii="Times New Roman" w:hAnsi="Times New Roman" w:eastAsia="黑体" w:cs="Times New Roman"/>
          <w:b w:val="0"/>
          <w:bCs w:val="0"/>
          <w:color w:val="auto"/>
          <w:sz w:val="28"/>
          <w:szCs w:val="28"/>
          <w:highlight w:val="none"/>
        </w:rPr>
        <w:t>风险管理</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outlineLvl w:val="0"/>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lang w:val="en-US" w:eastAsia="zh-CN"/>
        </w:rPr>
        <w:t>一</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lang w:val="en-US" w:eastAsia="zh-CN"/>
        </w:rPr>
        <w:t>风险管理概述</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从事的金融业务具有各种类型的风险，本行通过持续的风险识别、评估等方法监控各类风险。本行业务经营中主要面临信用风险、流动性风险、市场风险和操作风险。其中市场风险包括汇率风险、利率风险和其他价格风险。风险管理的目标是在风险和收益之间取得适当的平衡，确保在合理的风险水平下安全、稳健经营。</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各支行（营业部</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lang w:val="en-US" w:eastAsia="zh-CN"/>
        </w:rPr>
        <w:t>直属分理处</w:t>
      </w:r>
      <w:r>
        <w:rPr>
          <w:rFonts w:hint="default" w:ascii="Times New Roman" w:hAnsi="Times New Roman" w:eastAsia="仿宋_GB2312" w:cs="Times New Roman"/>
          <w:color w:val="auto"/>
          <w:sz w:val="28"/>
          <w:szCs w:val="28"/>
          <w:highlight w:val="none"/>
        </w:rPr>
        <w:t>）、总行各部室负责各自范围内的风险识别与评估及控制措施的实施。风险管理部负责风险识别与评估的指导与汇总工作，分管行领导负责分管部门可接受风险的确定，行长负责本行可接受风险的确定，董事长负责本行不可接受风险的确定。</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董事会负责制定整体风险管理战略，监督本行风险管理及内部控制系统，并评估全行总体风险；高级管理层根据董事会制定的风险管理战略，制定并推动执行相应的风险管理政策、制度和程序；监事会对董事会和高级管理层在风险管理方面的履职尽责情况进行监督；风险管理部、信贷管理部、计划财务部、合规管理部共同构成本行风险管理的主要职能部门，具体执行各项风险管理的政策和制度；内部审计部门负责对本行的风险管理和控制环境进行独立的复核。</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lang w:val="en-US" w:eastAsia="zh-CN"/>
        </w:rPr>
        <w:t>二</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信用风险</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信用风险是指借款人或交易对手无法履行到期合同约定的义务承担的风险。信用风险主要存在于对公业务、对私业务及资金业务(包括债权性投资)之中。</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对包括授信调查和申报、授信审查审批、贷款发放、贷后监控和不良贷款管理等环节的信贷业务全流程实行规范化管理，并参照中国银保监会会同中国人民银行联合制定的《商业银行金融资产风险分类办法》，制定风险分类实施细则，管理贷款信用风险。客户经理负责接收授信申请人的申请文件，对申请人进行贷前调查，评估申请人和申请业务的信用风险。本行实行分级审批制度，在综合考虑申请人信用状况、财务状况、抵质押物和保证情况、信贷组合总体信用风险、宏观调控政策以及法律法规限制等各种因素基础上，确定授信限额，结合国家宏观调控趋势，加强信贷业务的政策动态指引和行业差异化管理，不断提高全行贷款结构分布的合理性。客户经理负责实施贷后的定期和不定期监控。对不良贷款，主要通过(1)催收；(2)重组；(3)执行处置抵质押物或向担保方追索；(4)诉讼或仲裁；(5)按监管规定核销等方式，对不良贷款进行管理，尽可能降低本行遭受的信用风险损失程度。对资金业务(包括债权性投资)，本行对涉及的同业及债券发行主体实行总行统一审查审批，并实行额度管理，通过谨慎选择同业、平衡信用风险与投资收益率、参考外部信用评级信息、审查调整投资额度等方式，对资金业务的信用风险进行管理。</w:t>
      </w:r>
    </w:p>
    <w:p>
      <w:pPr>
        <w:keepNext w:val="0"/>
        <w:keepLines w:val="0"/>
        <w:pageBreakBefore w:val="0"/>
        <w:widowControl w:val="0"/>
        <w:kinsoku/>
        <w:wordWrap/>
        <w:overflowPunct/>
        <w:topLinePunct w:val="0"/>
        <w:autoSpaceDE w:val="0"/>
        <w:autoSpaceDN w:val="0"/>
        <w:bidi w:val="0"/>
        <w:adjustRightInd w:val="0"/>
        <w:snapToGrid/>
        <w:spacing w:line="480" w:lineRule="exact"/>
        <w:ind w:firstLine="560" w:firstLineChars="200"/>
        <w:jc w:val="both"/>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lang w:val="en-US" w:eastAsia="zh-CN"/>
        </w:rPr>
        <w:t>三</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流动性风险</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流动性风险是指没有足够资金以满足到期债务支付的风险。流动性风险主要来自存款人提前或集中提款、借款人延期偿还贷款、资产负债的金额与到期日错配等。</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本行对流动性风险实施总行集中管理。计划财务部对日常流动性风险进行监控。在预测流动性需求的基础上，制定相应的流动性管理方案。具体措施主要包括：</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outlineLvl w:val="0"/>
        <w:rPr>
          <w:rFonts w:hint="default" w:ascii="Times New Roman" w:hAnsi="Times New Roman" w:eastAsia="仿宋_GB2312" w:cs="Times New Roman"/>
          <w:i w:val="0"/>
          <w:iCs w:val="0"/>
          <w:color w:val="auto"/>
          <w:sz w:val="28"/>
          <w:szCs w:val="28"/>
          <w:highlight w:val="none"/>
        </w:rPr>
      </w:pPr>
      <w:r>
        <w:rPr>
          <w:rFonts w:hint="default" w:ascii="Times New Roman" w:hAnsi="Times New Roman" w:eastAsia="仿宋_GB2312" w:cs="Times New Roman"/>
          <w:color w:val="auto"/>
          <w:sz w:val="28"/>
          <w:szCs w:val="28"/>
          <w:highlight w:val="none"/>
          <w:lang w:val="en-US" w:eastAsia="zh-CN"/>
        </w:rPr>
        <w:t>1.</w:t>
      </w:r>
      <w:r>
        <w:rPr>
          <w:rFonts w:hint="default" w:ascii="Times New Roman" w:hAnsi="Times New Roman" w:eastAsia="仿宋_GB2312" w:cs="Times New Roman"/>
          <w:color w:val="auto"/>
          <w:sz w:val="28"/>
          <w:szCs w:val="28"/>
          <w:highlight w:val="none"/>
        </w:rPr>
        <w:t>保持负债稳定</w:t>
      </w:r>
      <w:r>
        <w:rPr>
          <w:rFonts w:hint="default" w:ascii="Times New Roman" w:hAnsi="Times New Roman" w:eastAsia="仿宋_GB2312" w:cs="Times New Roman"/>
          <w:i w:val="0"/>
          <w:iCs w:val="0"/>
          <w:color w:val="auto"/>
          <w:sz w:val="28"/>
          <w:szCs w:val="28"/>
          <w:highlight w:val="none"/>
        </w:rPr>
        <w:t>性，确保核心存款在负债中的比重；</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i w:val="0"/>
          <w:iCs w:val="0"/>
          <w:color w:val="auto"/>
          <w:sz w:val="28"/>
          <w:szCs w:val="28"/>
          <w:highlight w:val="none"/>
          <w:lang w:val="en-US" w:eastAsia="zh-CN"/>
        </w:rPr>
        <w:t>2.</w:t>
      </w:r>
      <w:r>
        <w:rPr>
          <w:rFonts w:hint="default" w:ascii="Times New Roman" w:hAnsi="Times New Roman" w:eastAsia="仿宋_GB2312" w:cs="Times New Roman"/>
          <w:i w:val="0"/>
          <w:iCs w:val="0"/>
          <w:color w:val="auto"/>
          <w:sz w:val="28"/>
          <w:szCs w:val="28"/>
          <w:highlight w:val="none"/>
        </w:rPr>
        <w:t>设置一定的参数和限额监控和管</w:t>
      </w:r>
      <w:r>
        <w:rPr>
          <w:rFonts w:hint="default" w:ascii="Times New Roman" w:hAnsi="Times New Roman" w:eastAsia="仿宋_GB2312" w:cs="Times New Roman"/>
          <w:color w:val="auto"/>
          <w:sz w:val="28"/>
          <w:szCs w:val="28"/>
          <w:highlight w:val="none"/>
        </w:rPr>
        <w:t>理全行流动性头寸，对全行流动资金在总行集中管理，统一运用；</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lang w:val="en-US" w:eastAsia="zh-CN"/>
        </w:rPr>
        <w:t>3.</w:t>
      </w:r>
      <w:r>
        <w:rPr>
          <w:rFonts w:hint="default" w:ascii="Times New Roman" w:hAnsi="Times New Roman" w:eastAsia="仿宋_GB2312" w:cs="Times New Roman"/>
          <w:color w:val="auto"/>
          <w:sz w:val="28"/>
          <w:szCs w:val="28"/>
          <w:highlight w:val="none"/>
        </w:rPr>
        <w:t>保持适当比例的现金及央行超额存款准备金、同业往来、流动性高的债权性投资，参与公开市场、货币市场和债券市场运作，保证良好的市场融资能力；</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lang w:val="en-US" w:eastAsia="zh-CN"/>
        </w:rPr>
        <w:t>4.</w:t>
      </w:r>
      <w:r>
        <w:rPr>
          <w:rFonts w:hint="default" w:ascii="Times New Roman" w:hAnsi="Times New Roman" w:eastAsia="仿宋_GB2312" w:cs="Times New Roman"/>
          <w:color w:val="auto"/>
          <w:sz w:val="28"/>
          <w:szCs w:val="28"/>
          <w:highlight w:val="none"/>
        </w:rPr>
        <w:t>建立流动性预警机制和应急预案。</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（四）市场风险</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outlineLvl w:val="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市场风险是指因市场价格出现不利变动而使银行表内和表外业务发生损失的风险。市场风险主要包括利率风险、汇率风险及其他价格风险。市场风险主要存在于银行账户中。金融市场部作为归口管理部门，负责组织实施市场风险管理。银行账户反映本行非交易性金融资产与负债。本行银行账户面临的主要市场风险是利率风险，主要源自于资产负债利率重定价期限错配。敏感性分析是本行对银行账户市场风险进行评估与计量的主要手段。通过利用缺口分析系统，对利率敏感资产负债的重定价期限缺口实施定期监控，主动调整浮动利率与固定利率资产的比重，对利率风险进行管理。</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（五）操作风险</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1.内部流程控制情况</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报告期内，本行能根据业务及管理变化及时完善流程，对本行相关文件制度进行更新完善。</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2.法律事务管理情况</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报告期内无因违规违法办理会计结算、信贷等业务，导致出现票据诈骗、信用卡诈骗、合同失去法律效力、抵（质）押无效等重大法律风险现象。</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3.外部风险控制情况</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报告期内未发生外部盗窃、抢劫、涉枪行为；无伪造、变造票据、骗贷等欺诈行为；无发生重大自然灾害、人为因素造成重大损失现象。</w:t>
      </w:r>
    </w:p>
    <w:p>
      <w:pPr>
        <w:keepNext w:val="0"/>
        <w:keepLines w:val="0"/>
        <w:pageBreakBefore w:val="0"/>
        <w:widowControl w:val="0"/>
        <w:kinsoku/>
        <w:wordWrap/>
        <w:overflowPunct/>
        <w:topLinePunct w:val="0"/>
        <w:bidi w:val="0"/>
        <w:snapToGrid/>
        <w:spacing w:line="480" w:lineRule="exact"/>
        <w:ind w:firstLine="560" w:firstLineChars="200"/>
        <w:jc w:val="both"/>
        <w:textAlignment w:val="auto"/>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lang w:val="en-US" w:eastAsia="zh-CN"/>
        </w:rPr>
        <w:t>六</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相关风险指标</w:t>
      </w:r>
    </w:p>
    <w:tbl>
      <w:tblPr>
        <w:tblStyle w:val="25"/>
        <w:tblW w:w="92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7"/>
        <w:gridCol w:w="2736"/>
        <w:gridCol w:w="1276"/>
        <w:gridCol w:w="1595"/>
        <w:gridCol w:w="16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9" w:hRule="exact"/>
          <w:jc w:val="center"/>
        </w:trPr>
        <w:tc>
          <w:tcPr>
            <w:tcW w:w="4723" w:type="dxa"/>
            <w:gridSpan w:val="2"/>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项目</w:t>
            </w:r>
          </w:p>
        </w:tc>
        <w:tc>
          <w:tcPr>
            <w:tcW w:w="1276" w:type="dxa"/>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lang w:eastAsia="zh-CN"/>
              </w:rPr>
              <w:t>监管</w:t>
            </w:r>
            <w:r>
              <w:rPr>
                <w:rFonts w:hint="default" w:ascii="Times New Roman" w:hAnsi="Times New Roman" w:eastAsia="仿宋_GB2312" w:cs="Times New Roman"/>
                <w:color w:val="auto"/>
                <w:sz w:val="21"/>
                <w:szCs w:val="21"/>
                <w:highlight w:val="none"/>
              </w:rPr>
              <w:t>值</w:t>
            </w:r>
          </w:p>
        </w:tc>
        <w:tc>
          <w:tcPr>
            <w:tcW w:w="1595" w:type="dxa"/>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rPr>
              <w:t>202</w:t>
            </w:r>
            <w:r>
              <w:rPr>
                <w:rFonts w:hint="default" w:ascii="Times New Roman" w:hAnsi="Times New Roman" w:eastAsia="仿宋_GB2312" w:cs="Times New Roman"/>
                <w:color w:val="auto"/>
                <w:sz w:val="21"/>
                <w:szCs w:val="21"/>
                <w:highlight w:val="none"/>
                <w:lang w:val="en-US" w:eastAsia="zh-CN"/>
              </w:rPr>
              <w:t>6.6</w:t>
            </w:r>
            <w:r>
              <w:rPr>
                <w:rFonts w:hint="default" w:ascii="Times New Roman" w:hAnsi="Times New Roman" w:eastAsia="仿宋_GB2312" w:cs="Times New Roman"/>
                <w:color w:val="auto"/>
                <w:sz w:val="21"/>
                <w:szCs w:val="21"/>
                <w:highlight w:val="none"/>
              </w:rPr>
              <w:t>.</w:t>
            </w:r>
            <w:r>
              <w:rPr>
                <w:rFonts w:hint="default" w:ascii="Times New Roman" w:hAnsi="Times New Roman" w:eastAsia="仿宋_GB2312" w:cs="Times New Roman"/>
                <w:color w:val="auto"/>
                <w:sz w:val="21"/>
                <w:szCs w:val="21"/>
                <w:highlight w:val="none"/>
                <w:lang w:val="en-US" w:eastAsia="zh-CN"/>
              </w:rPr>
              <w:t>30</w:t>
            </w:r>
          </w:p>
        </w:tc>
        <w:tc>
          <w:tcPr>
            <w:tcW w:w="1652" w:type="dxa"/>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202</w:t>
            </w:r>
            <w:r>
              <w:rPr>
                <w:rFonts w:hint="default" w:ascii="Times New Roman" w:hAnsi="Times New Roman" w:eastAsia="仿宋_GB2312" w:cs="Times New Roman"/>
                <w:color w:val="auto"/>
                <w:sz w:val="21"/>
                <w:szCs w:val="21"/>
                <w:highlight w:val="none"/>
                <w:lang w:val="en-US" w:eastAsia="zh-CN"/>
              </w:rPr>
              <w:t>5.</w:t>
            </w:r>
            <w:r>
              <w:rPr>
                <w:rFonts w:hint="default" w:ascii="Times New Roman" w:hAnsi="Times New Roman" w:eastAsia="仿宋_GB2312" w:cs="Times New Roman"/>
                <w:color w:val="auto"/>
                <w:sz w:val="21"/>
                <w:szCs w:val="21"/>
                <w:highlight w:val="none"/>
              </w:rPr>
              <w:t>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87"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流动性风险</w:t>
            </w:r>
          </w:p>
        </w:tc>
        <w:tc>
          <w:tcPr>
            <w:tcW w:w="27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存贷款比</w:t>
            </w: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p>
        </w:tc>
        <w:tc>
          <w:tcPr>
            <w:tcW w:w="15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66.72%</w:t>
            </w:r>
          </w:p>
        </w:tc>
        <w:tc>
          <w:tcPr>
            <w:tcW w:w="16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66.69%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87"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27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流动性比例</w:t>
            </w: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≥25%</w:t>
            </w:r>
          </w:p>
        </w:tc>
        <w:tc>
          <w:tcPr>
            <w:tcW w:w="15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85.47%</w:t>
            </w:r>
          </w:p>
        </w:tc>
        <w:tc>
          <w:tcPr>
            <w:tcW w:w="16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118.78%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87"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27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核心负债依存度</w:t>
            </w: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≥60%</w:t>
            </w:r>
          </w:p>
        </w:tc>
        <w:tc>
          <w:tcPr>
            <w:tcW w:w="15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79.18%</w:t>
            </w:r>
          </w:p>
        </w:tc>
        <w:tc>
          <w:tcPr>
            <w:tcW w:w="16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64.13%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87"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27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流动性缺口</w:t>
            </w: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≥-10%</w:t>
            </w:r>
          </w:p>
        </w:tc>
        <w:tc>
          <w:tcPr>
            <w:tcW w:w="15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18.87%</w:t>
            </w:r>
          </w:p>
        </w:tc>
        <w:tc>
          <w:tcPr>
            <w:tcW w:w="16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-21.63%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87"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信用风险</w:t>
            </w:r>
          </w:p>
        </w:tc>
        <w:tc>
          <w:tcPr>
            <w:tcW w:w="27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val="0"/>
              <w:adjustRightInd w:val="0"/>
              <w:spacing w:before="0" w:beforeAutospacing="0" w:after="0" w:afterAutospacing="0"/>
              <w:ind w:left="0" w:right="0"/>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不良资产率</w:t>
            </w: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≤4%</w:t>
            </w:r>
          </w:p>
        </w:tc>
        <w:tc>
          <w:tcPr>
            <w:tcW w:w="15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0.92%</w:t>
            </w:r>
          </w:p>
        </w:tc>
        <w:tc>
          <w:tcPr>
            <w:tcW w:w="16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0.74%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87"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27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val="0"/>
              <w:adjustRightInd w:val="0"/>
              <w:spacing w:before="0" w:beforeAutospacing="0" w:after="0" w:afterAutospacing="0"/>
              <w:ind w:left="0" w:right="0"/>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不良贷款率</w:t>
            </w: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≤5%</w:t>
            </w:r>
          </w:p>
        </w:tc>
        <w:tc>
          <w:tcPr>
            <w:tcW w:w="15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1.43%</w:t>
            </w:r>
          </w:p>
        </w:tc>
        <w:tc>
          <w:tcPr>
            <w:tcW w:w="16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87"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27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val="0"/>
              <w:adjustRightInd w:val="0"/>
              <w:spacing w:before="0" w:beforeAutospacing="0" w:after="0" w:afterAutospacing="0"/>
              <w:ind w:left="0" w:right="0"/>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单一集团客户授信集中度</w:t>
            </w: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≤15%</w:t>
            </w:r>
          </w:p>
        </w:tc>
        <w:tc>
          <w:tcPr>
            <w:tcW w:w="15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10.53%</w:t>
            </w:r>
          </w:p>
        </w:tc>
        <w:tc>
          <w:tcPr>
            <w:tcW w:w="16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10.68%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87"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27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autoSpaceDE w:val="0"/>
              <w:autoSpaceDN w:val="0"/>
              <w:adjustRightInd w:val="0"/>
              <w:spacing w:before="0" w:beforeAutospacing="0" w:after="0" w:afterAutospacing="0"/>
              <w:ind w:left="0" w:right="0"/>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单一客户贷款集中度</w:t>
            </w: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≤10%</w:t>
            </w:r>
          </w:p>
        </w:tc>
        <w:tc>
          <w:tcPr>
            <w:tcW w:w="15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7.35%</w:t>
            </w:r>
          </w:p>
        </w:tc>
        <w:tc>
          <w:tcPr>
            <w:tcW w:w="16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7.04%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87"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p>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风险迁徙</w:t>
            </w:r>
          </w:p>
        </w:tc>
        <w:tc>
          <w:tcPr>
            <w:tcW w:w="27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正常类贷款迁徙率</w:t>
            </w: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lang w:val="en-US" w:eastAsia="zh-CN"/>
              </w:rPr>
            </w:pPr>
          </w:p>
        </w:tc>
        <w:tc>
          <w:tcPr>
            <w:tcW w:w="15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2.79%</w:t>
            </w:r>
          </w:p>
        </w:tc>
        <w:tc>
          <w:tcPr>
            <w:tcW w:w="16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3.08%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87"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27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关注类贷款迁徙率</w:t>
            </w: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lang w:val="en-US" w:eastAsia="zh-CN"/>
              </w:rPr>
            </w:pPr>
          </w:p>
        </w:tc>
        <w:tc>
          <w:tcPr>
            <w:tcW w:w="15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31.37%</w:t>
            </w:r>
          </w:p>
        </w:tc>
        <w:tc>
          <w:tcPr>
            <w:tcW w:w="16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41.54%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87"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27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次级类贷款迁徙率</w:t>
            </w: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color w:val="auto"/>
                <w:sz w:val="21"/>
                <w:szCs w:val="21"/>
                <w:highlight w:val="none"/>
                <w:lang w:val="en-US" w:eastAsia="zh-CN"/>
              </w:rPr>
            </w:pPr>
          </w:p>
        </w:tc>
        <w:tc>
          <w:tcPr>
            <w:tcW w:w="15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82.34%</w:t>
            </w:r>
          </w:p>
        </w:tc>
        <w:tc>
          <w:tcPr>
            <w:tcW w:w="16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67.48%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87"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27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可疑类贷款迁徙率</w:t>
            </w: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color w:val="auto"/>
                <w:sz w:val="21"/>
                <w:szCs w:val="21"/>
                <w:highlight w:val="none"/>
                <w:lang w:val="en-US" w:eastAsia="zh-CN"/>
              </w:rPr>
            </w:pPr>
          </w:p>
        </w:tc>
        <w:tc>
          <w:tcPr>
            <w:tcW w:w="15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89.79%</w:t>
            </w:r>
          </w:p>
        </w:tc>
        <w:tc>
          <w:tcPr>
            <w:tcW w:w="16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92.34%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87"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盈利能力</w:t>
            </w:r>
          </w:p>
        </w:tc>
        <w:tc>
          <w:tcPr>
            <w:tcW w:w="27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成本收入比</w:t>
            </w: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p>
        </w:tc>
        <w:tc>
          <w:tcPr>
            <w:tcW w:w="15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29.84%</w:t>
            </w:r>
          </w:p>
        </w:tc>
        <w:tc>
          <w:tcPr>
            <w:tcW w:w="16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36.55%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87"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27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资产利润率</w:t>
            </w: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≥0.6%</w:t>
            </w:r>
          </w:p>
        </w:tc>
        <w:tc>
          <w:tcPr>
            <w:tcW w:w="15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0.28%</w:t>
            </w:r>
          </w:p>
        </w:tc>
        <w:tc>
          <w:tcPr>
            <w:tcW w:w="16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0.61%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jc w:val="center"/>
        </w:trPr>
        <w:tc>
          <w:tcPr>
            <w:tcW w:w="198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hint="default" w:ascii="Times New Roman" w:hAnsi="Times New Roman" w:cs="Times New Roman"/>
              </w:rPr>
            </w:pPr>
          </w:p>
        </w:tc>
        <w:tc>
          <w:tcPr>
            <w:tcW w:w="27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资本利润率</w:t>
            </w: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≥11%</w:t>
            </w:r>
          </w:p>
        </w:tc>
        <w:tc>
          <w:tcPr>
            <w:tcW w:w="15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3.18%</w:t>
            </w:r>
          </w:p>
        </w:tc>
        <w:tc>
          <w:tcPr>
            <w:tcW w:w="16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8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准备金充足程度</w:t>
            </w:r>
          </w:p>
        </w:tc>
        <w:tc>
          <w:tcPr>
            <w:tcW w:w="27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贷款拨备率</w:t>
            </w: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≥2.5%</w:t>
            </w:r>
          </w:p>
        </w:tc>
        <w:tc>
          <w:tcPr>
            <w:tcW w:w="15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2.67%</w:t>
            </w:r>
          </w:p>
        </w:tc>
        <w:tc>
          <w:tcPr>
            <w:tcW w:w="16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2.89%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8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hint="default" w:ascii="Times New Roman" w:hAnsi="Times New Roman" w:cs="Times New Roman"/>
              </w:rPr>
            </w:pPr>
          </w:p>
        </w:tc>
        <w:tc>
          <w:tcPr>
            <w:tcW w:w="27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不良资产拨备覆盖率</w:t>
            </w: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≥150%</w:t>
            </w:r>
          </w:p>
        </w:tc>
        <w:tc>
          <w:tcPr>
            <w:tcW w:w="15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202.6</w:t>
            </w:r>
            <w:r>
              <w:rPr>
                <w:rFonts w:hint="default" w:ascii="Times New Roman" w:hAnsi="Times New Roman" w:eastAsia="仿宋_GB2312" w:cs="Times New Roman"/>
                <w:color w:val="auto"/>
                <w:sz w:val="21"/>
                <w:szCs w:val="21"/>
                <w:highlight w:val="none"/>
                <w:lang w:val="zh-CN" w:eastAsia="zh-CN"/>
              </w:rPr>
              <w:t>%</w:t>
            </w:r>
          </w:p>
        </w:tc>
        <w:tc>
          <w:tcPr>
            <w:tcW w:w="16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zh-CN" w:eastAsia="zh-CN"/>
              </w:rPr>
              <w:t>261.66%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87"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资本充足程度（BIII）</w:t>
            </w:r>
          </w:p>
        </w:tc>
        <w:tc>
          <w:tcPr>
            <w:tcW w:w="27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资本充足率</w:t>
            </w: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≥10.5%</w:t>
            </w:r>
          </w:p>
        </w:tc>
        <w:tc>
          <w:tcPr>
            <w:tcW w:w="15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14.26%</w:t>
            </w:r>
          </w:p>
        </w:tc>
        <w:tc>
          <w:tcPr>
            <w:tcW w:w="16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15.65%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987"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rPr>
            </w:pPr>
          </w:p>
        </w:tc>
        <w:tc>
          <w:tcPr>
            <w:tcW w:w="27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一级资本充足率</w:t>
            </w: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≥8.5%</w:t>
            </w:r>
          </w:p>
        </w:tc>
        <w:tc>
          <w:tcPr>
            <w:tcW w:w="15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13.13%</w:t>
            </w:r>
          </w:p>
        </w:tc>
        <w:tc>
          <w:tcPr>
            <w:tcW w:w="16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zh-CN"/>
              </w:rPr>
              <w:t>14.50%</w:t>
            </w:r>
          </w:p>
        </w:tc>
      </w:tr>
    </w:tbl>
    <w:p>
      <w:pPr>
        <w:spacing w:before="156" w:beforeLines="50" w:line="400" w:lineRule="exact"/>
        <w:ind w:left="0" w:firstLine="560" w:firstLineChars="200"/>
        <w:jc w:val="left"/>
        <w:rPr>
          <w:rFonts w:hint="default" w:ascii="Times New Roman" w:hAnsi="Times New Roman" w:eastAsia="仿宋_GB2312" w:cs="Times New Roman"/>
          <w:b/>
          <w:color w:val="auto"/>
          <w:sz w:val="28"/>
          <w:szCs w:val="28"/>
          <w:highlight w:val="none"/>
        </w:rPr>
      </w:pPr>
      <w:r>
        <w:rPr>
          <w:rFonts w:hint="default" w:ascii="Times New Roman" w:hAnsi="Times New Roman" w:eastAsia="黑体" w:cs="Times New Roman"/>
          <w:b w:val="0"/>
          <w:bCs/>
          <w:color w:val="auto"/>
          <w:sz w:val="28"/>
          <w:szCs w:val="28"/>
          <w:highlight w:val="none"/>
          <w:lang w:eastAsia="zh-CN"/>
        </w:rPr>
        <w:t>十二、</w:t>
      </w:r>
      <w:r>
        <w:rPr>
          <w:rFonts w:hint="default" w:ascii="Times New Roman" w:hAnsi="Times New Roman" w:eastAsia="黑体" w:cs="Times New Roman"/>
          <w:b w:val="0"/>
          <w:bCs/>
          <w:color w:val="auto"/>
          <w:sz w:val="28"/>
          <w:szCs w:val="28"/>
          <w:highlight w:val="none"/>
        </w:rPr>
        <w:t>其他财务指标</w:t>
      </w:r>
    </w:p>
    <w:tbl>
      <w:tblPr>
        <w:tblStyle w:val="25"/>
        <w:tblW w:w="902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10"/>
        <w:gridCol w:w="2362"/>
        <w:gridCol w:w="235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blHeader/>
        </w:trPr>
        <w:tc>
          <w:tcPr>
            <w:tcW w:w="4310" w:type="dxa"/>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_GB2312" w:cs="Times New Roman"/>
                <w:color w:val="auto"/>
                <w:sz w:val="24"/>
                <w:szCs w:val="24"/>
                <w:highlight w:val="none"/>
              </w:rPr>
              <w:t>项目</w:t>
            </w:r>
          </w:p>
        </w:tc>
        <w:tc>
          <w:tcPr>
            <w:tcW w:w="2362" w:type="dxa"/>
            <w:tcBorders>
              <w:left w:val="single" w:color="000000" w:sz="4" w:space="0"/>
            </w:tcBorders>
            <w:vAlign w:val="center"/>
          </w:tcPr>
          <w:p>
            <w:pPr>
              <w:ind w:right="-37"/>
              <w:jc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2026-6-30</w:t>
            </w:r>
          </w:p>
        </w:tc>
        <w:tc>
          <w:tcPr>
            <w:tcW w:w="2357" w:type="dxa"/>
            <w:tcBorders>
              <w:left w:val="single" w:color="000000" w:sz="4" w:space="0"/>
            </w:tcBorders>
            <w:vAlign w:val="center"/>
          </w:tcPr>
          <w:p>
            <w:pPr>
              <w:ind w:right="-37"/>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202</w:t>
            </w:r>
            <w:r>
              <w:rPr>
                <w:rFonts w:hint="default" w:ascii="Times New Roman" w:hAnsi="Times New Roman" w:eastAsia="仿宋" w:cs="Times New Roman"/>
                <w:color w:val="auto"/>
                <w:sz w:val="24"/>
                <w:szCs w:val="24"/>
                <w:highlight w:val="none"/>
                <w:lang w:val="en-US" w:eastAsia="zh-CN"/>
              </w:rPr>
              <w:t>5</w:t>
            </w:r>
            <w:r>
              <w:rPr>
                <w:rFonts w:hint="default" w:ascii="Times New Roman" w:hAnsi="Times New Roman" w:eastAsia="仿宋" w:cs="Times New Roman"/>
                <w:color w:val="auto"/>
                <w:sz w:val="24"/>
                <w:szCs w:val="24"/>
                <w:highlight w:val="none"/>
              </w:rPr>
              <w:t>-12-31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4310" w:type="dxa"/>
            <w:vAlign w:val="center"/>
          </w:tcPr>
          <w:p>
            <w:pPr>
              <w:ind w:right="-37"/>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资本净额</w:t>
            </w:r>
          </w:p>
        </w:tc>
        <w:tc>
          <w:tcPr>
            <w:tcW w:w="2362" w:type="dxa"/>
            <w:tcBorders>
              <w:left w:val="single" w:color="000000" w:sz="4" w:space="0"/>
            </w:tcBorders>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272,252.28</w:t>
            </w:r>
          </w:p>
        </w:tc>
        <w:tc>
          <w:tcPr>
            <w:tcW w:w="2357" w:type="dxa"/>
            <w:tcBorders>
              <w:left w:val="single" w:color="000000" w:sz="4" w:space="0"/>
            </w:tcBorders>
            <w:vAlign w:val="bottom"/>
          </w:tcPr>
          <w:p>
            <w:pPr>
              <w:widowControl/>
              <w:ind w:right="-37"/>
              <w:jc w:val="right"/>
              <w:textAlignment w:val="bottom"/>
              <w:rPr>
                <w:rFonts w:hint="default" w:ascii="Times New Roman" w:hAnsi="Times New Roman" w:eastAsia="仿宋" w:cs="Times New Roman"/>
                <w:color w:val="auto"/>
                <w:kern w:val="0"/>
                <w:sz w:val="22"/>
                <w:highlight w:val="none"/>
              </w:rPr>
            </w:pPr>
            <w:r>
              <w:rPr>
                <w:rFonts w:hint="default" w:ascii="Times New Roman" w:hAnsi="Times New Roman" w:eastAsia="仿宋" w:cs="Times New Roman"/>
                <w:color w:val="auto"/>
                <w:kern w:val="0"/>
                <w:sz w:val="22"/>
                <w:highlight w:val="none"/>
                <w:lang w:val="en-US" w:eastAsia="zh-CN"/>
              </w:rPr>
              <w:t xml:space="preserve">269,962.43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4310" w:type="dxa"/>
            <w:vAlign w:val="center"/>
          </w:tcPr>
          <w:p>
            <w:pPr>
              <w:ind w:right="-37"/>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核心一级资本净额</w:t>
            </w:r>
          </w:p>
        </w:tc>
        <w:tc>
          <w:tcPr>
            <w:tcW w:w="2362" w:type="dxa"/>
            <w:tcBorders>
              <w:left w:val="single" w:color="000000" w:sz="4" w:space="0"/>
            </w:tcBorders>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250,753.37</w:t>
            </w:r>
          </w:p>
        </w:tc>
        <w:tc>
          <w:tcPr>
            <w:tcW w:w="2357" w:type="dxa"/>
            <w:tcBorders>
              <w:left w:val="single" w:color="000000" w:sz="4" w:space="0"/>
            </w:tcBorders>
            <w:vAlign w:val="bottom"/>
          </w:tcPr>
          <w:p>
            <w:pPr>
              <w:widowControl/>
              <w:ind w:right="-37"/>
              <w:jc w:val="right"/>
              <w:textAlignment w:val="bottom"/>
              <w:rPr>
                <w:rFonts w:hint="default" w:ascii="Times New Roman" w:hAnsi="Times New Roman" w:eastAsia="仿宋" w:cs="Times New Roman"/>
                <w:color w:val="auto"/>
                <w:kern w:val="0"/>
                <w:sz w:val="22"/>
                <w:highlight w:val="none"/>
              </w:rPr>
            </w:pPr>
            <w:r>
              <w:rPr>
                <w:rFonts w:hint="default" w:ascii="Times New Roman" w:hAnsi="Times New Roman" w:eastAsia="仿宋" w:cs="Times New Roman"/>
                <w:color w:val="auto"/>
                <w:kern w:val="0"/>
                <w:sz w:val="22"/>
                <w:highlight w:val="none"/>
                <w:lang w:val="en-US" w:eastAsia="zh-CN"/>
              </w:rPr>
              <w:t xml:space="preserve">250,178.55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4310" w:type="dxa"/>
            <w:vAlign w:val="center"/>
          </w:tcPr>
          <w:p>
            <w:pPr>
              <w:ind w:right="-37"/>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风险加权资产合计</w:t>
            </w:r>
          </w:p>
        </w:tc>
        <w:tc>
          <w:tcPr>
            <w:tcW w:w="2362" w:type="dxa"/>
            <w:tcBorders>
              <w:left w:val="single" w:color="000000" w:sz="4" w:space="0"/>
            </w:tcBorders>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1,909,658.00</w:t>
            </w:r>
          </w:p>
        </w:tc>
        <w:tc>
          <w:tcPr>
            <w:tcW w:w="2357" w:type="dxa"/>
            <w:tcBorders>
              <w:left w:val="single" w:color="000000" w:sz="4" w:space="0"/>
            </w:tcBorders>
            <w:vAlign w:val="bottom"/>
          </w:tcPr>
          <w:p>
            <w:pPr>
              <w:widowControl/>
              <w:ind w:right="-37"/>
              <w:jc w:val="right"/>
              <w:textAlignment w:val="bottom"/>
              <w:rPr>
                <w:rFonts w:hint="default" w:ascii="Times New Roman" w:hAnsi="Times New Roman" w:eastAsia="仿宋" w:cs="Times New Roman"/>
                <w:color w:val="auto"/>
                <w:kern w:val="0"/>
                <w:sz w:val="22"/>
                <w:highlight w:val="none"/>
              </w:rPr>
            </w:pPr>
            <w:r>
              <w:rPr>
                <w:rFonts w:hint="default" w:ascii="Times New Roman" w:hAnsi="Times New Roman" w:eastAsia="仿宋" w:cs="Times New Roman"/>
                <w:color w:val="auto"/>
                <w:kern w:val="0"/>
                <w:sz w:val="22"/>
                <w:highlight w:val="none"/>
                <w:lang w:val="en-US" w:eastAsia="zh-CN"/>
              </w:rPr>
              <w:t xml:space="preserve">1,725,102.48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4310" w:type="dxa"/>
            <w:vAlign w:val="center"/>
          </w:tcPr>
          <w:p>
            <w:pPr>
              <w:ind w:right="-37"/>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其中:表内风险加权资产</w:t>
            </w:r>
          </w:p>
        </w:tc>
        <w:tc>
          <w:tcPr>
            <w:tcW w:w="2362" w:type="dxa"/>
            <w:tcBorders>
              <w:left w:val="single" w:color="000000" w:sz="4" w:space="0"/>
            </w:tcBorders>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1,722,018.77</w:t>
            </w:r>
          </w:p>
        </w:tc>
        <w:tc>
          <w:tcPr>
            <w:tcW w:w="2357" w:type="dxa"/>
            <w:tcBorders>
              <w:left w:val="single" w:color="000000" w:sz="4" w:space="0"/>
            </w:tcBorders>
            <w:vAlign w:val="bottom"/>
          </w:tcPr>
          <w:p>
            <w:pPr>
              <w:widowControl/>
              <w:ind w:right="-37"/>
              <w:jc w:val="right"/>
              <w:textAlignment w:val="bottom"/>
              <w:rPr>
                <w:rFonts w:hint="default" w:ascii="Times New Roman" w:hAnsi="Times New Roman" w:eastAsia="仿宋" w:cs="Times New Roman"/>
                <w:color w:val="auto"/>
                <w:kern w:val="0"/>
                <w:sz w:val="22"/>
                <w:highlight w:val="none"/>
              </w:rPr>
            </w:pPr>
            <w:r>
              <w:rPr>
                <w:rFonts w:hint="default" w:ascii="Times New Roman" w:hAnsi="Times New Roman" w:eastAsia="仿宋" w:cs="Times New Roman"/>
                <w:color w:val="auto"/>
                <w:kern w:val="0"/>
                <w:sz w:val="22"/>
                <w:highlight w:val="none"/>
                <w:lang w:val="en-US" w:eastAsia="zh-CN"/>
              </w:rPr>
              <w:t xml:space="preserve">1,588,248.26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4310" w:type="dxa"/>
            <w:vAlign w:val="center"/>
          </w:tcPr>
          <w:p>
            <w:pPr>
              <w:ind w:right="-37"/>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表外风险加权资产</w:t>
            </w:r>
          </w:p>
        </w:tc>
        <w:tc>
          <w:tcPr>
            <w:tcW w:w="2362" w:type="dxa"/>
            <w:tcBorders>
              <w:left w:val="single" w:color="000000" w:sz="4" w:space="0"/>
            </w:tcBorders>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19,393.05</w:t>
            </w:r>
          </w:p>
        </w:tc>
        <w:tc>
          <w:tcPr>
            <w:tcW w:w="2357" w:type="dxa"/>
            <w:tcBorders>
              <w:left w:val="single" w:color="000000" w:sz="4" w:space="0"/>
            </w:tcBorders>
            <w:vAlign w:val="bottom"/>
          </w:tcPr>
          <w:p>
            <w:pPr>
              <w:widowControl/>
              <w:ind w:right="-37"/>
              <w:jc w:val="right"/>
              <w:textAlignment w:val="bottom"/>
              <w:rPr>
                <w:rFonts w:hint="default" w:ascii="Times New Roman" w:hAnsi="Times New Roman" w:eastAsia="仿宋" w:cs="Times New Roman"/>
                <w:color w:val="auto"/>
                <w:kern w:val="0"/>
                <w:sz w:val="22"/>
                <w:highlight w:val="none"/>
              </w:rPr>
            </w:pPr>
            <w:r>
              <w:rPr>
                <w:rFonts w:hint="default" w:ascii="Times New Roman" w:hAnsi="Times New Roman" w:eastAsia="仿宋" w:cs="Times New Roman"/>
                <w:color w:val="auto"/>
                <w:kern w:val="0"/>
                <w:sz w:val="22"/>
                <w:highlight w:val="none"/>
                <w:lang w:val="en-US" w:eastAsia="zh-CN"/>
              </w:rPr>
              <w:t xml:space="preserve">14,245.67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4310" w:type="dxa"/>
            <w:vAlign w:val="center"/>
          </w:tcPr>
          <w:p>
            <w:pPr>
              <w:ind w:right="-37"/>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操作风险加权资产</w:t>
            </w:r>
          </w:p>
        </w:tc>
        <w:tc>
          <w:tcPr>
            <w:tcW w:w="2362" w:type="dxa"/>
            <w:tcBorders>
              <w:left w:val="single" w:color="000000" w:sz="4" w:space="0"/>
            </w:tcBorders>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112,561.80</w:t>
            </w:r>
          </w:p>
        </w:tc>
        <w:tc>
          <w:tcPr>
            <w:tcW w:w="2357" w:type="dxa"/>
            <w:tcBorders>
              <w:left w:val="single" w:color="000000" w:sz="4" w:space="0"/>
            </w:tcBorders>
            <w:vAlign w:val="bottom"/>
          </w:tcPr>
          <w:p>
            <w:pPr>
              <w:widowControl/>
              <w:ind w:right="-37"/>
              <w:jc w:val="right"/>
              <w:textAlignment w:val="bottom"/>
              <w:rPr>
                <w:rFonts w:hint="default" w:ascii="Times New Roman" w:hAnsi="Times New Roman" w:eastAsia="仿宋" w:cs="Times New Roman"/>
                <w:color w:val="auto"/>
                <w:kern w:val="0"/>
                <w:sz w:val="22"/>
                <w:highlight w:val="none"/>
              </w:rPr>
            </w:pPr>
            <w:r>
              <w:rPr>
                <w:rFonts w:hint="default" w:ascii="Times New Roman" w:hAnsi="Times New Roman" w:eastAsia="仿宋" w:cs="Times New Roman"/>
                <w:color w:val="auto"/>
                <w:kern w:val="0"/>
                <w:sz w:val="22"/>
                <w:highlight w:val="none"/>
                <w:lang w:val="en-US" w:eastAsia="zh-CN"/>
              </w:rPr>
              <w:t xml:space="preserve">112,561.80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4310" w:type="dxa"/>
            <w:vAlign w:val="center"/>
          </w:tcPr>
          <w:p>
            <w:pPr>
              <w:ind w:right="-37"/>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市场风险加权资产</w:t>
            </w:r>
          </w:p>
        </w:tc>
        <w:tc>
          <w:tcPr>
            <w:tcW w:w="2362" w:type="dxa"/>
            <w:tcBorders>
              <w:left w:val="single" w:color="000000" w:sz="4" w:space="0"/>
            </w:tcBorders>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55,684.38</w:t>
            </w:r>
          </w:p>
        </w:tc>
        <w:tc>
          <w:tcPr>
            <w:tcW w:w="2357" w:type="dxa"/>
            <w:tcBorders>
              <w:left w:val="single" w:color="000000" w:sz="4" w:space="0"/>
            </w:tcBorders>
            <w:vAlign w:val="bottom"/>
          </w:tcPr>
          <w:p>
            <w:pPr>
              <w:widowControl/>
              <w:ind w:right="-37"/>
              <w:jc w:val="right"/>
              <w:textAlignment w:val="bottom"/>
              <w:rPr>
                <w:rFonts w:hint="default" w:ascii="Times New Roman" w:hAnsi="Times New Roman" w:eastAsia="仿宋" w:cs="Times New Roman"/>
                <w:color w:val="auto"/>
                <w:kern w:val="0"/>
                <w:sz w:val="22"/>
                <w:highlight w:val="none"/>
              </w:rPr>
            </w:pPr>
            <w:r>
              <w:rPr>
                <w:rFonts w:hint="default" w:ascii="Times New Roman" w:hAnsi="Times New Roman" w:eastAsia="仿宋" w:cs="Times New Roman"/>
                <w:color w:val="auto"/>
                <w:kern w:val="0"/>
                <w:sz w:val="22"/>
                <w:highlight w:val="none"/>
                <w:lang w:val="en-US" w:eastAsia="zh-CN"/>
              </w:rPr>
              <w:t xml:space="preserve">10,046.75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4310" w:type="dxa"/>
            <w:vAlign w:val="center"/>
          </w:tcPr>
          <w:p>
            <w:pPr>
              <w:ind w:right="-37"/>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每股净资产</w:t>
            </w:r>
          </w:p>
        </w:tc>
        <w:tc>
          <w:tcPr>
            <w:tcW w:w="2362" w:type="dxa"/>
            <w:tcBorders>
              <w:left w:val="single" w:color="000000" w:sz="4" w:space="0"/>
            </w:tcBorders>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4.65</w:t>
            </w:r>
          </w:p>
        </w:tc>
        <w:tc>
          <w:tcPr>
            <w:tcW w:w="2357" w:type="dxa"/>
            <w:tcBorders>
              <w:left w:val="single" w:color="000000" w:sz="4" w:space="0"/>
            </w:tcBorders>
            <w:vAlign w:val="bottom"/>
          </w:tcPr>
          <w:p>
            <w:pPr>
              <w:widowControl/>
              <w:ind w:right="-37"/>
              <w:jc w:val="right"/>
              <w:textAlignment w:val="bottom"/>
              <w:rPr>
                <w:rFonts w:hint="default" w:ascii="Times New Roman" w:hAnsi="Times New Roman" w:eastAsia="仿宋" w:cs="Times New Roman"/>
                <w:color w:val="auto"/>
                <w:kern w:val="0"/>
                <w:sz w:val="22"/>
                <w:highlight w:val="none"/>
              </w:rPr>
            </w:pPr>
            <w:r>
              <w:rPr>
                <w:rFonts w:hint="default" w:ascii="Times New Roman" w:hAnsi="Times New Roman" w:eastAsia="仿宋" w:cs="Times New Roman"/>
                <w:color w:val="auto"/>
                <w:kern w:val="0"/>
                <w:sz w:val="22"/>
                <w:highlight w:val="none"/>
                <w:lang w:val="en-US" w:eastAsia="zh-CN"/>
              </w:rPr>
              <w:t xml:space="preserve">4.83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4310" w:type="dxa"/>
            <w:vAlign w:val="center"/>
          </w:tcPr>
          <w:p>
            <w:pPr>
              <w:ind w:right="-37"/>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净利息差</w:t>
            </w:r>
          </w:p>
        </w:tc>
        <w:tc>
          <w:tcPr>
            <w:tcW w:w="2362" w:type="dxa"/>
            <w:tcBorders>
              <w:left w:val="single" w:color="000000" w:sz="4" w:space="0"/>
            </w:tcBorders>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1.70%</w:t>
            </w:r>
          </w:p>
        </w:tc>
        <w:tc>
          <w:tcPr>
            <w:tcW w:w="2357" w:type="dxa"/>
            <w:tcBorders>
              <w:left w:val="single" w:color="000000" w:sz="4" w:space="0"/>
            </w:tcBorders>
            <w:vAlign w:val="bottom"/>
          </w:tcPr>
          <w:p>
            <w:pPr>
              <w:widowControl/>
              <w:ind w:right="-37"/>
              <w:jc w:val="right"/>
              <w:textAlignment w:val="bottom"/>
              <w:rPr>
                <w:rFonts w:hint="default" w:ascii="Times New Roman" w:hAnsi="Times New Roman" w:eastAsia="仿宋" w:cs="Times New Roman"/>
                <w:color w:val="auto"/>
                <w:kern w:val="0"/>
                <w:sz w:val="22"/>
                <w:highlight w:val="none"/>
              </w:rPr>
            </w:pPr>
            <w:r>
              <w:rPr>
                <w:rFonts w:hint="default" w:ascii="Times New Roman" w:hAnsi="Times New Roman" w:eastAsia="仿宋" w:cs="Times New Roman"/>
                <w:color w:val="auto"/>
                <w:kern w:val="0"/>
                <w:sz w:val="22"/>
                <w:highlight w:val="none"/>
                <w:lang w:val="en-US" w:eastAsia="zh-CN"/>
              </w:rPr>
              <w:t>1.87%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4310" w:type="dxa"/>
            <w:vAlign w:val="center"/>
          </w:tcPr>
          <w:p>
            <w:pPr>
              <w:ind w:right="-37"/>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人均存款额</w:t>
            </w:r>
          </w:p>
        </w:tc>
        <w:tc>
          <w:tcPr>
            <w:tcW w:w="2362" w:type="dxa"/>
            <w:tcBorders>
              <w:left w:val="single" w:color="000000" w:sz="4" w:space="0"/>
            </w:tcBorders>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6,415.58</w:t>
            </w:r>
          </w:p>
        </w:tc>
        <w:tc>
          <w:tcPr>
            <w:tcW w:w="2357" w:type="dxa"/>
            <w:tcBorders>
              <w:left w:val="single" w:color="000000" w:sz="4" w:space="0"/>
            </w:tcBorders>
            <w:vAlign w:val="bottom"/>
          </w:tcPr>
          <w:p>
            <w:pPr>
              <w:widowControl/>
              <w:ind w:right="-37"/>
              <w:jc w:val="right"/>
              <w:textAlignment w:val="bottom"/>
              <w:rPr>
                <w:rFonts w:hint="default" w:ascii="Times New Roman" w:hAnsi="Times New Roman" w:eastAsia="仿宋" w:cs="Times New Roman"/>
                <w:color w:val="auto"/>
                <w:kern w:val="0"/>
                <w:sz w:val="22"/>
                <w:highlight w:val="none"/>
              </w:rPr>
            </w:pPr>
            <w:r>
              <w:rPr>
                <w:rFonts w:hint="default" w:ascii="Times New Roman" w:hAnsi="Times New Roman" w:eastAsia="仿宋" w:cs="Times New Roman"/>
                <w:color w:val="auto"/>
                <w:kern w:val="0"/>
                <w:sz w:val="22"/>
                <w:highlight w:val="none"/>
                <w:lang w:val="en-US" w:eastAsia="zh-CN"/>
              </w:rPr>
              <w:t xml:space="preserve">5,922.54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4310" w:type="dxa"/>
            <w:vAlign w:val="center"/>
          </w:tcPr>
          <w:p>
            <w:pPr>
              <w:ind w:right="-37"/>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人均净收入</w:t>
            </w:r>
          </w:p>
        </w:tc>
        <w:tc>
          <w:tcPr>
            <w:tcW w:w="2362" w:type="dxa"/>
            <w:tcBorders>
              <w:left w:val="single" w:color="000000" w:sz="4" w:space="0"/>
            </w:tcBorders>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88.39</w:t>
            </w:r>
          </w:p>
        </w:tc>
        <w:tc>
          <w:tcPr>
            <w:tcW w:w="2357" w:type="dxa"/>
            <w:tcBorders>
              <w:left w:val="single" w:color="000000" w:sz="4" w:space="0"/>
            </w:tcBorders>
            <w:vAlign w:val="bottom"/>
          </w:tcPr>
          <w:p>
            <w:pPr>
              <w:widowControl/>
              <w:ind w:right="-37"/>
              <w:jc w:val="right"/>
              <w:textAlignment w:val="bottom"/>
              <w:rPr>
                <w:rFonts w:hint="default" w:ascii="Times New Roman" w:hAnsi="Times New Roman" w:eastAsia="仿宋" w:cs="Times New Roman"/>
                <w:color w:val="auto"/>
                <w:kern w:val="0"/>
                <w:sz w:val="22"/>
                <w:highlight w:val="none"/>
              </w:rPr>
            </w:pPr>
            <w:r>
              <w:rPr>
                <w:rFonts w:hint="default" w:ascii="Times New Roman" w:hAnsi="Times New Roman" w:eastAsia="仿宋" w:cs="Times New Roman"/>
                <w:color w:val="auto"/>
                <w:kern w:val="0"/>
                <w:sz w:val="22"/>
                <w:highlight w:val="none"/>
                <w:lang w:val="en-US" w:eastAsia="zh-CN"/>
              </w:rPr>
              <w:t xml:space="preserve">170.24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trPr>
        <w:tc>
          <w:tcPr>
            <w:tcW w:w="4310" w:type="dxa"/>
            <w:vAlign w:val="center"/>
          </w:tcPr>
          <w:p>
            <w:pPr>
              <w:ind w:right="-37"/>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贷款利息收回率</w:t>
            </w:r>
          </w:p>
        </w:tc>
        <w:tc>
          <w:tcPr>
            <w:tcW w:w="2362" w:type="dxa"/>
            <w:tcBorders>
              <w:left w:val="single" w:color="000000" w:sz="4" w:space="0"/>
            </w:tcBorders>
            <w:vAlign w:val="bottom"/>
          </w:tcPr>
          <w:p>
            <w:pPr>
              <w:keepNext w:val="0"/>
              <w:keepLines w:val="0"/>
              <w:widowControl/>
              <w:suppressLineNumbers w:val="0"/>
              <w:jc w:val="right"/>
              <w:textAlignment w:val="bottom"/>
              <w:rPr>
                <w:rFonts w:hint="default" w:ascii="Times New Roman" w:hAnsi="Times New Roman" w:eastAsia="仿宋" w:cs="Times New Roman"/>
                <w:color w:val="auto"/>
                <w:kern w:val="0"/>
                <w:sz w:val="22"/>
                <w:szCs w:val="22"/>
                <w:highlight w:val="none"/>
              </w:rPr>
            </w:pPr>
            <w:r>
              <w:rPr>
                <w:rFonts w:hint="default" w:ascii="Times New Roman" w:hAnsi="Times New Roman" w:eastAsia="宋体" w:cs="Times New Roman"/>
                <w:i w:val="0"/>
                <w:color w:val="auto"/>
                <w:kern w:val="0"/>
                <w:sz w:val="22"/>
                <w:szCs w:val="22"/>
                <w:highlight w:val="none"/>
                <w:u w:val="none"/>
                <w:lang w:val="en-US" w:eastAsia="zh-CN"/>
              </w:rPr>
              <w:t>95.67%</w:t>
            </w:r>
          </w:p>
        </w:tc>
        <w:tc>
          <w:tcPr>
            <w:tcW w:w="2357" w:type="dxa"/>
            <w:tcBorders>
              <w:left w:val="single" w:color="000000" w:sz="4" w:space="0"/>
            </w:tcBorders>
            <w:vAlign w:val="bottom"/>
          </w:tcPr>
          <w:p>
            <w:pPr>
              <w:widowControl/>
              <w:ind w:right="-37"/>
              <w:jc w:val="right"/>
              <w:textAlignment w:val="bottom"/>
              <w:rPr>
                <w:rFonts w:hint="default" w:ascii="Times New Roman" w:hAnsi="Times New Roman" w:eastAsia="仿宋" w:cs="Times New Roman"/>
                <w:color w:val="auto"/>
                <w:kern w:val="0"/>
                <w:sz w:val="22"/>
                <w:highlight w:val="none"/>
              </w:rPr>
            </w:pPr>
            <w:r>
              <w:rPr>
                <w:rFonts w:hint="default" w:ascii="Times New Roman" w:hAnsi="Times New Roman" w:eastAsia="仿宋" w:cs="Times New Roman"/>
                <w:color w:val="auto"/>
                <w:kern w:val="0"/>
                <w:sz w:val="22"/>
                <w:highlight w:val="none"/>
                <w:lang w:val="en-US" w:eastAsia="zh-CN"/>
              </w:rPr>
              <w:t>97.42%</w:t>
            </w:r>
          </w:p>
        </w:tc>
      </w:tr>
    </w:tbl>
    <w:p>
      <w:pPr>
        <w:spacing w:line="400" w:lineRule="exact"/>
        <w:ind w:firstLine="420" w:firstLineChars="200"/>
        <w:jc w:val="left"/>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注：净利息差等于平均生息资产收益率减平均计息负债付息率。</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bCs/>
          <w:color w:val="auto"/>
          <w:sz w:val="28"/>
          <w:szCs w:val="28"/>
          <w:highlight w:val="none"/>
        </w:rPr>
      </w:pPr>
    </w:p>
    <w:p>
      <w:pPr>
        <w:rPr>
          <w:rFonts w:hint="default" w:ascii="Times New Roman" w:hAnsi="Times New Roman" w:cs="Times New Roman"/>
          <w:color w:val="auto"/>
          <w:sz w:val="28"/>
          <w:szCs w:val="28"/>
          <w:highlight w:val="none"/>
        </w:rPr>
      </w:pPr>
    </w:p>
    <w:sectPr>
      <w:headerReference r:id="rId11" w:type="default"/>
      <w:footerReference r:id="rId12" w:type="default"/>
      <w:pgSz w:w="11906" w:h="16838"/>
      <w:pgMar w:top="2098" w:right="1531" w:bottom="1701" w:left="153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altName w:val="Lucida Sans Unicode"/>
    <w:panose1 w:val="020B0602030504020204"/>
    <w:charset w:val="00"/>
    <w:family w:val="auto"/>
    <w:pitch w:val="default"/>
    <w:sig w:usb0="00000000" w:usb1="00000000" w:usb2="00000000" w:usb3="00000000" w:csb0="20000001"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Gungsuh">
    <w:altName w:val="Malgun Gothic"/>
    <w:panose1 w:val="02030600000101010101"/>
    <w:charset w:val="81"/>
    <w:family w:val="roman"/>
    <w:pitch w:val="default"/>
    <w:sig w:usb0="00000000" w:usb1="00000000" w:usb2="00000030" w:usb3="00000000" w:csb0="4008009F" w:csb1="DFD70000"/>
  </w:font>
  <w:font w:name="MS Mincho">
    <w:altName w:val="Yu Gothic UI"/>
    <w:panose1 w:val="02020609040205080304"/>
    <w:charset w:val="80"/>
    <w:family w:val="modern"/>
    <w:pitch w:val="default"/>
    <w:sig w:usb0="00000000" w:usb1="00000000" w:usb2="00000012" w:usb3="00000000" w:csb0="4002009F" w:csb1="DFD7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0"/>
    <w:family w:val="auto"/>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Wingdings">
    <w:panose1 w:val="05000000000000000000"/>
    <w:charset w:val="00"/>
    <w:family w:val="auto"/>
    <w:pitch w:val="default"/>
    <w:sig w:usb0="00000000" w:usb1="00000000" w:usb2="00000000" w:usb3="00000000" w:csb0="80000000" w:csb1="00000000"/>
  </w:font>
  <w:font w:name="Malgun Gothic">
    <w:panose1 w:val="020B0503020000020004"/>
    <w:charset w:val="81"/>
    <w:family w:val="auto"/>
    <w:pitch w:val="default"/>
    <w:sig w:usb0="9000002F" w:usb1="29D77CFB" w:usb2="00000012" w:usb3="00000000" w:csb0="00080001" w:csb1="00000000"/>
  </w:font>
  <w:font w:name="Lucida Sans Unicode">
    <w:panose1 w:val="020B0602030504020204"/>
    <w:charset w:val="00"/>
    <w:family w:val="auto"/>
    <w:pitch w:val="default"/>
    <w:sig w:usb0="80001AFF" w:usb1="0000396B" w:usb2="00000000" w:usb3="00000000" w:csb0="200000BF" w:csb1="D7F7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_x0000_s4231"/>
              <wp:cNvGraphicFramePr/>
              <a:graphic xmlns:a="http://schemas.openxmlformats.org/drawingml/2006/main">
                <a:graphicData uri="http://schemas.microsoft.com/office/word/2010/wordprocessingShape">
                  <wps:wsp>
                    <wps:cNvSpPr/>
                    <wps:spPr>
                      <a:xfrm>
                        <a:off x="0" y="0"/>
                        <a:ext cx="1828800" cy="1828800"/>
                      </a:xfrm>
                      <a:prstGeom prst="rect">
                        <a:avLst/>
                      </a:prstGeom>
                      <a:noFill/>
                      <a:ln w="9525" cap="flat" cmpd="sng">
                        <a:noFill/>
                        <a:prstDash val="solid"/>
                        <a:miter/>
                      </a:ln>
                    </wps:spPr>
                    <wps:txbx>
                      <w:txbxContent>
                        <w:p>
                          <w:pPr>
                            <w:pStyle w:val="1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113</w:t>
                          </w:r>
                          <w:r>
                            <w:fldChar w:fldCharType="end"/>
                          </w:r>
                          <w:r>
                            <w:t xml:space="preserve"> 页</w:t>
                          </w:r>
                        </w:p>
                      </w:txbxContent>
                    </wps:txbx>
                    <wps:bodyPr vert="horz" wrap="none" lIns="0" tIns="0" rIns="0" bIns="0" anchor="t" anchorCtr="0" upright="1">
                      <a:spAutoFit/>
                    </wps:bodyPr>
                  </wps:wsp>
                </a:graphicData>
              </a:graphic>
            </wp:anchor>
          </w:drawing>
        </mc:Choice>
        <mc:Fallback>
          <w:pict>
            <v:rect id="_x0000_s423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5dblS0AAAAAUBAAAPAAAAAAAAAAEAIAAAACIA&#10;AABkcnMvZG93bnJldi54bWxQSwECFAAUAAAACACHTuJAJgxsodgBAACpAwAADgAAAAAAAAABACAA&#10;AAAfAQAAZHJzL2Uyb0RvYy54bWxQSwUGAAAAAAYABgBZAQAAaQUAAAAA&#10;">
              <v:fill on="f" focussize="0,0"/>
              <v:stroke on="f" joinstyle="miter"/>
              <v:imagedata o:title=""/>
              <o:lock v:ext="edit" aspectratio="f"/>
              <v:textbox inset="0mm,0mm,0mm,0mm" style="mso-fit-shape-to-text:t;">
                <w:txbxContent>
                  <w:p>
                    <w:pPr>
                      <w:pStyle w:val="1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113</w:t>
                    </w:r>
                    <w:r>
                      <w:fldChar w:fldCharType="end"/>
                    </w:r>
                    <w:r>
                      <w:t xml:space="preserve"> 页</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Align="center" w:y="1"/>
      <w:rPr>
        <w:rStyle w:val="27"/>
      </w:rPr>
    </w:pPr>
    <w:r>
      <w:rPr>
        <w:rStyle w:val="27"/>
      </w:rPr>
      <w:fldChar w:fldCharType="begin"/>
    </w:r>
    <w:r>
      <w:rPr>
        <w:rStyle w:val="27"/>
      </w:rPr>
      <w:instrText xml:space="preserve">PAGE  </w:instrText>
    </w:r>
    <w:r>
      <w:rPr>
        <w:rStyle w:val="27"/>
      </w:rPr>
      <w:fldChar w:fldCharType="separate"/>
    </w:r>
    <w:r>
      <w:rPr>
        <w:rStyle w:val="27"/>
      </w:rPr>
      <w:t xml:space="preserve"> </w:t>
    </w:r>
    <w:r>
      <w:rPr>
        <w:rStyle w:val="27"/>
      </w:rPr>
      <w:fldChar w:fldCharType="end"/>
    </w:r>
  </w:p>
  <w:p>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cap="flat" cmpd="sng">
                        <a:noFill/>
                        <a:prstDash val="solid"/>
                        <a:round/>
                      </a:ln>
                    </wps:spPr>
                    <wps:txbx>
                      <w:txbxContent>
                        <w:p>
                          <w:pPr>
                            <w:pStyle w:val="17"/>
                            <w:rPr>
                              <w:rStyle w:val="27"/>
                            </w:rPr>
                          </w:pPr>
                          <w:r>
                            <w:rPr>
                              <w:rStyle w:val="27"/>
                            </w:rPr>
                            <w:fldChar w:fldCharType="begin"/>
                          </w:r>
                          <w:r>
                            <w:rPr>
                              <w:rStyle w:val="27"/>
                            </w:rPr>
                            <w:instrText xml:space="preserve">PAGE  </w:instrText>
                          </w:r>
                          <w:r>
                            <w:fldChar w:fldCharType="separate"/>
                          </w:r>
                          <w:r>
                            <w:rPr>
                              <w:rStyle w:val="27"/>
                            </w:rPr>
                            <w:t>- 23 -</w:t>
                          </w:r>
                          <w:r>
                            <w:fldChar w:fldCharType="end"/>
                          </w:r>
                        </w:p>
                      </w:txbxContent>
                    </wps:txbx>
                    <wps:bodyPr vert="horz" wrap="none" lIns="0" tIns="0" rIns="0" bIns="0" anchor="t" anchorCtr="0" upright="1">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uXW5UtAAAAAFAQAADwAAAAAAAAABACAA&#10;AAAiAAAAZHJzL2Rvd25yZXYueG1sUEsBAhQAFAAAAAgAh07iQH2613rcAQAAnwMAAA4AAAAAAAAA&#10;AQAgAAAAHwEAAGRycy9lMm9Eb2MueG1sUEsFBgAAAAAGAAYAWQEAAG0FAAAAAA==&#10;">
              <v:fill on="f" focussize="0,0"/>
              <v:stroke on="f" joinstyle="round"/>
              <v:imagedata o:title=""/>
              <o:lock v:ext="edit" aspectratio="f"/>
              <v:textbox inset="0mm,0mm,0mm,0mm" style="mso-fit-shape-to-text:t;">
                <w:txbxContent>
                  <w:p>
                    <w:pPr>
                      <w:pStyle w:val="17"/>
                      <w:rPr>
                        <w:rStyle w:val="27"/>
                      </w:rPr>
                    </w:pPr>
                    <w:r>
                      <w:rPr>
                        <w:rStyle w:val="27"/>
                      </w:rPr>
                      <w:fldChar w:fldCharType="begin"/>
                    </w:r>
                    <w:r>
                      <w:rPr>
                        <w:rStyle w:val="27"/>
                      </w:rPr>
                      <w:instrText xml:space="preserve">PAGE  </w:instrText>
                    </w:r>
                    <w:r>
                      <w:fldChar w:fldCharType="separate"/>
                    </w:r>
                    <w:r>
                      <w:rPr>
                        <w:rStyle w:val="27"/>
                      </w:rPr>
                      <w:t>- 23 -</w:t>
                    </w:r>
                    <w: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Align="center" w:y="1"/>
      <w:rPr>
        <w:rStyle w:val="27"/>
      </w:rPr>
    </w:pPr>
    <w:r>
      <w:rPr>
        <w:rStyle w:val="27"/>
      </w:rPr>
      <w:fldChar w:fldCharType="begin"/>
    </w:r>
    <w:r>
      <w:rPr>
        <w:rStyle w:val="27"/>
      </w:rPr>
      <w:instrText xml:space="preserve">PAGE  </w:instrText>
    </w:r>
    <w:r>
      <w:fldChar w:fldCharType="separate"/>
    </w:r>
    <w:r>
      <w:t xml:space="preserve"> </w:t>
    </w:r>
    <w:r>
      <w:fldChar w:fldCharType="end"/>
    </w:r>
  </w:p>
  <w:p>
    <w:pPr>
      <w:pStyle w:val="1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233" name="_x0000_s4233"/>
              <wp:cNvGraphicFramePr/>
              <a:graphic xmlns:a="http://schemas.openxmlformats.org/drawingml/2006/main">
                <a:graphicData uri="http://schemas.microsoft.com/office/word/2010/wordprocessingShape">
                  <wps:wsp>
                    <wps:cNvSpPr/>
                    <wps:spPr>
                      <a:xfrm>
                        <a:off x="0" y="0"/>
                        <a:ext cx="1828800" cy="1828800"/>
                      </a:xfrm>
                      <a:prstGeom prst="rect">
                        <a:avLst/>
                      </a:prstGeom>
                      <a:noFill/>
                      <a:ln w="9525" cap="flat" cmpd="sng">
                        <a:noFill/>
                        <a:prstDash val="solid"/>
                        <a:miter/>
                      </a:ln>
                    </wps:spPr>
                    <wps:txbx>
                      <w:txbxContent>
                        <w:p>
                          <w:pPr>
                            <w:pStyle w:val="17"/>
                          </w:pPr>
                          <w:r>
                            <w:t xml:space="preserve">第 </w:t>
                          </w:r>
                          <w:r>
                            <w:fldChar w:fldCharType="begin"/>
                          </w:r>
                          <w:r>
                            <w:instrText xml:space="preserve"> PAGE  \* MERGEFORMAT </w:instrText>
                          </w:r>
                          <w:r>
                            <w:fldChar w:fldCharType="separate"/>
                          </w:r>
                          <w:r>
                            <w:t>86</w:t>
                          </w:r>
                          <w:r>
                            <w:fldChar w:fldCharType="end"/>
                          </w:r>
                          <w:r>
                            <w:t xml:space="preserve"> 页 共 </w:t>
                          </w:r>
                          <w:r>
                            <w:fldChar w:fldCharType="begin"/>
                          </w:r>
                          <w:r>
                            <w:instrText xml:space="preserve"> NUMPAGES  \* MERGEFORMAT </w:instrText>
                          </w:r>
                          <w:r>
                            <w:fldChar w:fldCharType="separate"/>
                          </w:r>
                          <w:r>
                            <w:t>113</w:t>
                          </w:r>
                          <w:r>
                            <w:fldChar w:fldCharType="end"/>
                          </w:r>
                          <w:r>
                            <w:t xml:space="preserve"> 页</w:t>
                          </w:r>
                        </w:p>
                      </w:txbxContent>
                    </wps:txbx>
                    <wps:bodyPr vert="horz" wrap="none" lIns="0" tIns="0" rIns="0" bIns="0" anchor="t" anchorCtr="0" upright="1">
                      <a:spAutoFit/>
                    </wps:bodyPr>
                  </wps:wsp>
                </a:graphicData>
              </a:graphic>
            </wp:anchor>
          </w:drawing>
        </mc:Choice>
        <mc:Fallback>
          <w:pict>
            <v:rect id="_x0000_s423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Ll1uVLQAAAABQEAAA8AAAAAAAAAAQAgAAAA&#10;IgAAAGRycy9kb3ducmV2LnhtbFBLAQIUABQAAAAIAIdO4kAWNvj42gEAAKwDAAAOAAAAAAAAAAEA&#10;IAAAAB8BAABkcnMvZTJvRG9jLnhtbFBLBQYAAAAABgAGAFkBAABrBQAAAAA=&#10;">
              <v:fill on="f" focussize="0,0"/>
              <v:stroke on="f" joinstyle="miter"/>
              <v:imagedata o:title=""/>
              <o:lock v:ext="edit" aspectratio="f"/>
              <v:textbox inset="0mm,0mm,0mm,0mm" style="mso-fit-shape-to-text:t;">
                <w:txbxContent>
                  <w:p>
                    <w:pPr>
                      <w:pStyle w:val="17"/>
                    </w:pPr>
                    <w:r>
                      <w:t xml:space="preserve">第 </w:t>
                    </w:r>
                    <w:r>
                      <w:fldChar w:fldCharType="begin"/>
                    </w:r>
                    <w:r>
                      <w:instrText xml:space="preserve"> PAGE  \* MERGEFORMAT </w:instrText>
                    </w:r>
                    <w:r>
                      <w:fldChar w:fldCharType="separate"/>
                    </w:r>
                    <w:r>
                      <w:t>86</w:t>
                    </w:r>
                    <w:r>
                      <w:fldChar w:fldCharType="end"/>
                    </w:r>
                    <w:r>
                      <w:t xml:space="preserve"> 页 共 </w:t>
                    </w:r>
                    <w:r>
                      <w:fldChar w:fldCharType="begin"/>
                    </w:r>
                    <w:r>
                      <w:instrText xml:space="preserve"> NUMPAGES  \* MERGEFORMAT </w:instrText>
                    </w:r>
                    <w:r>
                      <w:fldChar w:fldCharType="separate"/>
                    </w:r>
                    <w:r>
                      <w:t>113</w:t>
                    </w:r>
                    <w:r>
                      <w:fldChar w:fldCharType="end"/>
                    </w:r>
                    <w:r>
                      <w:t xml:space="preserve"> 页</w:t>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r>
      <w:pict>
        <v:shape id="PowerPlusWaterMarkObject2" o:spid="_x0000_s4125" o:spt="136" type="#_x0000_t136" style="position:absolute;left:0pt;margin-left:-76.45pt;margin-top:0pt;height:18.4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PowerPlusWaterMarkObject3" o:spid="_x0000_s4126" o:spt="136" type="#_x0000_t136" style="position:absolute;left:0pt;margin-left:73.45pt;margin-top:593.2pt;height:18.3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PowerPlusWaterMarkObject4" o:spid="_x0000_s4127" o:spt="136" type="#_x0000_t136" style="position:absolute;left:0pt;margin-left:-76.45pt;margin-top:0pt;height:18.4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PowerPlusWaterMarkObject5" o:spid="_x0000_s4128" o:spt="136" type="#_x0000_t136" style="position:absolute;left:0pt;margin-left:73.45pt;margin-top:593.2pt;height:18.3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PowerPlusWaterMarkObject6" o:spid="_x0000_s4129" o:spt="136" type="#_x0000_t136" style="position:absolute;left:0pt;margin-left:-76.45pt;margin-top:0pt;height:18.4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PowerPlusWaterMarkObject7" o:spid="_x0000_s4130" o:spt="136" type="#_x0000_t136" style="position:absolute;left:0pt;margin-left:73.45pt;margin-top:593.2pt;height:18.3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PowerPlusWaterMarkObject8" o:spid="_x0000_s4131" o:spt="136" type="#_x0000_t136" style="position:absolute;left:0pt;margin-left:-76.45pt;margin-top:0pt;height:18.4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PowerPlusWaterMarkObject9" o:spid="_x0000_s4132" o:spt="136" type="#_x0000_t136" style="position:absolute;left:0pt;margin-left:73.45pt;margin-top:593.2pt;height:18.3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_x0000_s4133" o:spid="_x0000_s4133" o:spt="136" type="#_x0000_t136" style="position:absolute;left:0pt;margin-left:-76.45pt;margin-top:0pt;height:18.4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_x0000_s4134" o:spid="_x0000_s4134" o:spt="136" type="#_x0000_t136" style="position:absolute;left:0pt;margin-left:73.45pt;margin-top:593.2pt;height:18.3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_x0000_s4135" o:spid="_x0000_s4135" o:spt="136" type="#_x0000_t136" style="position:absolute;left:0pt;margin-left:-76.45pt;margin-top:0pt;height:18.4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_x0000_s4136" o:spid="_x0000_s4136" o:spt="136" type="#_x0000_t136" style="position:absolute;left:0pt;margin-left:73.45pt;margin-top:593.2pt;height:18.3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_x0000_s4137" o:spid="_x0000_s4137" o:spt="136" type="#_x0000_t136" style="position:absolute;left:0pt;margin-left:-76.5pt;margin-top:0pt;height:55.35pt;width:2043.2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董事会办公室（党委办公室）    董事会办公室    2023-04-06  11:43:31" style="font-family:Times New Roman;font-size:50pt;v-text-align:center;"/>
        </v:shape>
      </w:pict>
    </w:r>
    <w:r>
      <w:pict>
        <v:shape id="_x0000_s4138" o:spid="_x0000_s4138" o:spt="136" type="#_x0000_t136" style="position:absolute;left:0pt;margin-left:-57.75pt;margin-top:832.5pt;height:55.35pt;width:2043.2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董事会办公室（党委办公室）    董事会办公室    2023-04-06  11:43:31" style="font-family:Times New Roman;font-size:50pt;v-text-align:center;"/>
        </v:shape>
      </w:pict>
    </w:r>
    <w:r>
      <w:pict>
        <v:shape id="_x0000_s4139" o:spid="_x0000_s4139" o:spt="136" type="#_x0000_t136" style="position:absolute;left:0pt;margin-left:-76.5pt;margin-top:0pt;height:55.35pt;width:2043.2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董事会办公室（党委办公室）    董事会办公室    2023-04-06  11:43:31" style="font-family:Times New Roman;font-size:50pt;v-text-align:center;"/>
        </v:shape>
      </w:pict>
    </w:r>
    <w:r>
      <w:pict>
        <v:shape id="_x0000_s4140" o:spid="_x0000_s4140" o:spt="136" type="#_x0000_t136" style="position:absolute;left:0pt;margin-left:-57.75pt;margin-top:832.5pt;height:55.35pt;width:2043.2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董事会办公室（党委办公室）    董事会办公室    2023-04-06  11:43:31" style="font-family:Times New Roman;font-size:50pt;v-text-align:center;"/>
        </v:shape>
      </w:pict>
    </w:r>
    <w:r>
      <w:pict>
        <v:shape id="_x0000_s4141" o:spid="_x0000_s4141" o:spt="136" type="#_x0000_t136" style="position:absolute;left:0pt;margin-left:-76.5pt;margin-top:0pt;height:55.35pt;width:2043.2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董事会办公室（党委办公室）    董事会办公室    2023-04-06  11:43:31" style="font-family:Times New Roman;font-size:50pt;v-text-align:center;"/>
        </v:shape>
      </w:pict>
    </w:r>
    <w:r>
      <w:pict>
        <v:shape id="_x0000_s4142" o:spid="_x0000_s4142" o:spt="136" type="#_x0000_t136" style="position:absolute;left:0pt;margin-left:-57.75pt;margin-top:832.5pt;height:55.35pt;width:2043.2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董事会办公室（党委办公室）    董事会办公室    2023-04-06  11:43:31" style="font-family:Times New Roman;font-size:50pt;v-text-align:center;"/>
        </v:shape>
      </w:pict>
    </w:r>
    <w:r>
      <w:pict>
        <v:shape id="_x0000_s4143" o:spid="_x0000_s4143" o:spt="136" type="#_x0000_t136" style="position:absolute;left:0pt;margin-left:-76.5pt;margin-top:0pt;height:55.35pt;width:2043.2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董事会办公室（党委办公室）    董事会办公室    2023-04-06  11:43:31" style="font-family:Times New Roman;font-size:50pt;v-text-align:center;"/>
        </v:shape>
      </w:pict>
    </w:r>
    <w:r>
      <w:pict>
        <v:shape id="_x0000_s4144" o:spid="_x0000_s4144" o:spt="136" type="#_x0000_t136" style="position:absolute;left:0pt;margin-left:-57.75pt;margin-top:832.5pt;height:55.35pt;width:2043.2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董事会办公室（党委办公室）    董事会办公室    2023-04-06  11:43:31" style="font-family:Times New Roman;font-size:50pt;v-text-align:center;"/>
        </v:shape>
      </w:pict>
    </w:r>
    <w:r>
      <w:pict>
        <v:shape id="_x0000_s4145" o:spid="_x0000_s4145" o:spt="136" type="#_x0000_t136" style="position:absolute;left:0pt;margin-left:-76.5pt;margin-top:0pt;height:55.35pt;width:2043.2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董事会办公室（党委办公室）    董事会办公室    2023-04-06  11:43:31" style="font-family:Times New Roman;font-size:50pt;v-text-align:center;"/>
        </v:shape>
      </w:pict>
    </w:r>
    <w:r>
      <w:pict>
        <v:shape id="_x0000_s4146" o:spid="_x0000_s4146" o:spt="136" type="#_x0000_t136" style="position:absolute;left:0pt;margin-left:-57.75pt;margin-top:832.5pt;height:55.35pt;width:2043.2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董事会办公室（党委办公室）    董事会办公室    2023-04-06  11:43:31" style="font-family:Times New Roman;font-size:50pt;v-text-align:center;"/>
        </v:shape>
      </w:pict>
    </w:r>
    <w:r>
      <w:pict>
        <v:shape id="PowerPlusWaterMarkObject24" o:spid="_x0000_s4147" o:spt="136" type="#_x0000_t136" style="position:absolute;left:0pt;margin-left:-76.5pt;margin-top:0pt;height:50.25pt;width:2437.1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董事会办公室（党委办公室）    董事会办公室    2026-01-29  20:04:26" style="font-family:宋体;font-size:50pt;v-text-align:center;"/>
        </v:shape>
      </w:pict>
    </w:r>
    <w:r>
      <w:pict>
        <v:shape id="PowerPlusWaterMarkObject25" o:spid="_x0000_s4148" o:spt="136" type="#_x0000_t136" style="position:absolute;left:0pt;margin-left:-76.5pt;margin-top:0pt;height:50.25pt;width:1834.1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计划财务部    陈杏    2026-02-02  15:37:22" style="font-family:宋体;font-size:50pt;v-text-align:center;"/>
        </v:shape>
      </w:pict>
    </w:r>
    <w:r>
      <w:pict>
        <v:shape id="PowerPlusWaterMarkObject26" o:spid="_x0000_s4149" o:spt="136" type="#_x0000_t136" style="position:absolute;left:0pt;margin-left:-57.75pt;margin-top:721.5pt;height:50.25pt;width:1834.1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计划财务部    陈杏    2026-02-02  15:37:22" style="font-family:宋体;font-size:50pt;v-text-align:center;"/>
        </v:shape>
      </w:pict>
    </w:r>
    <w:r>
      <w:pict>
        <v:shape id="PowerPlusWaterMarkObject27" o:spid="_x0000_s4150" o:spt="136" type="#_x0000_t136" style="position:absolute;left:0pt;margin-left:-0.75pt;margin-top:-0.75pt;height:12pt;width:438pt;rotation:20643840f;z-index:-251656192;mso-width-relative:page;mso-height-relative:page;" fillcolor="#000000" filled="t" stroked="f" coordsize="21600,21600" o:allowincell="f" adj="10800">
          <v:path/>
          <v:fill on="t" opacity="32768f" focussize="0,0"/>
          <v:stroke on="f" color="#000000"/>
          <v:imagedata o:title=""/>
          <o:lock v:ext="edit"/>
          <v:textpath on="t" fitshape="t" fitpath="t" trim="t" xscale="f" string="江苏高淳农村商业银行    计划财务部    陈杏    2026-07-20  10:06:21" style="font-family:宋体;font-size:12pt;v-text-align:center;"/>
        </v:shape>
      </w:pict>
    </w:r>
    <w:r>
      <w:pict>
        <v:shape id="PowerPlusWaterMarkObject28" o:spid="_x0000_s4151" o:spt="136" type="#_x0000_t136" style="position:absolute;left:0pt;margin-left:-0.75pt;margin-top:-0.75pt;height:12pt;width:534pt;rotation:20643840f;z-index:-251656192;mso-width-relative:page;mso-height-relative:page;" fillcolor="#000000" filled="t" stroked="f" coordsize="21600,21600" o:allowincell="f" adj="10800">
          <v:path/>
          <v:fill on="t" opacity="32768f" focussize="0,0"/>
          <v:stroke on="f" color="#000000"/>
          <v:imagedata o:title=""/>
          <o:lock v:ext="edit"/>
          <v:textpath on="t" fitshape="t" fitpath="t" trim="t" xscale="f" string="江苏高淳农村商业银行    董事会办公室（党委办公室）    杨刚    2026-08-10  09:29:05" style="font-family:宋体;font-size:12pt;v-text-align:center;"/>
        </v:shape>
      </w:pict>
    </w:r>
    <w:r>
      <w:pict>
        <v:shape id="PowerPlusWaterMarkObject29" o:spid="_x0000_s4152" o:spt="136" type="#_x0000_t136" style="position:absolute;left:0pt;margin-left:-0.75pt;margin-top:-0.75pt;height:12pt;width:534pt;rotation:20643840f;z-index:-251656192;mso-width-relative:page;mso-height-relative:page;" fillcolor="#000000" filled="t" stroked="f" coordsize="21600,21600" o:allowincell="f" adj="10800">
          <v:path/>
          <v:fill on="t" opacity="32768f" focussize="0,0"/>
          <v:stroke on="f" color="#000000"/>
          <v:imagedata o:title=""/>
          <o:lock v:ext="edit"/>
          <v:textpath on="t" fitshape="t" fitpath="t" trim="t" xscale="f" string="江苏高淳农村商业银行    董事会办公室（党委办公室）    杨刚    2026-08-28  18:11:57" style="font-family:宋体;font-size:12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r>
      <w:pict>
        <v:shape id="_x0000_s4097" o:spid="_x0000_s4097" o:spt="136" type="#_x0000_t136" style="position:absolute;left:0pt;margin-left:-76.45pt;margin-top:0pt;height:18.4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_x0000_s4098" o:spid="_x0000_s4098" o:spt="136" type="#_x0000_t136" style="position:absolute;left:0pt;margin-left:73.45pt;margin-top:593.2pt;height:18.3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_x0000_s4099" o:spid="_x0000_s4099" o:spt="136" type="#_x0000_t136" style="position:absolute;left:0pt;margin-left:-76.45pt;margin-top:0pt;height:18.4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_x0000_s4100" o:spid="_x0000_s4100" o:spt="136" type="#_x0000_t136" style="position:absolute;left:0pt;margin-left:73.45pt;margin-top:593.2pt;height:18.3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_x0000_s4101" o:spid="_x0000_s4101" o:spt="136" type="#_x0000_t136" style="position:absolute;left:0pt;margin-left:-76.45pt;margin-top:0pt;height:18.4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_x0000_s4102" o:spid="_x0000_s4102" o:spt="136" type="#_x0000_t136" style="position:absolute;left:0pt;margin-left:73.45pt;margin-top:593.2pt;height:18.3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_x0000_s4103" o:spid="_x0000_s4103" o:spt="136" type="#_x0000_t136" style="position:absolute;left:0pt;margin-left:-76.45pt;margin-top:0pt;height:18.4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_x0000_s4104" o:spid="_x0000_s4104" o:spt="136" type="#_x0000_t136" style="position:absolute;left:0pt;margin-left:73.45pt;margin-top:593.2pt;height:18.3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_x0000_s4105" o:spid="_x0000_s4105" o:spt="136" type="#_x0000_t136" style="position:absolute;left:0pt;margin-left:-76.45pt;margin-top:0pt;height:18.4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_x0000_s4106" o:spid="_x0000_s4106" o:spt="136" type="#_x0000_t136" style="position:absolute;left:0pt;margin-left:73.45pt;margin-top:593.2pt;height:18.3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PowerPlusWaterMarkObject40" o:spid="_x0000_s4107" o:spt="136" type="#_x0000_t136" style="position:absolute;left:0pt;margin-left:-76.45pt;margin-top:0pt;height:18.4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PowerPlusWaterMarkObject41" o:spid="_x0000_s4108" o:spt="136" type="#_x0000_t136" style="position:absolute;left:0pt;margin-left:73.45pt;margin-top:593.2pt;height:18.35pt;width:541.45pt;rotation:21626880f;z-index:-251656192;mso-width-relative:page;mso-height-relative:page;" fillcolor="#8A8585" filled="t" stroked="f" coordsize="21600,21600" o:allowincell="f" adj="10800">
          <v:path/>
          <v:fill on="t" opacity="45875f" focussize="0,0"/>
          <v:stroke on="f" color="#000000"/>
          <v:imagedata o:title=""/>
          <o:lock v:ext="edit"/>
          <v:textpath on="t" fitshape="t" fitpath="t" trim="t" xscale="f" string="江苏高淳农村商业银行    董事会办公室（党委办公室）    吕亮    2023-03-27  14:26:20" style="font-family:微软雅黑;font-size:14pt;v-text-align:center;"/>
        </v:shape>
      </w:pict>
    </w:r>
    <w:r>
      <w:pict>
        <v:shape id="PowerPlusWaterMarkObject42" o:spid="_x0000_s4109" o:spt="136" type="#_x0000_t136" style="position:absolute;left:0pt;margin-left:-76.5pt;margin-top:0pt;height:55.35pt;width:2043.2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董事会办公室（党委办公室）    董事会办公室    2023-04-06  11:43:31" style="font-family:Times New Roman;font-size:50pt;v-text-align:center;"/>
        </v:shape>
      </w:pict>
    </w:r>
    <w:r>
      <w:pict>
        <v:shape id="PowerPlusWaterMarkObject43" o:spid="_x0000_s4110" o:spt="136" type="#_x0000_t136" style="position:absolute;left:0pt;margin-left:-57.75pt;margin-top:832.5pt;height:55.35pt;width:2043.2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董事会办公室（党委办公室）    董事会办公室    2023-04-06  11:43:31" style="font-family:Times New Roman;font-size:50pt;v-text-align:center;"/>
        </v:shape>
      </w:pict>
    </w:r>
    <w:r>
      <w:pict>
        <v:shape id="PowerPlusWaterMarkObject44" o:spid="_x0000_s4111" o:spt="136" type="#_x0000_t136" style="position:absolute;left:0pt;margin-left:-76.5pt;margin-top:0pt;height:55.35pt;width:2043.2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董事会办公室（党委办公室）    董事会办公室    2023-04-06  11:43:31" style="font-family:Times New Roman;font-size:50pt;v-text-align:center;"/>
        </v:shape>
      </w:pict>
    </w:r>
    <w:r>
      <w:pict>
        <v:shape id="PowerPlusWaterMarkObject45" o:spid="_x0000_s4112" o:spt="136" type="#_x0000_t136" style="position:absolute;left:0pt;margin-left:-57.75pt;margin-top:832.5pt;height:55.35pt;width:2043.2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董事会办公室（党委办公室）    董事会办公室    2023-04-06  11:43:31" style="font-family:Times New Roman;font-size:50pt;v-text-align:center;"/>
        </v:shape>
      </w:pict>
    </w:r>
    <w:r>
      <w:pict>
        <v:shape id="PowerPlusWaterMarkObject46" o:spid="_x0000_s4113" o:spt="136" type="#_x0000_t136" style="position:absolute;left:0pt;margin-left:-76.5pt;margin-top:0pt;height:55.35pt;width:2043.2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董事会办公室（党委办公室）    董事会办公室    2023-04-06  11:43:31" style="font-family:Times New Roman;font-size:50pt;v-text-align:center;"/>
        </v:shape>
      </w:pict>
    </w:r>
    <w:r>
      <w:pict>
        <v:shape id="PowerPlusWaterMarkObject47" o:spid="_x0000_s4114" o:spt="136" type="#_x0000_t136" style="position:absolute;left:0pt;margin-left:-57.75pt;margin-top:832.5pt;height:55.35pt;width:2043.2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董事会办公室（党委办公室）    董事会办公室    2023-04-06  11:43:31" style="font-family:Times New Roman;font-size:50pt;v-text-align:center;"/>
        </v:shape>
      </w:pict>
    </w:r>
    <w:r>
      <w:pict>
        <v:shape id="PowerPlusWaterMarkObject48" o:spid="_x0000_s4115" o:spt="136" type="#_x0000_t136" style="position:absolute;left:0pt;margin-left:-76.5pt;margin-top:0pt;height:55.35pt;width:2043.2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董事会办公室（党委办公室）    董事会办公室    2023-04-06  11:43:31" style="font-family:Times New Roman;font-size:50pt;v-text-align:center;"/>
        </v:shape>
      </w:pict>
    </w:r>
    <w:r>
      <w:pict>
        <v:shape id="PowerPlusWaterMarkObject49" o:spid="_x0000_s4116" o:spt="136" type="#_x0000_t136" style="position:absolute;left:0pt;margin-left:-57.75pt;margin-top:832.5pt;height:55.35pt;width:2043.2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董事会办公室（党委办公室）    董事会办公室    2023-04-06  11:43:31" style="font-family:Times New Roman;font-size:50pt;v-text-align:center;"/>
        </v:shape>
      </w:pict>
    </w:r>
    <w:r>
      <w:pict>
        <v:shape id="PowerPlusWaterMarkObject50" o:spid="_x0000_s4117" o:spt="136" type="#_x0000_t136" style="position:absolute;left:0pt;margin-left:-76.5pt;margin-top:0pt;height:55.35pt;width:2043.2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董事会办公室（党委办公室）    董事会办公室    2023-04-06  11:43:31" style="font-family:Times New Roman;font-size:50pt;v-text-align:center;"/>
        </v:shape>
      </w:pict>
    </w:r>
    <w:r>
      <w:pict>
        <v:shape id="_x0000_s4118" o:spid="_x0000_s4118" o:spt="136" type="#_x0000_t136" style="position:absolute;left:0pt;margin-left:-57.75pt;margin-top:832.5pt;height:55.35pt;width:2043.2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董事会办公室（党委办公室）    董事会办公室    2023-04-06  11:43:31" style="font-family:Times New Roman;font-size:50pt;v-text-align:center;"/>
        </v:shape>
      </w:pict>
    </w:r>
    <w:r>
      <w:pict>
        <v:shape id="_x0000_s4119" o:spid="_x0000_s4119" o:spt="136" type="#_x0000_t136" style="position:absolute;left:0pt;margin-left:-76.5pt;margin-top:0pt;height:50.25pt;width:2437.1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董事会办公室（党委办公室）    董事会办公室    2026-01-29  20:04:26" style="font-family:宋体;font-size:50pt;v-text-align:center;"/>
        </v:shape>
      </w:pict>
    </w:r>
    <w:r>
      <w:pict>
        <v:shape id="_x0000_s4120" o:spid="_x0000_s4120" o:spt="136" type="#_x0000_t136" style="position:absolute;left:0pt;margin-left:-76.5pt;margin-top:0pt;height:50.25pt;width:1834.1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计划财务部    陈杏    2026-02-02  15:37:22" style="font-family:宋体;font-size:50pt;v-text-align:center;"/>
        </v:shape>
      </w:pict>
    </w:r>
    <w:r>
      <w:pict>
        <v:shape id="_x0000_s4121" o:spid="_x0000_s4121" o:spt="136" type="#_x0000_t136" style="position:absolute;left:0pt;margin-left:-57.75pt;margin-top:721.5pt;height:50.25pt;width:1834.1pt;rotation:22282240f;z-index:-251656192;mso-width-relative:page;mso-height-relative:page;" fillcolor="#808080" filled="t" stroked="f" coordsize="21600,21600" o:allowincell="f" adj="10800">
          <v:path/>
          <v:fill on="t" opacity="655f" focussize="0,0"/>
          <v:stroke on="f" color="#000000"/>
          <v:imagedata o:title=""/>
          <o:lock v:ext="edit"/>
          <v:textpath on="t" fitshape="t" fitpath="t" trim="t" xscale="f" string="江苏高淳农村商业银行    计划财务部    陈杏    2026-02-02  15:37:22" style="font-family:宋体;font-size:50pt;v-text-align:center;"/>
        </v:shape>
      </w:pict>
    </w:r>
    <w:r>
      <w:pict>
        <v:shape id="PowerPlusWaterMarkObject55" o:spid="_x0000_s4122" o:spt="136" type="#_x0000_t136" style="position:absolute;left:0pt;margin-left:-0.75pt;margin-top:-0.75pt;height:12pt;width:438pt;rotation:20643840f;z-index:-251656192;mso-width-relative:page;mso-height-relative:page;" fillcolor="#000000" filled="t" stroked="f" coordsize="21600,21600" o:allowincell="f" adj="10800">
          <v:path/>
          <v:fill on="t" opacity="32768f" focussize="0,0"/>
          <v:stroke on="f" color="#000000"/>
          <v:imagedata o:title=""/>
          <o:lock v:ext="edit"/>
          <v:textpath on="t" fitshape="t" fitpath="t" trim="t" xscale="f" string="江苏高淳农村商业银行    计划财务部    陈杏    2026-07-20  10:06:21" style="font-family:宋体;font-size:12pt;v-text-align:center;"/>
        </v:shape>
      </w:pict>
    </w:r>
    <w:r>
      <w:pict>
        <v:shape id="PowerPlusWaterMarkObject56" o:spid="_x0000_s4123" o:spt="136" type="#_x0000_t136" style="position:absolute;left:0pt;margin-left:-0.75pt;margin-top:-0.75pt;height:12pt;width:534pt;rotation:20643840f;z-index:-251656192;mso-width-relative:page;mso-height-relative:page;" fillcolor="#000000" filled="t" stroked="f" coordsize="21600,21600" o:allowincell="f" adj="10800">
          <v:path/>
          <v:fill on="t" opacity="32768f" focussize="0,0"/>
          <v:stroke on="f" color="#000000"/>
          <v:imagedata o:title=""/>
          <o:lock v:ext="edit"/>
          <v:textpath on="t" fitshape="t" fitpath="t" trim="t" xscale="f" string="江苏高淳农村商业银行    董事会办公室（党委办公室）    杨刚    2026-08-10  09:29:05" style="font-family:宋体;font-size:12pt;v-text-align:center;"/>
        </v:shape>
      </w:pict>
    </w:r>
    <w:r>
      <w:pict>
        <v:shape id="PowerPlusWaterMarkObject57" o:spid="_x0000_s4124" o:spt="136" type="#_x0000_t136" style="position:absolute;left:0pt;margin-left:-0.75pt;margin-top:-0.75pt;height:12pt;width:534pt;rotation:20643840f;z-index:-251656192;mso-width-relative:page;mso-height-relative:page;" fillcolor="#000000" filled="t" stroked="f" coordsize="21600,21600" o:allowincell="f" adj="10800">
          <v:path/>
          <v:fill on="t" opacity="32768f" focussize="0,0"/>
          <v:stroke on="f" color="#000000"/>
          <v:imagedata o:title=""/>
          <o:lock v:ext="edit"/>
          <v:textpath on="t" fitshape="t" fitpath="t" trim="t" xscale="f" string="江苏高淳农村商业银行    董事会办公室（党委办公室）    杨刚    2026-08-28  18:11:57" style="font-family:宋体;font-size:12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tabs>
        <w:tab w:val="center" w:pos="4678"/>
        <w:tab w:val="clear" w:pos="4153"/>
      </w:tabs>
      <w:ind w:firstLine="90" w:firstLineChars="50"/>
      <w:jc w:val="both"/>
      <w:rPr>
        <w:rFonts w:ascii="仿宋_GB2312" w:eastAsia="仿宋_GB2312"/>
      </w:rPr>
    </w:pPr>
    <w:r>
      <w:rPr>
        <w:rFonts w:hint="eastAsia" w:ascii="仿宋_GB2312" w:eastAsia="仿宋_GB2312"/>
      </w:rPr>
      <w:t>江苏高淳农村商业银行股份有限公司                                       2025年度财务报表附注</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E766BBE"/>
    <w:multiLevelType w:val="singleLevel"/>
    <w:tmpl w:val="DE766BBE"/>
    <w:lvl w:ilvl="0" w:tentative="0">
      <w:start w:val="1"/>
      <w:numFmt w:val="decimal"/>
      <w:lvlText w:val="%1."/>
      <w:lvlJc w:val="left"/>
      <w:pPr>
        <w:tabs>
          <w:tab w:val="left" w:pos="312"/>
        </w:tabs>
      </w:pPr>
    </w:lvl>
  </w:abstractNum>
  <w:abstractNum w:abstractNumId="1">
    <w:nsid w:val="FB2CFFD9"/>
    <w:multiLevelType w:val="singleLevel"/>
    <w:tmpl w:val="FB2CFFD9"/>
    <w:lvl w:ilvl="0" w:tentative="0">
      <w:start w:val="4"/>
      <w:numFmt w:val="chineseCounting"/>
      <w:suff w:val="nothing"/>
      <w:lvlText w:val="%1、"/>
      <w:lvlJc w:val="left"/>
      <w:rPr>
        <w:rFonts w:hint="eastAsia"/>
      </w:rPr>
    </w:lvl>
  </w:abstractNum>
  <w:abstractNum w:abstractNumId="2">
    <w:nsid w:val="1BFA4F55"/>
    <w:multiLevelType w:val="singleLevel"/>
    <w:tmpl w:val="1BFA4F55"/>
    <w:lvl w:ilvl="0" w:tentative="0">
      <w:start w:val="29"/>
      <w:numFmt w:val="decimal"/>
      <w:suff w:val="space"/>
      <w:lvlText w:val="%1."/>
      <w:lvlJc w:val="left"/>
    </w:lvl>
  </w:abstractNum>
  <w:abstractNum w:abstractNumId="3">
    <w:nsid w:val="1E7D8D3D"/>
    <w:multiLevelType w:val="singleLevel"/>
    <w:tmpl w:val="1E7D8D3D"/>
    <w:lvl w:ilvl="0" w:tentative="0">
      <w:start w:val="1"/>
      <w:numFmt w:val="decimal"/>
      <w:lvlText w:val="%1."/>
      <w:lvlJc w:val="left"/>
      <w:pPr>
        <w:tabs>
          <w:tab w:val="left" w:pos="312"/>
        </w:tabs>
      </w:pPr>
    </w:lvl>
  </w:abstractNum>
  <w:abstractNum w:abstractNumId="4">
    <w:nsid w:val="3E61BD7C"/>
    <w:multiLevelType w:val="singleLevel"/>
    <w:tmpl w:val="3E61BD7C"/>
    <w:lvl w:ilvl="0" w:tentative="0">
      <w:start w:val="11"/>
      <w:numFmt w:val="chineseCounting"/>
      <w:suff w:val="nothing"/>
      <w:lvlText w:val="%1、"/>
      <w:lvlJc w:val="left"/>
      <w:rPr>
        <w:rFonts w:hint="eastAsia"/>
      </w:rPr>
    </w:lvl>
  </w:abstractNum>
  <w:abstractNum w:abstractNumId="5">
    <w:nsid w:val="663ED712"/>
    <w:multiLevelType w:val="singleLevel"/>
    <w:tmpl w:val="663ED712"/>
    <w:lvl w:ilvl="0" w:tentative="0">
      <w:start w:val="1"/>
      <w:numFmt w:val="chineseCounting"/>
      <w:suff w:val="nothing"/>
      <w:lvlText w:val="%1、"/>
      <w:lvlJc w:val="left"/>
      <w:rPr>
        <w:rFonts w:hint="eastAsia"/>
      </w:rPr>
    </w:lvl>
  </w:abstractNum>
  <w:num w:numId="1">
    <w:abstractNumId w:val="3"/>
  </w:num>
  <w:num w:numId="2">
    <w:abstractNumId w:val="1"/>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dit="readOnly" w:enforcement="0"/>
  <w:defaultTabStop w:val="420"/>
  <w:drawingGridHorizontalSpacing w:val="116"/>
  <w:drawingGridVerticalSpacing w:val="144"/>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ulTrailSpace/>
    <w:doNotExpandShiftReturn/>
    <w:adjustLineHeightInTable/>
    <w:useFELayout/>
    <w:doNotUseIndentAsNumberingTabStop/>
    <w:useAltKinsokuLineBreakRules/>
    <w:compatSetting w:name="compatibilityMode" w:uri="http://schemas.microsoft.com/office/word" w:val="14"/>
  </w:compat>
  <w:rsids>
    <w:rsidRoot w:val="00172A27"/>
    <w:rsid w:val="0A3E5AA6"/>
    <w:rsid w:val="0B8712C9"/>
    <w:rsid w:val="0C3C23BF"/>
    <w:rsid w:val="10D12E24"/>
    <w:rsid w:val="11F23BE2"/>
    <w:rsid w:val="13CF56F7"/>
    <w:rsid w:val="1D8654D4"/>
    <w:rsid w:val="21F64047"/>
    <w:rsid w:val="24DC2AE3"/>
    <w:rsid w:val="2E835E5F"/>
    <w:rsid w:val="2FED7630"/>
    <w:rsid w:val="33F3622A"/>
    <w:rsid w:val="38673A70"/>
    <w:rsid w:val="42ED2B67"/>
    <w:rsid w:val="45B83A6E"/>
    <w:rsid w:val="470C691E"/>
    <w:rsid w:val="49BD2017"/>
    <w:rsid w:val="4A336F4B"/>
    <w:rsid w:val="4B704512"/>
    <w:rsid w:val="4EFA0EB7"/>
    <w:rsid w:val="5A2F44D7"/>
    <w:rsid w:val="5BF3258A"/>
    <w:rsid w:val="625911EA"/>
    <w:rsid w:val="65F1276A"/>
    <w:rsid w:val="6DB62554"/>
    <w:rsid w:val="6F3D3B22"/>
    <w:rsid w:val="70375C56"/>
    <w:rsid w:val="73524422"/>
    <w:rsid w:val="744D1D39"/>
    <w:rsid w:val="7B4A03D4"/>
    <w:rsid w:val="7B8B6C3F"/>
    <w:rsid w:val="7F754FA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Lucida Sans"/>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1"/>
    <w:basedOn w:val="1"/>
    <w:next w:val="1"/>
    <w:link w:val="31"/>
    <w:qFormat/>
    <w:uiPriority w:val="0"/>
    <w:pPr>
      <w:keepNext/>
      <w:keepLines/>
      <w:spacing w:before="340" w:after="330" w:line="578" w:lineRule="auto"/>
      <w:outlineLvl w:val="0"/>
    </w:pPr>
    <w:rPr>
      <w:rFonts w:ascii="Times New Roman" w:hAnsi="Times New Roman" w:cs="Times New Roman"/>
      <w:b/>
      <w:bCs/>
      <w:kern w:val="44"/>
      <w:sz w:val="44"/>
      <w:szCs w:val="44"/>
    </w:rPr>
  </w:style>
  <w:style w:type="paragraph" w:styleId="3">
    <w:name w:val="heading 2"/>
    <w:basedOn w:val="1"/>
    <w:next w:val="1"/>
    <w:link w:val="32"/>
    <w:qFormat/>
    <w:uiPriority w:val="0"/>
    <w:pPr>
      <w:keepNext/>
      <w:keepLines/>
      <w:spacing w:before="260" w:after="260" w:line="415" w:lineRule="auto"/>
      <w:outlineLvl w:val="1"/>
    </w:pPr>
    <w:rPr>
      <w:rFonts w:ascii="Arial" w:hAnsi="Arial" w:eastAsia="黑体" w:cs="Times New Roman"/>
      <w:b/>
      <w:bCs/>
      <w:sz w:val="32"/>
      <w:szCs w:val="32"/>
    </w:rPr>
  </w:style>
  <w:style w:type="paragraph" w:styleId="4">
    <w:name w:val="heading 3"/>
    <w:basedOn w:val="1"/>
    <w:next w:val="1"/>
    <w:link w:val="33"/>
    <w:qFormat/>
    <w:uiPriority w:val="0"/>
    <w:pPr>
      <w:keepNext/>
      <w:keepLines/>
      <w:spacing w:before="260" w:after="260" w:line="415" w:lineRule="auto"/>
      <w:outlineLvl w:val="2"/>
    </w:pPr>
    <w:rPr>
      <w:rFonts w:ascii="Times New Roman" w:hAnsi="Times New Roman" w:cs="Times New Roman"/>
      <w:b/>
      <w:bCs/>
      <w:sz w:val="32"/>
      <w:szCs w:val="32"/>
    </w:rPr>
  </w:style>
  <w:style w:type="paragraph" w:styleId="5">
    <w:name w:val="heading 4"/>
    <w:basedOn w:val="1"/>
    <w:next w:val="1"/>
    <w:link w:val="34"/>
    <w:qFormat/>
    <w:uiPriority w:val="0"/>
    <w:pPr>
      <w:keepNext/>
      <w:keepLines/>
      <w:spacing w:before="280" w:after="290" w:line="377" w:lineRule="auto"/>
      <w:outlineLvl w:val="3"/>
    </w:pPr>
    <w:rPr>
      <w:rFonts w:ascii="Arial" w:hAnsi="Arial" w:eastAsia="黑体" w:cs="Times New Roman"/>
      <w:b/>
      <w:bCs/>
      <w:sz w:val="28"/>
      <w:szCs w:val="28"/>
    </w:rPr>
  </w:style>
  <w:style w:type="paragraph" w:styleId="6">
    <w:name w:val="heading 5"/>
    <w:basedOn w:val="1"/>
    <w:next w:val="1"/>
    <w:link w:val="35"/>
    <w:qFormat/>
    <w:uiPriority w:val="0"/>
    <w:pPr>
      <w:keepNext/>
      <w:keepLines/>
      <w:spacing w:before="280" w:after="290" w:line="377" w:lineRule="auto"/>
      <w:outlineLvl w:val="4"/>
    </w:pPr>
    <w:rPr>
      <w:rFonts w:ascii="Times New Roman" w:hAnsi="Times New Roman" w:cs="Times New Roman"/>
      <w:b/>
      <w:bCs/>
      <w:sz w:val="28"/>
      <w:szCs w:val="28"/>
    </w:rPr>
  </w:style>
  <w:style w:type="character" w:default="1" w:styleId="26">
    <w:name w:val="Default Paragraph Font"/>
    <w:qFormat/>
    <w:uiPriority w:val="0"/>
  </w:style>
  <w:style w:type="table" w:default="1" w:styleId="25">
    <w:name w:val="Normal Table"/>
    <w:semiHidden/>
    <w:qFormat/>
    <w:uiPriority w:val="0"/>
    <w:tblPr>
      <w:tblLayout w:type="fixed"/>
      <w:tblCellMar>
        <w:top w:w="0" w:type="dxa"/>
        <w:left w:w="108" w:type="dxa"/>
        <w:bottom w:w="0" w:type="dxa"/>
        <w:right w:w="108" w:type="dxa"/>
      </w:tblCellMar>
    </w:tblPr>
  </w:style>
  <w:style w:type="paragraph" w:styleId="7">
    <w:name w:val="List 3"/>
    <w:basedOn w:val="1"/>
    <w:qFormat/>
    <w:uiPriority w:val="0"/>
    <w:pPr>
      <w:ind w:left="600" w:leftChars="400" w:hanging="200" w:hangingChars="200"/>
    </w:pPr>
    <w:rPr>
      <w:rFonts w:ascii="Times New Roman" w:hAnsi="Times New Roman" w:cs="Times New Roman"/>
      <w:szCs w:val="24"/>
    </w:rPr>
  </w:style>
  <w:style w:type="paragraph" w:styleId="8">
    <w:name w:val="Normal Indent"/>
    <w:basedOn w:val="1"/>
    <w:qFormat/>
    <w:uiPriority w:val="0"/>
    <w:pPr>
      <w:ind w:firstLine="200" w:firstLineChars="200"/>
    </w:pPr>
    <w:rPr>
      <w:rFonts w:cs="仿宋_GB2312"/>
      <w:szCs w:val="24"/>
    </w:rPr>
  </w:style>
  <w:style w:type="paragraph" w:styleId="9">
    <w:name w:val="Document Map"/>
    <w:basedOn w:val="1"/>
    <w:qFormat/>
    <w:uiPriority w:val="0"/>
    <w:rPr>
      <w:rFonts w:ascii="宋体" w:cs="Times New Roman"/>
      <w:sz w:val="18"/>
      <w:szCs w:val="18"/>
    </w:rPr>
  </w:style>
  <w:style w:type="paragraph" w:styleId="10">
    <w:name w:val="annotation text"/>
    <w:basedOn w:val="1"/>
    <w:qFormat/>
    <w:uiPriority w:val="0"/>
    <w:pPr>
      <w:jc w:val="left"/>
    </w:pPr>
    <w:rPr>
      <w:rFonts w:ascii="华文中宋" w:hAnsi="华文中宋" w:eastAsia="Times New Roman" w:cs="Times New Roman"/>
    </w:rPr>
  </w:style>
  <w:style w:type="paragraph" w:styleId="11">
    <w:name w:val="Body Text"/>
    <w:basedOn w:val="1"/>
    <w:qFormat/>
    <w:uiPriority w:val="0"/>
    <w:pPr>
      <w:spacing w:after="120"/>
    </w:pPr>
    <w:rPr>
      <w:rFonts w:ascii="Times New Roman" w:hAnsi="Times New Roman" w:cs="Times New Roman"/>
      <w:szCs w:val="24"/>
    </w:rPr>
  </w:style>
  <w:style w:type="paragraph" w:styleId="12">
    <w:name w:val="Body Text Indent"/>
    <w:basedOn w:val="1"/>
    <w:qFormat/>
    <w:uiPriority w:val="0"/>
    <w:pPr>
      <w:spacing w:after="120"/>
      <w:ind w:left="200" w:leftChars="200"/>
    </w:pPr>
    <w:rPr>
      <w:rFonts w:ascii="Times New Roman" w:hAnsi="Times New Roman" w:cs="Times New Roman"/>
      <w:szCs w:val="24"/>
    </w:rPr>
  </w:style>
  <w:style w:type="paragraph" w:styleId="13">
    <w:name w:val="List 2"/>
    <w:basedOn w:val="1"/>
    <w:qFormat/>
    <w:uiPriority w:val="0"/>
    <w:pPr>
      <w:ind w:left="400" w:leftChars="200" w:hanging="200" w:hangingChars="200"/>
    </w:pPr>
    <w:rPr>
      <w:rFonts w:ascii="Times New Roman" w:hAnsi="Times New Roman" w:cs="Times New Roman"/>
      <w:szCs w:val="24"/>
    </w:rPr>
  </w:style>
  <w:style w:type="paragraph" w:styleId="14">
    <w:name w:val="Date"/>
    <w:basedOn w:val="1"/>
    <w:next w:val="1"/>
    <w:qFormat/>
    <w:uiPriority w:val="0"/>
    <w:pPr>
      <w:ind w:left="2500" w:leftChars="2500"/>
    </w:pPr>
    <w:rPr>
      <w:rFonts w:ascii="楷体_GB2312" w:eastAsia="楷体_GB2312" w:cs="Times New Roman"/>
      <w:sz w:val="28"/>
      <w:szCs w:val="24"/>
    </w:rPr>
  </w:style>
  <w:style w:type="paragraph" w:styleId="15">
    <w:name w:val="Body Text Indent 2"/>
    <w:basedOn w:val="1"/>
    <w:qFormat/>
    <w:uiPriority w:val="0"/>
    <w:pPr>
      <w:spacing w:line="520" w:lineRule="exact"/>
      <w:ind w:firstLine="192" w:firstLineChars="192"/>
    </w:pPr>
    <w:rPr>
      <w:rFonts w:ascii="华文仿宋" w:hAnsi="华文仿宋" w:cs="Times New Roman"/>
      <w:caps/>
      <w:sz w:val="28"/>
      <w:szCs w:val="18"/>
    </w:rPr>
  </w:style>
  <w:style w:type="paragraph" w:styleId="16">
    <w:name w:val="Balloon Text"/>
    <w:basedOn w:val="1"/>
    <w:qFormat/>
    <w:uiPriority w:val="0"/>
    <w:rPr>
      <w:rFonts w:ascii="Times New Roman" w:hAnsi="Times New Roman" w:cs="Times New Roman"/>
      <w:sz w:val="18"/>
      <w:szCs w:val="18"/>
    </w:rPr>
  </w:style>
  <w:style w:type="paragraph" w:styleId="17">
    <w:name w:val="footer"/>
    <w:basedOn w:val="1"/>
    <w:qFormat/>
    <w:uiPriority w:val="0"/>
    <w:pPr>
      <w:tabs>
        <w:tab w:val="center" w:pos="4153"/>
        <w:tab w:val="right" w:pos="8306"/>
      </w:tabs>
      <w:snapToGrid w:val="0"/>
      <w:jc w:val="left"/>
    </w:pPr>
    <w:rPr>
      <w:sz w:val="18"/>
      <w:szCs w:val="18"/>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pPr>
    <w:rPr>
      <w:rFonts w:ascii="黑体" w:eastAsia="黑体" w:cs="Courier New"/>
      <w:kern w:val="0"/>
      <w:szCs w:val="21"/>
    </w:rPr>
  </w:style>
  <w:style w:type="paragraph" w:styleId="20">
    <w:name w:val="Normal (Web)"/>
    <w:basedOn w:val="1"/>
    <w:qFormat/>
    <w:uiPriority w:val="0"/>
    <w:pPr>
      <w:spacing w:before="0" w:beforeAutospacing="1" w:after="0" w:afterAutospacing="1"/>
      <w:ind w:left="0" w:right="0"/>
      <w:jc w:val="left"/>
    </w:pPr>
    <w:rPr>
      <w:kern w:val="0"/>
      <w:sz w:val="24"/>
      <w:lang w:val="en-US" w:eastAsia="zh-CN"/>
    </w:rPr>
  </w:style>
  <w:style w:type="paragraph" w:styleId="21">
    <w:name w:val="Title"/>
    <w:basedOn w:val="1"/>
    <w:next w:val="1"/>
    <w:qFormat/>
    <w:uiPriority w:val="0"/>
    <w:pPr>
      <w:jc w:val="center"/>
      <w:outlineLvl w:val="0"/>
    </w:pPr>
    <w:rPr>
      <w:rFonts w:ascii="Arial" w:hAnsi="Arial"/>
      <w:b/>
      <w:sz w:val="32"/>
    </w:rPr>
  </w:style>
  <w:style w:type="paragraph" w:styleId="22">
    <w:name w:val="annotation subject"/>
    <w:basedOn w:val="10"/>
    <w:next w:val="10"/>
    <w:qFormat/>
    <w:uiPriority w:val="0"/>
    <w:rPr>
      <w:b/>
      <w:bCs/>
    </w:rPr>
  </w:style>
  <w:style w:type="paragraph" w:styleId="23">
    <w:name w:val="Body Text First Indent"/>
    <w:basedOn w:val="11"/>
    <w:qFormat/>
    <w:uiPriority w:val="0"/>
    <w:pPr>
      <w:ind w:firstLine="100" w:firstLineChars="100"/>
    </w:pPr>
  </w:style>
  <w:style w:type="paragraph" w:styleId="24">
    <w:name w:val="Body Text First Indent 2"/>
    <w:basedOn w:val="1"/>
    <w:next w:val="1"/>
    <w:qFormat/>
    <w:uiPriority w:val="0"/>
    <w:pPr>
      <w:ind w:firstLine="200" w:firstLineChars="200"/>
    </w:pPr>
  </w:style>
  <w:style w:type="character" w:styleId="27">
    <w:name w:val="page number"/>
    <w:basedOn w:val="26"/>
    <w:qFormat/>
    <w:uiPriority w:val="0"/>
  </w:style>
  <w:style w:type="character" w:styleId="28">
    <w:name w:val="FollowedHyperlink"/>
    <w:basedOn w:val="26"/>
    <w:qFormat/>
    <w:uiPriority w:val="0"/>
    <w:rPr>
      <w:color w:val="800080"/>
      <w:u w:val="single"/>
    </w:rPr>
  </w:style>
  <w:style w:type="character" w:styleId="29">
    <w:name w:val="Hyperlink"/>
    <w:basedOn w:val="26"/>
    <w:qFormat/>
    <w:uiPriority w:val="0"/>
    <w:rPr>
      <w:color w:val="0000FF"/>
      <w:u w:val="single"/>
    </w:rPr>
  </w:style>
  <w:style w:type="character" w:styleId="30">
    <w:name w:val="annotation reference"/>
    <w:qFormat/>
    <w:uiPriority w:val="0"/>
    <w:rPr>
      <w:rFonts w:ascii="华文中宋" w:hAnsi="华文中宋" w:eastAsia="Times New Roman"/>
      <w:kern w:val="2"/>
      <w:sz w:val="21"/>
      <w:szCs w:val="21"/>
      <w:lang w:val="en-US" w:eastAsia="zh-CN" w:bidi="ar-SA"/>
    </w:rPr>
  </w:style>
  <w:style w:type="character" w:customStyle="1" w:styleId="31">
    <w:name w:val="heading 1 Char"/>
    <w:basedOn w:val="26"/>
    <w:link w:val="2"/>
    <w:qFormat/>
    <w:uiPriority w:val="0"/>
    <w:rPr>
      <w:rFonts w:ascii="Times New Roman" w:hAnsi="Times New Roman" w:eastAsia="宋体" w:cs="Times New Roman"/>
      <w:b/>
      <w:bCs/>
      <w:kern w:val="44"/>
      <w:sz w:val="44"/>
      <w:szCs w:val="44"/>
      <w:lang w:val="en-US" w:eastAsia="zh-CN" w:bidi="ar-SA"/>
    </w:rPr>
  </w:style>
  <w:style w:type="character" w:customStyle="1" w:styleId="32">
    <w:name w:val="heading 2 Char"/>
    <w:basedOn w:val="26"/>
    <w:link w:val="3"/>
    <w:qFormat/>
    <w:uiPriority w:val="0"/>
    <w:rPr>
      <w:rFonts w:ascii="Arial" w:hAnsi="Arial" w:eastAsia="黑体" w:cs="Times New Roman"/>
      <w:b/>
      <w:bCs/>
      <w:kern w:val="2"/>
      <w:sz w:val="32"/>
      <w:szCs w:val="32"/>
      <w:lang w:val="en-US" w:eastAsia="zh-CN" w:bidi="ar-SA"/>
    </w:rPr>
  </w:style>
  <w:style w:type="character" w:customStyle="1" w:styleId="33">
    <w:name w:val="heading 3 Char"/>
    <w:basedOn w:val="26"/>
    <w:link w:val="4"/>
    <w:qFormat/>
    <w:uiPriority w:val="0"/>
    <w:rPr>
      <w:rFonts w:ascii="Times New Roman" w:hAnsi="Times New Roman" w:eastAsia="宋体" w:cs="Times New Roman"/>
      <w:b/>
      <w:bCs/>
      <w:kern w:val="2"/>
      <w:sz w:val="32"/>
      <w:szCs w:val="32"/>
      <w:lang w:val="en-US" w:eastAsia="zh-CN" w:bidi="ar-SA"/>
    </w:rPr>
  </w:style>
  <w:style w:type="character" w:customStyle="1" w:styleId="34">
    <w:name w:val="heading 4 Char"/>
    <w:basedOn w:val="26"/>
    <w:link w:val="5"/>
    <w:qFormat/>
    <w:uiPriority w:val="0"/>
    <w:rPr>
      <w:rFonts w:ascii="Arial" w:hAnsi="Arial" w:eastAsia="黑体" w:cs="Times New Roman"/>
      <w:b/>
      <w:bCs/>
      <w:kern w:val="2"/>
      <w:sz w:val="28"/>
      <w:szCs w:val="28"/>
      <w:lang w:val="en-US" w:eastAsia="zh-CN" w:bidi="ar-SA"/>
    </w:rPr>
  </w:style>
  <w:style w:type="character" w:customStyle="1" w:styleId="35">
    <w:name w:val="heading 5 Char"/>
    <w:basedOn w:val="26"/>
    <w:link w:val="6"/>
    <w:qFormat/>
    <w:uiPriority w:val="0"/>
    <w:rPr>
      <w:rFonts w:ascii="Times New Roman" w:hAnsi="Times New Roman" w:eastAsia="宋体" w:cs="Times New Roman"/>
      <w:b/>
      <w:bCs/>
      <w:kern w:val="2"/>
      <w:sz w:val="28"/>
      <w:szCs w:val="28"/>
      <w:lang w:val="en-US" w:eastAsia="zh-CN" w:bidi="ar-SA"/>
    </w:rPr>
  </w:style>
  <w:style w:type="paragraph" w:customStyle="1" w:styleId="36">
    <w:name w:val="三级1"/>
    <w:next w:val="21"/>
    <w:qFormat/>
    <w:uiPriority w:val="0"/>
    <w:pPr>
      <w:tabs>
        <w:tab w:val="left" w:pos="2422"/>
      </w:tabs>
      <w:ind w:left="2422" w:hanging="720"/>
    </w:pPr>
    <w:rPr>
      <w:rFonts w:ascii="宋体" w:hAnsi="宋体" w:eastAsia="仿宋_GB2312" w:cs="Times New Roman"/>
      <w:spacing w:val="10"/>
      <w:sz w:val="32"/>
      <w:szCs w:val="20"/>
      <w:lang w:val="en-US" w:eastAsia="zh-CN" w:bidi="ar-SA"/>
    </w:rPr>
  </w:style>
  <w:style w:type="paragraph" w:customStyle="1" w:styleId="37">
    <w:name w:val="Char Char Char"/>
    <w:basedOn w:val="1"/>
    <w:qFormat/>
    <w:uiPriority w:val="0"/>
    <w:rPr>
      <w:rFonts w:ascii="Tahoma" w:hAnsi="Tahoma" w:cs="Times New Roman"/>
      <w:sz w:val="24"/>
      <w:szCs w:val="20"/>
    </w:rPr>
  </w:style>
  <w:style w:type="paragraph" w:customStyle="1" w:styleId="38">
    <w:name w:val="font5"/>
    <w:basedOn w:val="1"/>
    <w:qFormat/>
    <w:uiPriority w:val="0"/>
    <w:pPr>
      <w:widowControl/>
      <w:spacing w:before="100" w:beforeAutospacing="1" w:after="100" w:afterAutospacing="1"/>
      <w:jc w:val="left"/>
    </w:pPr>
    <w:rPr>
      <w:rFonts w:ascii="宋体" w:cs="宋体"/>
      <w:kern w:val="0"/>
      <w:sz w:val="18"/>
      <w:szCs w:val="18"/>
    </w:rPr>
  </w:style>
  <w:style w:type="paragraph" w:customStyle="1" w:styleId="39">
    <w:name w:val="font6"/>
    <w:basedOn w:val="1"/>
    <w:qFormat/>
    <w:uiPriority w:val="0"/>
    <w:pPr>
      <w:widowControl/>
      <w:spacing w:before="100" w:beforeAutospacing="1" w:after="100" w:afterAutospacing="1"/>
      <w:jc w:val="left"/>
    </w:pPr>
    <w:rPr>
      <w:rFonts w:ascii="Times New Roman" w:hAnsi="Times New Roman" w:cs="Times New Roman"/>
      <w:b/>
      <w:bCs/>
      <w:color w:val="000000"/>
      <w:kern w:val="0"/>
      <w:sz w:val="20"/>
      <w:szCs w:val="20"/>
    </w:rPr>
  </w:style>
  <w:style w:type="paragraph" w:customStyle="1" w:styleId="40">
    <w:name w:val="font7"/>
    <w:basedOn w:val="1"/>
    <w:qFormat/>
    <w:uiPriority w:val="0"/>
    <w:pPr>
      <w:widowControl/>
      <w:spacing w:before="100" w:beforeAutospacing="1" w:after="100" w:afterAutospacing="1"/>
      <w:jc w:val="left"/>
    </w:pPr>
    <w:rPr>
      <w:rFonts w:ascii="宋体" w:cs="宋体"/>
      <w:kern w:val="0"/>
      <w:sz w:val="20"/>
      <w:szCs w:val="20"/>
    </w:rPr>
  </w:style>
  <w:style w:type="paragraph" w:customStyle="1" w:styleId="41">
    <w:name w:val="font8"/>
    <w:basedOn w:val="1"/>
    <w:qFormat/>
    <w:uiPriority w:val="0"/>
    <w:pPr>
      <w:widowControl/>
      <w:spacing w:before="100" w:beforeAutospacing="1" w:after="100" w:afterAutospacing="1"/>
      <w:jc w:val="left"/>
    </w:pPr>
    <w:rPr>
      <w:rFonts w:ascii="Times New Roman" w:hAnsi="Times New Roman" w:cs="Times New Roman"/>
      <w:kern w:val="0"/>
      <w:sz w:val="20"/>
      <w:szCs w:val="20"/>
    </w:rPr>
  </w:style>
  <w:style w:type="paragraph" w:customStyle="1" w:styleId="42">
    <w:name w:val="xl66"/>
    <w:basedOn w:val="1"/>
    <w:qFormat/>
    <w:uiPriority w:val="0"/>
    <w:pPr>
      <w:widowControl/>
      <w:spacing w:before="100" w:beforeAutospacing="1" w:after="100" w:afterAutospacing="1"/>
      <w:jc w:val="left"/>
      <w:textAlignment w:val="center"/>
    </w:pPr>
    <w:rPr>
      <w:rFonts w:ascii="仿宋_GB2312" w:eastAsia="仿宋_GB2312" w:cs="宋体"/>
      <w:color w:val="000000"/>
      <w:kern w:val="0"/>
      <w:sz w:val="20"/>
      <w:szCs w:val="20"/>
    </w:rPr>
  </w:style>
  <w:style w:type="paragraph" w:customStyle="1" w:styleId="43">
    <w:name w:val="xl67"/>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color w:val="000000"/>
      <w:kern w:val="0"/>
      <w:sz w:val="20"/>
      <w:szCs w:val="20"/>
    </w:rPr>
  </w:style>
  <w:style w:type="paragraph" w:customStyle="1" w:styleId="44">
    <w:name w:val="xl68"/>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cs="宋体"/>
      <w:b/>
      <w:bCs/>
      <w:color w:val="000000"/>
      <w:kern w:val="0"/>
      <w:sz w:val="20"/>
      <w:szCs w:val="20"/>
    </w:rPr>
  </w:style>
  <w:style w:type="paragraph" w:customStyle="1" w:styleId="45">
    <w:name w:val="xl69"/>
    <w:basedOn w:val="1"/>
    <w:qFormat/>
    <w:uiPriority w:val="0"/>
    <w:pPr>
      <w:widowControl/>
      <w:spacing w:before="100" w:beforeAutospacing="1" w:after="100" w:afterAutospacing="1"/>
      <w:jc w:val="left"/>
      <w:textAlignment w:val="center"/>
    </w:pPr>
    <w:rPr>
      <w:rFonts w:ascii="宋体" w:cs="宋体"/>
      <w:color w:val="000000"/>
      <w:kern w:val="0"/>
      <w:sz w:val="20"/>
      <w:szCs w:val="20"/>
    </w:rPr>
  </w:style>
  <w:style w:type="paragraph" w:customStyle="1" w:styleId="46">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color w:val="000000"/>
      <w:kern w:val="0"/>
      <w:sz w:val="20"/>
      <w:szCs w:val="20"/>
    </w:rPr>
  </w:style>
  <w:style w:type="paragraph" w:customStyle="1" w:styleId="47">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color w:val="000000"/>
      <w:kern w:val="0"/>
      <w:sz w:val="20"/>
      <w:szCs w:val="20"/>
    </w:rPr>
  </w:style>
  <w:style w:type="paragraph" w:customStyle="1" w:styleId="48">
    <w:name w:val="xl7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cs="宋体"/>
      <w:b/>
      <w:bCs/>
      <w:color w:val="000000"/>
      <w:kern w:val="0"/>
      <w:sz w:val="20"/>
      <w:szCs w:val="20"/>
    </w:rPr>
  </w:style>
  <w:style w:type="paragraph" w:customStyle="1" w:styleId="49">
    <w:name w:val="xl73"/>
    <w:basedOn w:val="1"/>
    <w:qFormat/>
    <w:uiPriority w:val="0"/>
    <w:pPr>
      <w:widowControl/>
      <w:pBdr>
        <w:top w:val="single" w:color="auto" w:sz="4" w:space="0"/>
        <w:left w:val="single" w:color="auto" w:sz="8" w:space="0"/>
        <w:bottom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50">
    <w:name w:val="xl74"/>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right"/>
      <w:textAlignment w:val="center"/>
    </w:pPr>
    <w:rPr>
      <w:rFonts w:ascii="宋体" w:cs="宋体"/>
      <w:kern w:val="0"/>
      <w:sz w:val="20"/>
      <w:szCs w:val="20"/>
    </w:rPr>
  </w:style>
  <w:style w:type="paragraph" w:customStyle="1" w:styleId="5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cs="Times New Roman"/>
      <w:kern w:val="0"/>
      <w:sz w:val="20"/>
      <w:szCs w:val="20"/>
    </w:rPr>
  </w:style>
  <w:style w:type="paragraph" w:customStyle="1" w:styleId="52">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center"/>
      <w:textAlignment w:val="center"/>
    </w:pPr>
    <w:rPr>
      <w:rFonts w:ascii="宋体" w:cs="宋体"/>
      <w:color w:val="000000"/>
      <w:kern w:val="0"/>
      <w:sz w:val="20"/>
      <w:szCs w:val="20"/>
    </w:rPr>
  </w:style>
  <w:style w:type="paragraph" w:customStyle="1" w:styleId="53">
    <w:name w:val="xl77"/>
    <w:basedOn w:val="1"/>
    <w:qFormat/>
    <w:uiPriority w:val="0"/>
    <w:pPr>
      <w:widowControl/>
      <w:pBdr>
        <w:top w:val="single" w:color="auto" w:sz="4" w:space="0"/>
        <w:left w:val="single" w:color="auto" w:sz="4" w:space="0"/>
        <w:bottom w:val="single" w:color="auto" w:sz="4" w:space="0"/>
        <w:right w:val="single" w:color="auto" w:sz="8" w:space="0"/>
      </w:pBdr>
      <w:shd w:val="clear" w:color="000000" w:fill="99CCFF"/>
      <w:spacing w:before="100" w:beforeAutospacing="1" w:after="100" w:afterAutospacing="1"/>
      <w:jc w:val="center"/>
      <w:textAlignment w:val="center"/>
    </w:pPr>
    <w:rPr>
      <w:rFonts w:ascii="宋体" w:cs="宋体"/>
      <w:color w:val="000000"/>
      <w:kern w:val="0"/>
      <w:sz w:val="20"/>
      <w:szCs w:val="20"/>
    </w:rPr>
  </w:style>
  <w:style w:type="paragraph" w:customStyle="1" w:styleId="54">
    <w:name w:val="xl78"/>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55">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56">
    <w:name w:val="xl80"/>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cs="宋体"/>
      <w:color w:val="000000"/>
      <w:kern w:val="0"/>
      <w:sz w:val="20"/>
      <w:szCs w:val="20"/>
    </w:rPr>
  </w:style>
  <w:style w:type="paragraph" w:customStyle="1" w:styleId="57">
    <w:name w:val="xl81"/>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58">
    <w:name w:val="xl82"/>
    <w:basedOn w:val="1"/>
    <w:qFormat/>
    <w:uiPriority w:val="0"/>
    <w:pPr>
      <w:widowControl/>
      <w:pBdr>
        <w:top w:val="single" w:color="auto" w:sz="4" w:space="0"/>
        <w:left w:val="single" w:color="auto" w:sz="4" w:space="0"/>
        <w:bottom w:val="single" w:color="auto" w:sz="4" w:space="0"/>
        <w:right w:val="single" w:color="auto" w:sz="4" w:space="0"/>
      </w:pBdr>
      <w:shd w:val="clear" w:color="FFFFFF" w:fill="99CCFF"/>
      <w:spacing w:before="100" w:beforeAutospacing="1" w:after="100" w:afterAutospacing="1"/>
      <w:jc w:val="center"/>
      <w:textAlignment w:val="center"/>
    </w:pPr>
    <w:rPr>
      <w:rFonts w:ascii="宋体" w:cs="宋体"/>
      <w:color w:val="000000"/>
      <w:kern w:val="0"/>
      <w:sz w:val="20"/>
      <w:szCs w:val="20"/>
    </w:rPr>
  </w:style>
  <w:style w:type="paragraph" w:customStyle="1" w:styleId="59">
    <w:name w:val="xl83"/>
    <w:basedOn w:val="1"/>
    <w:qFormat/>
    <w:uiPriority w:val="0"/>
    <w:pPr>
      <w:widowControl/>
      <w:pBdr>
        <w:top w:val="single" w:color="auto" w:sz="4" w:space="0"/>
        <w:left w:val="single" w:color="auto" w:sz="4" w:space="0"/>
        <w:bottom w:val="single" w:color="auto" w:sz="4" w:space="0"/>
        <w:right w:val="single" w:color="auto" w:sz="8" w:space="0"/>
      </w:pBdr>
      <w:shd w:val="clear" w:color="FFFFFF" w:fill="99CCFF"/>
      <w:spacing w:before="100" w:beforeAutospacing="1" w:after="100" w:afterAutospacing="1"/>
      <w:jc w:val="center"/>
      <w:textAlignment w:val="center"/>
    </w:pPr>
    <w:rPr>
      <w:rFonts w:ascii="宋体" w:cs="宋体"/>
      <w:color w:val="000000"/>
      <w:kern w:val="0"/>
      <w:sz w:val="20"/>
      <w:szCs w:val="20"/>
    </w:rPr>
  </w:style>
  <w:style w:type="paragraph" w:customStyle="1" w:styleId="60">
    <w:name w:val="xl84"/>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ascii="仿宋_GB2312" w:eastAsia="仿宋_GB2312" w:cs="宋体"/>
      <w:kern w:val="0"/>
      <w:sz w:val="20"/>
      <w:szCs w:val="20"/>
    </w:rPr>
  </w:style>
  <w:style w:type="paragraph" w:customStyle="1" w:styleId="61">
    <w:name w:val="xl85"/>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right"/>
      <w:textAlignment w:val="center"/>
    </w:pPr>
    <w:rPr>
      <w:rFonts w:ascii="Times New Roman" w:hAnsi="Times New Roman" w:cs="Times New Roman"/>
      <w:kern w:val="0"/>
      <w:sz w:val="20"/>
      <w:szCs w:val="20"/>
    </w:rPr>
  </w:style>
  <w:style w:type="paragraph" w:customStyle="1" w:styleId="62">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color w:val="000000"/>
      <w:kern w:val="0"/>
      <w:sz w:val="20"/>
      <w:szCs w:val="20"/>
    </w:rPr>
  </w:style>
  <w:style w:type="paragraph" w:customStyle="1" w:styleId="63">
    <w:name w:val="xl87"/>
    <w:basedOn w:val="1"/>
    <w:qFormat/>
    <w:uiPriority w:val="0"/>
    <w:pPr>
      <w:widowControl/>
      <w:pBdr>
        <w:top w:val="single" w:color="auto" w:sz="4" w:space="0"/>
        <w:left w:val="single" w:color="auto" w:sz="4" w:space="0"/>
        <w:bottom w:val="single" w:color="auto" w:sz="4" w:space="0"/>
        <w:right w:val="single" w:color="auto" w:sz="8" w:space="0"/>
      </w:pBdr>
      <w:shd w:val="clear" w:color="000000" w:fill="FFFFFF"/>
      <w:spacing w:before="100" w:beforeAutospacing="1" w:after="100" w:afterAutospacing="1"/>
      <w:jc w:val="center"/>
      <w:textAlignment w:val="center"/>
    </w:pPr>
    <w:rPr>
      <w:rFonts w:ascii="宋体" w:cs="宋体"/>
      <w:color w:val="000000"/>
      <w:kern w:val="0"/>
      <w:sz w:val="20"/>
      <w:szCs w:val="20"/>
    </w:rPr>
  </w:style>
  <w:style w:type="paragraph" w:customStyle="1" w:styleId="64">
    <w:name w:val="xl88"/>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cs="宋体"/>
      <w:kern w:val="0"/>
      <w:sz w:val="20"/>
      <w:szCs w:val="20"/>
    </w:rPr>
  </w:style>
  <w:style w:type="paragraph" w:customStyle="1" w:styleId="65">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66">
    <w:name w:val="xl90"/>
    <w:basedOn w:val="1"/>
    <w:qFormat/>
    <w:uiPriority w:val="0"/>
    <w:pPr>
      <w:widowControl/>
      <w:pBdr>
        <w:top w:val="single" w:color="auto" w:sz="4" w:space="0"/>
        <w:left w:val="single" w:color="auto" w:sz="4" w:space="0"/>
        <w:bottom w:val="single" w:color="auto" w:sz="4" w:space="0"/>
        <w:right w:val="single" w:color="auto" w:sz="8" w:space="0"/>
      </w:pBdr>
      <w:shd w:val="clear" w:color="000000" w:fill="99CCFF"/>
      <w:spacing w:before="100" w:beforeAutospacing="1" w:after="100" w:afterAutospacing="1"/>
      <w:jc w:val="center"/>
      <w:textAlignment w:val="center"/>
    </w:pPr>
    <w:rPr>
      <w:rFonts w:ascii="宋体" w:cs="宋体"/>
      <w:kern w:val="0"/>
      <w:sz w:val="20"/>
      <w:szCs w:val="20"/>
    </w:rPr>
  </w:style>
  <w:style w:type="paragraph" w:customStyle="1" w:styleId="67">
    <w:name w:val="xl91"/>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68">
    <w:name w:val="xl9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ascii="Times New Roman" w:hAnsi="Times New Roman" w:cs="Times New Roman"/>
      <w:kern w:val="0"/>
      <w:sz w:val="20"/>
      <w:szCs w:val="20"/>
    </w:rPr>
  </w:style>
  <w:style w:type="paragraph" w:customStyle="1" w:styleId="69">
    <w:name w:val="xl93"/>
    <w:basedOn w:val="1"/>
    <w:qFormat/>
    <w:uiPriority w:val="0"/>
    <w:pPr>
      <w:widowControl/>
      <w:pBdr>
        <w:top w:val="single" w:color="auto" w:sz="4" w:space="0"/>
        <w:left w:val="single" w:color="auto" w:sz="4" w:space="0"/>
        <w:bottom w:val="single" w:color="auto" w:sz="8" w:space="0"/>
        <w:right w:val="single" w:color="auto" w:sz="4" w:space="0"/>
      </w:pBdr>
      <w:shd w:val="clear" w:color="000000" w:fill="99CCFF"/>
      <w:spacing w:before="100" w:beforeAutospacing="1" w:after="100" w:afterAutospacing="1"/>
      <w:jc w:val="center"/>
      <w:textAlignment w:val="center"/>
    </w:pPr>
    <w:rPr>
      <w:rFonts w:ascii="宋体" w:cs="宋体"/>
      <w:color w:val="000000"/>
      <w:kern w:val="0"/>
      <w:sz w:val="20"/>
      <w:szCs w:val="20"/>
    </w:rPr>
  </w:style>
  <w:style w:type="paragraph" w:customStyle="1" w:styleId="70">
    <w:name w:val="xl94"/>
    <w:basedOn w:val="1"/>
    <w:qFormat/>
    <w:uiPriority w:val="0"/>
    <w:pPr>
      <w:widowControl/>
      <w:pBdr>
        <w:top w:val="single" w:color="auto" w:sz="4" w:space="0"/>
        <w:left w:val="single" w:color="auto" w:sz="4" w:space="0"/>
        <w:bottom w:val="single" w:color="auto" w:sz="8" w:space="0"/>
        <w:right w:val="single" w:color="auto" w:sz="8" w:space="0"/>
      </w:pBdr>
      <w:shd w:val="clear" w:color="000000" w:fill="99CCFF"/>
      <w:spacing w:before="100" w:beforeAutospacing="1" w:after="100" w:afterAutospacing="1"/>
      <w:jc w:val="center"/>
      <w:textAlignment w:val="center"/>
    </w:pPr>
    <w:rPr>
      <w:rFonts w:ascii="宋体" w:cs="宋体"/>
      <w:color w:val="000000"/>
      <w:kern w:val="0"/>
      <w:sz w:val="20"/>
      <w:szCs w:val="20"/>
    </w:rPr>
  </w:style>
  <w:style w:type="paragraph" w:customStyle="1" w:styleId="71">
    <w:name w:val="xl95"/>
    <w:basedOn w:val="1"/>
    <w:qFormat/>
    <w:uiPriority w:val="0"/>
    <w:pPr>
      <w:widowControl/>
      <w:spacing w:before="100" w:beforeAutospacing="1" w:after="100" w:afterAutospacing="1"/>
      <w:jc w:val="left"/>
    </w:pPr>
    <w:rPr>
      <w:rFonts w:ascii="宋体" w:cs="宋体"/>
      <w:color w:val="000000"/>
      <w:kern w:val="0"/>
      <w:sz w:val="20"/>
      <w:szCs w:val="20"/>
    </w:rPr>
  </w:style>
  <w:style w:type="paragraph" w:customStyle="1" w:styleId="72">
    <w:name w:val="xl96"/>
    <w:basedOn w:val="1"/>
    <w:qFormat/>
    <w:uiPriority w:val="0"/>
    <w:pPr>
      <w:widowControl/>
      <w:spacing w:before="100" w:beforeAutospacing="1" w:after="100" w:afterAutospacing="1"/>
      <w:jc w:val="left"/>
    </w:pPr>
    <w:rPr>
      <w:rFonts w:ascii="Times New Roman" w:hAnsi="Times New Roman" w:cs="Times New Roman"/>
      <w:color w:val="000000"/>
      <w:kern w:val="0"/>
      <w:sz w:val="20"/>
      <w:szCs w:val="20"/>
    </w:rPr>
  </w:style>
  <w:style w:type="paragraph" w:customStyle="1" w:styleId="73">
    <w:name w:val="xl97"/>
    <w:basedOn w:val="1"/>
    <w:qFormat/>
    <w:uiPriority w:val="0"/>
    <w:pPr>
      <w:widowControl/>
      <w:pBdr>
        <w:top w:val="single" w:color="auto" w:sz="8" w:space="0"/>
        <w:left w:val="single" w:color="auto" w:sz="8" w:space="0"/>
      </w:pBdr>
      <w:spacing w:before="100" w:beforeAutospacing="1" w:after="100" w:afterAutospacing="1"/>
      <w:jc w:val="center"/>
      <w:textAlignment w:val="center"/>
    </w:pPr>
    <w:rPr>
      <w:rFonts w:ascii="宋体" w:cs="宋体"/>
      <w:color w:val="000000"/>
      <w:kern w:val="0"/>
      <w:sz w:val="20"/>
      <w:szCs w:val="20"/>
    </w:rPr>
  </w:style>
  <w:style w:type="paragraph" w:customStyle="1" w:styleId="74">
    <w:name w:val="xl98"/>
    <w:basedOn w:val="1"/>
    <w:qFormat/>
    <w:uiPriority w:val="0"/>
    <w:pPr>
      <w:widowControl/>
      <w:pBdr>
        <w:left w:val="single" w:color="auto" w:sz="8" w:space="0"/>
      </w:pBdr>
      <w:spacing w:before="100" w:beforeAutospacing="1" w:after="100" w:afterAutospacing="1"/>
      <w:jc w:val="center"/>
      <w:textAlignment w:val="center"/>
    </w:pPr>
    <w:rPr>
      <w:rFonts w:ascii="宋体" w:cs="宋体"/>
      <w:color w:val="000000"/>
      <w:kern w:val="0"/>
      <w:sz w:val="20"/>
      <w:szCs w:val="20"/>
    </w:rPr>
  </w:style>
  <w:style w:type="paragraph" w:customStyle="1" w:styleId="75">
    <w:name w:val="xl99"/>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cs="宋体"/>
      <w:b/>
      <w:bCs/>
      <w:color w:val="000000"/>
      <w:kern w:val="0"/>
      <w:sz w:val="20"/>
      <w:szCs w:val="20"/>
    </w:rPr>
  </w:style>
  <w:style w:type="paragraph" w:customStyle="1" w:styleId="76">
    <w:name w:val="xl100"/>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cs="宋体"/>
      <w:b/>
      <w:bCs/>
      <w:color w:val="000000"/>
      <w:kern w:val="0"/>
      <w:sz w:val="20"/>
      <w:szCs w:val="20"/>
    </w:rPr>
  </w:style>
  <w:style w:type="paragraph" w:customStyle="1" w:styleId="77">
    <w:name w:val="xl101"/>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color w:val="000000"/>
      <w:kern w:val="0"/>
      <w:sz w:val="20"/>
      <w:szCs w:val="20"/>
    </w:rPr>
  </w:style>
  <w:style w:type="paragraph" w:customStyle="1" w:styleId="7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color w:val="000000"/>
      <w:kern w:val="0"/>
      <w:sz w:val="20"/>
      <w:szCs w:val="20"/>
    </w:rPr>
  </w:style>
  <w:style w:type="paragraph" w:styleId="79">
    <w:name w:val="List Paragraph"/>
    <w:basedOn w:val="1"/>
    <w:qFormat/>
    <w:uiPriority w:val="0"/>
    <w:pPr>
      <w:ind w:firstLine="200" w:firstLineChars="200"/>
    </w:pPr>
    <w:rPr>
      <w:rFonts w:cs="Times New Roman"/>
    </w:rPr>
  </w:style>
  <w:style w:type="paragraph" w:customStyle="1" w:styleId="80">
    <w:name w:val="CM71"/>
    <w:basedOn w:val="1"/>
    <w:next w:val="1"/>
    <w:qFormat/>
    <w:uiPriority w:val="0"/>
    <w:pPr>
      <w:autoSpaceDE w:val="0"/>
      <w:autoSpaceDN w:val="0"/>
      <w:adjustRightInd w:val="0"/>
      <w:spacing w:after="188"/>
      <w:jc w:val="left"/>
    </w:pPr>
    <w:rPr>
      <w:rFonts w:ascii="宋体" w:cs="宋体"/>
      <w:kern w:val="0"/>
      <w:sz w:val="24"/>
      <w:szCs w:val="24"/>
    </w:rPr>
  </w:style>
  <w:style w:type="paragraph" w:customStyle="1" w:styleId="81">
    <w:name w:val="CM5"/>
    <w:basedOn w:val="1"/>
    <w:next w:val="1"/>
    <w:qFormat/>
    <w:uiPriority w:val="0"/>
    <w:pPr>
      <w:autoSpaceDE w:val="0"/>
      <w:autoSpaceDN w:val="0"/>
      <w:adjustRightInd w:val="0"/>
      <w:jc w:val="left"/>
    </w:pPr>
    <w:rPr>
      <w:rFonts w:ascii="宋体" w:cs="宋体"/>
      <w:kern w:val="0"/>
      <w:sz w:val="24"/>
      <w:szCs w:val="24"/>
    </w:rPr>
  </w:style>
  <w:style w:type="paragraph" w:customStyle="1" w:styleId="82">
    <w:name w:val="CM75"/>
    <w:basedOn w:val="1"/>
    <w:next w:val="1"/>
    <w:qFormat/>
    <w:uiPriority w:val="0"/>
    <w:pPr>
      <w:autoSpaceDE w:val="0"/>
      <w:autoSpaceDN w:val="0"/>
      <w:adjustRightInd w:val="0"/>
      <w:spacing w:after="400"/>
      <w:jc w:val="left"/>
    </w:pPr>
    <w:rPr>
      <w:rFonts w:ascii="宋体" w:cs="宋体"/>
      <w:kern w:val="0"/>
      <w:sz w:val="24"/>
      <w:szCs w:val="24"/>
    </w:rPr>
  </w:style>
  <w:style w:type="paragraph" w:customStyle="1" w:styleId="83">
    <w:name w:val="CM16"/>
    <w:basedOn w:val="1"/>
    <w:next w:val="1"/>
    <w:qFormat/>
    <w:uiPriority w:val="0"/>
    <w:pPr>
      <w:autoSpaceDE w:val="0"/>
      <w:autoSpaceDN w:val="0"/>
      <w:adjustRightInd w:val="0"/>
      <w:spacing w:line="400" w:lineRule="atLeast"/>
      <w:jc w:val="left"/>
    </w:pPr>
    <w:rPr>
      <w:rFonts w:ascii="宋体" w:cs="宋体"/>
      <w:kern w:val="0"/>
      <w:sz w:val="24"/>
      <w:szCs w:val="24"/>
    </w:rPr>
  </w:style>
  <w:style w:type="paragraph" w:customStyle="1" w:styleId="84">
    <w:name w:val="CM6"/>
    <w:basedOn w:val="1"/>
    <w:next w:val="1"/>
    <w:qFormat/>
    <w:uiPriority w:val="0"/>
    <w:pPr>
      <w:autoSpaceDE w:val="0"/>
      <w:autoSpaceDN w:val="0"/>
      <w:adjustRightInd w:val="0"/>
      <w:spacing w:line="400" w:lineRule="atLeast"/>
      <w:jc w:val="left"/>
    </w:pPr>
    <w:rPr>
      <w:rFonts w:ascii="宋体" w:cs="宋体"/>
      <w:kern w:val="0"/>
      <w:sz w:val="24"/>
      <w:szCs w:val="24"/>
    </w:rPr>
  </w:style>
  <w:style w:type="paragraph" w:customStyle="1" w:styleId="8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6">
    <w:name w:val="Char Char Char Char Char Char1 Char"/>
    <w:basedOn w:val="9"/>
    <w:qFormat/>
    <w:uiPriority w:val="0"/>
    <w:pPr>
      <w:keepNext/>
      <w:shd w:val="clear" w:color="auto" w:fill="000080"/>
      <w:spacing w:before="100" w:beforeLines="100"/>
      <w:ind w:left="1360"/>
    </w:pPr>
    <w:rPr>
      <w:rFonts w:ascii="Tahoma" w:hAnsi="Tahoma"/>
      <w:sz w:val="24"/>
      <w:szCs w:val="24"/>
    </w:rPr>
  </w:style>
  <w:style w:type="paragraph" w:customStyle="1" w:styleId="87">
    <w:name w:val="font9"/>
    <w:basedOn w:val="1"/>
    <w:qFormat/>
    <w:uiPriority w:val="0"/>
    <w:pPr>
      <w:widowControl/>
      <w:spacing w:before="100" w:beforeAutospacing="1" w:after="100" w:afterAutospacing="1"/>
      <w:jc w:val="left"/>
    </w:pPr>
    <w:rPr>
      <w:rFonts w:ascii="Times New Roman" w:hAnsi="Times New Roman" w:cs="Times New Roman"/>
      <w:kern w:val="0"/>
      <w:sz w:val="20"/>
      <w:szCs w:val="20"/>
    </w:rPr>
  </w:style>
  <w:style w:type="paragraph" w:customStyle="1" w:styleId="88">
    <w:name w:val="font10"/>
    <w:basedOn w:val="1"/>
    <w:qFormat/>
    <w:uiPriority w:val="0"/>
    <w:pPr>
      <w:widowControl/>
      <w:spacing w:before="100" w:beforeAutospacing="1" w:after="100" w:afterAutospacing="1"/>
      <w:jc w:val="left"/>
    </w:pPr>
    <w:rPr>
      <w:rFonts w:ascii="Tahoma" w:hAnsi="Tahoma" w:cs="Tahoma"/>
      <w:b/>
      <w:bCs/>
      <w:color w:val="000000"/>
      <w:kern w:val="0"/>
      <w:sz w:val="18"/>
      <w:szCs w:val="18"/>
    </w:rPr>
  </w:style>
  <w:style w:type="paragraph" w:customStyle="1" w:styleId="89">
    <w:name w:val="xl63"/>
    <w:basedOn w:val="1"/>
    <w:qFormat/>
    <w:uiPriority w:val="0"/>
    <w:pPr>
      <w:widowControl/>
      <w:spacing w:before="100" w:beforeAutospacing="1" w:after="100" w:afterAutospacing="1"/>
      <w:jc w:val="left"/>
    </w:pPr>
    <w:rPr>
      <w:rFonts w:ascii="仿宋_GB2312" w:eastAsia="仿宋_GB2312" w:cs="宋体"/>
      <w:color w:val="000000"/>
      <w:kern w:val="0"/>
      <w:sz w:val="20"/>
      <w:szCs w:val="20"/>
    </w:rPr>
  </w:style>
  <w:style w:type="paragraph" w:customStyle="1" w:styleId="90">
    <w:name w:val="xl64"/>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cs="宋体"/>
      <w:b/>
      <w:bCs/>
      <w:color w:val="000000"/>
      <w:kern w:val="0"/>
      <w:sz w:val="20"/>
      <w:szCs w:val="20"/>
    </w:rPr>
  </w:style>
  <w:style w:type="paragraph" w:customStyle="1" w:styleId="91">
    <w:name w:val="xl65"/>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pPr>
    <w:rPr>
      <w:rFonts w:ascii="宋体" w:cs="宋体"/>
      <w:b/>
      <w:bCs/>
      <w:color w:val="000000"/>
      <w:kern w:val="0"/>
      <w:sz w:val="20"/>
      <w:szCs w:val="20"/>
    </w:rPr>
  </w:style>
  <w:style w:type="paragraph" w:customStyle="1" w:styleId="92">
    <w:name w:val="xl103"/>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cs="宋体"/>
      <w:b/>
      <w:bCs/>
      <w:color w:val="000000"/>
      <w:kern w:val="0"/>
      <w:sz w:val="20"/>
      <w:szCs w:val="20"/>
    </w:rPr>
  </w:style>
  <w:style w:type="paragraph" w:customStyle="1" w:styleId="93">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color w:val="000000"/>
      <w:kern w:val="0"/>
      <w:sz w:val="20"/>
      <w:szCs w:val="20"/>
    </w:rPr>
  </w:style>
  <w:style w:type="paragraph" w:customStyle="1" w:styleId="94">
    <w:name w:val="font0"/>
    <w:basedOn w:val="1"/>
    <w:qFormat/>
    <w:uiPriority w:val="0"/>
    <w:pPr>
      <w:widowControl/>
      <w:spacing w:before="100" w:beforeAutospacing="1" w:after="100" w:afterAutospacing="1"/>
      <w:jc w:val="left"/>
    </w:pPr>
    <w:rPr>
      <w:rFonts w:ascii="宋体" w:cs="宋体"/>
      <w:color w:val="000000"/>
      <w:kern w:val="0"/>
      <w:sz w:val="22"/>
    </w:rPr>
  </w:style>
  <w:style w:type="paragraph" w:customStyle="1" w:styleId="95">
    <w:name w:val="xl105"/>
    <w:basedOn w:val="1"/>
    <w:qFormat/>
    <w:uiPriority w:val="0"/>
    <w:pPr>
      <w:widowControl/>
      <w:pBdr>
        <w:left w:val="single" w:color="auto" w:sz="8" w:space="0"/>
        <w:bottom w:val="single" w:color="auto" w:sz="4" w:space="0"/>
      </w:pBdr>
      <w:spacing w:before="100" w:beforeAutospacing="1" w:after="100" w:afterAutospacing="1"/>
      <w:jc w:val="center"/>
    </w:pPr>
    <w:rPr>
      <w:rFonts w:ascii="宋体" w:cs="宋体"/>
      <w:kern w:val="0"/>
      <w:sz w:val="20"/>
      <w:szCs w:val="20"/>
    </w:rPr>
  </w:style>
  <w:style w:type="paragraph" w:customStyle="1" w:styleId="96">
    <w:name w:val="xl106"/>
    <w:basedOn w:val="1"/>
    <w:qFormat/>
    <w:uiPriority w:val="0"/>
    <w:pPr>
      <w:widowControl/>
      <w:pBdr>
        <w:bottom w:val="single" w:color="auto" w:sz="4" w:space="0"/>
        <w:right w:val="single" w:color="auto" w:sz="4" w:space="0"/>
      </w:pBdr>
      <w:spacing w:before="100" w:beforeAutospacing="1" w:after="100" w:afterAutospacing="1"/>
      <w:jc w:val="center"/>
    </w:pPr>
    <w:rPr>
      <w:rFonts w:ascii="宋体" w:cs="宋体"/>
      <w:kern w:val="0"/>
      <w:sz w:val="20"/>
      <w:szCs w:val="20"/>
    </w:rPr>
  </w:style>
  <w:style w:type="character" w:customStyle="1" w:styleId="97">
    <w:name w:val="Heading 1 Char"/>
    <w:basedOn w:val="26"/>
    <w:qFormat/>
    <w:uiPriority w:val="0"/>
    <w:rPr>
      <w:rFonts w:cs="Times New Roman"/>
      <w:b/>
      <w:bCs/>
      <w:kern w:val="44"/>
      <w:sz w:val="44"/>
      <w:szCs w:val="44"/>
    </w:rPr>
  </w:style>
  <w:style w:type="paragraph" w:customStyle="1" w:styleId="98">
    <w:name w:val="Char Char Char Char Char Char Char Char Char Char"/>
    <w:basedOn w:val="1"/>
    <w:qFormat/>
    <w:uiPriority w:val="0"/>
    <w:rPr>
      <w:rFonts w:ascii="Times New Roman" w:hAnsi="Times New Roman" w:cs="Times New Roman"/>
      <w:szCs w:val="20"/>
    </w:rPr>
  </w:style>
  <w:style w:type="paragraph" w:customStyle="1" w:styleId="99">
    <w:name w:val="Char Char Char Char Char Char Char Char Char Char1"/>
    <w:basedOn w:val="1"/>
    <w:qFormat/>
    <w:uiPriority w:val="0"/>
    <w:pPr>
      <w:widowControl/>
      <w:spacing w:after="160" w:line="360" w:lineRule="auto"/>
      <w:jc w:val="left"/>
    </w:pPr>
    <w:rPr>
      <w:rFonts w:ascii="Verdana" w:hAnsi="Verdana" w:cs="Times New Roman"/>
      <w:kern w:val="0"/>
      <w:szCs w:val="20"/>
    </w:rPr>
  </w:style>
  <w:style w:type="paragraph" w:customStyle="1" w:styleId="100">
    <w:name w:val="_Style 37"/>
    <w:basedOn w:val="1"/>
    <w:qFormat/>
    <w:uiPriority w:val="0"/>
    <w:rPr>
      <w:rFonts w:cs="Times New Roman"/>
      <w:szCs w:val="20"/>
    </w:rPr>
  </w:style>
  <w:style w:type="paragraph" w:customStyle="1" w:styleId="101">
    <w:name w:val="正文文本3"/>
    <w:basedOn w:val="1"/>
    <w:qFormat/>
    <w:uiPriority w:val="0"/>
    <w:pPr>
      <w:shd w:val="clear" w:color="auto" w:fill="FFFFFF"/>
      <w:spacing w:before="300" w:line="312" w:lineRule="exact"/>
      <w:jc w:val="distribute"/>
    </w:pPr>
    <w:rPr>
      <w:rFonts w:ascii="黑体" w:hAnsi="黑体"/>
      <w:spacing w:val="10"/>
      <w:sz w:val="22"/>
    </w:rPr>
  </w:style>
  <w:style w:type="character" w:customStyle="1" w:styleId="102">
    <w:name w:val="正文文本1"/>
    <w:qFormat/>
    <w:uiPriority w:val="0"/>
    <w:rPr>
      <w:rFonts w:eastAsia="Times New Roman" w:cs="黑体"/>
      <w:color w:val="000000"/>
      <w:w w:val="100"/>
      <w:position w:val="0"/>
      <w:u w:val="none"/>
      <w:lang w:val="zh-CN"/>
    </w:rPr>
  </w:style>
  <w:style w:type="character" w:customStyle="1" w:styleId="103">
    <w:name w:val="正文文本 + Gungsuh13"/>
    <w:qFormat/>
    <w:uiPriority w:val="0"/>
    <w:rPr>
      <w:rFonts w:ascii="Gungsuh" w:hAnsi="Gungsuh" w:eastAsia="Gungsuh" w:cs="Gungsuh"/>
      <w:color w:val="000000"/>
      <w:spacing w:val="0"/>
      <w:w w:val="100"/>
      <w:position w:val="0"/>
      <w:sz w:val="20"/>
      <w:szCs w:val="20"/>
      <w:u w:val="none"/>
      <w:lang w:val="zh-CN"/>
    </w:rPr>
  </w:style>
  <w:style w:type="paragraph" w:customStyle="1" w:styleId="104">
    <w:name w:val="标题 #41"/>
    <w:basedOn w:val="1"/>
    <w:qFormat/>
    <w:uiPriority w:val="0"/>
    <w:pPr>
      <w:shd w:val="clear" w:color="auto" w:fill="FFFFFF"/>
      <w:spacing w:line="240" w:lineRule="atLeast"/>
      <w:jc w:val="left"/>
      <w:outlineLvl w:val="3"/>
    </w:pPr>
    <w:rPr>
      <w:rFonts w:ascii="黑体" w:hAnsi="黑体"/>
      <w:spacing w:val="10"/>
      <w:sz w:val="29"/>
      <w:szCs w:val="29"/>
    </w:rPr>
  </w:style>
  <w:style w:type="character" w:customStyle="1" w:styleId="105">
    <w:name w:val="标题 #4 + 间距 2 pt"/>
    <w:qFormat/>
    <w:uiPriority w:val="0"/>
    <w:rPr>
      <w:color w:val="000000"/>
      <w:spacing w:val="50"/>
      <w:w w:val="100"/>
      <w:position w:val="0"/>
      <w:lang w:val="zh-CN"/>
    </w:rPr>
  </w:style>
  <w:style w:type="character" w:customStyle="1" w:styleId="106">
    <w:name w:val="正文文本 + 间距 3 pt"/>
    <w:qFormat/>
    <w:uiPriority w:val="0"/>
    <w:rPr>
      <w:rFonts w:eastAsia="Times New Roman" w:cs="黑体"/>
      <w:color w:val="000000"/>
      <w:spacing w:val="60"/>
      <w:w w:val="100"/>
      <w:position w:val="0"/>
      <w:u w:val="none"/>
      <w:lang w:val="zh-CN"/>
    </w:rPr>
  </w:style>
  <w:style w:type="character" w:customStyle="1" w:styleId="107">
    <w:name w:val="正文文本 + 间距 3 pt3"/>
    <w:qFormat/>
    <w:uiPriority w:val="0"/>
    <w:rPr>
      <w:rFonts w:eastAsia="Times New Roman" w:cs="黑体"/>
      <w:color w:val="000000"/>
      <w:spacing w:val="60"/>
      <w:w w:val="100"/>
      <w:position w:val="0"/>
      <w:u w:val="none"/>
      <w:lang w:val="zh-CN"/>
    </w:rPr>
  </w:style>
  <w:style w:type="character" w:customStyle="1" w:styleId="108">
    <w:name w:val="正文文本 + Gungsuh"/>
    <w:qFormat/>
    <w:uiPriority w:val="0"/>
    <w:rPr>
      <w:rFonts w:ascii="Gungsuh" w:hAnsi="Gungsuh" w:eastAsia="Gungsuh" w:cs="Gungsuh"/>
      <w:color w:val="000000"/>
      <w:spacing w:val="0"/>
      <w:w w:val="100"/>
      <w:position w:val="0"/>
      <w:sz w:val="20"/>
      <w:szCs w:val="20"/>
      <w:u w:val="none"/>
      <w:lang w:val="zh-CN"/>
    </w:rPr>
  </w:style>
  <w:style w:type="paragraph" w:customStyle="1" w:styleId="109">
    <w:name w:val="正文文本 (4)"/>
    <w:basedOn w:val="1"/>
    <w:qFormat/>
    <w:uiPriority w:val="0"/>
    <w:pPr>
      <w:shd w:val="clear" w:color="auto" w:fill="FFFFFF"/>
      <w:spacing w:before="360" w:after="1620" w:line="240" w:lineRule="atLeast"/>
      <w:jc w:val="left"/>
    </w:pPr>
    <w:rPr>
      <w:rFonts w:ascii="MS Mincho" w:hAnsi="MS Mincho" w:eastAsia="MS Mincho"/>
      <w:spacing w:val="90"/>
      <w:sz w:val="35"/>
      <w:szCs w:val="35"/>
    </w:rPr>
  </w:style>
  <w:style w:type="character" w:customStyle="1" w:styleId="110">
    <w:name w:val="正文文本 + Gungsuh4"/>
    <w:qFormat/>
    <w:uiPriority w:val="0"/>
    <w:rPr>
      <w:rFonts w:ascii="Gungsuh" w:hAnsi="Gungsuh" w:eastAsia="Gungsuh" w:cs="Gungsuh"/>
      <w:color w:val="000000"/>
      <w:spacing w:val="20"/>
      <w:w w:val="100"/>
      <w:position w:val="0"/>
      <w:sz w:val="20"/>
      <w:szCs w:val="20"/>
      <w:u w:val="none"/>
      <w:lang w:val="zh-CN"/>
    </w:rPr>
  </w:style>
  <w:style w:type="paragraph" w:customStyle="1" w:styleId="111">
    <w:name w:val="表格标题"/>
    <w:basedOn w:val="1"/>
    <w:qFormat/>
    <w:uiPriority w:val="0"/>
    <w:pPr>
      <w:shd w:val="clear" w:color="auto" w:fill="FFFFFF"/>
      <w:spacing w:line="240" w:lineRule="atLeast"/>
      <w:jc w:val="left"/>
    </w:pPr>
    <w:rPr>
      <w:rFonts w:ascii="黑体" w:hAnsi="黑体"/>
      <w:spacing w:val="10"/>
      <w:sz w:val="22"/>
    </w:rPr>
  </w:style>
  <w:style w:type="character" w:customStyle="1" w:styleId="112">
    <w:name w:val="表格标题 + Gungsuh"/>
    <w:qFormat/>
    <w:uiPriority w:val="0"/>
    <w:rPr>
      <w:rFonts w:ascii="Gungsuh" w:hAnsi="Gungsuh" w:eastAsia="Gungsuh" w:cs="Gungsuh"/>
      <w:color w:val="000000"/>
      <w:spacing w:val="0"/>
      <w:w w:val="100"/>
      <w:position w:val="0"/>
      <w:sz w:val="20"/>
      <w:szCs w:val="20"/>
      <w:u w:val="none"/>
      <w:lang w:val="zh-CN"/>
    </w:rPr>
  </w:style>
  <w:style w:type="character" w:customStyle="1" w:styleId="113">
    <w:name w:val="正文文本 + Gungsuh1"/>
    <w:qFormat/>
    <w:uiPriority w:val="0"/>
    <w:rPr>
      <w:rFonts w:ascii="Gungsuh" w:hAnsi="Gungsuh" w:eastAsia="Gungsuh" w:cs="Gungsuh"/>
      <w:color w:val="000000"/>
      <w:spacing w:val="-40"/>
      <w:w w:val="100"/>
      <w:position w:val="0"/>
      <w:sz w:val="20"/>
      <w:szCs w:val="20"/>
      <w:u w:val="none"/>
      <w:lang w:val="zh-CN"/>
    </w:rPr>
  </w:style>
  <w:style w:type="paragraph" w:customStyle="1" w:styleId="114">
    <w:name w:val="列出段落1"/>
    <w:basedOn w:val="1"/>
    <w:qFormat/>
    <w:uiPriority w:val="0"/>
    <w:pPr>
      <w:ind w:firstLine="200" w:firstLineChars="200"/>
    </w:pPr>
    <w:rPr>
      <w:rFonts w:cs="Times New Roman"/>
    </w:rPr>
  </w:style>
  <w:style w:type="paragraph" w:customStyle="1" w:styleId="115">
    <w:name w:val="p0"/>
    <w:basedOn w:val="1"/>
    <w:qFormat/>
    <w:uiPriority w:val="0"/>
    <w:pPr>
      <w:jc w:val="left"/>
    </w:pPr>
    <w:rPr>
      <w:kern w:val="0"/>
      <w:sz w:val="32"/>
      <w:szCs w:val="32"/>
    </w:rPr>
  </w:style>
  <w:style w:type="paragraph" w:customStyle="1" w:styleId="116">
    <w:name w:val="Style"/>
    <w:basedOn w:val="1"/>
    <w:next w:val="79"/>
    <w:qFormat/>
    <w:uiPriority w:val="0"/>
    <w:pPr>
      <w:ind w:firstLine="200" w:firstLineChars="200"/>
    </w:pPr>
    <w:rPr>
      <w:rFonts w:ascii="Times New Roman" w:hAnsi="Times New Roman" w:cs="Times New Roman"/>
    </w:rPr>
  </w:style>
  <w:style w:type="character" w:customStyle="1" w:styleId="117">
    <w:name w:val="font31"/>
    <w:basedOn w:val="26"/>
    <w:qFormat/>
    <w:uiPriority w:val="0"/>
    <w:rPr>
      <w:rFonts w:ascii="Times New Roman" w:hAnsi="Times New Roman" w:cs="Times New Roman"/>
      <w:b/>
      <w:color w:val="FF0000"/>
      <w:sz w:val="21"/>
      <w:szCs w:val="21"/>
      <w:u w:val="none"/>
    </w:rPr>
  </w:style>
  <w:style w:type="character" w:customStyle="1" w:styleId="118">
    <w:name w:val="font51"/>
    <w:basedOn w:val="26"/>
    <w:qFormat/>
    <w:uiPriority w:val="0"/>
    <w:rPr>
      <w:rFonts w:ascii="宋体" w:hAnsi="宋体" w:eastAsia="宋体" w:cs="宋体"/>
      <w:color w:val="FF0000"/>
      <w:sz w:val="21"/>
      <w:szCs w:val="21"/>
      <w:u w:val="none"/>
    </w:rPr>
  </w:style>
  <w:style w:type="character" w:customStyle="1" w:styleId="119">
    <w:name w:val="font41"/>
    <w:basedOn w:val="26"/>
    <w:qFormat/>
    <w:uiPriority w:val="0"/>
    <w:rPr>
      <w:rFonts w:ascii="楷体_GB2312" w:eastAsia="楷体_GB2312" w:cs="楷体_GB2312"/>
      <w:b/>
      <w:color w:val="000000"/>
      <w:sz w:val="22"/>
      <w:szCs w:val="22"/>
      <w:u w:val="none"/>
    </w:rPr>
  </w:style>
  <w:style w:type="character" w:customStyle="1" w:styleId="120">
    <w:name w:val="font61"/>
    <w:basedOn w:val="26"/>
    <w:qFormat/>
    <w:uiPriority w:val="0"/>
    <w:rPr>
      <w:rFonts w:ascii="Times New Roman" w:hAnsi="Times New Roman" w:cs="Times New Roman"/>
      <w:b/>
      <w:color w:val="000000"/>
      <w:sz w:val="22"/>
      <w:szCs w:val="22"/>
      <w:u w:val="none"/>
    </w:rPr>
  </w:style>
  <w:style w:type="character" w:customStyle="1" w:styleId="121">
    <w:name w:val="font21"/>
    <w:basedOn w:val="26"/>
    <w:qFormat/>
    <w:uiPriority w:val="0"/>
    <w:rPr>
      <w:rFonts w:ascii="楷体_GB2312" w:eastAsia="楷体_GB2312" w:cs="楷体_GB2312"/>
      <w:b/>
      <w:color w:val="000000"/>
      <w:sz w:val="22"/>
      <w:szCs w:val="22"/>
      <w:u w:val="none"/>
    </w:rPr>
  </w:style>
  <w:style w:type="character" w:customStyle="1" w:styleId="122">
    <w:name w:val="font71"/>
    <w:basedOn w:val="26"/>
    <w:qFormat/>
    <w:uiPriority w:val="0"/>
    <w:rPr>
      <w:rFonts w:ascii="Times New Roman" w:hAnsi="Times New Roman" w:cs="Times New Roman"/>
      <w:color w:val="000000"/>
      <w:sz w:val="22"/>
      <w:szCs w:val="22"/>
      <w:u w:val="none"/>
    </w:rPr>
  </w:style>
  <w:style w:type="character" w:customStyle="1" w:styleId="123">
    <w:name w:val="font81"/>
    <w:basedOn w:val="26"/>
    <w:qFormat/>
    <w:uiPriority w:val="0"/>
    <w:rPr>
      <w:rFonts w:ascii="宋体" w:hAnsi="宋体" w:eastAsia="宋体" w:cs="宋体"/>
      <w:b/>
      <w:bCs/>
      <w:color w:val="000000"/>
      <w:sz w:val="18"/>
      <w:szCs w:val="18"/>
      <w:u w:val="none"/>
    </w:rPr>
  </w:style>
  <w:style w:type="character" w:customStyle="1" w:styleId="124">
    <w:name w:val="fontstyle01"/>
    <w:basedOn w:val="26"/>
    <w:qFormat/>
    <w:uiPriority w:val="0"/>
    <w:rPr>
      <w:color w:val="3E3A39"/>
      <w:sz w:val="18"/>
      <w:szCs w:val="18"/>
    </w:rPr>
  </w:style>
  <w:style w:type="character" w:customStyle="1" w:styleId="125">
    <w:name w:val="font11"/>
    <w:basedOn w:val="26"/>
    <w:qFormat/>
    <w:uiPriority w:val="0"/>
    <w:rPr>
      <w:rFonts w:ascii="仿宋" w:hAnsi="仿宋" w:eastAsia="仿宋" w:cs="仿宋"/>
      <w:color w:val="000000"/>
      <w:sz w:val="21"/>
      <w:szCs w:val="21"/>
      <w:u w:val="none"/>
    </w:rPr>
  </w:style>
  <w:style w:type="character" w:customStyle="1" w:styleId="126">
    <w:name w:val="font01"/>
    <w:basedOn w:val="26"/>
    <w:qFormat/>
    <w:uiPriority w:val="0"/>
    <w:rPr>
      <w:rFonts w:ascii="仿宋_GB2312" w:eastAsia="仿宋_GB2312" w:cs="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ap="flat" cmpd="sng">
          <a:solidFill>
            <a:schemeClr val="phClr">
              <a:shade val="95000"/>
              <a:satMod val="105000"/>
            </a:schemeClr>
          </a:solidFill>
          <a:prstDash val="solid"/>
          <a:round/>
        </a:ln>
        <a:ln w="25400" cap="flat" cmpd="sng">
          <a:solidFill>
            <a:schemeClr val="phClr"/>
          </a:solidFill>
          <a:prstDash val="solid"/>
          <a:round/>
        </a:ln>
        <a:ln w="38100" cap="flat" cmpd="sng">
          <a:solidFill>
            <a:schemeClr val="phClr"/>
          </a:solidFill>
          <a:prstDash val="solid"/>
          <a:round/>
        </a:ln>
      </a:lnStyleLst>
      <a:effectStyleLst>
        <a:effectStyle>
          <a:effectLst>
            <a:outerShdw blurRad="40000" dist="20000" dir="5400000" rotWithShape="0">
              <a:srgbClr val="000000">
                <a:alpha val="37647"/>
              </a:srgbClr>
            </a:outerShdw>
          </a:effectLst>
        </a:effectStyle>
        <a:effectStyle>
          <a:effectLst>
            <a:outerShdw blurRad="40000" dist="23000" dir="5400000" rotWithShape="0">
              <a:srgbClr val="000000">
                <a:alpha val="34509"/>
              </a:srgbClr>
            </a:outerShdw>
          </a:effectLst>
        </a:effectStyle>
        <a:effectStyle>
          <a:effectLst>
            <a:outerShdw blurRad="40000" dist="23000" dir="5400000" rotWithShape="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100000" t="100000"/>
          </a:path>
          <a:tileRect r="-100000" b="-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4125"/>
    <customShpInfo spid="_x0000_s4126"/>
    <customShpInfo spid="_x0000_s4127"/>
    <customShpInfo spid="_x0000_s4128"/>
    <customShpInfo spid="_x0000_s4129"/>
    <customShpInfo spid="_x0000_s4130"/>
    <customShpInfo spid="_x0000_s4131"/>
    <customShpInfo spid="_x0000_s4132"/>
    <customShpInfo spid="_x0000_s4133"/>
    <customShpInfo spid="_x0000_s4134"/>
    <customShpInfo spid="_x0000_s4135"/>
    <customShpInfo spid="_x0000_s4136"/>
    <customShpInfo spid="_x0000_s4137"/>
    <customShpInfo spid="_x0000_s4138"/>
    <customShpInfo spid="_x0000_s4139"/>
    <customShpInfo spid="_x0000_s4140"/>
    <customShpInfo spid="_x0000_s4141"/>
    <customShpInfo spid="_x0000_s4142"/>
    <customShpInfo spid="_x0000_s4143"/>
    <customShpInfo spid="_x0000_s4144"/>
    <customShpInfo spid="_x0000_s4145"/>
    <customShpInfo spid="_x0000_s4146"/>
    <customShpInfo spid="_x0000_s4147"/>
    <customShpInfo spid="_x0000_s4148"/>
    <customShpInfo spid="_x0000_s4149"/>
    <customShpInfo spid="_x0000_s4150"/>
    <customShpInfo spid="_x0000_s4151"/>
    <customShpInfo spid="_x0000_s4152"/>
    <customShpInfo spid="_x0000_s4097"/>
    <customShpInfo spid="_x0000_s4098"/>
    <customShpInfo spid="_x0000_s4099"/>
    <customShpInfo spid="_x0000_s4100"/>
    <customShpInfo spid="_x0000_s4101"/>
    <customShpInfo spid="_x0000_s4102"/>
    <customShpInfo spid="_x0000_s4103"/>
    <customShpInfo spid="_x0000_s4104"/>
    <customShpInfo spid="_x0000_s4105"/>
    <customShpInfo spid="_x0000_s4106"/>
    <customShpInfo spid="_x0000_s4107"/>
    <customShpInfo spid="_x0000_s4108"/>
    <customShpInfo spid="_x0000_s4109"/>
    <customShpInfo spid="_x0000_s4110"/>
    <customShpInfo spid="_x0000_s4111"/>
    <customShpInfo spid="_x0000_s4112"/>
    <customShpInfo spid="_x0000_s4113"/>
    <customShpInfo spid="_x0000_s4114"/>
    <customShpInfo spid="_x0000_s4115"/>
    <customShpInfo spid="_x0000_s4116"/>
    <customShpInfo spid="_x0000_s4117"/>
    <customShpInfo spid="_x0000_s4118"/>
    <customShpInfo spid="_x0000_s4119"/>
    <customShpInfo spid="_x0000_s4120"/>
    <customShpInfo spid="_x0000_s4121"/>
    <customShpInfo spid="_x0000_s4122"/>
    <customShpInfo spid="_x0000_s4123"/>
    <customShpInfo spid="_x0000_s4124"/>
    <customShpInfo spid="_x0000_s1026"/>
  </customShpExts>
</s:customData>
</file>

<file path=customXml/item2.xml><?xml version="1.0" encoding="utf-8"?>
<customData xmlns="http://www.yozosoft.com.cn/officeDocument/2016/customData">
  <customProps>
    <docPr revisions="3 0 5 0 0 0 1 0 0 0 3000 0 1 1 1 1"/>
    <sectPr/>
    <sectPr/>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D3C01D-49D1-4097-A620-7D6037E74210}">
  <ds:schemaRefs/>
</ds:datastoreItem>
</file>

<file path=docProps/app.xml><?xml version="1.0" encoding="utf-8"?>
<Properties xmlns="http://schemas.openxmlformats.org/officeDocument/2006/extended-properties" xmlns:vt="http://schemas.openxmlformats.org/officeDocument/2006/docPropsVTypes">
  <Template>Normal.eit</Template>
  <Company>Lenovo</Company>
  <Pages>95</Pages>
  <Words>0</Words>
  <Characters>50245</Characters>
  <Lines>0</Lines>
  <Paragraphs>719</Paragraphs>
  <TotalTime>3</TotalTime>
  <ScaleCrop>false</ScaleCrop>
  <LinksUpToDate>false</LinksUpToDate>
  <CharactersWithSpaces>66994</CharactersWithSpaces>
  <Application>WPS Office_11.8.2.8696_F1E327BC-269C-435d-A152-05C5408002CA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2021-08-23T13:12:00Z</dcterms:created>
  <dc:creator>缪凤凤</dc:creator>
  <cp:lastModifiedBy>夏黎勤</cp:lastModifiedBy>
  <cp:lastPrinted>2024-03-28T06:43:00Z</cp:lastPrinted>
  <dcterms:modified xsi:type="dcterms:W3CDTF">2026-08-29T09:04:20Z</dcterms:modified>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DE8367364B914B3392DB46E532062A58</vt:lpwstr>
  </property>
  <property fmtid="{D5CDD505-2E9C-101B-9397-08002B2CF9AE}" pid="4" name="KSOTemplateDocerSaveRecord">
    <vt:lpwstr>eyJoZGlkIjoiY2Q4NWFmZTQwNDY1ODM3YzQ2MWM1ZmFjNjA1NDZlY2UiLCJ1c2VySWQiOiIzOTU3NDc2OTEifQ==</vt:lpwstr>
  </property>
</Properties>
</file>