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960" w:beforeAutospacing="0" w:after="0" w:afterAutospacing="0"/>
        <w:ind w:left="0" w:right="0"/>
        <w:jc w:val="center"/>
        <w:rPr>
          <w:rFonts w:hint="eastAsia" w:ascii="黑体" w:hAnsi="黑体" w:eastAsia="黑体" w:cs="黑体"/>
          <w:b/>
          <w:bCs/>
        </w:rPr>
      </w:pPr>
      <w:r>
        <w:rPr>
          <w:rFonts w:hint="eastAsia" w:ascii="黑体" w:hAnsi="黑体" w:eastAsia="黑体" w:cs="黑体"/>
          <w:b/>
          <w:bCs/>
        </w:rPr>
        <w:t>江苏</w:t>
      </w:r>
      <w:r>
        <w:rPr>
          <w:rFonts w:hint="eastAsia" w:ascii="黑体" w:hAnsi="黑体" w:eastAsia="黑体" w:cs="黑体"/>
          <w:b/>
          <w:bCs/>
          <w:lang w:val="zh-CN"/>
        </w:rPr>
        <w:t>高淳</w:t>
      </w:r>
      <w:r>
        <w:rPr>
          <w:rFonts w:hint="eastAsia" w:ascii="黑体" w:hAnsi="黑体" w:eastAsia="黑体" w:cs="黑体"/>
          <w:b/>
          <w:bCs/>
        </w:rPr>
        <w:t>农村商业银行股份有限公司202</w:t>
      </w:r>
      <w:r>
        <w:rPr>
          <w:rFonts w:hint="eastAsia" w:ascii="黑体" w:hAnsi="黑体" w:eastAsia="黑体" w:cs="黑体"/>
          <w:b/>
          <w:bCs/>
          <w:lang w:val="en-US" w:eastAsia="zh-CN"/>
        </w:rPr>
        <w:t>6</w:t>
      </w:r>
      <w:r>
        <w:rPr>
          <w:rFonts w:hint="eastAsia" w:ascii="黑体" w:hAnsi="黑体" w:eastAsia="黑体" w:cs="黑体"/>
          <w:b/>
          <w:bCs/>
        </w:rPr>
        <w:t>年</w:t>
      </w:r>
      <w:r>
        <w:rPr>
          <w:rFonts w:hint="eastAsia" w:ascii="黑体" w:hAnsi="黑体" w:eastAsia="黑体" w:cs="黑体"/>
          <w:b/>
          <w:bCs/>
        </w:rPr>
        <w:t>上半年度</w:t>
      </w:r>
      <w:r>
        <w:rPr>
          <w:rFonts w:hint="eastAsia" w:ascii="黑体" w:hAnsi="黑体" w:eastAsia="黑体" w:cs="黑体"/>
          <w:b/>
          <w:bCs/>
        </w:rPr>
        <w:t>第三支柱信息披露报告</w:t>
      </w:r>
    </w:p>
    <w:p/>
    <w:p/>
    <w:p>
      <w:pPr>
        <w:pStyle w:val="7"/>
        <w:keepNext w:val="0"/>
        <w:keepLines w:val="0"/>
        <w:pageBreakBefore w:val="0"/>
        <w:widowControl/>
        <w:suppressLineNumbers w:val="0"/>
        <w:kinsoku/>
        <w:wordWrap/>
        <w:overflowPunct/>
        <w:topLinePunct w:val="0"/>
        <w:autoSpaceDE/>
        <w:autoSpaceDN/>
        <w:bidi w:val="0"/>
        <w:adjustRightInd/>
        <w:snapToGrid/>
        <w:spacing w:before="160" w:beforeAutospacing="0" w:after="0" w:afterAutospacing="0"/>
        <w:ind w:left="0" w:right="0" w:firstLine="562"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根据《商业银行资本管理办法》中附件22《商业银行信息披露内容和要求》，本行依规向投资者和社会公众披露本行资本充足率相关信息。本报告披露的报表经本行高级管理层确认。</w:t>
      </w:r>
    </w:p>
    <w:p>
      <w:pPr>
        <w:pStyle w:val="7"/>
        <w:keepNext w:val="0"/>
        <w:keepLines w:val="0"/>
        <w:pageBreakBefore w:val="0"/>
        <w:widowControl/>
        <w:suppressLineNumbers w:val="0"/>
        <w:kinsoku/>
        <w:wordWrap/>
        <w:overflowPunct/>
        <w:topLinePunct w:val="0"/>
        <w:autoSpaceDE/>
        <w:autoSpaceDN/>
        <w:bidi w:val="0"/>
        <w:adjustRightInd/>
        <w:snapToGrid/>
        <w:spacing w:before="160" w:beforeAutospacing="0" w:after="0" w:afterAutospacing="0"/>
        <w:ind w:left="0" w:right="0" w:firstLine="562"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本行为非国内系统重要性银行，划分标准适用于二档商业银行规定，本季度本行需披露的报表如下:</w:t>
      </w:r>
    </w:p>
    <w:tbl>
      <w:tblPr>
        <w:tblStyle w:val="8"/>
        <w:tblW w:w="83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619"/>
        <w:gridCol w:w="4703"/>
        <w:gridCol w:w="1007"/>
        <w:gridCol w:w="10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50" w:hRule="atLeast"/>
        </w:trPr>
        <w:tc>
          <w:tcPr>
            <w:tcW w:w="8336" w:type="dxa"/>
            <w:gridSpan w:val="4"/>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微软雅黑" w:hAnsi="微软雅黑" w:eastAsia="微软雅黑" w:cs="微软雅黑"/>
                <w:b/>
                <w:i w:val="0"/>
                <w:color w:val="000000"/>
                <w:sz w:val="32"/>
                <w:szCs w:val="32"/>
                <w:u w:val="none"/>
              </w:rPr>
            </w:pPr>
            <w:r>
              <w:rPr>
                <w:rFonts w:hint="eastAsia" w:ascii="微软雅黑" w:hAnsi="微软雅黑" w:eastAsia="微软雅黑" w:cs="微软雅黑"/>
                <w:b/>
                <w:i w:val="0"/>
                <w:color w:val="000000"/>
                <w:kern w:val="0"/>
                <w:sz w:val="32"/>
                <w:szCs w:val="32"/>
                <w:u w:val="none"/>
                <w:lang w:val="en-US" w:eastAsia="zh-CN"/>
              </w:rPr>
              <w:t>KM1：监管并表关键审慎监管指标【2026年二季度】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70" w:hRule="atLeast"/>
        </w:trPr>
        <w:tc>
          <w:tcPr>
            <w:tcW w:w="1619"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单位：人民币万元，%</w:t>
            </w:r>
          </w:p>
        </w:tc>
        <w:tc>
          <w:tcPr>
            <w:tcW w:w="4703"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007"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007"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6322" w:type="dxa"/>
            <w:gridSpan w:val="2"/>
            <w:tcBorders>
              <w:top w:val="single" w:color="000000" w:sz="8" w:space="0"/>
              <w:left w:val="nil"/>
              <w:bottom w:val="nil"/>
              <w:right w:val="single" w:color="000000" w:sz="8" w:space="0"/>
            </w:tcBorders>
            <w:shd w:val="clear" w:color="auto" w:fill="auto"/>
            <w:tcMar>
              <w:top w:w="15" w:type="dxa"/>
              <w:left w:w="15" w:type="dxa"/>
              <w:right w:w="15" w:type="dxa"/>
            </w:tcMar>
            <w:vAlign w:val="center"/>
          </w:tcPr>
          <w:p>
            <w:pPr>
              <w:jc w:val="left"/>
              <w:rPr>
                <w:rFonts w:hint="eastAsia" w:ascii="Calibri" w:hAnsi="Calibri" w:eastAsia="宋体" w:cs="Calibri"/>
                <w:i w:val="0"/>
                <w:color w:val="000000"/>
                <w:sz w:val="24"/>
                <w:szCs w:val="24"/>
                <w:u w:val="none"/>
              </w:rPr>
            </w:pPr>
          </w:p>
        </w:tc>
        <w:tc>
          <w:tcPr>
            <w:tcW w:w="1007" w:type="dxa"/>
            <w:tcBorders>
              <w:top w:val="single" w:color="000000" w:sz="8" w:space="0"/>
              <w:left w:val="nil"/>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a</w:t>
            </w:r>
          </w:p>
        </w:tc>
        <w:tc>
          <w:tcPr>
            <w:tcW w:w="1007" w:type="dxa"/>
            <w:tcBorders>
              <w:top w:val="single" w:color="000000" w:sz="8" w:space="0"/>
              <w:left w:val="single" w:color="000000" w:sz="8" w:space="0"/>
              <w:bottom w:val="single" w:color="000000" w:sz="8"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6322" w:type="dxa"/>
            <w:gridSpan w:val="2"/>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left"/>
              <w:rPr>
                <w:rFonts w:ascii="Calibri" w:hAnsi="Calibri" w:eastAsia="宋体" w:cs="Calibri"/>
                <w:i w:val="0"/>
                <w:color w:val="000000"/>
                <w:sz w:val="24"/>
                <w:szCs w:val="24"/>
                <w:u w:val="none"/>
              </w:rPr>
            </w:pPr>
          </w:p>
        </w:tc>
        <w:tc>
          <w:tcPr>
            <w:tcW w:w="1007" w:type="dxa"/>
            <w:tcBorders>
              <w:top w:val="nil"/>
              <w:left w:val="nil"/>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T</w:t>
            </w:r>
          </w:p>
        </w:tc>
        <w:tc>
          <w:tcPr>
            <w:tcW w:w="1007" w:type="dxa"/>
            <w:tcBorders>
              <w:top w:val="single" w:color="000000" w:sz="8" w:space="0"/>
              <w:left w:val="single" w:color="000000" w:sz="8" w:space="0"/>
              <w:bottom w:val="single" w:color="000000" w:sz="8"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8336" w:type="dxa"/>
            <w:gridSpan w:val="4"/>
            <w:tcBorders>
              <w:top w:val="nil"/>
              <w:left w:val="nil"/>
              <w:bottom w:val="single" w:color="000000" w:sz="8" w:space="0"/>
              <w:right w:val="nil"/>
            </w:tcBorders>
            <w:shd w:val="clear" w:color="auto" w:fill="D9D9D9"/>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可用资本（数额）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w:t>
            </w:r>
          </w:p>
        </w:tc>
        <w:tc>
          <w:tcPr>
            <w:tcW w:w="470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核心一级资本净额</w:t>
            </w:r>
          </w:p>
        </w:tc>
        <w:tc>
          <w:tcPr>
            <w:tcW w:w="10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250753.37</w:t>
            </w:r>
          </w:p>
        </w:tc>
        <w:tc>
          <w:tcPr>
            <w:tcW w:w="1007" w:type="dxa"/>
            <w:tcBorders>
              <w:top w:val="single" w:color="000000" w:sz="8" w:space="0"/>
              <w:left w:val="nil"/>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252156.92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w:t>
            </w:r>
          </w:p>
        </w:tc>
        <w:tc>
          <w:tcPr>
            <w:tcW w:w="470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一级资本净额</w:t>
            </w:r>
          </w:p>
        </w:tc>
        <w:tc>
          <w:tcPr>
            <w:tcW w:w="10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250753.37</w:t>
            </w:r>
          </w:p>
        </w:tc>
        <w:tc>
          <w:tcPr>
            <w:tcW w:w="1007" w:type="dxa"/>
            <w:tcBorders>
              <w:top w:val="single" w:color="000000" w:sz="8" w:space="0"/>
              <w:left w:val="nil"/>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252156.92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3</w:t>
            </w:r>
          </w:p>
        </w:tc>
        <w:tc>
          <w:tcPr>
            <w:tcW w:w="470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资本净额</w:t>
            </w:r>
          </w:p>
        </w:tc>
        <w:tc>
          <w:tcPr>
            <w:tcW w:w="10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272252.28 </w:t>
            </w:r>
          </w:p>
        </w:tc>
        <w:tc>
          <w:tcPr>
            <w:tcW w:w="1007" w:type="dxa"/>
            <w:tcBorders>
              <w:top w:val="single" w:color="000000" w:sz="8" w:space="0"/>
              <w:left w:val="nil"/>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273315.67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8336" w:type="dxa"/>
            <w:gridSpan w:val="4"/>
            <w:tcBorders>
              <w:top w:val="nil"/>
              <w:left w:val="nil"/>
              <w:bottom w:val="single" w:color="000000" w:sz="8" w:space="0"/>
              <w:right w:val="nil"/>
            </w:tcBorders>
            <w:shd w:val="clear" w:color="auto" w:fill="D9D9D9"/>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风险加权资产（数额）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4</w:t>
            </w:r>
          </w:p>
        </w:tc>
        <w:tc>
          <w:tcPr>
            <w:tcW w:w="470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风险加权资产</w:t>
            </w:r>
          </w:p>
        </w:tc>
        <w:tc>
          <w:tcPr>
            <w:tcW w:w="100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1909658.00 </w:t>
            </w:r>
          </w:p>
        </w:tc>
        <w:tc>
          <w:tcPr>
            <w:tcW w:w="1007" w:type="dxa"/>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1874363.81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8336" w:type="dxa"/>
            <w:gridSpan w:val="4"/>
            <w:tcBorders>
              <w:top w:val="nil"/>
              <w:left w:val="nil"/>
              <w:bottom w:val="single" w:color="000000" w:sz="8" w:space="0"/>
              <w:right w:val="nil"/>
            </w:tcBorders>
            <w:shd w:val="clear" w:color="auto" w:fill="D9D9D9"/>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资本充足率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9"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5</w:t>
            </w:r>
          </w:p>
        </w:tc>
        <w:tc>
          <w:tcPr>
            <w:tcW w:w="470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核心一级资本充足率（%）</w:t>
            </w:r>
          </w:p>
        </w:tc>
        <w:tc>
          <w:tcPr>
            <w:tcW w:w="100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13.13 </w:t>
            </w:r>
          </w:p>
        </w:tc>
        <w:tc>
          <w:tcPr>
            <w:tcW w:w="1007" w:type="dxa"/>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13.45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6</w:t>
            </w:r>
          </w:p>
        </w:tc>
        <w:tc>
          <w:tcPr>
            <w:tcW w:w="4703"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一级资本充足率（%）</w:t>
            </w:r>
          </w:p>
        </w:tc>
        <w:tc>
          <w:tcPr>
            <w:tcW w:w="1007"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13.13 </w:t>
            </w:r>
          </w:p>
        </w:tc>
        <w:tc>
          <w:tcPr>
            <w:tcW w:w="1007" w:type="dxa"/>
            <w:tcBorders>
              <w:top w:val="nil"/>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13.45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7</w:t>
            </w:r>
          </w:p>
        </w:tc>
        <w:tc>
          <w:tcPr>
            <w:tcW w:w="4703"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资本充足率（%）</w:t>
            </w:r>
          </w:p>
        </w:tc>
        <w:tc>
          <w:tcPr>
            <w:tcW w:w="1007"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14.26 </w:t>
            </w:r>
          </w:p>
        </w:tc>
        <w:tc>
          <w:tcPr>
            <w:tcW w:w="1007" w:type="dxa"/>
            <w:tcBorders>
              <w:top w:val="nil"/>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14.58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8336" w:type="dxa"/>
            <w:gridSpan w:val="4"/>
            <w:tcBorders>
              <w:top w:val="nil"/>
              <w:left w:val="nil"/>
              <w:bottom w:val="single" w:color="000000" w:sz="8" w:space="0"/>
              <w:right w:val="nil"/>
            </w:tcBorders>
            <w:shd w:val="clear" w:color="auto" w:fill="D9D9D9"/>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其他各级资本要求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8</w:t>
            </w:r>
          </w:p>
        </w:tc>
        <w:tc>
          <w:tcPr>
            <w:tcW w:w="470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储备资本要求（%）</w:t>
            </w:r>
          </w:p>
        </w:tc>
        <w:tc>
          <w:tcPr>
            <w:tcW w:w="1007" w:type="dxa"/>
            <w:tcBorders>
              <w:top w:val="single" w:color="000000" w:sz="8" w:space="0"/>
              <w:left w:val="nil"/>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2.5</w:t>
            </w:r>
          </w:p>
        </w:tc>
        <w:tc>
          <w:tcPr>
            <w:tcW w:w="1007" w:type="dxa"/>
            <w:tcBorders>
              <w:top w:val="single" w:color="000000" w:sz="8" w:space="0"/>
              <w:left w:val="single" w:color="000000" w:sz="8" w:space="0"/>
              <w:bottom w:val="single" w:color="000000" w:sz="8"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9</w:t>
            </w:r>
          </w:p>
        </w:tc>
        <w:tc>
          <w:tcPr>
            <w:tcW w:w="470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逆周期资本要求（%）</w:t>
            </w:r>
          </w:p>
        </w:tc>
        <w:tc>
          <w:tcPr>
            <w:tcW w:w="1007" w:type="dxa"/>
            <w:tcBorders>
              <w:top w:val="nil"/>
              <w:left w:val="nil"/>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0</w:t>
            </w:r>
          </w:p>
        </w:tc>
        <w:tc>
          <w:tcPr>
            <w:tcW w:w="1007" w:type="dxa"/>
            <w:tcBorders>
              <w:top w:val="single" w:color="000000" w:sz="8" w:space="0"/>
              <w:left w:val="single" w:color="000000" w:sz="8" w:space="0"/>
              <w:bottom w:val="single" w:color="000000" w:sz="8"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10</w:t>
            </w:r>
          </w:p>
        </w:tc>
        <w:tc>
          <w:tcPr>
            <w:tcW w:w="470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全球系统重要性银行或国内系统重要性银行附加资本要求（%）</w:t>
            </w:r>
          </w:p>
        </w:tc>
        <w:tc>
          <w:tcPr>
            <w:tcW w:w="1007" w:type="dxa"/>
            <w:tcBorders>
              <w:top w:val="nil"/>
              <w:left w:val="nil"/>
              <w:bottom w:val="single" w:color="000000" w:sz="8" w:space="0"/>
              <w:right w:val="nil"/>
            </w:tcBorders>
            <w:shd w:val="clear" w:color="auto" w:fill="BEBEBE"/>
            <w:tcMar>
              <w:top w:w="15" w:type="dxa"/>
              <w:left w:w="15" w:type="dxa"/>
              <w:right w:w="15" w:type="dxa"/>
            </w:tcMar>
            <w:vAlign w:val="center"/>
          </w:tcPr>
          <w:p>
            <w:pPr>
              <w:jc w:val="left"/>
              <w:rPr>
                <w:rFonts w:hint="eastAsia" w:ascii="宋体" w:hAnsi="宋体" w:eastAsia="宋体" w:cs="宋体"/>
                <w:i w:val="0"/>
                <w:color w:val="000000"/>
                <w:sz w:val="16"/>
                <w:szCs w:val="16"/>
                <w:u w:val="none"/>
              </w:rPr>
            </w:pPr>
          </w:p>
        </w:tc>
        <w:tc>
          <w:tcPr>
            <w:tcW w:w="1007" w:type="dxa"/>
            <w:tcBorders>
              <w:top w:val="nil"/>
              <w:left w:val="nil"/>
              <w:bottom w:val="single" w:color="000000" w:sz="8" w:space="0"/>
              <w:right w:val="nil"/>
            </w:tcBorders>
            <w:shd w:val="clear" w:color="auto" w:fill="BEBEBE"/>
            <w:tcMar>
              <w:top w:w="15" w:type="dxa"/>
              <w:left w:w="15" w:type="dxa"/>
              <w:right w:w="15" w:type="dxa"/>
            </w:tcMar>
            <w:vAlign w:val="center"/>
          </w:tcPr>
          <w:p>
            <w:pPr>
              <w:jc w:val="left"/>
              <w:rPr>
                <w:rFonts w:hint="eastAsia" w:ascii="宋体" w:hAnsi="宋体" w:eastAsia="宋体" w:cs="宋体"/>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11</w:t>
            </w:r>
          </w:p>
        </w:tc>
        <w:tc>
          <w:tcPr>
            <w:tcW w:w="470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其他各级资本要求（%）（8+9+10）</w:t>
            </w:r>
          </w:p>
        </w:tc>
        <w:tc>
          <w:tcPr>
            <w:tcW w:w="1007" w:type="dxa"/>
            <w:tcBorders>
              <w:top w:val="nil"/>
              <w:left w:val="nil"/>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2.5</w:t>
            </w:r>
          </w:p>
        </w:tc>
        <w:tc>
          <w:tcPr>
            <w:tcW w:w="1007" w:type="dxa"/>
            <w:tcBorders>
              <w:top w:val="single" w:color="000000" w:sz="8" w:space="0"/>
              <w:left w:val="single" w:color="000000" w:sz="8" w:space="0"/>
              <w:bottom w:val="single" w:color="000000" w:sz="8"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12</w:t>
            </w:r>
          </w:p>
        </w:tc>
        <w:tc>
          <w:tcPr>
            <w:tcW w:w="470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满足最低资本要求后的可用核心一级资本净额占风险加权资产的比例（%）</w:t>
            </w:r>
          </w:p>
        </w:tc>
        <w:tc>
          <w:tcPr>
            <w:tcW w:w="1007" w:type="dxa"/>
            <w:tcBorders>
              <w:top w:val="nil"/>
              <w:left w:val="nil"/>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6.26 </w:t>
            </w:r>
          </w:p>
        </w:tc>
        <w:tc>
          <w:tcPr>
            <w:tcW w:w="1007" w:type="dxa"/>
            <w:tcBorders>
              <w:top w:val="single" w:color="000000" w:sz="8" w:space="0"/>
              <w:left w:val="single" w:color="000000" w:sz="8" w:space="0"/>
              <w:bottom w:val="single" w:color="000000" w:sz="8"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rPr>
              <w:t>6.58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8336" w:type="dxa"/>
            <w:gridSpan w:val="4"/>
            <w:tcBorders>
              <w:top w:val="nil"/>
              <w:left w:val="nil"/>
              <w:bottom w:val="single" w:color="000000" w:sz="8" w:space="0"/>
              <w:right w:val="nil"/>
            </w:tcBorders>
            <w:shd w:val="clear" w:color="auto" w:fill="D9D9D9"/>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杠杆率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13</w:t>
            </w:r>
          </w:p>
        </w:tc>
        <w:tc>
          <w:tcPr>
            <w:tcW w:w="470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调整后表内外资产余额</w:t>
            </w:r>
          </w:p>
        </w:tc>
        <w:tc>
          <w:tcPr>
            <w:tcW w:w="1007" w:type="dxa"/>
            <w:tcBorders>
              <w:top w:val="single" w:color="000000" w:sz="8" w:space="0"/>
              <w:left w:val="nil"/>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3011390.88</w:t>
            </w:r>
          </w:p>
        </w:tc>
        <w:tc>
          <w:tcPr>
            <w:tcW w:w="1007" w:type="dxa"/>
            <w:tcBorders>
              <w:top w:val="single" w:color="000000" w:sz="8" w:space="0"/>
              <w:left w:val="single" w:color="000000" w:sz="8" w:space="0"/>
              <w:bottom w:val="single" w:color="000000" w:sz="8"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rPr>
              <w:t xml:space="preserve">3020945.86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14</w:t>
            </w:r>
          </w:p>
        </w:tc>
        <w:tc>
          <w:tcPr>
            <w:tcW w:w="470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杠杆率（%）</w:t>
            </w:r>
          </w:p>
        </w:tc>
        <w:tc>
          <w:tcPr>
            <w:tcW w:w="1007" w:type="dxa"/>
            <w:tcBorders>
              <w:top w:val="nil"/>
              <w:left w:val="nil"/>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8.33 </w:t>
            </w:r>
          </w:p>
        </w:tc>
        <w:tc>
          <w:tcPr>
            <w:tcW w:w="1007" w:type="dxa"/>
            <w:tcBorders>
              <w:top w:val="single" w:color="000000" w:sz="8" w:space="0"/>
              <w:left w:val="single" w:color="000000" w:sz="8" w:space="0"/>
              <w:bottom w:val="single" w:color="000000" w:sz="8"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rPr>
              <w:t xml:space="preserve">8.35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14a</w:t>
            </w:r>
          </w:p>
        </w:tc>
        <w:tc>
          <w:tcPr>
            <w:tcW w:w="470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杠杆率a（%）</w:t>
            </w:r>
          </w:p>
        </w:tc>
        <w:tc>
          <w:tcPr>
            <w:tcW w:w="1007" w:type="dxa"/>
            <w:tcBorders>
              <w:top w:val="nil"/>
              <w:left w:val="nil"/>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8.33 </w:t>
            </w:r>
          </w:p>
        </w:tc>
        <w:tc>
          <w:tcPr>
            <w:tcW w:w="1007" w:type="dxa"/>
            <w:tcBorders>
              <w:top w:val="single" w:color="000000" w:sz="8" w:space="0"/>
              <w:left w:val="single" w:color="000000" w:sz="8" w:space="0"/>
              <w:bottom w:val="single" w:color="000000" w:sz="8"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rPr>
              <w:t xml:space="preserve">8.35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8336" w:type="dxa"/>
            <w:gridSpan w:val="4"/>
            <w:tcBorders>
              <w:top w:val="nil"/>
              <w:left w:val="nil"/>
              <w:bottom w:val="single" w:color="000000" w:sz="8" w:space="0"/>
              <w:right w:val="nil"/>
            </w:tcBorders>
            <w:shd w:val="clear" w:color="auto" w:fill="D9D9D9"/>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流动性覆盖率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15</w:t>
            </w:r>
          </w:p>
        </w:tc>
        <w:tc>
          <w:tcPr>
            <w:tcW w:w="470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合格优质流动性资产</w:t>
            </w:r>
          </w:p>
        </w:tc>
        <w:tc>
          <w:tcPr>
            <w:tcW w:w="10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不适用</w:t>
            </w:r>
          </w:p>
        </w:tc>
        <w:tc>
          <w:tcPr>
            <w:tcW w:w="1007" w:type="dxa"/>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不适用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16</w:t>
            </w:r>
          </w:p>
        </w:tc>
        <w:tc>
          <w:tcPr>
            <w:tcW w:w="470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现金净流出量</w:t>
            </w:r>
          </w:p>
        </w:tc>
        <w:tc>
          <w:tcPr>
            <w:tcW w:w="1007"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不适用</w:t>
            </w:r>
          </w:p>
        </w:tc>
        <w:tc>
          <w:tcPr>
            <w:tcW w:w="1007" w:type="dxa"/>
            <w:tcBorders>
              <w:top w:val="nil"/>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不适用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17</w:t>
            </w:r>
          </w:p>
        </w:tc>
        <w:tc>
          <w:tcPr>
            <w:tcW w:w="470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流动性覆盖率（%）</w:t>
            </w:r>
          </w:p>
        </w:tc>
        <w:tc>
          <w:tcPr>
            <w:tcW w:w="1007"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不适用</w:t>
            </w:r>
          </w:p>
        </w:tc>
        <w:tc>
          <w:tcPr>
            <w:tcW w:w="1007" w:type="dxa"/>
            <w:tcBorders>
              <w:top w:val="nil"/>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不适用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8336" w:type="dxa"/>
            <w:gridSpan w:val="4"/>
            <w:tcBorders>
              <w:top w:val="nil"/>
              <w:left w:val="nil"/>
              <w:bottom w:val="single" w:color="000000" w:sz="8" w:space="0"/>
              <w:right w:val="nil"/>
            </w:tcBorders>
            <w:shd w:val="clear" w:color="auto" w:fill="D9D9D9"/>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净稳定资金比例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18</w:t>
            </w:r>
          </w:p>
        </w:tc>
        <w:tc>
          <w:tcPr>
            <w:tcW w:w="470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可用稳定资金合计</w:t>
            </w:r>
          </w:p>
        </w:tc>
        <w:tc>
          <w:tcPr>
            <w:tcW w:w="100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不适用</w:t>
            </w:r>
          </w:p>
        </w:tc>
        <w:tc>
          <w:tcPr>
            <w:tcW w:w="1007" w:type="dxa"/>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不适用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19</w:t>
            </w:r>
          </w:p>
        </w:tc>
        <w:tc>
          <w:tcPr>
            <w:tcW w:w="470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所需稳定资金合计</w:t>
            </w:r>
          </w:p>
        </w:tc>
        <w:tc>
          <w:tcPr>
            <w:tcW w:w="1007"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不适用</w:t>
            </w:r>
          </w:p>
        </w:tc>
        <w:tc>
          <w:tcPr>
            <w:tcW w:w="1007" w:type="dxa"/>
            <w:tcBorders>
              <w:top w:val="nil"/>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不适用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20</w:t>
            </w:r>
          </w:p>
        </w:tc>
        <w:tc>
          <w:tcPr>
            <w:tcW w:w="470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净稳定资金比例（%）</w:t>
            </w:r>
          </w:p>
        </w:tc>
        <w:tc>
          <w:tcPr>
            <w:tcW w:w="1007"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不适用</w:t>
            </w:r>
          </w:p>
        </w:tc>
        <w:tc>
          <w:tcPr>
            <w:tcW w:w="1007" w:type="dxa"/>
            <w:tcBorders>
              <w:top w:val="nil"/>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不适用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8336" w:type="dxa"/>
            <w:gridSpan w:val="4"/>
            <w:tcBorders>
              <w:top w:val="nil"/>
              <w:left w:val="nil"/>
              <w:bottom w:val="single" w:color="000000" w:sz="8" w:space="0"/>
              <w:right w:val="nil"/>
            </w:tcBorders>
            <w:shd w:val="clear" w:color="auto" w:fill="D8D8D8"/>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流动性比例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21</w:t>
            </w:r>
          </w:p>
        </w:tc>
        <w:tc>
          <w:tcPr>
            <w:tcW w:w="470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流动性比例（%）</w:t>
            </w:r>
          </w:p>
        </w:tc>
        <w:tc>
          <w:tcPr>
            <w:tcW w:w="1007" w:type="dxa"/>
            <w:tcBorders>
              <w:top w:val="single" w:color="000000" w:sz="8" w:space="0"/>
              <w:left w:val="nil"/>
              <w:bottom w:val="single" w:color="000000" w:sz="8"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85.47 </w:t>
            </w:r>
          </w:p>
        </w:tc>
        <w:tc>
          <w:tcPr>
            <w:tcW w:w="1007" w:type="dxa"/>
            <w:tcBorders>
              <w:top w:val="single" w:color="000000" w:sz="8" w:space="0"/>
              <w:left w:val="single" w:color="000000" w:sz="8" w:space="0"/>
              <w:bottom w:val="single" w:color="000000" w:sz="8"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96.89</w:t>
            </w:r>
          </w:p>
        </w:tc>
      </w:tr>
    </w:tbl>
    <w:p>
      <w:pPr>
        <w:pStyle w:val="7"/>
        <w:keepNext w:val="0"/>
        <w:keepLines w:val="0"/>
        <w:pageBreakBefore w:val="0"/>
        <w:widowControl/>
        <w:suppressLineNumbers w:val="0"/>
        <w:kinsoku/>
        <w:wordWrap/>
        <w:overflowPunct/>
        <w:topLinePunct w:val="0"/>
        <w:autoSpaceDE/>
        <w:autoSpaceDN/>
        <w:bidi w:val="0"/>
        <w:adjustRightInd/>
        <w:snapToGrid/>
        <w:spacing w:before="160" w:beforeAutospacing="0" w:after="0" w:afterAutospacing="0"/>
        <w:ind w:right="0"/>
        <w:jc w:val="both"/>
        <w:textAlignment w:val="auto"/>
        <w:rPr>
          <w:rFonts w:hint="eastAsia" w:ascii="仿宋" w:hAnsi="仿宋" w:eastAsia="仿宋" w:cs="仿宋"/>
          <w:sz w:val="28"/>
          <w:szCs w:val="28"/>
        </w:rPr>
      </w:pPr>
    </w:p>
    <w:tbl>
      <w:tblPr>
        <w:tblStyle w:val="8"/>
        <w:tblW w:w="83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613"/>
        <w:gridCol w:w="5460"/>
        <w:gridCol w:w="913"/>
        <w:gridCol w:w="3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8336" w:type="dxa"/>
            <w:gridSpan w:val="4"/>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微软雅黑" w:hAnsi="微软雅黑" w:eastAsia="微软雅黑" w:cs="微软雅黑"/>
                <w:b/>
                <w:i w:val="0"/>
                <w:color w:val="000000"/>
                <w:sz w:val="32"/>
                <w:szCs w:val="32"/>
                <w:u w:val="none"/>
              </w:rPr>
            </w:pPr>
            <w:r>
              <w:rPr>
                <w:rFonts w:hint="eastAsia" w:ascii="微软雅黑" w:hAnsi="微软雅黑" w:eastAsia="微软雅黑" w:cs="微软雅黑"/>
                <w:b/>
                <w:i w:val="0"/>
                <w:color w:val="000000"/>
                <w:kern w:val="0"/>
                <w:sz w:val="32"/>
                <w:szCs w:val="32"/>
                <w:u w:val="none"/>
                <w:lang w:val="en-US" w:eastAsia="zh-CN"/>
              </w:rPr>
              <w:t>CC1 ：资本构成【2026年上半年】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单位：人民币万元，%</w:t>
            </w:r>
          </w:p>
        </w:tc>
        <w:tc>
          <w:tcPr>
            <w:tcW w:w="5460" w:type="dxa"/>
            <w:tcBorders>
              <w:top w:val="nil"/>
              <w:left w:val="nil"/>
              <w:bottom w:val="nil"/>
              <w:right w:val="nil"/>
            </w:tcBorders>
            <w:shd w:val="clear" w:color="auto" w:fill="auto"/>
            <w:noWrap/>
            <w:tcMar>
              <w:top w:w="15" w:type="dxa"/>
              <w:left w:w="15" w:type="dxa"/>
              <w:right w:w="15" w:type="dxa"/>
            </w:tcMar>
            <w:vAlign w:val="center"/>
          </w:tcPr>
          <w:p>
            <w:pPr>
              <w:jc w:val="left"/>
              <w:rPr>
                <w:rFonts w:hint="eastAsia" w:ascii="微软雅黑" w:hAnsi="微软雅黑" w:eastAsia="微软雅黑" w:cs="微软雅黑"/>
                <w:i w:val="0"/>
                <w:color w:val="000000"/>
                <w:sz w:val="16"/>
                <w:szCs w:val="16"/>
                <w:u w:val="none"/>
              </w:rPr>
            </w:pPr>
          </w:p>
        </w:tc>
        <w:tc>
          <w:tcPr>
            <w:tcW w:w="913" w:type="dxa"/>
            <w:tcBorders>
              <w:top w:val="nil"/>
              <w:left w:val="nil"/>
              <w:bottom w:val="nil"/>
              <w:right w:val="nil"/>
            </w:tcBorders>
            <w:shd w:val="clear" w:color="auto" w:fill="auto"/>
            <w:noWrap/>
            <w:tcMar>
              <w:top w:w="15" w:type="dxa"/>
              <w:left w:w="15" w:type="dxa"/>
              <w:right w:w="15" w:type="dxa"/>
            </w:tcMar>
            <w:vAlign w:val="center"/>
          </w:tcPr>
          <w:p>
            <w:pPr>
              <w:jc w:val="left"/>
              <w:rPr>
                <w:rFonts w:hint="eastAsia" w:ascii="微软雅黑" w:hAnsi="微软雅黑" w:eastAsia="微软雅黑" w:cs="微软雅黑"/>
                <w:i w:val="0"/>
                <w:color w:val="000000"/>
                <w:sz w:val="16"/>
                <w:szCs w:val="16"/>
                <w:u w:val="none"/>
              </w:rPr>
            </w:pPr>
          </w:p>
        </w:tc>
        <w:tc>
          <w:tcPr>
            <w:tcW w:w="350" w:type="dxa"/>
            <w:tcBorders>
              <w:top w:val="nil"/>
              <w:left w:val="nil"/>
              <w:bottom w:val="nil"/>
              <w:right w:val="nil"/>
            </w:tcBorders>
            <w:shd w:val="clear" w:color="auto" w:fill="auto"/>
            <w:noWrap/>
            <w:tcMar>
              <w:top w:w="15" w:type="dxa"/>
              <w:left w:w="15" w:type="dxa"/>
              <w:right w:w="15" w:type="dxa"/>
            </w:tcMar>
            <w:vAlign w:val="cente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7073" w:type="dxa"/>
            <w:gridSpan w:val="2"/>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jc w:val="center"/>
              <w:rPr>
                <w:rFonts w:hint="eastAsia" w:ascii="微软雅黑" w:hAnsi="微软雅黑" w:eastAsia="微软雅黑" w:cs="微软雅黑"/>
                <w:i w:val="0"/>
                <w:color w:val="000000"/>
                <w:sz w:val="16"/>
                <w:szCs w:val="16"/>
                <w:u w:val="none"/>
              </w:rPr>
            </w:pPr>
          </w:p>
        </w:tc>
        <w:tc>
          <w:tcPr>
            <w:tcW w:w="9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a</w:t>
            </w:r>
          </w:p>
        </w:tc>
        <w:tc>
          <w:tcPr>
            <w:tcW w:w="350" w:type="dxa"/>
            <w:tcBorders>
              <w:top w:val="single" w:color="000000" w:sz="8" w:space="0"/>
              <w:left w:val="nil"/>
              <w:bottom w:val="single" w:color="000000" w:sz="8" w:space="0"/>
              <w:right w:val="nil"/>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7073" w:type="dxa"/>
            <w:gridSpan w:val="2"/>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数额</w:t>
            </w:r>
          </w:p>
        </w:tc>
        <w:tc>
          <w:tcPr>
            <w:tcW w:w="350" w:type="dxa"/>
            <w:tcBorders>
              <w:top w:val="nil"/>
              <w:left w:val="nil"/>
              <w:bottom w:val="single" w:color="000000" w:sz="8" w:space="0"/>
              <w:right w:val="nil"/>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代码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实收资本和资本公积可计入部分</w:t>
            </w:r>
          </w:p>
        </w:tc>
        <w:tc>
          <w:tcPr>
            <w:tcW w:w="9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74511.19</w:t>
            </w:r>
          </w:p>
        </w:tc>
        <w:tc>
          <w:tcPr>
            <w:tcW w:w="350" w:type="dxa"/>
            <w:tcBorders>
              <w:top w:val="single" w:color="000000" w:sz="8" w:space="0"/>
              <w:left w:val="nil"/>
              <w:bottom w:val="single" w:color="000000" w:sz="8" w:space="0"/>
              <w:right w:val="nil"/>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e+g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留存收益</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170247.82</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2a</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盈余公积</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35122.55</w:t>
            </w:r>
          </w:p>
        </w:tc>
        <w:tc>
          <w:tcPr>
            <w:tcW w:w="350" w:type="dxa"/>
            <w:tcBorders>
              <w:top w:val="nil"/>
              <w:left w:val="nil"/>
              <w:bottom w:val="single" w:color="000000" w:sz="8" w:space="0"/>
              <w:right w:val="nil"/>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2b</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一般风险准备</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131143.44</w:t>
            </w:r>
          </w:p>
        </w:tc>
        <w:tc>
          <w:tcPr>
            <w:tcW w:w="350" w:type="dxa"/>
            <w:tcBorders>
              <w:top w:val="nil"/>
              <w:left w:val="nil"/>
              <w:bottom w:val="single" w:color="000000" w:sz="8" w:space="0"/>
              <w:right w:val="nil"/>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2c</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未分配利润</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3981.83</w:t>
            </w:r>
          </w:p>
        </w:tc>
        <w:tc>
          <w:tcPr>
            <w:tcW w:w="350" w:type="dxa"/>
            <w:tcBorders>
              <w:top w:val="nil"/>
              <w:left w:val="nil"/>
              <w:bottom w:val="single" w:color="000000" w:sz="8" w:space="0"/>
              <w:right w:val="nil"/>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j</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3</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累计其他综合收益</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6129.52</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4</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少数股东资本可计入部分</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5</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扣除前的核心一级资本</w:t>
            </w:r>
          </w:p>
        </w:tc>
        <w:tc>
          <w:tcPr>
            <w:tcW w:w="9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250888.53</w:t>
            </w:r>
          </w:p>
        </w:tc>
        <w:tc>
          <w:tcPr>
            <w:tcW w:w="350" w:type="dxa"/>
            <w:tcBorders>
              <w:top w:val="single" w:color="000000" w:sz="8" w:space="0"/>
              <w:left w:val="nil"/>
              <w:bottom w:val="single" w:color="000000" w:sz="8" w:space="0"/>
              <w:right w:val="nil"/>
            </w:tcBorders>
            <w:shd w:val="clear" w:color="auto" w:fill="auto"/>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7073" w:type="dxa"/>
            <w:gridSpan w:val="2"/>
            <w:tcBorders>
              <w:top w:val="nil"/>
              <w:left w:val="nil"/>
              <w:bottom w:val="nil"/>
              <w:right w:val="nil"/>
            </w:tcBorders>
            <w:shd w:val="clear" w:color="auto" w:fill="D9D9D9"/>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核心一级资本：扣除项</w:t>
            </w:r>
          </w:p>
        </w:tc>
        <w:tc>
          <w:tcPr>
            <w:tcW w:w="913" w:type="dxa"/>
            <w:tcBorders>
              <w:top w:val="nil"/>
              <w:left w:val="nil"/>
              <w:bottom w:val="nil"/>
              <w:right w:val="nil"/>
            </w:tcBorders>
            <w:shd w:val="clear" w:color="auto" w:fill="D9D9D9"/>
            <w:noWrap/>
            <w:tcMar>
              <w:top w:w="15" w:type="dxa"/>
              <w:left w:w="15" w:type="dxa"/>
              <w:right w:w="15" w:type="dxa"/>
            </w:tcMar>
            <w:vAlign w:val="center"/>
          </w:tcPr>
          <w:p>
            <w:pPr>
              <w:jc w:val="center"/>
              <w:rPr>
                <w:rFonts w:hint="eastAsia" w:ascii="微软雅黑" w:hAnsi="微软雅黑" w:eastAsia="微软雅黑" w:cs="微软雅黑"/>
                <w:i w:val="0"/>
                <w:color w:val="000000"/>
                <w:sz w:val="16"/>
                <w:szCs w:val="16"/>
                <w:u w:val="none"/>
              </w:rPr>
            </w:pPr>
          </w:p>
        </w:tc>
        <w:tc>
          <w:tcPr>
            <w:tcW w:w="350" w:type="dxa"/>
            <w:tcBorders>
              <w:top w:val="nil"/>
              <w:left w:val="nil"/>
              <w:bottom w:val="nil"/>
              <w:right w:val="nil"/>
            </w:tcBorders>
            <w:shd w:val="clear" w:color="auto" w:fill="D9D9D9"/>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6</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审慎估值调整</w:t>
            </w:r>
          </w:p>
        </w:tc>
        <w:tc>
          <w:tcPr>
            <w:tcW w:w="9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single" w:color="000000" w:sz="8" w:space="0"/>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7</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商誉（扣除递延税负债）</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8</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其他无形资产（土地使用权除外）（扣除递延税负债）</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135.16 </w:t>
            </w:r>
          </w:p>
        </w:tc>
        <w:tc>
          <w:tcPr>
            <w:tcW w:w="350" w:type="dxa"/>
            <w:tcBorders>
              <w:top w:val="nil"/>
              <w:left w:val="nil"/>
              <w:bottom w:val="single" w:color="000000" w:sz="8" w:space="0"/>
              <w:right w:val="nil"/>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9</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依赖未来盈利的由经营亏损引起的净递延税资产</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10</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对未按公允价值计量的项目进行套期形成的现金流储备</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11</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损失准备缺口</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12</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资产证券化销售利得</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13</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自身信用风险变化导致其负债公允价值变化带来的未实现损益</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14</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确定受益类的养老金资产净额（扣除递延税负债）</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15</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直接或间接持有本银行的股票</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16</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银行间或银行与其他金融机构间通过协议相互持有的核心一级资本</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17</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对未并表金融机构小额少数资本投资中的核心一级资本中应扣除金额</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4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18</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对未并表金融机构大额少数资本投资中的核心一级资本中应扣除金额</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19</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其他依赖于银行未来盈利的净递延税资产中应扣除金额</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4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20</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对未并表金融机构大额少数资本投资中的核心一级资本和其他依赖于银行未来盈利的净递延税资产的未扣除部分超过核心一级资本 15%的应扣除金额</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2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21</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    其中：应在对金融机构大额少数资本投资中扣除的金额</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22</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    其中：应在其他依赖于银行未来盈利的净递延税资产中扣除的金额</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23</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其他应在核心一级资本中扣除的项目合计</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24</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应从其他一级资本和二级资本中扣除的未扣缺口</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25</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核心一级资本扣除项总和</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135.16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26</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核心一级资本净额</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250753.37 </w:t>
            </w:r>
          </w:p>
        </w:tc>
        <w:tc>
          <w:tcPr>
            <w:tcW w:w="350" w:type="dxa"/>
            <w:tcBorders>
              <w:top w:val="nil"/>
              <w:left w:val="nil"/>
              <w:bottom w:val="single" w:color="000000" w:sz="8" w:space="0"/>
              <w:right w:val="nil"/>
            </w:tcBorders>
            <w:shd w:val="clear" w:color="auto" w:fill="auto"/>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nil"/>
              <w:left w:val="nil"/>
              <w:bottom w:val="nil"/>
              <w:right w:val="nil"/>
            </w:tcBorders>
            <w:shd w:val="clear" w:color="auto" w:fill="D9D9D9"/>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其他一级资本</w:t>
            </w:r>
          </w:p>
        </w:tc>
        <w:tc>
          <w:tcPr>
            <w:tcW w:w="5460" w:type="dxa"/>
            <w:tcBorders>
              <w:top w:val="nil"/>
              <w:left w:val="nil"/>
              <w:bottom w:val="nil"/>
              <w:right w:val="nil"/>
            </w:tcBorders>
            <w:shd w:val="clear" w:color="auto" w:fill="D9D9D9"/>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c>
          <w:tcPr>
            <w:tcW w:w="913" w:type="dxa"/>
            <w:tcBorders>
              <w:top w:val="nil"/>
              <w:left w:val="nil"/>
              <w:bottom w:val="nil"/>
              <w:right w:val="nil"/>
            </w:tcBorders>
            <w:shd w:val="clear" w:color="auto" w:fill="D9D9D9"/>
            <w:noWrap/>
            <w:tcMar>
              <w:top w:w="15" w:type="dxa"/>
              <w:left w:w="15" w:type="dxa"/>
              <w:right w:w="15" w:type="dxa"/>
            </w:tcMar>
            <w:vAlign w:val="center"/>
          </w:tcPr>
          <w:p>
            <w:pPr>
              <w:jc w:val="center"/>
              <w:rPr>
                <w:rFonts w:hint="eastAsia" w:ascii="微软雅黑" w:hAnsi="微软雅黑" w:eastAsia="微软雅黑" w:cs="微软雅黑"/>
                <w:i w:val="0"/>
                <w:color w:val="000000"/>
                <w:sz w:val="16"/>
                <w:szCs w:val="16"/>
                <w:u w:val="none"/>
              </w:rPr>
            </w:pPr>
          </w:p>
        </w:tc>
        <w:tc>
          <w:tcPr>
            <w:tcW w:w="350" w:type="dxa"/>
            <w:tcBorders>
              <w:top w:val="nil"/>
              <w:left w:val="nil"/>
              <w:bottom w:val="nil"/>
              <w:right w:val="nil"/>
            </w:tcBorders>
            <w:shd w:val="clear" w:color="auto" w:fill="D9D9D9"/>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27</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其他一级资本工具及其溢价</w:t>
            </w:r>
          </w:p>
        </w:tc>
        <w:tc>
          <w:tcPr>
            <w:tcW w:w="9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single" w:color="000000" w:sz="8" w:space="0"/>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28</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其中：权益部分</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29</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其中：负债部分</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30</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少数股东资本可计入部分</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31</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扣除前的其他一级资本</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7073" w:type="dxa"/>
            <w:gridSpan w:val="2"/>
            <w:tcBorders>
              <w:top w:val="nil"/>
              <w:left w:val="nil"/>
              <w:bottom w:val="nil"/>
              <w:right w:val="nil"/>
            </w:tcBorders>
            <w:shd w:val="clear" w:color="auto" w:fill="D9D9D9"/>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其他一级资本:扣除项</w:t>
            </w:r>
          </w:p>
        </w:tc>
        <w:tc>
          <w:tcPr>
            <w:tcW w:w="913" w:type="dxa"/>
            <w:tcBorders>
              <w:top w:val="nil"/>
              <w:left w:val="nil"/>
              <w:bottom w:val="nil"/>
              <w:right w:val="nil"/>
            </w:tcBorders>
            <w:shd w:val="clear" w:color="auto" w:fill="D9D9D9"/>
            <w:noWrap/>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nil"/>
              <w:right w:val="nil"/>
            </w:tcBorders>
            <w:shd w:val="clear" w:color="auto" w:fill="D9D9D9"/>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32</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直接或间接持有的本银行其他一级资本</w:t>
            </w:r>
          </w:p>
        </w:tc>
        <w:tc>
          <w:tcPr>
            <w:tcW w:w="9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single" w:color="000000" w:sz="8" w:space="0"/>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33</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银行间或银行与其他金融机构间通过协议相互持有的其他一级资本</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34</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对未并表金融机构小额少数资本投资中的其他一级资本中应扣除金额</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35</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对未并表金融机构大额少数资本投资中的其他一级资本中应扣除金额</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36</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其他应在其他一级资本中扣除的项目</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37</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drawing>
                <wp:anchor distT="0" distB="0" distL="114300" distR="114300" simplePos="0" relativeHeight="1024" behindDoc="0" locked="0" layoutInCell="1" allowOverlap="1">
                  <wp:simplePos x="0" y="0"/>
                  <wp:positionH relativeFrom="column">
                    <wp:posOffset>0</wp:posOffset>
                  </wp:positionH>
                  <wp:positionV relativeFrom="paragraph">
                    <wp:posOffset>0</wp:posOffset>
                  </wp:positionV>
                  <wp:extent cx="171450" cy="171450"/>
                  <wp:effectExtent l="0" t="0" r="0" b="0"/>
                  <wp:wrapNone/>
                  <wp:docPr id="2" name="图片_6"/>
                  <wp:cNvGraphicFramePr/>
                  <a:graphic xmlns:a="http://schemas.openxmlformats.org/drawingml/2006/main">
                    <a:graphicData uri="http://schemas.openxmlformats.org/drawingml/2006/picture">
                      <pic:pic xmlns:pic="http://schemas.openxmlformats.org/drawingml/2006/picture">
                        <pic:nvPicPr>
                          <pic:cNvPr id="2" name="图片_6"/>
                          <pic:cNvPicPr/>
                        </pic:nvPicPr>
                        <pic:blipFill>
                          <a:blip r:embed="rId7"/>
                          <a:stretch>
                            <a:fillRect/>
                          </a:stretch>
                        </pic:blipFill>
                        <pic:spPr>
                          <a:xfrm>
                            <a:off x="0" y="0"/>
                            <a:ext cx="171450" cy="171450"/>
                          </a:xfrm>
                          <a:prstGeom prst="rect">
                            <a:avLst/>
                          </a:prstGeom>
                          <a:noFill/>
                          <a:ln cap="flat" cmpd="sng">
                            <a:noFill/>
                            <a:prstDash val="solid"/>
                            <a:round/>
                          </a:ln>
                        </pic:spPr>
                      </pic:pic>
                    </a:graphicData>
                  </a:graphic>
                </wp:anchor>
              </w:drawing>
            </w:r>
            <w:r>
              <w:rPr>
                <w:rFonts w:hint="eastAsia" w:ascii="微软雅黑" w:hAnsi="微软雅黑" w:eastAsia="微软雅黑" w:cs="微软雅黑"/>
                <w:i w:val="0"/>
                <w:color w:val="000000"/>
                <w:kern w:val="0"/>
                <w:sz w:val="16"/>
                <w:szCs w:val="16"/>
                <w:u w:val="none"/>
                <w:lang w:val="en-US" w:eastAsia="zh-CN"/>
              </w:rPr>
              <w:t>应从二级资本中扣除的未扣缺口</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38</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其他一级资本扣除项总和</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39</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其他一级资本净额</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40</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一级资本净额</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250753.37 </w:t>
            </w:r>
          </w:p>
        </w:tc>
        <w:tc>
          <w:tcPr>
            <w:tcW w:w="350" w:type="dxa"/>
            <w:tcBorders>
              <w:top w:val="nil"/>
              <w:left w:val="nil"/>
              <w:bottom w:val="single" w:color="000000" w:sz="8" w:space="0"/>
              <w:right w:val="nil"/>
            </w:tcBorders>
            <w:shd w:val="clear" w:color="auto" w:fill="auto"/>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nil"/>
              <w:left w:val="nil"/>
              <w:bottom w:val="nil"/>
              <w:right w:val="nil"/>
            </w:tcBorders>
            <w:shd w:val="clear" w:color="auto" w:fill="D9D9D9"/>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二级资本</w:t>
            </w:r>
          </w:p>
        </w:tc>
        <w:tc>
          <w:tcPr>
            <w:tcW w:w="5460" w:type="dxa"/>
            <w:tcBorders>
              <w:top w:val="nil"/>
              <w:left w:val="nil"/>
              <w:bottom w:val="nil"/>
              <w:right w:val="nil"/>
            </w:tcBorders>
            <w:shd w:val="clear" w:color="auto" w:fill="D9D9D9"/>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c>
          <w:tcPr>
            <w:tcW w:w="913" w:type="dxa"/>
            <w:tcBorders>
              <w:top w:val="nil"/>
              <w:left w:val="nil"/>
              <w:bottom w:val="nil"/>
              <w:right w:val="nil"/>
            </w:tcBorders>
            <w:shd w:val="clear" w:color="auto" w:fill="D9D9D9"/>
            <w:noWrap/>
            <w:tcMar>
              <w:top w:w="15" w:type="dxa"/>
              <w:left w:w="15" w:type="dxa"/>
              <w:right w:w="15" w:type="dxa"/>
            </w:tcMar>
            <w:vAlign w:val="center"/>
          </w:tcPr>
          <w:p>
            <w:pPr>
              <w:jc w:val="center"/>
              <w:rPr>
                <w:rFonts w:hint="eastAsia" w:ascii="微软雅黑" w:hAnsi="微软雅黑" w:eastAsia="微软雅黑" w:cs="微软雅黑"/>
                <w:i w:val="0"/>
                <w:color w:val="000000"/>
                <w:sz w:val="16"/>
                <w:szCs w:val="16"/>
                <w:u w:val="none"/>
              </w:rPr>
            </w:pPr>
          </w:p>
        </w:tc>
        <w:tc>
          <w:tcPr>
            <w:tcW w:w="350" w:type="dxa"/>
            <w:tcBorders>
              <w:top w:val="nil"/>
              <w:left w:val="nil"/>
              <w:bottom w:val="nil"/>
              <w:right w:val="nil"/>
            </w:tcBorders>
            <w:shd w:val="clear" w:color="auto" w:fill="D9D9D9"/>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41</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二级资本工具及其溢价</w:t>
            </w:r>
          </w:p>
        </w:tc>
        <w:tc>
          <w:tcPr>
            <w:tcW w:w="9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single" w:color="000000" w:sz="8" w:space="0"/>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42</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少数股东资本可计入部分</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43</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超额损失准备可计入部分</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21498.91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44</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扣除前的二级资本</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21498.91 </w:t>
            </w:r>
          </w:p>
        </w:tc>
        <w:tc>
          <w:tcPr>
            <w:tcW w:w="350" w:type="dxa"/>
            <w:tcBorders>
              <w:top w:val="nil"/>
              <w:left w:val="nil"/>
              <w:bottom w:val="single" w:color="000000" w:sz="8" w:space="0"/>
              <w:right w:val="nil"/>
            </w:tcBorders>
            <w:shd w:val="clear" w:color="auto" w:fill="auto"/>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7073" w:type="dxa"/>
            <w:gridSpan w:val="2"/>
            <w:tcBorders>
              <w:top w:val="nil"/>
              <w:left w:val="nil"/>
              <w:bottom w:val="nil"/>
              <w:right w:val="nil"/>
            </w:tcBorders>
            <w:shd w:val="clear" w:color="auto" w:fill="D9D9D9"/>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二级资本：扣除项</w:t>
            </w:r>
          </w:p>
        </w:tc>
        <w:tc>
          <w:tcPr>
            <w:tcW w:w="913" w:type="dxa"/>
            <w:tcBorders>
              <w:top w:val="nil"/>
              <w:left w:val="nil"/>
              <w:bottom w:val="nil"/>
              <w:right w:val="nil"/>
            </w:tcBorders>
            <w:shd w:val="clear" w:color="auto" w:fill="D9D9D9"/>
            <w:noWrap/>
            <w:tcMar>
              <w:top w:w="15" w:type="dxa"/>
              <w:left w:w="15" w:type="dxa"/>
              <w:right w:w="15" w:type="dxa"/>
            </w:tcMar>
            <w:vAlign w:val="center"/>
          </w:tcPr>
          <w:p>
            <w:pPr>
              <w:jc w:val="left"/>
              <w:rPr>
                <w:rFonts w:hint="eastAsia" w:ascii="微软雅黑" w:hAnsi="微软雅黑" w:eastAsia="微软雅黑" w:cs="微软雅黑"/>
                <w:b/>
                <w:i w:val="0"/>
                <w:color w:val="000000"/>
                <w:sz w:val="16"/>
                <w:szCs w:val="16"/>
                <w:u w:val="none"/>
              </w:rPr>
            </w:pPr>
          </w:p>
        </w:tc>
        <w:tc>
          <w:tcPr>
            <w:tcW w:w="350" w:type="dxa"/>
            <w:tcBorders>
              <w:top w:val="nil"/>
              <w:left w:val="nil"/>
              <w:bottom w:val="nil"/>
              <w:right w:val="nil"/>
            </w:tcBorders>
            <w:shd w:val="clear" w:color="auto" w:fill="D9D9D9"/>
            <w:noWrap/>
            <w:tcMar>
              <w:top w:w="15" w:type="dxa"/>
              <w:left w:w="15" w:type="dxa"/>
              <w:right w:w="15" w:type="dxa"/>
            </w:tcMar>
            <w:vAlign w:val="center"/>
          </w:tcPr>
          <w:p>
            <w:pPr>
              <w:jc w:val="left"/>
              <w:rPr>
                <w:rFonts w:hint="eastAsia" w:ascii="微软雅黑" w:hAnsi="微软雅黑" w:eastAsia="微软雅黑" w:cs="微软雅黑"/>
                <w:b/>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45</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直接或间接持有的本银行的二级资本</w:t>
            </w:r>
          </w:p>
        </w:tc>
        <w:tc>
          <w:tcPr>
            <w:tcW w:w="9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single" w:color="000000" w:sz="8" w:space="0"/>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46</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银行间或银行与其他金融机构间通过协议相互持有的其他一级资本</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47</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对未并表金融机构小额少数资本投资中的二级资本中应扣除金额</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16057.33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48</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对未并表金融机构大额少数资本投资中的二级资本</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49</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其他应在二级资本中扣除的项目合计</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50</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二级资本扣除项总和</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51</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二级资本净额</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21498.91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52</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总资本净额</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272252.28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53</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风险加权资产</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1909658.00 </w:t>
            </w:r>
          </w:p>
        </w:tc>
        <w:tc>
          <w:tcPr>
            <w:tcW w:w="350" w:type="dxa"/>
            <w:tcBorders>
              <w:top w:val="nil"/>
              <w:left w:val="nil"/>
              <w:bottom w:val="single" w:color="000000" w:sz="8" w:space="0"/>
              <w:right w:val="nil"/>
            </w:tcBorders>
            <w:shd w:val="clear" w:color="auto" w:fill="auto"/>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7073" w:type="dxa"/>
            <w:gridSpan w:val="2"/>
            <w:tcBorders>
              <w:top w:val="nil"/>
              <w:left w:val="nil"/>
              <w:bottom w:val="nil"/>
              <w:right w:val="nil"/>
            </w:tcBorders>
            <w:shd w:val="clear" w:color="auto" w:fill="D9D9D9"/>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资本充足率和其他各级资本要求</w:t>
            </w:r>
          </w:p>
        </w:tc>
        <w:tc>
          <w:tcPr>
            <w:tcW w:w="913" w:type="dxa"/>
            <w:tcBorders>
              <w:top w:val="nil"/>
              <w:left w:val="nil"/>
              <w:bottom w:val="nil"/>
              <w:right w:val="nil"/>
            </w:tcBorders>
            <w:shd w:val="clear" w:color="auto" w:fill="D9D9D9"/>
            <w:noWrap/>
            <w:tcMar>
              <w:top w:w="15" w:type="dxa"/>
              <w:left w:w="15" w:type="dxa"/>
              <w:right w:w="15" w:type="dxa"/>
            </w:tcMar>
            <w:vAlign w:val="center"/>
          </w:tcPr>
          <w:p>
            <w:pPr>
              <w:jc w:val="center"/>
              <w:rPr>
                <w:rFonts w:hint="eastAsia" w:ascii="微软雅黑" w:hAnsi="微软雅黑" w:eastAsia="微软雅黑" w:cs="微软雅黑"/>
                <w:i w:val="0"/>
                <w:color w:val="000000"/>
                <w:sz w:val="16"/>
                <w:szCs w:val="16"/>
                <w:u w:val="none"/>
              </w:rPr>
            </w:pPr>
          </w:p>
        </w:tc>
        <w:tc>
          <w:tcPr>
            <w:tcW w:w="350" w:type="dxa"/>
            <w:tcBorders>
              <w:top w:val="nil"/>
              <w:left w:val="nil"/>
              <w:bottom w:val="nil"/>
              <w:right w:val="nil"/>
            </w:tcBorders>
            <w:shd w:val="clear" w:color="auto" w:fill="D9D9D9"/>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54</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核心一级资本充足率</w:t>
            </w:r>
          </w:p>
        </w:tc>
        <w:tc>
          <w:tcPr>
            <w:tcW w:w="9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13.13 </w:t>
            </w:r>
          </w:p>
        </w:tc>
        <w:tc>
          <w:tcPr>
            <w:tcW w:w="350" w:type="dxa"/>
            <w:tcBorders>
              <w:top w:val="single" w:color="000000" w:sz="8" w:space="0"/>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55</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一级资本充足率</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13.13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56</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资本充足率</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14.26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57</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其他级资本要求（%）</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2.50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58</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    其中：储备资本要求</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2.50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59</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    其中：逆周期资本要求</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60</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both"/>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    其中：全球系统重要性银行或国内系统重要性银行附加资本要求</w:t>
            </w:r>
          </w:p>
        </w:tc>
        <w:tc>
          <w:tcPr>
            <w:tcW w:w="913" w:type="dxa"/>
            <w:tcBorders>
              <w:top w:val="nil"/>
              <w:left w:val="nil"/>
              <w:bottom w:val="single" w:color="000000" w:sz="8" w:space="0"/>
              <w:right w:val="single" w:color="000000" w:sz="8" w:space="0"/>
            </w:tcBorders>
            <w:shd w:val="clear" w:color="auto" w:fill="D9D9D9"/>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61</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both"/>
              <w:textAlignment w:val="top"/>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满足最低资本要求后的可用核心一级资本净额占风险加权资产的比例（%）</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6.26 </w:t>
            </w:r>
          </w:p>
        </w:tc>
        <w:tc>
          <w:tcPr>
            <w:tcW w:w="350" w:type="dxa"/>
            <w:tcBorders>
              <w:top w:val="nil"/>
              <w:left w:val="nil"/>
              <w:bottom w:val="single" w:color="000000" w:sz="8" w:space="0"/>
              <w:right w:val="nil"/>
            </w:tcBorders>
            <w:shd w:val="clear" w:color="auto" w:fill="auto"/>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7073" w:type="dxa"/>
            <w:gridSpan w:val="2"/>
            <w:tcBorders>
              <w:top w:val="nil"/>
              <w:left w:val="nil"/>
              <w:bottom w:val="nil"/>
              <w:right w:val="nil"/>
            </w:tcBorders>
            <w:shd w:val="clear" w:color="auto" w:fill="D9D9D9"/>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我国最低监管资本要求</w:t>
            </w:r>
          </w:p>
        </w:tc>
        <w:tc>
          <w:tcPr>
            <w:tcW w:w="913" w:type="dxa"/>
            <w:tcBorders>
              <w:top w:val="nil"/>
              <w:left w:val="nil"/>
              <w:bottom w:val="nil"/>
              <w:right w:val="nil"/>
            </w:tcBorders>
            <w:shd w:val="clear" w:color="auto" w:fill="D9D9D9"/>
            <w:noWrap/>
            <w:tcMar>
              <w:top w:w="15" w:type="dxa"/>
              <w:left w:w="15" w:type="dxa"/>
              <w:right w:w="15" w:type="dxa"/>
            </w:tcMar>
            <w:vAlign w:val="center"/>
          </w:tcPr>
          <w:p>
            <w:pPr>
              <w:jc w:val="center"/>
              <w:rPr>
                <w:rFonts w:hint="eastAsia" w:ascii="微软雅黑" w:hAnsi="微软雅黑" w:eastAsia="微软雅黑" w:cs="微软雅黑"/>
                <w:i w:val="0"/>
                <w:color w:val="000000"/>
                <w:sz w:val="16"/>
                <w:szCs w:val="16"/>
                <w:u w:val="none"/>
              </w:rPr>
            </w:pPr>
          </w:p>
        </w:tc>
        <w:tc>
          <w:tcPr>
            <w:tcW w:w="350" w:type="dxa"/>
            <w:tcBorders>
              <w:top w:val="nil"/>
              <w:left w:val="nil"/>
              <w:bottom w:val="nil"/>
              <w:right w:val="nil"/>
            </w:tcBorders>
            <w:shd w:val="clear" w:color="auto" w:fill="D9D9D9"/>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62</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核心一级资本充足率</w:t>
            </w:r>
          </w:p>
        </w:tc>
        <w:tc>
          <w:tcPr>
            <w:tcW w:w="9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5 </w:t>
            </w:r>
          </w:p>
        </w:tc>
        <w:tc>
          <w:tcPr>
            <w:tcW w:w="350" w:type="dxa"/>
            <w:tcBorders>
              <w:top w:val="single" w:color="000000" w:sz="8" w:space="0"/>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63</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一级资本充足率</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6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64</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资本充足率</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8 </w:t>
            </w:r>
          </w:p>
        </w:tc>
        <w:tc>
          <w:tcPr>
            <w:tcW w:w="350" w:type="dxa"/>
            <w:tcBorders>
              <w:top w:val="nil"/>
              <w:left w:val="nil"/>
              <w:bottom w:val="single" w:color="000000" w:sz="8" w:space="0"/>
              <w:right w:val="nil"/>
            </w:tcBorders>
            <w:shd w:val="clear" w:color="auto" w:fill="auto"/>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65</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对未并表金融机构的小额少数资本投资中未扣除部分</w:t>
            </w:r>
          </w:p>
        </w:tc>
        <w:tc>
          <w:tcPr>
            <w:tcW w:w="9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16057.33 </w:t>
            </w:r>
          </w:p>
        </w:tc>
        <w:tc>
          <w:tcPr>
            <w:tcW w:w="350" w:type="dxa"/>
            <w:tcBorders>
              <w:top w:val="single" w:color="000000" w:sz="8" w:space="0"/>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66</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对未并表金融机构的大额少数资本投资中未扣除部分</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0.00 </w:t>
            </w:r>
          </w:p>
        </w:tc>
        <w:tc>
          <w:tcPr>
            <w:tcW w:w="350" w:type="dxa"/>
            <w:tcBorders>
              <w:top w:val="nil"/>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nil"/>
              <w:left w:val="nil"/>
              <w:bottom w:val="nil"/>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67</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both"/>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其他依赖于银行未来盈利的净递延税资产（扣除递延税负债）</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22645.88 </w:t>
            </w:r>
          </w:p>
        </w:tc>
        <w:tc>
          <w:tcPr>
            <w:tcW w:w="350" w:type="dxa"/>
            <w:tcBorders>
              <w:top w:val="nil"/>
              <w:left w:val="nil"/>
              <w:bottom w:val="single" w:color="000000" w:sz="8" w:space="0"/>
              <w:right w:val="nil"/>
            </w:tcBorders>
            <w:shd w:val="clear" w:color="auto" w:fill="auto"/>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7073" w:type="dxa"/>
            <w:gridSpan w:val="2"/>
            <w:tcBorders>
              <w:top w:val="nil"/>
              <w:left w:val="nil"/>
              <w:bottom w:val="nil"/>
              <w:right w:val="nil"/>
            </w:tcBorders>
            <w:shd w:val="clear" w:color="auto" w:fill="D9D9D9"/>
            <w:noWrap/>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b/>
                <w:i w:val="0"/>
                <w:color w:val="000000"/>
                <w:sz w:val="16"/>
                <w:szCs w:val="16"/>
                <w:u w:val="none"/>
              </w:rPr>
            </w:pPr>
            <w:r>
              <w:rPr>
                <w:rFonts w:hint="eastAsia" w:ascii="微软雅黑" w:hAnsi="微软雅黑" w:eastAsia="微软雅黑" w:cs="微软雅黑"/>
                <w:b/>
                <w:i w:val="0"/>
                <w:color w:val="000000"/>
                <w:kern w:val="0"/>
                <w:sz w:val="16"/>
                <w:szCs w:val="16"/>
                <w:u w:val="none"/>
                <w:lang w:val="en-US" w:eastAsia="zh-CN"/>
              </w:rPr>
              <w:t>可计入二级资本的超额损失准备的限额</w:t>
            </w:r>
          </w:p>
        </w:tc>
        <w:tc>
          <w:tcPr>
            <w:tcW w:w="913" w:type="dxa"/>
            <w:tcBorders>
              <w:top w:val="nil"/>
              <w:left w:val="nil"/>
              <w:bottom w:val="nil"/>
              <w:right w:val="nil"/>
            </w:tcBorders>
            <w:shd w:val="clear" w:color="auto" w:fill="D9D9D9"/>
            <w:noWrap/>
            <w:tcMar>
              <w:top w:w="15" w:type="dxa"/>
              <w:left w:w="15" w:type="dxa"/>
              <w:right w:w="15" w:type="dxa"/>
            </w:tcMar>
            <w:vAlign w:val="center"/>
          </w:tcPr>
          <w:p>
            <w:pPr>
              <w:jc w:val="center"/>
              <w:rPr>
                <w:rFonts w:hint="eastAsia" w:ascii="微软雅黑" w:hAnsi="微软雅黑" w:eastAsia="微软雅黑" w:cs="微软雅黑"/>
                <w:i w:val="0"/>
                <w:color w:val="000000"/>
                <w:sz w:val="16"/>
                <w:szCs w:val="16"/>
                <w:u w:val="none"/>
              </w:rPr>
            </w:pPr>
          </w:p>
        </w:tc>
        <w:tc>
          <w:tcPr>
            <w:tcW w:w="350" w:type="dxa"/>
            <w:tcBorders>
              <w:top w:val="nil"/>
              <w:left w:val="nil"/>
              <w:bottom w:val="nil"/>
              <w:right w:val="nil"/>
            </w:tcBorders>
            <w:shd w:val="clear" w:color="auto" w:fill="D9D9D9"/>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60" w:hRule="atLeast"/>
        </w:trPr>
        <w:tc>
          <w:tcPr>
            <w:tcW w:w="16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68</w:t>
            </w:r>
          </w:p>
        </w:tc>
        <w:tc>
          <w:tcPr>
            <w:tcW w:w="54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权重法下，实际计提的超额损失准备金额</w:t>
            </w:r>
          </w:p>
        </w:tc>
        <w:tc>
          <w:tcPr>
            <w:tcW w:w="913"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27001.01 </w:t>
            </w:r>
          </w:p>
        </w:tc>
        <w:tc>
          <w:tcPr>
            <w:tcW w:w="350" w:type="dxa"/>
            <w:tcBorders>
              <w:top w:val="single" w:color="000000" w:sz="8" w:space="0"/>
              <w:left w:val="nil"/>
              <w:bottom w:val="single" w:color="000000" w:sz="8" w:space="0"/>
              <w:right w:val="nil"/>
            </w:tcBorders>
            <w:shd w:val="clear" w:color="auto" w:fill="auto"/>
            <w:tcMar>
              <w:top w:w="15" w:type="dxa"/>
              <w:left w:w="15" w:type="dxa"/>
              <w:right w:w="15" w:type="dxa"/>
            </w:tcMar>
          </w:tcPr>
          <w:p>
            <w:pPr>
              <w:jc w:val="left"/>
              <w:rPr>
                <w:rFonts w:hint="eastAsia" w:ascii="微软雅黑" w:hAnsi="微软雅黑" w:eastAsia="微软雅黑" w:cs="微软雅黑"/>
                <w:i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16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69</w:t>
            </w:r>
          </w:p>
        </w:tc>
        <w:tc>
          <w:tcPr>
            <w:tcW w:w="5460"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left"/>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权重法下，可计入二级资本超额损失准备的数额</w:t>
            </w:r>
          </w:p>
        </w:tc>
        <w:tc>
          <w:tcPr>
            <w:tcW w:w="913" w:type="dxa"/>
            <w:tcBorders>
              <w:top w:val="nil"/>
              <w:left w:val="nil"/>
              <w:bottom w:val="single" w:color="000000" w:sz="8" w:space="0"/>
              <w:right w:val="single" w:color="000000" w:sz="8" w:space="0"/>
            </w:tcBorders>
            <w:shd w:val="clear" w:color="auto" w:fill="auto"/>
            <w:tcMar>
              <w:top w:w="15" w:type="dxa"/>
              <w:left w:w="15" w:type="dxa"/>
              <w:right w:w="15" w:type="dxa"/>
            </w:tcMar>
          </w:tcPr>
          <w:p>
            <w:pPr>
              <w:keepNext w:val="0"/>
              <w:keepLines w:val="0"/>
              <w:widowControl/>
              <w:suppressLineNumbers w:val="0"/>
              <w:jc w:val="center"/>
              <w:textAlignment w:val="top"/>
              <w:rPr>
                <w:rFonts w:hint="eastAsia" w:ascii="微软雅黑" w:hAnsi="微软雅黑" w:eastAsia="微软雅黑" w:cs="微软雅黑"/>
                <w:i w:val="0"/>
                <w:color w:val="000000"/>
                <w:sz w:val="16"/>
                <w:szCs w:val="16"/>
                <w:u w:val="none"/>
              </w:rPr>
            </w:pPr>
            <w:r>
              <w:rPr>
                <w:rFonts w:hint="eastAsia" w:ascii="微软雅黑" w:hAnsi="微软雅黑" w:eastAsia="微软雅黑" w:cs="微软雅黑"/>
                <w:i w:val="0"/>
                <w:color w:val="000000"/>
                <w:kern w:val="0"/>
                <w:sz w:val="16"/>
                <w:szCs w:val="16"/>
                <w:u w:val="none"/>
                <w:lang w:val="en-US" w:eastAsia="zh-CN"/>
              </w:rPr>
              <w:t xml:space="preserve">21498.91 </w:t>
            </w:r>
          </w:p>
        </w:tc>
        <w:tc>
          <w:tcPr>
            <w:tcW w:w="350" w:type="dxa"/>
            <w:tcBorders>
              <w:top w:val="nil"/>
              <w:left w:val="nil"/>
              <w:bottom w:val="single" w:color="000000" w:sz="8" w:space="0"/>
              <w:right w:val="nil"/>
            </w:tcBorders>
            <w:shd w:val="clear" w:color="auto" w:fill="auto"/>
            <w:noWrap/>
            <w:tcMar>
              <w:top w:w="15" w:type="dxa"/>
              <w:left w:w="15" w:type="dxa"/>
              <w:right w:w="15" w:type="dxa"/>
            </w:tcMar>
            <w:vAlign w:val="center"/>
          </w:tcPr>
          <w:p>
            <w:pPr>
              <w:rPr>
                <w:rFonts w:hint="eastAsia" w:ascii="微软雅黑" w:hAnsi="微软雅黑" w:eastAsia="微软雅黑" w:cs="微软雅黑"/>
                <w:i w:val="0"/>
                <w:color w:val="000000"/>
                <w:sz w:val="16"/>
                <w:szCs w:val="16"/>
                <w:u w:val="none"/>
              </w:rPr>
            </w:pPr>
          </w:p>
        </w:tc>
      </w:tr>
    </w:tbl>
    <w:p>
      <w:pPr>
        <w:pStyle w:val="7"/>
        <w:keepNext w:val="0"/>
        <w:keepLines w:val="0"/>
        <w:pageBreakBefore w:val="0"/>
        <w:widowControl/>
        <w:suppressLineNumbers w:val="0"/>
        <w:kinsoku/>
        <w:wordWrap/>
        <w:overflowPunct/>
        <w:topLinePunct w:val="0"/>
        <w:autoSpaceDE/>
        <w:autoSpaceDN/>
        <w:bidi w:val="0"/>
        <w:adjustRightInd/>
        <w:snapToGrid/>
        <w:spacing w:before="160" w:beforeAutospacing="0" w:after="0" w:afterAutospacing="0"/>
        <w:ind w:right="0"/>
        <w:jc w:val="both"/>
        <w:textAlignment w:val="auto"/>
        <w:rPr>
          <w:rFonts w:hint="eastAsia" w:ascii="仿宋" w:hAnsi="仿宋" w:eastAsia="仿宋" w:cs="仿宋"/>
          <w:sz w:val="28"/>
          <w:szCs w:val="28"/>
        </w:rPr>
      </w:pPr>
      <w:bookmarkStart w:id="0" w:name="_GoBack"/>
      <w:bookmarkEnd w:id="0"/>
    </w:p>
    <w:p>
      <w:pPr>
        <w:pStyle w:val="7"/>
        <w:keepNext w:val="0"/>
        <w:keepLines w:val="0"/>
        <w:pageBreakBefore w:val="0"/>
        <w:widowControl/>
        <w:suppressLineNumbers w:val="0"/>
        <w:kinsoku/>
        <w:wordWrap/>
        <w:overflowPunct/>
        <w:topLinePunct w:val="0"/>
        <w:autoSpaceDE/>
        <w:autoSpaceDN/>
        <w:bidi w:val="0"/>
        <w:adjustRightInd/>
        <w:snapToGrid/>
        <w:spacing w:before="160" w:beforeAutospacing="0" w:after="0" w:afterAutospacing="0"/>
        <w:ind w:right="0"/>
        <w:jc w:val="both"/>
        <w:textAlignment w:val="auto"/>
        <w:rPr>
          <w:rFonts w:hint="eastAsia" w:ascii="仿宋" w:hAnsi="仿宋" w:eastAsia="仿宋" w:cs="仿宋"/>
          <w:sz w:val="28"/>
          <w:szCs w:val="28"/>
        </w:rPr>
      </w:pPr>
    </w:p>
    <w:p>
      <w:pPr>
        <w:pStyle w:val="7"/>
        <w:keepNext w:val="0"/>
        <w:keepLines w:val="0"/>
        <w:pageBreakBefore w:val="0"/>
        <w:widowControl/>
        <w:suppressLineNumbers w:val="0"/>
        <w:kinsoku/>
        <w:wordWrap/>
        <w:overflowPunct/>
        <w:topLinePunct w:val="0"/>
        <w:autoSpaceDE/>
        <w:autoSpaceDN/>
        <w:bidi w:val="0"/>
        <w:adjustRightInd/>
        <w:snapToGrid/>
        <w:spacing w:before="160" w:beforeAutospacing="0" w:after="0" w:afterAutospacing="0"/>
        <w:ind w:right="0"/>
        <w:jc w:val="right"/>
        <w:textAlignment w:val="auto"/>
        <w:rPr>
          <w:rFonts w:hint="default" w:eastAsia="宋体"/>
          <w:lang w:val="en-US" w:eastAsia="zh-CN"/>
        </w:rPr>
      </w:pPr>
      <w:r>
        <w:t>江苏</w:t>
      </w:r>
      <w:r>
        <w:rPr>
          <w:rFonts w:hint="eastAsia"/>
          <w:lang w:val="zh-CN"/>
        </w:rPr>
        <w:t>高淳</w:t>
      </w:r>
      <w:r>
        <w:t>农村商业银行</w:t>
      </w:r>
      <w:r>
        <w:rPr>
          <w:rFonts w:hint="eastAsia"/>
          <w:lang w:val="en-US" w:eastAsia="zh-CN"/>
        </w:rPr>
        <w:t>股份有限公司</w:t>
      </w:r>
    </w:p>
    <w:p>
      <w:pPr>
        <w:pStyle w:val="7"/>
        <w:keepNext w:val="0"/>
        <w:keepLines w:val="0"/>
        <w:pageBreakBefore w:val="0"/>
        <w:widowControl/>
        <w:suppressLineNumbers w:val="0"/>
        <w:kinsoku/>
        <w:wordWrap/>
        <w:overflowPunct/>
        <w:topLinePunct w:val="0"/>
        <w:autoSpaceDE/>
        <w:autoSpaceDN/>
        <w:bidi w:val="0"/>
        <w:adjustRightInd/>
        <w:snapToGrid/>
        <w:spacing w:before="160" w:beforeAutospacing="0" w:after="0" w:afterAutospacing="0"/>
        <w:ind w:right="0"/>
        <w:jc w:val="center"/>
        <w:textAlignment w:val="auto"/>
        <w:rPr>
          <w:rFonts w:ascii="仿宋" w:hAnsi="仿宋" w:eastAsia="仿宋" w:cs="仿宋"/>
          <w:sz w:val="28"/>
          <w:szCs w:val="28"/>
          <w:lang w:val="en-US" w:eastAsia="zh-CN"/>
        </w:rPr>
      </w:pPr>
      <w:r>
        <w:rPr>
          <w:rFonts w:hint="eastAsia" w:eastAsia="仿宋"/>
          <w:lang w:val="en-US" w:eastAsia="zh-CN"/>
        </w:rPr>
        <w:t xml:space="preserve">                                       2026年7月24日</w:t>
      </w:r>
    </w:p>
    <w:p/>
    <w:p>
      <w:pPr>
        <w:pStyle w:val="7"/>
        <w:keepNext w:val="0"/>
        <w:keepLines w:val="0"/>
        <w:pageBreakBefore w:val="0"/>
        <w:widowControl/>
        <w:suppressLineNumbers w:val="0"/>
        <w:kinsoku/>
        <w:wordWrap/>
        <w:overflowPunct/>
        <w:topLinePunct w:val="0"/>
        <w:autoSpaceDE/>
        <w:autoSpaceDN/>
        <w:bidi w:val="0"/>
        <w:adjustRightInd/>
        <w:snapToGrid/>
        <w:spacing w:before="960" w:beforeAutospacing="0" w:after="0" w:afterAutospacing="0"/>
        <w:ind w:left="0" w:right="0" w:firstLine="320" w:firstLineChars="200"/>
        <w:jc w:val="both"/>
        <w:textAlignment w:val="auto"/>
        <w:rPr>
          <w:rFonts w:hint="eastAsia" w:ascii="微软雅黑" w:hAnsi="微软雅黑" w:eastAsia="微软雅黑" w:cs="微软雅黑"/>
          <w:sz w:val="16"/>
          <w:szCs w:val="16"/>
        </w:rPr>
      </w:pPr>
    </w:p>
    <w:p>
      <w:pPr>
        <w:pStyle w:val="7"/>
        <w:keepNext w:val="0"/>
        <w:keepLines w:val="0"/>
        <w:pageBreakBefore w:val="0"/>
        <w:widowControl/>
        <w:suppressLineNumbers w:val="0"/>
        <w:kinsoku/>
        <w:wordWrap/>
        <w:overflowPunct/>
        <w:topLinePunct w:val="0"/>
        <w:autoSpaceDE/>
        <w:autoSpaceDN/>
        <w:bidi w:val="0"/>
        <w:adjustRightInd/>
        <w:snapToGrid/>
        <w:spacing w:before="960" w:beforeAutospacing="0" w:after="0" w:afterAutospacing="0"/>
        <w:ind w:left="0" w:right="0" w:firstLine="320" w:firstLineChars="200"/>
        <w:jc w:val="both"/>
        <w:textAlignment w:val="auto"/>
        <w:rPr>
          <w:rFonts w:hint="eastAsia" w:ascii="微软雅黑" w:hAnsi="微软雅黑" w:eastAsia="微软雅黑" w:cs="微软雅黑"/>
          <w:sz w:val="16"/>
          <w:szCs w:val="16"/>
        </w:rPr>
      </w:pPr>
    </w:p>
    <w:p/>
    <w:sectPr>
      <w:headerReference r:id="rId5" w:type="first"/>
      <w:headerReference r:id="rId3" w:type="default"/>
      <w:headerReference r:id="rId4" w:type="even"/>
      <w:pgSz w:w="11906" w:h="16838"/>
      <w:pgMar w:top="2098" w:right="1531" w:bottom="1701" w:left="153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r>
      <w:pict>
        <v:shape id="PowerPlusWaterMarkObject2" o:spid="_x0000_s2050" o:spt="136" type="#_x0000_t136" style="position:absolute;left:0pt;margin-left:-0.75pt;margin-top:-0.75pt;height:12pt;width:426pt;rotation:20643840f;z-index:-1024;mso-width-relative:page;mso-height-relative:page;" fillcolor="#000000" filled="t" stroked="f" coordsize="21600,21600" o:allowincell="f" adj="10800">
          <v:path/>
          <v:fill on="t" opacity="32768f" focussize="0,0"/>
          <v:stroke on="f" color="#000000"/>
          <v:imagedata o:title=""/>
          <o:lock v:ext="edit"/>
          <v:textpath on="t" fitshape="t" fitpath="t" trim="t" xscale="f" string="江苏高淳农村商业银行    办公室    夏黎勤    2026-07-27  15:03:45" style="font-family:宋体;font-size:12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r>
      <w:pict>
        <v:shape id="PowerPlusWaterMarkObject3" o:spid="_x0000_s2051" o:spt="136" type="#_x0000_t136" style="position:absolute;left:0pt;margin-left:-0.75pt;margin-top:-0.75pt;height:12pt;width:426pt;rotation:20643840f;z-index:-1024;mso-width-relative:page;mso-height-relative:page;" fillcolor="#000000" filled="t" stroked="f" coordsize="21600,21600" o:allowincell="f" adj="10800">
          <v:path/>
          <v:fill on="t" opacity="32768f" focussize="0,0"/>
          <v:stroke on="f" color="#000000"/>
          <v:imagedata o:title=""/>
          <o:lock v:ext="edit"/>
          <v:textpath on="t" fitshape="t" fitpath="t" trim="t" xscale="f" string="江苏高淳农村商业银行    办公室    夏黎勤    2026-07-27  15:03:45" style="font-family:宋体;font-size:12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rsids>
    <w:rsidRoot w:val="00000000"/>
    <w:rsid w:val="23983E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Lucida San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link w:val="11"/>
    <w:qFormat/>
    <w:uiPriority w:val="0"/>
    <w:pPr>
      <w:spacing w:before="0" w:beforeAutospacing="1" w:after="0" w:afterAutospacing="1"/>
      <w:jc w:val="left"/>
      <w:outlineLvl w:val="0"/>
    </w:pPr>
    <w:rPr>
      <w:rFonts w:ascii="宋体" w:hAnsi="宋体" w:eastAsia="宋体" w:cs="宋体"/>
      <w:b/>
      <w:bCs/>
      <w:kern w:val="44"/>
      <w:sz w:val="48"/>
      <w:szCs w:val="48"/>
      <w:lang w:val="en-US" w:eastAsia="zh-CN"/>
    </w:rPr>
  </w:style>
  <w:style w:type="paragraph" w:styleId="3">
    <w:name w:val="heading 2"/>
    <w:basedOn w:val="1"/>
    <w:next w:val="1"/>
    <w:link w:val="12"/>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3"/>
    <w:qFormat/>
    <w:uiPriority w:val="0"/>
    <w:pPr>
      <w:keepNext/>
      <w:keepLines/>
      <w:spacing w:before="260" w:after="260" w:line="415" w:lineRule="auto"/>
      <w:outlineLvl w:val="2"/>
    </w:pPr>
    <w:rPr>
      <w:b/>
      <w:bCs/>
      <w:sz w:val="32"/>
      <w:szCs w:val="32"/>
    </w:rPr>
  </w:style>
  <w:style w:type="character" w:default="1" w:styleId="9">
    <w:name w:val="Default Paragraph Font"/>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5">
    <w:name w:val="footer"/>
    <w:basedOn w:val="1"/>
    <w:qFormat/>
    <w:uiPriority w:val="0"/>
    <w:pPr>
      <w:tabs>
        <w:tab w:val="center" w:pos="4153"/>
        <w:tab w:val="right" w:pos="8307"/>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7"/>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b/>
      <w:bCs/>
      <w:kern w:val="0"/>
      <w:sz w:val="24"/>
      <w:lang w:val="en-US" w:eastAsia="zh-CN"/>
    </w:rPr>
  </w:style>
  <w:style w:type="character" w:styleId="10">
    <w:name w:val="Strong"/>
    <w:basedOn w:val="9"/>
    <w:qFormat/>
    <w:uiPriority w:val="0"/>
    <w:rPr>
      <w:b/>
    </w:rPr>
  </w:style>
  <w:style w:type="character" w:customStyle="1" w:styleId="11">
    <w:name w:val="heading 1 Char"/>
    <w:basedOn w:val="9"/>
    <w:link w:val="2"/>
    <w:uiPriority w:val="0"/>
    <w:rPr>
      <w:rFonts w:ascii="宋体" w:hAnsi="宋体" w:eastAsia="宋体" w:cs="宋体"/>
      <w:b/>
      <w:bCs/>
      <w:kern w:val="44"/>
      <w:sz w:val="48"/>
      <w:szCs w:val="48"/>
      <w:lang w:val="en-US" w:eastAsia="zh-CN" w:bidi="ar-SA"/>
    </w:rPr>
  </w:style>
  <w:style w:type="character" w:customStyle="1" w:styleId="12">
    <w:name w:val="heading 2 Char"/>
    <w:basedOn w:val="9"/>
    <w:link w:val="3"/>
    <w:uiPriority w:val="0"/>
    <w:rPr>
      <w:rFonts w:ascii="Times New Roman" w:hAnsi="Calibri" w:eastAsia="黑体" w:cs="Arial"/>
      <w:b/>
      <w:bCs/>
      <w:kern w:val="2"/>
      <w:sz w:val="32"/>
      <w:szCs w:val="32"/>
      <w:lang w:val="en-US" w:eastAsia="zh-CN" w:bidi="ar-SA"/>
    </w:rPr>
  </w:style>
  <w:style w:type="character" w:customStyle="1" w:styleId="13">
    <w:name w:val="heading 3 Char"/>
    <w:basedOn w:val="9"/>
    <w:link w:val="4"/>
    <w:uiPriority w:val="0"/>
    <w:rPr>
      <w:rFonts w:ascii="Calibri" w:hAnsi="Calibri" w:eastAsia="宋体" w:cs="Arial"/>
      <w:b/>
      <w:bCs/>
      <w:kern w:val="2"/>
      <w:sz w:val="32"/>
      <w:szCs w:val="32"/>
      <w:lang w:val="en-US" w:eastAsia="zh-CN" w:bidi="ar-SA"/>
    </w:rPr>
  </w:style>
  <w:style w:type="character" w:customStyle="1" w:styleId="14">
    <w:name w:val="font81"/>
    <w:basedOn w:val="9"/>
    <w:qFormat/>
    <w:uiPriority w:val="0"/>
    <w:rPr>
      <w:rFonts w:ascii="微软雅黑" w:hAnsi="微软雅黑" w:eastAsia="微软雅黑" w:cs="微软雅黑"/>
      <w:b/>
      <w:color w:val="FF0000"/>
      <w:sz w:val="32"/>
      <w:szCs w:val="32"/>
      <w:u w:val="none"/>
    </w:rPr>
  </w:style>
  <w:style w:type="character" w:customStyle="1" w:styleId="15">
    <w:name w:val="font31"/>
    <w:basedOn w:val="9"/>
    <w:qFormat/>
    <w:uiPriority w:val="0"/>
    <w:rPr>
      <w:rFonts w:ascii="微软雅黑" w:hAnsi="微软雅黑" w:eastAsia="微软雅黑" w:cs="微软雅黑"/>
      <w:b/>
      <w:color w:val="000000"/>
      <w:sz w:val="32"/>
      <w:szCs w:val="32"/>
      <w:u w:val="none"/>
    </w:rPr>
  </w:style>
  <w:style w:type="character" w:customStyle="1" w:styleId="16">
    <w:name w:val="font41"/>
    <w:basedOn w:val="9"/>
    <w:qFormat/>
    <w:uiPriority w:val="0"/>
    <w:rPr>
      <w:rFonts w:ascii="黑体" w:hAnsi="宋体" w:eastAsia="黑体" w:cs="黑体"/>
      <w:color w:val="00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51"/>
  </customShpExts>
</s:customData>
</file>

<file path=customXml/item2.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A5D803-226B-470E-8A34-F817E45B5006}">
  <ds:schemaRefs/>
</ds:datastoreItem>
</file>

<file path=docProps/app.xml><?xml version="1.0" encoding="utf-8"?>
<Properties xmlns="http://schemas.openxmlformats.org/officeDocument/2006/extended-properties" xmlns:vt="http://schemas.openxmlformats.org/officeDocument/2006/docPropsVTypes">
  <Template>Normal.eit</Template>
  <Pages>1</Pages>
  <Words>0</Words>
  <Characters>2430</Characters>
  <Lines>0</Lines>
  <Paragraphs>18</Paragraphs>
  <TotalTime>10</TotalTime>
  <ScaleCrop>false</ScaleCrop>
  <LinksUpToDate>false</LinksUpToDate>
  <CharactersWithSpaces>3241</CharactersWithSpaces>
  <Application>WPS Office_11.8.2.8696_F1E327BC-269C-435d-A152-05C5408002CA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2021-01-06T08:01:00Z</dcterms:created>
  <dc:creator>lenovo</dc:creator>
  <cp:lastModifiedBy>夏黎勤</cp:lastModifiedBy>
  <cp:lastPrinted>2025-01-09T02:31:00Z</cp:lastPrinted>
  <dcterms:modified xsi:type="dcterms:W3CDTF">2026-07-27T07:19:54Z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