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江苏</w:t>
      </w:r>
      <w:r>
        <w:rPr>
          <w:rFonts w:hint="eastAsia" w:ascii="方正小标宋_GBK" w:hAnsi="方正小标宋_GBK" w:eastAsia="方正小标宋_GBK" w:cs="方正小标宋_GBK"/>
          <w:sz w:val="44"/>
          <w:szCs w:val="44"/>
          <w:lang w:val="zh-CN"/>
        </w:rPr>
        <w:t>高淳</w:t>
      </w:r>
      <w:r>
        <w:rPr>
          <w:rFonts w:hint="eastAsia" w:ascii="方正小标宋_GBK" w:hAnsi="方正小标宋_GBK" w:eastAsia="方正小标宋_GBK" w:cs="方正小标宋_GBK"/>
          <w:sz w:val="44"/>
          <w:szCs w:val="44"/>
        </w:rPr>
        <w:t>农村商业银行股份有限公司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年第</w:t>
      </w:r>
      <w:r>
        <w:rPr>
          <w:rFonts w:hint="eastAsia" w:ascii="方正小标宋_GBK" w:hAnsi="方正小标宋_GBK" w:eastAsia="方正小标宋_GBK" w:cs="方正小标宋_GBK"/>
          <w:sz w:val="44"/>
          <w:szCs w:val="44"/>
          <w:lang w:val="en-US" w:eastAsia="zh-CN"/>
        </w:rPr>
        <w:t>一</w:t>
      </w:r>
      <w:r>
        <w:rPr>
          <w:rFonts w:hint="eastAsia" w:ascii="方正小标宋_GBK" w:hAnsi="方正小标宋_GBK" w:eastAsia="方正小标宋_GBK" w:cs="方正小标宋_GBK"/>
          <w:sz w:val="44"/>
          <w:szCs w:val="44"/>
        </w:rPr>
        <w:t>季度第三支柱信息披露报告</w:t>
      </w:r>
    </w:p>
    <w:p/>
    <w:p/>
    <w:p>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0" w:afterAutospacing="0"/>
        <w:ind w:left="0" w:right="0" w:firstLine="562"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根据《商业银行资本管理办法》中附件22《商业银行信息披露内容和要求》，本行依规向投资者和社会公众披露本行资本充足率相关信息。本报告披露的报表经本行高级管理层确认。</w:t>
      </w:r>
    </w:p>
    <w:p>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0" w:afterAutospacing="0"/>
        <w:ind w:left="0" w:right="0" w:firstLine="562"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本行为非国内系统重要性银行，划分标准适用于二档商业银行规定，本季度本行需披露的报表如下:</w:t>
      </w:r>
    </w:p>
    <w:tbl>
      <w:tblPr>
        <w:tblStyle w:val="8"/>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19"/>
        <w:gridCol w:w="4687"/>
        <w:gridCol w:w="1117"/>
        <w:gridCol w:w="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8336"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32"/>
                <w:szCs w:val="32"/>
                <w:u w:val="none"/>
              </w:rPr>
            </w:pPr>
            <w:r>
              <w:rPr>
                <w:rFonts w:hint="eastAsia" w:ascii="微软雅黑" w:hAnsi="微软雅黑" w:eastAsia="微软雅黑" w:cs="微软雅黑"/>
                <w:b/>
                <w:i w:val="0"/>
                <w:color w:val="000000"/>
                <w:kern w:val="0"/>
                <w:sz w:val="32"/>
                <w:szCs w:val="32"/>
                <w:u w:val="none"/>
                <w:lang w:val="en-US" w:eastAsia="zh-CN"/>
              </w:rPr>
              <w:t>KM1：监管并表关键审慎监管指标【2026年一季度】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61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rPr>
              <w:t>单位：人民币万元，%</w:t>
            </w:r>
          </w:p>
        </w:tc>
        <w:tc>
          <w:tcPr>
            <w:tcW w:w="468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6306" w:type="dxa"/>
            <w:gridSpan w:val="2"/>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jc w:val="left"/>
              <w:rPr>
                <w:rFonts w:hint="eastAsia" w:ascii="Calibri" w:hAnsi="Calibri" w:eastAsia="宋体" w:cs="Calibri"/>
                <w:i w:val="0"/>
                <w:color w:val="000000"/>
                <w:sz w:val="24"/>
                <w:szCs w:val="24"/>
                <w:u w:val="none"/>
              </w:rPr>
            </w:pPr>
          </w:p>
        </w:tc>
        <w:tc>
          <w:tcPr>
            <w:tcW w:w="1117"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a</w:t>
            </w:r>
          </w:p>
        </w:tc>
        <w:tc>
          <w:tcPr>
            <w:tcW w:w="913" w:type="dxa"/>
            <w:tcBorders>
              <w:top w:val="single" w:color="000000" w:sz="8"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6306"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Calibri" w:hAnsi="Calibri" w:eastAsia="宋体" w:cs="Calibri"/>
                <w:i w:val="0"/>
                <w:color w:val="000000"/>
                <w:sz w:val="24"/>
                <w:szCs w:val="24"/>
                <w:u w:val="none"/>
              </w:rPr>
            </w:pPr>
          </w:p>
        </w:tc>
        <w:tc>
          <w:tcPr>
            <w:tcW w:w="1117"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T</w:t>
            </w:r>
          </w:p>
        </w:tc>
        <w:tc>
          <w:tcPr>
            <w:tcW w:w="913" w:type="dxa"/>
            <w:tcBorders>
              <w:top w:val="single" w:color="000000" w:sz="8"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8336" w:type="dxa"/>
            <w:gridSpan w:val="4"/>
            <w:tcBorders>
              <w:top w:val="nil"/>
              <w:left w:val="nil"/>
              <w:bottom w:val="single" w:color="000000" w:sz="8" w:space="0"/>
              <w:right w:val="nil"/>
            </w:tcBorders>
            <w:shd w:val="clear" w:color="auto" w:fill="D9D9D9"/>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rPr>
              <w:t>可用资本（数额）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1</w:t>
            </w:r>
          </w:p>
        </w:tc>
        <w:tc>
          <w:tcPr>
            <w:tcW w:w="468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核心一级资本净额</w:t>
            </w:r>
          </w:p>
        </w:tc>
        <w:tc>
          <w:tcPr>
            <w:tcW w:w="11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252156.92</w:t>
            </w:r>
          </w:p>
        </w:tc>
        <w:tc>
          <w:tcPr>
            <w:tcW w:w="913"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250178.55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2</w:t>
            </w:r>
          </w:p>
        </w:tc>
        <w:tc>
          <w:tcPr>
            <w:tcW w:w="46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一级资本净额</w:t>
            </w:r>
          </w:p>
        </w:tc>
        <w:tc>
          <w:tcPr>
            <w:tcW w:w="11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252156.92</w:t>
            </w:r>
          </w:p>
        </w:tc>
        <w:tc>
          <w:tcPr>
            <w:tcW w:w="913"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250178.55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3</w:t>
            </w:r>
          </w:p>
        </w:tc>
        <w:tc>
          <w:tcPr>
            <w:tcW w:w="46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资本净额</w:t>
            </w:r>
          </w:p>
        </w:tc>
        <w:tc>
          <w:tcPr>
            <w:tcW w:w="11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 xml:space="preserve">273315.67 </w:t>
            </w:r>
          </w:p>
        </w:tc>
        <w:tc>
          <w:tcPr>
            <w:tcW w:w="913"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 xml:space="preserve">269962.43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8336" w:type="dxa"/>
            <w:gridSpan w:val="4"/>
            <w:tcBorders>
              <w:top w:val="nil"/>
              <w:left w:val="nil"/>
              <w:bottom w:val="single" w:color="000000" w:sz="8" w:space="0"/>
              <w:right w:val="nil"/>
            </w:tcBorders>
            <w:shd w:val="clear" w:color="auto" w:fill="D9D9D9"/>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rPr>
              <w:t>风险加权资产（数额）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4</w:t>
            </w:r>
          </w:p>
        </w:tc>
        <w:tc>
          <w:tcPr>
            <w:tcW w:w="468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风险加权资产</w:t>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16"/>
                <w:szCs w:val="16"/>
                <w:u w:val="none"/>
                <w:lang w:val="en-US"/>
              </w:rPr>
            </w:pPr>
            <w:r>
              <w:rPr>
                <w:rFonts w:hint="eastAsia" w:ascii="微软雅黑" w:hAnsi="微软雅黑" w:eastAsia="微软雅黑" w:cs="微软雅黑"/>
                <w:i w:val="0"/>
                <w:color w:val="000000"/>
                <w:kern w:val="0"/>
                <w:sz w:val="16"/>
                <w:szCs w:val="16"/>
                <w:u w:val="none"/>
                <w:lang w:val="en-US" w:eastAsia="zh-CN"/>
              </w:rPr>
              <w:t>1874363.81</w:t>
            </w:r>
          </w:p>
        </w:tc>
        <w:tc>
          <w:tcPr>
            <w:tcW w:w="913"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1725102.48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8336" w:type="dxa"/>
            <w:gridSpan w:val="4"/>
            <w:tcBorders>
              <w:top w:val="nil"/>
              <w:left w:val="nil"/>
              <w:bottom w:val="single" w:color="000000" w:sz="8" w:space="0"/>
              <w:right w:val="nil"/>
            </w:tcBorders>
            <w:shd w:val="clear" w:color="auto" w:fill="D9D9D9"/>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rPr>
              <w:t>资本充足率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6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5</w:t>
            </w:r>
          </w:p>
        </w:tc>
        <w:tc>
          <w:tcPr>
            <w:tcW w:w="46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核心一级资本充足率（%）</w:t>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 xml:space="preserve">13.45 </w:t>
            </w:r>
          </w:p>
        </w:tc>
        <w:tc>
          <w:tcPr>
            <w:tcW w:w="913"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6</w:t>
            </w:r>
          </w:p>
        </w:tc>
        <w:tc>
          <w:tcPr>
            <w:tcW w:w="468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一级资本充足率（%）</w:t>
            </w:r>
          </w:p>
        </w:tc>
        <w:tc>
          <w:tcPr>
            <w:tcW w:w="111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 xml:space="preserve">13.45 </w:t>
            </w:r>
          </w:p>
        </w:tc>
        <w:tc>
          <w:tcPr>
            <w:tcW w:w="91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7</w:t>
            </w:r>
          </w:p>
        </w:tc>
        <w:tc>
          <w:tcPr>
            <w:tcW w:w="468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资本充足率（%）</w:t>
            </w:r>
          </w:p>
        </w:tc>
        <w:tc>
          <w:tcPr>
            <w:tcW w:w="111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 xml:space="preserve">14.58 </w:t>
            </w:r>
          </w:p>
        </w:tc>
        <w:tc>
          <w:tcPr>
            <w:tcW w:w="91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 xml:space="preserve">15.65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8336" w:type="dxa"/>
            <w:gridSpan w:val="4"/>
            <w:tcBorders>
              <w:top w:val="nil"/>
              <w:left w:val="nil"/>
              <w:bottom w:val="single" w:color="000000" w:sz="8" w:space="0"/>
              <w:right w:val="nil"/>
            </w:tcBorders>
            <w:shd w:val="clear" w:color="auto" w:fill="D9D9D9"/>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rPr>
              <w:t>其他各级资本要求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8</w:t>
            </w:r>
          </w:p>
        </w:tc>
        <w:tc>
          <w:tcPr>
            <w:tcW w:w="468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储备资本要求（%）</w:t>
            </w:r>
          </w:p>
        </w:tc>
        <w:tc>
          <w:tcPr>
            <w:tcW w:w="1117"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2.5</w:t>
            </w:r>
          </w:p>
        </w:tc>
        <w:tc>
          <w:tcPr>
            <w:tcW w:w="913" w:type="dxa"/>
            <w:tcBorders>
              <w:top w:val="single" w:color="000000" w:sz="8"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9</w:t>
            </w:r>
          </w:p>
        </w:tc>
        <w:tc>
          <w:tcPr>
            <w:tcW w:w="46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逆周期资本要求（%）</w:t>
            </w:r>
          </w:p>
        </w:tc>
        <w:tc>
          <w:tcPr>
            <w:tcW w:w="1117"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0</w:t>
            </w:r>
          </w:p>
        </w:tc>
        <w:tc>
          <w:tcPr>
            <w:tcW w:w="913" w:type="dxa"/>
            <w:tcBorders>
              <w:top w:val="single" w:color="000000" w:sz="8"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10</w:t>
            </w:r>
          </w:p>
        </w:tc>
        <w:tc>
          <w:tcPr>
            <w:tcW w:w="46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全球系统重要性银行或国内系统重要性银行附加资本要求（%）</w:t>
            </w:r>
          </w:p>
        </w:tc>
        <w:tc>
          <w:tcPr>
            <w:tcW w:w="1117" w:type="dxa"/>
            <w:tcBorders>
              <w:top w:val="nil"/>
              <w:left w:val="nil"/>
              <w:bottom w:val="single" w:color="000000" w:sz="8" w:space="0"/>
              <w:right w:val="nil"/>
            </w:tcBorders>
            <w:shd w:val="clear" w:color="auto" w:fill="BEBEBE"/>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913" w:type="dxa"/>
            <w:tcBorders>
              <w:top w:val="nil"/>
              <w:left w:val="nil"/>
              <w:bottom w:val="single" w:color="000000" w:sz="8" w:space="0"/>
              <w:right w:val="nil"/>
            </w:tcBorders>
            <w:shd w:val="clear" w:color="auto" w:fill="BEBEBE"/>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11</w:t>
            </w:r>
          </w:p>
        </w:tc>
        <w:tc>
          <w:tcPr>
            <w:tcW w:w="46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其他各级资本要求（%）（8+9+10）</w:t>
            </w:r>
          </w:p>
        </w:tc>
        <w:tc>
          <w:tcPr>
            <w:tcW w:w="1117"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2.5</w:t>
            </w:r>
          </w:p>
        </w:tc>
        <w:tc>
          <w:tcPr>
            <w:tcW w:w="913" w:type="dxa"/>
            <w:tcBorders>
              <w:top w:val="single" w:color="000000" w:sz="8"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12</w:t>
            </w:r>
          </w:p>
        </w:tc>
        <w:tc>
          <w:tcPr>
            <w:tcW w:w="46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满足最低资本要求后的可用核心一级资本净额占风险加权资产的比例（%）</w:t>
            </w:r>
          </w:p>
        </w:tc>
        <w:tc>
          <w:tcPr>
            <w:tcW w:w="1117"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 xml:space="preserve">6.58 </w:t>
            </w:r>
          </w:p>
        </w:tc>
        <w:tc>
          <w:tcPr>
            <w:tcW w:w="913" w:type="dxa"/>
            <w:tcBorders>
              <w:top w:val="single" w:color="000000" w:sz="8"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8336" w:type="dxa"/>
            <w:gridSpan w:val="4"/>
            <w:tcBorders>
              <w:top w:val="nil"/>
              <w:left w:val="nil"/>
              <w:bottom w:val="single" w:color="000000" w:sz="8" w:space="0"/>
              <w:right w:val="nil"/>
            </w:tcBorders>
            <w:shd w:val="clear" w:color="auto" w:fill="D9D9D9"/>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rPr>
              <w:t>杠杆率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13</w:t>
            </w:r>
          </w:p>
        </w:tc>
        <w:tc>
          <w:tcPr>
            <w:tcW w:w="468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调整后表内外资产余额</w:t>
            </w:r>
          </w:p>
        </w:tc>
        <w:tc>
          <w:tcPr>
            <w:tcW w:w="1117"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3020945.86</w:t>
            </w:r>
          </w:p>
        </w:tc>
        <w:tc>
          <w:tcPr>
            <w:tcW w:w="913" w:type="dxa"/>
            <w:tcBorders>
              <w:top w:val="single" w:color="000000" w:sz="8"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2745572.33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14</w:t>
            </w:r>
          </w:p>
        </w:tc>
        <w:tc>
          <w:tcPr>
            <w:tcW w:w="46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杠杆率（%）</w:t>
            </w:r>
          </w:p>
        </w:tc>
        <w:tc>
          <w:tcPr>
            <w:tcW w:w="1117"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 xml:space="preserve">8.35 </w:t>
            </w:r>
          </w:p>
        </w:tc>
        <w:tc>
          <w:tcPr>
            <w:tcW w:w="913" w:type="dxa"/>
            <w:tcBorders>
              <w:top w:val="single" w:color="000000" w:sz="8"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14a</w:t>
            </w:r>
          </w:p>
        </w:tc>
        <w:tc>
          <w:tcPr>
            <w:tcW w:w="46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杠杆率a（%）</w:t>
            </w:r>
          </w:p>
        </w:tc>
        <w:tc>
          <w:tcPr>
            <w:tcW w:w="1117"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 xml:space="preserve">8.35 </w:t>
            </w:r>
          </w:p>
        </w:tc>
        <w:tc>
          <w:tcPr>
            <w:tcW w:w="913" w:type="dxa"/>
            <w:tcBorders>
              <w:top w:val="single" w:color="000000" w:sz="8"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8336" w:type="dxa"/>
            <w:gridSpan w:val="4"/>
            <w:tcBorders>
              <w:top w:val="nil"/>
              <w:left w:val="nil"/>
              <w:bottom w:val="single" w:color="000000" w:sz="8" w:space="0"/>
              <w:right w:val="nil"/>
            </w:tcBorders>
            <w:shd w:val="clear" w:color="auto" w:fill="D9D9D9"/>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rPr>
              <w:t>流动性覆盖率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15</w:t>
            </w:r>
          </w:p>
        </w:tc>
        <w:tc>
          <w:tcPr>
            <w:tcW w:w="468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合格优质流动性资产</w:t>
            </w:r>
          </w:p>
        </w:tc>
        <w:tc>
          <w:tcPr>
            <w:tcW w:w="11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不适用</w:t>
            </w:r>
          </w:p>
        </w:tc>
        <w:tc>
          <w:tcPr>
            <w:tcW w:w="913"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16</w:t>
            </w:r>
          </w:p>
        </w:tc>
        <w:tc>
          <w:tcPr>
            <w:tcW w:w="46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现金净流出量</w:t>
            </w:r>
          </w:p>
        </w:tc>
        <w:tc>
          <w:tcPr>
            <w:tcW w:w="11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不适用</w:t>
            </w:r>
          </w:p>
        </w:tc>
        <w:tc>
          <w:tcPr>
            <w:tcW w:w="91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17</w:t>
            </w:r>
          </w:p>
        </w:tc>
        <w:tc>
          <w:tcPr>
            <w:tcW w:w="46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流动性覆盖率（%）</w:t>
            </w:r>
          </w:p>
        </w:tc>
        <w:tc>
          <w:tcPr>
            <w:tcW w:w="11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不适用</w:t>
            </w:r>
          </w:p>
        </w:tc>
        <w:tc>
          <w:tcPr>
            <w:tcW w:w="91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8336" w:type="dxa"/>
            <w:gridSpan w:val="4"/>
            <w:tcBorders>
              <w:top w:val="nil"/>
              <w:left w:val="nil"/>
              <w:bottom w:val="single" w:color="000000" w:sz="8" w:space="0"/>
              <w:right w:val="nil"/>
            </w:tcBorders>
            <w:shd w:val="clear" w:color="auto" w:fill="D9D9D9"/>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rPr>
              <w:t>净稳定资金比例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18</w:t>
            </w:r>
          </w:p>
        </w:tc>
        <w:tc>
          <w:tcPr>
            <w:tcW w:w="468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可用稳定资金合计</w:t>
            </w:r>
          </w:p>
        </w:tc>
        <w:tc>
          <w:tcPr>
            <w:tcW w:w="11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不适用</w:t>
            </w:r>
          </w:p>
        </w:tc>
        <w:tc>
          <w:tcPr>
            <w:tcW w:w="913"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19</w:t>
            </w:r>
          </w:p>
        </w:tc>
        <w:tc>
          <w:tcPr>
            <w:tcW w:w="46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所需稳定资金合计</w:t>
            </w:r>
          </w:p>
        </w:tc>
        <w:tc>
          <w:tcPr>
            <w:tcW w:w="11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不适用</w:t>
            </w:r>
          </w:p>
        </w:tc>
        <w:tc>
          <w:tcPr>
            <w:tcW w:w="91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20</w:t>
            </w:r>
          </w:p>
        </w:tc>
        <w:tc>
          <w:tcPr>
            <w:tcW w:w="46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净稳定资金比例（%）</w:t>
            </w:r>
          </w:p>
        </w:tc>
        <w:tc>
          <w:tcPr>
            <w:tcW w:w="11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不适用</w:t>
            </w:r>
          </w:p>
        </w:tc>
        <w:tc>
          <w:tcPr>
            <w:tcW w:w="913"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8336" w:type="dxa"/>
            <w:gridSpan w:val="4"/>
            <w:tcBorders>
              <w:top w:val="nil"/>
              <w:left w:val="nil"/>
              <w:bottom w:val="single" w:color="000000" w:sz="8" w:space="0"/>
              <w:right w:val="nil"/>
            </w:tcBorders>
            <w:shd w:val="clear" w:color="auto" w:fill="D8D8D8"/>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rPr>
              <w:t>流动性比例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6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21</w:t>
            </w:r>
          </w:p>
        </w:tc>
        <w:tc>
          <w:tcPr>
            <w:tcW w:w="468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流动性比例（%）</w:t>
            </w:r>
          </w:p>
        </w:tc>
        <w:tc>
          <w:tcPr>
            <w:tcW w:w="1117"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rPr>
              <w:t xml:space="preserve">96.89 </w:t>
            </w:r>
          </w:p>
        </w:tc>
        <w:tc>
          <w:tcPr>
            <w:tcW w:w="913" w:type="dxa"/>
            <w:tcBorders>
              <w:top w:val="single" w:color="000000" w:sz="8"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16"/>
                <w:szCs w:val="16"/>
                <w:u w:val="none"/>
                <w:lang w:val="en-US"/>
              </w:rPr>
            </w:pPr>
            <w:r>
              <w:rPr>
                <w:rFonts w:hint="eastAsia" w:ascii="微软雅黑" w:hAnsi="微软雅黑" w:eastAsia="微软雅黑" w:cs="微软雅黑"/>
                <w:i w:val="0"/>
                <w:color w:val="000000"/>
                <w:kern w:val="0"/>
                <w:sz w:val="16"/>
                <w:szCs w:val="16"/>
                <w:u w:val="none"/>
                <w:lang w:val="en-US" w:eastAsia="zh-CN"/>
              </w:rPr>
              <w:t>118.78</w:t>
            </w:r>
          </w:p>
        </w:tc>
      </w:tr>
    </w:tbl>
    <w:p>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0" w:afterAutospacing="0"/>
        <w:ind w:right="0"/>
        <w:jc w:val="both"/>
        <w:textAlignment w:val="auto"/>
        <w:rPr>
          <w:rFonts w:hint="eastAsia" w:ascii="仿宋" w:hAnsi="仿宋" w:eastAsia="仿宋" w:cs="仿宋"/>
          <w:sz w:val="28"/>
          <w:szCs w:val="28"/>
        </w:rPr>
      </w:pPr>
    </w:p>
    <w:p>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0" w:afterAutospacing="0"/>
        <w:ind w:right="0"/>
        <w:jc w:val="both"/>
        <w:textAlignment w:val="auto"/>
        <w:rPr>
          <w:rFonts w:hint="eastAsia" w:ascii="仿宋" w:hAnsi="仿宋" w:eastAsia="仿宋" w:cs="仿宋"/>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Calibri" w:hAnsi="Calibri" w:eastAsia="仿宋" w:cs="Arial"/>
          <w:b/>
          <w:bCs/>
          <w:kern w:val="0"/>
          <w:sz w:val="24"/>
          <w:szCs w:val="24"/>
          <w:lang w:val="en-US" w:eastAsia="zh-CN" w:bidi="ar-SA"/>
        </w:rPr>
      </w:pPr>
      <w:r>
        <w:rPr>
          <w:rFonts w:hint="eastAsia" w:ascii="Calibri" w:hAnsi="Calibri" w:eastAsia="仿宋" w:cs="Arial"/>
          <w:b/>
          <w:bCs/>
          <w:kern w:val="0"/>
          <w:sz w:val="24"/>
          <w:szCs w:val="24"/>
          <w:lang w:val="en-US" w:eastAsia="zh-CN" w:bidi="ar-SA"/>
        </w:rPr>
        <w:t>江苏</w:t>
      </w:r>
      <w:r>
        <w:rPr>
          <w:rFonts w:hint="eastAsia" w:ascii="Calibri" w:hAnsi="Calibri" w:eastAsia="仿宋" w:cs="Arial"/>
          <w:b/>
          <w:bCs/>
          <w:kern w:val="0"/>
          <w:sz w:val="24"/>
          <w:szCs w:val="24"/>
          <w:lang w:val="zh-CN" w:eastAsia="zh-CN" w:bidi="ar-SA"/>
        </w:rPr>
        <w:t>高淳</w:t>
      </w:r>
      <w:r>
        <w:rPr>
          <w:rFonts w:hint="eastAsia" w:ascii="Calibri" w:hAnsi="Calibri" w:eastAsia="仿宋" w:cs="Arial"/>
          <w:b/>
          <w:bCs/>
          <w:kern w:val="0"/>
          <w:sz w:val="24"/>
          <w:szCs w:val="24"/>
          <w:lang w:val="en-US" w:eastAsia="zh-CN" w:bidi="ar-SA"/>
        </w:rPr>
        <w:t>农村商业银行股份有限公司</w:t>
      </w:r>
    </w:p>
    <w:p>
      <w:pPr>
        <w:pStyle w:val="7"/>
        <w:keepNext w:val="0"/>
        <w:keepLines w:val="0"/>
        <w:pageBreakBefore w:val="0"/>
        <w:widowControl/>
        <w:suppressLineNumbers w:val="0"/>
        <w:kinsoku/>
        <w:wordWrap/>
        <w:overflowPunct/>
        <w:topLinePunct w:val="0"/>
        <w:autoSpaceDE/>
        <w:autoSpaceDN/>
        <w:bidi w:val="0"/>
        <w:adjustRightInd/>
        <w:snapToGrid/>
        <w:spacing w:before="160" w:beforeAutospacing="0" w:after="0" w:afterAutospacing="0"/>
        <w:ind w:right="0"/>
        <w:jc w:val="center"/>
        <w:textAlignment w:val="auto"/>
        <w:rPr>
          <w:rFonts w:hint="eastAsia" w:ascii="微软雅黑" w:hAnsi="微软雅黑" w:eastAsia="微软雅黑" w:cs="微软雅黑"/>
          <w:sz w:val="16"/>
          <w:szCs w:val="16"/>
        </w:rPr>
      </w:pPr>
      <w:r>
        <w:rPr>
          <w:rFonts w:hint="eastAsia" w:eastAsia="仿宋"/>
          <w:lang w:val="en-US" w:eastAsia="zh-CN"/>
        </w:rPr>
        <w:t xml:space="preserve">                                 </w:t>
      </w:r>
      <w:bookmarkStart w:id="0" w:name="_GoBack"/>
      <w:bookmarkEnd w:id="0"/>
      <w:r>
        <w:rPr>
          <w:rFonts w:hint="eastAsia" w:eastAsia="仿宋"/>
          <w:lang w:val="en-US" w:eastAsia="zh-CN"/>
        </w:rPr>
        <w:t>2026年4月22日</w:t>
      </w:r>
      <w:r>
        <w:rPr>
          <w:rFonts w:hint="eastAsia" w:ascii="仿宋" w:hAnsi="仿宋" w:eastAsia="仿宋" w:cs="仿宋"/>
          <w:sz w:val="28"/>
          <w:szCs w:val="28"/>
          <w:lang w:val="en-US" w:eastAsia="zh-CN"/>
        </w:rPr>
        <w:t xml:space="preserve">        </w:t>
      </w:r>
    </w:p>
    <w:p>
      <w:pPr>
        <w:pStyle w:val="7"/>
        <w:keepNext w:val="0"/>
        <w:keepLines w:val="0"/>
        <w:pageBreakBefore w:val="0"/>
        <w:widowControl/>
        <w:suppressLineNumbers w:val="0"/>
        <w:kinsoku/>
        <w:wordWrap/>
        <w:overflowPunct/>
        <w:topLinePunct w:val="0"/>
        <w:autoSpaceDE/>
        <w:autoSpaceDN/>
        <w:bidi w:val="0"/>
        <w:adjustRightInd/>
        <w:snapToGrid/>
        <w:spacing w:before="960" w:beforeAutospacing="0" w:after="0" w:afterAutospacing="0"/>
        <w:ind w:left="0" w:right="0" w:firstLine="320" w:firstLineChars="200"/>
        <w:jc w:val="both"/>
        <w:textAlignment w:val="auto"/>
        <w:rPr>
          <w:rFonts w:hint="eastAsia" w:ascii="微软雅黑" w:hAnsi="微软雅黑" w:eastAsia="微软雅黑" w:cs="微软雅黑"/>
          <w:sz w:val="16"/>
          <w:szCs w:val="16"/>
        </w:rPr>
      </w:pPr>
    </w:p>
    <w:p/>
    <w:sectPr>
      <w:headerReference r:id="rId5" w:type="first"/>
      <w:headerReference r:id="rId3" w:type="default"/>
      <w:head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shape id="PowerPlusWaterMarkObject2" o:spid="_x0000_s4098" o:spt="136" type="#_x0000_t136" style="position:absolute;left:0pt;margin-left:-0.75pt;margin-top:-0.75pt;height:12pt;width:426pt;rotation:20643840f;z-index:-1024;mso-width-relative:page;mso-height-relative:page;" fillcolor="#000000" filled="t" stroked="f" coordsize="21600,21600" o:allowincell="f" adj="10800">
          <v:path/>
          <v:fill on="t" opacity="32768f" focussize="0,0"/>
          <v:stroke on="f" color="#000000"/>
          <v:imagedata o:title=""/>
          <o:lock v:ext="edit"/>
          <v:textpath on="t" fitshape="t" fitpath="t" trim="t" xscale="f" string="江苏高淳农村商业银行    办公室    夏黎勤    2026-04-28  11:05:42" style="font-family:宋体;font-size:1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shape id="PowerPlusWaterMarkObject3" o:spid="_x0000_s4097" o:spt="136" type="#_x0000_t136" style="position:absolute;left:0pt;margin-left:-0.75pt;margin-top:-0.75pt;height:12pt;width:426pt;rotation:20643840f;z-index:-1024;mso-width-relative:page;mso-height-relative:page;" fillcolor="#000000" filled="t" stroked="f" coordsize="21600,21600" o:allowincell="f" adj="10800">
          <v:path/>
          <v:fill on="t" opacity="32768f" focussize="0,0"/>
          <v:stroke on="f" color="#000000"/>
          <v:imagedata o:title=""/>
          <o:lock v:ext="edit"/>
          <v:textpath on="t" fitshape="t" fitpath="t" trim="t" xscale="f" string="江苏高淳农村商业银行    办公室    夏黎勤    2026-04-28  11:05:42" style="font-family:宋体;font-size:12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18456CBD"/>
    <w:rsid w:val="440B634E"/>
    <w:rsid w:val="6D491089"/>
    <w:rsid w:val="79801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11"/>
    <w:qFormat/>
    <w:uiPriority w:val="0"/>
    <w:pPr>
      <w:spacing w:before="0" w:beforeAutospacing="1" w:after="0" w:afterAutospacing="1"/>
      <w:jc w:val="left"/>
      <w:outlineLvl w:val="0"/>
    </w:pPr>
    <w:rPr>
      <w:rFonts w:ascii="宋体" w:hAnsi="宋体" w:eastAsia="宋体" w:cs="宋体"/>
      <w:b/>
      <w:bCs/>
      <w:kern w:val="44"/>
      <w:sz w:val="48"/>
      <w:szCs w:val="48"/>
      <w:lang w:val="en-US" w:eastAsia="zh-CN"/>
    </w:rPr>
  </w:style>
  <w:style w:type="paragraph" w:styleId="3">
    <w:name w:val="heading 2"/>
    <w:basedOn w:val="1"/>
    <w:next w:val="1"/>
    <w:link w:val="12"/>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3"/>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b/>
      <w:bCs/>
      <w:kern w:val="0"/>
      <w:sz w:val="24"/>
      <w:lang w:val="en-US" w:eastAsia="zh-CN"/>
    </w:rPr>
  </w:style>
  <w:style w:type="character" w:styleId="10">
    <w:name w:val="Strong"/>
    <w:basedOn w:val="9"/>
    <w:qFormat/>
    <w:uiPriority w:val="0"/>
    <w:rPr>
      <w:b/>
    </w:rPr>
  </w:style>
  <w:style w:type="character" w:customStyle="1" w:styleId="11">
    <w:name w:val="heading 1 Char"/>
    <w:basedOn w:val="9"/>
    <w:link w:val="2"/>
    <w:uiPriority w:val="0"/>
    <w:rPr>
      <w:rFonts w:ascii="宋体" w:hAnsi="宋体" w:eastAsia="宋体" w:cs="宋体"/>
      <w:b/>
      <w:bCs/>
      <w:kern w:val="44"/>
      <w:sz w:val="48"/>
      <w:szCs w:val="48"/>
      <w:lang w:val="en-US" w:eastAsia="zh-CN" w:bidi="ar-SA"/>
    </w:rPr>
  </w:style>
  <w:style w:type="character" w:customStyle="1" w:styleId="12">
    <w:name w:val="heading 2 Char"/>
    <w:basedOn w:val="9"/>
    <w:link w:val="3"/>
    <w:uiPriority w:val="0"/>
    <w:rPr>
      <w:rFonts w:ascii="Times New Roman" w:hAnsi="Calibri" w:eastAsia="黑体" w:cs="Arial"/>
      <w:b/>
      <w:bCs/>
      <w:kern w:val="2"/>
      <w:sz w:val="32"/>
      <w:szCs w:val="32"/>
      <w:lang w:val="en-US" w:eastAsia="zh-CN" w:bidi="ar-SA"/>
    </w:rPr>
  </w:style>
  <w:style w:type="character" w:customStyle="1" w:styleId="13">
    <w:name w:val="heading 3 Char"/>
    <w:basedOn w:val="9"/>
    <w:link w:val="4"/>
    <w:qFormat/>
    <w:uiPriority w:val="0"/>
    <w:rPr>
      <w:rFonts w:ascii="Calibri" w:hAnsi="Calibri" w:eastAsia="宋体" w:cs="Arial"/>
      <w:b/>
      <w:bCs/>
      <w:kern w:val="2"/>
      <w:sz w:val="32"/>
      <w:szCs w:val="32"/>
      <w:lang w:val="en-US" w:eastAsia="zh-CN" w:bidi="ar-SA"/>
    </w:rPr>
  </w:style>
  <w:style w:type="character" w:customStyle="1" w:styleId="14">
    <w:name w:val="font81"/>
    <w:basedOn w:val="9"/>
    <w:qFormat/>
    <w:uiPriority w:val="0"/>
    <w:rPr>
      <w:rFonts w:ascii="微软雅黑" w:hAnsi="微软雅黑" w:eastAsia="微软雅黑" w:cs="微软雅黑"/>
      <w:b/>
      <w:color w:val="FF0000"/>
      <w:sz w:val="32"/>
      <w:szCs w:val="32"/>
      <w:u w:val="none"/>
    </w:rPr>
  </w:style>
  <w:style w:type="character" w:customStyle="1" w:styleId="15">
    <w:name w:val="font31"/>
    <w:basedOn w:val="9"/>
    <w:qFormat/>
    <w:uiPriority w:val="0"/>
    <w:rPr>
      <w:rFonts w:ascii="微软雅黑" w:hAnsi="微软雅黑" w:eastAsia="微软雅黑" w:cs="微软雅黑"/>
      <w:b/>
      <w:color w:val="000000"/>
      <w:sz w:val="32"/>
      <w:szCs w:val="32"/>
      <w:u w:val="none"/>
    </w:rPr>
  </w:style>
  <w:style w:type="character" w:customStyle="1" w:styleId="16">
    <w:name w:val="font41"/>
    <w:basedOn w:val="9"/>
    <w:qFormat/>
    <w:uiPriority w:val="0"/>
    <w:rPr>
      <w:rFonts w:ascii="黑体" w:hAnsi="宋体" w:eastAsia="黑体" w:cs="黑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57C062-3634-4031-B3C7-BFCBC3F2F586}">
  <ds:schemaRefs/>
</ds:datastoreItem>
</file>

<file path=docProps/app.xml><?xml version="1.0" encoding="utf-8"?>
<Properties xmlns="http://schemas.openxmlformats.org/officeDocument/2006/extended-properties" xmlns:vt="http://schemas.openxmlformats.org/officeDocument/2006/docPropsVTypes">
  <Template>Normal.eit</Template>
  <Pages>1</Pages>
  <Words>0</Words>
  <Characters>721</Characters>
  <Lines>0</Lines>
  <Paragraphs>14</Paragraphs>
  <TotalTime>0</TotalTime>
  <ScaleCrop>false</ScaleCrop>
  <LinksUpToDate>false</LinksUpToDate>
  <CharactersWithSpaces>962</CharactersWithSpaces>
  <Application>WPS Office_11.8.2.8696_F1E327BC-269C-435d-A152-05C5408002CA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2021-01-06T08:01:00Z</dcterms:created>
  <dc:creator>lenovo</dc:creator>
  <cp:lastModifiedBy>夏黎勤</cp:lastModifiedBy>
  <cp:lastPrinted>2025-01-09T02:31:00Z</cp:lastPrinted>
  <dcterms:modified xsi:type="dcterms:W3CDTF">2026-04-29T04:30:53Z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