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960" w:beforeAutospacing="0" w:after="0" w:afterAutospacing="0"/>
        <w:ind w:left="0" w:right="0"/>
        <w:jc w:val="center"/>
        <w:rPr>
          <w:b/>
          <w:bCs/>
        </w:rPr>
      </w:pPr>
      <w:bookmarkStart w:id="0" w:name="_GoBack"/>
      <w:r>
        <w:rPr>
          <w:b/>
          <w:bCs/>
        </w:rPr>
        <w:t>江苏</w:t>
      </w:r>
      <w:r>
        <w:rPr>
          <w:rFonts w:hint="eastAsia"/>
          <w:b/>
          <w:bCs/>
          <w:lang w:val="zh-CN"/>
        </w:rPr>
        <w:t>高淳</w:t>
      </w:r>
      <w:r>
        <w:rPr>
          <w:b/>
          <w:bCs/>
        </w:rPr>
        <w:t>农村商业银行股份有限公司202</w:t>
      </w:r>
      <w:r>
        <w:rPr>
          <w:rFonts w:hint="eastAsia"/>
          <w:b/>
          <w:bCs/>
          <w:color w:val="auto"/>
          <w:lang w:val="en-US" w:eastAsia="zh-CN"/>
        </w:rPr>
        <w:t>5</w:t>
      </w:r>
      <w:r>
        <w:rPr>
          <w:b/>
          <w:bCs/>
          <w:color w:val="auto"/>
        </w:rPr>
        <w:t>年</w:t>
      </w:r>
      <w:r>
        <w:rPr>
          <w:rFonts w:hint="eastAsia"/>
          <w:b/>
          <w:bCs/>
          <w:color w:val="auto"/>
          <w:lang w:val="en-US" w:eastAsia="zh-CN"/>
        </w:rPr>
        <w:t>下</w:t>
      </w:r>
      <w:r>
        <w:rPr>
          <w:rFonts w:hint="eastAsia"/>
          <w:b/>
          <w:bCs/>
        </w:rPr>
        <w:t>半年度</w:t>
      </w:r>
      <w:r>
        <w:rPr>
          <w:b/>
          <w:bCs/>
        </w:rPr>
        <w:t>第三支柱信息披露报告</w:t>
      </w:r>
    </w:p>
    <w:bookmarkEnd w:id="0"/>
    <w:p/>
    <w:p/>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left="0" w:right="0" w:firstLine="562"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根据《商业银行资本管理办法》中附件22《商业银行信息披露内容和要求》，本行依规向投资者和社会公众披露本行资本充足率相关信息</w:t>
      </w:r>
      <w:r>
        <w:rPr>
          <w:rFonts w:hint="eastAsia" w:ascii="仿宋" w:hAnsi="仿宋" w:eastAsia="仿宋" w:cs="仿宋"/>
          <w:sz w:val="28"/>
          <w:szCs w:val="28"/>
          <w:lang w:eastAsia="zh-CN"/>
        </w:rPr>
        <w:t>，</w:t>
      </w:r>
      <w:r>
        <w:rPr>
          <w:rFonts w:hint="eastAsia" w:ascii="仿宋" w:hAnsi="仿宋" w:eastAsia="仿宋" w:cs="仿宋"/>
          <w:sz w:val="28"/>
          <w:szCs w:val="28"/>
        </w:rPr>
        <w:t>本报告披露的报表经本行高级管理层确认。</w:t>
      </w:r>
    </w:p>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left="0" w:right="0" w:firstLine="562"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本行为非国内系统重要性银行，划分标准适用于二档商业银行规定，本</w:t>
      </w:r>
      <w:r>
        <w:rPr>
          <w:rFonts w:hint="eastAsia" w:ascii="仿宋" w:hAnsi="仿宋" w:eastAsia="仿宋" w:cs="仿宋"/>
          <w:sz w:val="28"/>
          <w:szCs w:val="28"/>
          <w:lang w:val="en-US" w:eastAsia="zh-CN"/>
        </w:rPr>
        <w:t>期</w:t>
      </w:r>
      <w:r>
        <w:rPr>
          <w:rFonts w:hint="eastAsia" w:ascii="仿宋" w:hAnsi="仿宋" w:eastAsia="仿宋" w:cs="仿宋"/>
          <w:sz w:val="28"/>
          <w:szCs w:val="28"/>
        </w:rPr>
        <w:t>本行需披露的报表如下:</w:t>
      </w:r>
    </w:p>
    <w:tbl>
      <w:tblPr>
        <w:tblStyle w:val="8"/>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619"/>
        <w:gridCol w:w="4891"/>
        <w:gridCol w:w="913"/>
        <w:gridCol w:w="9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8336" w:type="dxa"/>
            <w:gridSpan w:val="4"/>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微软雅黑" w:hAnsi="微软雅黑" w:eastAsia="微软雅黑" w:cs="微软雅黑"/>
                <w:b/>
                <w:i w:val="0"/>
                <w:color w:val="000000"/>
                <w:sz w:val="32"/>
                <w:szCs w:val="32"/>
                <w:u w:val="none"/>
              </w:rPr>
            </w:pPr>
            <w:r>
              <w:rPr>
                <w:rFonts w:hint="eastAsia" w:ascii="微软雅黑" w:hAnsi="微软雅黑" w:eastAsia="微软雅黑" w:cs="微软雅黑"/>
                <w:b/>
                <w:i w:val="0"/>
                <w:color w:val="000000"/>
                <w:kern w:val="0"/>
                <w:sz w:val="32"/>
                <w:szCs w:val="32"/>
                <w:u w:val="none"/>
                <w:lang w:val="en-US" w:eastAsia="zh-CN"/>
              </w:rPr>
              <w:t>KM1：监管并表关键审慎监管指标【2025年四季度】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5" w:hRule="atLeast"/>
        </w:trPr>
        <w:tc>
          <w:tcPr>
            <w:tcW w:w="161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单位：人民币万元，%</w:t>
            </w:r>
          </w:p>
        </w:tc>
        <w:tc>
          <w:tcPr>
            <w:tcW w:w="4891"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913"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913"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6510" w:type="dxa"/>
            <w:gridSpan w:val="2"/>
            <w:tcBorders>
              <w:top w:val="single" w:color="000000" w:sz="8" w:space="0"/>
              <w:left w:val="nil"/>
              <w:bottom w:val="nil"/>
              <w:right w:val="single" w:color="000000" w:sz="8" w:space="0"/>
            </w:tcBorders>
            <w:shd w:val="clear" w:color="auto" w:fill="auto"/>
            <w:tcMar>
              <w:top w:w="15" w:type="dxa"/>
              <w:left w:w="15" w:type="dxa"/>
              <w:right w:w="15" w:type="dxa"/>
            </w:tcMar>
            <w:vAlign w:val="center"/>
          </w:tcPr>
          <w:p>
            <w:pPr>
              <w:jc w:val="left"/>
              <w:rPr>
                <w:rFonts w:hint="eastAsia" w:ascii="Calibri" w:hAnsi="Calibri" w:eastAsia="宋体" w:cs="Calibri"/>
                <w:i w:val="0"/>
                <w:color w:val="000000"/>
                <w:sz w:val="24"/>
                <w:szCs w:val="24"/>
                <w:u w:val="none"/>
              </w:rPr>
            </w:pPr>
          </w:p>
        </w:tc>
        <w:tc>
          <w:tcPr>
            <w:tcW w:w="913"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a</w:t>
            </w:r>
          </w:p>
        </w:tc>
        <w:tc>
          <w:tcPr>
            <w:tcW w:w="913"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6510"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ascii="Calibri" w:hAnsi="Calibri" w:eastAsia="宋体" w:cs="Calibri"/>
                <w:i w:val="0"/>
                <w:color w:val="000000"/>
                <w:sz w:val="24"/>
                <w:szCs w:val="24"/>
                <w:u w:val="none"/>
              </w:rPr>
            </w:pPr>
          </w:p>
        </w:tc>
        <w:tc>
          <w:tcPr>
            <w:tcW w:w="913"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T</w:t>
            </w:r>
          </w:p>
        </w:tc>
        <w:tc>
          <w:tcPr>
            <w:tcW w:w="913"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8336"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可用资本（数额）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w:t>
            </w:r>
          </w:p>
        </w:tc>
        <w:tc>
          <w:tcPr>
            <w:tcW w:w="489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核心一级资本净额</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250178.55</w:t>
            </w:r>
          </w:p>
        </w:tc>
        <w:tc>
          <w:tcPr>
            <w:tcW w:w="913"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253159.68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w:t>
            </w:r>
          </w:p>
        </w:tc>
        <w:tc>
          <w:tcPr>
            <w:tcW w:w="489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一级资本净额</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250178.55</w:t>
            </w:r>
          </w:p>
        </w:tc>
        <w:tc>
          <w:tcPr>
            <w:tcW w:w="913"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253159.68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w:t>
            </w:r>
          </w:p>
        </w:tc>
        <w:tc>
          <w:tcPr>
            <w:tcW w:w="489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资本净额</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269962.43 </w:t>
            </w:r>
          </w:p>
        </w:tc>
        <w:tc>
          <w:tcPr>
            <w:tcW w:w="913"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272991.72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8336"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风险加权资产（数额）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w:t>
            </w:r>
          </w:p>
        </w:tc>
        <w:tc>
          <w:tcPr>
            <w:tcW w:w="489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风险加权资产</w:t>
            </w:r>
          </w:p>
        </w:tc>
        <w:tc>
          <w:tcPr>
            <w:tcW w:w="913"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1725102.48</w:t>
            </w:r>
          </w:p>
        </w:tc>
        <w:tc>
          <w:tcPr>
            <w:tcW w:w="913"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1744174.88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8336"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资本充足率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w:t>
            </w:r>
          </w:p>
        </w:tc>
        <w:tc>
          <w:tcPr>
            <w:tcW w:w="489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核心一级资本充足率（%）</w:t>
            </w:r>
          </w:p>
        </w:tc>
        <w:tc>
          <w:tcPr>
            <w:tcW w:w="913"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14.50 </w:t>
            </w:r>
          </w:p>
        </w:tc>
        <w:tc>
          <w:tcPr>
            <w:tcW w:w="913"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14.51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w:t>
            </w:r>
          </w:p>
        </w:tc>
        <w:tc>
          <w:tcPr>
            <w:tcW w:w="489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一级资本充足率（%）</w:t>
            </w:r>
          </w:p>
        </w:tc>
        <w:tc>
          <w:tcPr>
            <w:tcW w:w="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14.50 </w:t>
            </w:r>
          </w:p>
        </w:tc>
        <w:tc>
          <w:tcPr>
            <w:tcW w:w="913" w:type="dxa"/>
            <w:tcBorders>
              <w:top w:val="nil"/>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14.51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7</w:t>
            </w:r>
          </w:p>
        </w:tc>
        <w:tc>
          <w:tcPr>
            <w:tcW w:w="489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资本充足率（%）</w:t>
            </w:r>
          </w:p>
        </w:tc>
        <w:tc>
          <w:tcPr>
            <w:tcW w:w="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15.65 </w:t>
            </w:r>
          </w:p>
        </w:tc>
        <w:tc>
          <w:tcPr>
            <w:tcW w:w="913" w:type="dxa"/>
            <w:tcBorders>
              <w:top w:val="nil"/>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15.65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8336"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8</w:t>
            </w:r>
          </w:p>
        </w:tc>
        <w:tc>
          <w:tcPr>
            <w:tcW w:w="489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储备资本要求（%）</w:t>
            </w:r>
          </w:p>
        </w:tc>
        <w:tc>
          <w:tcPr>
            <w:tcW w:w="913"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w:t>
            </w:r>
          </w:p>
        </w:tc>
        <w:tc>
          <w:tcPr>
            <w:tcW w:w="913"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9</w:t>
            </w:r>
          </w:p>
        </w:tc>
        <w:tc>
          <w:tcPr>
            <w:tcW w:w="489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逆周期资本要求（%）</w:t>
            </w:r>
          </w:p>
        </w:tc>
        <w:tc>
          <w:tcPr>
            <w:tcW w:w="913"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0</w:t>
            </w:r>
          </w:p>
        </w:tc>
        <w:tc>
          <w:tcPr>
            <w:tcW w:w="913"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10</w:t>
            </w:r>
          </w:p>
        </w:tc>
        <w:tc>
          <w:tcPr>
            <w:tcW w:w="489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全球系统重要性银行或国内系统重要性银行附加资本要求（%）</w:t>
            </w:r>
          </w:p>
        </w:tc>
        <w:tc>
          <w:tcPr>
            <w:tcW w:w="913" w:type="dxa"/>
            <w:tcBorders>
              <w:top w:val="nil"/>
              <w:left w:val="nil"/>
              <w:bottom w:val="single" w:color="000000" w:sz="8" w:space="0"/>
              <w:right w:val="nil"/>
            </w:tcBorders>
            <w:shd w:val="clear" w:color="auto" w:fill="BEBEBE"/>
            <w:tcMar>
              <w:top w:w="15" w:type="dxa"/>
              <w:left w:w="15" w:type="dxa"/>
              <w:right w:w="15" w:type="dxa"/>
            </w:tcMar>
            <w:vAlign w:val="center"/>
          </w:tcPr>
          <w:p>
            <w:pPr>
              <w:jc w:val="left"/>
              <w:rPr>
                <w:rFonts w:hint="eastAsia" w:ascii="宋体" w:hAnsi="宋体" w:eastAsia="宋体" w:cs="宋体"/>
                <w:i w:val="0"/>
                <w:color w:val="000000"/>
                <w:sz w:val="16"/>
                <w:szCs w:val="16"/>
                <w:u w:val="none"/>
              </w:rPr>
            </w:pPr>
          </w:p>
        </w:tc>
        <w:tc>
          <w:tcPr>
            <w:tcW w:w="913" w:type="dxa"/>
            <w:tcBorders>
              <w:top w:val="nil"/>
              <w:left w:val="nil"/>
              <w:bottom w:val="single" w:color="000000" w:sz="8" w:space="0"/>
              <w:right w:val="nil"/>
            </w:tcBorders>
            <w:shd w:val="clear" w:color="auto" w:fill="BEBEBE"/>
            <w:tcMar>
              <w:top w:w="15" w:type="dxa"/>
              <w:left w:w="15" w:type="dxa"/>
              <w:right w:w="15" w:type="dxa"/>
            </w:tcMar>
            <w:vAlign w:val="center"/>
          </w:tcPr>
          <w:p>
            <w:pPr>
              <w:jc w:val="left"/>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11</w:t>
            </w:r>
          </w:p>
        </w:tc>
        <w:tc>
          <w:tcPr>
            <w:tcW w:w="489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其他各级资本要求（%）（8+9+10）</w:t>
            </w:r>
          </w:p>
        </w:tc>
        <w:tc>
          <w:tcPr>
            <w:tcW w:w="913"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w:t>
            </w:r>
          </w:p>
        </w:tc>
        <w:tc>
          <w:tcPr>
            <w:tcW w:w="913"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12</w:t>
            </w:r>
          </w:p>
        </w:tc>
        <w:tc>
          <w:tcPr>
            <w:tcW w:w="489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满足最低资本要求后的可用核心一级资本净额占风险加权资产的比例（%）</w:t>
            </w:r>
          </w:p>
        </w:tc>
        <w:tc>
          <w:tcPr>
            <w:tcW w:w="913"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7.65 </w:t>
            </w:r>
          </w:p>
        </w:tc>
        <w:tc>
          <w:tcPr>
            <w:tcW w:w="913"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7.65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8336"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杠杆率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13</w:t>
            </w:r>
          </w:p>
        </w:tc>
        <w:tc>
          <w:tcPr>
            <w:tcW w:w="489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调整后表内外资产余额</w:t>
            </w:r>
          </w:p>
        </w:tc>
        <w:tc>
          <w:tcPr>
            <w:tcW w:w="913"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2745572.33</w:t>
            </w:r>
          </w:p>
        </w:tc>
        <w:tc>
          <w:tcPr>
            <w:tcW w:w="913"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2795804.27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14</w:t>
            </w:r>
          </w:p>
        </w:tc>
        <w:tc>
          <w:tcPr>
            <w:tcW w:w="489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杠杆率（%）</w:t>
            </w:r>
          </w:p>
        </w:tc>
        <w:tc>
          <w:tcPr>
            <w:tcW w:w="913"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9.11 </w:t>
            </w:r>
          </w:p>
        </w:tc>
        <w:tc>
          <w:tcPr>
            <w:tcW w:w="913"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9.05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14a</w:t>
            </w:r>
          </w:p>
        </w:tc>
        <w:tc>
          <w:tcPr>
            <w:tcW w:w="489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杠杆率a（%）</w:t>
            </w:r>
          </w:p>
        </w:tc>
        <w:tc>
          <w:tcPr>
            <w:tcW w:w="913"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9.11 </w:t>
            </w:r>
          </w:p>
        </w:tc>
        <w:tc>
          <w:tcPr>
            <w:tcW w:w="913"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9.05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8336"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流动性覆盖率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15</w:t>
            </w:r>
          </w:p>
        </w:tc>
        <w:tc>
          <w:tcPr>
            <w:tcW w:w="489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合格优质流动性资产</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c>
          <w:tcPr>
            <w:tcW w:w="913"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16</w:t>
            </w:r>
          </w:p>
        </w:tc>
        <w:tc>
          <w:tcPr>
            <w:tcW w:w="489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现金净流出量</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c>
          <w:tcPr>
            <w:tcW w:w="913" w:type="dxa"/>
            <w:tcBorders>
              <w:top w:val="nil"/>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17</w:t>
            </w:r>
          </w:p>
        </w:tc>
        <w:tc>
          <w:tcPr>
            <w:tcW w:w="489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流动性覆盖率（%）</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c>
          <w:tcPr>
            <w:tcW w:w="913" w:type="dxa"/>
            <w:tcBorders>
              <w:top w:val="nil"/>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8336"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净稳定资金比例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18</w:t>
            </w:r>
          </w:p>
        </w:tc>
        <w:tc>
          <w:tcPr>
            <w:tcW w:w="489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可用稳定资金合计</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c>
          <w:tcPr>
            <w:tcW w:w="913"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19</w:t>
            </w:r>
          </w:p>
        </w:tc>
        <w:tc>
          <w:tcPr>
            <w:tcW w:w="489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所需稳定资金合计</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c>
          <w:tcPr>
            <w:tcW w:w="913" w:type="dxa"/>
            <w:tcBorders>
              <w:top w:val="nil"/>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20</w:t>
            </w:r>
          </w:p>
        </w:tc>
        <w:tc>
          <w:tcPr>
            <w:tcW w:w="489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净稳定资金比例（%）</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c>
          <w:tcPr>
            <w:tcW w:w="913" w:type="dxa"/>
            <w:tcBorders>
              <w:top w:val="nil"/>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8336" w:type="dxa"/>
            <w:gridSpan w:val="4"/>
            <w:tcBorders>
              <w:top w:val="nil"/>
              <w:left w:val="nil"/>
              <w:bottom w:val="single" w:color="000000" w:sz="8" w:space="0"/>
              <w:right w:val="nil"/>
            </w:tcBorders>
            <w:shd w:val="clear" w:color="auto" w:fill="D8D8D8"/>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流动性比例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21</w:t>
            </w:r>
          </w:p>
        </w:tc>
        <w:tc>
          <w:tcPr>
            <w:tcW w:w="489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流动性比例（%）</w:t>
            </w:r>
          </w:p>
        </w:tc>
        <w:tc>
          <w:tcPr>
            <w:tcW w:w="913"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118.78 </w:t>
            </w:r>
          </w:p>
        </w:tc>
        <w:tc>
          <w:tcPr>
            <w:tcW w:w="913"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120.67</w:t>
            </w:r>
          </w:p>
        </w:tc>
      </w:tr>
    </w:tbl>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right="0"/>
        <w:jc w:val="both"/>
        <w:textAlignment w:val="auto"/>
        <w:rPr>
          <w:rFonts w:hint="eastAsia" w:ascii="仿宋" w:hAnsi="仿宋" w:eastAsia="仿宋" w:cs="仿宋"/>
          <w:sz w:val="28"/>
          <w:szCs w:val="28"/>
        </w:rPr>
      </w:pPr>
    </w:p>
    <w:tbl>
      <w:tblPr>
        <w:tblStyle w:val="8"/>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613"/>
        <w:gridCol w:w="5460"/>
        <w:gridCol w:w="913"/>
        <w:gridCol w:w="3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8336" w:type="dxa"/>
            <w:gridSpan w:val="4"/>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微软雅黑" w:hAnsi="微软雅黑" w:eastAsia="微软雅黑" w:cs="微软雅黑"/>
                <w:b/>
                <w:i w:val="0"/>
                <w:color w:val="000000"/>
                <w:sz w:val="32"/>
                <w:szCs w:val="32"/>
                <w:u w:val="none"/>
              </w:rPr>
            </w:pPr>
            <w:r>
              <w:rPr>
                <w:rFonts w:hint="eastAsia" w:ascii="微软雅黑" w:hAnsi="微软雅黑" w:eastAsia="微软雅黑" w:cs="微软雅黑"/>
                <w:b/>
                <w:i w:val="0"/>
                <w:color w:val="000000"/>
                <w:kern w:val="0"/>
                <w:sz w:val="32"/>
                <w:szCs w:val="32"/>
                <w:u w:val="none"/>
                <w:lang w:val="en-US" w:eastAsia="zh-CN"/>
              </w:rPr>
              <w:t>CC1 ：资本构成【2025年下半年】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单位：人民币万元，%</w:t>
            </w:r>
          </w:p>
        </w:tc>
        <w:tc>
          <w:tcPr>
            <w:tcW w:w="5460" w:type="dxa"/>
            <w:tcBorders>
              <w:top w:val="nil"/>
              <w:left w:val="nil"/>
              <w:bottom w:val="nil"/>
              <w:right w:val="nil"/>
            </w:tcBorders>
            <w:shd w:val="clear" w:color="auto" w:fill="auto"/>
            <w:noWrap/>
            <w:tcMar>
              <w:top w:w="15" w:type="dxa"/>
              <w:left w:w="15" w:type="dxa"/>
              <w:right w:w="15" w:type="dxa"/>
            </w:tcMar>
            <w:vAlign w:val="center"/>
          </w:tcPr>
          <w:p>
            <w:pPr>
              <w:jc w:val="left"/>
              <w:rPr>
                <w:rFonts w:hint="eastAsia" w:ascii="微软雅黑" w:hAnsi="微软雅黑" w:eastAsia="微软雅黑" w:cs="微软雅黑"/>
                <w:i w:val="0"/>
                <w:color w:val="000000"/>
                <w:sz w:val="16"/>
                <w:szCs w:val="16"/>
                <w:u w:val="none"/>
              </w:rPr>
            </w:pPr>
          </w:p>
        </w:tc>
        <w:tc>
          <w:tcPr>
            <w:tcW w:w="913" w:type="dxa"/>
            <w:tcBorders>
              <w:top w:val="nil"/>
              <w:left w:val="nil"/>
              <w:bottom w:val="nil"/>
              <w:right w:val="nil"/>
            </w:tcBorders>
            <w:shd w:val="clear" w:color="auto" w:fill="auto"/>
            <w:noWrap/>
            <w:tcMar>
              <w:top w:w="15" w:type="dxa"/>
              <w:left w:w="15" w:type="dxa"/>
              <w:right w:w="15" w:type="dxa"/>
            </w:tcMar>
            <w:vAlign w:val="center"/>
          </w:tcPr>
          <w:p>
            <w:pPr>
              <w:jc w:val="left"/>
              <w:rPr>
                <w:rFonts w:hint="eastAsia" w:ascii="微软雅黑" w:hAnsi="微软雅黑" w:eastAsia="微软雅黑" w:cs="微软雅黑"/>
                <w:i w:val="0"/>
                <w:color w:val="000000"/>
                <w:sz w:val="16"/>
                <w:szCs w:val="16"/>
                <w:u w:val="none"/>
              </w:rPr>
            </w:pPr>
          </w:p>
        </w:tc>
        <w:tc>
          <w:tcPr>
            <w:tcW w:w="350" w:type="dxa"/>
            <w:tcBorders>
              <w:top w:val="nil"/>
              <w:left w:val="nil"/>
              <w:bottom w:val="nil"/>
              <w:right w:val="nil"/>
            </w:tcBorders>
            <w:shd w:val="clear" w:color="auto" w:fill="auto"/>
            <w:noWrap/>
            <w:tcMar>
              <w:top w:w="15" w:type="dxa"/>
              <w:left w:w="15" w:type="dxa"/>
              <w:right w:w="15" w:type="dxa"/>
            </w:tcMar>
            <w:vAlign w:val="cente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7073" w:type="dxa"/>
            <w:gridSpan w:val="2"/>
            <w:vMerge w:val="restart"/>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jc w:val="center"/>
              <w:rPr>
                <w:rFonts w:hint="eastAsia" w:ascii="微软雅黑" w:hAnsi="微软雅黑" w:eastAsia="微软雅黑" w:cs="微软雅黑"/>
                <w:i w:val="0"/>
                <w:color w:val="000000"/>
                <w:sz w:val="16"/>
                <w:szCs w:val="16"/>
                <w:u w:val="none"/>
              </w:rPr>
            </w:pP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a</w:t>
            </w:r>
          </w:p>
        </w:tc>
        <w:tc>
          <w:tcPr>
            <w:tcW w:w="350" w:type="dxa"/>
            <w:tcBorders>
              <w:top w:val="single" w:color="000000" w:sz="8" w:space="0"/>
              <w:left w:val="nil"/>
              <w:bottom w:val="single" w:color="000000" w:sz="8" w:space="0"/>
              <w:right w:val="nil"/>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7073" w:type="dxa"/>
            <w:gridSpan w:val="2"/>
            <w:vMerge w:val="continue"/>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数额</w:t>
            </w:r>
          </w:p>
        </w:tc>
        <w:tc>
          <w:tcPr>
            <w:tcW w:w="350" w:type="dxa"/>
            <w:tcBorders>
              <w:top w:val="nil"/>
              <w:left w:val="nil"/>
              <w:bottom w:val="single" w:color="000000" w:sz="8" w:space="0"/>
              <w:right w:val="nil"/>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实收资本和资本公积可计入部分</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72437.02</w:t>
            </w:r>
          </w:p>
        </w:tc>
        <w:tc>
          <w:tcPr>
            <w:tcW w:w="350" w:type="dxa"/>
            <w:tcBorders>
              <w:top w:val="single" w:color="000000" w:sz="8" w:space="0"/>
              <w:left w:val="nil"/>
              <w:bottom w:val="single" w:color="000000" w:sz="8" w:space="0"/>
              <w:right w:val="nil"/>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e+g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留存收益</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169895.89</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2a</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盈余公积</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32749.04</w:t>
            </w:r>
          </w:p>
        </w:tc>
        <w:tc>
          <w:tcPr>
            <w:tcW w:w="350" w:type="dxa"/>
            <w:tcBorders>
              <w:top w:val="nil"/>
              <w:left w:val="nil"/>
              <w:bottom w:val="single" w:color="000000" w:sz="8" w:space="0"/>
              <w:right w:val="nil"/>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2b</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一般风险准备</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121323.46</w:t>
            </w:r>
          </w:p>
        </w:tc>
        <w:tc>
          <w:tcPr>
            <w:tcW w:w="350" w:type="dxa"/>
            <w:tcBorders>
              <w:top w:val="nil"/>
              <w:left w:val="nil"/>
              <w:bottom w:val="single" w:color="000000" w:sz="8" w:space="0"/>
              <w:right w:val="nil"/>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2c</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未分配利润</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15823.39</w:t>
            </w:r>
          </w:p>
        </w:tc>
        <w:tc>
          <w:tcPr>
            <w:tcW w:w="350" w:type="dxa"/>
            <w:tcBorders>
              <w:top w:val="nil"/>
              <w:left w:val="nil"/>
              <w:bottom w:val="single" w:color="000000" w:sz="8" w:space="0"/>
              <w:right w:val="nil"/>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累计其他综合收益</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7970.67</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少数股东资本可计入部分</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扣除前的核心一级资本</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250303.58</w:t>
            </w:r>
          </w:p>
        </w:tc>
        <w:tc>
          <w:tcPr>
            <w:tcW w:w="350" w:type="dxa"/>
            <w:tcBorders>
              <w:top w:val="single" w:color="000000" w:sz="8" w:space="0"/>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7073" w:type="dxa"/>
            <w:gridSpan w:val="2"/>
            <w:tcBorders>
              <w:top w:val="nil"/>
              <w:left w:val="nil"/>
              <w:bottom w:val="nil"/>
              <w:right w:val="nil"/>
            </w:tcBorders>
            <w:shd w:val="clear" w:color="auto" w:fill="D9D9D9"/>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核心一级资本：扣除项</w:t>
            </w:r>
          </w:p>
        </w:tc>
        <w:tc>
          <w:tcPr>
            <w:tcW w:w="913" w:type="dxa"/>
            <w:tcBorders>
              <w:top w:val="nil"/>
              <w:left w:val="nil"/>
              <w:bottom w:val="nil"/>
              <w:right w:val="nil"/>
            </w:tcBorders>
            <w:shd w:val="clear" w:color="auto" w:fill="D9D9D9"/>
            <w:noWrap/>
            <w:tcMar>
              <w:top w:w="15" w:type="dxa"/>
              <w:left w:w="15" w:type="dxa"/>
              <w:right w:w="15" w:type="dxa"/>
            </w:tcMar>
            <w:vAlign w:val="center"/>
          </w:tcPr>
          <w:p>
            <w:pPr>
              <w:jc w:val="center"/>
              <w:rPr>
                <w:rFonts w:hint="eastAsia" w:ascii="微软雅黑" w:hAnsi="微软雅黑" w:eastAsia="微软雅黑" w:cs="微软雅黑"/>
                <w:i w:val="0"/>
                <w:color w:val="000000"/>
                <w:sz w:val="16"/>
                <w:szCs w:val="16"/>
                <w:u w:val="none"/>
              </w:rPr>
            </w:pPr>
          </w:p>
        </w:tc>
        <w:tc>
          <w:tcPr>
            <w:tcW w:w="350" w:type="dxa"/>
            <w:tcBorders>
              <w:top w:val="nil"/>
              <w:left w:val="nil"/>
              <w:bottom w:val="nil"/>
              <w:right w:val="nil"/>
            </w:tcBorders>
            <w:shd w:val="clear" w:color="auto" w:fill="D9D9D9"/>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审慎估值调整</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single" w:color="000000" w:sz="8" w:space="0"/>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7</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商誉（扣除递延税负债）</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a-c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8</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其他无形资产（土地使用权除外）（扣除递延税负债）</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125.03 </w:t>
            </w:r>
          </w:p>
        </w:tc>
        <w:tc>
          <w:tcPr>
            <w:tcW w:w="350" w:type="dxa"/>
            <w:tcBorders>
              <w:top w:val="nil"/>
              <w:left w:val="nil"/>
              <w:bottom w:val="single" w:color="000000" w:sz="8" w:space="0"/>
              <w:right w:val="nil"/>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b-d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9</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依赖未来盈利的由经营亏损引起的净递延税资产</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10</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对未按公允价值计量的项目进行套期形成的现金流储备</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11</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损失准备缺口</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12</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资产证券化销售利得</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13</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自身信用风险变化导致其负债公允价值变化带来的未实现损益</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14</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确定受益类的养老金资产净额（扣除递延税负债）</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15</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直接或间接持有本银行的股票</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16</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银行间或银行与其他金融机构间通过协议相互持有的核心一级资本</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17</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对未并表金融机构小额少数资本投资中的核心一级资本中应扣除金额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4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18</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对未并表金融机构大额少数资本投资中的核心一级资本中应扣除金额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19</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其他依赖于银行未来盈利的净递延税资产中应扣除金额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4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20</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对未并表金融机构大额少数资本投资中的核心一级资本和其他依赖于银行未来盈利的净递延税资产的未扣除部分超过核心一级资本 15%的应扣除金额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21</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    其中：应在对金融机构大额少数资本投资中扣除的金额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22</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    其中：应在其他依赖于银行未来盈利的净递延税资产中扣除的金额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23</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其他应在核心一级资本中扣除的项目合计</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24</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应从其他一级资本和二级资本中扣除的未扣缺口</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核心一级资本扣除项总和</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125.03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26</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核心一级资本净额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250178.55 </w:t>
            </w:r>
          </w:p>
        </w:tc>
        <w:tc>
          <w:tcPr>
            <w:tcW w:w="350" w:type="dxa"/>
            <w:tcBorders>
              <w:top w:val="nil"/>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nil"/>
              <w:right w:val="nil"/>
            </w:tcBorders>
            <w:shd w:val="clear" w:color="auto" w:fill="D9D9D9"/>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其他一级资本</w:t>
            </w:r>
          </w:p>
        </w:tc>
        <w:tc>
          <w:tcPr>
            <w:tcW w:w="5460" w:type="dxa"/>
            <w:tcBorders>
              <w:top w:val="nil"/>
              <w:left w:val="nil"/>
              <w:bottom w:val="nil"/>
              <w:right w:val="nil"/>
            </w:tcBorders>
            <w:shd w:val="clear" w:color="auto" w:fill="D9D9D9"/>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c>
          <w:tcPr>
            <w:tcW w:w="913" w:type="dxa"/>
            <w:tcBorders>
              <w:top w:val="nil"/>
              <w:left w:val="nil"/>
              <w:bottom w:val="nil"/>
              <w:right w:val="nil"/>
            </w:tcBorders>
            <w:shd w:val="clear" w:color="auto" w:fill="D9D9D9"/>
            <w:noWrap/>
            <w:tcMar>
              <w:top w:w="15" w:type="dxa"/>
              <w:left w:w="15" w:type="dxa"/>
              <w:right w:w="15" w:type="dxa"/>
            </w:tcMar>
            <w:vAlign w:val="center"/>
          </w:tcPr>
          <w:p>
            <w:pPr>
              <w:jc w:val="center"/>
              <w:rPr>
                <w:rFonts w:hint="eastAsia" w:ascii="微软雅黑" w:hAnsi="微软雅黑" w:eastAsia="微软雅黑" w:cs="微软雅黑"/>
                <w:i w:val="0"/>
                <w:color w:val="000000"/>
                <w:sz w:val="16"/>
                <w:szCs w:val="16"/>
                <w:u w:val="none"/>
              </w:rPr>
            </w:pPr>
          </w:p>
        </w:tc>
        <w:tc>
          <w:tcPr>
            <w:tcW w:w="350" w:type="dxa"/>
            <w:tcBorders>
              <w:top w:val="nil"/>
              <w:left w:val="nil"/>
              <w:bottom w:val="nil"/>
              <w:right w:val="nil"/>
            </w:tcBorders>
            <w:shd w:val="clear" w:color="auto" w:fill="D9D9D9"/>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27</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其他一级资本工具及其溢价</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single" w:color="000000" w:sz="8" w:space="0"/>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28</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其中：权益部分</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29</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其中：负债部分</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30</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少数股东资本可计入部分</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31</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扣除前的其他一级资本</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7073" w:type="dxa"/>
            <w:gridSpan w:val="2"/>
            <w:tcBorders>
              <w:top w:val="nil"/>
              <w:left w:val="nil"/>
              <w:bottom w:val="nil"/>
              <w:right w:val="nil"/>
            </w:tcBorders>
            <w:shd w:val="clear" w:color="auto" w:fill="D9D9D9"/>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其他一级资本:扣除项</w:t>
            </w:r>
          </w:p>
        </w:tc>
        <w:tc>
          <w:tcPr>
            <w:tcW w:w="913" w:type="dxa"/>
            <w:tcBorders>
              <w:top w:val="nil"/>
              <w:left w:val="nil"/>
              <w:bottom w:val="nil"/>
              <w:right w:val="nil"/>
            </w:tcBorders>
            <w:shd w:val="clear" w:color="auto" w:fill="D9D9D9"/>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nil"/>
              <w:right w:val="nil"/>
            </w:tcBorders>
            <w:shd w:val="clear" w:color="auto" w:fill="D9D9D9"/>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32</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直接或间接持有的本银行其他一级资本</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single" w:color="000000" w:sz="8" w:space="0"/>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33</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银行间或银行与其他金融机构间通过协议相互持有的其他一级资本</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34</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对未并表金融机构小额少数资本投资中的其他一级资本中应扣除金额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35</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对未并表金融机构大额少数资本投资中的其他一级资本中应扣除金额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36</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其他应在其他一级资本中扣除的项目</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37</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drawing>
                <wp:anchor distT="0" distB="0" distL="114300" distR="114300" simplePos="0" relativeHeight="1024" behindDoc="0" locked="0" layoutInCell="1" allowOverlap="1">
                  <wp:simplePos x="0" y="0"/>
                  <wp:positionH relativeFrom="column">
                    <wp:posOffset>0</wp:posOffset>
                  </wp:positionH>
                  <wp:positionV relativeFrom="paragraph">
                    <wp:posOffset>0</wp:posOffset>
                  </wp:positionV>
                  <wp:extent cx="171450" cy="171450"/>
                  <wp:effectExtent l="0" t="0" r="0" b="0"/>
                  <wp:wrapNone/>
                  <wp:docPr id="13" name="图片_6"/>
                  <wp:cNvGraphicFramePr/>
                  <a:graphic xmlns:a="http://schemas.openxmlformats.org/drawingml/2006/main">
                    <a:graphicData uri="http://schemas.openxmlformats.org/drawingml/2006/picture">
                      <pic:pic xmlns:pic="http://schemas.openxmlformats.org/drawingml/2006/picture">
                        <pic:nvPicPr>
                          <pic:cNvPr id="13" name="图片_6"/>
                          <pic:cNvPicPr/>
                        </pic:nvPicPr>
                        <pic:blipFill>
                          <a:blip r:embed="rId7"/>
                          <a:stretch>
                            <a:fillRect/>
                          </a:stretch>
                        </pic:blipFill>
                        <pic:spPr>
                          <a:xfrm>
                            <a:off x="0" y="0"/>
                            <a:ext cx="171450" cy="171450"/>
                          </a:xfrm>
                          <a:prstGeom prst="rect">
                            <a:avLst/>
                          </a:prstGeom>
                          <a:noFill/>
                          <a:ln cap="flat" cmpd="sng">
                            <a:noFill/>
                            <a:prstDash val="solid"/>
                            <a:round/>
                          </a:ln>
                        </pic:spPr>
                      </pic:pic>
                    </a:graphicData>
                  </a:graphic>
                </wp:anchor>
              </w:drawing>
            </w:r>
            <w:r>
              <w:rPr>
                <w:rFonts w:hint="eastAsia" w:ascii="微软雅黑" w:hAnsi="微软雅黑" w:eastAsia="微软雅黑" w:cs="微软雅黑"/>
                <w:i w:val="0"/>
                <w:color w:val="000000"/>
                <w:kern w:val="0"/>
                <w:sz w:val="16"/>
                <w:szCs w:val="16"/>
                <w:u w:val="none"/>
                <w:lang w:val="en-US" w:eastAsia="zh-CN"/>
              </w:rPr>
              <w:t>应从二级资本中扣除的未扣缺口</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38</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其他一级资本扣除项总和</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39</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其他一级资本净额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40</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一级资本净额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250178.55 </w:t>
            </w:r>
          </w:p>
        </w:tc>
        <w:tc>
          <w:tcPr>
            <w:tcW w:w="350" w:type="dxa"/>
            <w:tcBorders>
              <w:top w:val="nil"/>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nil"/>
              <w:right w:val="nil"/>
            </w:tcBorders>
            <w:shd w:val="clear" w:color="auto" w:fill="D9D9D9"/>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二级资本</w:t>
            </w:r>
          </w:p>
        </w:tc>
        <w:tc>
          <w:tcPr>
            <w:tcW w:w="5460" w:type="dxa"/>
            <w:tcBorders>
              <w:top w:val="nil"/>
              <w:left w:val="nil"/>
              <w:bottom w:val="nil"/>
              <w:right w:val="nil"/>
            </w:tcBorders>
            <w:shd w:val="clear" w:color="auto" w:fill="D9D9D9"/>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c>
          <w:tcPr>
            <w:tcW w:w="913" w:type="dxa"/>
            <w:tcBorders>
              <w:top w:val="nil"/>
              <w:left w:val="nil"/>
              <w:bottom w:val="nil"/>
              <w:right w:val="nil"/>
            </w:tcBorders>
            <w:shd w:val="clear" w:color="auto" w:fill="D9D9D9"/>
            <w:noWrap/>
            <w:tcMar>
              <w:top w:w="15" w:type="dxa"/>
              <w:left w:w="15" w:type="dxa"/>
              <w:right w:w="15" w:type="dxa"/>
            </w:tcMar>
            <w:vAlign w:val="center"/>
          </w:tcPr>
          <w:p>
            <w:pPr>
              <w:jc w:val="center"/>
              <w:rPr>
                <w:rFonts w:hint="eastAsia" w:ascii="微软雅黑" w:hAnsi="微软雅黑" w:eastAsia="微软雅黑" w:cs="微软雅黑"/>
                <w:i w:val="0"/>
                <w:color w:val="000000"/>
                <w:sz w:val="16"/>
                <w:szCs w:val="16"/>
                <w:u w:val="none"/>
              </w:rPr>
            </w:pPr>
          </w:p>
        </w:tc>
        <w:tc>
          <w:tcPr>
            <w:tcW w:w="350" w:type="dxa"/>
            <w:tcBorders>
              <w:top w:val="nil"/>
              <w:left w:val="nil"/>
              <w:bottom w:val="nil"/>
              <w:right w:val="nil"/>
            </w:tcBorders>
            <w:shd w:val="clear" w:color="auto" w:fill="D9D9D9"/>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41</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二级资本工具及其溢价</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single" w:color="000000" w:sz="8" w:space="0"/>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42</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少数股东资本可计入部分</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43</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超额损失准备可计入部分</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19783.88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44</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扣除前的二级资本</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19783.88 </w:t>
            </w:r>
          </w:p>
        </w:tc>
        <w:tc>
          <w:tcPr>
            <w:tcW w:w="350" w:type="dxa"/>
            <w:tcBorders>
              <w:top w:val="nil"/>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7073" w:type="dxa"/>
            <w:gridSpan w:val="2"/>
            <w:tcBorders>
              <w:top w:val="nil"/>
              <w:left w:val="nil"/>
              <w:bottom w:val="nil"/>
              <w:right w:val="nil"/>
            </w:tcBorders>
            <w:shd w:val="clear" w:color="auto" w:fill="D9D9D9"/>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二级资本：扣除项</w:t>
            </w:r>
          </w:p>
        </w:tc>
        <w:tc>
          <w:tcPr>
            <w:tcW w:w="913" w:type="dxa"/>
            <w:tcBorders>
              <w:top w:val="nil"/>
              <w:left w:val="nil"/>
              <w:bottom w:val="nil"/>
              <w:right w:val="nil"/>
            </w:tcBorders>
            <w:shd w:val="clear" w:color="auto" w:fill="D9D9D9"/>
            <w:noWrap/>
            <w:tcMar>
              <w:top w:w="15" w:type="dxa"/>
              <w:left w:w="15" w:type="dxa"/>
              <w:right w:w="15" w:type="dxa"/>
            </w:tcMar>
            <w:vAlign w:val="center"/>
          </w:tcPr>
          <w:p>
            <w:pPr>
              <w:jc w:val="left"/>
              <w:rPr>
                <w:rFonts w:hint="eastAsia" w:ascii="微软雅黑" w:hAnsi="微软雅黑" w:eastAsia="微软雅黑" w:cs="微软雅黑"/>
                <w:b/>
                <w:i w:val="0"/>
                <w:color w:val="000000"/>
                <w:sz w:val="16"/>
                <w:szCs w:val="16"/>
                <w:u w:val="none"/>
              </w:rPr>
            </w:pPr>
          </w:p>
        </w:tc>
        <w:tc>
          <w:tcPr>
            <w:tcW w:w="350" w:type="dxa"/>
            <w:tcBorders>
              <w:top w:val="nil"/>
              <w:left w:val="nil"/>
              <w:bottom w:val="nil"/>
              <w:right w:val="nil"/>
            </w:tcBorders>
            <w:shd w:val="clear" w:color="auto" w:fill="D9D9D9"/>
            <w:noWrap/>
            <w:tcMar>
              <w:top w:w="15" w:type="dxa"/>
              <w:left w:w="15" w:type="dxa"/>
              <w:right w:w="15" w:type="dxa"/>
            </w:tcMar>
            <w:vAlign w:val="center"/>
          </w:tcPr>
          <w:p>
            <w:pPr>
              <w:jc w:val="left"/>
              <w:rPr>
                <w:rFonts w:hint="eastAsia" w:ascii="微软雅黑" w:hAnsi="微软雅黑" w:eastAsia="微软雅黑" w:cs="微软雅黑"/>
                <w:b/>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45</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直接或间接持有的本银行的二级资本</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single" w:color="000000" w:sz="8" w:space="0"/>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46</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银行间或银行与其他金融机构间通过协议相互持有的其他一级资本</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47</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对未并表金融机构小额少数资本投资中的二级资本中应扣除金额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24249.25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48</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对未并表金融机构大额少数资本投资中的二级资本</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49</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其他应在二级资本中扣除的项目合计</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50</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二级资本扣除项总和</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51</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二级资本净额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19783.88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52</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总资本净额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269962.43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53</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风险加权资产</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1725102.48 </w:t>
            </w:r>
          </w:p>
        </w:tc>
        <w:tc>
          <w:tcPr>
            <w:tcW w:w="350" w:type="dxa"/>
            <w:tcBorders>
              <w:top w:val="nil"/>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7073" w:type="dxa"/>
            <w:gridSpan w:val="2"/>
            <w:tcBorders>
              <w:top w:val="nil"/>
              <w:left w:val="nil"/>
              <w:bottom w:val="nil"/>
              <w:right w:val="nil"/>
            </w:tcBorders>
            <w:shd w:val="clear" w:color="auto" w:fill="D9D9D9"/>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资本充足率和其他各级资本要求</w:t>
            </w:r>
          </w:p>
        </w:tc>
        <w:tc>
          <w:tcPr>
            <w:tcW w:w="913" w:type="dxa"/>
            <w:tcBorders>
              <w:top w:val="nil"/>
              <w:left w:val="nil"/>
              <w:bottom w:val="nil"/>
              <w:right w:val="nil"/>
            </w:tcBorders>
            <w:shd w:val="clear" w:color="auto" w:fill="D9D9D9"/>
            <w:noWrap/>
            <w:tcMar>
              <w:top w:w="15" w:type="dxa"/>
              <w:left w:w="15" w:type="dxa"/>
              <w:right w:w="15" w:type="dxa"/>
            </w:tcMar>
            <w:vAlign w:val="center"/>
          </w:tcPr>
          <w:p>
            <w:pPr>
              <w:jc w:val="center"/>
              <w:rPr>
                <w:rFonts w:hint="eastAsia" w:ascii="微软雅黑" w:hAnsi="微软雅黑" w:eastAsia="微软雅黑" w:cs="微软雅黑"/>
                <w:i w:val="0"/>
                <w:color w:val="000000"/>
                <w:sz w:val="16"/>
                <w:szCs w:val="16"/>
                <w:u w:val="none"/>
              </w:rPr>
            </w:pPr>
          </w:p>
        </w:tc>
        <w:tc>
          <w:tcPr>
            <w:tcW w:w="350" w:type="dxa"/>
            <w:tcBorders>
              <w:top w:val="nil"/>
              <w:left w:val="nil"/>
              <w:bottom w:val="nil"/>
              <w:right w:val="nil"/>
            </w:tcBorders>
            <w:shd w:val="clear" w:color="auto" w:fill="D9D9D9"/>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54</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核心一级资本充足率</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14.50 </w:t>
            </w:r>
          </w:p>
        </w:tc>
        <w:tc>
          <w:tcPr>
            <w:tcW w:w="350" w:type="dxa"/>
            <w:tcBorders>
              <w:top w:val="single" w:color="000000" w:sz="8" w:space="0"/>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55</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一级资本充足率</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14.50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56</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资本充足率</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15.65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57</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其他级资本要求（%）</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2.50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58</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    其中：储备资本要求</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2.50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59</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    其中：逆周期资本要求</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60</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both"/>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    其中：全球系统重要性银行或国内系统重要性银行附加资本要求</w:t>
            </w:r>
          </w:p>
        </w:tc>
        <w:tc>
          <w:tcPr>
            <w:tcW w:w="913" w:type="dxa"/>
            <w:tcBorders>
              <w:top w:val="nil"/>
              <w:left w:val="nil"/>
              <w:bottom w:val="single" w:color="000000" w:sz="8" w:space="0"/>
              <w:right w:val="single" w:color="000000" w:sz="8" w:space="0"/>
            </w:tcBorders>
            <w:shd w:val="clear" w:color="auto" w:fill="D9D9D9"/>
            <w:tcMar>
              <w:top w:w="15" w:type="dxa"/>
              <w:left w:w="15" w:type="dxa"/>
              <w:right w:w="15" w:type="dxa"/>
            </w:tcMar>
          </w:tcPr>
          <w:p>
            <w:pPr>
              <w:jc w:val="center"/>
              <w:rPr>
                <w:rFonts w:hint="eastAsia" w:ascii="微软雅黑" w:hAnsi="微软雅黑" w:eastAsia="微软雅黑" w:cs="微软雅黑"/>
                <w:i w:val="0"/>
                <w:color w:val="000000"/>
                <w:sz w:val="16"/>
                <w:szCs w:val="16"/>
                <w:u w:val="none"/>
              </w:rPr>
            </w:pP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61</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both"/>
              <w:textAlignment w:val="top"/>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满足最低资本要求后的可用核心一级资本净额占风险加权资产的比例（%）</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7.65 </w:t>
            </w:r>
          </w:p>
        </w:tc>
        <w:tc>
          <w:tcPr>
            <w:tcW w:w="350" w:type="dxa"/>
            <w:tcBorders>
              <w:top w:val="nil"/>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7073" w:type="dxa"/>
            <w:gridSpan w:val="2"/>
            <w:tcBorders>
              <w:top w:val="nil"/>
              <w:left w:val="nil"/>
              <w:bottom w:val="nil"/>
              <w:right w:val="nil"/>
            </w:tcBorders>
            <w:shd w:val="clear" w:color="auto" w:fill="D9D9D9"/>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我国最低监管资本要求</w:t>
            </w:r>
          </w:p>
        </w:tc>
        <w:tc>
          <w:tcPr>
            <w:tcW w:w="913" w:type="dxa"/>
            <w:tcBorders>
              <w:top w:val="nil"/>
              <w:left w:val="nil"/>
              <w:bottom w:val="nil"/>
              <w:right w:val="nil"/>
            </w:tcBorders>
            <w:shd w:val="clear" w:color="auto" w:fill="D9D9D9"/>
            <w:noWrap/>
            <w:tcMar>
              <w:top w:w="15" w:type="dxa"/>
              <w:left w:w="15" w:type="dxa"/>
              <w:right w:w="15" w:type="dxa"/>
            </w:tcMar>
            <w:vAlign w:val="center"/>
          </w:tcPr>
          <w:p>
            <w:pPr>
              <w:jc w:val="center"/>
              <w:rPr>
                <w:rFonts w:hint="eastAsia" w:ascii="微软雅黑" w:hAnsi="微软雅黑" w:eastAsia="微软雅黑" w:cs="微软雅黑"/>
                <w:i w:val="0"/>
                <w:color w:val="000000"/>
                <w:sz w:val="16"/>
                <w:szCs w:val="16"/>
                <w:u w:val="none"/>
              </w:rPr>
            </w:pPr>
          </w:p>
        </w:tc>
        <w:tc>
          <w:tcPr>
            <w:tcW w:w="350" w:type="dxa"/>
            <w:tcBorders>
              <w:top w:val="nil"/>
              <w:left w:val="nil"/>
              <w:bottom w:val="nil"/>
              <w:right w:val="nil"/>
            </w:tcBorders>
            <w:shd w:val="clear" w:color="auto" w:fill="D9D9D9"/>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62</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核心一级资本充足率</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5 </w:t>
            </w:r>
          </w:p>
        </w:tc>
        <w:tc>
          <w:tcPr>
            <w:tcW w:w="350" w:type="dxa"/>
            <w:tcBorders>
              <w:top w:val="single" w:color="000000" w:sz="8" w:space="0"/>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63</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一级资本充足率</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6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64</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资本充足率</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8 </w:t>
            </w:r>
          </w:p>
        </w:tc>
        <w:tc>
          <w:tcPr>
            <w:tcW w:w="350" w:type="dxa"/>
            <w:tcBorders>
              <w:top w:val="nil"/>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65</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对未并表金融机构的小额少数资本投资中未扣除部分</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24249.25 </w:t>
            </w:r>
          </w:p>
        </w:tc>
        <w:tc>
          <w:tcPr>
            <w:tcW w:w="350" w:type="dxa"/>
            <w:tcBorders>
              <w:top w:val="single" w:color="000000" w:sz="8" w:space="0"/>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66</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对未并表金融机构的大额少数资本投资中未扣除部分</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0.00 </w:t>
            </w:r>
          </w:p>
        </w:tc>
        <w:tc>
          <w:tcPr>
            <w:tcW w:w="350" w:type="dxa"/>
            <w:tcBorders>
              <w:top w:val="nil"/>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nil"/>
              <w:left w:val="nil"/>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67</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both"/>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其他依赖于银行未来盈利的净递延税资产（扣除递延税负债）</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22416.40 </w:t>
            </w:r>
          </w:p>
        </w:tc>
        <w:tc>
          <w:tcPr>
            <w:tcW w:w="350" w:type="dxa"/>
            <w:tcBorders>
              <w:top w:val="nil"/>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7073" w:type="dxa"/>
            <w:gridSpan w:val="2"/>
            <w:tcBorders>
              <w:top w:val="nil"/>
              <w:left w:val="nil"/>
              <w:bottom w:val="nil"/>
              <w:right w:val="nil"/>
            </w:tcBorders>
            <w:shd w:val="clear" w:color="auto" w:fill="D9D9D9"/>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可计入二级资本的超额损失准备的限额</w:t>
            </w:r>
          </w:p>
        </w:tc>
        <w:tc>
          <w:tcPr>
            <w:tcW w:w="913" w:type="dxa"/>
            <w:tcBorders>
              <w:top w:val="nil"/>
              <w:left w:val="nil"/>
              <w:bottom w:val="nil"/>
              <w:right w:val="nil"/>
            </w:tcBorders>
            <w:shd w:val="clear" w:color="auto" w:fill="D9D9D9"/>
            <w:noWrap/>
            <w:tcMar>
              <w:top w:w="15" w:type="dxa"/>
              <w:left w:w="15" w:type="dxa"/>
              <w:right w:w="15" w:type="dxa"/>
            </w:tcMar>
            <w:vAlign w:val="center"/>
          </w:tcPr>
          <w:p>
            <w:pPr>
              <w:jc w:val="center"/>
              <w:rPr>
                <w:rFonts w:hint="eastAsia" w:ascii="微软雅黑" w:hAnsi="微软雅黑" w:eastAsia="微软雅黑" w:cs="微软雅黑"/>
                <w:i w:val="0"/>
                <w:color w:val="000000"/>
                <w:sz w:val="16"/>
                <w:szCs w:val="16"/>
                <w:u w:val="none"/>
              </w:rPr>
            </w:pPr>
          </w:p>
        </w:tc>
        <w:tc>
          <w:tcPr>
            <w:tcW w:w="350" w:type="dxa"/>
            <w:tcBorders>
              <w:top w:val="nil"/>
              <w:left w:val="nil"/>
              <w:bottom w:val="nil"/>
              <w:right w:val="nil"/>
            </w:tcBorders>
            <w:shd w:val="clear" w:color="auto" w:fill="D9D9D9"/>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68</w:t>
            </w:r>
          </w:p>
        </w:tc>
        <w:tc>
          <w:tcPr>
            <w:tcW w:w="546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权重法下，实际计提的超额损失准备金额</w:t>
            </w:r>
          </w:p>
        </w:tc>
        <w:tc>
          <w:tcPr>
            <w:tcW w:w="913"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32369.82 </w:t>
            </w:r>
          </w:p>
        </w:tc>
        <w:tc>
          <w:tcPr>
            <w:tcW w:w="350" w:type="dxa"/>
            <w:tcBorders>
              <w:top w:val="single" w:color="000000" w:sz="8" w:space="0"/>
              <w:left w:val="nil"/>
              <w:bottom w:val="single" w:color="000000" w:sz="8" w:space="0"/>
              <w:right w:val="nil"/>
            </w:tcBorders>
            <w:shd w:val="clear" w:color="auto" w:fill="auto"/>
            <w:tcMar>
              <w:top w:w="15" w:type="dxa"/>
              <w:left w:w="15" w:type="dxa"/>
              <w:right w:w="15" w:type="dxa"/>
            </w:tcMar>
          </w:tcPr>
          <w:p>
            <w:pPr>
              <w:jc w:val="left"/>
              <w:rPr>
                <w:rFonts w:hint="eastAsia" w:ascii="微软雅黑" w:hAnsi="微软雅黑" w:eastAsia="微软雅黑" w:cs="微软雅黑"/>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69</w:t>
            </w:r>
          </w:p>
        </w:tc>
        <w:tc>
          <w:tcPr>
            <w:tcW w:w="5460"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left"/>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权重法下，可计入二级资本超额损失准备的数额</w:t>
            </w:r>
          </w:p>
        </w:tc>
        <w:tc>
          <w:tcPr>
            <w:tcW w:w="913" w:type="dxa"/>
            <w:tcBorders>
              <w:top w:val="nil"/>
              <w:left w:val="nil"/>
              <w:bottom w:val="single" w:color="000000" w:sz="8" w:space="0"/>
              <w:right w:val="single" w:color="000000" w:sz="8" w:space="0"/>
            </w:tcBorders>
            <w:shd w:val="clear" w:color="auto" w:fill="auto"/>
            <w:tcMar>
              <w:top w:w="15" w:type="dxa"/>
              <w:left w:w="15" w:type="dxa"/>
              <w:right w:w="15" w:type="dxa"/>
            </w:tcMar>
          </w:tcPr>
          <w:p>
            <w:pPr>
              <w:keepNext w:val="0"/>
              <w:keepLines w:val="0"/>
              <w:widowControl/>
              <w:suppressLineNumbers w:val="0"/>
              <w:jc w:val="center"/>
              <w:textAlignment w:val="top"/>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19783.88 </w:t>
            </w:r>
          </w:p>
        </w:tc>
        <w:tc>
          <w:tcPr>
            <w:tcW w:w="350" w:type="dxa"/>
            <w:tcBorders>
              <w:top w:val="nil"/>
              <w:left w:val="nil"/>
              <w:bottom w:val="single" w:color="000000" w:sz="8" w:space="0"/>
              <w:right w:val="nil"/>
            </w:tcBorders>
            <w:shd w:val="clear" w:color="auto" w:fill="auto"/>
            <w:noWrap/>
            <w:tcMar>
              <w:top w:w="15" w:type="dxa"/>
              <w:left w:w="15" w:type="dxa"/>
              <w:right w:w="15" w:type="dxa"/>
            </w:tcMar>
            <w:vAlign w:val="center"/>
          </w:tcPr>
          <w:p>
            <w:pPr>
              <w:rPr>
                <w:rFonts w:hint="eastAsia" w:ascii="微软雅黑" w:hAnsi="微软雅黑" w:eastAsia="微软雅黑" w:cs="微软雅黑"/>
                <w:i w:val="0"/>
                <w:color w:val="000000"/>
                <w:sz w:val="16"/>
                <w:szCs w:val="16"/>
                <w:u w:val="none"/>
              </w:rPr>
            </w:pPr>
          </w:p>
        </w:tc>
      </w:tr>
    </w:tbl>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right="0"/>
        <w:jc w:val="both"/>
        <w:textAlignment w:val="auto"/>
        <w:rPr>
          <w:rFonts w:hint="eastAsia" w:ascii="仿宋" w:hAnsi="仿宋" w:eastAsia="仿宋" w:cs="仿宋"/>
          <w:sz w:val="28"/>
          <w:szCs w:val="28"/>
        </w:rPr>
      </w:pPr>
    </w:p>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right="0"/>
        <w:jc w:val="both"/>
        <w:textAlignment w:val="auto"/>
        <w:rPr>
          <w:rFonts w:hint="eastAsia" w:ascii="仿宋" w:hAnsi="仿宋" w:eastAsia="仿宋" w:cs="仿宋"/>
          <w:sz w:val="28"/>
          <w:szCs w:val="28"/>
        </w:rPr>
      </w:pPr>
    </w:p>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right="0"/>
        <w:jc w:val="both"/>
        <w:textAlignment w:val="auto"/>
        <w:rPr>
          <w:rFonts w:hint="eastAsia" w:ascii="仿宋" w:hAnsi="仿宋" w:eastAsia="仿宋" w:cs="仿宋"/>
          <w:sz w:val="28"/>
          <w:szCs w:val="28"/>
        </w:rPr>
      </w:pPr>
    </w:p>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right="0"/>
        <w:jc w:val="right"/>
        <w:textAlignment w:val="auto"/>
        <w:rPr>
          <w:rFonts w:hint="default" w:eastAsia="宋体"/>
          <w:lang w:val="en-US" w:eastAsia="zh-CN"/>
        </w:rPr>
      </w:pPr>
      <w:r>
        <w:t>江苏</w:t>
      </w:r>
      <w:r>
        <w:rPr>
          <w:rFonts w:hint="eastAsia"/>
          <w:lang w:val="zh-CN"/>
        </w:rPr>
        <w:t>高淳</w:t>
      </w:r>
      <w:r>
        <w:t>农村商业银行</w:t>
      </w:r>
      <w:r>
        <w:rPr>
          <w:rFonts w:hint="eastAsia"/>
          <w:lang w:val="en-US" w:eastAsia="zh-CN"/>
        </w:rPr>
        <w:t>股份有限公司</w:t>
      </w:r>
    </w:p>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right="0"/>
        <w:jc w:val="center"/>
        <w:textAlignment w:val="auto"/>
        <w:rPr>
          <w:rFonts w:ascii="仿宋" w:hAnsi="仿宋" w:eastAsia="仿宋" w:cs="仿宋"/>
          <w:sz w:val="28"/>
          <w:szCs w:val="28"/>
          <w:lang w:val="en-US" w:eastAsia="zh-CN"/>
        </w:rPr>
      </w:pPr>
      <w:r>
        <w:rPr>
          <w:rFonts w:hint="eastAsia" w:eastAsia="仿宋"/>
          <w:lang w:val="en-US" w:eastAsia="zh-CN"/>
        </w:rPr>
        <w:t xml:space="preserve">                                202</w:t>
      </w:r>
      <w:r>
        <w:rPr>
          <w:rFonts w:hint="eastAsia" w:eastAsia="仿宋"/>
          <w:color w:val="auto"/>
          <w:lang w:val="en-US" w:eastAsia="zh-CN"/>
        </w:rPr>
        <w:t>6年2月14日</w:t>
      </w:r>
      <w:r>
        <w:rPr>
          <w:rFonts w:hint="eastAsia" w:ascii="仿宋" w:hAnsi="仿宋" w:eastAsia="仿宋" w:cs="仿宋"/>
          <w:color w:val="auto"/>
          <w:sz w:val="28"/>
          <w:szCs w:val="28"/>
          <w:lang w:val="en-US" w:eastAsia="zh-CN"/>
        </w:rPr>
        <w:t xml:space="preserve"> </w:t>
      </w:r>
      <w:r>
        <w:rPr>
          <w:rFonts w:hint="eastAsia" w:ascii="仿宋" w:hAnsi="仿宋" w:eastAsia="仿宋" w:cs="仿宋"/>
          <w:sz w:val="28"/>
          <w:szCs w:val="28"/>
          <w:lang w:val="en-US" w:eastAsia="zh-CN"/>
        </w:rPr>
        <w:t xml:space="preserve">                                          </w:t>
      </w:r>
    </w:p>
    <w:p/>
    <w:p>
      <w:pPr>
        <w:pStyle w:val="7"/>
        <w:keepNext w:val="0"/>
        <w:keepLines w:val="0"/>
        <w:pageBreakBefore w:val="0"/>
        <w:widowControl/>
        <w:suppressLineNumbers w:val="0"/>
        <w:kinsoku/>
        <w:wordWrap/>
        <w:overflowPunct/>
        <w:topLinePunct w:val="0"/>
        <w:autoSpaceDE/>
        <w:autoSpaceDN/>
        <w:bidi w:val="0"/>
        <w:adjustRightInd/>
        <w:snapToGrid/>
        <w:spacing w:before="960" w:beforeAutospacing="0" w:after="0" w:afterAutospacing="0"/>
        <w:ind w:left="0" w:right="0" w:firstLine="320" w:firstLineChars="200"/>
        <w:jc w:val="both"/>
        <w:textAlignment w:val="auto"/>
        <w:rPr>
          <w:rFonts w:hint="eastAsia" w:ascii="微软雅黑" w:hAnsi="微软雅黑" w:eastAsia="微软雅黑" w:cs="微软雅黑"/>
          <w:sz w:val="16"/>
          <w:szCs w:val="16"/>
        </w:rPr>
      </w:pPr>
    </w:p>
    <w:p>
      <w:pPr>
        <w:pStyle w:val="7"/>
        <w:keepNext w:val="0"/>
        <w:keepLines w:val="0"/>
        <w:pageBreakBefore w:val="0"/>
        <w:widowControl/>
        <w:suppressLineNumbers w:val="0"/>
        <w:kinsoku/>
        <w:wordWrap/>
        <w:overflowPunct/>
        <w:topLinePunct w:val="0"/>
        <w:autoSpaceDE/>
        <w:autoSpaceDN/>
        <w:bidi w:val="0"/>
        <w:adjustRightInd/>
        <w:snapToGrid/>
        <w:spacing w:before="960" w:beforeAutospacing="0" w:after="0" w:afterAutospacing="0"/>
        <w:ind w:left="0" w:right="0" w:firstLine="320" w:firstLineChars="200"/>
        <w:jc w:val="both"/>
        <w:textAlignment w:val="auto"/>
        <w:rPr>
          <w:rFonts w:hint="eastAsia" w:ascii="微软雅黑" w:hAnsi="微软雅黑" w:eastAsia="微软雅黑" w:cs="微软雅黑"/>
          <w:sz w:val="16"/>
          <w:szCs w:val="16"/>
        </w:rPr>
      </w:pPr>
    </w:p>
    <w:p/>
    <w:sectPr>
      <w:headerReference r:id="rId5" w:type="first"/>
      <w:headerReference r:id="rId3" w:type="default"/>
      <w:headerReference r:id="rId4" w:type="even"/>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altName w:val="Lucida Sans Unicode"/>
    <w:panose1 w:val="020B0602030504020204"/>
    <w:charset w:val="00"/>
    <w:family w:val="auto"/>
    <w:pitch w:val="default"/>
    <w:sig w:usb0="00000000" w:usb1="00000000" w:usb2="00000000" w:usb3="00000000" w:csb0="2000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Lucida Sans Unicode">
    <w:panose1 w:val="020B0602030504020204"/>
    <w:charset w:val="00"/>
    <w:family w:val="auto"/>
    <w:pitch w:val="default"/>
    <w:sig w:usb0="80001AFF" w:usb1="0000396B" w:usb2="00000000" w:usb3="00000000" w:csb0="200000BF" w:csb1="D7F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r>
      <w:pict>
        <v:shape id="PowerPlusWaterMarkObject4" o:spid="_x0000_s2052" o:spt="136" type="#_x0000_t136" style="position:absolute;left:0pt;margin-left:-90pt;margin-top:0pt;height:50.25pt;width:1884.35pt;rotation:22282240f;z-index:-1024;mso-width-relative:page;mso-height-relative:page;" fillcolor="#808080" filled="t" stroked="f" coordsize="21600,21600" o:allowincell="f" adj="10800">
          <v:path/>
          <v:fill on="t" opacity="655f" focussize="0,0"/>
          <v:stroke on="f" color="#000000"/>
          <v:imagedata o:title=""/>
          <o:lock v:ext="edit"/>
          <v:textpath on="t" fitshape="t" fitpath="t" trim="t" xscale="f" string="江苏高淳农村商业银行    计划财务部    甘兆红    2026-02-14  15:01:50" style="font-family:宋体;font-size:50pt;v-text-align:center;"/>
        </v:shape>
      </w:pict>
    </w:r>
    <w:r>
      <w:pict>
        <v:shape id="PowerPlusWaterMarkObject5" o:spid="_x0000_s2053" o:spt="136" type="#_x0000_t136" style="position:absolute;left:0pt;margin-left:-71.25pt;margin-top:738.75pt;height:50.25pt;width:1884.35pt;rotation:22282240f;z-index:-1024;mso-width-relative:page;mso-height-relative:page;" fillcolor="#808080" filled="t" stroked="f" coordsize="21600,21600" o:allowincell="f" adj="10800">
          <v:path/>
          <v:fill on="t" opacity="655f" focussize="0,0"/>
          <v:stroke on="f" color="#000000"/>
          <v:imagedata o:title=""/>
          <o:lock v:ext="edit"/>
          <v:textpath on="t" fitshape="t" fitpath="t" trim="t" xscale="f" string="江苏高淳农村商业银行    计划财务部    甘兆红    2026-02-14  15:01:50" style="font-family:宋体;font-size:50pt;v-text-align:center;"/>
        </v:shape>
      </w:pict>
    </w:r>
    <w:r>
      <w:pict>
        <v:shape id="PowerPlusWaterMarkObject6" o:spid="_x0000_s2054" o:spt="136" type="#_x0000_t136" style="position:absolute;left:0pt;margin-left:-0.75pt;margin-top:-0.75pt;height:12pt;width:426pt;rotation:20643840f;z-index:-1024;mso-width-relative:page;mso-height-relative:page;" fillcolor="#000000" filled="t" stroked="f" coordsize="21600,21600" o:allowincell="f" adj="10800">
          <v:path/>
          <v:fill on="t" opacity="32768f" focussize="0,0"/>
          <v:stroke on="f" color="#000000"/>
          <v:imagedata o:title=""/>
          <o:lock v:ext="edit"/>
          <v:textpath on="t" fitshape="t" fitpath="t" trim="t" xscale="f" string="江苏高淳农村商业银行    办公室    夏黎勤    2026-02-24  08:58:06" style="font-family:宋体;font-size:12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r>
      <w:pict>
        <v:shape id="PowerPlusWaterMarkObject7" o:spid="_x0000_s2055" o:spt="136" type="#_x0000_t136" style="position:absolute;left:0pt;margin-left:-90pt;margin-top:0pt;height:50.25pt;width:1884.35pt;rotation:22282240f;z-index:-1024;mso-width-relative:page;mso-height-relative:page;" fillcolor="#808080" filled="t" stroked="f" coordsize="21600,21600" o:allowincell="f" adj="10800">
          <v:path/>
          <v:fill on="t" opacity="655f" focussize="0,0"/>
          <v:stroke on="f" color="#000000"/>
          <v:imagedata o:title=""/>
          <o:lock v:ext="edit"/>
          <v:textpath on="t" fitshape="t" fitpath="t" trim="t" xscale="f" string="江苏高淳农村商业银行    计划财务部    甘兆红    2026-02-14  15:01:50" style="font-family:宋体;font-size:50pt;v-text-align:center;"/>
        </v:shape>
      </w:pict>
    </w:r>
    <w:r>
      <w:pict>
        <v:shape id="PowerPlusWaterMarkObject8" o:spid="_x0000_s2056" o:spt="136" type="#_x0000_t136" style="position:absolute;left:0pt;margin-left:-71.25pt;margin-top:738.75pt;height:50.25pt;width:1884.35pt;rotation:22282240f;z-index:-1024;mso-width-relative:page;mso-height-relative:page;" fillcolor="#808080" filled="t" stroked="f" coordsize="21600,21600" o:allowincell="f" adj="10800">
          <v:path/>
          <v:fill on="t" opacity="655f" focussize="0,0"/>
          <v:stroke on="f" color="#000000"/>
          <v:imagedata o:title=""/>
          <o:lock v:ext="edit"/>
          <v:textpath on="t" fitshape="t" fitpath="t" trim="t" xscale="f" string="江苏高淳农村商业银行    计划财务部    甘兆红    2026-02-14  15:01:50" style="font-family:宋体;font-size:50pt;v-text-align:center;"/>
        </v:shape>
      </w:pict>
    </w:r>
    <w:r>
      <w:pict>
        <v:shape id="PowerPlusWaterMarkObject9" o:spid="_x0000_s2057" o:spt="136" type="#_x0000_t136" style="position:absolute;left:0pt;margin-left:-0.75pt;margin-top:-0.75pt;height:12pt;width:426pt;rotation:20643840f;z-index:-1024;mso-width-relative:page;mso-height-relative:page;" fillcolor="#000000" filled="t" stroked="f" coordsize="21600,21600" o:allowincell="f" adj="10800">
          <v:path/>
          <v:fill on="t" opacity="32768f" focussize="0,0"/>
          <v:stroke on="f" color="#000000"/>
          <v:imagedata o:title=""/>
          <o:lock v:ext="edit"/>
          <v:textpath on="t" fitshape="t" fitpath="t" trim="t" xscale="f" string="江苏高淳农村商业银行    办公室    夏黎勤    2026-02-24  08:58:06" style="font-family:宋体;font-size:12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
  <w:rsids>
    <w:rsidRoot w:val="00000000"/>
    <w:rsid w:val="2B3E0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Lucida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paragraph" w:styleId="2">
    <w:name w:val="heading 1"/>
    <w:basedOn w:val="1"/>
    <w:next w:val="1"/>
    <w:link w:val="11"/>
    <w:qFormat/>
    <w:uiPriority w:val="0"/>
    <w:pPr>
      <w:spacing w:before="0" w:beforeAutospacing="1" w:after="0" w:afterAutospacing="1"/>
      <w:jc w:val="left"/>
      <w:outlineLvl w:val="0"/>
    </w:pPr>
    <w:rPr>
      <w:rFonts w:ascii="宋体" w:hAnsi="宋体" w:eastAsia="宋体" w:cs="宋体"/>
      <w:b/>
      <w:bCs/>
      <w:kern w:val="44"/>
      <w:sz w:val="48"/>
      <w:szCs w:val="48"/>
      <w:lang w:val="en-US" w:eastAsia="zh-CN"/>
    </w:rPr>
  </w:style>
  <w:style w:type="paragraph" w:styleId="3">
    <w:name w:val="heading 2"/>
    <w:basedOn w:val="1"/>
    <w:next w:val="1"/>
    <w:link w:val="12"/>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link w:val="13"/>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5">
    <w:name w:val="footer"/>
    <w:basedOn w:val="1"/>
    <w:qFormat/>
    <w:uiPriority w:val="0"/>
    <w:pPr>
      <w:tabs>
        <w:tab w:val="center" w:pos="4153"/>
        <w:tab w:val="right" w:pos="8307"/>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7"/>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b/>
      <w:bCs/>
      <w:kern w:val="0"/>
      <w:sz w:val="24"/>
      <w:lang w:val="en-US" w:eastAsia="zh-CN"/>
    </w:rPr>
  </w:style>
  <w:style w:type="character" w:styleId="10">
    <w:name w:val="Strong"/>
    <w:basedOn w:val="9"/>
    <w:qFormat/>
    <w:uiPriority w:val="0"/>
    <w:rPr>
      <w:b/>
    </w:rPr>
  </w:style>
  <w:style w:type="character" w:customStyle="1" w:styleId="11">
    <w:name w:val="heading 1 Char"/>
    <w:basedOn w:val="9"/>
    <w:link w:val="2"/>
    <w:uiPriority w:val="0"/>
    <w:rPr>
      <w:rFonts w:ascii="宋体" w:hAnsi="宋体" w:eastAsia="宋体" w:cs="宋体"/>
      <w:b/>
      <w:bCs/>
      <w:kern w:val="44"/>
      <w:sz w:val="48"/>
      <w:szCs w:val="48"/>
      <w:lang w:val="en-US" w:eastAsia="zh-CN" w:bidi="ar-SA"/>
    </w:rPr>
  </w:style>
  <w:style w:type="character" w:customStyle="1" w:styleId="12">
    <w:name w:val="heading 2 Char"/>
    <w:basedOn w:val="9"/>
    <w:link w:val="3"/>
    <w:uiPriority w:val="0"/>
    <w:rPr>
      <w:rFonts w:ascii="Times New Roman" w:hAnsi="Times New Roman" w:eastAsia="黑体" w:cs="Arial"/>
      <w:b/>
      <w:bCs/>
      <w:kern w:val="2"/>
      <w:sz w:val="32"/>
      <w:szCs w:val="32"/>
      <w:lang w:val="en-US" w:eastAsia="zh-CN" w:bidi="ar-SA"/>
    </w:rPr>
  </w:style>
  <w:style w:type="character" w:customStyle="1" w:styleId="13">
    <w:name w:val="heading 3 Char"/>
    <w:basedOn w:val="9"/>
    <w:link w:val="4"/>
    <w:qFormat/>
    <w:uiPriority w:val="0"/>
    <w:rPr>
      <w:rFonts w:ascii="Calibri" w:hAnsi="Calibri" w:eastAsia="宋体" w:cs="Arial"/>
      <w:b/>
      <w:bCs/>
      <w:kern w:val="2"/>
      <w:sz w:val="32"/>
      <w:szCs w:val="32"/>
      <w:lang w:val="en-US" w:eastAsia="zh-CN" w:bidi="ar-SA"/>
    </w:rPr>
  </w:style>
  <w:style w:type="character" w:customStyle="1" w:styleId="14">
    <w:name w:val="font81"/>
    <w:basedOn w:val="9"/>
    <w:qFormat/>
    <w:uiPriority w:val="0"/>
    <w:rPr>
      <w:rFonts w:ascii="微软雅黑" w:hAnsi="微软雅黑" w:eastAsia="微软雅黑" w:cs="微软雅黑"/>
      <w:b/>
      <w:color w:val="FF0000"/>
      <w:sz w:val="32"/>
      <w:szCs w:val="32"/>
      <w:u w:val="none"/>
    </w:rPr>
  </w:style>
  <w:style w:type="character" w:customStyle="1" w:styleId="15">
    <w:name w:val="font31"/>
    <w:basedOn w:val="9"/>
    <w:qFormat/>
    <w:uiPriority w:val="0"/>
    <w:rPr>
      <w:rFonts w:ascii="微软雅黑" w:hAnsi="微软雅黑" w:eastAsia="微软雅黑" w:cs="微软雅黑"/>
      <w:b/>
      <w:color w:val="000000"/>
      <w:sz w:val="32"/>
      <w:szCs w:val="32"/>
      <w:u w:val="none"/>
    </w:rPr>
  </w:style>
  <w:style w:type="character" w:customStyle="1" w:styleId="16">
    <w:name w:val="font41"/>
    <w:basedOn w:val="9"/>
    <w:qFormat/>
    <w:uiPriority w:val="0"/>
    <w:rPr>
      <w:rFonts w:ascii="黑体" w:hAnsi="宋体" w:eastAsia="黑体" w:cs="黑体"/>
      <w:color w:val="00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ap="flat" cmpd="sng">
          <a:solidFill>
            <a:schemeClr val="phClr"/>
          </a:solidFill>
          <a:prstDash val="solid"/>
          <a:miter/>
        </a:ln>
        <a:ln w="12700" cap="flat" cmpd="sng">
          <a:solidFill>
            <a:schemeClr val="phClr"/>
          </a:solidFill>
          <a:prstDash val="solid"/>
          <a:miter/>
        </a:ln>
        <a:ln w="19050" cap="flat" cmpd="sng">
          <a:solidFill>
            <a:schemeClr val="phClr"/>
          </a:solidFill>
          <a:prstDash val="solid"/>
          <a:miter/>
        </a:ln>
      </a:lnStyleLst>
      <a:effectStyleLst>
        <a:effectStyle>
          <a:effectLst/>
        </a:effectStyle>
        <a:effectStyle>
          <a:effectLst/>
        </a:effectStyle>
        <a:effectStyle>
          <a:effectLst>
            <a:outerShdw blurRad="57150" dist="19050" dir="5400000" algn="ctr" rotWithShape="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2053"/>
    <customShpInfo spid="_x0000_s2054"/>
    <customShpInfo spid="_x0000_s2055"/>
    <customShpInfo spid="_x0000_s2056"/>
    <customShpInfo spid="_x0000_s2057"/>
  </customShpExts>
</s:customData>
</file>

<file path=customXml/item2.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CAA802-16A3-4C28-8718-304FAC5891CB}">
  <ds:schemaRefs/>
</ds:datastoreItem>
</file>

<file path=docProps/app.xml><?xml version="1.0" encoding="utf-8"?>
<Properties xmlns="http://schemas.openxmlformats.org/officeDocument/2006/extended-properties" xmlns:vt="http://schemas.openxmlformats.org/officeDocument/2006/docPropsVTypes">
  <Template>Normal.eit</Template>
  <Pages>1</Pages>
  <Words>0</Words>
  <Characters>2424</Characters>
  <Lines>0</Lines>
  <Paragraphs>17</Paragraphs>
  <TotalTime>5</TotalTime>
  <ScaleCrop>false</ScaleCrop>
  <LinksUpToDate>false</LinksUpToDate>
  <CharactersWithSpaces>3233</CharactersWithSpaces>
  <Application>WPS Office_11.8.2.8696_F1E327BC-269C-435d-A152-05C5408002CA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2021-01-06T08:01:00Z</dcterms:created>
  <dc:creator>lenovo</dc:creator>
  <cp:lastModifiedBy>夏黎勤</cp:lastModifiedBy>
  <cp:lastPrinted>2025-01-09T02:31:00Z</cp:lastPrinted>
  <dcterms:modified xsi:type="dcterms:W3CDTF">2026-02-24T01:10:02Z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