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960" w:beforeAutospacing="0" w:after="0" w:afterAutospacing="0"/>
        <w:ind w:left="0" w:right="0"/>
        <w:jc w:val="center"/>
        <w:rPr>
          <w:b/>
          <w:bCs/>
        </w:rPr>
      </w:pPr>
      <w:r>
        <w:rPr>
          <w:b/>
          <w:bCs/>
        </w:rPr>
        <w:t>江苏</w:t>
      </w:r>
      <w:r>
        <w:rPr>
          <w:rFonts w:hint="eastAsia"/>
          <w:b/>
          <w:bCs/>
          <w:lang w:val="zh-CN"/>
        </w:rPr>
        <w:t>高淳</w:t>
      </w:r>
      <w:r>
        <w:rPr>
          <w:b/>
          <w:bCs/>
        </w:rPr>
        <w:t>农村商业银行股份有限公司202</w:t>
      </w:r>
      <w:r>
        <w:rPr>
          <w:rFonts w:hint="eastAsia"/>
          <w:b/>
          <w:bCs/>
          <w:lang w:val="en-US" w:eastAsia="zh-CN"/>
        </w:rPr>
        <w:t>5</w:t>
      </w:r>
      <w:r>
        <w:rPr>
          <w:b/>
          <w:bCs/>
        </w:rPr>
        <w:t>年第</w:t>
      </w:r>
      <w:r>
        <w:rPr>
          <w:rFonts w:hint="eastAsia"/>
          <w:b/>
          <w:bCs/>
          <w:lang w:val="en-US" w:eastAsia="zh-CN"/>
        </w:rPr>
        <w:t>三</w:t>
      </w:r>
      <w:r>
        <w:rPr>
          <w:b/>
          <w:bCs/>
        </w:rPr>
        <w:t>季度第三支柱信息披露报告</w:t>
      </w:r>
    </w:p>
    <w:p/>
    <w:p/>
    <w:p>
      <w:pPr>
        <w:pStyle w:val="7"/>
        <w:keepNext w:val="0"/>
        <w:keepLines w:val="0"/>
        <w:pageBreakBefore w:val="0"/>
        <w:widowControl/>
        <w:suppressLineNumbers w:val="0"/>
        <w:kinsoku/>
        <w:wordWrap/>
        <w:overflowPunct/>
        <w:topLinePunct w:val="0"/>
        <w:autoSpaceDE/>
        <w:autoSpaceDN/>
        <w:bidi w:val="0"/>
        <w:adjustRightInd/>
        <w:snapToGrid/>
        <w:spacing w:before="160" w:beforeAutospacing="0" w:after="0" w:afterAutospacing="0"/>
        <w:ind w:left="0" w:right="0" w:firstLine="562"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根据《商业银行资本管理办法》中附件22《商业银行信息披露内容和要求》，本行依规向投资者和社会公众披露本行资本充足率相关信息。本报告披露的报表经本行高级管理层确认。</w:t>
      </w:r>
    </w:p>
    <w:p>
      <w:pPr>
        <w:pStyle w:val="7"/>
        <w:keepNext w:val="0"/>
        <w:keepLines w:val="0"/>
        <w:pageBreakBefore w:val="0"/>
        <w:widowControl/>
        <w:suppressLineNumbers w:val="0"/>
        <w:kinsoku/>
        <w:wordWrap/>
        <w:overflowPunct/>
        <w:topLinePunct w:val="0"/>
        <w:autoSpaceDE/>
        <w:autoSpaceDN/>
        <w:bidi w:val="0"/>
        <w:adjustRightInd/>
        <w:snapToGrid/>
        <w:spacing w:before="160" w:beforeAutospacing="0" w:after="0" w:afterAutospacing="0"/>
        <w:ind w:left="0" w:right="0" w:firstLine="562"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本行为非国内系统重要性银行，划分标准适用于二档商业银行规定，本季度本行需披露的报表如下:</w:t>
      </w:r>
    </w:p>
    <w:tbl>
      <w:tblPr>
        <w:tblStyle w:val="8"/>
        <w:tblW w:w="103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619"/>
        <w:gridCol w:w="2955"/>
        <w:gridCol w:w="2851"/>
        <w:gridCol w:w="29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0" w:hRule="atLeast"/>
        </w:trPr>
        <w:tc>
          <w:tcPr>
            <w:tcW w:w="10380" w:type="dxa"/>
            <w:gridSpan w:val="4"/>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ascii="微软雅黑" w:hAnsi="微软雅黑" w:eastAsia="微软雅黑" w:cs="微软雅黑"/>
                <w:b/>
                <w:i w:val="0"/>
                <w:color w:val="000000"/>
                <w:sz w:val="32"/>
                <w:szCs w:val="32"/>
                <w:u w:val="none"/>
              </w:rPr>
            </w:pPr>
            <w:r>
              <w:rPr>
                <w:rFonts w:hint="eastAsia" w:ascii="微软雅黑" w:hAnsi="微软雅黑" w:eastAsia="微软雅黑" w:cs="微软雅黑"/>
                <w:b/>
                <w:i w:val="0"/>
                <w:color w:val="000000"/>
                <w:kern w:val="0"/>
                <w:sz w:val="32"/>
                <w:szCs w:val="32"/>
                <w:u w:val="none"/>
                <w:lang w:val="en-US" w:eastAsia="zh-CN"/>
              </w:rPr>
              <w:t>KM1：监管并表关键审慎监管指标【2025年三季度】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0" w:hRule="atLeast"/>
        </w:trPr>
        <w:tc>
          <w:tcPr>
            <w:tcW w:w="1619"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单位：人民币万元，%</w:t>
            </w:r>
          </w:p>
        </w:tc>
        <w:tc>
          <w:tcPr>
            <w:tcW w:w="2955"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2851"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2955" w:type="dxa"/>
            <w:tcBorders>
              <w:top w:val="nil"/>
              <w:left w:val="nil"/>
              <w:bottom w:val="nil"/>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4574" w:type="dxa"/>
            <w:gridSpan w:val="2"/>
            <w:tcBorders>
              <w:top w:val="single" w:color="000000" w:sz="8" w:space="0"/>
              <w:left w:val="nil"/>
              <w:bottom w:val="nil"/>
              <w:right w:val="single" w:color="000000" w:sz="8" w:space="0"/>
            </w:tcBorders>
            <w:shd w:val="clear" w:color="auto" w:fill="auto"/>
            <w:tcMar>
              <w:top w:w="15" w:type="dxa"/>
              <w:left w:w="15" w:type="dxa"/>
              <w:right w:w="15" w:type="dxa"/>
            </w:tcMar>
            <w:vAlign w:val="center"/>
          </w:tcPr>
          <w:p>
            <w:pPr>
              <w:jc w:val="left"/>
              <w:rPr>
                <w:rFonts w:hint="eastAsia" w:ascii="Calibri" w:hAnsi="Calibri" w:eastAsia="宋体" w:cs="Calibri"/>
                <w:i w:val="0"/>
                <w:color w:val="000000"/>
                <w:sz w:val="24"/>
                <w:szCs w:val="24"/>
                <w:u w:val="none"/>
              </w:rPr>
            </w:pPr>
          </w:p>
        </w:tc>
        <w:tc>
          <w:tcPr>
            <w:tcW w:w="2851" w:type="dxa"/>
            <w:tcBorders>
              <w:top w:val="single" w:color="000000" w:sz="8" w:space="0"/>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a</w:t>
            </w:r>
          </w:p>
        </w:tc>
        <w:tc>
          <w:tcPr>
            <w:tcW w:w="2955" w:type="dxa"/>
            <w:tcBorders>
              <w:top w:val="single" w:color="000000" w:sz="8" w:space="0"/>
              <w:left w:val="single" w:color="000000" w:sz="8" w:space="0"/>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4574" w:type="dxa"/>
            <w:gridSpan w:val="2"/>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left"/>
              <w:rPr>
                <w:rFonts w:ascii="Calibri" w:hAnsi="Calibri" w:eastAsia="宋体" w:cs="Calibri"/>
                <w:i w:val="0"/>
                <w:color w:val="000000"/>
                <w:sz w:val="24"/>
                <w:szCs w:val="24"/>
                <w:u w:val="none"/>
              </w:rPr>
            </w:pPr>
          </w:p>
        </w:tc>
        <w:tc>
          <w:tcPr>
            <w:tcW w:w="2851"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T</w:t>
            </w:r>
          </w:p>
        </w:tc>
        <w:tc>
          <w:tcPr>
            <w:tcW w:w="2955" w:type="dxa"/>
            <w:tcBorders>
              <w:top w:val="single" w:color="000000" w:sz="8" w:space="0"/>
              <w:left w:val="single" w:color="000000" w:sz="8" w:space="0"/>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0380" w:type="dxa"/>
            <w:gridSpan w:val="4"/>
            <w:tcBorders>
              <w:top w:val="nil"/>
              <w:left w:val="nil"/>
              <w:bottom w:val="single" w:color="000000" w:sz="8" w:space="0"/>
              <w:right w:val="nil"/>
            </w:tcBorders>
            <w:shd w:val="clear" w:color="auto" w:fill="D9D9D9"/>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可用资本（数额）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w:t>
            </w:r>
          </w:p>
        </w:tc>
        <w:tc>
          <w:tcPr>
            <w:tcW w:w="2955"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核心一级资本净额</w:t>
            </w:r>
          </w:p>
        </w:tc>
        <w:tc>
          <w:tcPr>
            <w:tcW w:w="2851"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253159.68</w:t>
            </w:r>
          </w:p>
        </w:tc>
        <w:tc>
          <w:tcPr>
            <w:tcW w:w="2955" w:type="dxa"/>
            <w:tcBorders>
              <w:top w:val="single" w:color="000000" w:sz="8" w:space="0"/>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253884.91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w:t>
            </w:r>
          </w:p>
        </w:tc>
        <w:tc>
          <w:tcPr>
            <w:tcW w:w="295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一级资本净额</w:t>
            </w:r>
          </w:p>
        </w:tc>
        <w:tc>
          <w:tcPr>
            <w:tcW w:w="2851"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253159.68</w:t>
            </w:r>
          </w:p>
        </w:tc>
        <w:tc>
          <w:tcPr>
            <w:tcW w:w="2955" w:type="dxa"/>
            <w:tcBorders>
              <w:top w:val="single" w:color="000000" w:sz="8" w:space="0"/>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253884.91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3</w:t>
            </w:r>
          </w:p>
        </w:tc>
        <w:tc>
          <w:tcPr>
            <w:tcW w:w="295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资本净额</w:t>
            </w:r>
          </w:p>
        </w:tc>
        <w:tc>
          <w:tcPr>
            <w:tcW w:w="2851"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272991.72 </w:t>
            </w:r>
          </w:p>
        </w:tc>
        <w:tc>
          <w:tcPr>
            <w:tcW w:w="2955" w:type="dxa"/>
            <w:tcBorders>
              <w:top w:val="single" w:color="000000" w:sz="8" w:space="0"/>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273374.42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0380" w:type="dxa"/>
            <w:gridSpan w:val="4"/>
            <w:tcBorders>
              <w:top w:val="nil"/>
              <w:left w:val="nil"/>
              <w:bottom w:val="single" w:color="000000" w:sz="8" w:space="0"/>
              <w:right w:val="nil"/>
            </w:tcBorders>
            <w:shd w:val="clear" w:color="auto" w:fill="D9D9D9"/>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风险加权资产（数额）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4</w:t>
            </w:r>
          </w:p>
        </w:tc>
        <w:tc>
          <w:tcPr>
            <w:tcW w:w="2955"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风险加权资产</w:t>
            </w:r>
          </w:p>
        </w:tc>
        <w:tc>
          <w:tcPr>
            <w:tcW w:w="2851"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1744174.88</w:t>
            </w:r>
          </w:p>
        </w:tc>
        <w:tc>
          <w:tcPr>
            <w:tcW w:w="2955" w:type="dxa"/>
            <w:tcBorders>
              <w:top w:val="single" w:color="000000" w:sz="8" w:space="0"/>
              <w:left w:val="single" w:color="000000" w:sz="8" w:space="0"/>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1738736.31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0380" w:type="dxa"/>
            <w:gridSpan w:val="4"/>
            <w:tcBorders>
              <w:top w:val="nil"/>
              <w:left w:val="nil"/>
              <w:bottom w:val="single" w:color="000000" w:sz="8" w:space="0"/>
              <w:right w:val="nil"/>
            </w:tcBorders>
            <w:shd w:val="clear" w:color="auto" w:fill="D9D9D9"/>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资本充足率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9"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5</w:t>
            </w:r>
          </w:p>
        </w:tc>
        <w:tc>
          <w:tcPr>
            <w:tcW w:w="295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核心一级资本充足率（%）</w:t>
            </w:r>
          </w:p>
        </w:tc>
        <w:tc>
          <w:tcPr>
            <w:tcW w:w="2851"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14.51 </w:t>
            </w:r>
          </w:p>
        </w:tc>
        <w:tc>
          <w:tcPr>
            <w:tcW w:w="2955" w:type="dxa"/>
            <w:tcBorders>
              <w:top w:val="single" w:color="000000" w:sz="8" w:space="0"/>
              <w:left w:val="single" w:color="000000" w:sz="8" w:space="0"/>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14.60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6</w:t>
            </w:r>
          </w:p>
        </w:tc>
        <w:tc>
          <w:tcPr>
            <w:tcW w:w="2955"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一级资本充足率（%）</w:t>
            </w:r>
          </w:p>
        </w:tc>
        <w:tc>
          <w:tcPr>
            <w:tcW w:w="285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14.51 </w:t>
            </w:r>
          </w:p>
        </w:tc>
        <w:tc>
          <w:tcPr>
            <w:tcW w:w="2955" w:type="dxa"/>
            <w:tcBorders>
              <w:top w:val="nil"/>
              <w:left w:val="single" w:color="000000" w:sz="8" w:space="0"/>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14.60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7</w:t>
            </w:r>
          </w:p>
        </w:tc>
        <w:tc>
          <w:tcPr>
            <w:tcW w:w="2955"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资本充足率（%）</w:t>
            </w:r>
          </w:p>
        </w:tc>
        <w:tc>
          <w:tcPr>
            <w:tcW w:w="2851"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15.65 </w:t>
            </w:r>
          </w:p>
        </w:tc>
        <w:tc>
          <w:tcPr>
            <w:tcW w:w="2955" w:type="dxa"/>
            <w:tcBorders>
              <w:top w:val="nil"/>
              <w:left w:val="single" w:color="000000" w:sz="8" w:space="0"/>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15.72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0380" w:type="dxa"/>
            <w:gridSpan w:val="4"/>
            <w:tcBorders>
              <w:top w:val="nil"/>
              <w:left w:val="nil"/>
              <w:bottom w:val="single" w:color="000000" w:sz="8" w:space="0"/>
              <w:right w:val="nil"/>
            </w:tcBorders>
            <w:shd w:val="clear" w:color="auto" w:fill="D9D9D9"/>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其他各级资本要求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8</w:t>
            </w:r>
          </w:p>
        </w:tc>
        <w:tc>
          <w:tcPr>
            <w:tcW w:w="2955"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储备资本要求（%）</w:t>
            </w:r>
          </w:p>
        </w:tc>
        <w:tc>
          <w:tcPr>
            <w:tcW w:w="2851" w:type="dxa"/>
            <w:tcBorders>
              <w:top w:val="single" w:color="000000" w:sz="8" w:space="0"/>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2.5</w:t>
            </w:r>
          </w:p>
        </w:tc>
        <w:tc>
          <w:tcPr>
            <w:tcW w:w="2955" w:type="dxa"/>
            <w:tcBorders>
              <w:top w:val="single" w:color="000000" w:sz="8" w:space="0"/>
              <w:left w:val="single" w:color="000000" w:sz="8" w:space="0"/>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9</w:t>
            </w:r>
          </w:p>
        </w:tc>
        <w:tc>
          <w:tcPr>
            <w:tcW w:w="295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逆周期资本要求（%）</w:t>
            </w:r>
          </w:p>
        </w:tc>
        <w:tc>
          <w:tcPr>
            <w:tcW w:w="2851"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0</w:t>
            </w:r>
          </w:p>
        </w:tc>
        <w:tc>
          <w:tcPr>
            <w:tcW w:w="2955" w:type="dxa"/>
            <w:tcBorders>
              <w:top w:val="single" w:color="000000" w:sz="8" w:space="0"/>
              <w:left w:val="single" w:color="000000" w:sz="8" w:space="0"/>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10</w:t>
            </w:r>
          </w:p>
        </w:tc>
        <w:tc>
          <w:tcPr>
            <w:tcW w:w="295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全球系统重要性银行或国内系统重要性银行附加资本要求（%）</w:t>
            </w:r>
          </w:p>
        </w:tc>
        <w:tc>
          <w:tcPr>
            <w:tcW w:w="2851" w:type="dxa"/>
            <w:tcBorders>
              <w:top w:val="nil"/>
              <w:left w:val="nil"/>
              <w:bottom w:val="single" w:color="000000" w:sz="8" w:space="0"/>
              <w:right w:val="nil"/>
            </w:tcBorders>
            <w:shd w:val="clear" w:color="auto" w:fill="BEBEBE"/>
            <w:tcMar>
              <w:top w:w="15" w:type="dxa"/>
              <w:left w:w="15" w:type="dxa"/>
              <w:right w:w="15" w:type="dxa"/>
            </w:tcMar>
            <w:vAlign w:val="center"/>
          </w:tcPr>
          <w:p>
            <w:pPr>
              <w:jc w:val="left"/>
              <w:rPr>
                <w:rFonts w:hint="eastAsia" w:ascii="宋体" w:hAnsi="宋体" w:eastAsia="宋体" w:cs="宋体"/>
                <w:i w:val="0"/>
                <w:color w:val="000000"/>
                <w:sz w:val="16"/>
                <w:szCs w:val="16"/>
                <w:u w:val="none"/>
              </w:rPr>
            </w:pPr>
          </w:p>
        </w:tc>
        <w:tc>
          <w:tcPr>
            <w:tcW w:w="2955" w:type="dxa"/>
            <w:tcBorders>
              <w:top w:val="nil"/>
              <w:left w:val="nil"/>
              <w:bottom w:val="single" w:color="000000" w:sz="8" w:space="0"/>
              <w:right w:val="nil"/>
            </w:tcBorders>
            <w:shd w:val="clear" w:color="auto" w:fill="BEBEBE"/>
            <w:tcMar>
              <w:top w:w="15" w:type="dxa"/>
              <w:left w:w="15" w:type="dxa"/>
              <w:right w:w="15" w:type="dxa"/>
            </w:tcMar>
            <w:vAlign w:val="center"/>
          </w:tcPr>
          <w:p>
            <w:pPr>
              <w:jc w:val="left"/>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11</w:t>
            </w:r>
          </w:p>
        </w:tc>
        <w:tc>
          <w:tcPr>
            <w:tcW w:w="295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其他各级资本要求（%）（8+9+10）</w:t>
            </w:r>
          </w:p>
        </w:tc>
        <w:tc>
          <w:tcPr>
            <w:tcW w:w="2851"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2.5</w:t>
            </w:r>
          </w:p>
        </w:tc>
        <w:tc>
          <w:tcPr>
            <w:tcW w:w="2955" w:type="dxa"/>
            <w:tcBorders>
              <w:top w:val="single" w:color="000000" w:sz="8" w:space="0"/>
              <w:left w:val="single" w:color="000000" w:sz="8" w:space="0"/>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12</w:t>
            </w:r>
          </w:p>
        </w:tc>
        <w:tc>
          <w:tcPr>
            <w:tcW w:w="295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满足最低资本要求后的可用核心一级资本净额占风险加权资产的比例（%）</w:t>
            </w:r>
          </w:p>
        </w:tc>
        <w:tc>
          <w:tcPr>
            <w:tcW w:w="2851"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7.65 </w:t>
            </w:r>
          </w:p>
        </w:tc>
        <w:tc>
          <w:tcPr>
            <w:tcW w:w="2955" w:type="dxa"/>
            <w:tcBorders>
              <w:top w:val="single" w:color="000000" w:sz="8" w:space="0"/>
              <w:left w:val="single" w:color="000000" w:sz="8" w:space="0"/>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rPr>
              <w:t>7.72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0380" w:type="dxa"/>
            <w:gridSpan w:val="4"/>
            <w:tcBorders>
              <w:top w:val="nil"/>
              <w:left w:val="nil"/>
              <w:bottom w:val="single" w:color="000000" w:sz="8" w:space="0"/>
              <w:right w:val="nil"/>
            </w:tcBorders>
            <w:shd w:val="clear" w:color="auto" w:fill="D9D9D9"/>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杠杆率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13</w:t>
            </w:r>
          </w:p>
        </w:tc>
        <w:tc>
          <w:tcPr>
            <w:tcW w:w="2955"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调整后表内外资产余额</w:t>
            </w:r>
          </w:p>
        </w:tc>
        <w:tc>
          <w:tcPr>
            <w:tcW w:w="2851" w:type="dxa"/>
            <w:tcBorders>
              <w:top w:val="single" w:color="000000" w:sz="8" w:space="0"/>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2795804.27</w:t>
            </w:r>
          </w:p>
        </w:tc>
        <w:tc>
          <w:tcPr>
            <w:tcW w:w="2955" w:type="dxa"/>
            <w:tcBorders>
              <w:top w:val="single" w:color="000000" w:sz="8" w:space="0"/>
              <w:left w:val="single" w:color="000000" w:sz="8" w:space="0"/>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rPr>
              <w:t>2748130.67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14</w:t>
            </w:r>
          </w:p>
        </w:tc>
        <w:tc>
          <w:tcPr>
            <w:tcW w:w="295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杠杆率（%）</w:t>
            </w:r>
          </w:p>
        </w:tc>
        <w:tc>
          <w:tcPr>
            <w:tcW w:w="2851"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9.05 </w:t>
            </w:r>
          </w:p>
        </w:tc>
        <w:tc>
          <w:tcPr>
            <w:tcW w:w="2955" w:type="dxa"/>
            <w:tcBorders>
              <w:top w:val="single" w:color="000000" w:sz="8" w:space="0"/>
              <w:left w:val="single" w:color="000000" w:sz="8" w:space="0"/>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rPr>
              <w:t>9.24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14a</w:t>
            </w:r>
          </w:p>
        </w:tc>
        <w:tc>
          <w:tcPr>
            <w:tcW w:w="295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杠杆率a（%）</w:t>
            </w:r>
          </w:p>
        </w:tc>
        <w:tc>
          <w:tcPr>
            <w:tcW w:w="2851"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9.05 </w:t>
            </w:r>
          </w:p>
        </w:tc>
        <w:tc>
          <w:tcPr>
            <w:tcW w:w="2955" w:type="dxa"/>
            <w:tcBorders>
              <w:top w:val="single" w:color="000000" w:sz="8" w:space="0"/>
              <w:left w:val="single" w:color="000000" w:sz="8" w:space="0"/>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rPr>
              <w:t>9.24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0380" w:type="dxa"/>
            <w:gridSpan w:val="4"/>
            <w:tcBorders>
              <w:top w:val="nil"/>
              <w:left w:val="nil"/>
              <w:bottom w:val="single" w:color="000000" w:sz="8" w:space="0"/>
              <w:right w:val="nil"/>
            </w:tcBorders>
            <w:shd w:val="clear" w:color="auto" w:fill="D9D9D9"/>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流动性覆盖率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15</w:t>
            </w:r>
          </w:p>
        </w:tc>
        <w:tc>
          <w:tcPr>
            <w:tcW w:w="2955"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合格优质流动性资产</w:t>
            </w:r>
          </w:p>
        </w:tc>
        <w:tc>
          <w:tcPr>
            <w:tcW w:w="2851"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不适用</w:t>
            </w:r>
          </w:p>
        </w:tc>
        <w:tc>
          <w:tcPr>
            <w:tcW w:w="2955" w:type="dxa"/>
            <w:tcBorders>
              <w:top w:val="single" w:color="000000" w:sz="8" w:space="0"/>
              <w:left w:val="single" w:color="000000" w:sz="8" w:space="0"/>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16</w:t>
            </w:r>
          </w:p>
        </w:tc>
        <w:tc>
          <w:tcPr>
            <w:tcW w:w="295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现金净流出量</w:t>
            </w:r>
          </w:p>
        </w:tc>
        <w:tc>
          <w:tcPr>
            <w:tcW w:w="285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不适用</w:t>
            </w:r>
          </w:p>
        </w:tc>
        <w:tc>
          <w:tcPr>
            <w:tcW w:w="2955" w:type="dxa"/>
            <w:tcBorders>
              <w:top w:val="nil"/>
              <w:left w:val="single" w:color="000000" w:sz="8" w:space="0"/>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17</w:t>
            </w:r>
          </w:p>
        </w:tc>
        <w:tc>
          <w:tcPr>
            <w:tcW w:w="295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流动性覆盖率（%）</w:t>
            </w:r>
          </w:p>
        </w:tc>
        <w:tc>
          <w:tcPr>
            <w:tcW w:w="285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不适用</w:t>
            </w:r>
          </w:p>
        </w:tc>
        <w:tc>
          <w:tcPr>
            <w:tcW w:w="2955" w:type="dxa"/>
            <w:tcBorders>
              <w:top w:val="nil"/>
              <w:left w:val="single" w:color="000000" w:sz="8" w:space="0"/>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0380" w:type="dxa"/>
            <w:gridSpan w:val="4"/>
            <w:tcBorders>
              <w:top w:val="nil"/>
              <w:left w:val="nil"/>
              <w:bottom w:val="single" w:color="000000" w:sz="8" w:space="0"/>
              <w:right w:val="nil"/>
            </w:tcBorders>
            <w:shd w:val="clear" w:color="auto" w:fill="D9D9D9"/>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净稳定资金比例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18</w:t>
            </w:r>
          </w:p>
        </w:tc>
        <w:tc>
          <w:tcPr>
            <w:tcW w:w="2955"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可用稳定资金合计</w:t>
            </w:r>
          </w:p>
        </w:tc>
        <w:tc>
          <w:tcPr>
            <w:tcW w:w="2851"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不适用</w:t>
            </w:r>
          </w:p>
        </w:tc>
        <w:tc>
          <w:tcPr>
            <w:tcW w:w="2955" w:type="dxa"/>
            <w:tcBorders>
              <w:top w:val="single" w:color="000000" w:sz="8" w:space="0"/>
              <w:left w:val="single" w:color="000000" w:sz="8" w:space="0"/>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19</w:t>
            </w:r>
          </w:p>
        </w:tc>
        <w:tc>
          <w:tcPr>
            <w:tcW w:w="295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所需稳定资金合计</w:t>
            </w:r>
          </w:p>
        </w:tc>
        <w:tc>
          <w:tcPr>
            <w:tcW w:w="285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不适用</w:t>
            </w:r>
          </w:p>
        </w:tc>
        <w:tc>
          <w:tcPr>
            <w:tcW w:w="2955" w:type="dxa"/>
            <w:tcBorders>
              <w:top w:val="nil"/>
              <w:left w:val="single" w:color="000000" w:sz="8" w:space="0"/>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20</w:t>
            </w:r>
          </w:p>
        </w:tc>
        <w:tc>
          <w:tcPr>
            <w:tcW w:w="295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净稳定资金比例（%）</w:t>
            </w:r>
          </w:p>
        </w:tc>
        <w:tc>
          <w:tcPr>
            <w:tcW w:w="2851"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不适用</w:t>
            </w:r>
          </w:p>
        </w:tc>
        <w:tc>
          <w:tcPr>
            <w:tcW w:w="2955" w:type="dxa"/>
            <w:tcBorders>
              <w:top w:val="nil"/>
              <w:left w:val="single" w:color="000000" w:sz="8" w:space="0"/>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0380" w:type="dxa"/>
            <w:gridSpan w:val="4"/>
            <w:tcBorders>
              <w:top w:val="nil"/>
              <w:left w:val="nil"/>
              <w:bottom w:val="single" w:color="000000" w:sz="8" w:space="0"/>
              <w:right w:val="nil"/>
            </w:tcBorders>
            <w:shd w:val="clear" w:color="auto" w:fill="D8D8D8"/>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b/>
                <w:i w:val="0"/>
                <w:color w:val="000000"/>
                <w:sz w:val="16"/>
                <w:szCs w:val="16"/>
                <w:u w:val="none"/>
              </w:rPr>
            </w:pPr>
            <w:r>
              <w:rPr>
                <w:rFonts w:hint="eastAsia" w:ascii="微软雅黑" w:hAnsi="微软雅黑" w:eastAsia="微软雅黑" w:cs="微软雅黑"/>
                <w:b/>
                <w:i w:val="0"/>
                <w:color w:val="000000"/>
                <w:kern w:val="0"/>
                <w:sz w:val="16"/>
                <w:szCs w:val="16"/>
                <w:u w:val="none"/>
                <w:lang w:val="en-US" w:eastAsia="zh-CN"/>
              </w:rPr>
              <w:t>流动性比例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619"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21</w:t>
            </w:r>
          </w:p>
        </w:tc>
        <w:tc>
          <w:tcPr>
            <w:tcW w:w="2955"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流动性比例（%）</w:t>
            </w:r>
          </w:p>
        </w:tc>
        <w:tc>
          <w:tcPr>
            <w:tcW w:w="2851" w:type="dxa"/>
            <w:tcBorders>
              <w:top w:val="single" w:color="000000" w:sz="8" w:space="0"/>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 xml:space="preserve">120.67 </w:t>
            </w:r>
          </w:p>
        </w:tc>
        <w:tc>
          <w:tcPr>
            <w:tcW w:w="2955" w:type="dxa"/>
            <w:tcBorders>
              <w:top w:val="single" w:color="000000" w:sz="8" w:space="0"/>
              <w:left w:val="single" w:color="000000" w:sz="8" w:space="0"/>
              <w:bottom w:val="single" w:color="000000" w:sz="8"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rPr>
              <w:t>112.35</w:t>
            </w:r>
          </w:p>
        </w:tc>
      </w:tr>
    </w:tbl>
    <w:p>
      <w:pPr>
        <w:pStyle w:val="7"/>
        <w:keepNext w:val="0"/>
        <w:keepLines w:val="0"/>
        <w:pageBreakBefore w:val="0"/>
        <w:widowControl/>
        <w:suppressLineNumbers w:val="0"/>
        <w:kinsoku/>
        <w:wordWrap/>
        <w:overflowPunct/>
        <w:topLinePunct w:val="0"/>
        <w:autoSpaceDE/>
        <w:autoSpaceDN/>
        <w:bidi w:val="0"/>
        <w:adjustRightInd/>
        <w:snapToGrid/>
        <w:spacing w:before="160" w:beforeAutospacing="0" w:after="0" w:afterAutospacing="0"/>
        <w:ind w:right="0"/>
        <w:jc w:val="both"/>
        <w:textAlignment w:val="auto"/>
        <w:rPr>
          <w:rFonts w:hint="eastAsia" w:ascii="仿宋" w:hAnsi="仿宋" w:eastAsia="仿宋" w:cs="仿宋"/>
          <w:sz w:val="28"/>
          <w:szCs w:val="28"/>
        </w:rPr>
      </w:pPr>
    </w:p>
    <w:p>
      <w:pPr>
        <w:pStyle w:val="7"/>
        <w:keepNext w:val="0"/>
        <w:keepLines w:val="0"/>
        <w:pageBreakBefore w:val="0"/>
        <w:widowControl/>
        <w:suppressLineNumbers w:val="0"/>
        <w:kinsoku/>
        <w:wordWrap/>
        <w:overflowPunct/>
        <w:topLinePunct w:val="0"/>
        <w:autoSpaceDE/>
        <w:autoSpaceDN/>
        <w:bidi w:val="0"/>
        <w:adjustRightInd/>
        <w:snapToGrid/>
        <w:spacing w:before="160" w:beforeAutospacing="0" w:after="0" w:afterAutospacing="0"/>
        <w:ind w:right="0"/>
        <w:jc w:val="both"/>
        <w:textAlignment w:val="auto"/>
        <w:rPr>
          <w:rFonts w:hint="eastAsia" w:ascii="仿宋" w:hAnsi="仿宋" w:eastAsia="仿宋" w:cs="仿宋"/>
          <w:sz w:val="28"/>
          <w:szCs w:val="28"/>
        </w:rPr>
      </w:pPr>
    </w:p>
    <w:p>
      <w:pPr>
        <w:pStyle w:val="7"/>
        <w:keepNext w:val="0"/>
        <w:keepLines w:val="0"/>
        <w:pageBreakBefore w:val="0"/>
        <w:widowControl/>
        <w:suppressLineNumbers w:val="0"/>
        <w:kinsoku/>
        <w:wordWrap/>
        <w:overflowPunct/>
        <w:topLinePunct w:val="0"/>
        <w:autoSpaceDE/>
        <w:autoSpaceDN/>
        <w:bidi w:val="0"/>
        <w:adjustRightInd/>
        <w:snapToGrid/>
        <w:spacing w:before="160" w:beforeAutospacing="0" w:after="0" w:afterAutospacing="0"/>
        <w:ind w:right="0"/>
        <w:jc w:val="right"/>
        <w:textAlignment w:val="auto"/>
        <w:rPr>
          <w:b/>
          <w:bCs/>
        </w:rPr>
      </w:pPr>
      <w:r>
        <w:rPr>
          <w:rFonts w:hint="eastAsia"/>
          <w:b/>
          <w:bCs/>
          <w:lang w:val="en-US" w:eastAsia="zh-CN"/>
        </w:rPr>
        <w:t xml:space="preserve">  </w:t>
      </w:r>
      <w:r>
        <w:rPr>
          <w:b/>
          <w:bCs/>
        </w:rPr>
        <w:t>江苏</w:t>
      </w:r>
      <w:r>
        <w:rPr>
          <w:rFonts w:hint="eastAsia"/>
          <w:b/>
          <w:bCs/>
          <w:lang w:val="zh-CN"/>
        </w:rPr>
        <w:t>高淳</w:t>
      </w:r>
      <w:r>
        <w:rPr>
          <w:b/>
          <w:bCs/>
        </w:rPr>
        <w:t>农村商业银行股份有限公司</w:t>
      </w:r>
    </w:p>
    <w:p>
      <w:pPr>
        <w:pStyle w:val="7"/>
        <w:keepNext w:val="0"/>
        <w:keepLines w:val="0"/>
        <w:pageBreakBefore w:val="0"/>
        <w:widowControl/>
        <w:suppressLineNumbers w:val="0"/>
        <w:kinsoku/>
        <w:wordWrap/>
        <w:overflowPunct/>
        <w:topLinePunct w:val="0"/>
        <w:autoSpaceDE/>
        <w:autoSpaceDN/>
        <w:bidi w:val="0"/>
        <w:adjustRightInd/>
        <w:snapToGrid/>
        <w:spacing w:before="160" w:beforeAutospacing="0" w:after="0" w:afterAutospacing="0"/>
        <w:ind w:right="0"/>
        <w:jc w:val="center"/>
        <w:textAlignment w:val="auto"/>
        <w:rPr>
          <w:rFonts w:ascii="仿宋" w:hAnsi="仿宋" w:eastAsia="仿宋" w:cs="仿宋"/>
          <w:sz w:val="28"/>
          <w:szCs w:val="28"/>
          <w:lang w:val="en-US" w:eastAsia="zh-CN"/>
        </w:rPr>
      </w:pPr>
      <w:r>
        <w:rPr>
          <w:rFonts w:hint="eastAsia" w:eastAsia="仿宋"/>
          <w:lang w:val="en-US" w:eastAsia="zh-CN"/>
        </w:rPr>
        <w:t xml:space="preserve">                                </w:t>
      </w:r>
      <w:bookmarkStart w:id="0" w:name="_GoBack"/>
      <w:bookmarkEnd w:id="0"/>
      <w:r>
        <w:rPr>
          <w:rFonts w:hint="eastAsia" w:eastAsia="仿宋"/>
          <w:lang w:val="en-US" w:eastAsia="zh-CN"/>
        </w:rPr>
        <w:t xml:space="preserve">  2025年10月23日</w:t>
      </w:r>
    </w:p>
    <w:p/>
    <w:p>
      <w:pPr>
        <w:pStyle w:val="7"/>
        <w:keepNext w:val="0"/>
        <w:keepLines w:val="0"/>
        <w:pageBreakBefore w:val="0"/>
        <w:widowControl/>
        <w:suppressLineNumbers w:val="0"/>
        <w:kinsoku/>
        <w:wordWrap/>
        <w:overflowPunct/>
        <w:topLinePunct w:val="0"/>
        <w:autoSpaceDE/>
        <w:autoSpaceDN/>
        <w:bidi w:val="0"/>
        <w:adjustRightInd/>
        <w:snapToGrid/>
        <w:spacing w:before="960" w:beforeAutospacing="0" w:after="0" w:afterAutospacing="0"/>
        <w:ind w:left="0" w:right="0" w:firstLine="320" w:firstLineChars="200"/>
        <w:jc w:val="both"/>
        <w:textAlignment w:val="auto"/>
        <w:rPr>
          <w:rFonts w:hint="eastAsia" w:ascii="微软雅黑" w:hAnsi="微软雅黑" w:eastAsia="微软雅黑" w:cs="微软雅黑"/>
          <w:sz w:val="16"/>
          <w:szCs w:val="16"/>
        </w:rPr>
      </w:pPr>
    </w:p>
    <w:p>
      <w:pPr>
        <w:pStyle w:val="7"/>
        <w:keepNext w:val="0"/>
        <w:keepLines w:val="0"/>
        <w:pageBreakBefore w:val="0"/>
        <w:widowControl/>
        <w:suppressLineNumbers w:val="0"/>
        <w:kinsoku/>
        <w:wordWrap/>
        <w:overflowPunct/>
        <w:topLinePunct w:val="0"/>
        <w:autoSpaceDE/>
        <w:autoSpaceDN/>
        <w:bidi w:val="0"/>
        <w:adjustRightInd/>
        <w:snapToGrid/>
        <w:spacing w:before="960" w:beforeAutospacing="0" w:after="0" w:afterAutospacing="0"/>
        <w:ind w:left="0" w:right="0" w:firstLine="320" w:firstLineChars="200"/>
        <w:jc w:val="both"/>
        <w:textAlignment w:val="auto"/>
        <w:rPr>
          <w:rFonts w:hint="eastAsia" w:ascii="微软雅黑" w:hAnsi="微软雅黑" w:eastAsia="微软雅黑" w:cs="微软雅黑"/>
          <w:sz w:val="16"/>
          <w:szCs w:val="16"/>
        </w:rPr>
      </w:pPr>
    </w:p>
    <w:p/>
    <w:sectPr>
      <w:headerReference r:id="rId5" w:type="first"/>
      <w:headerReference r:id="rId3" w:type="default"/>
      <w:headerReference r:id="rId4" w:type="even"/>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altName w:val="Lucida Sans Unicode"/>
    <w:panose1 w:val="020B0602030504020204"/>
    <w:charset w:val="00"/>
    <w:family w:val="auto"/>
    <w:pitch w:val="default"/>
    <w:sig w:usb0="00000000" w:usb1="00000000" w:usb2="00000000" w:usb3="00000000" w:csb0="2000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Lucida Sans Unicode">
    <w:panose1 w:val="020B0602030504020204"/>
    <w:charset w:val="00"/>
    <w:family w:val="auto"/>
    <w:pitch w:val="default"/>
    <w:sig w:usb0="80001AFF" w:usb1="0000396B" w:usb2="00000000" w:usb3="00000000" w:csb0="200000BF" w:csb1="D7F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r>
      <w:pict>
        <v:shape id="PowerPlusWaterMarkObject2" o:spid="_x0000_s4098" o:spt="136" type="#_x0000_t136" style="position:absolute;left:0pt;margin-left:-0.75pt;margin-top:-0.75pt;height:12pt;width:426pt;rotation:20643840f;z-index:-1024;mso-width-relative:page;mso-height-relative:page;" fillcolor="#000000" filled="t" stroked="f" coordsize="21600,21600" o:allowincell="f" adj="10800">
          <v:path/>
          <v:fill on="t" opacity="32768f" focussize="0,0"/>
          <v:stroke on="f" color="#000000"/>
          <v:imagedata o:title=""/>
          <o:lock v:ext="edit"/>
          <v:textpath on="t" fitshape="t" fitpath="t" trim="t" xscale="f" string="江苏高淳农村商业银行    办公室    夏黎勤    2025-10-27  17:23:14" style="font-family:宋体;font-size:12pt;v-text-align:center;"/>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r>
      <w:pict>
        <v:shape id="PowerPlusWaterMarkObject3" o:spid="_x0000_s4097" o:spt="136" type="#_x0000_t136" style="position:absolute;left:0pt;margin-left:-0.75pt;margin-top:-0.75pt;height:12pt;width:426pt;rotation:20643840f;z-index:-1024;mso-width-relative:page;mso-height-relative:page;" fillcolor="#000000" filled="t" stroked="f" coordsize="21600,21600" o:allowincell="f" adj="10800">
          <v:path/>
          <v:fill on="t" opacity="32768f" focussize="0,0"/>
          <v:stroke on="f" color="#000000"/>
          <v:imagedata o:title=""/>
          <o:lock v:ext="edit"/>
          <v:textpath on="t" fitshape="t" fitpath="t" trim="t" xscale="f" string="江苏高淳农村商业银行    办公室    夏黎勤    2025-10-27  17:23:14" style="font-family:宋体;font-size:12pt;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ulTrailSpace/>
    <w:doNotExpandShiftReturn/>
    <w:adjustLineHeightInTable/>
    <w:useFELayout/>
    <w:doNotUseIndentAsNumberingTabStop/>
    <w:useAltKinsokuLineBreakRules/>
    <w:compatSetting w:name="compatibilityMode" w:uri="http://schemas.microsoft.com/office/word" w:val="14"/>
  </w:compat>
  <w:rsids>
    <w:rsidRoot w:val="00000000"/>
    <w:rsid w:val="2BD455B4"/>
    <w:rsid w:val="41DA2A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Lucida Sans"/>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4"/>
      <w:lang w:val="en-US" w:eastAsia="zh-CN" w:bidi="ar-SA"/>
    </w:rPr>
  </w:style>
  <w:style w:type="paragraph" w:styleId="2">
    <w:name w:val="heading 1"/>
    <w:basedOn w:val="1"/>
    <w:next w:val="1"/>
    <w:link w:val="11"/>
    <w:qFormat/>
    <w:uiPriority w:val="0"/>
    <w:pPr>
      <w:spacing w:before="0" w:beforeAutospacing="1" w:after="0" w:afterAutospacing="1"/>
      <w:jc w:val="left"/>
      <w:outlineLvl w:val="0"/>
    </w:pPr>
    <w:rPr>
      <w:rFonts w:ascii="宋体" w:hAnsi="宋体" w:eastAsia="宋体" w:cs="宋体"/>
      <w:b/>
      <w:bCs/>
      <w:kern w:val="44"/>
      <w:sz w:val="48"/>
      <w:szCs w:val="48"/>
      <w:lang w:val="en-US" w:eastAsia="zh-CN"/>
    </w:rPr>
  </w:style>
  <w:style w:type="paragraph" w:styleId="3">
    <w:name w:val="heading 2"/>
    <w:basedOn w:val="1"/>
    <w:next w:val="1"/>
    <w:link w:val="12"/>
    <w:qFormat/>
    <w:uiPriority w:val="0"/>
    <w:pPr>
      <w:keepNext/>
      <w:keepLines/>
      <w:spacing w:before="260" w:after="260" w:line="415" w:lineRule="auto"/>
      <w:outlineLvl w:val="1"/>
    </w:pPr>
    <w:rPr>
      <w:rFonts w:ascii="Times New Roman" w:hAnsi="Times New Roman" w:eastAsia="黑体"/>
      <w:b/>
      <w:bCs/>
      <w:sz w:val="32"/>
      <w:szCs w:val="32"/>
    </w:rPr>
  </w:style>
  <w:style w:type="paragraph" w:styleId="4">
    <w:name w:val="heading 3"/>
    <w:basedOn w:val="1"/>
    <w:next w:val="1"/>
    <w:link w:val="13"/>
    <w:qFormat/>
    <w:uiPriority w:val="0"/>
    <w:pPr>
      <w:keepNext/>
      <w:keepLines/>
      <w:spacing w:before="260" w:after="260" w:line="415" w:lineRule="auto"/>
      <w:outlineLvl w:val="2"/>
    </w:pPr>
    <w:rPr>
      <w:b/>
      <w:bCs/>
      <w:sz w:val="32"/>
      <w:szCs w:val="32"/>
    </w:rPr>
  </w:style>
  <w:style w:type="character" w:default="1" w:styleId="9">
    <w:name w:val="Default Paragraph Font"/>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5">
    <w:name w:val="footer"/>
    <w:basedOn w:val="1"/>
    <w:qFormat/>
    <w:uiPriority w:val="0"/>
    <w:pPr>
      <w:tabs>
        <w:tab w:val="center" w:pos="4153"/>
        <w:tab w:val="right" w:pos="8307"/>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7"/>
      </w:tabs>
      <w:snapToGrid w:val="0"/>
      <w:jc w:val="center"/>
    </w:pPr>
    <w:rPr>
      <w:sz w:val="18"/>
      <w:szCs w:val="18"/>
    </w:rPr>
  </w:style>
  <w:style w:type="paragraph" w:styleId="7">
    <w:name w:val="Normal (Web)"/>
    <w:basedOn w:val="1"/>
    <w:qFormat/>
    <w:uiPriority w:val="0"/>
    <w:pPr>
      <w:spacing w:before="0" w:beforeAutospacing="1" w:after="0" w:afterAutospacing="1"/>
      <w:ind w:left="0" w:right="0"/>
      <w:jc w:val="left"/>
    </w:pPr>
    <w:rPr>
      <w:b/>
      <w:bCs/>
      <w:kern w:val="0"/>
      <w:sz w:val="24"/>
      <w:lang w:val="en-US" w:eastAsia="zh-CN"/>
    </w:rPr>
  </w:style>
  <w:style w:type="character" w:styleId="10">
    <w:name w:val="Strong"/>
    <w:basedOn w:val="9"/>
    <w:qFormat/>
    <w:uiPriority w:val="0"/>
    <w:rPr>
      <w:b/>
    </w:rPr>
  </w:style>
  <w:style w:type="character" w:customStyle="1" w:styleId="11">
    <w:name w:val="heading 1 Char"/>
    <w:basedOn w:val="9"/>
    <w:link w:val="2"/>
    <w:uiPriority w:val="0"/>
    <w:rPr>
      <w:rFonts w:ascii="宋体" w:hAnsi="宋体" w:eastAsia="宋体" w:cs="宋体"/>
      <w:b/>
      <w:bCs/>
      <w:kern w:val="44"/>
      <w:sz w:val="48"/>
      <w:szCs w:val="48"/>
      <w:lang w:val="en-US" w:eastAsia="zh-CN" w:bidi="ar-SA"/>
    </w:rPr>
  </w:style>
  <w:style w:type="character" w:customStyle="1" w:styleId="12">
    <w:name w:val="heading 2 Char"/>
    <w:basedOn w:val="9"/>
    <w:link w:val="3"/>
    <w:uiPriority w:val="0"/>
    <w:rPr>
      <w:rFonts w:ascii="Times New Roman" w:hAnsi="Calibri" w:eastAsia="黑体" w:cs="Arial"/>
      <w:b/>
      <w:bCs/>
      <w:kern w:val="2"/>
      <w:sz w:val="32"/>
      <w:szCs w:val="32"/>
      <w:lang w:val="en-US" w:eastAsia="zh-CN" w:bidi="ar-SA"/>
    </w:rPr>
  </w:style>
  <w:style w:type="character" w:customStyle="1" w:styleId="13">
    <w:name w:val="heading 3 Char"/>
    <w:basedOn w:val="9"/>
    <w:link w:val="4"/>
    <w:uiPriority w:val="0"/>
    <w:rPr>
      <w:rFonts w:ascii="Calibri" w:hAnsi="Calibri" w:eastAsia="宋体" w:cs="Arial"/>
      <w:b/>
      <w:bCs/>
      <w:kern w:val="2"/>
      <w:sz w:val="32"/>
      <w:szCs w:val="32"/>
      <w:lang w:val="en-US" w:eastAsia="zh-CN" w:bidi="ar-SA"/>
    </w:rPr>
  </w:style>
  <w:style w:type="character" w:customStyle="1" w:styleId="14">
    <w:name w:val="font81"/>
    <w:basedOn w:val="9"/>
    <w:qFormat/>
    <w:uiPriority w:val="0"/>
    <w:rPr>
      <w:rFonts w:ascii="微软雅黑" w:hAnsi="微软雅黑" w:eastAsia="微软雅黑" w:cs="微软雅黑"/>
      <w:b/>
      <w:color w:val="FF0000"/>
      <w:sz w:val="32"/>
      <w:szCs w:val="32"/>
      <w:u w:val="none"/>
    </w:rPr>
  </w:style>
  <w:style w:type="character" w:customStyle="1" w:styleId="15">
    <w:name w:val="font31"/>
    <w:basedOn w:val="9"/>
    <w:qFormat/>
    <w:uiPriority w:val="0"/>
    <w:rPr>
      <w:rFonts w:ascii="微软雅黑" w:hAnsi="微软雅黑" w:eastAsia="微软雅黑" w:cs="微软雅黑"/>
      <w:b/>
      <w:color w:val="000000"/>
      <w:sz w:val="32"/>
      <w:szCs w:val="32"/>
      <w:u w:val="none"/>
    </w:rPr>
  </w:style>
  <w:style w:type="character" w:customStyle="1" w:styleId="16">
    <w:name w:val="font41"/>
    <w:basedOn w:val="9"/>
    <w:qFormat/>
    <w:uiPriority w:val="0"/>
    <w:rPr>
      <w:rFonts w:ascii="黑体" w:hAnsi="宋体" w:eastAsia="黑体" w:cs="黑体"/>
      <w:color w:val="000000"/>
      <w:sz w:val="32"/>
      <w:szCs w:val="3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主题">
      <a:majorFont>
        <a:latin typeface=""/>
        <a:ea typeface=""/>
        <a:cs typeface=""/>
      </a:majorFont>
      <a:minorFont>
        <a:latin typeface=""/>
        <a:ea typeface=""/>
        <a:cs typeface=""/>
      </a:minorFont>
    </a:fontScheme>
    <a:fmtScheme name="Office 主题">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1"/>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1"/>
        </a:gradFill>
      </a:fillStyleLst>
      <a:lnStyleLst>
        <a:ln w="6350" cap="flat" cmpd="sng">
          <a:solidFill>
            <a:schemeClr val="phClr"/>
          </a:solidFill>
          <a:prstDash val="solid"/>
          <a:miter/>
        </a:ln>
        <a:ln w="12700" cap="flat" cmpd="sng">
          <a:solidFill>
            <a:schemeClr val="phClr"/>
          </a:solidFill>
          <a:prstDash val="solid"/>
          <a:miter/>
        </a:ln>
        <a:ln w="19050" cap="flat" cmpd="sng">
          <a:solidFill>
            <a:schemeClr val="phClr"/>
          </a:solidFill>
          <a:prstDash val="solid"/>
          <a:miter/>
        </a:ln>
      </a:lnStyleLst>
      <a:effectStyleLst>
        <a:effectStyle>
          <a:effectLst/>
        </a:effectStyle>
        <a:effectStyle>
          <a:effectLst/>
        </a:effectStyle>
        <a:effectStyle>
          <a:effectLst>
            <a:outerShdw blurRad="57150" dist="19050" dir="5400000" algn="ctr" rotWithShape="0">
              <a:srgbClr val="000000">
                <a:alpha val="62745"/>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1"/>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8"/>
    <customShpInfo spid="_x0000_s4097"/>
  </customShpExts>
</s:customData>
</file>

<file path=customXml/item2.xml><?xml version="1.0" encoding="utf-8"?>
<customData xmlns="http://www.yozosoft.com.cn/officeDocument/2016/customData">
  <customProps>
    <docPr revisions="3 0 5 0 0 0 1 0 0 0 3000 0 1 1 1 1"/>
    <sectPr/>
  </customProps>
</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FDF1F7B-BAB1-4417-A54D-FBD7ED174A20}">
  <ds:schemaRefs/>
</ds:datastoreItem>
</file>

<file path=docProps/app.xml><?xml version="1.0" encoding="utf-8"?>
<Properties xmlns="http://schemas.openxmlformats.org/officeDocument/2006/extended-properties" xmlns:vt="http://schemas.openxmlformats.org/officeDocument/2006/docPropsVTypes">
  <Template>Normal.eit</Template>
  <Pages>1</Pages>
  <Words>0</Words>
  <Characters>723</Characters>
  <Lines>0</Lines>
  <Paragraphs>14</Paragraphs>
  <TotalTime>0</TotalTime>
  <ScaleCrop>false</ScaleCrop>
  <LinksUpToDate>false</LinksUpToDate>
  <CharactersWithSpaces>964</CharactersWithSpaces>
  <Application>WPS Office_11.8.2.8696_F1E327BC-269C-435d-A152-05C5408002CA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2021-01-06T08:01:00Z</dcterms:created>
  <dc:creator>lenovo</dc:creator>
  <cp:lastModifiedBy>夏黎勤</cp:lastModifiedBy>
  <cp:lastPrinted>2025-01-09T02:31:00Z</cp:lastPrinted>
  <dcterms:modified xsi:type="dcterms:W3CDTF">2025-10-27T09:39:10Z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