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14:paraId="06C40A91">
      <w:pPr>
        <w:spacing w:line="300" w:lineRule="exact"/>
        <w:jc w:val="both"/>
        <w:rPr>
          <w:color w:themeColor="text1" w:val="000000"/>
          <w:highlight w:val="none"/>
          <w14:textFill>
            <w14:solidFill>
              <w14:schemeClr w14:val="tx1"/>
            </w14:solidFill>
          </w14:textFill>
        </w:rPr>
      </w:pPr>
      <w:r>
        <w:rPr>
          <w:rFonts w:ascii="黑体" w:cs="黑体" w:eastAsia="黑体" w:hint="eastAsia"/>
          <w:b/>
          <w:bCs/>
          <w:color w:themeColor="text1" w:val="000000"/>
          <w:highlight w:val="none"/>
          <w14:textFill>
            <w14:solidFill>
              <w14:schemeClr w14:val="tx1"/>
            </w14:solidFill>
          </w14:textFill>
        </w:rPr>
        <w:t>理财产品登记编码:</w:t>
      </w:r>
      <w:r>
        <w:rPr>
          <w:rFonts w:hint="eastAsia"/>
          <w:color w:themeColor="text1" w:val="000000"/>
          <w:highlight w:val="none"/>
          <w14:textFill>
            <w14:solidFill>
              <w14:schemeClr w14:val="tx1"/>
            </w14:solidFill>
          </w14:textFill>
        </w:rPr>
        <w:t>【</w:t>
      </w:r>
      <w:r>
        <w:rPr>
          <w:color w:themeColor="text1" w:val="000000"/>
          <w:highlight w:val="none"/>
          <w14:textFill>
            <w14:solidFill>
              <w14:schemeClr w14:val="tx1"/>
            </w14:solidFill>
          </w14:textFill>
        </w:rPr>
        <w:t>Z7002626001618】</w:t>
      </w:r>
    </w:p>
    <w:p w14:paraId="14894ADD">
      <w:pPr>
        <w:spacing w:line="300" w:lineRule="exact"/>
        <w:ind w:right="89" w:rightChars="37"/>
        <w:rPr>
          <w:rFonts w:ascii="黑体" w:eastAsia="黑体" w:hAnsi="黑体"/>
          <w:sz w:val="21"/>
          <w:szCs w:val="21"/>
          <w:highlight w:val="none"/>
        </w:rPr>
      </w:pPr>
      <w:r>
        <w:rPr>
          <w:rFonts w:ascii="黑体" w:eastAsia="黑体" w:hAnsi="黑体" w:hint="eastAsia"/>
          <w:sz w:val="21"/>
          <w:szCs w:val="21"/>
          <w:highlight w:val="none"/>
        </w:rPr>
        <w:t>理财产品登记编码为本产品在全国银行业理财信息登记系统取得的理财产品登记编码，投资者可以依据该理财产品登记编码在金融产品查询平台（www.jrcpcx.cn）或中国理财网（</w:t>
      </w:r>
      <w:r>
        <w:rPr>
          <w:rFonts w:ascii="黑体" w:eastAsia="黑体" w:hAnsi="黑体"/>
          <w:sz w:val="21"/>
          <w:szCs w:val="21"/>
          <w:highlight w:val="none"/>
        </w:rPr>
        <w:t>www.chinawealth.com.cn）上查询本产品相关信息。</w:t>
      </w:r>
    </w:p>
    <w:p w14:paraId="11882F74">
      <w:pPr>
        <w:spacing w:line="300" w:lineRule="exact"/>
        <w:ind w:right="89" w:rightChars="37"/>
        <w:rPr>
          <w:rFonts w:ascii="黑体" w:eastAsia="黑体" w:hAnsi="黑体"/>
          <w:sz w:val="21"/>
          <w:szCs w:val="21"/>
          <w:highlight w:val="none"/>
        </w:rPr>
      </w:pPr>
    </w:p>
    <w:p w14:paraId="60039533">
      <w:pPr>
        <w:spacing w:line="300" w:lineRule="exact"/>
        <w:ind w:right="89" w:rightChars="37"/>
        <w:rPr>
          <w:rFonts w:ascii="黑体" w:eastAsia="黑体" w:hAnsi="黑体"/>
          <w:b/>
          <w:sz w:val="28"/>
          <w:szCs w:val="28"/>
          <w:highlight w:val="none"/>
        </w:rPr>
      </w:pPr>
      <w:r>
        <w:rPr>
          <w:rFonts w:ascii="黑体" w:eastAsia="黑体" w:hAnsi="黑体" w:hint="eastAsia"/>
          <w:b/>
          <w:sz w:val="28"/>
          <w:szCs w:val="28"/>
          <w:highlight w:val="none"/>
        </w:rPr>
        <w:t>郑重提示：理财产品登记编码是全国银行业理财信息登记系统赋予所有银行（及银行理财子公司）理财产品的标识码，每个登记编码具有唯一性，是您判断理财产品是否合法合规、是否真实可靠的重要依据。如您购买的理财产品未公示登记编码，或通过其公示的登记编码无法在金融产品查询平台（www.jrcpcx.cn）或中国理财网（</w:t>
      </w:r>
      <w:r>
        <w:rPr>
          <w:rFonts w:ascii="黑体" w:eastAsia="黑体" w:hAnsi="黑体"/>
          <w:b/>
          <w:sz w:val="28"/>
          <w:szCs w:val="28"/>
          <w:highlight w:val="none"/>
        </w:rPr>
        <w:t>www.chinawealth.com.cn）上查询到产品相关信息，则该产品非信银理财发行产品。</w:t>
      </w:r>
    </w:p>
    <w:p w14:paraId="6AFAA48A">
      <w:pPr>
        <w:spacing w:line="300" w:lineRule="exact"/>
        <w:ind w:right="-792" w:rightChars="-330"/>
        <w:rPr>
          <w:rFonts w:ascii="黑体" w:eastAsia="黑体" w:hAnsi="黑体"/>
          <w:color w:themeColor="text1" w:val="000000"/>
          <w:sz w:val="21"/>
          <w:szCs w:val="21"/>
          <w:highlight w:val="none"/>
          <w14:textFill>
            <w14:solidFill>
              <w14:schemeClr w14:val="tx1"/>
            </w14:solidFill>
          </w14:textFill>
        </w:rPr>
      </w:pPr>
    </w:p>
    <w:p w14:paraId="2006040B">
      <w:pPr>
        <w:spacing w:line="300" w:lineRule="exact"/>
        <w:ind w:right="-792" w:rightChars="-330"/>
        <w:jc w:val="center"/>
        <w:rPr>
          <w:rFonts w:ascii="黑体" w:cs="黑体" w:eastAsia="黑体"/>
          <w:b/>
          <w:bCs/>
          <w:color w:themeColor="text1" w:val="000000"/>
          <w:sz w:val="28"/>
          <w:szCs w:val="28"/>
          <w:highlight w:val="none"/>
          <w14:textFill>
            <w14:solidFill>
              <w14:schemeClr w14:val="tx1"/>
            </w14:solidFill>
          </w14:textFill>
        </w:rPr>
      </w:pPr>
      <w:r>
        <w:rPr>
          <w:rFonts w:ascii="黑体" w:cs="黑体" w:eastAsia="黑体" w:hint="eastAsia"/>
          <w:b/>
          <w:bCs/>
          <w:color w:themeColor="text1" w:val="000000"/>
          <w:sz w:val="28"/>
          <w:szCs w:val="28"/>
          <w:highlight w:val="none"/>
          <w14:textFill>
            <w14:solidFill>
              <w14:schemeClr w14:val="tx1"/>
            </w14:solidFill>
          </w14:textFill>
        </w:rPr>
        <w:t>信银理财理财产品说明书</w:t>
      </w:r>
    </w:p>
    <w:p w14:paraId="0D7ED81A">
      <w:pPr>
        <w:widowControl w:val="0"/>
        <w:spacing w:line="300" w:lineRule="exact"/>
        <w:ind w:right="-792" w:rightChars="-330"/>
        <w:jc w:val="center"/>
        <w:rPr>
          <w:rFonts w:ascii="黑体" w:cs="黑体" w:eastAsia="黑体" w:hAnsi="Calibri"/>
          <w:b/>
          <w:bCs/>
          <w:color w:themeColor="text1" w:val="000000"/>
          <w:sz w:val="28"/>
          <w:szCs w:val="28"/>
          <w:highlight w:val="none"/>
          <w14:textFill>
            <w14:solidFill>
              <w14:schemeClr w14:val="tx1"/>
            </w14:solidFill>
          </w14:textFill>
        </w:rPr>
      </w:pPr>
      <w:r>
        <w:rPr>
          <w:rFonts w:ascii="黑体" w:cs="黑体" w:eastAsia="黑体" w:hAnsi="Calibri" w:hint="eastAsia"/>
          <w:b/>
          <w:bCs/>
          <w:color w:themeColor="text1" w:val="000000"/>
          <w:sz w:val="28"/>
          <w:szCs w:val="28"/>
          <w:highlight w:val="none"/>
          <w14:textFill>
            <w14:solidFill>
              <w14:schemeClr w14:val="tx1"/>
            </w14:solidFill>
          </w14:textFill>
        </w:rPr>
        <w:t>产品</w:t>
      </w:r>
      <w:r>
        <w:rPr>
          <w:rFonts w:ascii="黑体" w:cs="黑体" w:eastAsia="黑体" w:hAnsi="Times New Roman" w:hint="eastAsia"/>
          <w:b/>
          <w:bCs/>
          <w:color w:themeColor="text1" w:val="000000"/>
          <w:sz w:val="28"/>
          <w:szCs w:val="28"/>
          <w:highlight w:val="none"/>
          <w14:textFill>
            <w14:solidFill>
              <w14:schemeClr w14:val="tx1"/>
            </w14:solidFill>
          </w14:textFill>
        </w:rPr>
        <w:t>名称：</w:t>
      </w:r>
      <w:r>
        <w:rPr>
          <w:rFonts w:ascii="黑体" w:cs="黑体" w:eastAsia="黑体" w:hAnsi="Calibri" w:hint="eastAsia"/>
          <w:b/>
          <w:bCs/>
          <w:color w:themeColor="text1" w:val="000000"/>
          <w:sz w:val="28"/>
          <w:szCs w:val="28"/>
          <w:highlight w:val="none"/>
          <w14:textFill>
            <w14:solidFill>
              <w14:schemeClr w14:val="tx1"/>
            </w14:solidFill>
          </w14:textFill>
        </w:rPr>
        <w:t>【</w:t>
      </w:r>
      <w:r>
        <w:rPr>
          <w:rFonts w:ascii="黑体" w:cs="黑体" w:eastAsia="黑体" w:hAnsi="Calibri" w:hint="eastAsia"/>
          <w:b/>
          <w:bCs/>
          <w:sz w:val="28"/>
          <w:szCs w:val="28"/>
          <w:highlight w:val="none"/>
        </w:rPr>
        <w:t>信银理财安盈象固收稳利封闭式976号理财产品</w:t>
      </w:r>
      <w:r>
        <w:rPr>
          <w:rFonts w:ascii="黑体" w:cs="黑体" w:eastAsia="黑体" w:hAnsi="Calibri"/>
          <w:b/>
          <w:bCs/>
          <w:sz w:val="28"/>
          <w:szCs w:val="28"/>
          <w:highlight w:val="none"/>
        </w:rPr>
        <w:t/>
      </w:r>
      <w:r>
        <w:rPr>
          <w:rFonts w:ascii="黑体" w:cs="黑体" w:eastAsia="黑体" w:hAnsi="Calibri" w:hint="eastAsia"/>
          <w:b/>
          <w:bCs/>
          <w:color w:themeColor="text1" w:val="000000"/>
          <w:sz w:val="28"/>
          <w:szCs w:val="28"/>
          <w:highlight w:val="none"/>
          <w14:textFill>
            <w14:solidFill>
              <w14:schemeClr w14:val="tx1"/>
            </w14:solidFill>
          </w14:textFill>
        </w:rPr>
        <w:t xml:space="preserve">】  </w:t>
      </w:r>
    </w:p>
    <w:p w14:paraId="6F12700F">
      <w:pPr>
        <w:widowControl w:val="0"/>
        <w:spacing w:line="300" w:lineRule="exact"/>
        <w:ind w:right="-792" w:rightChars="-330"/>
        <w:jc w:val="center"/>
        <w:rPr>
          <w:rFonts w:ascii="黑体" w:cs="黑体" w:eastAsia="黑体" w:hAnsi="Times New Roman"/>
          <w:b/>
          <w:bCs/>
          <w:color w:themeColor="text1" w:val="000000"/>
          <w:sz w:val="28"/>
          <w:szCs w:val="28"/>
          <w:highlight w:val="none"/>
          <w14:textFill>
            <w14:solidFill>
              <w14:schemeClr w14:val="tx1"/>
            </w14:solidFill>
          </w14:textFill>
        </w:rPr>
      </w:pPr>
      <w:r>
        <w:rPr>
          <w:rFonts w:ascii="黑体" w:cs="黑体" w:eastAsia="黑体" w:hAnsi="Calibri" w:hint="eastAsia"/>
          <w:b/>
          <w:bCs/>
          <w:color w:themeColor="text1" w:val="000000"/>
          <w:sz w:val="28"/>
          <w:szCs w:val="28"/>
          <w:highlight w:val="none"/>
          <w14:textFill>
            <w14:solidFill>
              <w14:schemeClr w14:val="tx1"/>
            </w14:solidFill>
          </w14:textFill>
        </w:rPr>
        <w:t>产品代码</w:t>
      </w:r>
      <w:r>
        <w:rPr>
          <w:rFonts w:ascii="黑体" w:cs="黑体" w:eastAsia="黑体" w:hAnsi="Calibri"/>
          <w:b/>
          <w:bCs/>
          <w:color w:themeColor="text1" w:val="000000"/>
          <w:sz w:val="28"/>
          <w:szCs w:val="28"/>
          <w:highlight w:val="none"/>
          <w14:textFill>
            <w14:solidFill>
              <w14:schemeClr w14:val="tx1"/>
            </w14:solidFill>
          </w14:textFill>
        </w:rPr>
        <w:t>：【</w:t>
      </w:r>
      <w:r>
        <w:rPr>
          <w:rFonts w:ascii="黑体" w:cs="黑体" w:eastAsia="黑体" w:hAnsi="Calibri"/>
          <w:b/>
          <w:bCs/>
          <w:sz w:val="28"/>
          <w:szCs w:val="28"/>
          <w:highlight w:val="none"/>
        </w:rPr>
        <w:t>AF265598</w:t>
      </w:r>
      <w:r>
        <w:rPr>
          <w:rFonts w:ascii="黑体" w:cs="黑体" w:eastAsia="黑体" w:hAnsi="Calibri"/>
          <w:b/>
          <w:bCs/>
          <w:color w:themeColor="text1" w:val="000000"/>
          <w:sz w:val="28"/>
          <w:szCs w:val="28"/>
          <w:highlight w:val="none"/>
          <w14:textFill>
            <w14:solidFill>
              <w14:schemeClr w14:val="tx1"/>
            </w14:solidFill>
          </w14:textFill>
        </w:rPr>
        <w:t>】</w:t>
      </w:r>
    </w:p>
    <w:p w14:paraId="7FE49EE9">
      <w:pPr>
        <w:spacing w:line="300" w:lineRule="exact"/>
        <w:ind w:right="-792" w:rightChars="-330"/>
        <w:rPr>
          <w:color w:themeColor="text1" w:val="000000"/>
          <w:highlight w:val="none"/>
          <w14:textFill>
            <w14:solidFill>
              <w14:schemeClr w14:val="tx1"/>
            </w14:solidFill>
          </w14:textFill>
        </w:rPr>
      </w:pPr>
    </w:p>
    <w:tbl>
      <w:tblPr>
        <w:tblStyle w:val="9"/>
        <w:tblW w:type="dxa" w:w="9604"/>
        <w:tblInd w:type="dxa" w:w="-693"/>
        <w:tblLayout w:type="autofit"/>
        <w:tblCellMar>
          <w:top w:type="dxa" w:w="0"/>
          <w:left w:type="dxa" w:w="108"/>
          <w:bottom w:type="dxa" w:w="0"/>
          <w:right w:type="dxa" w:w="108"/>
        </w:tblCellMar>
      </w:tblPr>
      <w:tblGrid>
        <w:gridCol w:w="2842"/>
        <w:gridCol w:w="6762"/>
      </w:tblGrid>
      <w:tr w14:paraId="33F4B7C6">
        <w:tblPrEx>
          <w:tblCellMar>
            <w:top w:type="dxa" w:w="0"/>
            <w:left w:type="dxa" w:w="108"/>
            <w:bottom w:type="dxa" w:w="0"/>
            <w:right w:type="dxa" w:w="108"/>
          </w:tblCellMar>
        </w:tblPrEx>
        <w:trPr>
          <w:trHeight w:hRule="atLeast" w:val="538"/>
        </w:trPr>
        <w:tc>
          <w:tcPr>
            <w:tcW w:type="dxa" w:w="9604"/>
            <w:gridSpan w:val="2"/>
            <w:tcBorders>
              <w:top w:color="000000" w:space="0" w:sz="8" w:val="single"/>
              <w:left w:color="000000" w:space="0" w:sz="8" w:val="single"/>
              <w:bottom w:color="000000" w:space="0" w:sz="4" w:val="single"/>
              <w:right w:color="000000" w:space="0" w:sz="8" w:val="single"/>
            </w:tcBorders>
            <w:vAlign w:val="center"/>
          </w:tcPr>
          <w:p w14:paraId="219D8B46">
            <w:pPr>
              <w:spacing w:line="300" w:lineRule="exact"/>
              <w:ind w:right="89" w:rightChars="37"/>
              <w:jc w:val="center"/>
              <w:rPr>
                <w:rFonts w:ascii="方正小标宋简体" w:cs="方正小标宋简体" w:eastAsia="方正小标宋简体" w:hAnsi="方正小标宋简体" w:hint="eastAsia"/>
                <w:color w:val="000000"/>
                <w:sz w:val="40"/>
                <w:szCs w:val="40"/>
                <w:highlight w:val="none"/>
              </w:rPr>
            </w:pPr>
            <w:r>
              <w:rPr>
                <w:rFonts w:ascii="黑体" w:eastAsia="黑体" w:hAnsi="黑体" w:hint="eastAsia"/>
                <w:b/>
                <w:sz w:val="28"/>
                <w:szCs w:val="28"/>
                <w:highlight w:val="none"/>
              </w:rPr>
              <w:t>理财产品说明书关键要素</w:t>
            </w:r>
          </w:p>
        </w:tc>
      </w:tr>
      <w:tr w14:paraId="47CA608D">
        <w:tblPrEx>
          <w:tblCellMar>
            <w:top w:type="dxa" w:w="0"/>
            <w:left w:type="dxa" w:w="108"/>
            <w:bottom w:type="dxa" w:w="0"/>
            <w:right w:type="dxa" w:w="108"/>
          </w:tblCellMar>
        </w:tblPrEx>
        <w:trPr>
          <w:trHeight w:hRule="atLeast" w:val="747"/>
        </w:trPr>
        <w:tc>
          <w:tcPr>
            <w:tcW w:type="dxa" w:w="9604"/>
            <w:gridSpan w:val="2"/>
            <w:tcBorders>
              <w:top w:color="000000" w:space="0" w:sz="4" w:val="single"/>
              <w:left w:color="000000" w:space="0" w:sz="8" w:val="single"/>
              <w:bottom w:color="auto" w:space="0" w:sz="4" w:val="single"/>
              <w:right w:color="000000" w:space="0" w:sz="8" w:val="single"/>
            </w:tcBorders>
            <w:vAlign w:val="center"/>
          </w:tcPr>
          <w:p w14:paraId="4E3AFB60">
            <w:pPr>
              <w:ind w:firstLine="400" w:firstLineChars="200"/>
              <w:jc w:val="center"/>
              <w:rPr>
                <w:rFonts w:ascii="仿宋_GB2312" w:cs="仿宋_GB2312" w:eastAsia="仿宋_GB2312" w:hAnsi="等线" w:hint="eastAsia"/>
                <w:color w:val="000000"/>
                <w:sz w:val="24"/>
                <w:highlight w:val="none"/>
              </w:rPr>
            </w:pPr>
            <w:r>
              <w:rPr>
                <w:rFonts w:ascii="楷体_GB2312" w:cs="楷体_GB2312" w:eastAsia="楷体_GB2312" w:hAnsi="Arial" w:hint="eastAsia"/>
                <w:color w:themeColor="text1" w:val="000000"/>
                <w:sz w:val="20"/>
                <w:szCs w:val="20"/>
                <w:highlight w:val="none"/>
                <w14:textFill>
                  <w14:solidFill>
                    <w14:schemeClr w14:val="tx1"/>
                  </w14:solidFill>
                </w14:textFill>
              </w:rPr>
              <w:t>本表格提供本理财产品的重要信息，是理财产品说明书的一部分。</w:t>
            </w:r>
            <w:r>
              <w:rPr>
                <w:rFonts w:ascii="楷体_GB2312" w:cs="楷体_GB2312" w:eastAsia="楷体_GB2312" w:hAnsi="Arial" w:hint="eastAsia"/>
                <w:color w:themeColor="text1" w:val="000000"/>
                <w:sz w:val="20"/>
                <w:szCs w:val="20"/>
                <w:highlight w:val="none"/>
                <w14:textFill>
                  <w14:solidFill>
                    <w14:schemeClr w14:val="tx1"/>
                  </w14:solidFill>
                </w14:textFill>
              </w:rPr>
              <w:br w:type="textWrapping"/>
            </w:r>
            <w:r>
              <w:rPr>
                <w:rFonts w:ascii="楷体_GB2312" w:cs="楷体_GB2312" w:eastAsia="楷体_GB2312" w:hAnsi="Arial" w:hint="eastAsia"/>
                <w:color w:themeColor="text1" w:val="000000"/>
                <w:sz w:val="20"/>
                <w:szCs w:val="20"/>
                <w:highlight w:val="none"/>
                <w14:textFill>
                  <w14:solidFill>
                    <w14:schemeClr w14:val="tx1"/>
                  </w14:solidFill>
                </w14:textFill>
              </w:rPr>
              <w:t>作出投资决定前，请阅读完整的理财产品说明书等销售文件。</w:t>
            </w:r>
          </w:p>
        </w:tc>
      </w:tr>
      <w:tr w14:paraId="66D698D9">
        <w:tblPrEx>
          <w:tblCellMar>
            <w:top w:type="dxa" w:w="0"/>
            <w:left w:type="dxa" w:w="108"/>
            <w:bottom w:type="dxa" w:w="0"/>
            <w:right w:type="dxa" w:w="108"/>
          </w:tblCellMar>
        </w:tblPrEx>
        <w:trPr>
          <w:trHeight w:hRule="atLeast" w:val="270"/>
        </w:trPr>
        <w:tc>
          <w:tcPr>
            <w:tcW w:type="dxa" w:w="9604"/>
            <w:gridSpan w:val="2"/>
            <w:tcBorders>
              <w:top w:color="auto" w:space="0" w:sz="4" w:val="single"/>
              <w:left w:color="000000" w:space="0" w:sz="8" w:val="single"/>
              <w:bottom w:val="nil"/>
              <w:right w:color="000000" w:space="0" w:sz="8" w:val="single"/>
            </w:tcBorders>
            <w:vAlign w:val="center"/>
          </w:tcPr>
          <w:p w14:paraId="39E6D06C">
            <w:pPr>
              <w:widowControl/>
              <w:spacing w:line="400" w:lineRule="exact"/>
              <w:jc w:val="center"/>
              <w:textAlignment w:val="center"/>
              <w:rPr>
                <w:rFonts w:ascii="楷体_GB2312" w:cs="楷体_GB2312" w:eastAsia="楷体_GB2312" w:hAnsi="等线" w:hint="eastAsia"/>
                <w:b/>
                <w:bCs/>
                <w:color w:val="000000"/>
                <w:sz w:val="24"/>
                <w:highlight w:val="none"/>
              </w:rPr>
            </w:pPr>
            <w:r>
              <w:rPr>
                <w:rFonts w:ascii="楷体_GB2312" w:cs="楷体_GB2312" w:eastAsia="楷体_GB2312" w:hAnsi="等线" w:hint="eastAsia"/>
                <w:b/>
                <w:bCs/>
                <w:color w:val="000000"/>
                <w:kern w:val="0"/>
                <w:sz w:val="24"/>
                <w:highlight w:val="none"/>
                <w:lang w:bidi="ar"/>
              </w:rPr>
              <w:t>（一）理财产品基本信息</w:t>
            </w:r>
          </w:p>
        </w:tc>
      </w:tr>
      <w:tr w14:paraId="4D1B661A">
        <w:tblPrEx>
          <w:tblCellMar>
            <w:top w:type="dxa" w:w="0"/>
            <w:left w:type="dxa" w:w="108"/>
            <w:bottom w:type="dxa" w:w="0"/>
            <w:right w:type="dxa" w:w="108"/>
          </w:tblCellMar>
        </w:tblPrEx>
        <w:trPr>
          <w:trHeight w:hRule="atLeast" w:val="810"/>
        </w:trPr>
        <w:tc>
          <w:tcPr>
            <w:tcW w:type="dxa" w:w="2842"/>
            <w:tcBorders>
              <w:top w:color="000000" w:space="0" w:sz="4" w:val="single"/>
              <w:left w:color="000000" w:space="0" w:sz="8" w:val="single"/>
              <w:bottom w:color="auto" w:space="0" w:sz="4" w:val="single"/>
              <w:right w:color="auto" w:space="0" w:sz="4" w:val="single"/>
            </w:tcBorders>
            <w:vAlign w:val="center"/>
          </w:tcPr>
          <w:p w14:paraId="51B29FF6">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产品登记编码</w:t>
            </w:r>
          </w:p>
        </w:tc>
        <w:tc>
          <w:tcPr>
            <w:tcW w:type="dxa" w:w="6762"/>
            <w:tcBorders>
              <w:top w:color="000000" w:space="0" w:sz="4" w:val="single"/>
              <w:left w:color="auto" w:space="0" w:sz="4" w:val="single"/>
              <w:bottom w:color="auto" w:space="0" w:sz="4" w:val="single"/>
              <w:right w:color="000000" w:space="0" w:sz="8" w:val="single"/>
            </w:tcBorders>
            <w:vAlign w:val="center"/>
          </w:tcPr>
          <w:p w14:paraId="04B920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Z7002626001618】</w:t>
            </w:r>
          </w:p>
          <w:p w14:paraId="0A6129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楷体_GB2312" w:eastAsia="楷体_GB2312" w:hint="eastAsia"/>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（重要提示：可依据该登记编码在中国理财网www.chinawealth.com.cn查询产品信息）</w:t>
            </w:r>
          </w:p>
        </w:tc>
      </w:tr>
      <w:tr w14:paraId="36189232">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2F28D6E0">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产品名称</w:t>
            </w:r>
          </w:p>
        </w:tc>
        <w:tc>
          <w:tcPr>
            <w:tcW w:type="dxa" w:w="6762"/>
            <w:tcBorders>
              <w:top w:color="auto" w:space="0" w:sz="4" w:val="single"/>
              <w:left w:color="auto" w:space="0" w:sz="4" w:val="single"/>
              <w:bottom w:color="auto" w:space="0" w:sz="4" w:val="single"/>
              <w:right w:color="000000" w:space="0" w:sz="8" w:val="single"/>
            </w:tcBorders>
            <w:vAlign w:val="center"/>
          </w:tcPr>
          <w:p w14:paraId="4CC82AA3">
            <w:pPr>
              <w:widowControl/>
              <w:spacing w:line="400" w:lineRule="exact"/>
              <w:jc w:val="center"/>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【信银理财安盈象固收稳利封闭式976号理财产品</w:t>
            </w:r>
            <w:r>
              <w:rPr>
                <w:rFonts w:ascii="楷体_GB2312" w:cs="楷体_GB2312" w:eastAsia="楷体_GB2312"/>
                <w:color w:themeColor="text1" w:val="000000"/>
                <w:sz w:val="20"/>
                <w:szCs w:val="20"/>
                <w:highlight w:val="none"/>
                <w14:textFill>
                  <w14:solidFill>
                    <w14:schemeClr w14:val="tx1"/>
                  </w14:solidFill>
                </w14:textFill>
              </w:rPr>
              <w:t/>
            </w:r>
            <w:r>
              <w:rPr>
                <w:rFonts w:ascii="楷体_GB2312" w:cs="楷体_GB2312" w:eastAsia="楷体_GB2312" w:hint="eastAsia"/>
                <w:color w:themeColor="text1" w:val="000000"/>
                <w:sz w:val="20"/>
                <w:szCs w:val="20"/>
                <w:highlight w:val="none"/>
                <w14:textFill>
                  <w14:solidFill>
                    <w14:schemeClr w14:val="tx1"/>
                  </w14:solidFill>
                </w14:textFill>
              </w:rPr>
              <w:t>】</w:t>
            </w:r>
          </w:p>
        </w:tc>
      </w:tr>
      <w:tr w14:paraId="40A3119D">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67AD5FFA">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份额代码</w:t>
            </w:r>
          </w:p>
        </w:tc>
        <w:tc>
          <w:tcPr>
            <w:tcW w:type="dxa" w:w="6762"/>
            <w:tcBorders>
              <w:top w:color="auto" w:space="0" w:sz="4" w:val="single"/>
              <w:left w:color="auto" w:space="0" w:sz="4" w:val="single"/>
              <w:bottom w:color="auto" w:space="0" w:sz="4" w:val="single"/>
              <w:right w:color="000000" w:space="0" w:sz="8" w:val="single"/>
            </w:tcBorders>
            <w:vAlign w:val="center"/>
          </w:tcPr>
          <w:p w14:paraId="4B44BB31">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
              <w:t>【A】类份额：份额代码【AF265598A】</w:t>
              <w:br/>
              <w:t>【B】类份额：份额代码【AF265598B】</w:t>
              <w:br/>
              <w:t>【C】类份额：份额代码【AF265598C】</w:t>
              <w:br/>
              <w:t>【D】类份额：份额代码【AF265598D】</w:t>
              <w:br/>
              <w:t>【G】类份额：份额代码【AF265598G】</w:t>
              <w:br/>
              <w:t>【M】类份额：份额代码【AF265598M】</w:t>
              <w:br/>
              <w:t>【N】类份额：份额代码【AF265598N】</w:t>
              <w:br/>
              <w:t>【S】类份额：份额代码【AF265598S】</w:t>
            </w:r>
            <w:r>
              <w:rPr>
                <w:rFonts w:ascii="楷体_GB2312" w:cs="楷体_GB2312" w:eastAsia="楷体_GB2312"/>
                <w:color w:themeColor="text1" w:val="000000"/>
                <w:sz w:val="20"/>
                <w:szCs w:val="20"/>
                <w:highlight w:val="none"/>
                <w14:textFill>
                  <w14:solidFill>
                    <w14:schemeClr w14:val="tx1"/>
                  </w14:solidFill>
                </w14:textFill>
              </w:rPr>
              <w:t/>
            </w:r>
          </w:p>
          <w:p w14:paraId="0FD559CD">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p>
          <w:p w14:paraId="2965237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后续理财产品份额类型如有新增、减少和变更，信银理财将按照本说明书约定的方式告知投资者。</w:t>
            </w:r>
          </w:p>
        </w:tc>
      </w:tr>
      <w:tr w14:paraId="697529AB">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4AE77825">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发行机构名称</w:t>
            </w:r>
          </w:p>
        </w:tc>
        <w:tc>
          <w:tcPr>
            <w:tcW w:type="dxa" w:w="6762"/>
            <w:tcBorders>
              <w:top w:color="auto" w:space="0" w:sz="4" w:val="single"/>
              <w:left w:color="auto" w:space="0" w:sz="4" w:val="single"/>
              <w:bottom w:color="auto" w:space="0" w:sz="4" w:val="single"/>
              <w:right w:color="000000" w:space="0" w:sz="8" w:val="single"/>
            </w:tcBorders>
            <w:vAlign w:val="center"/>
          </w:tcPr>
          <w:p w14:paraId="6041FF69">
            <w:pPr>
              <w:spacing w:line="300" w:lineRule="atLeast"/>
              <w:ind w:left="-2"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企业名称：【信银理财有限责任公司】</w:t>
            </w:r>
          </w:p>
          <w:p w14:paraId="27AC77C7">
            <w:pPr>
              <w:spacing w:line="300" w:lineRule="atLeast"/>
              <w:ind w:left="-2"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住所：【上海市黄浦区中山东二路600号1幢35层、36层】</w:t>
            </w:r>
          </w:p>
          <w:p w14:paraId="72B165C7">
            <w:pPr>
              <w:widowControl/>
              <w:spacing w:line="400" w:lineRule="exact"/>
              <w:jc w:val="both"/>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客户服务热线：【950950】</w:t>
            </w:r>
          </w:p>
        </w:tc>
      </w:tr>
      <w:tr w14:paraId="0273B9F9">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4ECC6F72">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销售机构名称</w:t>
            </w:r>
          </w:p>
        </w:tc>
        <w:tc>
          <w:tcPr>
            <w:tcW w:type="dxa" w:w="6762"/>
            <w:tcBorders>
              <w:top w:color="auto" w:space="0" w:sz="4" w:val="single"/>
              <w:left w:color="auto" w:space="0" w:sz="4" w:val="single"/>
              <w:bottom w:color="auto" w:space="0" w:sz="4" w:val="single"/>
              <w:right w:color="000000" w:space="0" w:sz="8" w:val="single"/>
            </w:tcBorders>
            <w:vAlign w:val="center"/>
          </w:tcPr>
          <w:p w14:paraId="13DC3897">
            <w:pPr>
              <w:widowControl/>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
              <w:t>【A】类份额（份额代码【AF265598A】）合作销售机构信息：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【B】类份额（份额代码【AF265598B】）合作销售机构信息：</w:t>
              <w:br/>
              <w:t>1.企业名称：【三原县农村信用合作联社】</w:t>
              <w:br/>
              <w:t>住所：【陕西省咸阳市三原县宴友思大街中段】</w:t>
              <w:br/>
              <w:t>客户服务热线：【029-96262】</w:t>
              <w:br/>
              <w:t>2.企业名称：【乾县农村信用合作联社】</w:t>
              <w:br/>
              <w:t>住所：【陕西省咸阳市乾县西兰大街中段】</w:t>
              <w:br/>
              <w:t>客户服务热线：【029-96262】</w:t>
              <w:br/>
              <w:t>3.企业名称：【兴平市农村信用合作联社】</w:t>
              <w:br/>
              <w:t>住所：【陕西省咸阳市兴平市金城路】</w:t>
              <w:br/>
              <w:t>客户服务热线：【029-96262】</w:t>
              <w:br/>
              <w:t>4.企业名称：【陕西彬州农村商业银行股份有限公司】</w:t>
              <w:br/>
              <w:t>住所：【陕西省咸阳市彬州市城关镇西大街】</w:t>
              <w:br/>
              <w:t>客户服务热线：【029-96262】</w:t>
              <w:br/>
              <w:t>5.企业名称：【旬邑县农村信用合作联社】</w:t>
              <w:br/>
              <w:t>住所：【陕西省咸阳市旬邑县南大街】</w:t>
              <w:br/>
              <w:t>客户服务热线：【029-96262】</w:t>
              <w:br/>
              <w:t>6.企业名称：【武功县农村信用合作联社】</w:t>
              <w:br/>
              <w:t>住所：【陕西省咸阳市武功县普集镇后稷路】</w:t>
              <w:br/>
              <w:t>客户服务热线：【029-96262】</w:t>
              <w:br/>
              <w:t>7.企业名称：【永寿县农村信用合作联社】</w:t>
              <w:br/>
              <w:t>住所：【陕西省咸阳市永寿县监军镇西兰路中段】</w:t>
              <w:br/>
              <w:t>客户服务热线：【029-96262】</w:t>
              <w:br/>
              <w:t>8.企业名称：【泾阳县农村信用合作联社】</w:t>
              <w:br/>
              <w:t>住所：【陕西省咸阳市泾阳县泾干大街19号】</w:t>
              <w:br/>
              <w:t>客户服务热线：【029-96262】</w:t>
              <w:br/>
              <w:t>9.企业名称：【淳化县农村信用合作联社】</w:t>
              <w:br/>
              <w:t>住所：【陕西省咸阳市淳化县南新街】</w:t>
              <w:br/>
              <w:t>客户服务热线：【029-96262】</w:t>
              <w:br/>
              <w:t>10.企业名称：【礼泉县农村信用合作联社】</w:t>
              <w:br/>
              <w:t>住所：【陕西省咸阳市礼泉县建设路南段】</w:t>
              <w:br/>
              <w:t>客户服务热线：【029-96262】</w:t>
              <w:br/>
              <w:t>11.企业名称：【陕西咸阳农村商业银行股份有限公司】</w:t>
              <w:br/>
              <w:t>住所：【陕西省咸阳市秦都区文兴路智汇原8号商业楼1单元1层4号、5号、6号】</w:t>
              <w:br/>
              <w:t>客户服务热线：【029-96262】</w:t>
              <w:br/>
              <w:t>12.企业名称：【陕西长武农村商业银行股份有限公司】</w:t>
              <w:br/>
              <w:t>住所：【陕西省咸阳市长武县城西门什字北街002号】</w:t>
              <w:br/>
              <w:t>客户服务热线：【029-96262】</w:t>
              <w:br/>
              <w:t>13.企业名称：【陕西丹凤农村商业银行股份有限公司】</w:t>
              <w:br/>
              <w:t>住所：【陕西省商洛市丹凤县龙驹寨街道办事处县城新凤街】</w:t>
              <w:br/>
              <w:t>客户服务热线：【029-96262】</w:t>
              <w:br/>
              <w:t>14.企业名称：【陕西商南农村商业银行股份有限公司】</w:t>
              <w:br/>
              <w:t>住所：【陕西省商洛市商南县滨河西路中段】</w:t>
              <w:br/>
              <w:t>客户服务热线：【029-96262】</w:t>
              <w:br/>
              <w:t>15.企业名称：【陕西山阳农村商业银行股份有限公司】</w:t>
              <w:br/>
              <w:t>住所：【陕西省商洛市山阳县南大街73号】</w:t>
              <w:br/>
              <w:t>客户服务热线：【029-96262】</w:t>
              <w:br/>
              <w:t>16.企业名称：【陕西宁陕农村商业银行股份有限公司】</w:t>
              <w:br/>
              <w:t>住所：【陕西省安康市宁陕县城关镇迎宾大道15号】</w:t>
              <w:br/>
              <w:t>客户服务热线：【029-96262】</w:t>
              <w:br/>
              <w:t>17.企业名称：【陕西岚皋农村商业银行股份有限公司】</w:t>
              <w:br/>
              <w:t>住所：【陕西省安康市岚皋县城关镇河滨大道87号】</w:t>
              <w:br/>
              <w:t>客户服务热线：【029-96262】</w:t>
              <w:br/>
              <w:t>18.企业名称：【陕西旬阳农村商业银行股份有限公司】</w:t>
              <w:br/>
              <w:t>住所：【陕西省安康市旬阳市城区祝尔慷大道19号】</w:t>
              <w:br/>
              <w:t>客户服务热线：【029-96262】</w:t>
              <w:br/>
              <w:t>19.企业名称：【陕西安康农村商业银行股份有限公司】</w:t>
              <w:br/>
              <w:t>住所：【陕西省安康市汉滨区大桥南路2号】</w:t>
              <w:br/>
              <w:t>客户服务热线：【029-96262】</w:t>
              <w:br/>
              <w:t>20.企业名称：【陕西汉阴农村商业银行股份有限公司】</w:t>
              <w:br/>
              <w:t>住所：【陕西省安康市汉阴县城关镇北城街65号】</w:t>
              <w:br/>
              <w:t>客户服务热线：【029-96262】</w:t>
              <w:br/>
              <w:t>21.企业名称：【陕西白河农村商业银行股份有限公司】</w:t>
              <w:br/>
              <w:t>住所：【陕西省安康市白河县城关镇狮子山社区滨河大道】</w:t>
              <w:br/>
              <w:t>客户服务热线：【029-96262】</w:t>
              <w:br/>
              <w:t>22.企业名称：【陕西石泉农村商业银行股份有限公司】</w:t>
              <w:br/>
              <w:t>住所：【陕西省安康市石泉县城关镇向阳大道东段2号】</w:t>
              <w:br/>
              <w:t>客户服务热线：【029-96262】</w:t>
              <w:br/>
              <w:t>23.企业名称：【陕西紫阳农村商业银行股份有限公司】</w:t>
              <w:br/>
              <w:t>住所：【陕西省安康市紫阳县城关镇紫府路7号】</w:t>
              <w:br/>
              <w:t>客户服务热线：【029-96262】</w:t>
              <w:br/>
              <w:t>24.企业名称：【陕西镇坪农村商业银行股份有限公司】</w:t>
              <w:br/>
              <w:t>住所：【陕西省安康市镇坪县城关镇上新街32号】</w:t>
              <w:br/>
              <w:t>客户服务热线：【029-96262】</w:t>
              <w:br/>
              <w:t>25.企业名称：【陕西凤县农村商业银行股份有限公司】</w:t>
              <w:br/>
              <w:t>住所：【陕西省宝鸡市凤县双石铺镇新建路】</w:t>
              <w:br/>
              <w:t>客户服务热线：【029-96262】</w:t>
              <w:br/>
              <w:t>26.企业名称：【陕西千阳农村商业银行股份有限公司】</w:t>
              <w:br/>
              <w:t>住所：【陕西省宝鸡市千阳县城关镇西大街9号】</w:t>
              <w:br/>
              <w:t>客户服务热线：【029-96262】</w:t>
              <w:br/>
              <w:t>27.企业名称：【陕西太白农村商业银行股份有限公司】</w:t>
              <w:br/>
              <w:t>住所：【陕西省宝鸡市太白县南大街30号】</w:t>
              <w:br/>
              <w:t>客户服务热线：【029-96262】</w:t>
              <w:br/>
              <w:t>28.企业名称：【陕西岐山农村商业银行股份有限公司】</w:t>
              <w:br/>
              <w:t>住所：【陕西省宝鸡市岐山县凤鸣镇凤鸣西路凤鸣印象商城一层】</w:t>
              <w:br/>
              <w:t>客户服务热线：【029-96262】</w:t>
              <w:br/>
              <w:t>29.企业名称：【陕西宝鸡渭滨农村商业银行股份有限公司】</w:t>
              <w:br/>
              <w:t>住所：【陕西省宝鸡市渭滨区经二路东段151号】</w:t>
              <w:br/>
              <w:t>客户服务热线：【029-96262】</w:t>
              <w:br/>
              <w:t>30.企业名称：【陕西眉县农村商业银行股份有限公司】</w:t>
              <w:br/>
              <w:t>住所：【陕西省宝鸡市眉县首善镇平阳街334号】</w:t>
              <w:br/>
              <w:t>客户服务热线：【029-96262】</w:t>
              <w:br/>
              <w:t>31.企业名称：【陕西宝鸡金台农村商业银行股份有限公司】</w:t>
              <w:br/>
              <w:t>住所：【陕西省宝鸡市金台区大庆路86号】</w:t>
              <w:br/>
              <w:t>客户服务热线：【029-96262】</w:t>
              <w:br/>
              <w:t>32.企业名称：【陕西陇县农村商业银行股份有限公司】</w:t>
              <w:br/>
              <w:t>住所：【陕西省宝鸡市陇县南岸新城陇州大道】</w:t>
              <w:br/>
              <w:t>客户服务热线：【029-96262】</w:t>
              <w:br/>
              <w:t>33.企业名称：【陕西麟游农村商业银行股份有限公司】</w:t>
              <w:br/>
              <w:t>住所：【陕西省宝鸡市麟游县东大街49号】</w:t>
              <w:br/>
              <w:t>客户服务热线：【029-96262】</w:t>
              <w:br/>
              <w:t>34.企业名称：【陕西平利农村商业银行股份有限公司】</w:t>
              <w:br/>
              <w:t>住所：【陕西省平利县城关镇新正街177号】</w:t>
              <w:br/>
              <w:t>客户服务热线：【029-96262】</w:t>
              <w:br/>
              <w:t>35.企业名称：【陕西吴起农村合作银行】</w:t>
              <w:br/>
              <w:t>住所：【陕西省延安市吴起县北苑东路26号】</w:t>
              <w:br/>
              <w:t>客户服务热线：【029-96262】</w:t>
              <w:br/>
              <w:t>36.企业名称：【陕西子长农村商业银行股份有限公司】</w:t>
              <w:br/>
              <w:t>住所：【陕西省延安市子长市长兴街】</w:t>
              <w:br/>
              <w:t>客户服务热线：【029-96262】</w:t>
              <w:br/>
              <w:t>37.企业名称：【陕西安塞农村商业银行股份有限公司】</w:t>
              <w:br/>
              <w:t>住所：【陕西省延安市安塞区富民街22号】</w:t>
              <w:br/>
              <w:t>客户服务热线：【029-96262】</w:t>
              <w:br/>
              <w:t>38.企业名称：【陕西富县农村合作银行】</w:t>
              <w:br/>
              <w:t>住所：【陕西省延安市富县富城镇正街8号】</w:t>
              <w:br/>
              <w:t>客户服务热线：【029-96262】</w:t>
              <w:br/>
              <w:t>39.企业名称：【陕西洛川农村商业银行股份有限公司】</w:t>
              <w:br/>
              <w:t>住所：【陕西省延安市洛川县中心街】</w:t>
              <w:br/>
              <w:t>客户服务热线：【029-96262】</w:t>
              <w:br/>
              <w:t>40.企业名称：【陕西甘泉农村商业银行股份有限公司】</w:t>
              <w:br/>
              <w:t>住所：【陕西省延安市甘泉县中心街019号】</w:t>
              <w:br/>
              <w:t>客户服务热线：【029-96262】</w:t>
              <w:br/>
              <w:t>41.企业名称：【黄陵县农村信用合作联社】</w:t>
              <w:br/>
              <w:t>住所：【陕西省延安市黄陵县中心广场桥山大厦】</w:t>
              <w:br/>
              <w:t>客户服务热线：【029-96262】</w:t>
              <w:br/>
              <w:t>42.企业名称：【黄龙县农村信用合作联社】</w:t>
              <w:br/>
              <w:t>住所：【陕西省延安市黄龙县石堡镇广场大街40号】</w:t>
              <w:br/>
              <w:t>客户服务热线：【029-96262】</w:t>
              <w:br/>
              <w:t>43.企业名称：【陕西杨凌农村商业银行股份有限公司】</w:t>
              <w:br/>
              <w:t>住所：【陕西省杨凌示范区康乐路43号】</w:t>
              <w:br/>
              <w:t>客户服务热线：【029-96262】</w:t>
              <w:br/>
              <w:t>44.企业名称：【陕西定边农村商业银行股份有限公司】</w:t>
              <w:br/>
              <w:t>住所：【陕西省榆林市定边县西环路体育中心对面】</w:t>
              <w:br/>
              <w:t>客户服务热线：【029-96262】</w:t>
              <w:br/>
              <w:t>45.企业名称：【陕西府谷农村商业银行股份有限公司】</w:t>
              <w:br/>
              <w:t>住所：【陕西省榆林市府谷县新区营盘中路】</w:t>
              <w:br/>
              <w:t>客户服务热线：【029-96262】</w:t>
              <w:br/>
              <w:t>46.企业名称：【陕西榆林农村商业银行股份有限公司】</w:t>
              <w:br/>
              <w:t>住所：【陕西省榆林市榆阳区长城中路2号】</w:t>
              <w:br/>
              <w:t>客户服务热线：【029-96262】</w:t>
              <w:br/>
              <w:t>47.企业名称：【陕西清涧农村商业银行股份有限公司】</w:t>
              <w:br/>
              <w:t>住所：【陕西省榆林市清涧县西城区】</w:t>
              <w:br/>
              <w:t>客户服务热线：【029-96262】</w:t>
              <w:br/>
              <w:t>48.企业名称：【陕西神木农村商业银行股份有限公司】</w:t>
              <w:br/>
              <w:t>住所：【陕西省榆林市神木市神木镇东兴街中段】</w:t>
              <w:br/>
              <w:t>客户服务热线：【029-96262】</w:t>
              <w:br/>
              <w:t>49.企业名称：【陕西米脂农村商业银行股份有限公司】</w:t>
              <w:br/>
              <w:t>住所：【陕西省榆林市米脂县迎宾大道南侧园艺路东侧】</w:t>
              <w:br/>
              <w:t>客户服务热线：【029-96262】</w:t>
              <w:br/>
              <w:t>50.企业名称：【陕西绥德农村商业银行股份有限公司】</w:t>
              <w:br/>
              <w:t>住所：【陕西省榆林市绥德县北门街26号】</w:t>
              <w:br/>
              <w:t>客户服务热线：【029-96262】</w:t>
              <w:br/>
              <w:t>51.企业名称：【陕西佛坪农村商业银行股份有限公司】</w:t>
              <w:br/>
              <w:t>住所：【陕西省汉中市佛坪县河堤街40号】</w:t>
              <w:br/>
              <w:t>客户服务热线：【029-96262】</w:t>
              <w:br/>
              <w:t>52.企业名称：【陕西勉县农村商业银行股份有限公司】</w:t>
              <w:br/>
              <w:t>住所：【陕西省汉中市勉县勉阳街道办和平路东】</w:t>
              <w:br/>
              <w:t>客户服务热线：【029-96262】</w:t>
              <w:br/>
              <w:t>53.企业名称：【城固县农村信用合作联社】</w:t>
              <w:br/>
              <w:t>住所：【陕西省汉中市城固县博望街道桔园路中段】</w:t>
              <w:br/>
              <w:t>客户服务热线：【029-96262】</w:t>
              <w:br/>
              <w:t>54.企业名称：【宁强县农村信用合作联社】</w:t>
              <w:br/>
              <w:t>住所：【陕西省汉中市宁强县汉源街道办事处羌州路中段】</w:t>
              <w:br/>
              <w:t>客户服务热线：【029-96262】</w:t>
              <w:br/>
              <w:t>55.企业名称：【陕西汉中农村商业银行股份有限公司】</w:t>
              <w:br/>
              <w:t>住所：【陕西省汉中市汉台区民主街1号】</w:t>
              <w:br/>
              <w:t>客户服务热线：【029-96262】</w:t>
              <w:br/>
              <w:t>56.企业名称：【洋县农村信用合作联社】</w:t>
              <w:br/>
              <w:t>住所：【陕西省汉中市洋县洋州街道办事处北环路以北洋县医院以西】</w:t>
              <w:br/>
              <w:t>客户服务热线：【029-96262】</w:t>
              <w:br/>
              <w:t>57.企业名称：【留坝县农村信用合作联社】</w:t>
              <w:br/>
              <w:t>住所：【陕西省汉中市留坝县紫柏街道办事处紫柏路150号】</w:t>
              <w:br/>
              <w:t>客户服务热线：【029-96262】</w:t>
              <w:br/>
              <w:t>58.企业名称：【略阳县农村信用合作联社】</w:t>
              <w:br/>
              <w:t>住所：【陕西省汉中市略阳县电厂路油库坪】</w:t>
              <w:br/>
              <w:t>客户服务热线：【029-96262】</w:t>
              <w:br/>
              <w:t>59.企业名称：【陕西西乡农村商业银行股份有限公司】</w:t>
              <w:br/>
              <w:t>住所：【陕西省汉中市西乡县东一路和鹿龄路交汇处】</w:t>
              <w:br/>
              <w:t>客户服务热线：【029-96262】</w:t>
              <w:br/>
              <w:t>60.企业名称：【陕西镇巴农村商业银行股份有限公司】</w:t>
              <w:br/>
              <w:t>住所：【陕西省汉中市镇巴县泾洋镇新街4号】</w:t>
              <w:br/>
              <w:t>客户服务热线：【029-96262】</w:t>
              <w:br/>
              <w:t>61.企业名称：【大荔县农村信用合作联社】</w:t>
              <w:br/>
              <w:t>住所：【陕西省渭南市大荔县城关镇花城路24号】</w:t>
              <w:br/>
              <w:t>客户服务热线：【029-96262】</w:t>
              <w:br/>
              <w:t>62.企业名称：【富平县农村信用合作联社】</w:t>
              <w:br/>
              <w:t>住所：【陕西省渭南市富平县频阳大街23号】</w:t>
              <w:br/>
              <w:t>客户服务热线：【029-96262】</w:t>
              <w:br/>
              <w:t>63.企业名称：【铜川市印台区农村信用合作联社】</w:t>
              <w:br/>
              <w:t>住所：【陕西省铜川市印台区同官路】</w:t>
              <w:br/>
              <w:t>客户服务热线：【029-96262】</w:t>
              <w:br/>
              <w:t>64.企业名称：【宜君县农村信用合作联社】</w:t>
              <w:br/>
              <w:t>住所：【陕西省铜川市宜君县宜阳南街3号】</w:t>
              <w:br/>
              <w:t>客户服务热线：【029-96262】</w:t>
              <w:br/>
              <w:t>65.企业名称：【铜川市王益区农村信用合作联社】</w:t>
              <w:br/>
              <w:t>住所：【陕西省铜川市王益区红旗街86号】</w:t>
              <w:br/>
              <w:t>客户服务热线：【029-96262】</w:t>
              <w:br/>
              <w:t>66.企业名称：【铜川市耀州区农村信用合作联社】</w:t>
              <w:br/>
              <w:t>住所：【陕西省铜川市耀州区华原路塔坡什字】</w:t>
              <w:br/>
              <w:t>客户服务热线：【029-96262】</w:t>
              <w:br/>
              <w:t>67.企业名称：【陕西镇安农村商业银行股份有限公司】</w:t>
              <w:br/>
              <w:t>住所：【陕西省镇安县南新街38号】</w:t>
              <w:br/>
              <w:t>客户服务热线：【029-96262】</w:t>
              <w:br/>
              <w:t>68.企业名称：【江苏扬中农村商业银行股份有限公司】</w:t>
              <w:br/>
              <w:t>住所：【扬中市扬子西路79号】</w:t>
              <w:br/>
              <w:t>客户服务热线：【0511-96008】</w:t>
              <w:br/>
              <w:t>69.企业名称：【江苏仪征农村商业银行股份有限公司】</w:t>
              <w:br/>
              <w:t>住所：【江苏省仪征市真州镇解放东路 818 号金融集聚区 1 座 801811，901-911，1001-1011，2 座 101】</w:t>
              <w:br/>
              <w:t>客户服务热线：【0514-96008】</w:t>
              <w:br/>
              <w:t>70.企业名称：【江苏滨海农村商业银行股份有限公司】</w:t>
              <w:br/>
              <w:t>住所：【滨海县城迎宾中路1号】</w:t>
              <w:br/>
              <w:t>客户服务热线：【0515-96008】</w:t>
              <w:br/>
              <w:t>71.企业名称：【江苏泰兴农村商业银行股份有限公司】</w:t>
              <w:br/>
              <w:t>住所：【江苏省泰兴市国庆东路166号】</w:t>
              <w:br/>
              <w:t>客户服务热线：【0523-96008】</w:t>
              <w:br/>
              <w:t>72.企业名称：【浙江东阳农村商业银行股份有限公司】</w:t>
              <w:br/>
              <w:t>住所：【东阳市双岘路18号】</w:t>
              <w:br/>
              <w:t>客户服务热线：【0571-96596】</w:t>
              <w:br/>
              <w:t>73.企业名称：【浙江乐清农村商业银行股份有限公司】</w:t>
              <w:br/>
              <w:t>住所：【乐清市城南街道伯乐西路99号】</w:t>
              <w:br/>
              <w:t>客户服务热线：【0571-96596】</w:t>
              <w:br/>
              <w:t>74.企业名称：【宁波余姚农村商业银行股份有限公司】</w:t>
              <w:br/>
              <w:t>住所：【余姚市新建路69号】</w:t>
              <w:br/>
              <w:t>客户服务热线：【0571-96596】</w:t>
              <w:br/>
              <w:t>75.企业名称：【宁波镇海农村商业银行股份有限公司】</w:t>
              <w:br/>
              <w:t>住所：【宁波市镇海区骆驼街道镇海大道中段788号】</w:t>
              <w:br/>
              <w:t>客户服务热线：【0571-96596】</w:t>
              <w:br/>
              <w:t>76.企业名称：【宁波宁海农村商业银行股份有限公司】</w:t>
              <w:br/>
              <w:t>住所：【宁海县跃龙街道学勉路1号（金融中心）】</w:t>
              <w:br/>
              <w:t>客户服务热线：【0571-96596】</w:t>
              <w:br/>
              <w:t>77.企业名称：【浙江丽水莲都农村商业银行股份有限公司】</w:t>
              <w:br/>
              <w:t>住所：【浙江丽水市解放街438号】</w:t>
              <w:br/>
              <w:t>客户服务热线：【0571-96596】</w:t>
              <w:br/>
              <w:t>78.企业名称：【浙江三门农村商业银行股份有限公司】</w:t>
              <w:br/>
              <w:t>住所：【浙江省三门县海游街道上洋路68号】</w:t>
              <w:br/>
              <w:t>客户服务热线：【0571-96596】</w:t>
              <w:br/>
              <w:t>79.企业名称：【浙江衢州柯城农村商业银行股份有限公司】</w:t>
              <w:br/>
              <w:t>住所：【浙江省上街92号】</w:t>
              <w:br/>
              <w:t>客户服务热线：【0571-96596】</w:t>
              <w:br/>
              <w:t>80.企业名称：【浙江云和农村商业银行股份有限公司】</w:t>
              <w:br/>
              <w:t>住所：【浙江省丽水市云和县浮云街道新建路72号】</w:t>
              <w:br/>
              <w:t>客户服务热线：【0571-96596】</w:t>
              <w:br/>
              <w:t>81.企业名称：【浙江庆元农村商业银行股份有限公司】</w:t>
              <w:br/>
              <w:t>住所：【浙江省丽水市庆元县濛洲街道云鹤路3号】</w:t>
              <w:br/>
              <w:t>客户服务热线：【0571-96596】</w:t>
              <w:br/>
              <w:t>82.企业名称：【浙江景宁农村商业银行股份有限公司】</w:t>
              <w:br/>
              <w:t>住所：【浙江省丽水市景宁畲族自治县红星街道人民中路201号】</w:t>
              <w:br/>
              <w:t>客户服务热线：【0571-96596】</w:t>
              <w:br/>
              <w:t>83.企业名称：【浙江松阳农村商业银行股份有限公司】</w:t>
              <w:br/>
              <w:t>住所：【浙江省丽水市松阳县水南街道要津南路71号】</w:t>
              <w:br/>
              <w:t>客户服务热线：【0571-96596】</w:t>
              <w:br/>
              <w:t>84.企业名称：【浙江缙云农村商业银行股份有限公司】</w:t>
              <w:br/>
              <w:t>住所：【浙江省丽水市缙云县五云镇新区仙都路68号】</w:t>
              <w:br/>
              <w:t>客户服务热线：【0571-96596】</w:t>
              <w:br/>
              <w:t>85.企业名称：【浙江遂昌农村商业银行股份有限公司】</w:t>
              <w:br/>
              <w:t>住所：【浙江省丽水市遂昌县妙高街道溪边路100号】</w:t>
              <w:br/>
              <w:t>客户服务热线：【0571-96596】</w:t>
              <w:br/>
              <w:t>86.企业名称：【浙江龙泉农村商业银行股份有限公司】</w:t>
              <w:br/>
              <w:t>住所：【浙江省丽水市龙泉市中山东路101号】</w:t>
              <w:br/>
              <w:t>客户服务热线：【0571-96596】</w:t>
              <w:br/>
              <w:t>87.企业名称：【浙江义乌农村商业银行股份有限公司】</w:t>
              <w:br/>
              <w:t>住所：【浙江省义乌市福田街道城北路677号】</w:t>
              <w:br/>
              <w:t>客户服务热线：【0571-96596】</w:t>
              <w:br/>
              <w:t>88.企业名称：【浙江仙居农村商业银行股份有限公司】</w:t>
              <w:br/>
              <w:t>住所：【浙江省仙居县南峰街道穿城中路21号】</w:t>
              <w:br/>
              <w:t>客户服务热线：【0571-96596】</w:t>
              <w:br/>
              <w:t>89.企业名称：【浙江兰溪农村商业银行股份有限公司】</w:t>
              <w:br/>
              <w:t>住所：【浙江省兰溪市兰江街道丹溪大道18号】</w:t>
              <w:br/>
              <w:t>客户服务热线：【0571-96596】</w:t>
              <w:br/>
              <w:t>90.企业名称：【浙江临海农村商业银行股份有限公司】</w:t>
              <w:br/>
              <w:t>住所：【浙江省台州市临海市大洋街道河阳路299号】</w:t>
              <w:br/>
              <w:t>客户服务热线：【0571-96596】</w:t>
              <w:br/>
              <w:t>91.企业名称：【浙江台州椒江农村商业银行股份有限公司】</w:t>
              <w:br/>
              <w:t>住所：【浙江省台州市椒江区工人东路322号】</w:t>
              <w:br/>
              <w:t>客户服务热线：【0571-96596】</w:t>
              <w:br/>
              <w:t>92.企业名称：【浙江温岭农村商业银行股份有限公司】</w:t>
              <w:br/>
              <w:t>住所：【浙江省台州市温岭市城东街道下保路100号】</w:t>
              <w:br/>
              <w:t>客户服务热线：【0571-96596】</w:t>
              <w:br/>
              <w:t>93.企业名称：【浙江台州路桥农村商业银行股份有限公司】</w:t>
              <w:br/>
              <w:t>住所：【浙江省台州市路桥区西路桥大道328号】</w:t>
              <w:br/>
              <w:t>客户服务热线：【0571-96596】</w:t>
              <w:br/>
              <w:t>94.企业名称：【浙江台州黄岩农村商业银行股份有限公司】</w:t>
              <w:br/>
              <w:t>住所：【浙江省台州市黄岩区洞天路88号】</w:t>
              <w:br/>
              <w:t>客户服务热线：【0571-96596】</w:t>
              <w:br/>
              <w:t>95.企业名称：【浙江嘉善农村商业银行股份有限公司】</w:t>
              <w:br/>
              <w:t>住所：【浙江省嘉兴市嘉善县罗星街道车站南路999号】</w:t>
              <w:br/>
              <w:t>客户服务热线：【0571-96596】</w:t>
              <w:br/>
              <w:t>96.企业名称：【浙江桐乡农村商业银行股份有限公司】</w:t>
              <w:br/>
              <w:t>住所：【浙江省嘉兴市桐乡市梧桐街道校场东路59号】</w:t>
              <w:br/>
              <w:t>客户服务热线：【0571-96596】</w:t>
              <w:br/>
              <w:t>97.企业名称：【浙江禾城农村商业银行股份有限公司】</w:t>
              <w:br/>
              <w:t>住所：【浙江省嘉兴市经济技术开发区文昌路1229号】</w:t>
              <w:br/>
              <w:t>客户服务热线：【0571-96596】</w:t>
              <w:br/>
              <w:t>98.企业名称：【浙江天台农村商业银行股份有限公司】</w:t>
              <w:br/>
              <w:t>住所：【浙江省天台县赤城街道飞鹤路358号】</w:t>
              <w:br/>
              <w:t>客户服务热线：【0571-96596】</w:t>
              <w:br/>
              <w:t>99.企业名称：【宁波北仑农村商业银行股份有限公司】</w:t>
              <w:br/>
              <w:t>住所：【浙江省宁波市北仑区新碶宝山路69号（凤凰国际商务广场）1幢69号、63号（凤凰国际商务广场）1幢（2-26层）】</w:t>
              <w:br/>
              <w:t>客户服务热线：【0571-96596】</w:t>
              <w:br/>
              <w:t>100.企业名称：【宁波奉化农村商业银行股份有限公司】</w:t>
              <w:br/>
              <w:t>住所：【浙江省宁波市奉化区锦屏街道中山路27号】</w:t>
              <w:br/>
              <w:t>客户服务热线：【0571-96596】</w:t>
              <w:br/>
              <w:t>101.企业名称：【宁波甬城农村商业银行股份有限公司】</w:t>
              <w:br/>
              <w:t>住所：【浙江省宁波市江北区育才路15、17号】</w:t>
              <w:br/>
              <w:t>客户服务热线：【0571-96596】</w:t>
              <w:br/>
              <w:t>102.企业名称：【浙江嵊州农村商业银行股份有限公司】</w:t>
              <w:br/>
              <w:t>住所：【浙江省嵊州市剡湖街道官河路398号】</w:t>
              <w:br/>
              <w:t>客户服务热线：【0571-96596】</w:t>
              <w:br/>
              <w:t>103.企业名称：【浙江嵊泗农村商业银行股份有限公司】</w:t>
              <w:br/>
              <w:t>住所：【浙江省嵊泗县菜园镇沙河路110号】</w:t>
              <w:br/>
              <w:t>客户服务热线：【0571-96596】</w:t>
              <w:br/>
              <w:t>104.企业名称：【浙江平湖农村商业银行股份有限公司】</w:t>
              <w:br/>
              <w:t>住所：【浙江省平湖市当湖街道胜利路518号】</w:t>
              <w:br/>
              <w:t>客户服务热线：【0571-96596】</w:t>
              <w:br/>
              <w:t>105.企业名称：【浙江平阳农村商业银行股份有限公司】</w:t>
              <w:br/>
              <w:t>住所：【浙江省平阳县鳌江镇车站大道999号】</w:t>
              <w:br/>
              <w:t>客户服务热线：【0571-96596】</w:t>
              <w:br/>
              <w:t>106.企业名称：【浙江建德农村商业银行股份有限公司】</w:t>
              <w:br/>
              <w:t>住所：【浙江省建德市新安江街道江滨中路176号】</w:t>
              <w:br/>
              <w:t>客户服务热线：【0571-96596】</w:t>
              <w:br/>
              <w:t>107.企业名称：【浙江德清农村商业银行股份有限公司】</w:t>
              <w:br/>
              <w:t>住所：【浙江省德清县武康街道沈长圩街50号】</w:t>
              <w:br/>
              <w:t>客户服务热线：【0571-96596】</w:t>
              <w:br/>
              <w:t>108.企业名称：【宁波慈溪农村商业银行股份有限公司】</w:t>
              <w:br/>
              <w:t>住所：【浙江省慈溪市浒山街道南城路 25 号、59 号 5-6 楼】</w:t>
              <w:br/>
              <w:t>客户服务热线：【0571-96596】</w:t>
              <w:br/>
              <w:t>109.企业名称：【浙江新昌农村商业银行股份有限公司】</w:t>
              <w:br/>
              <w:t>住所：【浙江省新昌县七星街道七星路18号】</w:t>
              <w:br/>
              <w:t>客户服务热线：【0571-96596】</w:t>
              <w:br/>
              <w:t>110.企业名称：【杭州联合农村商业银行股份有限公司】</w:t>
              <w:br/>
              <w:t>住所：【浙江省杭州市上城区建国中路99号】</w:t>
              <w:br/>
              <w:t>客户服务热线：【0571-96596】</w:t>
              <w:br/>
              <w:t>111.企业名称：【浙江临安农村商业银行股份有限公司】</w:t>
              <w:br/>
              <w:t>住所：【浙江省杭州市临安区锦城街道城中街442号】</w:t>
              <w:br/>
              <w:t>客户服务热线：【0571-96596】</w:t>
              <w:br/>
              <w:t>112.企业名称：【浙江杭州余杭农村商业银行股份有限公司】</w:t>
              <w:br/>
              <w:t>住所：【浙江省杭州市临平区南苑街道南大街72号】</w:t>
              <w:br/>
              <w:t>客户服务热线：【0571-96596】</w:t>
              <w:br/>
              <w:t>113.企业名称：【浙江富阳农村商业银行股份有限公司】</w:t>
              <w:br/>
              <w:t>住所：【浙江省杭州市富阳区鹿山街道依江路501号第1幢】</w:t>
              <w:br/>
              <w:t>客户服务热线：【0571-96596】</w:t>
              <w:br/>
              <w:t>114.企业名称：【浙江桐庐农村商业银行股份有限公司】</w:t>
              <w:br/>
              <w:t>住所：【浙江省杭州市桐庐县城迎春南路278号】</w:t>
              <w:br/>
              <w:t>客户服务热线：【0571-96596】</w:t>
              <w:br/>
              <w:t>115.企业名称：【浙江淳安农村商业银行股份有限公司】</w:t>
              <w:br/>
              <w:t>住所：【浙江省杭州市淳安县千岛湖镇环湖北路369号】</w:t>
              <w:br/>
              <w:t>客户服务热线：【0571-96596】</w:t>
              <w:br/>
              <w:t>116.企业名称：【浙江萧山农村商业银行股份有限公司】</w:t>
              <w:br/>
              <w:t>住所：【浙江省杭州市萧山区人民路258号】</w:t>
              <w:br/>
              <w:t>客户服务热线：【0571-96596】</w:t>
              <w:br/>
              <w:t>117.企业名称：【浙江武义农村商业银行股份有限公司】</w:t>
              <w:br/>
              <w:t>住所：【浙江省武义县城武阳中路37号】</w:t>
              <w:br/>
              <w:t>客户服务热线：【0571-96596】</w:t>
              <w:br/>
              <w:t>118.企业名称：【浙江江山农村商业银行股份有限公司】</w:t>
              <w:br/>
              <w:t>住所：【浙江省江山市双塔街道江滨路188号】</w:t>
              <w:br/>
              <w:t>客户服务热线：【0571-96596】</w:t>
              <w:br/>
              <w:t>119.企业名称：【浙江浦江农村商业银行股份有限公司】</w:t>
              <w:br/>
              <w:t>住所：【浙江省浦江县人民东路90号】</w:t>
              <w:br/>
              <w:t>客户服务热线：【0571-96596】</w:t>
              <w:br/>
              <w:t>120.企业名称：【浙江海宁农村商业银行股份有限公司】</w:t>
              <w:br/>
              <w:t>住所：【浙江省海宁市海洲街道钱江西路278号】</w:t>
              <w:br/>
              <w:t>客户服务热线：【0571-96596】</w:t>
              <w:br/>
              <w:t>121.企业名称：【浙江海盐农村商业银行股份有限公司】</w:t>
              <w:br/>
              <w:t>住所：【浙江省海盐县武原街道枣园西路176号】</w:t>
              <w:br/>
              <w:t>客户服务热线：【0571-96596】</w:t>
              <w:br/>
              <w:t>122.企业名称：【浙江文成农村商业银行股份有限公司】</w:t>
              <w:br/>
              <w:t>住所：【浙江省温州市文成县大峃镇伯温路6号】</w:t>
              <w:br/>
              <w:t>客户服务热线：【0571-96596】</w:t>
              <w:br/>
              <w:t>123.企业名称：【浙江永嘉农村商业银行股份有限公司】</w:t>
              <w:br/>
              <w:t>住所：【浙江省温州市永嘉县瓯北街道阳光大道3918号101室、201室、301室、401室、501室、1101室、1801室、2201室】</w:t>
              <w:br/>
              <w:t>客户服务热线：【0571-96596】</w:t>
              <w:br/>
              <w:t>124.企业名称：【浙江泰顺农村商业银行股份有限公司】</w:t>
              <w:br/>
              <w:t>住所：【浙江省温州市泰顺县罗阳镇新城区文祥大道181号】</w:t>
              <w:br/>
              <w:t>客户服务热线：【0571-96596】</w:t>
              <w:br/>
              <w:t>125.企业名称：【浙江温州瓯海农村商业银行股份有限公司】</w:t>
              <w:br/>
              <w:t>住所：【浙江省温州市瓯海区瓯海大道989号】</w:t>
              <w:br/>
              <w:t>客户服务热线：【0571-96596】</w:t>
              <w:br/>
              <w:t>126.企业名称：【浙江温州鹿城农村商业银行股份有限公司】</w:t>
              <w:br/>
              <w:t>住所：【浙江省温州市鹿城区会展路1500号富银大厦】</w:t>
              <w:br/>
              <w:t>客户服务热线：【0571-96596】</w:t>
              <w:br/>
              <w:t>127.企业名称：【浙江温州龙湾农村商业银行股份有限公司】</w:t>
              <w:br/>
              <w:t>住所：【浙江省温州市龙湾区永中街道永宁西路555号】</w:t>
              <w:br/>
              <w:t>客户服务热线：【0571-96596】</w:t>
              <w:br/>
              <w:t>128.企业名称：【湖州吴兴农村商业银行股份有限公司】</w:t>
              <w:br/>
              <w:t>住所：【浙江省湖州市东街55号】</w:t>
              <w:br/>
              <w:t>客户服务热线：【0571-96596】</w:t>
              <w:br/>
              <w:t>129.企业名称：【浙江南浔农村商业银行股份有限公司】</w:t>
              <w:br/>
              <w:t>住所：【浙江省湖州市南浔区南浔镇人瑞路1188号】</w:t>
              <w:br/>
              <w:t>客户服务热线：【0571-96596】</w:t>
              <w:br/>
              <w:t>130.企业名称：【浙江安吉农村商业银行股份有限公司】</w:t>
              <w:br/>
              <w:t>住所：【浙江省湖州市安吉县昌硕街道昌硕东路1号(自主申报)】</w:t>
              <w:br/>
              <w:t>客户服务热线：【0571-96596】</w:t>
              <w:br/>
              <w:t>131.企业名称：【浙江长兴农村商业银行股份有限公司】</w:t>
              <w:br/>
              <w:t>住所：【浙江省湖州市长兴县太湖街道明珠路1298号】</w:t>
              <w:br/>
              <w:t>客户服务热线：【0571-96596】</w:t>
              <w:br/>
              <w:t>132.企业名称：【浙江玉环农村商业银行股份有限公司】</w:t>
              <w:br/>
              <w:t>住所：【浙江省玉环市玉城街道珠港大道26号】</w:t>
              <w:br/>
              <w:t>客户服务热线：【0571-96596】</w:t>
              <w:br/>
              <w:t>133.企业名称：【浙江上虞农村商业银行股份有限公司】</w:t>
              <w:br/>
              <w:t>住所：【浙江省百官街道德盛路55号】</w:t>
              <w:br/>
              <w:t>客户服务热线：【0571-96596】</w:t>
              <w:br/>
              <w:t>134.企业名称：【浙江绍兴恒信农村商业银行股份有限公司】</w:t>
              <w:br/>
              <w:t>住所：【浙江省绍兴市中兴中路159号】</w:t>
              <w:br/>
              <w:t>客户服务热线：【0571-96596】</w:t>
              <w:br/>
              <w:t>135.企业名称：【浙江绍兴瑞丰农村商业银行股份有限公司】</w:t>
              <w:br/>
              <w:t>住所：【浙江省绍兴市柯桥区柯桥笛扬路1363号】</w:t>
              <w:br/>
              <w:t>客户服务热线：【0571-96596】</w:t>
              <w:br/>
              <w:t>136.企业名称：【浙江舟山定海海洋农村商业银行股份有限公司】</w:t>
              <w:br/>
              <w:t>住所：【浙江省舟山市定海区环城东路81号】</w:t>
              <w:br/>
              <w:t>客户服务热线：【0571-96596】</w:t>
              <w:br/>
              <w:t>137.企业名称：【浙江岱山农村商业银行股份有限公司】</w:t>
              <w:br/>
              <w:t>住所：【浙江省舟山市岱山县高亭镇衢山大道1009号(自主申报)】</w:t>
              <w:br/>
              <w:t>客户服务热线：【0571-96596】</w:t>
              <w:br/>
              <w:t>138.企业名称：【浙江舟山普陀农村商业银行股份有限公司】</w:t>
              <w:br/>
              <w:t>住所：【浙江省舟山市普陀区东港街道麒麟街225号（自贸试验区内）】</w:t>
              <w:br/>
              <w:t>客户服务热线：【0571-96596】</w:t>
              <w:br/>
              <w:t>139.企业名称：【浙江苍南农村商业银行股份有限公司】</w:t>
              <w:br/>
              <w:t>住所：【浙江省苍南县灵溪镇人民大道425号】</w:t>
              <w:br/>
              <w:t>客户服务热线：【0571-96596】</w:t>
              <w:br/>
              <w:t>140.企业名称：【浙江常山农村商业银行股份有限公司】</w:t>
              <w:br/>
              <w:t>住所：【浙江省衢州市常山县天马街道人民路125号】</w:t>
              <w:br/>
              <w:t>客户服务热线：【0571-96596】</w:t>
              <w:br/>
              <w:t>141.企业名称：【浙江开化农村商业银行股份有限公司】</w:t>
              <w:br/>
              <w:t>住所：【浙江省衢州市开化县华埠镇永吉二路8号】</w:t>
              <w:br/>
              <w:t>客户服务热线：【0571-96596】</w:t>
              <w:br/>
              <w:t>142.企业名称：【浙江衢州衢江农村商业银行股份有限公司】</w:t>
              <w:br/>
              <w:t>住所：【浙江省衢州市衢江区樟潭街道信安东路37号】</w:t>
              <w:br/>
              <w:t>客户服务热线：【0571-96596】</w:t>
              <w:br/>
              <w:t>143.企业名称：【浙江龙游农村商业银行股份有限公司】</w:t>
              <w:br/>
              <w:t>住所：【浙江省衢州市龙游县龙洲街道荣昌大道683、685、687号】</w:t>
              <w:br/>
              <w:t>客户服务热线：【0571-96596】</w:t>
              <w:br/>
              <w:t>144.企业名称：【浙江诸暨农村商业银行股份有限公司】</w:t>
              <w:br/>
              <w:t>住所：【浙江省诸暨市暨阳街道大桥东路2号】</w:t>
              <w:br/>
              <w:t>客户服务热线：【0571-96596】</w:t>
              <w:br/>
              <w:t>145.企业名称：【浙江金华成泰农村商业银行股份有限公司】</w:t>
              <w:br/>
              <w:t>住所：【浙江省金华市八一南街123号】</w:t>
              <w:br/>
              <w:t>客户服务热线：【0571-96596】</w:t>
              <w:br/>
              <w:t>146.企业名称：【浙江永康农村商业银行股份有限公司】</w:t>
              <w:br/>
              <w:t>住所：【浙江省金华市永康市九铃东路3259号】</w:t>
              <w:br/>
              <w:t>客户服务热线：【0571-96596】</w:t>
              <w:br/>
              <w:t>147.企业名称：【浙江青田农村商业银行股份有限公司】</w:t>
              <w:br/>
              <w:t>住所：【浙江省青田县鹤城街道鹤城东路180号】</w:t>
              <w:br/>
              <w:t>客户服务热线：【0571-96596】</w:t>
              <w:br/>
              <w:t>148.企业名称：【浙江瑞安农村商业银行股份有限公司】</w:t>
              <w:br/>
              <w:t>住所：【瑞安市安阳街道万松东路148号】</w:t>
              <w:br/>
              <w:t>客户服务热线：【0571-96596】</w:t>
              <w:br/>
              <w:t>149.企业名称：【江苏宜兴农村商业银行股份有限公司】</w:t>
              <w:br/>
              <w:t>住所：【江苏省宜兴市宜城街道解放东路579号】</w:t>
              <w:br/>
              <w:t>客户服务热线：【96008】</w:t>
              <w:br/>
              <w:t>150.企业名称：【江苏兴化农村商业银行股份有限公司】</w:t>
              <w:br/>
              <w:t>住所：【江苏省兴化市长安南路999号】</w:t>
              <w:br/>
              <w:t>客户服务热线：【96028】</w:t>
              <w:br/>
              <w:t xml:space="preserve"> </w:t>
              <w:br/>
              <w:t>【C】类份额（份额代码【AF265598C】）合作销售机构信息：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【D】类份额（份额代码【AF265598D】）合作销售机构信息：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【G】类份额（份额代码【AF265598G】）合作销售机构信息：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【M】类份额（份额代码【AF265598M】）合作销售机构信息：</w:t>
              <w:br/>
              <w:t>1.企业名称：【江苏高淳农村商业银行股份有限公司】</w:t>
              <w:br/>
              <w:t>住所：【江苏省南京市高淳区宝塔路123号】</w:t>
              <w:br/>
              <w:t>客户服务热线：【025-96008】</w:t>
              <w:br/>
              <w:t>2.企业名称：【内蒙古农村商业银行股份有限公司】</w:t>
              <w:br/>
              <w:t>住所：【内蒙古自治区呼和浩特市赛罕区陶利西街1号】</w:t>
              <w:br/>
              <w:t>客户服务热线：【0471-96688】</w:t>
              <w:br/>
              <w:t>3.企业名称：【江苏句容农村商业银行股份有限公司】</w:t>
              <w:br/>
              <w:t>住所：【江苏省句容市福地东路66号】</w:t>
              <w:br/>
              <w:t>客户服务热线：【0511-96008】</w:t>
              <w:br/>
              <w:t>4.企业名称：【江苏镇江农村商业银行股份有限公司】</w:t>
              <w:br/>
              <w:t>住所：【江苏省镇江市润州区长江路97号】</w:t>
              <w:br/>
              <w:t>客户服务热线：【0513-96008】</w:t>
              <w:br/>
              <w:t>5.企业名称：【江苏东台农村商业银行股份有限公司】</w:t>
              <w:br/>
              <w:t>住所：【东台市东城大道10号】</w:t>
              <w:br/>
              <w:t>客户服务热线：【0515-96008】</w:t>
              <w:br/>
              <w:t>6.企业名称：【江苏建湖农村商业银行股份有限公司】</w:t>
              <w:br/>
              <w:t>住所：【江苏省建湖县湖南中路958号】</w:t>
              <w:br/>
              <w:t>客户服务热线：【0515-96008】</w:t>
              <w:br/>
              <w:t>7.企业名称：【江苏大丰农村商业银行股份有限公司】</w:t>
              <w:br/>
              <w:t>住所：【江苏省盐城市大丰区常新中路9号】</w:t>
              <w:br/>
              <w:t>客户服务热线：【0515-96008】</w:t>
              <w:br/>
              <w:t>8.企业名称：【江苏阜宁农村商业银行股份有限公司】</w:t>
              <w:br/>
              <w:t>住所：【江苏省阜宁县城南新区上海路459号】</w:t>
              <w:br/>
              <w:t>客户服务热线：【0515-96008】</w:t>
              <w:br/>
              <w:t>9.企业名称：【江苏泰州农村商业银行股份有限公司】</w:t>
              <w:br/>
              <w:t>住所：【江苏省泰州市海陵区西仓路36号】</w:t>
              <w:br/>
              <w:t>客户服务热线：【0523-96008】</w:t>
              <w:br/>
              <w:t>10.企业名称：【温州银行股份有限公司】</w:t>
              <w:br/>
              <w:t>住所：【浙江省温州市鹿城区会展路1316号】</w:t>
              <w:br/>
              <w:t>客户服务热线：【0577-96699】</w:t>
              <w:br/>
              <w:t>11.企业名称：【鄂尔多斯银行股份有限公司】</w:t>
              <w:br/>
              <w:t>住所：【内蒙古自治区鄂尔多斯市东胜区乌审西街6号】</w:t>
              <w:br/>
              <w:t>客户服务热线：【4000096622】</w:t>
              <w:br/>
              <w:t>12.企业名称：【郑州银行股份有限公司】</w:t>
              <w:br/>
              <w:t>住所：【郑州市郑东新区商务外环路22号】</w:t>
              <w:br/>
              <w:t>客户服务热线：【95097】</w:t>
              <w:br/>
              <w:t>13.企业名称：【江苏姜堰农村商业银行股份有限公司】</w:t>
              <w:br/>
              <w:t>住所：【泰州市姜堰区姜堰大道128号】</w:t>
              <w:br/>
              <w:t>客户服务热线：【96008】</w:t>
              <w:br/>
              <w:t xml:space="preserve"> </w:t>
              <w:br/>
              <w:t>【N】类份额（份额代码【AF265598N】）合作销售机构信息：</w:t>
              <w:br/>
              <w:t>1.企业名称：【江苏涟水农村商业银行股份有限公司】</w:t>
              <w:br/>
              <w:t>住所：【淮安市涟水县涟城镇涟州路５号】</w:t>
              <w:br/>
              <w:t>客户服务热线：【0517-96008】</w:t>
              <w:br/>
              <w:t>2.企业名称：【湖南银行股份有限公司】</w:t>
              <w:br/>
              <w:t>住所：【湖南省长沙市天心区湘江中路二段210号】</w:t>
              <w:br/>
              <w:t>客户服务热线：【0731-96599】</w:t>
              <w:br/>
              <w:t>3.企业名称：【赣州银行股份有限公司】</w:t>
              <w:br/>
              <w:t>住所：【江西省赣州市赣江源大道26号】</w:t>
              <w:br/>
              <w:t>客户服务热线：【0797-96296】</w:t>
              <w:br/>
              <w:t>4.企业名称：【内蒙古银行股份有限公司】</w:t>
              <w:br/>
              <w:t>住所：【内蒙古自治区呼和浩特市赛罕区腾飞南路33号】</w:t>
              <w:br/>
              <w:t>客户服务热线：【40005-96019】</w:t>
              <w:br/>
              <w:t>5.企业名称：【福建海峡银行股份有限公司】</w:t>
              <w:br/>
              <w:t>住所：【福建省福州市台江区江滨中大道358号海峡银行大厦】</w:t>
              <w:br/>
              <w:t>客户服务热线：【4008939999】</w:t>
              <w:br/>
              <w:t xml:space="preserve"> </w:t>
              <w:br/>
              <w:t>【S】类份额（份额代码【AF265598S】）合作销售机构信息：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后续合作销售机构如有新增、减少和变更，信银理财将按照本说明书约定的方式告知投资者。</w:t>
            </w:r>
          </w:p>
        </w:tc>
      </w:tr>
      <w:tr w14:paraId="1F621D2B">
        <w:tblPrEx>
          <w:tblCellMar>
            <w:top w:type="dxa" w:w="0"/>
            <w:left w:type="dxa" w:w="108"/>
            <w:bottom w:type="dxa" w:w="0"/>
            <w:right w:type="dxa" w:w="108"/>
          </w:tblCellMar>
        </w:tblPrEx>
        <w:trPr>
          <w:trHeight w:hRule="atLeast" w:val="476"/>
        </w:trPr>
        <w:tc>
          <w:tcPr>
            <w:tcW w:type="dxa" w:w="2842"/>
            <w:tcBorders>
              <w:top w:color="auto" w:space="0" w:sz="4" w:val="single"/>
              <w:left w:color="000000" w:space="0" w:sz="8" w:val="single"/>
              <w:bottom w:color="auto" w:space="0" w:sz="4" w:val="single"/>
              <w:right w:color="auto" w:space="0" w:sz="4" w:val="single"/>
            </w:tcBorders>
            <w:vAlign w:val="center"/>
          </w:tcPr>
          <w:p w14:paraId="2CB23304">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境内托管机构名称</w:t>
            </w:r>
          </w:p>
        </w:tc>
        <w:tc>
          <w:tcPr>
            <w:tcW w:type="dxa" w:w="6762"/>
            <w:tcBorders>
              <w:top w:color="auto" w:space="0" w:sz="4" w:val="single"/>
              <w:left w:color="auto" w:space="0" w:sz="4" w:val="single"/>
              <w:bottom w:color="auto" w:space="0" w:sz="4" w:val="single"/>
              <w:right w:color="000000" w:space="0" w:sz="8" w:val="single"/>
            </w:tcBorders>
            <w:vAlign w:val="center"/>
          </w:tcPr>
          <w:p w14:paraId="4B5BE4B7">
            <w:pPr>
              <w:widowControl/>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sz w:val="20"/>
                <w:szCs w:val="20"/>
                <w:highlight w:val="none"/>
              </w:rPr>
              <w:t/>
              <w:t>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托管本理财产品，存在关联交易风险，请投资者仔细阅读理财产品说明书中相应风险揭示部分。</w:t>
            </w:r>
            <w:r>
              <w:rPr>
                <w:rFonts w:ascii="楷体_GB2312" w:cs="楷体_GB2312" w:eastAsia="楷体_GB2312"/>
                <w:sz w:val="20"/>
                <w:szCs w:val="20"/>
                <w:highlight w:val="none"/>
              </w:rPr>
              <w:t/>
            </w:r>
          </w:p>
        </w:tc>
      </w:tr>
      <w:tr w14:paraId="3EEB386C">
        <w:tblPrEx>
          <w:tblCellMar>
            <w:top w:type="dxa" w:w="0"/>
            <w:left w:type="dxa" w:w="108"/>
            <w:bottom w:type="dxa" w:w="0"/>
            <w:right w:type="dxa" w:w="108"/>
          </w:tblCellMar>
        </w:tblPrEx>
        <w:trPr>
          <w:trHeight w:hRule="atLeast" w:val="540"/>
        </w:trPr>
        <w:tc>
          <w:tcPr>
            <w:tcW w:type="dxa" w:w="2842"/>
            <w:tcBorders>
              <w:top w:val="nil"/>
              <w:left w:color="000000" w:space="0" w:sz="8" w:val="single"/>
              <w:bottom w:val="nil"/>
              <w:right w:color="auto" w:space="0" w:sz="4" w:val="single"/>
            </w:tcBorders>
            <w:vAlign w:val="center"/>
          </w:tcPr>
          <w:p w14:paraId="5722C1AB">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销售对象</w:t>
            </w:r>
          </w:p>
        </w:tc>
        <w:tc>
          <w:tcPr>
            <w:tcW w:type="dxa" w:w="6762"/>
            <w:tcBorders>
              <w:top w:val="nil"/>
              <w:left w:color="auto" w:space="0" w:sz="4" w:val="single"/>
              <w:bottom w:val="nil"/>
              <w:right w:color="000000" w:space="0" w:sz="8" w:val="single"/>
            </w:tcBorders>
            <w:shd w:color="auto" w:fill="auto" w:val="clear"/>
            <w:vAlign w:val="center"/>
          </w:tcPr>
          <w:p w14:paraId="4B92DDA4">
            <w:pPr>
              <w:keepNext w:val="0"/>
              <w:keepLines w:val="0"/>
              <w:widowControl/>
              <w:suppressLineNumbers w:val="0"/>
              <w:jc w:val="left"/>
              <w:textAlignment w:val="center"/>
              <w:rPr>
                <w:rFonts w:hint="eastAsia"/>
                <w:highlight w:val="none"/>
                <w:lang w:eastAsia="zh-CN" w:val="en-US"/>
              </w:rPr>
            </w:pPr>
            <w:r>
              <w:rPr>
                <w:rFonts w:ascii="楷体_GB2312" w:cs="楷体_GB2312" w:eastAsia="楷体_GB2312" w:hint="eastAsia"/>
                <w:color w:themeColor="text1" w:val="000000"/>
                <w:sz w:val="20"/>
                <w:szCs w:val="20"/>
                <w:highlight w:val="none"/>
                <w14:textFill>
                  <w14:solidFill>
                    <w14:schemeClr w14:val="tx1"/>
                  </w14:solidFill>
                </w14:textFill>
              </w:rPr>
              <w:t>【个人/机构】客户</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val="000000"/>
                <w:sz w:val="20"/>
                <w:szCs w:val="20"/>
                <w:highlight w:val="none"/>
              </w:rPr>
              <w:t>适合</w:t>
            </w:r>
            <w:r>
              <w:rPr>
                <w:rFonts w:ascii="楷体_GB2312" w:cs="Times New Roman" w:eastAsia="楷体_GB2312" w:hint="eastAsia"/>
                <w:sz w:val="20"/>
                <w:szCs w:val="20"/>
                <w:highlight w:val="none"/>
              </w:rPr>
              <w:t>【稳健型】、【平衡型】、【进取型】、【激进型】</w:t>
            </w:r>
            <w:r>
              <w:rPr>
                <w:rFonts w:ascii="楷体_GB2312" w:cs="Times New Roman" w:eastAsia="楷体_GB2312"/>
                <w:sz w:val="20"/>
                <w:szCs w:val="20"/>
                <w:highlight w:val="none"/>
              </w:rPr>
              <w:t/>
            </w:r>
            <w:r>
              <w:rPr>
                <w:rFonts w:ascii="楷体_GB2312" w:cs="楷体_GB2312" w:eastAsia="楷体_GB2312" w:hint="eastAsia"/>
                <w:color w:val="000000"/>
                <w:sz w:val="20"/>
                <w:szCs w:val="20"/>
                <w:highlight w:val="none"/>
              </w:rPr>
              <w:t>投资者。</w:t>
            </w:r>
            <w:r>
              <w:rPr>
                <w:rFonts w:ascii="楷体_GB2312" w:cs="楷体_GB2312" w:eastAsia="楷体_GB2312" w:hint="eastAsia"/>
                <w:sz w:val="20"/>
                <w:szCs w:val="20"/>
                <w:highlight w:val="none"/>
              </w:rPr>
              <w:t>代销机构对产品的发行对象与信银理财不一致的，以代销机构为准</w:t>
            </w:r>
            <w:r>
              <w:rPr>
                <w:rFonts w:ascii="楷体_GB2312" w:cs="楷体_GB2312" w:eastAsia="楷体_GB2312" w:hint="eastAsia"/>
                <w:b w:val="0"/>
                <w:bCs w:val="0"/>
                <w:sz w:val="20"/>
                <w:szCs w:val="20"/>
                <w:highlight w:val="none"/>
                <w:lang w:eastAsia="zh-CN"/>
              </w:rPr>
              <w:t>，</w:t>
            </w:r>
            <w:r>
              <w:rPr>
                <w:rFonts w:ascii="楷体_GB2312" w:cs="楷体_GB2312" w:eastAsia="楷体_GB2312" w:hint="eastAsia"/>
                <w:b w:val="0"/>
                <w:bCs w:val="0"/>
                <w:sz w:val="20"/>
                <w:szCs w:val="20"/>
                <w:highlight w:val="none"/>
                <w:lang w:eastAsia="zh-CN" w:val="en-US"/>
              </w:rPr>
              <w:t>但不得超出上述发行对象范围</w:t>
            </w:r>
            <w:r>
              <w:rPr>
                <w:rFonts w:ascii="楷体_GB2312" w:cs="楷体_GB2312" w:eastAsia="楷体_GB2312" w:hint="eastAsia"/>
                <w:b w:val="0"/>
                <w:bCs w:val="0"/>
                <w:sz w:val="20"/>
                <w:szCs w:val="20"/>
                <w:highlight w:val="none"/>
              </w:rPr>
              <w:t>。</w:t>
            </w:r>
          </w:p>
        </w:tc>
      </w:tr>
      <w:tr w14:paraId="17C88C4E">
        <w:tblPrEx>
          <w:tblCellMar>
            <w:top w:type="dxa" w:w="0"/>
            <w:left w:type="dxa" w:w="108"/>
            <w:bottom w:type="dxa" w:w="0"/>
            <w:right w:type="dxa" w:w="108"/>
          </w:tblCellMar>
        </w:tblPrEx>
        <w:trPr>
          <w:trHeight w:hRule="atLeast" w:val="380"/>
        </w:trPr>
        <w:tc>
          <w:tcPr>
            <w:tcW w:type="dxa" w:w="9604"/>
            <w:gridSpan w:val="2"/>
            <w:tcBorders>
              <w:top w:color="000000" w:space="0" w:sz="4" w:val="single"/>
              <w:left w:color="000000" w:space="0" w:sz="8" w:val="single"/>
              <w:bottom w:color="000000" w:space="0" w:sz="4" w:val="single"/>
              <w:right w:color="000000" w:space="0" w:sz="4" w:val="single"/>
            </w:tcBorders>
            <w:vAlign w:val="center"/>
          </w:tcPr>
          <w:p w14:paraId="60E04BCB">
            <w:pPr>
              <w:widowControl/>
              <w:spacing w:line="400" w:lineRule="exact"/>
              <w:jc w:val="center"/>
              <w:textAlignment w:val="center"/>
              <w:rPr>
                <w:rFonts w:ascii="楷体_GB2312" w:cs="楷体_GB2312" w:eastAsia="楷体_GB2312" w:hAnsi="等线" w:hint="eastAsia"/>
                <w:b/>
                <w:bCs/>
                <w:color w:themeColor="text1" w:val="000000"/>
                <w:sz w:val="24"/>
                <w:highlight w:val="none"/>
                <w14:textFill>
                  <w14:solidFill>
                    <w14:schemeClr w14:val="tx1"/>
                  </w14:solidFill>
                </w14:textFill>
              </w:rPr>
            </w:pPr>
            <w:r>
              <w:rPr>
                <w:rFonts w:ascii="楷体_GB2312" w:cs="楷体_GB2312" w:eastAsia="楷体_GB2312" w:hAnsi="等线" w:hint="eastAsia"/>
                <w:b/>
                <w:bCs/>
                <w:color w:themeColor="text1" w:val="000000"/>
                <w:kern w:val="0"/>
                <w:sz w:val="24"/>
                <w:highlight w:val="none"/>
                <w:lang w:bidi="ar"/>
                <w14:textFill>
                  <w14:solidFill>
                    <w14:schemeClr w14:val="tx1"/>
                  </w14:solidFill>
                </w14:textFill>
              </w:rPr>
              <w:t>（二）交易规则</w:t>
            </w:r>
          </w:p>
        </w:tc>
      </w:tr>
      <w:tr w14:paraId="1803476B">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vAlign w:val="center"/>
          </w:tcPr>
          <w:p w14:paraId="03BB52D9">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募集币种</w:t>
            </w:r>
          </w:p>
        </w:tc>
        <w:tc>
          <w:tcPr>
            <w:tcW w:type="dxa" w:w="6762"/>
            <w:tcBorders>
              <w:top w:val="nil"/>
              <w:left w:color="auto" w:space="0" w:sz="4" w:val="single"/>
              <w:bottom w:color="auto" w:space="0" w:sz="4" w:val="single"/>
              <w:right w:color="000000" w:space="0" w:sz="8" w:val="single"/>
            </w:tcBorders>
            <w:vAlign w:val="center"/>
          </w:tcPr>
          <w:p w14:paraId="4465FF63">
            <w:pPr>
              <w:widowControl/>
              <w:spacing w:line="400" w:lineRule="exact"/>
              <w:jc w:val="center"/>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本产品投资与收益币种为【人民币</w:t>
            </w:r>
            <w:r>
              <w:rPr>
                <w:rFonts w:ascii="楷体_GB2312" w:cs="楷体_GB2312" w:eastAsia="楷体_GB2312"/>
                <w:color w:themeColor="text1" w:val="000000"/>
                <w:sz w:val="20"/>
                <w:szCs w:val="20"/>
                <w:highlight w:val="none"/>
                <w14:textFill>
                  <w14:solidFill>
                    <w14:schemeClr w14:val="tx1"/>
                  </w14:solidFill>
                </w14:textFill>
              </w:rPr>
              <w:t>】</w:t>
            </w:r>
          </w:p>
        </w:tc>
      </w:tr>
      <w:tr w14:paraId="59692ACD">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50D78E2A">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起点销售金额</w:t>
            </w:r>
          </w:p>
        </w:tc>
        <w:tc>
          <w:tcPr>
            <w:tcW w:type="dxa" w:w="6762"/>
            <w:tcBorders>
              <w:top w:color="auto" w:space="0" w:sz="4" w:val="single"/>
              <w:left w:color="auto" w:space="0" w:sz="4" w:val="single"/>
              <w:bottom w:color="auto" w:space="0" w:sz="4" w:val="single"/>
              <w:right w:color="000000" w:space="0" w:sz="8" w:val="single"/>
            </w:tcBorders>
            <w:vAlign w:val="center"/>
          </w:tcPr>
          <w:p w14:paraId="57F0E3B1">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sz w:val="20"/>
                <w:szCs w:val="20"/>
                <w:highlight w:val="none"/>
              </w:rPr>
              <w:t/>
              <w:t>1.【A】类份额初始认购金额不低于【人民币】【1】元，以【人民币】【0.01】元的整数倍增加。追加认购金额不低于【人民币】【0.01】元，以【人民币】【0.01】元的整数倍增加。</w:t>
              <w:br/>
              <w:t>【B】类份额初始认购金额不低于【人民币】【1】元，以【人民币】【0.01】元的整数倍增加。追加认购金额不低于【人民币】【0.01】元，以【人民币】【0.01】元的整数倍增加。</w:t>
              <w:br/>
              <w:t>【C】类份额初始认购金额不低于【人民币】【1】元，以【人民币】【0.01】元的整数倍增加。追加认购金额不低于【人民币】【0.01】元，以【人民币】【0.01】元的整数倍增加。</w:t>
              <w:br/>
              <w:t>【D】类份额初始认购金额不低于【人民币】【100】万元，以【人民币】【0.01】元的整数倍增加。追加认购金额不低于【人民币】【0.01】元，以【人民币】【0.01】元的整数倍增加。</w:t>
              <w:br/>
              <w:t>【G】类份额初始认购金额不低于【人民币】【1】元，以【人民币】【0.01】元的整数倍增加。追加认购金额不低于【人民币】【0.01】元，以【人民币】【0.01】元的整数倍增加。</w:t>
              <w:br/>
              <w:t>【M】类份额初始认购金额不低于【人民币】【1】元，以【人民币】【0.01】元的整数倍增加。追加认购金额不低于【人民币】【0.01】元，以【人民币】【0.01】元的整数倍增加。</w:t>
              <w:br/>
              <w:t>【N】类份额初始认购金额不低于【人民币】【1】元，以【人民币】【0.01】元的整数倍增加。追加认购金额不低于【人民币】【0.01】元，以【人民币】【0.01】元的整数倍增加。</w:t>
              <w:br/>
              <w:t>【S】类份额初始认购金额不低于【人民币】【1】元，以【人民币】【0.01】元的整数倍增加。追加认购金额不低于【人民币】【0.01】元，以【人民币】【0.01】元的整数倍增加。</w:t>
              <w:br/>
              <w:t>2.代销机构对产品的认购起点及追加认购金额的要求与信银理财不一致的，以代销机构为准，但不得低于上述对应金额。</w:t>
            </w:r>
            <w:r>
              <w:rPr>
                <w:rFonts w:ascii="楷体_GB2312" w:cs="楷体_GB2312" w:eastAsia="楷体_GB2312"/>
                <w:sz w:val="20"/>
                <w:szCs w:val="20"/>
                <w:highlight w:val="none"/>
              </w:rPr>
              <w:t/>
            </w:r>
          </w:p>
          <w:p w14:paraId="08EA2943">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p>
          <w:p w14:paraId="632CDBBD">
            <w:pPr>
              <w:widowControl/>
              <w:spacing w:line="300" w:lineRule="exact"/>
              <w:ind w:left="-2" w:leftChars="-1" w:right="36" w:rightChars="15"/>
              <w:jc w:val="left"/>
              <w:textAlignment w:val="auto"/>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代销机构对产品的认购起点及追加认购金额的要求与信银理财不一致的，以代销机构为准，但不得低于上述对应金额。</w:t>
            </w:r>
          </w:p>
        </w:tc>
      </w:tr>
      <w:tr w14:paraId="1DC0AB00">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05206D93">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计划募集金额上限</w:t>
            </w:r>
          </w:p>
        </w:tc>
        <w:tc>
          <w:tcPr>
            <w:tcW w:type="dxa" w:w="6762"/>
            <w:tcBorders>
              <w:top w:color="auto" w:space="0" w:sz="4" w:val="single"/>
              <w:left w:color="auto" w:space="0" w:sz="4" w:val="single"/>
              <w:bottom w:color="auto" w:space="0" w:sz="4" w:val="single"/>
              <w:right w:color="000000" w:space="0" w:sz="8" w:val="single"/>
            </w:tcBorders>
            <w:vAlign w:val="center"/>
          </w:tcPr>
          <w:p w14:paraId="1A7536B6">
            <w:pPr>
              <w:spacing w:line="300" w:lineRule="exact"/>
              <w:ind w:right="36" w:rightChars="15"/>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无。</w:t>
            </w:r>
            <w:r>
              <w:rPr>
                <w:rFonts w:ascii="楷体_GB2312" w:cs="楷体_GB2312" w:eastAsia="楷体_GB2312"/>
                <w:color w:themeColor="text1" w:val="000000"/>
                <w:sz w:val="20"/>
                <w:szCs w:val="20"/>
                <w:highlight w:val="none"/>
                <w14:textFill>
                  <w14:solidFill>
                    <w14:schemeClr w14:val="tx1"/>
                  </w14:solidFill>
                </w14:textFill>
              </w:rPr>
              <w:t/>
            </w:r>
          </w:p>
        </w:tc>
      </w:tr>
      <w:tr w14:paraId="0F344F7F">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shd w:color="auto" w:fill="auto" w:val="clear"/>
            <w:vAlign w:val="center"/>
          </w:tcPr>
          <w:p w14:paraId="0B967A70">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计划募集金额下限</w:t>
            </w:r>
          </w:p>
        </w:tc>
        <w:tc>
          <w:tcPr>
            <w:tcW w:type="dxa" w:w="6762"/>
            <w:tcBorders>
              <w:top w:color="auto" w:space="0" w:sz="4" w:val="single"/>
              <w:left w:color="auto" w:space="0" w:sz="4" w:val="single"/>
              <w:bottom w:color="auto" w:space="0" w:sz="4" w:val="single"/>
              <w:right w:color="000000" w:space="0" w:sz="8" w:val="single"/>
            </w:tcBorders>
            <w:vAlign w:val="center"/>
          </w:tcPr>
          <w:p w14:paraId="14C735E6">
            <w:pPr>
              <w:spacing w:line="300" w:lineRule="exact"/>
              <w:ind w:left="-2" w:leftChars="-1" w:right="36" w:rightChars="15"/>
              <w:rPr>
                <w:rFonts w:ascii="仿宋" w:cs="宋体" w:eastAsia="仿宋" w:hAnsi="仿宋" w:hint="eastAsia"/>
                <w:bCs/>
                <w:color w:themeColor="text1" w:val="000000"/>
                <w:kern w:val="0"/>
                <w:sz w:val="24"/>
                <w:highlight w:val="none"/>
                <w:lang w:bidi="ar"/>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本产品的计划募集金额下限为【人民币】【500】万元。信银理财有权根据实际需要对此金额下限进行调整。如果募集期内未达到计划募集金额下限，信银理财有权决定产品不成立，并在宣告产品不成立后【2】个工作日内返还投资者资金，同时信银理财保留延长本产品募集期的权利。届时信银理财将按照本说明书约定的方式告知投资者。</w:t>
            </w:r>
          </w:p>
        </w:tc>
      </w:tr>
      <w:tr w14:paraId="43B54B43">
        <w:tblPrEx>
          <w:tblCellMar>
            <w:top w:type="dxa" w:w="0"/>
            <w:left w:type="dxa" w:w="108"/>
            <w:bottom w:type="dxa" w:w="0"/>
            <w:right w:type="dxa" w:w="108"/>
          </w:tblCellMar>
        </w:tblPrEx>
        <w:trPr>
          <w:trHeight w:hRule="atLeast" w:val="1140"/>
        </w:trPr>
        <w:tc>
          <w:tcPr>
            <w:tcW w:type="dxa" w:w="2842"/>
            <w:tcBorders>
              <w:top w:color="auto" w:space="0" w:sz="4" w:val="single"/>
              <w:left w:color="000000" w:space="0" w:sz="8" w:val="single"/>
              <w:bottom w:val="nil"/>
              <w:right w:color="auto" w:space="0" w:sz="4" w:val="single"/>
            </w:tcBorders>
            <w:vAlign w:val="center"/>
          </w:tcPr>
          <w:p w14:paraId="77C8957C">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认购、申购、赎回安排</w:t>
            </w:r>
          </w:p>
        </w:tc>
        <w:tc>
          <w:tcPr>
            <w:tcW w:type="dxa" w:w="6762"/>
            <w:tcBorders>
              <w:top w:color="auto" w:space="0" w:sz="4" w:val="single"/>
              <w:left w:color="auto" w:space="0" w:sz="4" w:val="single"/>
              <w:bottom w:val="nil"/>
              <w:right w:color="000000" w:space="0" w:sz="8" w:val="single"/>
            </w:tcBorders>
            <w:vAlign w:val="center"/>
          </w:tcPr>
          <w:p w14:paraId="01C180B9">
            <w:pPr>
              <w:ind w:right="96" w:rightChars="40"/>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1.本产品募集期为</w:t>
            </w:r>
            <w:r>
              <w:rPr>
                <w:rFonts w:ascii="楷体_GB2312" w:cs="楷体_GB2312" w:eastAsia="楷体_GB2312" w:hint="eastAsia"/>
                <w:color w:themeColor="text1" w:val="000000"/>
                <w:sz w:val="20"/>
                <w:szCs w:val="20"/>
                <w:highlight w:val="none"/>
                <w14:textFill>
                  <w14:solidFill>
                    <w14:schemeClr w14:val="tx1"/>
                  </w14:solidFill>
                </w14:textFill>
              </w:rPr>
              <w:t>【2026】年【9】月【15】日至【2026】年【9】月【21】日</w:t>
            </w:r>
            <w:r>
              <w:rPr>
                <w:rFonts w:ascii="楷体_GB2312" w:cs="楷体_GB2312" w:eastAsia="楷体_GB2312"/>
                <w:color w:themeColor="text1" w:val="000000"/>
                <w:sz w:val="20"/>
                <w:szCs w:val="20"/>
                <w:highlight w:val="none"/>
                <w14:textFill>
                  <w14:solidFill>
                    <w14:schemeClr w14:val="tx1"/>
                  </w14:solidFill>
                </w14:textFill>
              </w:rPr>
              <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信银理财有权提前结束募集期并提前成立产品或者延长募集期。</w:t>
            </w:r>
          </w:p>
          <w:p w14:paraId="12DC9547">
            <w:pPr>
              <w:keepNext w:val="0"/>
              <w:keepLines w:val="0"/>
              <w:pageBreakBefore w:val="0"/>
              <w:widowControl/>
              <w:kinsoku/>
              <w:wordWrap/>
              <w:overflowPunct/>
              <w:topLinePunct w:val="0"/>
              <w:autoSpaceDE/>
              <w:autoSpaceDN/>
              <w:bidi w:val="0"/>
              <w:adjustRightInd/>
              <w:snapToGrid/>
              <w:spacing w:line="300" w:lineRule="exact"/>
              <w:ind w:left="0" w:leftChars="0" w:right="96" w:rightChars="40"/>
              <w:textAlignment w:val="auto"/>
              <w:rPr>
                <w:rFonts w:ascii="楷体_GB2312" w:cs="楷体_GB2312" w:eastAsia="楷体_GB2312" w:hAnsi="宋体" w:hint="default"/>
                <w:bCs w:val="0"/>
                <w:color w:themeColor="text1" w:val="000000"/>
                <w:kern w:val="0"/>
                <w:sz w:val="20"/>
                <w:szCs w:val="20"/>
                <w:highlight w:val="none"/>
                <w:lang w:bidi="ar"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2</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本产品不开放申购和赎回。</w:t>
            </w:r>
          </w:p>
        </w:tc>
      </w:tr>
      <w:tr w14:paraId="641558E5">
        <w:tblPrEx>
          <w:tblCellMar>
            <w:top w:type="dxa" w:w="0"/>
            <w:left w:type="dxa" w:w="108"/>
            <w:bottom w:type="dxa" w:w="0"/>
            <w:right w:type="dxa" w:w="108"/>
          </w:tblCellMar>
        </w:tblPrEx>
        <w:trPr>
          <w:trHeight w:hRule="atLeast" w:val="1140"/>
        </w:trPr>
        <w:tc>
          <w:tcPr>
            <w:tcW w:type="dxa" w:w="2842"/>
            <w:tcBorders>
              <w:top w:color="auto" w:space="0" w:sz="4" w:val="single"/>
              <w:left w:color="000000" w:space="0" w:sz="8" w:val="single"/>
              <w:bottom w:val="nil"/>
              <w:right w:color="auto" w:space="0" w:sz="4" w:val="single"/>
            </w:tcBorders>
            <w:vAlign w:val="center"/>
          </w:tcPr>
          <w:p w14:paraId="4E6077F5">
            <w:pPr>
              <w:widowControl/>
              <w:spacing w:line="400" w:lineRule="exact"/>
              <w:jc w:val="center"/>
              <w:textAlignment w:val="center"/>
              <w:rPr>
                <w:rFonts w:ascii="仿宋_GB2312" w:cs="仿宋_GB2312" w:eastAsia="仿宋_GB2312" w:hAnsi="等线" w:hint="eastAsia"/>
                <w:color w:themeColor="text1" w:val="000000"/>
                <w:sz w:val="24"/>
                <w:highlight w:val="none"/>
                <w:lang w:bidi="ar"/>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收益分配方式</w:t>
            </w:r>
          </w:p>
        </w:tc>
        <w:tc>
          <w:tcPr>
            <w:tcW w:type="dxa" w:w="6762"/>
            <w:tcBorders>
              <w:top w:color="auto" w:space="0" w:sz="4" w:val="single"/>
              <w:left w:color="auto" w:space="0" w:sz="4" w:val="single"/>
              <w:bottom w:val="nil"/>
              <w:right w:color="000000" w:space="0" w:sz="8" w:val="single"/>
            </w:tcBorders>
            <w:vAlign w:val="center"/>
          </w:tcPr>
          <w:p w14:paraId="5295EEB5">
            <w:pPr>
              <w:pStyle w:val="20"/>
              <w:numPr>
                <w:ilvl w:val="0"/>
                <w:numId w:val="0"/>
              </w:numPr>
              <w:spacing w:line="300" w:lineRule="exact"/>
              <w:ind w:firstLine="0" w:firstLineChars="0" w:right="96" w:rightChars="40"/>
              <w:rPr>
                <w:rFonts w:ascii="黑体" w:cs="黑体" w:eastAsia="黑体"/>
                <w:color w:themeColor="text1" w:val="000000"/>
                <w:sz w:val="20"/>
                <w:szCs w:val="20"/>
                <w:highlight w:val="none"/>
                <w14:textFill>
                  <w14:solidFill>
                    <w14:schemeClr w14:val="tx1"/>
                  </w14:solidFill>
                </w14:textFill>
              </w:rPr>
            </w:pPr>
            <w:r>
              <w:rPr>
                <w:rFonts w:ascii="黑体" w:cs="黑体" w:eastAsia="黑体" w:hint="eastAsia"/>
                <w:color w:themeColor="text1" w:val="000000"/>
                <w:sz w:val="20"/>
                <w:szCs w:val="20"/>
                <w:highlight w:val="none"/>
                <w:lang w:eastAsia="zh-CN"/>
                <w14:textFill>
                  <w14:solidFill>
                    <w14:schemeClr w14:val="tx1"/>
                  </w14:solidFill>
                </w14:textFill>
              </w:rPr>
              <w:t>（一）</w:t>
            </w:r>
            <w:r>
              <w:rPr>
                <w:rFonts w:ascii="黑体" w:cs="黑体" w:eastAsia="黑体" w:hint="eastAsia"/>
                <w:color w:themeColor="text1" w:val="000000"/>
                <w:sz w:val="20"/>
                <w:szCs w:val="20"/>
                <w:highlight w:val="none"/>
                <w14:textFill>
                  <w14:solidFill>
                    <w14:schemeClr w14:val="tx1"/>
                  </w14:solidFill>
                </w14:textFill>
              </w:rPr>
              <w:t>期间</w:t>
            </w:r>
            <w:r>
              <w:rPr>
                <w:rFonts w:ascii="黑体" w:cs="黑体" w:eastAsia="黑体"/>
                <w:color w:themeColor="text1" w:val="000000"/>
                <w:sz w:val="20"/>
                <w:szCs w:val="20"/>
                <w:highlight w:val="none"/>
                <w14:textFill>
                  <w14:solidFill>
                    <w14:schemeClr w14:val="tx1"/>
                  </w14:solidFill>
                </w14:textFill>
              </w:rPr>
              <w:t>分配</w:t>
            </w:r>
          </w:p>
          <w:p w14:paraId="7221626F">
            <w:pPr>
              <w:spacing w:line="400" w:lineRule="exact"/>
              <w:ind w:firstLine="0" w:firstLineChars="0" w:right="0" w:rightChars="0"/>
              <w:textAlignment w:val="center"/>
              <w:rPr>
                <w:rFonts w:ascii="楷体_GB2312" w:cs="楷体_GB2312" w:eastAsia="楷体_GB2312"/>
                <w:b/>
                <w:bCs/>
                <w:color w:themeColor="text1" w:val="000000"/>
                <w:sz w:val="20"/>
                <w:szCs w:val="20"/>
                <w:highlight w:val="none"/>
                <w14:textFill>
                  <w14:solidFill>
                    <w14:schemeClr w14:val="tx1"/>
                  </w14:solidFill>
                </w14:textFill>
              </w:rPr>
            </w:pPr>
            <w:r>
              <w:rPr>
                <w:rFonts w:ascii="楷体_GB2312" w:cs="楷体_GB2312" w:eastAsia="楷体_GB2312" w:hint="default"/>
                <w:b/>
                <w:bCs/>
                <w:color w:themeColor="text1" w:val="000000"/>
                <w:sz w:val="20"/>
                <w:szCs w:val="20"/>
                <w:highlight w:val="none"/>
                <w14:textFill>
                  <w14:solidFill>
                    <w14:schemeClr w14:val="tx1"/>
                  </w14:solidFill>
                </w14:textFill>
              </w:rPr>
              <w:t/>
              <w:t>无。</w:t>
            </w:r>
            <w:r>
              <w:rPr>
                <w:rFonts w:ascii="楷体_GB2312" w:cs="楷体_GB2312" w:eastAsia="楷体_GB2312"/>
                <w:b/>
                <w:bCs/>
                <w:color w:themeColor="text1" w:val="000000"/>
                <w:sz w:val="20"/>
                <w:szCs w:val="20"/>
                <w:highlight w:val="none"/>
                <w14:textFill>
                  <w14:solidFill>
                    <w14:schemeClr w14:val="tx1"/>
                  </w14:solidFill>
                </w14:textFill>
              </w:rPr>
              <w:t/>
            </w:r>
          </w:p>
          <w:p w14:paraId="00E441A4">
            <w:pPr>
              <w:pStyle w:val="20"/>
              <w:numPr>
                <w:ilvl w:val="0"/>
                <w:numId w:val="0"/>
              </w:numPr>
              <w:spacing w:line="300" w:lineRule="exact"/>
              <w:ind w:firstLine="0" w:firstLineChars="0" w:right="96" w:rightChars="40"/>
              <w:rPr>
                <w:rFonts w:ascii="黑体" w:cs="黑体" w:eastAsia="黑体" w:hint="eastAsia"/>
                <w:color w:themeColor="text1" w:val="000000"/>
                <w:sz w:val="20"/>
                <w:szCs w:val="20"/>
                <w:highlight w:val="none"/>
                <w:lang w:eastAsia="zh-CN"/>
                <w14:textFill>
                  <w14:solidFill>
                    <w14:schemeClr w14:val="tx1"/>
                  </w14:solidFill>
                </w14:textFill>
              </w:rPr>
            </w:pPr>
            <w:r>
              <w:rPr>
                <w:rFonts w:ascii="黑体" w:cs="黑体" w:eastAsia="黑体" w:hint="eastAsia"/>
                <w:color w:themeColor="text1" w:val="000000"/>
                <w:sz w:val="20"/>
                <w:szCs w:val="20"/>
                <w:highlight w:val="none"/>
                <w:lang w:eastAsia="zh-CN"/>
                <w14:textFill>
                  <w14:solidFill>
                    <w14:schemeClr w14:val="tx1"/>
                  </w14:solidFill>
                </w14:textFill>
              </w:rPr>
              <w:t>（二）终止分配</w:t>
            </w:r>
          </w:p>
          <w:p w14:paraId="5C47B9BA">
            <w:pPr>
              <w:keepNext w:val="0"/>
              <w:keepLines w:val="0"/>
              <w:pageBreakBefore w:val="0"/>
              <w:widowControl/>
              <w:kinsoku/>
              <w:wordWrap/>
              <w:overflowPunct/>
              <w:topLinePunct w:val="0"/>
              <w:autoSpaceDE/>
              <w:autoSpaceDN/>
              <w:bidi w:val="0"/>
              <w:adjustRightInd/>
              <w:snapToGrid/>
              <w:spacing w:line="300" w:lineRule="exact"/>
              <w:ind w:firstLine="0" w:firstLineChars="0" w:right="0" w:rightChars="0"/>
              <w:textAlignment w:val="center"/>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default"/>
                <w:color w:themeColor="text1" w:val="000000"/>
                <w:sz w:val="20"/>
                <w:szCs w:val="20"/>
                <w:highlight w:val="none"/>
                <w14:textFill>
                  <w14:solidFill>
                    <w14:schemeClr w14:val="tx1"/>
                  </w14:solidFill>
                </w14:textFill>
              </w:rPr>
              <w:t>本产品在扣除信银理财</w:t>
            </w:r>
            <w:r>
              <w:rPr>
                <w:rFonts w:ascii="楷体_GB2312" w:cs="楷体_GB2312" w:eastAsia="楷体_GB2312"/>
                <w:color w:themeColor="text1" w:val="000000"/>
                <w:sz w:val="20"/>
                <w:szCs w:val="20"/>
                <w:highlight w:val="none"/>
                <w14:textFill>
                  <w14:solidFill>
                    <w14:schemeClr w14:val="tx1"/>
                  </w14:solidFill>
                </w14:textFill>
              </w:rPr>
              <w:t>应收取费用</w:t>
            </w:r>
            <w:r>
              <w:rPr>
                <w:rFonts w:ascii="楷体_GB2312" w:cs="楷体_GB2312" w:eastAsia="楷体_GB2312" w:hint="default"/>
                <w:color w:themeColor="text1" w:val="000000"/>
                <w:sz w:val="20"/>
                <w:szCs w:val="20"/>
                <w:highlight w:val="none"/>
                <w14:textFill>
                  <w14:solidFill>
                    <w14:schemeClr w14:val="tx1"/>
                  </w14:solidFill>
                </w14:textFill>
              </w:rPr>
              <w:t>及其他应由产品承担的税费后的投资损益全部归属投资者。</w:t>
            </w:r>
            <w:r>
              <w:rPr>
                <w:rFonts w:ascii="楷体_GB2312" w:cs="楷体_GB2312" w:eastAsia="楷体_GB2312" w:hint="eastAsia"/>
                <w:color w:themeColor="text1" w:val="000000"/>
                <w:sz w:val="20"/>
                <w:szCs w:val="20"/>
                <w:highlight w:val="none"/>
                <w14:textFill>
                  <w14:solidFill>
                    <w14:schemeClr w14:val="tx1"/>
                  </w14:solidFill>
                </w14:textFill>
              </w:rPr>
              <w:t>投资者到期日应得资金计算公式如下：</w:t>
            </w:r>
          </w:p>
          <w:p w14:paraId="0D0CD04D">
            <w:pPr>
              <w:keepNext w:val="0"/>
              <w:keepLines w:val="0"/>
              <w:pageBreakBefore w:val="0"/>
              <w:widowControl/>
              <w:kinsoku/>
              <w:wordWrap/>
              <w:overflowPunct/>
              <w:topLinePunct w:val="0"/>
              <w:autoSpaceDE/>
              <w:autoSpaceDN/>
              <w:bidi w:val="0"/>
              <w:adjustRightInd/>
              <w:snapToGrid/>
              <w:spacing w:line="300" w:lineRule="exact"/>
              <w:ind w:firstLine="0" w:firstLineChars="0" w:right="0" w:rightChars="0"/>
              <w:textAlignment w:val="center"/>
              <w:rPr>
                <w:rFonts w:ascii="楷体_GB2312" w:cs="楷体_GB2312" w:eastAsia="楷体_GB2312" w:hint="eastAsia"/>
                <w:color w:themeColor="text1" w:val="000000"/>
                <w:sz w:val="20"/>
                <w:szCs w:val="20"/>
                <w:highlight w:val="none"/>
                <w:lang w:eastAsia="zh-CN"/>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投资者应得资金</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到期日产品可分配的总金额</w:t>
            </w:r>
            <w:r>
              <w:rPr>
                <w:rFonts w:ascii="楷体_GB2312" w:cs="楷体_GB2312" w:eastAsia="楷体_GB2312"/>
                <w:color w:themeColor="text1" w:val="000000"/>
                <w:sz w:val="20"/>
                <w:szCs w:val="20"/>
                <w:highlight w:val="none"/>
                <w14:textFill>
                  <w14:solidFill>
                    <w14:schemeClr w14:val="tx1"/>
                  </w14:solidFill>
                </w14:textFill>
              </w:rPr>
              <w:t>/产品的总份额*投资者的持有份额</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p>
          <w:p w14:paraId="65E6D8B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仿宋_GB2312" w:cs="仿宋_GB2312" w:eastAsia="仿宋_GB2312" w:hAnsi="等线" w:hint="eastAsia"/>
                <w:bCs w:val="0"/>
                <w:color w:themeColor="text1" w:val="000000"/>
                <w:sz w:val="24"/>
                <w:highlight w:val="none"/>
                <w:lang w:bidi="ar"/>
                <w14:textFill>
                  <w14:solidFill>
                    <w14:schemeClr w14:val="tx1"/>
                  </w14:solidFill>
                </w14:textFill>
              </w:rPr>
            </w:pPr>
            <w:r>
              <w:rPr>
                <w:rFonts w:ascii="楷体_GB2312" w:cs="楷体_GB2312" w:eastAsia="楷体_GB2312" w:hAnsi="宋体" w:hint="default"/>
                <w:bCs w:val="0"/>
                <w:color w:themeColor="text1" w:val="000000"/>
                <w:kern w:val="0"/>
                <w:sz w:val="20"/>
                <w:szCs w:val="20"/>
                <w:highlight w:val="none"/>
                <w:lang w:bidi="ar" w:eastAsia="zh-CN" w:val="en-US"/>
                <w14:textFill>
                  <w14:solidFill>
                    <w14:schemeClr w14:val="tx1"/>
                  </w14:solidFill>
                </w14:textFill>
              </w:rPr>
              <w:t>详见《产品说明书》之“理财资金分配”</w:t>
            </w:r>
            <w:r>
              <w:rPr>
                <w:rFonts w:ascii="楷体_GB2312" w:cs="楷体_GB2312" w:eastAsia="楷体_GB2312" w:hint="eastAsia"/>
                <w:bCs w:val="0"/>
                <w:color w:themeColor="text1" w:val="000000"/>
                <w:kern w:val="0"/>
                <w:sz w:val="20"/>
                <w:szCs w:val="20"/>
                <w:highlight w:val="none"/>
                <w:lang w:bidi="ar" w:eastAsia="zh-CN" w:val="en-US"/>
                <w14:textFill>
                  <w14:solidFill>
                    <w14:schemeClr w14:val="tx1"/>
                  </w14:solidFill>
                </w14:textFill>
              </w:rPr>
              <w:t>。</w:t>
            </w:r>
          </w:p>
        </w:tc>
      </w:tr>
      <w:tr w14:paraId="7D3DD9B1">
        <w:tblPrEx>
          <w:tblCellMar>
            <w:top w:type="dxa" w:w="0"/>
            <w:left w:type="dxa" w:w="108"/>
            <w:bottom w:type="dxa" w:w="0"/>
            <w:right w:type="dxa" w:w="108"/>
          </w:tblCellMar>
        </w:tblPrEx>
        <w:trPr>
          <w:trHeight w:hRule="atLeast" w:val="270"/>
        </w:trPr>
        <w:tc>
          <w:tcPr>
            <w:tcW w:type="dxa" w:w="9604"/>
            <w:gridSpan w:val="2"/>
            <w:tcBorders>
              <w:top w:color="000000" w:space="0" w:sz="4" w:val="single"/>
              <w:left w:color="000000" w:space="0" w:sz="8" w:val="single"/>
              <w:bottom w:val="nil"/>
              <w:right w:color="000000" w:space="0" w:sz="8" w:val="single"/>
            </w:tcBorders>
            <w:vAlign w:val="center"/>
          </w:tcPr>
          <w:p w14:paraId="220036AA">
            <w:pPr>
              <w:widowControl/>
              <w:spacing w:line="400" w:lineRule="exact"/>
              <w:jc w:val="center"/>
              <w:textAlignment w:val="center"/>
              <w:rPr>
                <w:rFonts w:ascii="楷体_GB2312" w:cs="楷体_GB2312" w:eastAsia="楷体_GB2312" w:hAnsi="等线" w:hint="eastAsia"/>
                <w:b/>
                <w:bCs/>
                <w:color w:themeColor="text1" w:val="000000"/>
                <w:sz w:val="24"/>
                <w:highlight w:val="none"/>
                <w14:textFill>
                  <w14:solidFill>
                    <w14:schemeClr w14:val="tx1"/>
                  </w14:solidFill>
                </w14:textFill>
              </w:rPr>
            </w:pPr>
            <w:r>
              <w:rPr>
                <w:rFonts w:ascii="楷体_GB2312" w:cs="楷体_GB2312" w:eastAsia="楷体_GB2312" w:hAnsi="等线" w:hint="eastAsia"/>
                <w:b/>
                <w:bCs/>
                <w:color w:themeColor="text1" w:val="000000"/>
                <w:kern w:val="0"/>
                <w:sz w:val="24"/>
                <w:highlight w:val="none"/>
                <w:lang w:bidi="ar"/>
                <w14:textFill>
                  <w14:solidFill>
                    <w14:schemeClr w14:val="tx1"/>
                  </w14:solidFill>
                </w14:textFill>
              </w:rPr>
              <w:t>（三）产品性质与类型</w:t>
            </w:r>
          </w:p>
        </w:tc>
      </w:tr>
      <w:tr w14:paraId="5E286AC6">
        <w:tblPrEx>
          <w:tblCellMar>
            <w:top w:type="dxa" w:w="0"/>
            <w:left w:type="dxa" w:w="108"/>
            <w:bottom w:type="dxa" w:w="0"/>
            <w:right w:type="dxa" w:w="108"/>
          </w:tblCellMar>
        </w:tblPrEx>
        <w:trPr>
          <w:trHeight w:hRule="atLeast" w:val="540"/>
        </w:trPr>
        <w:tc>
          <w:tcPr>
            <w:tcW w:type="dxa" w:w="2842"/>
            <w:tcBorders>
              <w:top w:color="000000" w:space="0" w:sz="4" w:val="single"/>
              <w:left w:color="000000" w:space="0" w:sz="8" w:val="single"/>
              <w:bottom w:color="auto" w:space="0" w:sz="4" w:val="single"/>
              <w:right w:color="auto" w:space="0" w:sz="4" w:val="single"/>
            </w:tcBorders>
            <w:vAlign w:val="center"/>
          </w:tcPr>
          <w:p w14:paraId="48D55582">
            <w:pPr>
              <w:widowControl/>
              <w:spacing w:line="400" w:lineRule="exact"/>
              <w:jc w:val="center"/>
              <w:textAlignment w:val="center"/>
              <w:rPr>
                <w:rFonts w:ascii="仿宋_GB2312" w:cs="仿宋_GB2312" w:eastAsia="仿宋_GB2312" w:hAnsi="等线" w:hint="default"/>
                <w:color w:themeColor="text1" w:val="000000"/>
                <w:sz w:val="24"/>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募集方式、投资性质、运作模式</w:t>
            </w:r>
          </w:p>
        </w:tc>
        <w:tc>
          <w:tcPr>
            <w:tcW w:type="dxa" w:w="6762"/>
            <w:tcBorders>
              <w:top w:color="000000" w:space="0" w:sz="4" w:val="single"/>
              <w:left w:color="auto" w:space="0" w:sz="4" w:val="single"/>
              <w:bottom w:color="auto" w:space="0" w:sz="4" w:val="single"/>
              <w:right w:color="000000" w:space="0" w:sz="8" w:val="single"/>
            </w:tcBorders>
            <w:vAlign w:val="center"/>
          </w:tcPr>
          <w:p w14:paraId="3B3E3FF5">
            <w:pPr>
              <w:widowControl/>
              <w:spacing w:line="400" w:lineRule="exact"/>
              <w:jc w:val="center"/>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公募、【固定收益类】、封闭式</w:t>
            </w:r>
            <w:r>
              <w:rPr>
                <w:rFonts w:ascii="楷体_GB2312" w:eastAsia="楷体_GB2312"/>
                <w:color w:themeColor="text1" w:val="000000"/>
                <w:sz w:val="20"/>
                <w:szCs w:val="20"/>
                <w:highlight w:val="none"/>
                <w14:textFill>
                  <w14:solidFill>
                    <w14:schemeClr w14:val="tx1"/>
                  </w14:solidFill>
                </w14:textFill>
              </w:rPr>
              <w:t/>
            </w:r>
          </w:p>
        </w:tc>
      </w:tr>
      <w:tr w14:paraId="5267432C">
        <w:tblPrEx>
          <w:tblCellMar>
            <w:top w:type="dxa" w:w="0"/>
            <w:left w:type="dxa" w:w="108"/>
            <w:bottom w:type="dxa" w:w="0"/>
            <w:right w:type="dxa" w:w="108"/>
          </w:tblCellMar>
        </w:tblPrEx>
        <w:trPr>
          <w:trHeight w:hRule="atLeast" w:val="810"/>
        </w:trPr>
        <w:tc>
          <w:tcPr>
            <w:tcW w:type="dxa" w:w="2842"/>
            <w:tcBorders>
              <w:top w:color="auto" w:space="0" w:sz="4" w:val="single"/>
              <w:left w:color="000000" w:space="0" w:sz="8" w:val="single"/>
              <w:bottom w:color="auto" w:space="0" w:sz="4" w:val="single"/>
              <w:right w:color="auto" w:space="0" w:sz="4" w:val="single"/>
            </w:tcBorders>
            <w:vAlign w:val="center"/>
          </w:tcPr>
          <w:p w14:paraId="0A2BC4B1">
            <w:pPr>
              <w:widowControl/>
              <w:spacing w:line="400" w:lineRule="exact"/>
              <w:jc w:val="center"/>
              <w:textAlignment w:val="center"/>
              <w:rPr>
                <w:rFonts w:ascii="仿宋_GB2312" w:cs="仿宋_GB2312" w:eastAsia="仿宋_GB2312" w:hAnsi="等线" w:hint="eastAsia"/>
                <w:color w:themeColor="text1" w:val="000000"/>
                <w:sz w:val="24"/>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风险等级</w:t>
            </w:r>
          </w:p>
        </w:tc>
        <w:tc>
          <w:tcPr>
            <w:tcW w:type="dxa" w:w="6762"/>
            <w:tcBorders>
              <w:top w:color="auto" w:space="0" w:sz="4" w:val="single"/>
              <w:left w:color="auto" w:space="0" w:sz="4" w:val="single"/>
              <w:bottom w:color="auto" w:space="0" w:sz="4" w:val="single"/>
              <w:right w:color="000000" w:space="0" w:sz="8" w:val="single"/>
            </w:tcBorders>
            <w:vAlign w:val="center"/>
          </w:tcPr>
          <w:p w14:paraId="3A372E36">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sz w:val="20"/>
                <w:szCs w:val="20"/>
                <w:highlight w:val="none"/>
              </w:rPr>
              <w:t>PR</w:t>
            </w:r>
            <w:r>
              <w:rPr>
                <w:rFonts w:ascii="楷体_GB2312" w:cs="楷体_GB2312" w:eastAsia="楷体_GB2312" w:hint="eastAsia"/>
                <w:sz w:val="20"/>
                <w:szCs w:val="20"/>
                <w:highlight w:val="none"/>
              </w:rPr>
              <w:t>【2</w:t>
            </w:r>
            <w:r>
              <w:rPr>
                <w:rFonts w:ascii="楷体_GB2312" w:cs="楷体_GB2312" w:eastAsia="楷体_GB2312"/>
                <w:sz w:val="20"/>
                <w:szCs w:val="20"/>
                <w:highlight w:val="none"/>
              </w:rPr>
              <w:t/>
            </w:r>
            <w:r>
              <w:rPr>
                <w:rFonts w:ascii="楷体_GB2312" w:cs="楷体_GB2312" w:eastAsia="楷体_GB2312" w:hint="eastAsia"/>
                <w:sz w:val="20"/>
                <w:szCs w:val="20"/>
                <w:highlight w:val="none"/>
              </w:rPr>
              <w:t>】级（【稳健</w:t>
            </w:r>
            <w:r>
              <w:rPr>
                <w:rFonts w:ascii="楷体_GB2312" w:cs="楷体_GB2312" w:eastAsia="楷体_GB2312"/>
                <w:sz w:val="20"/>
                <w:szCs w:val="20"/>
                <w:highlight w:val="none"/>
              </w:rPr>
              <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型</w:t>
            </w:r>
            <w:r>
              <w:rPr>
                <w:rFonts w:ascii="楷体_GB2312" w:cs="楷体_GB2312" w:eastAsia="楷体_GB2312" w:hint="eastAsia"/>
                <w:sz w:val="20"/>
                <w:szCs w:val="20"/>
                <w:highlight w:val="none"/>
              </w:rPr>
              <w:t>）</w:t>
            </w:r>
            <w:r>
              <w:rPr>
                <w:rFonts w:ascii="楷体_GB2312" w:cs="楷体_GB2312" w:eastAsia="楷体_GB2312" w:hint="eastAsia"/>
                <w:color w:themeColor="text1" w:val="000000"/>
                <w:sz w:val="20"/>
                <w:szCs w:val="20"/>
                <w:highlight w:val="none"/>
                <w14:textFill>
                  <w14:solidFill>
                    <w14:schemeClr w14:val="tx1"/>
                  </w14:solidFill>
                </w14:textFill>
              </w:rPr>
              <w:t>。本风险分级为信银理财自行评定，仅供参考。</w:t>
            </w:r>
          </w:p>
          <w:p w14:paraId="6122E30E">
            <w:pPr>
              <w:spacing w:line="300" w:lineRule="exact"/>
              <w:ind w:left="-2" w:leftChars="-1" w:right="36" w:rightChars="15"/>
              <w:rPr>
                <w:rFonts w:ascii="楷体_GB2312" w:cs="楷体_GB2312" w:eastAsia="楷体_GB2312" w:hint="default"/>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信银理财有权根据市场变化对产品风险等级进行调整，</w:t>
            </w:r>
            <w:r>
              <w:rPr>
                <w:rFonts w:ascii="楷体_GB2312" w:cs="楷体_GB2312" w:eastAsia="楷体_GB2312"/>
                <w:color w:themeColor="text1" w:val="000000"/>
                <w:sz w:val="20"/>
                <w:szCs w:val="20"/>
                <w:highlight w:val="none"/>
                <w14:textFill>
                  <w14:solidFill>
                    <w14:schemeClr w14:val="tx1"/>
                  </w14:solidFill>
                </w14:textFill>
              </w:rPr>
              <w:t>并最迟于调整生效前</w:t>
            </w:r>
            <w:r>
              <w:rPr>
                <w:rFonts w:ascii="楷体_GB2312" w:cs="楷体_GB2312" w:eastAsia="楷体_GB2312" w:hint="eastAsia"/>
                <w:color w:themeColor="text1" w:val="000000"/>
                <w:sz w:val="20"/>
                <w:szCs w:val="20"/>
                <w:highlight w:val="none"/>
                <w14:textFill>
                  <w14:solidFill>
                    <w14:schemeClr w14:val="tx1"/>
                  </w14:solidFill>
                </w14:textFill>
              </w:rPr>
              <w:t>【2</w:t>
            </w:r>
            <w:r>
              <w:rPr>
                <w:rFonts w:ascii="楷体_GB2312" w:cs="楷体_GB2312" w:eastAsia="楷体_GB2312"/>
                <w:color w:themeColor="text1" w:val="000000"/>
                <w:sz w:val="20"/>
                <w:szCs w:val="20"/>
                <w:highlight w:val="none"/>
                <w14:textFill>
                  <w14:solidFill>
                    <w14:schemeClr w14:val="tx1"/>
                  </w14:solidFill>
                </w14:textFill>
              </w:rPr>
              <w:t>】个工作日</w:t>
            </w:r>
            <w:r>
              <w:rPr>
                <w:rFonts w:ascii="楷体_GB2312" w:cs="楷体_GB2312" w:eastAsia="楷体_GB2312" w:hint="eastAsia"/>
                <w:color w:themeColor="text1" w:val="000000"/>
                <w:sz w:val="20"/>
                <w:szCs w:val="20"/>
                <w:highlight w:val="none"/>
                <w14:textFill>
                  <w14:solidFill>
                    <w14:schemeClr w14:val="tx1"/>
                  </w14:solidFill>
                </w14:textFill>
              </w:rPr>
              <w:t>以</w:t>
            </w:r>
            <w:r>
              <w:rPr>
                <w:rFonts w:ascii="楷体_GB2312" w:cs="楷体_GB2312" w:eastAsia="楷体_GB2312"/>
                <w:color w:themeColor="text1" w:val="000000"/>
                <w:sz w:val="20"/>
                <w:szCs w:val="20"/>
                <w:highlight w:val="none"/>
                <w14:textFill>
                  <w14:solidFill>
                    <w14:schemeClr w14:val="tx1"/>
                  </w14:solidFill>
                </w14:textFill>
              </w:rPr>
              <w:t>本说明书约定的方式</w:t>
            </w:r>
            <w:r>
              <w:rPr>
                <w:rFonts w:ascii="楷体_GB2312" w:cs="楷体_GB2312" w:eastAsia="楷体_GB2312" w:hint="eastAsia"/>
                <w:color w:themeColor="text1" w:val="000000"/>
                <w:sz w:val="20"/>
                <w:szCs w:val="20"/>
                <w:highlight w:val="none"/>
                <w14:textFill>
                  <w14:solidFill>
                    <w14:schemeClr w14:val="tx1"/>
                  </w14:solidFill>
                </w14:textFill>
              </w:rPr>
              <w:t>向投资者发布相关信息</w:t>
            </w:r>
            <w:r>
              <w:rPr>
                <w:rFonts w:ascii="楷体_GB2312" w:cs="楷体_GB2312" w:eastAsia="楷体_GB2312"/>
                <w:color w:themeColor="text1" w:val="000000"/>
                <w:sz w:val="20"/>
                <w:szCs w:val="20"/>
                <w:highlight w:val="none"/>
                <w14:textFill>
                  <w14:solidFill>
                    <w14:schemeClr w14:val="tx1"/>
                  </w14:solidFill>
                </w14:textFill>
              </w:rPr>
              <w:t>。</w:t>
            </w:r>
          </w:p>
          <w:p w14:paraId="4C256A2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产品通过代销机构销售的，代销机构将</w:t>
            </w:r>
            <w:r>
              <w:rPr>
                <w:rFonts w:ascii="楷体_GB2312" w:cs="楷体_GB2312" w:eastAsia="楷体_GB2312" w:hint="eastAsia"/>
                <w:color w:themeColor="text1" w:val="000000"/>
                <w:sz w:val="20"/>
                <w:szCs w:val="20"/>
                <w:highlight w:val="none"/>
                <w14:textFill>
                  <w14:solidFill>
                    <w14:schemeClr w14:val="tx1"/>
                  </w14:solidFill>
                </w14:textFill>
              </w:rPr>
              <w:t>对</w:t>
            </w:r>
            <w:r>
              <w:rPr>
                <w:rFonts w:ascii="楷体_GB2312" w:cs="楷体_GB2312" w:eastAsia="楷体_GB2312"/>
                <w:color w:themeColor="text1" w:val="000000"/>
                <w:sz w:val="20"/>
                <w:szCs w:val="20"/>
                <w:highlight w:val="none"/>
                <w14:textFill>
                  <w14:solidFill>
                    <w14:schemeClr w14:val="tx1"/>
                  </w14:solidFill>
                </w14:textFill>
              </w:rPr>
              <w:t>理财产品进行风险评级</w:t>
            </w:r>
            <w:r>
              <w:rPr>
                <w:rFonts w:ascii="楷体_GB2312" w:cs="楷体_GB2312" w:eastAsia="楷体_GB2312" w:hint="eastAsia"/>
                <w:color w:themeColor="text1" w:val="000000"/>
                <w:sz w:val="20"/>
                <w:szCs w:val="20"/>
                <w:highlight w:val="none"/>
                <w14:textFill>
                  <w14:solidFill>
                    <w14:schemeClr w14:val="tx1"/>
                  </w14:solidFill>
                </w14:textFill>
              </w:rPr>
              <w:t>并</w:t>
            </w:r>
            <w:r>
              <w:rPr>
                <w:rFonts w:ascii="楷体_GB2312" w:cs="楷体_GB2312" w:eastAsia="楷体_GB2312"/>
                <w:color w:themeColor="text1" w:val="000000"/>
                <w:sz w:val="20"/>
                <w:szCs w:val="20"/>
                <w:highlight w:val="none"/>
                <w14:textFill>
                  <w14:solidFill>
                    <w14:schemeClr w14:val="tx1"/>
                  </w14:solidFill>
                </w14:textFill>
              </w:rPr>
              <w:t>对投资者进行风险</w:t>
            </w:r>
            <w:r>
              <w:rPr>
                <w:rFonts w:ascii="楷体_GB2312" w:cs="楷体_GB2312" w:eastAsia="楷体_GB2312" w:hint="eastAsia"/>
                <w:color w:themeColor="text1" w:val="000000"/>
                <w:sz w:val="20"/>
                <w:szCs w:val="20"/>
                <w:highlight w:val="none"/>
                <w14:textFill>
                  <w14:solidFill>
                    <w14:schemeClr w14:val="tx1"/>
                  </w14:solidFill>
                </w14:textFill>
              </w:rPr>
              <w:t>承受能力</w:t>
            </w:r>
            <w:r>
              <w:rPr>
                <w:rFonts w:ascii="楷体_GB2312" w:cs="楷体_GB2312" w:eastAsia="楷体_GB2312"/>
                <w:color w:themeColor="text1" w:val="000000"/>
                <w:sz w:val="20"/>
                <w:szCs w:val="20"/>
                <w:highlight w:val="none"/>
                <w14:textFill>
                  <w14:solidFill>
                    <w14:schemeClr w14:val="tx1"/>
                  </w14:solidFill>
                </w14:textFill>
              </w:rPr>
              <w:t>测评</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hint="eastAsia"/>
                <w:b/>
                <w:bCs/>
                <w:color w:themeColor="text1" w:val="000000"/>
                <w:sz w:val="20"/>
                <w:szCs w:val="20"/>
                <w:highlight w:val="none"/>
                <w14:textFill>
                  <w14:solidFill>
                    <w14:schemeClr w14:val="tx1"/>
                  </w14:solidFill>
                </w14:textFill>
              </w:rPr>
              <w:t>理财产品评级应当以代销机构最终披露的评级结果为准</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代销</w:t>
            </w:r>
            <w:r>
              <w:rPr>
                <w:rFonts w:ascii="楷体_GB2312" w:cs="楷体_GB2312" w:eastAsia="楷体_GB2312"/>
                <w:color w:themeColor="text1" w:val="000000"/>
                <w:sz w:val="20"/>
                <w:szCs w:val="20"/>
                <w:highlight w:val="none"/>
                <w14:textFill>
                  <w14:solidFill>
                    <w14:schemeClr w14:val="tx1"/>
                  </w14:solidFill>
                </w14:textFill>
              </w:rPr>
              <w:t>机构对</w:t>
            </w:r>
            <w:r>
              <w:rPr>
                <w:rFonts w:ascii="楷体_GB2312" w:cs="楷体_GB2312" w:eastAsia="楷体_GB2312" w:hint="eastAsia"/>
                <w:color w:themeColor="text1" w:val="000000"/>
                <w:sz w:val="20"/>
                <w:szCs w:val="20"/>
                <w:highlight w:val="none"/>
                <w14:textFill>
                  <w14:solidFill>
                    <w14:schemeClr w14:val="tx1"/>
                  </w14:solidFill>
                </w14:textFill>
              </w:rPr>
              <w:t>产品的</w:t>
            </w:r>
            <w:r>
              <w:rPr>
                <w:rFonts w:ascii="楷体_GB2312" w:cs="楷体_GB2312" w:eastAsia="楷体_GB2312"/>
                <w:color w:themeColor="text1" w:val="000000"/>
                <w:sz w:val="20"/>
                <w:szCs w:val="20"/>
                <w:highlight w:val="none"/>
                <w14:textFill>
                  <w14:solidFill>
                    <w14:schemeClr w14:val="tx1"/>
                  </w14:solidFill>
                </w14:textFill>
              </w:rPr>
              <w:t>风险</w:t>
            </w:r>
            <w:r>
              <w:rPr>
                <w:rFonts w:ascii="楷体_GB2312" w:cs="楷体_GB2312" w:eastAsia="楷体_GB2312" w:hint="eastAsia"/>
                <w:color w:themeColor="text1" w:val="000000"/>
                <w:sz w:val="20"/>
                <w:szCs w:val="20"/>
                <w:highlight w:val="none"/>
                <w14:textFill>
                  <w14:solidFill>
                    <w14:schemeClr w14:val="tx1"/>
                  </w14:solidFill>
                </w14:textFill>
              </w:rPr>
              <w:t>评级</w:t>
            </w:r>
            <w:r>
              <w:rPr>
                <w:rFonts w:ascii="楷体_GB2312" w:cs="楷体_GB2312" w:eastAsia="楷体_GB2312"/>
                <w:color w:themeColor="text1" w:val="000000"/>
                <w:sz w:val="20"/>
                <w:szCs w:val="20"/>
                <w:highlight w:val="none"/>
                <w14:textFill>
                  <w14:solidFill>
                    <w14:schemeClr w14:val="tx1"/>
                  </w14:solidFill>
                </w14:textFill>
              </w:rPr>
              <w:t>结果与信银理财不一致的，将采用对应较高风险</w:t>
            </w:r>
            <w:r>
              <w:rPr>
                <w:rFonts w:ascii="楷体_GB2312" w:cs="楷体_GB2312" w:eastAsia="楷体_GB2312" w:hint="eastAsia"/>
                <w:color w:themeColor="text1" w:val="000000"/>
                <w:sz w:val="20"/>
                <w:szCs w:val="20"/>
                <w:highlight w:val="none"/>
                <w14:textFill>
                  <w14:solidFill>
                    <w14:schemeClr w14:val="tx1"/>
                  </w14:solidFill>
                </w14:textFill>
              </w:rPr>
              <w:t>等级</w:t>
            </w:r>
            <w:r>
              <w:rPr>
                <w:rFonts w:ascii="楷体_GB2312" w:cs="楷体_GB2312" w:eastAsia="楷体_GB2312"/>
                <w:color w:themeColor="text1" w:val="000000"/>
                <w:sz w:val="20"/>
                <w:szCs w:val="20"/>
                <w:highlight w:val="none"/>
                <w14:textFill>
                  <w14:solidFill>
                    <w14:schemeClr w14:val="tx1"/>
                  </w14:solidFill>
                </w14:textFill>
              </w:rPr>
              <w:t>的评级结果。</w:t>
            </w:r>
            <w:r>
              <w:rPr>
                <w:rFonts w:ascii="仿宋_GB2312" w:cs="仿宋_GB2312" w:eastAsia="仿宋_GB2312" w:hAnsi="等线" w:hint="eastAsia"/>
                <w:bCs/>
                <w:color w:themeColor="text1" w:val="000000"/>
                <w:kern w:val="0"/>
                <w:sz w:val="24"/>
                <w:highlight w:val="none"/>
                <w:lang w:bidi="ar"/>
                <w14:textFill>
                  <w14:solidFill>
                    <w14:schemeClr w14:val="tx1"/>
                  </w14:solidFill>
                </w14:textFill>
              </w:rPr>
              <w:br w:type="textWrapping"/>
            </w:r>
            <w:r>
              <w:rPr>
                <w:rFonts w:ascii="楷体_GB2312" w:cs="楷体_GB2312" w:eastAsia="楷体_GB2312" w:hAnsi="宋体" w:hint="default"/>
                <w:b/>
                <w:bCs/>
                <w:color w:themeColor="text1" w:val="000000"/>
                <w:kern w:val="0"/>
                <w:sz w:val="20"/>
                <w:szCs w:val="20"/>
                <w:highlight w:val="none"/>
                <w:lang w:bidi="ar"/>
                <w14:textFill>
                  <w14:solidFill>
                    <w14:schemeClr w14:val="tx1"/>
                  </w14:solidFill>
                </w14:textFill>
              </w:rPr>
              <w:t>（重要提示：该等级为理财产品发行机构评定结果，该产品通过代理销售机构渠道销售的，理财产品评级应当以代理销售机构最终披露的评级结果为准。）</w:t>
            </w:r>
          </w:p>
        </w:tc>
      </w:tr>
      <w:tr w14:paraId="60459D73">
        <w:tblPrEx>
          <w:tblCellMar>
            <w:top w:type="dxa" w:w="0"/>
            <w:left w:type="dxa" w:w="108"/>
            <w:bottom w:type="dxa" w:w="0"/>
            <w:right w:type="dxa" w:w="108"/>
          </w:tblCellMar>
        </w:tblPrEx>
        <w:trPr>
          <w:trHeight w:hRule="atLeast" w:val="90"/>
        </w:trPr>
        <w:tc>
          <w:tcPr>
            <w:tcW w:type="dxa" w:w="2842"/>
            <w:tcBorders>
              <w:top w:color="auto" w:space="0" w:sz="4" w:val="single"/>
              <w:left w:color="auto" w:space="0" w:sz="4" w:val="single"/>
              <w:bottom w:val="nil"/>
              <w:right w:color="auto" w:space="0" w:sz="4" w:val="single"/>
            </w:tcBorders>
            <w:vAlign w:val="center"/>
          </w:tcPr>
          <w:p w14:paraId="5E88CE5E">
            <w:pPr>
              <w:widowControl/>
              <w:spacing w:line="400" w:lineRule="exact"/>
              <w:jc w:val="center"/>
              <w:textAlignment w:val="center"/>
              <w:rPr>
                <w:rFonts w:ascii="仿宋_GB2312" w:cs="仿宋_GB2312" w:eastAsia="仿宋_GB2312" w:hAnsi="等线" w:hint="eastAsia"/>
                <w:color w:themeColor="text1" w:val="000000"/>
                <w:kern w:val="0"/>
                <w:sz w:val="24"/>
                <w:highlight w:val="none"/>
                <w:lang w:bidi="ar"/>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是否为现金管理类产品</w:t>
            </w:r>
          </w:p>
        </w:tc>
        <w:tc>
          <w:tcPr>
            <w:tcW w:type="dxa" w:w="6762"/>
            <w:tcBorders>
              <w:top w:color="auto" w:space="0" w:sz="4" w:val="single"/>
              <w:left w:color="auto" w:space="0" w:sz="4" w:val="single"/>
              <w:bottom w:val="nil"/>
              <w:right w:color="auto" w:space="0" w:sz="4" w:val="single"/>
            </w:tcBorders>
            <w:shd w:color="auto" w:fill="auto" w:val="clear"/>
            <w:vAlign w:val="center"/>
          </w:tcPr>
          <w:p w14:paraId="4161CEC1">
            <w:pPr>
              <w:keepNext w:val="0"/>
              <w:keepLines w:val="0"/>
              <w:widowControl/>
              <w:suppressLineNumbers w:val="0"/>
              <w:jc w:val="center"/>
              <w:textAlignment w:val="center"/>
              <w:rPr>
                <w:rFonts w:hint="eastAsia"/>
                <w:highlight w:val="none"/>
                <w:lang w:eastAsia="zh-CN" w:val="en-US"/>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否</w:t>
            </w:r>
          </w:p>
        </w:tc>
      </w:tr>
      <w:tr w14:paraId="0D2B6945">
        <w:tblPrEx>
          <w:tblCellMar>
            <w:top w:type="dxa" w:w="0"/>
            <w:left w:type="dxa" w:w="108"/>
            <w:bottom w:type="dxa" w:w="0"/>
            <w:right w:type="dxa" w:w="108"/>
          </w:tblCellMar>
        </w:tblPrEx>
        <w:trPr>
          <w:trHeight w:hRule="atLeast" w:val="270"/>
        </w:trPr>
        <w:tc>
          <w:tcPr>
            <w:tcW w:type="dxa" w:w="9604"/>
            <w:gridSpan w:val="2"/>
            <w:tcBorders>
              <w:top w:color="auto" w:space="0" w:sz="4" w:val="single"/>
              <w:left w:color="auto" w:space="0" w:sz="4" w:val="single"/>
              <w:bottom w:color="auto" w:space="0" w:sz="4" w:val="single"/>
              <w:right w:color="auto" w:space="0" w:sz="4" w:val="single"/>
            </w:tcBorders>
            <w:vAlign w:val="center"/>
          </w:tcPr>
          <w:p w14:paraId="69B62EB9">
            <w:pPr>
              <w:widowControl/>
              <w:spacing w:line="400" w:lineRule="exact"/>
              <w:jc w:val="center"/>
              <w:textAlignment w:val="center"/>
              <w:rPr>
                <w:rFonts w:ascii="楷体_GB2312" w:cs="楷体_GB2312" w:eastAsia="楷体_GB2312" w:hAnsi="等线" w:hint="eastAsia"/>
                <w:bCs/>
                <w:color w:themeColor="text1" w:val="000000"/>
                <w:sz w:val="24"/>
                <w:highlight w:val="none"/>
                <w14:textFill>
                  <w14:solidFill>
                    <w14:schemeClr w14:val="tx1"/>
                  </w14:solidFill>
                </w14:textFill>
              </w:rPr>
            </w:pPr>
            <w:r>
              <w:rPr>
                <w:rFonts w:ascii="楷体_GB2312" w:cs="楷体_GB2312" w:eastAsia="楷体_GB2312" w:hAnsi="等线" w:hint="eastAsia"/>
                <w:b/>
                <w:color w:themeColor="text1" w:val="000000"/>
                <w:kern w:val="0"/>
                <w:sz w:val="24"/>
                <w:highlight w:val="none"/>
                <w:lang w:bidi="ar"/>
                <w14:textFill>
                  <w14:solidFill>
                    <w14:schemeClr w14:val="tx1"/>
                  </w14:solidFill>
                </w14:textFill>
              </w:rPr>
              <w:t>（四）产品期限</w:t>
            </w:r>
          </w:p>
        </w:tc>
      </w:tr>
      <w:tr w14:paraId="3829C006">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vAlign w:val="center"/>
          </w:tcPr>
          <w:p w14:paraId="55722B6C">
            <w:pPr>
              <w:widowControl/>
              <w:spacing w:line="56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募集</w:t>
            </w: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期</w:t>
            </w:r>
          </w:p>
        </w:tc>
        <w:tc>
          <w:tcPr>
            <w:tcW w:type="dxa" w:w="6762"/>
            <w:tcBorders>
              <w:top w:val="nil"/>
              <w:left w:color="auto" w:space="0" w:sz="4" w:val="single"/>
              <w:bottom w:color="auto" w:space="0" w:sz="4" w:val="single"/>
              <w:right w:color="000000" w:space="0" w:sz="8" w:val="single"/>
            </w:tcBorders>
            <w:vAlign w:val="center"/>
          </w:tcPr>
          <w:p w14:paraId="17F8A049">
            <w:pPr>
              <w:widowControl/>
              <w:spacing w:line="4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【2026】年【9】月【15】日至【2026】年【9】月【21】日</w:t>
            </w:r>
            <w:r>
              <w:rPr>
                <w:rFonts w:ascii="楷体_GB2312" w:cs="楷体_GB2312" w:eastAsia="楷体_GB2312"/>
                <w:color w:themeColor="text1" w:val="000000"/>
                <w:sz w:val="20"/>
                <w:szCs w:val="20"/>
                <w:highlight w:val="none"/>
                <w14:textFill>
                  <w14:solidFill>
                    <w14:schemeClr w14:val="tx1"/>
                  </w14:solidFill>
                </w14:textFill>
              </w:rPr>
              <w:t/>
            </w:r>
          </w:p>
        </w:tc>
      </w:tr>
      <w:tr w14:paraId="235593F7">
        <w:tblPrEx>
          <w:tblCellMar>
            <w:top w:type="dxa" w:w="0"/>
            <w:left w:type="dxa" w:w="108"/>
            <w:bottom w:type="dxa" w:w="0"/>
            <w:right w:type="dxa" w:w="108"/>
          </w:tblCellMar>
        </w:tblPrEx>
        <w:trPr>
          <w:trHeight w:hRule="atLeast" w:val="90"/>
        </w:trPr>
        <w:tc>
          <w:tcPr>
            <w:tcW w:type="dxa" w:w="2842"/>
            <w:tcBorders>
              <w:top w:color="auto" w:space="0" w:sz="4" w:val="single"/>
              <w:left w:color="000000" w:space="0" w:sz="8" w:val="single"/>
              <w:bottom w:color="auto" w:space="0" w:sz="4" w:val="single"/>
              <w:right w:color="auto" w:space="0" w:sz="4" w:val="single"/>
            </w:tcBorders>
            <w:vAlign w:val="center"/>
          </w:tcPr>
          <w:p w14:paraId="505C5453">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产品成立日期</w:t>
            </w:r>
          </w:p>
        </w:tc>
        <w:tc>
          <w:tcPr>
            <w:tcW w:type="dxa" w:w="6762"/>
            <w:tcBorders>
              <w:top w:color="auto" w:space="0" w:sz="4" w:val="single"/>
              <w:left w:color="auto" w:space="0" w:sz="4" w:val="single"/>
              <w:bottom w:color="auto" w:space="0" w:sz="4" w:val="single"/>
              <w:right w:color="000000" w:space="0" w:sz="8" w:val="single"/>
            </w:tcBorders>
            <w:vAlign w:val="center"/>
          </w:tcPr>
          <w:p w14:paraId="011BD20B">
            <w:pPr>
              <w:widowControl/>
              <w:spacing w:line="4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Times New Roman" w:cs="Times New Roman" w:eastAsia="楷体_GB2312" w:hint="eastAsia"/>
                <w:color w:themeColor="text1" w:val="000000"/>
                <w:sz w:val="20"/>
                <w:szCs w:val="20"/>
                <w:highlight w:val="none"/>
                <w14:textFill>
                  <w14:solidFill>
                    <w14:schemeClr w14:val="tx1"/>
                  </w14:solidFill>
                </w14:textFill>
              </w:rPr>
              <w:t>【2026】年【9】月【22】日</w:t>
            </w:r>
            <w:r>
              <w:rPr>
                <w:rFonts w:ascii="Times New Roman" w:cs="Times New Roman" w:eastAsia="楷体_GB2312"/>
                <w:color w:themeColor="text1" w:val="000000"/>
                <w:sz w:val="20"/>
                <w:szCs w:val="20"/>
                <w:highlight w:val="none"/>
                <w14:textFill>
                  <w14:solidFill>
                    <w14:schemeClr w14:val="tx1"/>
                  </w14:solidFill>
                </w14:textFill>
              </w:rPr>
              <w:t/>
            </w:r>
          </w:p>
        </w:tc>
      </w:tr>
      <w:tr w14:paraId="2E4F5724">
        <w:tblPrEx>
          <w:tblCellMar>
            <w:top w:type="dxa" w:w="0"/>
            <w:left w:type="dxa" w:w="108"/>
            <w:bottom w:type="dxa" w:w="0"/>
            <w:right w:type="dxa" w:w="108"/>
          </w:tblCellMar>
        </w:tblPrEx>
        <w:trPr>
          <w:trHeight w:hRule="atLeast" w:val="540"/>
        </w:trPr>
        <w:tc>
          <w:tcPr>
            <w:tcW w:type="dxa" w:w="2842"/>
            <w:tcBorders>
              <w:top w:color="auto" w:space="0" w:sz="4" w:val="single"/>
              <w:left w:color="000000" w:space="0" w:sz="8" w:val="single"/>
              <w:bottom w:color="auto" w:space="0" w:sz="4" w:val="single"/>
              <w:right w:color="auto" w:space="0" w:sz="4" w:val="single"/>
            </w:tcBorders>
            <w:vAlign w:val="center"/>
          </w:tcPr>
          <w:p w14:paraId="251A2567">
            <w:pPr>
              <w:widowControl/>
              <w:spacing w:line="560" w:lineRule="exact"/>
              <w:jc w:val="center"/>
              <w:textAlignment w:val="center"/>
              <w:rPr>
                <w:rFonts w:ascii="Times New Roman" w:cs="楷体_GB2312" w:eastAsia="楷体_GB2312" w:hint="default"/>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产品到期日期</w:t>
            </w: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/产品终止日期</w:t>
            </w:r>
          </w:p>
        </w:tc>
        <w:tc>
          <w:tcPr>
            <w:tcW w:type="dxa" w:w="6762"/>
            <w:tcBorders>
              <w:top w:color="auto" w:space="0" w:sz="4" w:val="single"/>
              <w:left w:color="auto" w:space="0" w:sz="4" w:val="single"/>
              <w:bottom w:color="auto" w:space="0" w:sz="4" w:val="single"/>
              <w:right w:color="000000" w:space="0" w:sz="8" w:val="single"/>
            </w:tcBorders>
            <w:vAlign w:val="center"/>
          </w:tcPr>
          <w:p w14:paraId="7719A80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【2027】年【3】月【29】日</w:t>
            </w:r>
            <w:r>
              <w:rPr>
                <w:rFonts w:ascii="楷体_GB2312" w:cs="楷体_GB2312" w:eastAsia="楷体_GB2312" w:hint="eastAsia"/>
                <w:color w:themeColor="text1" w:val="000000"/>
                <w:sz w:val="20"/>
                <w:szCs w:val="20"/>
                <w:highlight w:val="none"/>
                <w14:textFill>
                  <w14:solidFill>
                    <w14:schemeClr w14:val="tx1"/>
                  </w14:solidFill>
                </w14:textFill>
              </w:rPr>
              <w:t>（受运作</w:t>
            </w:r>
            <w:r>
              <w:rPr>
                <w:rFonts w:ascii="楷体_GB2312" w:cs="楷体_GB2312" w:eastAsia="楷体_GB2312"/>
                <w:color w:themeColor="text1" w:val="000000"/>
                <w:sz w:val="20"/>
                <w:szCs w:val="20"/>
                <w:highlight w:val="none"/>
                <w14:textFill>
                  <w14:solidFill>
                    <w14:schemeClr w14:val="tx1"/>
                  </w14:solidFill>
                </w14:textFill>
              </w:rPr>
              <w:t>起始</w:t>
            </w:r>
            <w:r>
              <w:rPr>
                <w:rFonts w:ascii="楷体_GB2312" w:cs="楷体_GB2312" w:eastAsia="楷体_GB2312" w:hint="eastAsia"/>
                <w:color w:themeColor="text1" w:val="000000"/>
                <w:sz w:val="20"/>
                <w:szCs w:val="20"/>
                <w:highlight w:val="none"/>
                <w14:textFill>
                  <w14:solidFill>
                    <w14:schemeClr w14:val="tx1"/>
                  </w14:solidFill>
                </w14:textFill>
              </w:rPr>
              <w:t>日、提前终止条款等约束，遇非工作日则顺延至下一工作日）</w:t>
            </w:r>
          </w:p>
        </w:tc>
      </w:tr>
      <w:tr w14:paraId="26F2B111">
        <w:tblPrEx>
          <w:tblCellMar>
            <w:top w:type="dxa" w:w="0"/>
            <w:left w:type="dxa" w:w="108"/>
            <w:bottom w:type="dxa" w:w="0"/>
            <w:right w:type="dxa" w:w="108"/>
          </w:tblCellMar>
        </w:tblPrEx>
        <w:trPr>
          <w:trHeight w:hRule="atLeast" w:val="473"/>
        </w:trPr>
        <w:tc>
          <w:tcPr>
            <w:tcW w:type="dxa" w:w="2842"/>
            <w:tcBorders>
              <w:top w:color="auto" w:space="0" w:sz="4" w:val="single"/>
              <w:left w:color="000000" w:space="0" w:sz="8" w:val="single"/>
              <w:bottom w:color="auto" w:space="0" w:sz="4" w:val="single"/>
              <w:right w:color="auto" w:space="0" w:sz="4" w:val="single"/>
            </w:tcBorders>
            <w:vAlign w:val="center"/>
          </w:tcPr>
          <w:p w14:paraId="34CECC6E">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资金到账日</w:t>
            </w:r>
          </w:p>
        </w:tc>
        <w:tc>
          <w:tcPr>
            <w:tcW w:type="dxa" w:w="6762"/>
            <w:tcBorders>
              <w:top w:color="auto" w:space="0" w:sz="4" w:val="single"/>
              <w:left w:color="auto" w:space="0" w:sz="4" w:val="single"/>
              <w:bottom w:color="auto" w:space="0" w:sz="4" w:val="single"/>
              <w:right w:color="auto" w:space="0" w:sz="4" w:val="single"/>
            </w:tcBorders>
            <w:vAlign w:val="center"/>
          </w:tcPr>
          <w:p w14:paraId="7C857551">
            <w:pPr>
              <w:widowControl/>
              <w:spacing w:line="4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到期日</w:t>
            </w:r>
            <w:r>
              <w:rPr>
                <w:rFonts w:ascii="楷体_GB2312" w:cs="楷体_GB2312" w:eastAsia="楷体_GB2312" w:hint="eastAsia"/>
                <w:color w:themeColor="text1" w:val="000000"/>
                <w:sz w:val="20"/>
                <w:szCs w:val="20"/>
                <w:highlight w:val="none"/>
                <w14:textFill>
                  <w14:solidFill>
                    <w14:schemeClr w14:val="tx1"/>
                  </w14:solidFill>
                </w14:textFill>
              </w:rPr>
              <w:t>后【5】个工作日内</w:t>
            </w:r>
          </w:p>
        </w:tc>
      </w:tr>
      <w:tr w14:paraId="0F287ABF">
        <w:tblPrEx>
          <w:tblCellMar>
            <w:top w:type="dxa" w:w="0"/>
            <w:left w:type="dxa" w:w="108"/>
            <w:bottom w:type="dxa" w:w="0"/>
            <w:right w:type="dxa" w:w="108"/>
          </w:tblCellMar>
        </w:tblPrEx>
        <w:trPr>
          <w:trHeight w:hRule="atLeast" w:val="165"/>
        </w:trPr>
        <w:tc>
          <w:tcPr>
            <w:tcW w:type="dxa" w:w="2842"/>
            <w:tcBorders>
              <w:top w:color="auto" w:space="0" w:sz="4" w:val="single"/>
              <w:left w:color="000000" w:space="0" w:sz="8" w:val="single"/>
              <w:bottom w:val="nil"/>
              <w:right w:color="auto" w:space="0" w:sz="4" w:val="single"/>
            </w:tcBorders>
            <w:vAlign w:val="center"/>
          </w:tcPr>
          <w:p w14:paraId="09F112CA">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投资周期</w:t>
            </w:r>
          </w:p>
        </w:tc>
        <w:tc>
          <w:tcPr>
            <w:tcW w:type="dxa" w:w="6762"/>
            <w:tcBorders>
              <w:top w:color="auto" w:space="0" w:sz="4" w:val="single"/>
              <w:left w:color="auto" w:space="0" w:sz="4" w:val="single"/>
              <w:bottom w:val="nil"/>
              <w:right w:color="000000" w:space="0" w:sz="8" w:val="single"/>
            </w:tcBorders>
            <w:vAlign w:val="center"/>
          </w:tcPr>
          <w:p w14:paraId="006A7573">
            <w:pPr>
              <w:widowControl/>
              <w:spacing w:line="400" w:lineRule="exact"/>
              <w:jc w:val="left"/>
              <w:textAlignment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本理财产品的产品期限为【188】天，到期日为【2027】年【3】月【29】日（受运作起始日、提前终止条款等约束，遇非工作日则顺延至下一工作日）。</w:t>
            </w:r>
          </w:p>
        </w:tc>
      </w:tr>
      <w:tr w14:paraId="6B75A11A">
        <w:tblPrEx>
          <w:tblCellMar>
            <w:top w:type="dxa" w:w="0"/>
            <w:left w:type="dxa" w:w="108"/>
            <w:bottom w:type="dxa" w:w="0"/>
            <w:right w:type="dxa" w:w="108"/>
          </w:tblCellMar>
        </w:tblPrEx>
        <w:trPr>
          <w:trHeight w:hRule="atLeast" w:val="270"/>
        </w:trPr>
        <w:tc>
          <w:tcPr>
            <w:tcW w:type="dxa" w:w="9604"/>
            <w:gridSpan w:val="2"/>
            <w:tcBorders>
              <w:top w:color="000000" w:space="0" w:sz="4" w:val="single"/>
              <w:left w:color="000000" w:space="0" w:sz="8" w:val="single"/>
              <w:bottom w:color="000000" w:space="0" w:sz="4" w:val="single"/>
              <w:right w:color="000000" w:space="0" w:sz="4" w:val="single"/>
            </w:tcBorders>
            <w:vAlign w:val="center"/>
          </w:tcPr>
          <w:p w14:paraId="1EF9AD2F">
            <w:pPr>
              <w:widowControl/>
              <w:spacing w:line="400" w:lineRule="exact"/>
              <w:jc w:val="center"/>
              <w:textAlignment w:val="center"/>
              <w:rPr>
                <w:rFonts w:ascii="楷体_GB2312" w:cs="楷体_GB2312" w:eastAsia="楷体_GB2312" w:hAnsi="等线" w:hint="eastAsia"/>
                <w:b/>
                <w:bCs/>
                <w:color w:themeColor="text1" w:val="000000"/>
                <w:sz w:val="24"/>
                <w:highlight w:val="none"/>
                <w14:textFill>
                  <w14:solidFill>
                    <w14:schemeClr w14:val="tx1"/>
                  </w14:solidFill>
                </w14:textFill>
              </w:rPr>
            </w:pPr>
            <w:r>
              <w:rPr>
                <w:rFonts w:ascii="楷体_GB2312" w:cs="楷体_GB2312" w:eastAsia="楷体_GB2312" w:hAnsi="等线" w:hint="eastAsia"/>
                <w:b/>
                <w:bCs/>
                <w:color w:themeColor="text1" w:val="000000"/>
                <w:kern w:val="0"/>
                <w:sz w:val="24"/>
                <w:highlight w:val="none"/>
                <w:lang w:bidi="ar"/>
                <w14:textFill>
                  <w14:solidFill>
                    <w14:schemeClr w14:val="tx1"/>
                  </w14:solidFill>
                </w14:textFill>
              </w:rPr>
              <w:t>（五）产品费用</w:t>
            </w:r>
          </w:p>
        </w:tc>
      </w:tr>
      <w:tr w14:paraId="39F23E1A">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72FC4293">
            <w:pPr>
              <w:widowControl/>
              <w:spacing w:line="400" w:lineRule="exact"/>
              <w:jc w:val="center"/>
              <w:textAlignment w:val="center"/>
              <w:rPr>
                <w:rFonts w:ascii="Times New Roman" w:cs="楷体_GB2312" w:eastAsia="楷体_GB2312" w:hAnsi="宋体" w:hint="eastAsia"/>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销售服务费率（年化）</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3A8C407E">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A】类份额费率【0.15%】/年，【B】类份额费率【0.15%】/年，【C】类份额费率【0.10%】/年，【D】类份额费率【0.10%】/年，【G】类份额费率【0.10%】/年，【M】类份额费率【0.20%】/年，【N】类份额费率【0.30%】/年，【S】类份额费率【0.10%】/年。</w:t>
            </w:r>
            <w:r>
              <w:rPr>
                <w:rFonts w:ascii="楷体_GB2312" w:cs="楷体_GB2312" w:eastAsia="楷体_GB2312" w:hint="eastAsia"/>
                <w:b/>
                <w:color w:themeColor="text1" w:val="000000"/>
                <w:sz w:val="20"/>
                <w:szCs w:val="20"/>
                <w:highlight w:val="none"/>
                <w14:textFill>
                  <w14:solidFill>
                    <w14:schemeClr w14:val="tx1"/>
                  </w14:solidFill>
                </w14:textFill>
              </w:rPr>
              <w:t/>
            </w:r>
            <w:r>
              <w:rPr>
                <w:rFonts w:ascii="楷体_GB2312" w:cs="楷体_GB2312" w:eastAsia="楷体_GB2312" w:hint="eastAsia"/>
                <w:b/>
                <w:color w:themeColor="text1" w:val="000000"/>
                <w:sz w:val="20"/>
                <w:szCs w:val="20"/>
                <w:highlight w:val="none"/>
                <w:lang w:eastAsia="zh-CN"/>
                <w14:textFill>
                  <w14:solidFill>
                    <w14:schemeClr w14:val="tx1"/>
                  </w14:solidFill>
                </w14:textFill>
              </w:rPr>
              <w:t/>
            </w:r>
            <w:r>
              <w:rPr>
                <w:rFonts w:ascii="楷体_GB2312" w:cs="楷体_GB2312" w:eastAsia="楷体_GB2312"/>
                <w:b/>
                <w:color w:themeColor="text1" w:val="000000"/>
                <w:sz w:val="20"/>
                <w:szCs w:val="20"/>
                <w:highlight w:val="none"/>
                <w14:textFill>
                  <w14:solidFill>
                    <w14:schemeClr w14:val="tx1"/>
                  </w14:solidFill>
                </w14:textFill>
              </w:rPr>
              <w:t/>
            </w:r>
          </w:p>
        </w:tc>
      </w:tr>
      <w:tr w14:paraId="5AEE31BA">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52EBD4AB">
            <w:pPr>
              <w:widowControl/>
              <w:spacing w:line="400" w:lineRule="exact"/>
              <w:jc w:val="center"/>
              <w:textAlignment w:val="center"/>
              <w:rPr>
                <w:rFonts w:ascii="Times New Roman" w:cs="楷体_GB2312" w:eastAsia="楷体_GB2312" w:hAnsi="宋体" w:hint="eastAsia"/>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托管费率（年化）</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57F79624">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费率【0.05%】/年。</w:t>
            </w:r>
          </w:p>
        </w:tc>
      </w:tr>
      <w:tr w14:paraId="06251F24">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1378A5B0">
            <w:pPr>
              <w:widowControl/>
              <w:spacing w:line="400" w:lineRule="exact"/>
              <w:jc w:val="center"/>
              <w:textAlignment w:val="center"/>
              <w:rPr>
                <w:rFonts w:ascii="Times New Roman" w:cs="楷体_GB2312" w:eastAsia="楷体_GB2312" w:hAnsi="宋体" w:hint="eastAsia"/>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固定管理费率（年化）</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55E9E06E">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费率【0.15%】/年。</w:t>
            </w:r>
          </w:p>
        </w:tc>
      </w:tr>
      <w:tr w14:paraId="43E44467">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082A026E">
            <w:pPr>
              <w:widowControl/>
              <w:spacing w:line="400" w:lineRule="exact"/>
              <w:jc w:val="center"/>
              <w:textAlignment w:val="center"/>
              <w:rPr>
                <w:rFonts w:ascii="Times New Roman" w:cs="楷体_GB2312" w:eastAsia="楷体_GB2312" w:hAnsi="宋体" w:hint="eastAsia"/>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浮动管理费</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662F2615">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
              <w:t>【A】类份额设立业绩比较基准，在产品到期日或提前终止日时，如计提浮动管理费前年化收益率超过【2.20%】的，管理人将收取超额部分的【50%】作为浮动管理费。</w:t>
              <w:br/>
              <w:t>【B】类份额设立业绩比较基准，在产品到期日或提前终止日时，如计提浮动管理费前年化收益率超过【2.20%】的，管理人将收取超额部分的【50%】作为浮动管理费。</w:t>
              <w:br/>
              <w:t>【C】类份额设立业绩比较基准，在产品到期日或提前终止日时，如计提浮动管理费前年化收益率超过【2.25%】的，管理人将收取超额部分的【50%】作为浮动管理费。</w:t>
              <w:br/>
              <w:t>【D】类份额设立业绩比较基准，在产品到期日或提前终止日时，如计提浮动管理费前年化收益率超过【2.25%】的，管理人将收取超额部分的【50%】作为浮动管理费。</w:t>
              <w:br/>
              <w:t>【G】类份额设立业绩比较基准，在产品到期日或提前终止日时，如计提浮动管理费前年化收益率超过【2.25%】的，管理人将收取超额部分的【50%】作为浮动管理费。</w:t>
              <w:br/>
              <w:t>【M】类份额设立业绩比较基准，在产品到期日或提前终止日时，如计提浮动管理费前年化收益率超过【2.15%】的，管理人将收取超额部分的【50%】作为浮动管理费。</w:t>
              <w:br/>
              <w:t>【N】类份额设立业绩比较基准，在产品到期日或提前终止日时，如计提浮动管理费前年化收益率超过【2.05%】的，管理人将收取超额部分的【50%】作为浮动管理费。</w:t>
              <w:br/>
              <w:t>【S】类份额设立业绩比较基准，在产品到期日或提前终止日时，如计提浮动管理费前年化收益率超过【2.25%】的，管理人将收取超额部分的【50%】作为浮动管理费。</w:t>
            </w:r>
          </w:p>
        </w:tc>
      </w:tr>
      <w:tr w14:paraId="7EDFBBEE">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5B780C6C">
            <w:pPr>
              <w:widowControl/>
              <w:spacing w:line="400" w:lineRule="exact"/>
              <w:jc w:val="center"/>
              <w:textAlignment w:val="center"/>
              <w:rPr>
                <w:rFonts w:ascii="Times New Roman" w:cs="楷体_GB2312" w:eastAsia="楷体_GB2312" w:hAnsi="宋体" w:hint="default"/>
                <w:color w:themeColor="text1" w:val="000000"/>
                <w:sz w:val="20"/>
                <w:szCs w:val="20"/>
                <w:highlight w:val="none"/>
                <w:lang w:bidi="ar-SA"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认购费率</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3DE19F23">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A】类份额不收取认购费，【B】类份额不收取认购费，【C】类份额不收取认购费，【D】类份额不收取认购费，【G】类份额不收取认购费，【M】类份额不收取认购费，【N】类份额不收取认购费，【S】类份额不收取认购费。</w:t>
            </w:r>
          </w:p>
        </w:tc>
      </w:tr>
      <w:tr w14:paraId="7A7A4811">
        <w:tblPrEx>
          <w:tblCellMar>
            <w:top w:type="dxa" w:w="0"/>
            <w:left w:type="dxa" w:w="108"/>
            <w:bottom w:type="dxa" w:w="0"/>
            <w:right w:type="dxa" w:w="108"/>
          </w:tblCellMar>
        </w:tblPrEx>
        <w:trPr>
          <w:trHeight w:hRule="atLeast" w:val="540"/>
        </w:trPr>
        <w:tc>
          <w:tcPr>
            <w:tcW w:type="dxa" w:w="2842"/>
            <w:tcBorders>
              <w:top w:val="nil"/>
              <w:left w:color="000000" w:space="0" w:sz="8" w:val="single"/>
              <w:bottom w:color="auto" w:space="0" w:sz="4" w:val="single"/>
              <w:right w:color="auto" w:space="0" w:sz="4" w:val="single"/>
            </w:tcBorders>
            <w:shd w:color="auto" w:fill="auto" w:val="clear"/>
            <w:vAlign w:val="center"/>
          </w:tcPr>
          <w:p w14:paraId="50BE4117">
            <w:pPr>
              <w:widowControl/>
              <w:spacing w:line="400" w:lineRule="exact"/>
              <w:jc w:val="center"/>
              <w:textAlignment w:val="center"/>
              <w:rPr>
                <w:rFonts w:ascii="Times New Roman" w:cs="楷体_GB2312" w:eastAsia="楷体_GB2312" w:hint="eastAsia"/>
                <w:color w:themeColor="text1" w:val="000000"/>
                <w:sz w:val="20"/>
                <w:szCs w:val="20"/>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信息技术服务费</w:t>
            </w:r>
          </w:p>
        </w:tc>
        <w:tc>
          <w:tcPr>
            <w:tcW w:type="dxa" w:w="6762"/>
            <w:tcBorders>
              <w:top w:val="nil"/>
              <w:left w:color="auto" w:space="0" w:sz="4" w:val="single"/>
              <w:bottom w:color="auto" w:space="0" w:sz="4" w:val="single"/>
              <w:right w:color="000000" w:space="0" w:sz="8" w:val="single"/>
            </w:tcBorders>
            <w:shd w:color="auto" w:fill="auto" w:val="clear"/>
            <w:vAlign w:val="center"/>
          </w:tcPr>
          <w:p w14:paraId="6437E532">
            <w:pPr>
              <w:widowControl/>
              <w:spacing w:line="400" w:lineRule="exact"/>
              <w:jc w:val="left"/>
              <w:textAlignment w:val="cente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费率【0.002%】/年</w:t>
            </w:r>
          </w:p>
        </w:tc>
      </w:tr>
      <w:tr w14:paraId="3799BB25">
        <w:tblPrEx>
          <w:tblCellMar>
            <w:top w:type="dxa" w:w="0"/>
            <w:left w:type="dxa" w:w="108"/>
            <w:bottom w:type="dxa" w:w="0"/>
            <w:right w:type="dxa" w:w="108"/>
          </w:tblCellMar>
        </w:tblPrEx>
        <w:trPr>
          <w:trHeight w:hRule="atLeast" w:val="540"/>
        </w:trPr>
        <w:tc>
          <w:tcPr>
            <w:tcW w:type="dxa" w:w="2842"/>
            <w:tcBorders>
              <w:top w:val="nil"/>
              <w:left w:color="000000" w:space="0" w:sz="8" w:val="single"/>
              <w:bottom w:val="nil"/>
              <w:right w:color="auto" w:space="0" w:sz="4" w:val="single"/>
            </w:tcBorders>
            <w:vAlign w:val="center"/>
          </w:tcPr>
          <w:p w14:paraId="1AB24D68">
            <w:pPr>
              <w:widowControl/>
              <w:spacing w:line="400" w:lineRule="exact"/>
              <w:jc w:val="center"/>
              <w:textAlignment w:val="center"/>
              <w:rPr>
                <w:rFonts w:ascii="仿宋_GB2312" w:cs="仿宋_GB2312" w:eastAsia="楷体_GB2312" w:hAnsi="等线" w:hint="default"/>
                <w:color w:themeColor="text1" w:val="000000"/>
                <w:sz w:val="24"/>
                <w:highlight w:val="none"/>
                <w:lang w:eastAsia="zh-CN" w:val="en-US"/>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其他费用说明</w:t>
            </w:r>
          </w:p>
        </w:tc>
        <w:tc>
          <w:tcPr>
            <w:tcW w:type="dxa" w:w="6762"/>
            <w:tcBorders>
              <w:top w:val="nil"/>
              <w:left w:color="auto" w:space="0" w:sz="4" w:val="single"/>
              <w:bottom w:val="nil"/>
              <w:right w:color="000000" w:space="0" w:sz="8" w:val="single"/>
            </w:tcBorders>
            <w:vAlign w:val="center"/>
          </w:tcPr>
          <w:p w14:paraId="4B51C8CF">
            <w:pPr>
              <w:snapToGrid w:val="0"/>
              <w:spacing w:line="300" w:lineRule="exact"/>
              <w:ind w:left="0" w:leftChars="0" w:right="53" w:rightChars="22"/>
              <w:jc w:val="left"/>
              <w:outlineLvl w:val="0"/>
              <w:rPr>
                <w:rFonts w:ascii="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本产品的费用包括认购费、销售服务费、托管费、固定管理费、浮动管理费</w:t>
            </w: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、信息技术服务费</w:t>
            </w:r>
            <w:r>
              <w:rPr>
                <w:rFonts w:ascii="楷体_GB2312" w:cs="楷体_GB2312" w:eastAsia="楷体_GB2312"/>
                <w:b/>
                <w:color w:themeColor="text1" w:val="000000"/>
                <w:sz w:val="20"/>
                <w:szCs w:val="20"/>
                <w:highlight w:val="none"/>
                <w14:textFill>
                  <w14:solidFill>
                    <w14:schemeClr w14:val="tx1"/>
                  </w14:solidFill>
                </w14:textFill>
              </w:rPr>
              <w:t>，产品运作和清算中产生的其他资金汇划费、结算费、交易手续费、注册登记费、信息披露费、账户服务费、审计费、律师费</w:t>
            </w:r>
            <w:r>
              <w:rPr>
                <w:rFonts w:ascii="楷体_GB2312" w:cs="楷体_GB2312" w:eastAsia="楷体_GB2312" w:hint="eastAsia"/>
                <w:b/>
                <w:color w:themeColor="text1" w:val="000000"/>
                <w:sz w:val="20"/>
                <w:szCs w:val="20"/>
                <w:highlight w:val="none"/>
                <w14:textFill>
                  <w14:solidFill>
                    <w14:schemeClr w14:val="tx1"/>
                  </w14:solidFill>
                </w14:textFill>
              </w:rPr>
              <w:t>、因投资资产而产生的资产推荐服务费等相关费用</w:t>
            </w:r>
            <w:r>
              <w:rPr>
                <w:rFonts w:ascii="楷体_GB2312" w:cs="楷体_GB2312" w:eastAsia="楷体_GB2312"/>
                <w:b/>
                <w:color w:themeColor="text1" w:val="000000"/>
                <w:sz w:val="20"/>
                <w:szCs w:val="20"/>
                <w:highlight w:val="none"/>
                <w14:textFill>
                  <w14:solidFill>
                    <w14:schemeClr w14:val="tx1"/>
                  </w14:solidFill>
                </w14:textFill>
              </w:rPr>
              <w:t>，以及按照国家规定可以列入的其他费用</w:t>
            </w:r>
            <w:r>
              <w:rPr>
                <w:rFonts w:ascii="楷体_GB2312" w:cs="楷体_GB2312" w:eastAsia="楷体_GB2312" w:hint="eastAsia"/>
                <w:b/>
                <w:color w:themeColor="text1" w:val="000000"/>
                <w:sz w:val="20"/>
                <w:szCs w:val="20"/>
                <w:highlight w:val="none"/>
                <w14:textFill>
                  <w14:solidFill>
                    <w14:schemeClr w14:val="tx1"/>
                  </w14:solidFill>
                </w14:textFill>
              </w:rPr>
              <w:t>，按照实际发生时列支</w:t>
            </w:r>
            <w:r>
              <w:rPr>
                <w:rFonts w:ascii="楷体_GB2312" w:cs="楷体_GB2312" w:eastAsia="楷体_GB2312"/>
                <w:b/>
                <w:color w:themeColor="text1" w:val="000000"/>
                <w:sz w:val="20"/>
                <w:szCs w:val="20"/>
                <w:highlight w:val="none"/>
                <w14:textFill>
                  <w14:solidFill>
                    <w14:schemeClr w14:val="tx1"/>
                  </w14:solidFill>
                </w14:textFill>
              </w:rPr>
              <w:t>。管理人因管理、运营理财产品发生的税费</w:t>
            </w:r>
            <w:r>
              <w:rPr>
                <w:rFonts w:ascii="楷体_GB2312" w:eastAsia="楷体_GB2312"/>
                <w:b/>
                <w:color w:themeColor="text1" w:val="000000"/>
                <w:sz w:val="20"/>
                <w:szCs w:val="20"/>
                <w:highlight w:val="none"/>
                <w14:textFill>
                  <w14:solidFill>
                    <w14:schemeClr w14:val="tx1"/>
                  </w14:solidFill>
                </w14:textFill>
              </w:rPr>
              <w:t>（包括但不限于增值税及相应的附加税费等）</w:t>
            </w:r>
            <w:r>
              <w:rPr>
                <w:rFonts w:ascii="楷体_GB2312" w:cs="楷体_GB2312" w:eastAsia="楷体_GB2312"/>
                <w:b/>
                <w:color w:themeColor="text1" w:val="000000"/>
                <w:sz w:val="20"/>
                <w:szCs w:val="20"/>
                <w:highlight w:val="none"/>
                <w14:textFill>
                  <w14:solidFill>
                    <w14:schemeClr w14:val="tx1"/>
                  </w14:solidFill>
                </w14:textFill>
              </w:rPr>
              <w:t>由产品资产承担。法律法规另有规定时从其规定。</w:t>
            </w:r>
          </w:p>
          <w:p w14:paraId="0812BFCA">
            <w:pPr>
              <w:snapToGrid w:val="0"/>
              <w:spacing w:line="300" w:lineRule="exact"/>
              <w:ind w:right="53" w:rightChars="22"/>
              <w:jc w:val="left"/>
              <w:outlineLvl w:val="0"/>
              <w:rPr>
                <w:rFonts w:ascii="楷体_GB2312" w:cs="楷体_GB2312" w:eastAsia="楷体_GB2312"/>
                <w:b/>
                <w:color w:themeColor="text1" w:val="000000"/>
                <w:sz w:val="20"/>
                <w:szCs w:val="20"/>
                <w:highlight w:val="none"/>
                <w14:textFill>
                  <w14:solidFill>
                    <w14:schemeClr w14:val="tx1"/>
                  </w14:solidFill>
                </w14:textFill>
              </w:rPr>
            </w:pPr>
          </w:p>
          <w:p w14:paraId="73C0B242">
            <w:pPr>
              <w:snapToGrid w:val="0"/>
              <w:spacing w:line="300" w:lineRule="exact"/>
              <w:ind w:right="53" w:rightChars="22"/>
              <w:jc w:val="left"/>
              <w:outlineLvl w:val="0"/>
              <w:rPr>
                <w:rFonts w:ascii="楷体_GB2312" w:eastAsia="楷体_GB2312"/>
                <w:b/>
                <w:color w:themeColor="text1" w:val="000000"/>
                <w:sz w:val="20"/>
                <w:szCs w:val="20"/>
                <w:highlight w:val="none"/>
                <w14:textFill>
                  <w14:solidFill>
                    <w14:schemeClr w14:val="tx1"/>
                  </w14:solidFill>
                </w14:textFill>
              </w:rPr>
            </w:pPr>
            <w:r>
              <w:rPr>
                <w:rFonts w:ascii="楷体_GB2312" w:cs="楷体_GB2312" w:eastAsia="楷体_GB2312" w:hint="eastAsia"/>
                <w:b/>
                <w:color w:themeColor="text1" w:val="000000"/>
                <w:sz w:val="20"/>
                <w:szCs w:val="20"/>
                <w:highlight w:val="none"/>
                <w14:textFill>
                  <w14:solidFill>
                    <w14:schemeClr w14:val="tx1"/>
                  </w14:solidFill>
                </w14:textFill>
              </w:rPr>
              <w:t>以上项费用</w:t>
            </w:r>
            <w:r>
              <w:rPr>
                <w:rFonts w:ascii="楷体_GB2312" w:cs="楷体_GB2312" w:eastAsia="楷体_GB2312"/>
                <w:b/>
                <w:color w:themeColor="text1" w:val="000000"/>
                <w:sz w:val="20"/>
                <w:szCs w:val="20"/>
                <w:highlight w:val="none"/>
                <w14:textFill>
                  <w14:solidFill>
                    <w14:schemeClr w14:val="tx1"/>
                  </w14:solidFill>
                </w14:textFill>
              </w:rPr>
              <w:t>金额均</w:t>
            </w:r>
            <w:r>
              <w:rPr>
                <w:rFonts w:ascii="楷体_GB2312" w:cs="楷体_GB2312" w:eastAsia="楷体_GB2312" w:hint="eastAsia"/>
                <w:b/>
                <w:color w:themeColor="text1" w:val="000000"/>
                <w:sz w:val="20"/>
                <w:szCs w:val="20"/>
                <w:highlight w:val="none"/>
                <w14:textFill>
                  <w14:solidFill>
                    <w14:schemeClr w14:val="tx1"/>
                  </w14:solidFill>
                </w14:textFill>
              </w:rPr>
              <w:t>四舍五入</w:t>
            </w:r>
            <w:r>
              <w:rPr>
                <w:rFonts w:ascii="楷体_GB2312" w:cs="楷体_GB2312" w:eastAsia="楷体_GB2312"/>
                <w:b/>
                <w:color w:themeColor="text1" w:val="000000"/>
                <w:sz w:val="20"/>
                <w:szCs w:val="20"/>
                <w:highlight w:val="none"/>
                <w14:textFill>
                  <w14:solidFill>
                    <w14:schemeClr w14:val="tx1"/>
                  </w14:solidFill>
                </w14:textFill>
              </w:rPr>
              <w:t>保留小数点后</w:t>
            </w:r>
            <w:r>
              <w:rPr>
                <w:rFonts w:ascii="楷体_GB2312" w:cs="楷体_GB2312" w:eastAsia="楷体_GB2312" w:hint="eastAsia"/>
                <w:b/>
                <w:color w:themeColor="text1" w:val="000000"/>
                <w:sz w:val="20"/>
                <w:szCs w:val="20"/>
                <w:highlight w:val="none"/>
                <w14:textFill>
                  <w14:solidFill>
                    <w14:schemeClr w14:val="tx1"/>
                  </w14:solidFill>
                </w14:textFill>
              </w:rPr>
              <w:t>【</w:t>
            </w:r>
            <w:r>
              <w:rPr>
                <w:rFonts w:ascii="楷体_GB2312" w:cs="楷体_GB2312" w:eastAsia="楷体_GB2312"/>
                <w:b/>
                <w:color w:themeColor="text1" w:val="000000"/>
                <w:sz w:val="20"/>
                <w:szCs w:val="20"/>
                <w:highlight w:val="none"/>
                <w14:textFill>
                  <w14:solidFill>
                    <w14:schemeClr w14:val="tx1"/>
                  </w14:solidFill>
                </w14:textFill>
              </w:rPr>
              <w:t>2】位。</w:t>
            </w:r>
          </w:p>
          <w:p w14:paraId="2D3C1839">
            <w:pPr>
              <w:keepNext w:val="0"/>
              <w:keepLines w:val="0"/>
              <w:pageBreakBefore w:val="0"/>
              <w:widowControl/>
              <w:kinsoku/>
              <w:wordWrap/>
              <w:overflowPunct/>
              <w:topLinePunct w:val="0"/>
              <w:autoSpaceDE/>
              <w:autoSpaceDN/>
              <w:bidi w:val="0"/>
              <w:adjustRightInd/>
              <w:snapToGrid w:val="0"/>
              <w:spacing w:line="300" w:lineRule="exact"/>
              <w:ind w:right="53" w:rightChars="22"/>
              <w:jc w:val="left"/>
              <w:textAlignment w:val="auto"/>
              <w:outlineLvl w:val="0"/>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具体请参见本说明书“</w:t>
            </w:r>
            <w:r>
              <w:rPr>
                <w:rFonts w:ascii="黑体" w:cs="黑体" w:eastAsia="黑体" w:hint="eastAsia"/>
                <w:b/>
                <w:color w:themeColor="text1" w:val="000000"/>
                <w:sz w:val="20"/>
                <w:szCs w:val="20"/>
                <w:highlight w:val="none"/>
                <w14:textFill>
                  <w14:solidFill>
                    <w14:schemeClr w14:val="tx1"/>
                  </w14:solidFill>
                </w14:textFill>
              </w:rPr>
              <w:t>理财产品的费用</w:t>
            </w:r>
            <w:r>
              <w:rPr>
                <w:rFonts w:ascii="楷体_GB2312" w:cs="楷体_GB2312" w:eastAsia="楷体_GB2312"/>
                <w:b/>
                <w:color w:themeColor="text1" w:val="000000"/>
                <w:sz w:val="20"/>
                <w:szCs w:val="20"/>
                <w:highlight w:val="none"/>
                <w14:textFill>
                  <w14:solidFill>
                    <w14:schemeClr w14:val="tx1"/>
                  </w14:solidFill>
                </w14:textFill>
              </w:rPr>
              <w:t>”部分。</w:t>
            </w:r>
          </w:p>
        </w:tc>
      </w:tr>
      <w:tr w14:paraId="2B3B7A05">
        <w:tblPrEx>
          <w:tblCellMar>
            <w:top w:type="dxa" w:w="0"/>
            <w:left w:type="dxa" w:w="108"/>
            <w:bottom w:type="dxa" w:w="0"/>
            <w:right w:type="dxa" w:w="108"/>
          </w:tblCellMar>
        </w:tblPrEx>
        <w:trPr>
          <w:trHeight w:hRule="atLeast" w:val="270"/>
        </w:trPr>
        <w:tc>
          <w:tcPr>
            <w:tcW w:type="dxa" w:w="9604"/>
            <w:gridSpan w:val="2"/>
            <w:tcBorders>
              <w:top w:color="000000" w:space="0" w:sz="4" w:val="single"/>
              <w:left w:color="000000" w:space="0" w:sz="8" w:val="single"/>
              <w:bottom w:color="auto" w:space="0" w:sz="4" w:val="single"/>
              <w:right w:color="000000" w:space="0" w:sz="8" w:val="single"/>
            </w:tcBorders>
            <w:vAlign w:val="center"/>
          </w:tcPr>
          <w:p w14:paraId="26627BFE">
            <w:pPr>
              <w:widowControl/>
              <w:spacing w:line="400" w:lineRule="exact"/>
              <w:jc w:val="center"/>
              <w:textAlignment w:val="center"/>
              <w:rPr>
                <w:rFonts w:ascii="楷体_GB2312" w:cs="楷体_GB2312" w:eastAsia="楷体_GB2312" w:hAnsi="等线" w:hint="eastAsia"/>
                <w:b/>
                <w:bCs/>
                <w:color w:themeColor="text1" w:val="000000"/>
                <w:sz w:val="24"/>
                <w:highlight w:val="none"/>
                <w14:textFill>
                  <w14:solidFill>
                    <w14:schemeClr w14:val="tx1"/>
                  </w14:solidFill>
                </w14:textFill>
              </w:rPr>
            </w:pPr>
            <w:r>
              <w:rPr>
                <w:rFonts w:ascii="楷体_GB2312" w:cs="楷体_GB2312" w:eastAsia="楷体_GB2312" w:hAnsi="等线" w:hint="eastAsia"/>
                <w:b/>
                <w:bCs/>
                <w:color w:themeColor="text1" w:val="000000"/>
                <w:kern w:val="0"/>
                <w:sz w:val="24"/>
                <w:highlight w:val="none"/>
                <w:lang w:bidi="ar"/>
                <w14:textFill>
                  <w14:solidFill>
                    <w14:schemeClr w14:val="tx1"/>
                  </w14:solidFill>
                </w14:textFill>
              </w:rPr>
              <w:t>（六）业绩比较基准</w:t>
            </w:r>
          </w:p>
        </w:tc>
      </w:tr>
      <w:tr w14:paraId="7426DD04">
        <w:tblPrEx>
          <w:tblCellMar>
            <w:top w:type="dxa" w:w="0"/>
            <w:left w:type="dxa" w:w="108"/>
            <w:bottom w:type="dxa" w:w="0"/>
            <w:right w:type="dxa" w:w="108"/>
          </w:tblCellMar>
        </w:tblPrEx>
        <w:trPr>
          <w:trHeight w:hRule="atLeast" w:val="1180"/>
        </w:trPr>
        <w:tc>
          <w:tcPr>
            <w:tcW w:type="dxa" w:w="2842"/>
            <w:tcBorders>
              <w:top w:color="auto" w:space="0" w:sz="4" w:val="single"/>
              <w:left w:color="auto" w:space="0" w:sz="4" w:val="single"/>
              <w:bottom w:val="nil"/>
              <w:right w:color="auto" w:space="0" w:sz="4" w:val="single"/>
            </w:tcBorders>
            <w:vAlign w:val="center"/>
          </w:tcPr>
          <w:p w14:paraId="23C4D4E1">
            <w:pPr>
              <w:widowControl/>
              <w:spacing w:line="400" w:lineRule="exact"/>
              <w:jc w:val="center"/>
              <w:textAlignment w:val="center"/>
              <w:rPr>
                <w:rFonts w:ascii="仿宋_GB2312" w:cs="仿宋_GB2312" w:eastAsia="仿宋_GB2312" w:hAnsi="等线" w:hint="eastAsia"/>
                <w:color w:themeColor="text1" w:val="000000"/>
                <w:sz w:val="24"/>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业绩比较基准</w:t>
            </w:r>
          </w:p>
        </w:tc>
        <w:tc>
          <w:tcPr>
            <w:tcW w:type="dxa" w:w="6762"/>
            <w:tcBorders>
              <w:top w:color="auto" w:space="0" w:sz="4" w:val="single"/>
              <w:left w:color="auto" w:space="0" w:sz="4" w:val="single"/>
              <w:bottom w:val="nil"/>
              <w:right w:color="auto" w:space="0" w:sz="4" w:val="single"/>
            </w:tcBorders>
            <w:vAlign w:val="center"/>
          </w:tcPr>
          <w:p w14:paraId="53BCA0C7">
            <w:pPr>
              <w:spacing w:line="300" w:lineRule="exact"/>
              <w:ind w:right="36" w:rightChars="15"/>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
              <w:t>【A】类份额：生效日期2026年09月22日【2.00%】</w:t>
              <w:br/>
              <w:t>【B】类份额：生效日期2026年09月22日【2.00%】</w:t>
              <w:br/>
              <w:t>【C】类份额：生效日期2026年09月22日【2.05%】</w:t>
              <w:br/>
              <w:t>【D】类份额：生效日期2026年09月22日【2.05%】</w:t>
              <w:br/>
              <w:t>【G】类份额：生效日期2026年09月22日【2.05%】</w:t>
              <w:br/>
              <w:t>【M】类份额：生效日期2026年09月22日【1.95%】</w:t>
              <w:br/>
              <w:t>【N】类份额：生效日期2026年09月22日【1.85%】</w:t>
              <w:br/>
              <w:t>【S】类份额：生效日期2026年09月22日【2.05%】</w:t>
            </w:r>
            <w:r>
              <w:rPr>
                <w:rFonts w:ascii="楷体_GB2312" w:cs="楷体_GB2312" w:eastAsia="楷体_GB2312"/>
                <w:color w:themeColor="text1" w:val="000000"/>
                <w:sz w:val="20"/>
                <w:szCs w:val="20"/>
                <w:highlight w:val="none"/>
                <w14:textFill>
                  <w14:solidFill>
                    <w14:schemeClr w14:val="tx1"/>
                  </w14:solidFill>
                </w14:textFill>
              </w:rPr>
              <w:t/>
            </w:r>
          </w:p>
          <w:p w14:paraId="1A727316">
            <w:pPr>
              <w:spacing w:line="300" w:lineRule="exact"/>
              <w:ind w:left="-2" w:leftChars="-1" w:right="36" w:rightChars="15"/>
              <w:jc w:val="both"/>
              <w:rPr>
                <w:rFonts w:ascii="楷体_GB2312" w:cs="楷体_GB2312" w:eastAsia="楷体_GB2312"/>
                <w:color w:themeColor="text1" w:val="000000"/>
                <w:sz w:val="20"/>
                <w:szCs w:val="20"/>
                <w:highlight w:val="none"/>
                <w14:textFill>
                  <w14:solidFill>
                    <w14:schemeClr w14:val="tx1"/>
                  </w14:solidFill>
                </w14:textFill>
              </w:rPr>
            </w:pPr>
          </w:p>
          <w:p w14:paraId="359EB349">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业绩</w:t>
            </w:r>
            <w:r>
              <w:rPr>
                <w:rFonts w:ascii="Times New Roman" w:cs="楷体_GB2312" w:eastAsia="楷体_GB2312" w:hint="eastAsia"/>
                <w:b/>
                <w:bCs/>
                <w:color w:themeColor="text1" w:val="000000"/>
                <w:sz w:val="20"/>
                <w:szCs w:val="20"/>
                <w:highlight w:val="none"/>
                <w14:textFill>
                  <w14:solidFill>
                    <w14:schemeClr w14:val="tx1"/>
                  </w14:solidFill>
                </w14:textFill>
              </w:rPr>
              <w:t>比较</w:t>
            </w:r>
            <w:r>
              <w:rPr>
                <w:rFonts w:ascii="楷体_GB2312" w:cs="楷体_GB2312" w:eastAsia="楷体_GB2312" w:hint="eastAsia"/>
                <w:b/>
                <w:bCs/>
                <w:color w:themeColor="text1" w:val="000000"/>
                <w:sz w:val="20"/>
                <w:szCs w:val="20"/>
                <w:highlight w:val="none"/>
                <w14:textFill>
                  <w14:solidFill>
                    <w14:schemeClr w14:val="tx1"/>
                  </w14:solidFill>
                </w14:textFill>
              </w:rPr>
              <w:t>基准测算依据：【本理财产品为固定收益类产品，主要投向为同业存单、短融、中票、PPN、公司债、资产支持证券等标准化债权类资产以及非标准化债权类资产。根据当前市场利率水平、组合目标久期、可投资债券的静态收益率、债券杠杆操作等因素作为测算依据，扣除相关税费成本之后，综合得出产品的业绩比较基准。业绩比较基准是基于产品性质、投资策略、过往经验等因素对产品设定的投资目标。业绩比较基准不是预期收益率，不代表产品的未来表现和实际收益，不构成对产品收益的承诺，投资须谨慎。</w:t>
            </w:r>
            <w:r>
              <w:rPr>
                <w:rFonts w:ascii="楷体_GB2312" w:cs="楷体_GB2312" w:eastAsia="楷体_GB2312"/>
                <w:b/>
                <w:bCs/>
                <w:color w:themeColor="text1" w:val="000000"/>
                <w:sz w:val="20"/>
                <w:szCs w:val="20"/>
                <w:highlight w:val="none"/>
                <w14:textFill>
                  <w14:solidFill>
                    <w14:schemeClr w14:val="tx1"/>
                  </w14:solidFill>
                </w14:textFill>
              </w:rPr>
              <w:t/>
            </w:r>
            <w:r>
              <w:rPr>
                <w:rFonts w:ascii="楷体_GB2312" w:cs="楷体_GB2312" w:eastAsia="楷体_GB2312" w:hint="eastAsia"/>
                <w:b/>
                <w:bCs/>
                <w:color w:themeColor="text1" w:val="000000"/>
                <w:sz w:val="20"/>
                <w:szCs w:val="20"/>
                <w:highlight w:val="none"/>
                <w14:textFill>
                  <w14:solidFill>
                    <w14:schemeClr w14:val="tx1"/>
                  </w14:solidFill>
                </w14:textFill>
              </w:rPr>
              <w:t>】</w:t>
            </w:r>
          </w:p>
          <w:p w14:paraId="17119C7B">
            <w:pPr>
              <w:keepNext w:val="0"/>
              <w:keepLines w:val="0"/>
              <w:pageBreakBefore w:val="0"/>
              <w:widowControl/>
              <w:kinsoku/>
              <w:wordWrap/>
              <w:overflowPunct/>
              <w:topLinePunct w:val="0"/>
              <w:autoSpaceDE/>
              <w:autoSpaceDN/>
              <w:bidi w:val="0"/>
              <w:adjustRightInd/>
              <w:snapToGrid w:val="0"/>
              <w:spacing w:line="300" w:lineRule="exact"/>
              <w:ind w:right="53" w:rightChars="22"/>
              <w:jc w:val="left"/>
              <w:textAlignment w:val="auto"/>
              <w:outlineLvl w:val="0"/>
              <w:rPr>
                <w:rFonts w:ascii="楷体_GB2312" w:cs="楷体_GB2312" w:eastAsia="楷体_GB2312" w:hAnsi="宋体" w:hint="default"/>
                <w:b/>
                <w:bCs w:val="0"/>
                <w:color w:themeColor="text1" w:val="000000"/>
                <w:sz w:val="20"/>
                <w:szCs w:val="20"/>
                <w:highlight w:val="none"/>
                <w14:textFill>
                  <w14:solidFill>
                    <w14:schemeClr w14:val="tx1"/>
                  </w14:solidFill>
                </w14:textFill>
              </w:rPr>
            </w:pPr>
            <w:r>
              <w:rPr>
                <w:rFonts w:ascii="楷体_GB2312" w:cs="楷体_GB2312" w:eastAsia="楷体_GB2312" w:hAnsi="宋体" w:hint="default"/>
                <w:b/>
                <w:bCs w:val="0"/>
                <w:color w:themeColor="text1" w:val="000000"/>
                <w:sz w:val="20"/>
                <w:szCs w:val="20"/>
                <w:highlight w:val="none"/>
                <w14:textFill>
                  <w14:solidFill>
                    <w14:schemeClr w14:val="tx1"/>
                  </w14:solidFill>
                </w14:textFill>
              </w:rPr>
              <w:t>本产品收取的销售服务费可能因销售机构不同有所差异，从而导致测算的业绩比较基准有所差异，请投资者关注管理人及销售机构相关信息披露。</w:t>
            </w:r>
          </w:p>
          <w:p w14:paraId="2C4B3768">
            <w:pPr>
              <w:keepNext w:val="0"/>
              <w:keepLines w:val="0"/>
              <w:pageBreakBefore w:val="0"/>
              <w:widowControl/>
              <w:kinsoku/>
              <w:wordWrap/>
              <w:overflowPunct/>
              <w:topLinePunct w:val="0"/>
              <w:autoSpaceDE/>
              <w:autoSpaceDN/>
              <w:bidi w:val="0"/>
              <w:adjustRightInd/>
              <w:snapToGrid w:val="0"/>
              <w:spacing w:line="300" w:lineRule="exact"/>
              <w:ind w:right="53" w:rightChars="22"/>
              <w:jc w:val="left"/>
              <w:textAlignment w:val="auto"/>
              <w:outlineLvl w:val="0"/>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cs="楷体_GB2312" w:eastAsia="楷体_GB2312" w:hAnsi="宋体" w:hint="default"/>
                <w:b w:val="0"/>
                <w:bCs/>
                <w:color w:themeColor="text1" w:val="000000"/>
                <w:sz w:val="20"/>
                <w:szCs w:val="20"/>
                <w:highlight w:val="none"/>
                <w14:textFill>
                  <w14:solidFill>
                    <w14:schemeClr w14:val="tx1"/>
                  </w14:solidFill>
                </w14:textFill>
              </w:rPr>
              <w:t>若今后法律法规发生变化，或有其他代表性更强、更科学客观的业绩比较基准适用于本产品时，本产品可变更业绩比较基准并及时告知投资者。</w:t>
            </w:r>
          </w:p>
        </w:tc>
      </w:tr>
      <w:tr w14:paraId="38E98AAE">
        <w:tblPrEx>
          <w:tblCellMar>
            <w:top w:type="dxa" w:w="0"/>
            <w:left w:type="dxa" w:w="108"/>
            <w:bottom w:type="dxa" w:w="0"/>
            <w:right w:type="dxa" w:w="108"/>
          </w:tblCellMar>
        </w:tblPrEx>
        <w:trPr>
          <w:trHeight w:hRule="atLeast" w:val="270"/>
        </w:trPr>
        <w:tc>
          <w:tcPr>
            <w:tcW w:type="dxa" w:w="9604"/>
            <w:gridSpan w:val="2"/>
            <w:tcBorders>
              <w:top w:color="auto" w:space="0" w:sz="4" w:val="single"/>
              <w:left w:color="000000" w:space="0" w:sz="8" w:val="single"/>
              <w:bottom w:color="000000" w:space="0" w:sz="4" w:val="single"/>
              <w:right w:color="000000" w:space="0" w:sz="8" w:val="single"/>
            </w:tcBorders>
            <w:vAlign w:val="center"/>
          </w:tcPr>
          <w:p w14:paraId="11F9D83E">
            <w:pPr>
              <w:widowControl/>
              <w:spacing w:line="400" w:lineRule="exact"/>
              <w:jc w:val="center"/>
              <w:textAlignment w:val="center"/>
              <w:rPr>
                <w:rFonts w:ascii="楷体_GB2312" w:cs="楷体_GB2312" w:eastAsia="楷体_GB2312" w:hAnsi="等线" w:hint="eastAsia"/>
                <w:bCs/>
                <w:color w:themeColor="text1" w:val="000000"/>
                <w:sz w:val="24"/>
                <w:highlight w:val="none"/>
                <w14:textFill>
                  <w14:solidFill>
                    <w14:schemeClr w14:val="tx1"/>
                  </w14:solidFill>
                </w14:textFill>
              </w:rPr>
            </w:pPr>
            <w:r>
              <w:rPr>
                <w:rFonts w:ascii="楷体_GB2312" w:cs="楷体_GB2312" w:eastAsia="楷体_GB2312" w:hAnsi="等线" w:hint="eastAsia"/>
                <w:b/>
                <w:color w:themeColor="text1" w:val="000000"/>
                <w:kern w:val="0"/>
                <w:sz w:val="24"/>
                <w:highlight w:val="none"/>
                <w:lang w:bidi="ar"/>
                <w14:textFill>
                  <w14:solidFill>
                    <w14:schemeClr w14:val="tx1"/>
                  </w14:solidFill>
                </w14:textFill>
              </w:rPr>
              <w:t>（七）投资范围与策略</w:t>
            </w:r>
          </w:p>
        </w:tc>
      </w:tr>
      <w:tr w14:paraId="273301A4">
        <w:tblPrEx>
          <w:tblCellMar>
            <w:top w:type="dxa" w:w="0"/>
            <w:left w:type="dxa" w:w="108"/>
            <w:bottom w:type="dxa" w:w="0"/>
            <w:right w:type="dxa" w:w="108"/>
          </w:tblCellMar>
        </w:tblPrEx>
        <w:trPr>
          <w:trHeight w:hRule="atLeast" w:val="1420"/>
        </w:trPr>
        <w:tc>
          <w:tcPr>
            <w:tcW w:type="dxa" w:w="2842"/>
            <w:tcBorders>
              <w:top w:val="nil"/>
              <w:left w:color="000000" w:space="0" w:sz="8" w:val="single"/>
              <w:bottom w:color="auto" w:space="0" w:sz="4" w:val="single"/>
              <w:right w:color="auto" w:space="0" w:sz="4" w:val="single"/>
            </w:tcBorders>
            <w:vAlign w:val="center"/>
          </w:tcPr>
          <w:p w14:paraId="727A0BFA">
            <w:pPr>
              <w:widowControl/>
              <w:spacing w:line="560" w:lineRule="exact"/>
              <w:jc w:val="center"/>
              <w:textAlignment w:val="center"/>
              <w:rPr>
                <w:rFonts w:ascii="仿宋_GB2312" w:cs="仿宋_GB2312" w:eastAsia="仿宋_GB2312" w:hAnsi="等线" w:hint="eastAsia"/>
                <w:color w:themeColor="text1" w:val="000000"/>
                <w:sz w:val="24"/>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投资范围</w:t>
            </w:r>
          </w:p>
        </w:tc>
        <w:tc>
          <w:tcPr>
            <w:tcW w:type="dxa" w:w="6762"/>
            <w:tcBorders>
              <w:top w:val="nil"/>
              <w:left w:color="auto" w:space="0" w:sz="4" w:val="single"/>
              <w:bottom w:color="auto" w:space="0" w:sz="4" w:val="single"/>
              <w:right w:color="000000" w:space="0" w:sz="8" w:val="single"/>
            </w:tcBorders>
            <w:vAlign w:val="center"/>
          </w:tcPr>
          <w:p w14:paraId="0AB26FB1">
            <w:pPr>
              <w:spacing w:line="300" w:lineRule="exact"/>
              <w:ind w:firstLine="400" w:firstLineChars="200" w:right="36" w:rightChars="15"/>
              <w:jc w:val="left"/>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（1）债权类资产</w:t>
            </w:r>
          </w:p>
          <w:p w14:paraId="00212952">
            <w:pPr>
              <w:spacing w:line="300" w:lineRule="exact"/>
              <w:ind w:firstLine="400" w:firstLineChars="200" w:right="36" w:rightChars="15"/>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a</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货币市场类：现金、存款、大额</w:t>
            </w:r>
            <w:r>
              <w:rPr>
                <w:rFonts w:ascii="楷体_GB2312" w:eastAsia="楷体_GB2312"/>
                <w:color w:themeColor="text1" w:val="000000"/>
                <w:sz w:val="20"/>
                <w:szCs w:val="20"/>
                <w:highlight w:val="none"/>
                <w14:textFill>
                  <w14:solidFill>
                    <w14:schemeClr w14:val="tx1"/>
                  </w14:solidFill>
                </w14:textFill>
              </w:rPr>
              <w:t>存单、同业存单、</w:t>
            </w:r>
            <w:r>
              <w:rPr>
                <w:rFonts w:ascii="楷体_GB2312" w:eastAsia="楷体_GB2312" w:hint="eastAsia"/>
                <w:color w:themeColor="text1" w:val="000000"/>
                <w:sz w:val="20"/>
                <w:szCs w:val="20"/>
                <w:highlight w:val="none"/>
                <w14:textFill>
                  <w14:solidFill>
                    <w14:schemeClr w14:val="tx1"/>
                  </w14:solidFill>
                </w14:textFill>
              </w:rPr>
              <w:t>货币基金、质押式回购和其他货币市场类资产；</w:t>
            </w:r>
          </w:p>
          <w:p w14:paraId="5BB96F7B">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b.固定收益类：国债</w:t>
            </w:r>
            <w:r>
              <w:rPr>
                <w:rFonts w:ascii="楷体_GB2312" w:eastAsia="楷体_GB2312"/>
                <w:color w:themeColor="text1" w:val="000000"/>
                <w:sz w:val="20"/>
                <w:szCs w:val="20"/>
                <w:highlight w:val="none"/>
                <w14:textFill>
                  <w14:solidFill>
                    <w14:schemeClr w14:val="tx1"/>
                  </w14:solidFill>
                </w14:textFill>
              </w:rPr>
              <w:t>、地方政府债券、中央银行票据、政府机构债券、金融债券、公司信用类债券、在银行间市场和证券交易所市场发行的</w:t>
            </w:r>
            <w:r>
              <w:rPr>
                <w:rFonts w:ascii="楷体_GB2312" w:eastAsia="楷体_GB2312" w:hint="eastAsia"/>
                <w:color w:themeColor="text1" w:val="000000"/>
                <w:sz w:val="20"/>
                <w:szCs w:val="20"/>
                <w:highlight w:val="none"/>
                <w14:textFill>
                  <w14:solidFill>
                    <w14:schemeClr w14:val="tx1"/>
                  </w14:solidFill>
                </w14:textFill>
              </w:rPr>
              <w:t>资产支持证券、非公开定向债务融资工具、债券型</w:t>
            </w:r>
            <w:r>
              <w:rPr>
                <w:rFonts w:ascii="楷体_GB2312" w:eastAsia="楷体_GB2312"/>
                <w:color w:themeColor="text1" w:val="000000"/>
                <w:sz w:val="20"/>
                <w:szCs w:val="20"/>
                <w:highlight w:val="none"/>
                <w14:textFill>
                  <w14:solidFill>
                    <w14:schemeClr w14:val="tx1"/>
                  </w14:solidFill>
                </w14:textFill>
              </w:rPr>
              <w:t>证券投资</w:t>
            </w:r>
            <w:r>
              <w:rPr>
                <w:rFonts w:ascii="楷体_GB2312" w:eastAsia="楷体_GB2312" w:hint="eastAsia"/>
                <w:color w:themeColor="text1" w:val="000000"/>
                <w:sz w:val="20"/>
                <w:szCs w:val="20"/>
                <w:highlight w:val="none"/>
                <w14:textFill>
                  <w14:solidFill>
                    <w14:schemeClr w14:val="tx1"/>
                  </w14:solidFill>
                </w14:textFill>
              </w:rPr>
              <w:t>基金、</w:t>
            </w:r>
            <w:r>
              <w:rPr>
                <w:rFonts w:ascii="楷体_GB2312" w:eastAsia="楷体_GB2312"/>
                <w:color w:themeColor="text1" w:val="000000"/>
                <w:sz w:val="20"/>
                <w:szCs w:val="20"/>
                <w:highlight w:val="none"/>
                <w14:textFill>
                  <w14:solidFill>
                    <w14:schemeClr w14:val="tx1"/>
                  </w14:solidFill>
                </w14:textFill>
              </w:rPr>
              <w:t>非标准化债权类资产</w:t>
            </w:r>
            <w:r>
              <w:rPr>
                <w:rFonts w:ascii="楷体_GB2312" w:eastAsia="楷体_GB2312" w:hint="eastAsia"/>
                <w:color w:themeColor="text1" w:val="000000"/>
                <w:sz w:val="20"/>
                <w:szCs w:val="20"/>
                <w:highlight w:val="none"/>
                <w14:textFill>
                  <w14:solidFill>
                    <w14:schemeClr w14:val="tx1"/>
                  </w14:solidFill>
                </w14:textFill>
              </w:rPr>
              <w:t>和其他固定收益类资产；</w:t>
            </w:r>
          </w:p>
          <w:p w14:paraId="43E9815C">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w:t>
            </w:r>
            <w:r>
              <w:rPr>
                <w:rFonts w:ascii="Times New Roman" w:eastAsia="楷体_GB2312" w:hAnsi="Times New Roman"/>
                <w:color w:themeColor="text1" w:val="000000"/>
                <w:sz w:val="20"/>
                <w:szCs w:val="20"/>
                <w:highlight w:val="none"/>
                <w14:textFill>
                  <w14:solidFill>
                    <w14:schemeClr w14:val="tx1"/>
                  </w14:solidFill>
                </w14:textFill>
              </w:rPr>
              <w:t>2）</w:t>
            </w:r>
            <w:r>
              <w:rPr>
                <w:rFonts w:ascii="Times New Roman" w:eastAsia="楷体_GB2312" w:hAnsi="Times New Roman" w:hint="eastAsia"/>
                <w:color w:themeColor="text1" w:val="000000"/>
                <w:sz w:val="20"/>
                <w:szCs w:val="20"/>
                <w:highlight w:val="none"/>
                <w14:textFill>
                  <w14:solidFill>
                    <w14:schemeClr w14:val="tx1"/>
                  </w14:solidFill>
                </w14:textFill>
              </w:rPr>
              <w:t>权益</w:t>
            </w:r>
            <w:r>
              <w:rPr>
                <w:rFonts w:ascii="Times New Roman" w:eastAsia="楷体_GB2312" w:hAnsi="Times New Roman"/>
                <w:color w:themeColor="text1" w:val="000000"/>
                <w:sz w:val="20"/>
                <w:szCs w:val="20"/>
                <w:highlight w:val="none"/>
                <w14:textFill>
                  <w14:solidFill>
                    <w14:schemeClr w14:val="tx1"/>
                  </w14:solidFill>
                </w14:textFill>
              </w:rPr>
              <w:t>类</w:t>
            </w:r>
            <w:r>
              <w:rPr>
                <w:rFonts w:ascii="Times New Roman" w:eastAsia="楷体_GB2312" w:hAnsi="Times New Roman" w:hint="eastAsia"/>
                <w:color w:themeColor="text1" w:val="000000"/>
                <w:sz w:val="20"/>
                <w:szCs w:val="20"/>
                <w:highlight w:val="none"/>
                <w14:textFill>
                  <w14:solidFill>
                    <w14:schemeClr w14:val="tx1"/>
                  </w14:solidFill>
                </w14:textFill>
              </w:rPr>
              <w:t>资产</w:t>
            </w:r>
            <w:r>
              <w:rPr>
                <w:rFonts w:ascii="Times New Roman" w:eastAsia="楷体_GB2312" w:hAnsi="Times New Roman"/>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上市</w:t>
            </w:r>
            <w:r>
              <w:rPr>
                <w:rFonts w:ascii="楷体_GB2312" w:cs="楷体_GB2312" w:eastAsia="楷体_GB2312"/>
                <w:color w:themeColor="text1" w:val="000000"/>
                <w:sz w:val="20"/>
                <w:szCs w:val="20"/>
                <w:highlight w:val="none"/>
                <w14:textFill>
                  <w14:solidFill>
                    <w14:schemeClr w14:val="tx1"/>
                  </w14:solidFill>
                </w14:textFill>
              </w:rPr>
              <w:t>交易</w:t>
            </w:r>
            <w:r>
              <w:rPr>
                <w:rFonts w:ascii="楷体_GB2312" w:cs="楷体_GB2312" w:eastAsia="楷体_GB2312" w:hint="eastAsia"/>
                <w:color w:themeColor="text1" w:val="000000"/>
                <w:sz w:val="20"/>
                <w:szCs w:val="20"/>
                <w:highlight w:val="none"/>
                <w14:textFill>
                  <w14:solidFill>
                    <w14:schemeClr w14:val="tx1"/>
                  </w14:solidFill>
                </w14:textFill>
              </w:rPr>
              <w:t>的</w:t>
            </w:r>
            <w:r>
              <w:rPr>
                <w:rFonts w:ascii="楷体_GB2312" w:cs="楷体_GB2312" w:eastAsia="楷体_GB2312"/>
                <w:color w:themeColor="text1" w:val="000000"/>
                <w:sz w:val="20"/>
                <w:szCs w:val="20"/>
                <w:highlight w:val="none"/>
                <w14:textFill>
                  <w14:solidFill>
                    <w14:schemeClr w14:val="tx1"/>
                  </w14:solidFill>
                </w14:textFill>
              </w:rPr>
              <w:t>股票以及法律法规允许或监管部门批准的其他具备权益特征的资产和资产组合</w:t>
            </w:r>
            <w:r>
              <w:rPr>
                <w:rFonts w:ascii="Times New Roman" w:eastAsia="楷体_GB2312" w:hAnsi="Times New Roman"/>
                <w:color w:themeColor="text1" w:val="000000"/>
                <w:sz w:val="20"/>
                <w:szCs w:val="20"/>
                <w:highlight w:val="none"/>
                <w14:textFill>
                  <w14:solidFill>
                    <w14:schemeClr w14:val="tx1"/>
                  </w14:solidFill>
                </w14:textFill>
              </w:rPr>
              <w:t>。</w:t>
            </w:r>
          </w:p>
          <w:p w14:paraId="4FC5486A">
            <w:pPr>
              <w:spacing w:line="300" w:lineRule="exact"/>
              <w:ind w:firstLine="422" w:left="-2" w:leftChars="-1" w:right="36" w:rightChars="15"/>
              <w:jc w:val="both"/>
              <w:rPr>
                <w:rFonts w:ascii="仿宋_GB2312" w:cs="仿宋_GB2312" w:eastAsia="仿宋_GB2312" w:hAnsi="等线" w:hint="eastAsia"/>
                <w:bCs/>
                <w:color w:themeColor="text1" w:val="000000"/>
                <w:sz w:val="24"/>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w:t>
            </w:r>
            <w:r>
              <w:rPr>
                <w:rFonts w:ascii="Times New Roman" w:eastAsia="楷体_GB2312" w:hAnsi="Times New Roman"/>
                <w:color w:themeColor="text1" w:val="000000"/>
                <w:sz w:val="20"/>
                <w:szCs w:val="20"/>
                <w:highlight w:val="none"/>
                <w14:textFill>
                  <w14:solidFill>
                    <w14:schemeClr w14:val="tx1"/>
                  </w14:solidFill>
                </w14:textFill>
              </w:rPr>
              <w:t>3</w:t>
            </w:r>
            <w:r>
              <w:rPr>
                <w:rFonts w:ascii="Times New Roman" w:eastAsia="楷体_GB2312" w:hAnsi="Times New Roman" w:hint="eastAsia"/>
                <w:color w:themeColor="text1" w:val="000000"/>
                <w:sz w:val="20"/>
                <w:szCs w:val="20"/>
                <w:highlight w:val="none"/>
                <w14:textFill>
                  <w14:solidFill>
                    <w14:schemeClr w14:val="tx1"/>
                  </w14:solidFill>
                </w14:textFill>
              </w:rPr>
              <w:t>）商品</w:t>
            </w:r>
            <w:r>
              <w:rPr>
                <w:rFonts w:ascii="Times New Roman" w:eastAsia="楷体_GB2312" w:hAnsi="Times New Roman"/>
                <w:color w:themeColor="text1" w:val="000000"/>
                <w:sz w:val="20"/>
                <w:szCs w:val="20"/>
                <w:highlight w:val="none"/>
                <w14:textFill>
                  <w14:solidFill>
                    <w14:schemeClr w14:val="tx1"/>
                  </w14:solidFill>
                </w14:textFill>
              </w:rPr>
              <w:t>及</w:t>
            </w:r>
            <w:r>
              <w:rPr>
                <w:rFonts w:ascii="Times New Roman" w:eastAsia="楷体_GB2312" w:hAnsi="Times New Roman" w:hint="eastAsia"/>
                <w:color w:themeColor="text1" w:val="000000"/>
                <w:sz w:val="20"/>
                <w:szCs w:val="20"/>
                <w:highlight w:val="none"/>
                <w14:textFill>
                  <w14:solidFill>
                    <w14:schemeClr w14:val="tx1"/>
                  </w14:solidFill>
                </w14:textFill>
              </w:rPr>
              <w:t>金融</w:t>
            </w:r>
            <w:r>
              <w:rPr>
                <w:rFonts w:ascii="Times New Roman" w:eastAsia="楷体_GB2312" w:hAnsi="Times New Roman"/>
                <w:color w:themeColor="text1" w:val="000000"/>
                <w:sz w:val="20"/>
                <w:szCs w:val="20"/>
                <w:highlight w:val="none"/>
                <w14:textFill>
                  <w14:solidFill>
                    <w14:schemeClr w14:val="tx1"/>
                  </w14:solidFill>
                </w14:textFill>
              </w:rPr>
              <w:t>衍生品类资产：</w:t>
            </w:r>
            <w:r>
              <w:rPr>
                <w:rFonts w:ascii="Times New Roman" w:eastAsia="楷体_GB2312" w:hAnsi="Times New Roman" w:hint="eastAsia"/>
                <w:color w:themeColor="text1" w:val="000000"/>
                <w:sz w:val="20"/>
                <w:szCs w:val="20"/>
                <w:highlight w:val="none"/>
                <w14:textFill>
                  <w14:solidFill>
                    <w14:schemeClr w14:val="tx1"/>
                  </w14:solidFill>
                </w14:textFill>
              </w:rPr>
              <w:t>商品现货，互换</w:t>
            </w:r>
            <w:r>
              <w:rPr>
                <w:rFonts w:ascii="Times New Roman" w:eastAsia="楷体_GB2312" w:hAnsi="Times New Roman"/>
                <w:color w:themeColor="text1" w:val="000000"/>
                <w:sz w:val="20"/>
                <w:szCs w:val="20"/>
                <w:highlight w:val="none"/>
                <w14:textFill>
                  <w14:solidFill>
                    <w14:schemeClr w14:val="tx1"/>
                  </w14:solidFill>
                </w14:textFill>
              </w:rPr>
              <w:t>、</w:t>
            </w:r>
            <w:r>
              <w:rPr>
                <w:rFonts w:ascii="Times New Roman" w:eastAsia="楷体_GB2312" w:hAnsi="Times New Roman" w:hint="eastAsia"/>
                <w:color w:themeColor="text1" w:val="000000"/>
                <w:sz w:val="20"/>
                <w:szCs w:val="20"/>
                <w:highlight w:val="none"/>
                <w14:textFill>
                  <w14:solidFill>
                    <w14:schemeClr w14:val="tx1"/>
                  </w14:solidFill>
                </w14:textFill>
              </w:rPr>
              <w:t>远期、掉期、期货、期权、信用风险缓释工具等衍生工具及其他资产或者资产组合（管理人将通过其他资产管理产品以及其他符合法律法规的投资渠道和方式实现对商品及金融衍生品类资产的投资）。</w:t>
            </w:r>
          </w:p>
        </w:tc>
      </w:tr>
      <w:tr w14:paraId="6E2B0927">
        <w:tblPrEx>
          <w:tblCellMar>
            <w:top w:type="dxa" w:w="0"/>
            <w:left w:type="dxa" w:w="108"/>
            <w:bottom w:type="dxa" w:w="0"/>
            <w:right w:type="dxa" w:w="108"/>
          </w:tblCellMar>
        </w:tblPrEx>
        <w:trPr>
          <w:trHeight w:hRule="atLeast" w:val="780"/>
        </w:trPr>
        <w:tc>
          <w:tcPr>
            <w:tcW w:type="dxa" w:w="2842"/>
            <w:tcBorders>
              <w:top w:color="auto" w:space="0" w:sz="4" w:val="single"/>
              <w:left w:color="000000" w:space="0" w:sz="8" w:val="single"/>
              <w:bottom w:color="auto" w:space="0" w:sz="4" w:val="single"/>
              <w:right w:color="auto" w:space="0" w:sz="4" w:val="single"/>
            </w:tcBorders>
            <w:vAlign w:val="center"/>
          </w:tcPr>
          <w:p w14:paraId="6AD2B669">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投资策略</w:t>
            </w:r>
          </w:p>
        </w:tc>
        <w:tc>
          <w:tcPr>
            <w:tcW w:type="dxa" w:w="6762"/>
            <w:tcBorders>
              <w:top w:color="auto" w:space="0" w:sz="4" w:val="single"/>
              <w:left w:color="auto" w:space="0" w:sz="4" w:val="single"/>
              <w:bottom w:color="auto" w:space="0" w:sz="4" w:val="single"/>
              <w:right w:color="000000" w:space="0" w:sz="8" w:val="single"/>
            </w:tcBorders>
            <w:vAlign w:val="center"/>
          </w:tcPr>
          <w:p w14:paraId="22987BDA">
            <w:pPr>
              <w:spacing w:line="300" w:lineRule="exact"/>
              <w:ind w:firstLine="400"/>
              <w:jc w:val="both"/>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_GB2312" w:eastAsia="楷体_GB2312" w:hAnsi="楷体_GB2312" w:hint="eastAsia"/>
                <w:color w:themeColor="text1" w:val="000000"/>
                <w:sz w:val="20"/>
                <w:szCs w:val="20"/>
                <w:highlight w:val="none"/>
                <w14:textFill>
                  <w14:solidFill>
                    <w14:schemeClr w14:val="tx1"/>
                  </w14:solidFill>
                </w14:textFill>
              </w:rPr>
              <w:t>产品主要投资于债券为主的固收类资产，通过积极主动的投资管理，在严控组合风险的基础上，精选信用资质较好的发行人，获取相对稳定的票息收入，同时积极把握市场波动，获取交易性收入，力争获取超越业绩比较基准的投资回报。</w:t>
            </w:r>
          </w:p>
        </w:tc>
      </w:tr>
      <w:tr w14:paraId="4F8C35FD">
        <w:tblPrEx>
          <w:tblCellMar>
            <w:top w:type="dxa" w:w="0"/>
            <w:left w:type="dxa" w:w="108"/>
            <w:bottom w:type="dxa" w:w="0"/>
            <w:right w:type="dxa" w:w="108"/>
          </w:tblCellMar>
        </w:tblPrEx>
        <w:trPr>
          <w:trHeight w:hRule="atLeast" w:val="555"/>
        </w:trPr>
        <w:tc>
          <w:tcPr>
            <w:tcW w:type="dxa" w:w="2842"/>
            <w:tcBorders>
              <w:top w:color="auto" w:space="0" w:sz="4" w:val="single"/>
              <w:left w:color="000000" w:space="0" w:sz="8" w:val="single"/>
              <w:bottom w:color="auto" w:space="0" w:sz="4" w:val="single"/>
              <w:right w:color="auto" w:space="0" w:sz="4" w:val="single"/>
            </w:tcBorders>
            <w:vAlign w:val="center"/>
          </w:tcPr>
          <w:p w14:paraId="040B016D">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b/>
                <w:bCs/>
                <w:color w:themeColor="text1" w:val="000000"/>
                <w:sz w:val="20"/>
                <w:szCs w:val="20"/>
                <w:highlight w:val="none"/>
                <w14:textFill>
                  <w14:solidFill>
                    <w14:schemeClr w14:val="tx1"/>
                  </w14:solidFill>
                </w14:textFill>
              </w:rPr>
              <w:t>资产种类</w:t>
            </w:r>
          </w:p>
        </w:tc>
        <w:tc>
          <w:tcPr>
            <w:tcW w:type="dxa" w:w="6762"/>
            <w:tcBorders>
              <w:top w:color="auto" w:space="0" w:sz="4" w:val="single"/>
              <w:left w:color="auto" w:space="0" w:sz="4" w:val="single"/>
              <w:bottom w:color="auto" w:space="0" w:sz="4" w:val="single"/>
              <w:right w:color="000000" w:space="0" w:sz="8" w:val="single"/>
            </w:tcBorders>
            <w:vAlign w:val="center"/>
          </w:tcPr>
          <w:p w14:paraId="35426793">
            <w:pPr>
              <w:ind w:right="29" w:rightChars="12"/>
              <w:jc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 w:eastAsia="楷体" w:hAnsi="楷体" w:hint="eastAsia"/>
                <w:b/>
                <w:bCs/>
                <w:color w:val="000000"/>
                <w:sz w:val="20"/>
                <w:szCs w:val="20"/>
                <w:highlight w:val="none"/>
              </w:rPr>
              <w:t>投资比例</w:t>
            </w:r>
          </w:p>
        </w:tc>
      </w:tr>
      <w:tr w14:paraId="27A1AC2B">
        <w:tblPrEx>
          <w:tblCellMar>
            <w:top w:type="dxa" w:w="0"/>
            <w:left w:type="dxa" w:w="108"/>
            <w:bottom w:type="dxa" w:w="0"/>
            <w:right w:type="dxa" w:w="108"/>
          </w:tblCellMar>
        </w:tblPrEx>
        <w:trPr>
          <w:trHeight w:hRule="atLeast" w:val="555"/>
        </w:trPr>
        <w:tc>
          <w:tcPr>
            <w:tcW w:type="dxa" w:w="2842"/>
            <w:tcBorders>
              <w:top w:color="auto" w:space="0" w:sz="4" w:val="single"/>
              <w:left w:color="000000" w:space="0" w:sz="8" w:val="single"/>
              <w:bottom w:color="auto" w:space="0" w:sz="4" w:val="single"/>
              <w:right w:color="auto" w:space="0" w:sz="4" w:val="single"/>
            </w:tcBorders>
            <w:vAlign w:val="center"/>
          </w:tcPr>
          <w:p w14:paraId="4AB1A2B9">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债权类资产</w:t>
            </w:r>
          </w:p>
        </w:tc>
        <w:tc>
          <w:tcPr>
            <w:tcW w:type="dxa" w:w="6762"/>
            <w:tcBorders>
              <w:top w:color="auto" w:space="0" w:sz="4" w:val="single"/>
              <w:left w:color="auto" w:space="0" w:sz="4" w:val="single"/>
              <w:bottom w:color="auto" w:space="0" w:sz="4" w:val="single"/>
              <w:right w:color="000000" w:space="0" w:sz="8" w:val="single"/>
            </w:tcBorders>
            <w:vAlign w:val="center"/>
          </w:tcPr>
          <w:p w14:paraId="1BBC7358">
            <w:pPr>
              <w:ind w:right="29" w:rightChars="12"/>
              <w:jc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 w:eastAsia="楷体" w:hAnsi="楷体" w:hint="eastAsia"/>
                <w:sz w:val="20"/>
                <w:szCs w:val="20"/>
                <w:highlight w:val="none"/>
              </w:rPr>
              <w:t>【80%-100%</w:t>
            </w:r>
            <w:r>
              <w:rPr>
                <w:rFonts w:ascii="楷体" w:eastAsia="楷体" w:hAnsi="楷体"/>
                <w:sz w:val="20"/>
                <w:szCs w:val="20"/>
                <w:highlight w:val="none"/>
              </w:rPr>
              <w:t/>
            </w:r>
            <w:r>
              <w:rPr>
                <w:rFonts w:ascii="楷体" w:eastAsia="楷体" w:hAnsi="楷体" w:hint="eastAsia"/>
                <w:sz w:val="20"/>
                <w:szCs w:val="20"/>
                <w:highlight w:val="none"/>
              </w:rPr>
              <w:t>】</w:t>
            </w:r>
          </w:p>
        </w:tc>
      </w:tr>
      <w:tr w14:paraId="301D6BAD">
        <w:tblPrEx>
          <w:tblCellMar>
            <w:top w:type="dxa" w:w="0"/>
            <w:left w:type="dxa" w:w="108"/>
            <w:bottom w:type="dxa" w:w="0"/>
            <w:right w:type="dxa" w:w="108"/>
          </w:tblCellMar>
        </w:tblPrEx>
        <w:trPr>
          <w:trHeight w:hRule="atLeast" w:val="555"/>
        </w:trPr>
        <w:tc>
          <w:tcPr>
            <w:tcW w:type="dxa" w:w="2842"/>
            <w:tcBorders>
              <w:top w:color="auto" w:space="0" w:sz="4" w:val="single"/>
              <w:left w:color="000000" w:space="0" w:sz="8" w:val="single"/>
              <w:bottom w:color="auto" w:space="0" w:sz="4" w:val="single"/>
              <w:right w:color="auto" w:space="0" w:sz="4" w:val="single"/>
            </w:tcBorders>
            <w:vAlign w:val="center"/>
          </w:tcPr>
          <w:p w14:paraId="5B65B9AB">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其中，非标准化债权类资产</w:t>
            </w:r>
          </w:p>
        </w:tc>
        <w:tc>
          <w:tcPr>
            <w:tcW w:type="dxa" w:w="6762"/>
            <w:tcBorders>
              <w:top w:color="auto" w:space="0" w:sz="4" w:val="single"/>
              <w:left w:color="auto" w:space="0" w:sz="4" w:val="single"/>
              <w:bottom w:color="auto" w:space="0" w:sz="4" w:val="single"/>
              <w:right w:color="000000" w:space="0" w:sz="8" w:val="single"/>
            </w:tcBorders>
            <w:vAlign w:val="center"/>
          </w:tcPr>
          <w:p w14:paraId="3B193294">
            <w:pPr>
              <w:ind w:right="29" w:rightChars="12"/>
              <w:jc w:val="center"/>
              <w:rPr>
                <w:rFonts w:ascii="仿宋" w:cs="宋体" w:eastAsia="仿宋" w:hAnsi="仿宋" w:hint="eastAsia"/>
                <w:bCs/>
                <w:color w:themeColor="text1" w:val="000000"/>
                <w:kern w:val="0"/>
                <w:sz w:val="24"/>
                <w:highlight w:val="none"/>
                <w:lang w:bidi="ar"/>
                <w14:textFill>
                  <w14:solidFill>
                    <w14:schemeClr w14:val="tx1"/>
                  </w14:solidFill>
                </w14:textFill>
              </w:rPr>
            </w:pPr>
            <w:r>
              <w:rPr>
                <w:rFonts w:ascii="楷体" w:eastAsia="楷体" w:hAnsi="楷体" w:hint="eastAsia"/>
                <w:sz w:val="20"/>
                <w:szCs w:val="20"/>
                <w:highlight w:val="none"/>
              </w:rPr>
              <w:t>【0%-49%</w:t>
            </w:r>
            <w:r>
              <w:rPr>
                <w:rFonts w:ascii="楷体" w:eastAsia="楷体" w:hAnsi="楷体"/>
                <w:sz w:val="20"/>
                <w:szCs w:val="20"/>
                <w:highlight w:val="none"/>
              </w:rPr>
              <w:t>】</w:t>
            </w:r>
          </w:p>
        </w:tc>
      </w:tr>
      <w:tr w14:paraId="4F43549D">
        <w:tblPrEx>
          <w:tblCellMar>
            <w:top w:type="dxa" w:w="0"/>
            <w:left w:type="dxa" w:w="108"/>
            <w:bottom w:type="dxa" w:w="0"/>
            <w:right w:type="dxa" w:w="108"/>
          </w:tblCellMar>
        </w:tblPrEx>
        <w:trPr>
          <w:trHeight w:hRule="atLeast" w:val="406"/>
        </w:trPr>
        <w:tc>
          <w:tcPr>
            <w:tcW w:type="dxa" w:w="2842"/>
            <w:tcBorders>
              <w:top w:color="auto" w:space="0" w:sz="4" w:val="single"/>
              <w:left w:color="000000" w:space="0" w:sz="8" w:val="single"/>
              <w:bottom w:color="auto" w:space="0" w:sz="4" w:val="single"/>
              <w:right w:color="auto" w:space="0" w:sz="4" w:val="single"/>
            </w:tcBorders>
            <w:vAlign w:val="center"/>
          </w:tcPr>
          <w:p w14:paraId="05D558DF">
            <w:pPr>
              <w:widowControl/>
              <w:spacing w:line="560" w:lineRule="exact"/>
              <w:jc w:val="center"/>
              <w:textAlignment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权益类资产</w:t>
            </w:r>
          </w:p>
        </w:tc>
        <w:tc>
          <w:tcPr>
            <w:tcW w:type="dxa" w:w="6762"/>
            <w:tcBorders>
              <w:top w:color="auto" w:space="0" w:sz="4" w:val="single"/>
              <w:left w:color="auto" w:space="0" w:sz="4" w:val="single"/>
              <w:bottom w:color="auto" w:space="0" w:sz="4" w:val="single"/>
              <w:right w:color="000000" w:space="0" w:sz="8" w:val="single"/>
            </w:tcBorders>
            <w:vAlign w:val="center"/>
          </w:tcPr>
          <w:p w14:paraId="51CC628B">
            <w:pPr>
              <w:ind w:right="29" w:rightChars="12"/>
              <w:jc w:val="center"/>
              <w:rPr>
                <w:rFonts w:ascii="仿宋" w:cs="宋体" w:eastAsia="仿宋" w:hAnsi="仿宋" w:hint="eastAsia"/>
                <w:bCs/>
                <w:color w:themeColor="text1" w:val="000000"/>
                <w:kern w:val="0"/>
                <w:sz w:val="24"/>
                <w:highlight w:val="none"/>
                <w:lang w:bidi="ar"/>
                <w14:textFill>
                  <w14:solidFill>
                    <w14:schemeClr w14:val="tx1"/>
                  </w14:solidFill>
                </w14:textFill>
              </w:rPr>
            </w:pPr>
            <w:r>
              <w:rPr>
                <w:rFonts w:ascii="楷体" w:eastAsia="楷体" w:hAnsi="楷体" w:hint="eastAsia"/>
                <w:sz w:val="20"/>
                <w:szCs w:val="20"/>
                <w:highlight w:val="none"/>
              </w:rPr>
              <w:t>【0%</w:t>
            </w:r>
            <w:r>
              <w:rPr>
                <w:rFonts w:ascii="楷体" w:eastAsia="楷体" w:hAnsi="楷体"/>
                <w:sz w:val="20"/>
                <w:szCs w:val="20"/>
                <w:highlight w:val="none"/>
              </w:rPr>
              <w:t/>
            </w:r>
            <w:r>
              <w:rPr>
                <w:rFonts w:ascii="楷体" w:eastAsia="楷体" w:hAnsi="楷体" w:hint="eastAsia"/>
                <w:sz w:val="20"/>
                <w:szCs w:val="20"/>
                <w:highlight w:val="none"/>
              </w:rPr>
              <w:t>】</w:t>
            </w:r>
          </w:p>
        </w:tc>
      </w:tr>
      <w:tr w14:paraId="73E987F1">
        <w:tblPrEx>
          <w:tblCellMar>
            <w:top w:type="dxa" w:w="0"/>
            <w:left w:type="dxa" w:w="108"/>
            <w:bottom w:type="dxa" w:w="0"/>
            <w:right w:type="dxa" w:w="108"/>
          </w:tblCellMar>
        </w:tblPrEx>
        <w:trPr>
          <w:trHeight w:hRule="atLeast" w:val="555"/>
        </w:trPr>
        <w:tc>
          <w:tcPr>
            <w:tcW w:type="dxa" w:w="2842"/>
            <w:tcBorders>
              <w:top w:val="nil"/>
              <w:left w:color="000000" w:space="0" w:sz="8" w:val="single"/>
              <w:bottom w:color="auto" w:space="0" w:sz="4" w:val="single"/>
              <w:right w:color="auto" w:space="0" w:sz="4" w:val="single"/>
            </w:tcBorders>
            <w:vAlign w:val="center"/>
          </w:tcPr>
          <w:p w14:paraId="4B6F1CB5">
            <w:pPr>
              <w:spacing w:line="300" w:lineRule="exact"/>
              <w:ind w:left="-2" w:leftChars="-1" w:right="36" w:rightChars="15"/>
              <w:jc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商品及金融衍生品类资产：持仓合约价值</w:t>
            </w:r>
          </w:p>
        </w:tc>
        <w:tc>
          <w:tcPr>
            <w:tcW w:type="dxa" w:w="6762"/>
            <w:tcBorders>
              <w:top w:val="nil"/>
              <w:left w:color="auto" w:space="0" w:sz="4" w:val="single"/>
              <w:bottom w:color="auto" w:space="0" w:sz="4" w:val="single"/>
              <w:right w:color="000000" w:space="0" w:sz="8" w:val="single"/>
            </w:tcBorders>
            <w:vAlign w:val="center"/>
          </w:tcPr>
          <w:p w14:paraId="1158FB9E">
            <w:pPr>
              <w:ind w:right="29" w:rightChars="12"/>
              <w:jc w:val="center"/>
              <w:rPr>
                <w:rFonts w:ascii="仿宋" w:cs="宋体" w:eastAsia="仿宋" w:hAnsi="仿宋" w:hint="eastAsia"/>
                <w:bCs/>
                <w:color w:themeColor="text1" w:val="000000"/>
                <w:kern w:val="0"/>
                <w:sz w:val="24"/>
                <w:highlight w:val="none"/>
                <w:lang w:bidi="ar"/>
                <w14:textFill>
                  <w14:solidFill>
                    <w14:schemeClr w14:val="tx1"/>
                  </w14:solidFill>
                </w14:textFill>
              </w:rPr>
            </w:pPr>
            <w:r>
              <w:rPr>
                <w:rFonts w:ascii="楷体" w:eastAsia="楷体" w:hAnsi="楷体" w:hint="eastAsia"/>
                <w:sz w:val="20"/>
                <w:szCs w:val="20"/>
                <w:highlight w:val="none"/>
              </w:rPr>
              <w:t>【0%-20%</w:t>
            </w:r>
            <w:r>
              <w:rPr>
                <w:rFonts w:ascii="楷体" w:eastAsia="楷体" w:hAnsi="楷体"/>
                <w:sz w:val="20"/>
                <w:szCs w:val="20"/>
                <w:highlight w:val="none"/>
              </w:rPr>
              <w:t/>
            </w:r>
            <w:r>
              <w:rPr>
                <w:rFonts w:ascii="楷体" w:eastAsia="楷体" w:hAnsi="楷体" w:hint="eastAsia"/>
                <w:sz w:val="20"/>
                <w:szCs w:val="20"/>
                <w:highlight w:val="none"/>
              </w:rPr>
              <w:t>】</w:t>
            </w:r>
          </w:p>
        </w:tc>
      </w:tr>
      <w:tr w14:paraId="0DFFFBF1">
        <w:tblPrEx>
          <w:tblCellMar>
            <w:top w:type="dxa" w:w="0"/>
            <w:left w:type="dxa" w:w="108"/>
            <w:bottom w:type="dxa" w:w="0"/>
            <w:right w:type="dxa" w:w="108"/>
          </w:tblCellMar>
        </w:tblPrEx>
        <w:trPr>
          <w:trHeight w:hRule="atLeast" w:val="555"/>
        </w:trPr>
        <w:tc>
          <w:tcPr>
            <w:tcW w:type="dxa" w:w="2842"/>
            <w:tcBorders>
              <w:top w:color="auto" w:space="0" w:sz="4" w:val="single"/>
              <w:left w:color="000000" w:space="0" w:sz="8" w:val="single"/>
              <w:bottom w:val="nil"/>
              <w:right w:color="auto" w:space="0" w:sz="4" w:val="single"/>
            </w:tcBorders>
            <w:vAlign w:val="center"/>
          </w:tcPr>
          <w:p w14:paraId="5697BBA4">
            <w:pPr>
              <w:spacing w:line="300" w:lineRule="exact"/>
              <w:ind w:left="-2" w:leftChars="-1" w:right="36" w:rightChars="15"/>
              <w:jc w:val="center"/>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商品及金融衍生品类资产：衍生品账户权益</w:t>
            </w:r>
          </w:p>
        </w:tc>
        <w:tc>
          <w:tcPr>
            <w:tcW w:type="dxa" w:w="6762"/>
            <w:tcBorders>
              <w:top w:color="auto" w:space="0" w:sz="4" w:val="single"/>
              <w:left w:color="auto" w:space="0" w:sz="4" w:val="single"/>
              <w:bottom w:val="nil"/>
              <w:right w:color="000000" w:space="0" w:sz="8" w:val="single"/>
            </w:tcBorders>
            <w:vAlign w:val="center"/>
          </w:tcPr>
          <w:p w14:paraId="16066290">
            <w:pPr>
              <w:ind w:right="29" w:rightChars="12"/>
              <w:jc w:val="center"/>
              <w:rPr>
                <w:rFonts w:ascii="仿宋_GB2312" w:cs="仿宋_GB2312" w:eastAsia="仿宋_GB2312" w:hAnsi="等线" w:hint="eastAsia"/>
                <w:bCs/>
                <w:color w:themeColor="text1" w:val="000000"/>
                <w:sz w:val="24"/>
                <w:highlight w:val="none"/>
                <w14:textFill>
                  <w14:solidFill>
                    <w14:schemeClr w14:val="tx1"/>
                  </w14:solidFill>
                </w14:textFill>
              </w:rPr>
            </w:pPr>
            <w:r>
              <w:rPr>
                <w:rFonts w:ascii="楷体" w:eastAsia="楷体" w:hAnsi="楷体" w:hint="eastAsia"/>
                <w:sz w:val="20"/>
                <w:szCs w:val="20"/>
                <w:highlight w:val="none"/>
              </w:rPr>
              <w:t>【0%-20%</w:t>
            </w:r>
            <w:r>
              <w:rPr>
                <w:rFonts w:ascii="楷体" w:eastAsia="楷体" w:hAnsi="楷体"/>
                <w:sz w:val="20"/>
                <w:szCs w:val="20"/>
                <w:highlight w:val="none"/>
              </w:rPr>
              <w:t/>
            </w:r>
            <w:r>
              <w:rPr>
                <w:rFonts w:ascii="楷体" w:eastAsia="楷体" w:hAnsi="楷体" w:hint="eastAsia"/>
                <w:sz w:val="20"/>
                <w:szCs w:val="20"/>
                <w:highlight w:val="none"/>
              </w:rPr>
              <w:t>】</w:t>
            </w:r>
          </w:p>
        </w:tc>
      </w:tr>
      <w:tr w14:paraId="31C86B3B">
        <w:tblPrEx>
          <w:tblCellMar>
            <w:top w:type="dxa" w:w="0"/>
            <w:left w:type="dxa" w:w="108"/>
            <w:bottom w:type="dxa" w:w="0"/>
            <w:right w:type="dxa" w:w="108"/>
          </w:tblCellMar>
        </w:tblPrEx>
        <w:trPr>
          <w:trHeight w:hRule="atLeast" w:val="270"/>
        </w:trPr>
        <w:tc>
          <w:tcPr>
            <w:tcW w:type="dxa" w:w="9604"/>
            <w:gridSpan w:val="2"/>
            <w:tcBorders>
              <w:top w:color="000000" w:space="0" w:sz="4" w:val="single"/>
              <w:left w:color="000000" w:space="0" w:sz="8" w:val="single"/>
              <w:bottom w:color="000000" w:space="0" w:sz="4" w:val="single"/>
              <w:right w:color="000000" w:space="0" w:sz="4" w:val="single"/>
            </w:tcBorders>
            <w:vAlign w:val="center"/>
          </w:tcPr>
          <w:p w14:paraId="19998678">
            <w:pPr>
              <w:widowControl/>
              <w:spacing w:line="560" w:lineRule="exact"/>
              <w:jc w:val="center"/>
              <w:textAlignment w:val="center"/>
              <w:rPr>
                <w:rFonts w:ascii="楷体_GB2312" w:cs="楷体_GB2312" w:eastAsia="楷体_GB2312" w:hAnsi="等线" w:hint="eastAsia"/>
                <w:bCs/>
                <w:color w:themeColor="text1" w:val="000000"/>
                <w:sz w:val="24"/>
                <w:highlight w:val="none"/>
                <w14:textFill>
                  <w14:solidFill>
                    <w14:schemeClr w14:val="tx1"/>
                  </w14:solidFill>
                </w14:textFill>
              </w:rPr>
            </w:pPr>
            <w:r>
              <w:rPr>
                <w:rFonts w:ascii="楷体_GB2312" w:cs="楷体_GB2312" w:eastAsia="楷体_GB2312" w:hAnsi="等线" w:hint="eastAsia"/>
                <w:b/>
                <w:color w:themeColor="text1" w:val="000000"/>
                <w:kern w:val="0"/>
                <w:sz w:val="24"/>
                <w:highlight w:val="none"/>
                <w:lang w:bidi="ar"/>
                <w14:textFill>
                  <w14:solidFill>
                    <w14:schemeClr w14:val="tx1"/>
                  </w14:solidFill>
                </w14:textFill>
              </w:rPr>
              <w:t>（八）其他约定</w:t>
            </w:r>
          </w:p>
        </w:tc>
      </w:tr>
      <w:tr w14:paraId="54FA536C">
        <w:tblPrEx>
          <w:tblCellMar>
            <w:top w:type="dxa" w:w="0"/>
            <w:left w:type="dxa" w:w="108"/>
            <w:bottom w:type="dxa" w:w="0"/>
            <w:right w:type="dxa" w:w="108"/>
          </w:tblCellMar>
        </w:tblPrEx>
        <w:trPr>
          <w:trHeight w:hRule="atLeast" w:val="334"/>
        </w:trPr>
        <w:tc>
          <w:tcPr>
            <w:tcW w:type="dxa" w:w="2842"/>
            <w:tcBorders>
              <w:top w:color="000000" w:space="0" w:sz="4" w:val="single"/>
              <w:left w:color="000000" w:space="0" w:sz="8" w:val="single"/>
              <w:bottom w:color="000000" w:space="0" w:sz="8" w:val="single"/>
              <w:right w:color="auto" w:space="0" w:sz="4" w:val="single"/>
            </w:tcBorders>
            <w:vAlign w:val="center"/>
          </w:tcPr>
          <w:p w14:paraId="70C694C4">
            <w:pPr>
              <w:widowControl/>
              <w:spacing w:line="560" w:lineRule="exact"/>
              <w:jc w:val="center"/>
              <w:textAlignment w:val="center"/>
              <w:rPr>
                <w:rFonts w:ascii="仿宋_GB2312" w:cs="仿宋_GB2312" w:eastAsia="仿宋_GB2312" w:hAnsi="等线" w:hint="eastAsia"/>
                <w:color w:themeColor="text1" w:val="000000"/>
                <w:sz w:val="24"/>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其他约定</w:t>
            </w:r>
          </w:p>
        </w:tc>
        <w:tc>
          <w:tcPr>
            <w:tcW w:type="dxa" w:w="6762"/>
            <w:tcBorders>
              <w:top w:color="000000" w:space="0" w:sz="4" w:val="single"/>
              <w:left w:color="auto" w:space="0" w:sz="4" w:val="single"/>
              <w:bottom w:color="000000" w:space="0" w:sz="8" w:val="single"/>
              <w:right w:color="000000" w:space="0" w:sz="8" w:val="single"/>
            </w:tcBorders>
            <w:shd w:color="auto" w:fill="auto" w:val="clear"/>
            <w:vAlign w:val="center"/>
          </w:tcPr>
          <w:p w14:paraId="0D461758">
            <w:pPr>
              <w:keepNext w:val="0"/>
              <w:keepLines w:val="0"/>
              <w:widowControl/>
              <w:suppressLineNumbers w:val="0"/>
              <w:jc w:val="center"/>
              <w:textAlignment w:val="center"/>
              <w:rPr>
                <w:rFonts w:ascii="宋体" w:cs="宋体" w:eastAsia="宋体" w:hAnsi="宋体" w:hint="eastAsia"/>
                <w:i w:val="0"/>
                <w:iCs w:val="0"/>
                <w:color w:val="000000"/>
                <w:sz w:val="22"/>
                <w:szCs w:val="22"/>
                <w:highlight w:val="none"/>
                <w:u w:val="none"/>
                <w:lang w:bidi="ar-SA" w:eastAsia="zh-CN" w:val="en-US"/>
              </w:rPr>
            </w:pPr>
            <w:r>
              <w:rPr>
                <w:rFonts w:ascii="Times New Roman" w:cs="楷体_GB2312" w:eastAsia="楷体_GB2312" w:hint="eastAsia"/>
                <w:i w:val="0"/>
                <w:iCs w:val="0"/>
                <w:color w:themeColor="text1" w:val="000000"/>
                <w:kern w:val="0"/>
                <w:sz w:val="20"/>
                <w:szCs w:val="20"/>
                <w:highlight w:val="none"/>
                <w:u w:val="none"/>
                <w:lang w:bidi="ar" w:eastAsia="zh-CN" w:val="en-US"/>
                <w14:textFill>
                  <w14:solidFill>
                    <w14:schemeClr w14:val="tx1"/>
                  </w14:solidFill>
                </w14:textFill>
              </w:rPr>
              <w:t>详见产品说明书。</w:t>
            </w:r>
          </w:p>
        </w:tc>
      </w:tr>
    </w:tbl>
    <w:p w14:paraId="01E33576">
      <w:pPr>
        <w:spacing w:line="300" w:lineRule="exact"/>
        <w:ind w:right="-792" w:rightChars="-330"/>
        <w:rPr>
          <w:color w:themeColor="text1" w:val="000000"/>
          <w:highlight w:val="none"/>
          <w14:textFill>
            <w14:solidFill>
              <w14:schemeClr w14:val="tx1"/>
            </w14:solidFill>
          </w14:textFill>
        </w:rPr>
      </w:pPr>
    </w:p>
    <w:p w14:paraId="0D4AD127">
      <w:pPr>
        <w:spacing w:line="300" w:lineRule="exact"/>
        <w:ind w:right="-792" w:rightChars="-330"/>
        <w:rPr>
          <w:color w:themeColor="text1" w:val="000000"/>
          <w:highlight w:val="none"/>
          <w14:textFill>
            <w14:solidFill>
              <w14:schemeClr w14:val="tx1"/>
            </w14:solidFill>
          </w14:textFill>
        </w:rPr>
      </w:pPr>
      <w:r>
        <w:rPr>
          <w:rFonts w:ascii="黑体" w:cs="黑体" w:eastAsia="黑体" w:hAnsi="Times New Roman" w:hint="eastAsia"/>
          <w:b/>
          <w:bCs/>
          <w:color w:themeColor="text1" w:val="000000"/>
          <w:sz w:val="20"/>
          <w:szCs w:val="20"/>
          <w:highlight w:val="none"/>
          <w14:textFill>
            <w14:solidFill>
              <w14:schemeClr w14:val="tx1"/>
            </w14:solidFill>
          </w14:textFill>
        </w:rPr>
        <w:t>重要须知</w:t>
      </w:r>
      <w:r>
        <w:rPr>
          <w:rFonts w:ascii="黑体" w:cs="黑体" w:eastAsia="黑体" w:hAnsi="Times New Roman" w:hint="eastAsia"/>
          <w:color w:themeColor="text1" w:val="000000"/>
          <w:sz w:val="20"/>
          <w:szCs w:val="20"/>
          <w:highlight w:val="none"/>
          <w14:textFill>
            <w14:solidFill>
              <w14:schemeClr w14:val="tx1"/>
            </w14:solidFill>
          </w14:textFill>
        </w:rPr>
        <w:t>：</w:t>
      </w:r>
    </w:p>
    <w:p w14:paraId="575147D5">
      <w:pPr>
        <w:snapToGrid w:val="0"/>
        <w:ind w:firstLine="402" w:firstLineChars="200"/>
        <w:jc w:val="both"/>
        <w:rPr>
          <w:b/>
          <w:color w:themeColor="text1" w:val="000000"/>
          <w:highlight w:val="none"/>
          <w14:textFill>
            <w14:solidFill>
              <w14:schemeClr w14:val="tx1"/>
            </w14:solidFill>
          </w14:textFill>
        </w:rPr>
      </w:pPr>
      <w:r>
        <w:rPr>
          <w:rFonts w:ascii="黑体" w:cs="黑体" w:eastAsia="黑体" w:hAnsi="Times New Roman"/>
          <w:b/>
          <w:color w:themeColor="text1" w:val="000000"/>
          <w:sz w:val="20"/>
          <w:szCs w:val="20"/>
          <w:highlight w:val="none"/>
          <w14:textFill>
            <w14:solidFill>
              <w14:schemeClr w14:val="tx1"/>
            </w14:solidFill>
          </w14:textFill>
        </w:rPr>
        <w:t>1</w:t>
      </w:r>
      <w:r>
        <w:rPr>
          <w:rFonts w:ascii="黑体" w:cs="黑体" w:eastAsia="黑体" w:hAnsi="Times New Roman" w:hint="eastAsia"/>
          <w:b/>
          <w:color w:themeColor="text1" w:val="000000"/>
          <w:sz w:val="20"/>
          <w:szCs w:val="20"/>
          <w:highlight w:val="none"/>
          <w14:textFill>
            <w14:solidFill>
              <w14:schemeClr w14:val="tx1"/>
            </w14:solidFill>
          </w14:textFill>
        </w:rPr>
        <w:t>．本理财产品的产品期限为【</w:t>
      </w:r>
      <w:r>
        <w:rPr>
          <w:rFonts w:ascii="黑体" w:cs="黑体" w:eastAsia="黑体" w:hAnsi="Times New Roman"/>
          <w:b/>
          <w:color w:themeColor="text1" w:val="000000"/>
          <w:sz w:val="20"/>
          <w:szCs w:val="20"/>
          <w:highlight w:val="none"/>
          <w14:textFill>
            <w14:solidFill>
              <w14:schemeClr w14:val="tx1"/>
            </w14:solidFill>
          </w14:textFill>
        </w:rPr>
        <w:t>188</w:t>
      </w:r>
      <w:r>
        <w:rPr>
          <w:rFonts w:ascii="黑体" w:cs="黑体" w:eastAsia="黑体" w:hAnsi="Times New Roman" w:hint="eastAsia"/>
          <w:b/>
          <w:color w:themeColor="text1" w:val="000000"/>
          <w:sz w:val="20"/>
          <w:szCs w:val="20"/>
          <w:highlight w:val="none"/>
          <w14:textFill>
            <w14:solidFill>
              <w14:schemeClr w14:val="tx1"/>
            </w14:solidFill>
          </w14:textFill>
        </w:rPr>
        <w:t>】天，到期日为</w:t>
      </w:r>
      <w:r>
        <w:rPr>
          <w:rFonts w:ascii="黑体" w:cs="黑体" w:eastAsia="黑体" w:hAnsi="Times New Roman"/>
          <w:b/>
          <w:color w:themeColor="text1" w:val="000000"/>
          <w:sz w:val="20"/>
          <w:szCs w:val="20"/>
          <w:highlight w:val="none"/>
          <w14:textFill>
            <w14:solidFill>
              <w14:schemeClr w14:val="tx1"/>
            </w14:solidFill>
          </w14:textFill>
        </w:rPr>
        <w:t>【2027】年【3】月【29】日</w:t>
      </w:r>
      <w:r>
        <w:rPr>
          <w:rFonts w:ascii="黑体" w:cs="黑体" w:eastAsia="黑体" w:hAnsi="Times New Roman" w:hint="eastAsia"/>
          <w:b/>
          <w:color w:themeColor="text1" w:val="000000"/>
          <w:sz w:val="20"/>
          <w:szCs w:val="20"/>
          <w:highlight w:val="none"/>
          <w14:textFill>
            <w14:solidFill>
              <w14:schemeClr w14:val="tx1"/>
            </w14:solidFill>
          </w14:textFill>
        </w:rPr>
        <w:t>（受运作起始日、提前终止条款等约束，遇非工作日则顺延至下一工作日）。</w:t>
      </w:r>
    </w:p>
    <w:p w14:paraId="0702A631">
      <w:pPr>
        <w:snapToGrid w:val="0"/>
        <w:ind w:firstLine="400" w:firstLineChars="200"/>
        <w:jc w:val="both"/>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t>2</w:t>
      </w:r>
      <w:r>
        <w:rPr>
          <w:rFonts w:ascii="黑体" w:cs="黑体" w:eastAsia="黑体" w:hAnsi="Times New Roman" w:hint="eastAsia"/>
          <w:color w:themeColor="text1" w:val="000000"/>
          <w:sz w:val="20"/>
          <w:szCs w:val="20"/>
          <w:highlight w:val="none"/>
          <w14:textFill>
            <w14:solidFill>
              <w14:schemeClr w14:val="tx1"/>
            </w14:solidFill>
          </w14:textFill>
        </w:rPr>
        <w:t>．</w:t>
      </w:r>
      <w:r>
        <w:rPr>
          <w:rFonts w:ascii="黑体" w:cs="黑体" w:eastAsia="黑体" w:hAnsi="Times New Roman"/>
          <w:color w:themeColor="text1" w:val="000000"/>
          <w:sz w:val="20"/>
          <w:szCs w:val="20"/>
          <w:highlight w:val="none"/>
          <w14:textFill>
            <w14:solidFill>
              <w14:schemeClr w14:val="tx1"/>
            </w14:solidFill>
          </w14:textFill>
        </w:rPr>
        <w:t>本</w:t>
      </w:r>
      <w:r>
        <w:rPr>
          <w:rFonts w:ascii="黑体" w:cs="黑体" w:eastAsia="黑体" w:hAnsi="Times New Roman" w:hint="eastAsia"/>
          <w:color w:themeColor="text1" w:val="000000"/>
          <w:sz w:val="20"/>
          <w:szCs w:val="20"/>
          <w:highlight w:val="none"/>
          <w14:textFill>
            <w14:solidFill>
              <w14:schemeClr w14:val="tx1"/>
            </w14:solidFill>
          </w14:textFill>
        </w:rPr>
        <w:t>理财产品的《信银理财理财</w:t>
      </w:r>
      <w:r>
        <w:rPr>
          <w:rFonts w:ascii="黑体" w:cs="黑体" w:eastAsia="黑体" w:hAnsi="Times New Roman"/>
          <w:color w:themeColor="text1" w:val="000000"/>
          <w:sz w:val="20"/>
          <w:szCs w:val="20"/>
          <w:highlight w:val="none"/>
          <w14:textFill>
            <w14:solidFill>
              <w14:schemeClr w14:val="tx1"/>
            </w14:solidFill>
          </w14:textFill>
        </w:rPr>
        <w:t>产品说明书</w:t>
      </w:r>
      <w:r>
        <w:rPr>
          <w:rFonts w:ascii="黑体" w:cs="黑体" w:eastAsia="黑体" w:hAnsi="Times New Roman" w:hint="eastAsia"/>
          <w:color w:themeColor="text1" w:val="000000"/>
          <w:sz w:val="20"/>
          <w:szCs w:val="20"/>
          <w:highlight w:val="none"/>
          <w14:textFill>
            <w14:solidFill>
              <w14:schemeClr w14:val="tx1"/>
            </w14:solidFill>
          </w14:textFill>
        </w:rPr>
        <w:t>》、</w:t>
      </w:r>
      <w:r>
        <w:rPr>
          <w:rFonts w:ascii="黑体" w:cs="黑体" w:eastAsia="黑体" w:hAnsi="Times New Roman"/>
          <w:color w:themeColor="text1" w:val="000000"/>
          <w:sz w:val="20"/>
          <w:szCs w:val="20"/>
          <w:highlight w:val="none"/>
          <w14:textFill>
            <w14:solidFill>
              <w14:schemeClr w14:val="tx1"/>
            </w14:solidFill>
          </w14:textFill>
        </w:rPr>
        <w:t>《</w:t>
      </w:r>
      <w:r>
        <w:rPr>
          <w:rFonts w:ascii="黑体" w:cs="黑体" w:eastAsia="黑体" w:hAnsi="Times New Roman" w:hint="eastAsia"/>
          <w:color w:themeColor="text1" w:val="000000"/>
          <w:sz w:val="20"/>
          <w:szCs w:val="20"/>
          <w:highlight w:val="none"/>
          <w14:textFill>
            <w14:solidFill>
              <w14:schemeClr w14:val="tx1"/>
            </w14:solidFill>
          </w14:textFill>
        </w:rPr>
        <w:t>信银</w:t>
      </w:r>
      <w:r>
        <w:rPr>
          <w:rFonts w:ascii="黑体" w:cs="黑体" w:eastAsia="黑体" w:hAnsi="Times New Roman"/>
          <w:color w:themeColor="text1" w:val="000000"/>
          <w:sz w:val="20"/>
          <w:szCs w:val="20"/>
          <w:highlight w:val="none"/>
          <w14:textFill>
            <w14:solidFill>
              <w14:schemeClr w14:val="tx1"/>
            </w14:solidFill>
          </w14:textFill>
        </w:rPr>
        <w:t>理财理财产品风险揭示书》</w:t>
      </w:r>
      <w:r>
        <w:rPr>
          <w:rFonts w:ascii="黑体" w:cs="黑体" w:eastAsia="黑体" w:hAnsi="Times New Roman" w:hint="eastAsia"/>
          <w:color w:themeColor="text1" w:val="000000"/>
          <w:sz w:val="20"/>
          <w:szCs w:val="20"/>
          <w:highlight w:val="none"/>
          <w14:textFill>
            <w14:solidFill>
              <w14:schemeClr w14:val="tx1"/>
            </w14:solidFill>
          </w14:textFill>
        </w:rPr>
        <w:t>、《信银理财理财产品投资协议书》</w:t>
      </w:r>
      <w:r>
        <w:rPr>
          <w:rFonts w:ascii="黑体" w:cs="黑体" w:eastAsia="黑体" w:hAnsi="Times New Roman"/>
          <w:color w:themeColor="text1" w:val="000000"/>
          <w:sz w:val="20"/>
          <w:szCs w:val="20"/>
          <w:highlight w:val="none"/>
          <w14:textFill>
            <w14:solidFill>
              <w14:schemeClr w14:val="tx1"/>
            </w14:solidFill>
          </w14:textFill>
        </w:rPr>
        <w:t>与《信银理财理财产品销售总协议》（含附件：客户权益须知专页）（或合作销售机构向投资者提供的理财产品销售协议文本）</w:t>
      </w:r>
      <w:r>
        <w:rPr>
          <w:rFonts w:ascii="黑体" w:cs="黑体" w:eastAsia="黑体" w:hAnsi="Times New Roman" w:hint="eastAsia"/>
          <w:color w:themeColor="text1" w:val="000000"/>
          <w:sz w:val="20"/>
          <w:szCs w:val="20"/>
          <w:highlight w:val="none"/>
          <w14:textFill>
            <w14:solidFill>
              <w14:schemeClr w14:val="tx1"/>
            </w14:solidFill>
          </w14:textFill>
        </w:rPr>
        <w:t>等文件及其不时有效修订与补充</w:t>
      </w:r>
      <w:r>
        <w:rPr>
          <w:rFonts w:ascii="黑体" w:cs="黑体" w:eastAsia="黑体" w:hAnsi="Times New Roman"/>
          <w:color w:themeColor="text1" w:val="000000"/>
          <w:sz w:val="20"/>
          <w:szCs w:val="20"/>
          <w:highlight w:val="none"/>
          <w14:textFill>
            <w14:solidFill>
              <w14:schemeClr w14:val="tx1"/>
            </w14:solidFill>
          </w14:textFill>
        </w:rPr>
        <w:t>共同构成</w:t>
      </w:r>
      <w:r>
        <w:rPr>
          <w:rFonts w:ascii="黑体" w:cs="黑体" w:eastAsia="黑体" w:hAnsi="Times New Roman" w:hint="eastAsia"/>
          <w:color w:themeColor="text1" w:val="000000"/>
          <w:sz w:val="20"/>
          <w:szCs w:val="20"/>
          <w:highlight w:val="none"/>
          <w14:textFill>
            <w14:solidFill>
              <w14:schemeClr w14:val="tx1"/>
            </w14:solidFill>
          </w14:textFill>
        </w:rPr>
        <w:t>理财产品销售文件</w:t>
      </w:r>
      <w:r>
        <w:rPr>
          <w:rFonts w:ascii="黑体" w:cs="黑体" w:eastAsia="黑体" w:hAnsi="Times New Roman"/>
          <w:color w:themeColor="text1" w:val="000000"/>
          <w:sz w:val="20"/>
          <w:szCs w:val="20"/>
          <w:highlight w:val="none"/>
          <w14:textFill>
            <w14:solidFill>
              <w14:schemeClr w14:val="tx1"/>
            </w14:solidFill>
          </w14:textFill>
        </w:rPr>
        <w:t>。</w:t>
      </w:r>
    </w:p>
    <w:p w14:paraId="3297E997">
      <w:pPr>
        <w:snapToGrid w:val="0"/>
        <w:ind w:firstLine="400" w:firstLineChars="200"/>
        <w:jc w:val="both"/>
        <w:rPr>
          <w:color w:themeColor="text1" w:val="00000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t>3</w:t>
      </w:r>
      <w:r>
        <w:rPr>
          <w:rFonts w:ascii="黑体" w:cs="黑体" w:eastAsia="黑体" w:hAnsi="Times New Roman" w:hint="eastAsia"/>
          <w:color w:themeColor="text1" w:val="000000"/>
          <w:sz w:val="20"/>
          <w:szCs w:val="20"/>
          <w:highlight w:val="none"/>
          <w14:textFill>
            <w14:solidFill>
              <w14:schemeClr w14:val="tx1"/>
            </w14:solidFill>
          </w14:textFill>
        </w:rPr>
        <w:t>．本理财产品不等同于银行存款。</w:t>
      </w:r>
    </w:p>
    <w:p w14:paraId="56DCE517">
      <w:pPr>
        <w:snapToGrid w:val="0"/>
        <w:ind w:firstLine="400" w:firstLineChars="200"/>
        <w:jc w:val="both"/>
        <w:rPr>
          <w:color w:themeColor="text1" w:val="00000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t>4</w:t>
      </w:r>
      <w:r>
        <w:rPr>
          <w:rFonts w:ascii="黑体" w:cs="黑体" w:eastAsia="黑体" w:hAnsi="Times New Roman" w:hint="eastAsia"/>
          <w:color w:themeColor="text1" w:val="000000"/>
          <w:sz w:val="20"/>
          <w:szCs w:val="20"/>
          <w:highlight w:val="none"/>
          <w14:textFill>
            <w14:solidFill>
              <w14:schemeClr w14:val="tx1"/>
            </w14:solidFill>
          </w14:textFill>
        </w:rPr>
        <w:t>．在购买本理财产品前，请投资者确保完全明白本理财产品的性质、其中涉及的风险以及投资者的自身情况。投资者若对本产品说明书的内容有任何疑问，请向信银理财或代销</w:t>
      </w:r>
      <w:r>
        <w:rPr>
          <w:rFonts w:ascii="黑体" w:cs="黑体" w:eastAsia="黑体" w:hAnsi="Times New Roman"/>
          <w:color w:themeColor="text1" w:val="000000"/>
          <w:sz w:val="20"/>
          <w:szCs w:val="20"/>
          <w:highlight w:val="none"/>
          <w14:textFill>
            <w14:solidFill>
              <w14:schemeClr w14:val="tx1"/>
            </w14:solidFill>
          </w14:textFill>
        </w:rPr>
        <w:t>机构</w:t>
      </w:r>
      <w:r>
        <w:rPr>
          <w:rFonts w:ascii="黑体" w:cs="黑体" w:eastAsia="黑体" w:hAnsi="Times New Roman" w:hint="eastAsia"/>
          <w:color w:themeColor="text1" w:val="000000"/>
          <w:sz w:val="20"/>
          <w:szCs w:val="20"/>
          <w:highlight w:val="none"/>
          <w14:textFill>
            <w14:solidFill>
              <w14:schemeClr w14:val="tx1"/>
            </w14:solidFill>
          </w14:textFill>
        </w:rPr>
        <w:t>各营业场所或营业</w:t>
      </w:r>
      <w:r>
        <w:rPr>
          <w:rFonts w:ascii="黑体" w:cs="黑体" w:eastAsia="黑体" w:hAnsi="Times New Roman"/>
          <w:color w:themeColor="text1" w:val="000000"/>
          <w:sz w:val="20"/>
          <w:szCs w:val="20"/>
          <w:highlight w:val="none"/>
          <w14:textFill>
            <w14:solidFill>
              <w14:schemeClr w14:val="tx1"/>
            </w14:solidFill>
          </w14:textFill>
        </w:rPr>
        <w:t>网点</w:t>
      </w:r>
      <w:r>
        <w:rPr>
          <w:rFonts w:ascii="黑体" w:cs="黑体" w:eastAsia="黑体" w:hAnsi="Times New Roman" w:hint="eastAsia"/>
          <w:color w:themeColor="text1" w:val="000000"/>
          <w:sz w:val="20"/>
          <w:szCs w:val="20"/>
          <w:highlight w:val="none"/>
          <w14:textFill>
            <w14:solidFill>
              <w14:schemeClr w14:val="tx1"/>
            </w14:solidFill>
          </w14:textFill>
        </w:rPr>
        <w:t>咨询。</w:t>
      </w:r>
    </w:p>
    <w:p w14:paraId="422532DF">
      <w:pPr>
        <w:snapToGrid w:val="0"/>
        <w:ind w:firstLine="400" w:firstLineChars="200"/>
        <w:jc w:val="both"/>
        <w:rPr>
          <w:color w:themeColor="text1" w:val="00000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t>5</w:t>
      </w:r>
      <w:r>
        <w:rPr>
          <w:rFonts w:ascii="黑体" w:cs="黑体" w:eastAsia="黑体" w:hAnsi="Times New Roman" w:hint="eastAsia"/>
          <w:color w:themeColor="text1" w:val="000000"/>
          <w:sz w:val="20"/>
          <w:szCs w:val="20"/>
          <w:highlight w:val="none"/>
          <w14:textFill>
            <w14:solidFill>
              <w14:schemeClr w14:val="tx1"/>
            </w14:solidFill>
          </w14:textFill>
        </w:rPr>
        <w:t>．除本产品说明书中明确规定的收益及收益分配方式外，任何预期收益、预计收益、测算收益或类似表述均属不具有法律约束力的用语，不代表投资者可能获得的实际收益，亦不构成信银理财对本理财产品的任何收益承诺。投资者所能获得的最终收益以信银理财实际支付的为准，且不超过按照本产品期末总净值计算得出的收益。</w:t>
      </w:r>
    </w:p>
    <w:p w14:paraId="7AF58C98">
      <w:pPr>
        <w:snapToGrid w:val="0"/>
        <w:ind w:firstLine="402" w:firstLineChars="200"/>
        <w:jc w:val="both"/>
        <w:rPr>
          <w:b/>
          <w:color w:themeColor="text1" w:val="000000"/>
          <w:highlight w:val="none"/>
          <w14:textFill>
            <w14:solidFill>
              <w14:schemeClr w14:val="tx1"/>
            </w14:solidFill>
          </w14:textFill>
        </w:rPr>
      </w:pPr>
      <w:r>
        <w:rPr>
          <w:rFonts w:ascii="黑体" w:cs="黑体" w:eastAsia="黑体" w:hAnsi="Times New Roman"/>
          <w:b/>
          <w:color w:themeColor="text1" w:val="000000"/>
          <w:sz w:val="20"/>
          <w:szCs w:val="20"/>
          <w:highlight w:val="none"/>
          <w14:textFill>
            <w14:solidFill>
              <w14:schemeClr w14:val="tx1"/>
            </w14:solidFill>
          </w14:textFill>
        </w:rPr>
        <w:t>6</w:t>
      </w:r>
      <w:r>
        <w:rPr>
          <w:rFonts w:ascii="黑体" w:cs="黑体" w:eastAsia="黑体" w:hAnsi="Times New Roman" w:hint="eastAsia"/>
          <w:b/>
          <w:color w:themeColor="text1" w:val="000000"/>
          <w:sz w:val="20"/>
          <w:szCs w:val="20"/>
          <w:highlight w:val="none"/>
          <w14:textFill>
            <w14:solidFill>
              <w14:schemeClr w14:val="tx1"/>
            </w14:solidFill>
          </w14:textFill>
        </w:rPr>
        <w:t>．本理财产品不保障理财本金和收益，投资者所能获得的最终收益以理财产品最终清算的投资者可得收益为准。产品过往业绩不代表其未来表现，不构成新发理财产品业绩表现的保证。</w:t>
      </w:r>
    </w:p>
    <w:p w14:paraId="76901DA7">
      <w:pPr>
        <w:snapToGrid w:val="0"/>
        <w:ind w:firstLine="400" w:firstLineChars="200"/>
        <w:jc w:val="both"/>
        <w:rPr>
          <w:color w:themeColor="text1" w:val="000000"/>
          <w:highlight w:val="none"/>
          <w14:textFill>
            <w14:solidFill>
              <w14:schemeClr w14:val="tx1"/>
            </w14:solidFill>
          </w14:textFill>
        </w:rPr>
      </w:pPr>
      <w:r>
        <w:rPr>
          <w:rFonts w:ascii="黑体" w:eastAsia="黑体" w:hAnsi="Times New Roman"/>
          <w:color w:themeColor="text1" w:val="000000"/>
          <w:sz w:val="20"/>
          <w:szCs w:val="20"/>
          <w:highlight w:val="none"/>
          <w14:textFill>
            <w14:solidFill>
              <w14:schemeClr w14:val="tx1"/>
            </w14:solidFill>
          </w14:textFill>
        </w:rPr>
        <w:t> </w:t>
      </w:r>
    </w:p>
    <w:p w14:paraId="25097462">
      <w:pPr>
        <w:snapToGrid w:val="0"/>
        <w:ind w:firstLine="200"/>
        <w:jc w:val="both"/>
        <w:rPr>
          <w:b/>
          <w:color w:themeColor="text1" w:val="000000"/>
          <w:highlight w:val="none"/>
          <w14:textFill>
            <w14:solidFill>
              <w14:schemeClr w14:val="tx1"/>
            </w14:solidFill>
          </w14:textFill>
        </w:rPr>
      </w:pPr>
      <w:r>
        <w:rPr>
          <w:rFonts w:ascii="黑体" w:cs="黑体" w:eastAsia="黑体" w:hAnsi="Times New Roman" w:hint="eastAsia"/>
          <w:b/>
          <w:bCs/>
          <w:color w:themeColor="text1" w:val="000000"/>
          <w:sz w:val="20"/>
          <w:szCs w:val="20"/>
          <w:highlight w:val="none"/>
          <w14:textFill>
            <w14:solidFill>
              <w14:schemeClr w14:val="tx1"/>
            </w14:solidFill>
          </w14:textFill>
        </w:rPr>
        <w:t>风险提示：</w:t>
      </w:r>
    </w:p>
    <w:p w14:paraId="7B53214D">
      <w:pPr>
        <w:snapToGrid w:val="0"/>
        <w:ind w:firstLine="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本产品不保证本金和收益，投资者的本金有可能蒙受损失，极端情况下，可能全部或部分受损。投资者应充分认识投资风险，谨慎投资。具体风险如下：</w:t>
      </w:r>
    </w:p>
    <w:p w14:paraId="4583C248">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1．信用风险：本产品收益来源于产品项下投资对象的回报。如果投资对象发生信用违约事件，在此情况下，本产品收益将根据基于其偿还比率测算出的投资资产价格予以确定，同时，本产品将保留向发生违约事件的发行主体或融资主体的追索权利，信银理财有权以产品管理人名义代表投资者利益行使诉讼权利或实施其他法律行为，若这些权利在未来得以实现，在扣除相关费用后，将继续向投资者进行清偿。</w:t>
      </w:r>
    </w:p>
    <w:p w14:paraId="2900DAC3">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2．市场风险：由于金融市场存在波动性，投资者投资本产品将承担一定投资资产市值下跌的市场风险，包括但不限于投资债券面临的利率变化及债券价格波动带来的风险，投资股票面临的股票价格波动带来的风险，投资商品及金融衍生品面临的持仓风险等。产品投资涉及外币资产时，存在汇率波动带来的风险。</w:t>
      </w:r>
    </w:p>
    <w:p w14:paraId="5D91A15F">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3．流动性风险：投资者不能随时提前终止本产品，在本产品存续期内，投资者不得赎回，可能导致投资者在需要资金时无法随时变现，并可能导致投资者丧失其他投资机会。为应对流动性风险，保护投资者利益，管理人可以综合运用以下理财产品认购风险应对措施，包括：设定单一投资者认购金额上限、设定理财产品单日净认购比例上限、拒绝大额认购、暂停认购，以及国务院银行业监督管理机构规定的其他措施。</w:t>
      </w:r>
    </w:p>
    <w:p w14:paraId="0A210A9B">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4．提前终止风险：如发生提前终止条款约定情形，可能导致本产品提前终止。</w:t>
      </w:r>
      <w:r>
        <w:rPr>
          <w:rFonts w:ascii="黑体" w:eastAsia="黑体" w:hint="eastAsia"/>
          <w:b/>
          <w:color w:themeColor="text1" w:val="000000"/>
          <w:sz w:val="20"/>
          <w:szCs w:val="20"/>
          <w:highlight w:val="none"/>
          <w14:textFill>
            <w14:solidFill>
              <w14:schemeClr w14:val="tx1"/>
            </w14:solidFill>
          </w14:textFill>
        </w:rPr>
        <w:t>如本理财产品提前终止，则投资者实际理财投资期可能小于预定期限。</w:t>
      </w:r>
    </w:p>
    <w:p w14:paraId="46F34613">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5．政策风险：本产品是根据当前的相关法律法规和国家政策设计的，如国家政策以及相关法律法规等发生变化，可能影响本产品的投资、兑付等环节的正常进行，从而可能对本产品造成重大影响，导致投资收益降低或无法取得任何收益，甚至导致投资本金部分或全部损失。</w:t>
      </w:r>
    </w:p>
    <w:p w14:paraId="15EA8822">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6．</w:t>
      </w:r>
      <w:r>
        <w:rPr>
          <w:rFonts w:ascii="黑体" w:eastAsia="黑体" w:hAnsi="Times New Roman" w:hint="eastAsia"/>
          <w:b/>
          <w:color w:themeColor="text1" w:val="000000"/>
          <w:sz w:val="20"/>
          <w:szCs w:val="20"/>
          <w:highlight w:val="none"/>
          <w14:textFill>
            <w14:solidFill>
              <w14:schemeClr w14:val="tx1"/>
            </w14:solidFill>
          </w14:textFill>
        </w:rPr>
        <w:t>信息传递风险：投资者应根据本产品说明书载明的信息披露方式及时查询相关信息。信银理财按照法律法规、监管规定要求及本产品说明书有关信息披露条款的约定，向投资者发布理财产品信息，投资者应根据信息披露条款的约定及时到本说明书约定的发布信息的渠道查询，以获知有关本理财产品相关信息。</w:t>
      </w:r>
      <w:r>
        <w:rPr>
          <w:rFonts w:ascii="黑体" w:eastAsia="黑体" w:hint="eastAsia"/>
          <w:b/>
          <w:color w:themeColor="text1" w:val="000000"/>
          <w:sz w:val="20"/>
          <w:szCs w:val="20"/>
          <w:highlight w:val="none"/>
          <w14:textFill>
            <w14:solidFill>
              <w14:schemeClr w14:val="tx1"/>
            </w14:solidFill>
          </w14:textFill>
        </w:rPr>
        <w:t>如果投资者未及时查询，或由于通讯故障、系统故障以及其他不可抗力等因素的影响使得投资者无法及时了解产品信息，因此而产生的责任和风险由投资者自行承担。另外，投资者预留在信银理财或</w:t>
      </w:r>
      <w:r>
        <w:rPr>
          <w:rFonts w:ascii="黑体" w:eastAsia="黑体"/>
          <w:b/>
          <w:color w:themeColor="text1" w:val="000000"/>
          <w:sz w:val="20"/>
          <w:szCs w:val="20"/>
          <w:highlight w:val="none"/>
          <w14:textFill>
            <w14:solidFill>
              <w14:schemeClr w14:val="tx1"/>
            </w14:solidFill>
          </w14:textFill>
        </w:rPr>
        <w:t>代销机构</w:t>
      </w:r>
      <w:r>
        <w:rPr>
          <w:rFonts w:ascii="黑体" w:eastAsia="黑体" w:hint="eastAsia"/>
          <w:b/>
          <w:color w:themeColor="text1" w:val="000000"/>
          <w:sz w:val="20"/>
          <w:szCs w:val="20"/>
          <w:highlight w:val="none"/>
          <w14:textFill>
            <w14:solidFill>
              <w14:schemeClr w14:val="tx1"/>
            </w14:solidFill>
          </w14:textFill>
        </w:rPr>
        <w:t>的有效联系方式变更的，应及时通知信银理财或</w:t>
      </w:r>
      <w:r>
        <w:rPr>
          <w:rFonts w:ascii="黑体" w:eastAsia="黑体"/>
          <w:b/>
          <w:color w:themeColor="text1" w:val="000000"/>
          <w:sz w:val="20"/>
          <w:szCs w:val="20"/>
          <w:highlight w:val="none"/>
          <w14:textFill>
            <w14:solidFill>
              <w14:schemeClr w14:val="tx1"/>
            </w14:solidFill>
          </w14:textFill>
        </w:rPr>
        <w:t>代销机构</w:t>
      </w:r>
      <w:r>
        <w:rPr>
          <w:rFonts w:ascii="黑体" w:eastAsia="黑体" w:hint="eastAsia"/>
          <w:b/>
          <w:color w:themeColor="text1" w:val="000000"/>
          <w:sz w:val="20"/>
          <w:szCs w:val="20"/>
          <w:highlight w:val="none"/>
          <w14:textFill>
            <w14:solidFill>
              <w14:schemeClr w14:val="tx1"/>
            </w14:solidFill>
          </w14:textFill>
        </w:rPr>
        <w:t>。如投资者未及时告知信银理财或</w:t>
      </w:r>
      <w:r>
        <w:rPr>
          <w:rFonts w:ascii="黑体" w:eastAsia="黑体"/>
          <w:b/>
          <w:color w:themeColor="text1" w:val="000000"/>
          <w:sz w:val="20"/>
          <w:szCs w:val="20"/>
          <w:highlight w:val="none"/>
          <w14:textFill>
            <w14:solidFill>
              <w14:schemeClr w14:val="tx1"/>
            </w14:solidFill>
          </w14:textFill>
        </w:rPr>
        <w:t>代销机构</w:t>
      </w:r>
      <w:r>
        <w:rPr>
          <w:rFonts w:ascii="黑体" w:eastAsia="黑体" w:hint="eastAsia"/>
          <w:b/>
          <w:color w:themeColor="text1" w:val="000000"/>
          <w:sz w:val="20"/>
          <w:szCs w:val="20"/>
          <w:highlight w:val="none"/>
          <w14:textFill>
            <w14:solidFill>
              <w14:schemeClr w14:val="tx1"/>
            </w14:solidFill>
          </w14:textFill>
        </w:rPr>
        <w:t>联系方式变更的，或因投资者其他原因导致信银理财或</w:t>
      </w:r>
      <w:r>
        <w:rPr>
          <w:rFonts w:ascii="黑体" w:eastAsia="黑体"/>
          <w:b/>
          <w:color w:themeColor="text1" w:val="000000"/>
          <w:sz w:val="20"/>
          <w:szCs w:val="20"/>
          <w:highlight w:val="none"/>
          <w14:textFill>
            <w14:solidFill>
              <w14:schemeClr w14:val="tx1"/>
            </w14:solidFill>
          </w14:textFill>
        </w:rPr>
        <w:t>代销机构</w:t>
      </w:r>
      <w:r>
        <w:rPr>
          <w:rFonts w:ascii="黑体" w:eastAsia="黑体" w:hint="eastAsia"/>
          <w:b/>
          <w:color w:themeColor="text1" w:val="000000"/>
          <w:sz w:val="20"/>
          <w:szCs w:val="20"/>
          <w:highlight w:val="none"/>
          <w14:textFill>
            <w14:solidFill>
              <w14:schemeClr w14:val="tx1"/>
            </w14:solidFill>
          </w14:textFill>
        </w:rPr>
        <w:t>在其需联系时无法及时联系上投资者，可能会由此影响投资者的投资决策，由此而产生的责任和风险由投资者自行承担。</w:t>
      </w:r>
    </w:p>
    <w:p w14:paraId="4B65DE19">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7．管理风险：由于产品管理人、所投资资管产品的受托人/管理人、投资顾问等受经验、技能等因素的限制，可能会影响本理财产品的管理，导致本产品项下的理财收益降低。</w:t>
      </w:r>
    </w:p>
    <w:p w14:paraId="288DB26D">
      <w:pPr>
        <w:snapToGrid w:val="0"/>
        <w:ind w:firstLine="402" w:firstLineChars="200"/>
        <w:jc w:val="both"/>
        <w:rPr>
          <w:rFonts w:ascii="黑体" w:eastAsia="黑体"/>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8．延期清算风险：</w:t>
      </w:r>
      <w:r>
        <w:rPr>
          <w:rFonts w:ascii="黑体" w:eastAsia="黑体" w:hint="eastAsia"/>
          <w:b/>
          <w:color w:themeColor="text1" w:val="000000"/>
          <w:sz w:val="20"/>
          <w:szCs w:val="20"/>
          <w:highlight w:val="none"/>
          <w14:textFill>
            <w14:solidFill>
              <w14:schemeClr w14:val="tx1"/>
            </w14:solidFill>
          </w14:textFill>
        </w:rPr>
        <w:t>如在产品到期时本产品所投资资产市场流动性不足或受限导致未能正常买卖结算，或投资资产正常到期发行人或融资主体未能及时偿付本息，从而导致所投资工具不能全部变现，则本产品存在延期清算的风险。</w:t>
      </w:r>
    </w:p>
    <w:p w14:paraId="5E6D0C61">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eastAsia="黑体"/>
          <w:b/>
          <w:color w:themeColor="text1" w:val="000000"/>
          <w:sz w:val="20"/>
          <w:szCs w:val="20"/>
          <w:highlight w:val="none"/>
          <w14:textFill>
            <w14:solidFill>
              <w14:schemeClr w14:val="tx1"/>
            </w14:solidFill>
          </w14:textFill>
        </w:rPr>
        <w:t>9</w:t>
      </w:r>
      <w:r>
        <w:rPr>
          <w:rFonts w:ascii="黑体" w:eastAsia="黑体" w:hint="eastAsia"/>
          <w:b/>
          <w:color w:themeColor="text1" w:val="000000"/>
          <w:sz w:val="20"/>
          <w:szCs w:val="20"/>
          <w:highlight w:val="none"/>
          <w14:textFill>
            <w14:solidFill>
              <w14:schemeClr w14:val="tx1"/>
            </w14:solidFill>
          </w14:textFill>
        </w:rPr>
        <w:t>．</w:t>
      </w:r>
      <w:r>
        <w:rPr>
          <w:rFonts w:ascii="黑体" w:eastAsia="黑体"/>
          <w:b/>
          <w:color w:themeColor="text1" w:val="000000"/>
          <w:sz w:val="20"/>
          <w:szCs w:val="20"/>
          <w:highlight w:val="none"/>
          <w14:textFill>
            <w14:solidFill>
              <w14:schemeClr w14:val="tx1"/>
            </w14:solidFill>
          </w14:textFill>
        </w:rPr>
        <w:t>理财产品不成立风险：如发生理财产品不成立条款约定之情形，信银理财有权通知</w:t>
      </w:r>
      <w:r>
        <w:rPr>
          <w:rFonts w:ascii="黑体" w:eastAsia="黑体" w:hint="eastAsia"/>
          <w:b/>
          <w:color w:themeColor="text1" w:val="000000"/>
          <w:sz w:val="20"/>
          <w:szCs w:val="20"/>
          <w:highlight w:val="none"/>
          <w14:textFill>
            <w14:solidFill>
              <w14:schemeClr w14:val="tx1"/>
            </w14:solidFill>
          </w14:textFill>
        </w:rPr>
        <w:t>（或</w:t>
      </w:r>
      <w:r>
        <w:rPr>
          <w:rFonts w:ascii="黑体" w:eastAsia="黑体"/>
          <w:b/>
          <w:color w:themeColor="text1" w:val="000000"/>
          <w:sz w:val="20"/>
          <w:szCs w:val="20"/>
          <w:highlight w:val="none"/>
          <w14:textFill>
            <w14:solidFill>
              <w14:schemeClr w14:val="tx1"/>
            </w14:solidFill>
          </w14:textFill>
        </w:rPr>
        <w:t>通过代销机构通知）投资者产品不成立。</w:t>
      </w:r>
    </w:p>
    <w:p w14:paraId="57F91A89">
      <w:pPr>
        <w:snapToGrid w:val="0"/>
        <w:ind w:firstLine="402" w:firstLineChars="200"/>
        <w:jc w:val="both"/>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10．不可抗力及意外事件风险：由于自然灾害、战争等不可抗力因素的出现或系统故障、通讯故障、投资市场停止交易</w:t>
      </w:r>
      <w:r>
        <w:rPr>
          <w:rFonts w:ascii="黑体" w:cs="黑体" w:eastAsia="黑体" w:hAnsi="Times New Roman" w:hint="eastAsia"/>
          <w:b/>
          <w:color w:themeColor="text1" w:val="000000"/>
          <w:sz w:val="20"/>
          <w:szCs w:val="20"/>
          <w:highlight w:val="none"/>
          <w:lang w:eastAsia="zh-CN"/>
          <w14:textFill>
            <w14:solidFill>
              <w14:schemeClr w14:val="tx1"/>
            </w14:solidFill>
          </w14:textFill>
        </w:rPr>
        <w:t>、</w:t>
      </w:r>
      <w:r>
        <w:rPr>
          <w:rFonts w:ascii="黑体" w:cs="黑体" w:eastAsia="黑体" w:hAnsi="Times New Roman" w:hint="eastAsia"/>
          <w:b/>
          <w:color w:themeColor="text1" w:val="000000"/>
          <w:sz w:val="20"/>
          <w:szCs w:val="20"/>
          <w:highlight w:val="none"/>
          <w14:textFill>
            <w14:solidFill>
              <w14:schemeClr w14:val="tx1"/>
            </w14:solidFill>
          </w14:textFill>
        </w:rPr>
        <w:t>金融市场危机等意外事件的出现，将严重影响金融市场的正常运行，从而导致本产品投资收益降低或损失，甚至影响本产品的成立、受理、投资、兑付、信息披露等的正常进行，进而影响本产品的资金安全。投资者将面临本金和收益遭受损失的风险。对于由不可抗力及意外事件风险导致的任何损失，投资者须自行承担，信银理财对此不承担任何责任，但因信银理财故意或重大过失造成的系统故障、通讯故障的除外。</w:t>
      </w:r>
    </w:p>
    <w:p w14:paraId="4281B1B8">
      <w:pPr>
        <w:snapToGrid w:val="0"/>
        <w:ind w:firstLine="402" w:firstLineChars="200"/>
        <w:jc w:val="both"/>
        <w:rPr>
          <w:rFonts w:ascii="黑体" w:eastAsia="黑体" w:hAnsi="黑体"/>
          <w:b/>
          <w:color w:themeColor="text1" w:val="000000"/>
          <w:sz w:val="20"/>
          <w:szCs w:val="20"/>
          <w:highlight w:val="none"/>
          <w14:textFill>
            <w14:solidFill>
              <w14:schemeClr w14:val="tx1"/>
            </w14:solidFill>
          </w14:textFill>
        </w:rPr>
      </w:pPr>
      <w:r>
        <w:rPr>
          <w:rFonts w:ascii="黑体" w:eastAsia="黑体" w:hAnsi="黑体"/>
          <w:b/>
          <w:color w:themeColor="text1" w:val="000000"/>
          <w:sz w:val="20"/>
          <w:szCs w:val="20"/>
          <w:highlight w:val="none"/>
          <w14:textFill>
            <w14:solidFill>
              <w14:schemeClr w14:val="tx1"/>
            </w14:solidFill>
          </w14:textFill>
        </w:rPr>
        <w:t>1</w:t>
      </w:r>
      <w:r>
        <w:rPr>
          <w:rFonts w:ascii="黑体" w:eastAsia="黑体" w:hAnsi="黑体" w:hint="eastAsia"/>
          <w:b/>
          <w:color w:themeColor="text1" w:val="000000"/>
          <w:sz w:val="20"/>
          <w:szCs w:val="20"/>
          <w:highlight w:val="none"/>
          <w:lang w:eastAsia="zh-CN" w:val="en-US"/>
          <w14:textFill>
            <w14:solidFill>
              <w14:schemeClr w14:val="tx1"/>
            </w14:solidFill>
          </w14:textFill>
        </w:rPr>
        <w:t>1</w:t>
      </w:r>
      <w:r>
        <w:rPr>
          <w:rFonts w:ascii="黑体" w:eastAsia="黑体" w:hAnsi="黑体" w:hint="eastAsia"/>
          <w:b/>
          <w:color w:themeColor="text1" w:val="000000"/>
          <w:sz w:val="20"/>
          <w:szCs w:val="20"/>
          <w:highlight w:val="none"/>
          <w14:textFill>
            <w14:solidFill>
              <w14:schemeClr w14:val="tx1"/>
            </w14:solidFill>
          </w14:textFill>
        </w:rPr>
        <w:t>．</w:t>
      </w:r>
      <w:r>
        <w:rPr>
          <w:rFonts w:ascii="黑体" w:eastAsia="黑体" w:hAnsi="黑体"/>
          <w:b/>
          <w:color w:themeColor="text1" w:val="000000"/>
          <w:sz w:val="20"/>
          <w:szCs w:val="20"/>
          <w:highlight w:val="none"/>
          <w14:textFill>
            <w14:solidFill>
              <w14:schemeClr w14:val="tx1"/>
            </w14:solidFill>
          </w14:textFill>
        </w:rPr>
        <w:t>合作销售机构</w:t>
      </w:r>
      <w:r>
        <w:rPr>
          <w:rFonts w:ascii="黑体" w:eastAsia="黑体" w:hAnsi="黑体" w:hint="eastAsia"/>
          <w:b/>
          <w:color w:themeColor="text1" w:val="000000"/>
          <w:sz w:val="20"/>
          <w:szCs w:val="20"/>
          <w:highlight w:val="none"/>
          <w14:textFill>
            <w14:solidFill>
              <w14:schemeClr w14:val="tx1"/>
            </w14:solidFill>
          </w14:textFill>
        </w:rPr>
        <w:t>（代销</w:t>
      </w:r>
      <w:r>
        <w:rPr>
          <w:rFonts w:ascii="黑体" w:eastAsia="黑体" w:hAnsi="黑体"/>
          <w:b/>
          <w:color w:themeColor="text1" w:val="000000"/>
          <w:sz w:val="20"/>
          <w:szCs w:val="20"/>
          <w:highlight w:val="none"/>
          <w14:textFill>
            <w14:solidFill>
              <w14:schemeClr w14:val="tx1"/>
            </w14:solidFill>
          </w14:textFill>
        </w:rPr>
        <w:t>机构）风险：投资者</w:t>
      </w:r>
      <w:r>
        <w:rPr>
          <w:rFonts w:ascii="黑体" w:eastAsia="黑体" w:hAnsi="黑体" w:hint="eastAsia"/>
          <w:b/>
          <w:color w:themeColor="text1" w:val="000000"/>
          <w:sz w:val="20"/>
          <w:szCs w:val="20"/>
          <w:highlight w:val="none"/>
          <w14:textFill>
            <w14:solidFill>
              <w14:schemeClr w14:val="tx1"/>
            </w14:solidFill>
          </w14:textFill>
        </w:rPr>
        <w:t>通过</w:t>
      </w:r>
      <w:r>
        <w:rPr>
          <w:rFonts w:ascii="黑体" w:eastAsia="黑体" w:hAnsi="黑体"/>
          <w:b/>
          <w:color w:themeColor="text1" w:val="000000"/>
          <w:sz w:val="20"/>
          <w:szCs w:val="20"/>
          <w:highlight w:val="none"/>
          <w14:textFill>
            <w14:solidFill>
              <w14:schemeClr w14:val="tx1"/>
            </w14:solidFill>
          </w14:textFill>
        </w:rPr>
        <w:t>合作销售机构购买本理财产品</w:t>
      </w:r>
      <w:r>
        <w:rPr>
          <w:rFonts w:ascii="黑体" w:eastAsia="黑体" w:hAnsi="黑体" w:hint="eastAsia"/>
          <w:b/>
          <w:color w:themeColor="text1" w:val="000000"/>
          <w:sz w:val="20"/>
          <w:szCs w:val="20"/>
          <w:highlight w:val="none"/>
          <w14:textFill>
            <w14:solidFill>
              <w14:schemeClr w14:val="tx1"/>
            </w14:solidFill>
          </w14:textFill>
        </w:rPr>
        <w:t>的</w:t>
      </w:r>
      <w:r>
        <w:rPr>
          <w:rFonts w:ascii="黑体" w:eastAsia="黑体" w:hAnsi="黑体"/>
          <w:b/>
          <w:color w:themeColor="text1" w:val="000000"/>
          <w:sz w:val="20"/>
          <w:szCs w:val="20"/>
          <w:highlight w:val="none"/>
          <w14:textFill>
            <w14:solidFill>
              <w14:schemeClr w14:val="tx1"/>
            </w14:solidFill>
          </w14:textFill>
        </w:rPr>
        <w:t>，资金清算将通过合作销售机构进行</w:t>
      </w:r>
      <w:r>
        <w:rPr>
          <w:rFonts w:ascii="黑体" w:eastAsia="黑体" w:hAnsi="黑体" w:hint="eastAsia"/>
          <w:b/>
          <w:color w:themeColor="text1" w:val="000000"/>
          <w:sz w:val="20"/>
          <w:szCs w:val="20"/>
          <w:highlight w:val="none"/>
          <w14:textFill>
            <w14:solidFill>
              <w14:schemeClr w14:val="tx1"/>
            </w14:solidFill>
          </w14:textFill>
        </w:rPr>
        <w:t>，</w:t>
      </w:r>
      <w:r>
        <w:rPr>
          <w:rFonts w:ascii="黑体" w:eastAsia="黑体" w:hAnsi="黑体"/>
          <w:b/>
          <w:color w:themeColor="text1" w:val="000000"/>
          <w:sz w:val="20"/>
          <w:szCs w:val="20"/>
          <w:highlight w:val="none"/>
          <w14:textFill>
            <w14:solidFill>
              <w14:schemeClr w14:val="tx1"/>
            </w14:solidFill>
          </w14:textFill>
        </w:rPr>
        <w:t>如因合作销售机构</w:t>
      </w:r>
      <w:r>
        <w:rPr>
          <w:rFonts w:ascii="黑体" w:eastAsia="黑体" w:hAnsi="黑体" w:hint="eastAsia"/>
          <w:b/>
          <w:color w:themeColor="text1" w:val="000000"/>
          <w:sz w:val="20"/>
          <w:szCs w:val="20"/>
          <w:highlight w:val="none"/>
          <w14:textFill>
            <w14:solidFill>
              <w14:schemeClr w14:val="tx1"/>
            </w14:solidFill>
          </w14:textFill>
        </w:rPr>
        <w:t>资金清算</w:t>
      </w:r>
      <w:r>
        <w:rPr>
          <w:rFonts w:ascii="黑体" w:eastAsia="黑体" w:hAnsi="黑体"/>
          <w:b/>
          <w:color w:themeColor="text1" w:val="000000"/>
          <w:sz w:val="20"/>
          <w:szCs w:val="20"/>
          <w:highlight w:val="none"/>
          <w14:textFill>
            <w14:solidFill>
              <w14:schemeClr w14:val="tx1"/>
            </w14:solidFill>
          </w14:textFill>
        </w:rPr>
        <w:t>账户余额不足或合作销售机构未及时办理资金清算或违背相关合作协议约定、处理事务不当等，可能导致</w:t>
      </w:r>
      <w:r>
        <w:rPr>
          <w:rFonts w:ascii="黑体" w:eastAsia="黑体" w:hAnsi="黑体" w:hint="eastAsia"/>
          <w:b/>
          <w:color w:themeColor="text1" w:val="000000"/>
          <w:sz w:val="20"/>
          <w:szCs w:val="20"/>
          <w:highlight w:val="none"/>
          <w14:textFill>
            <w14:solidFill>
              <w14:schemeClr w14:val="tx1"/>
            </w14:solidFill>
          </w14:textFill>
        </w:rPr>
        <w:t>投资者</w:t>
      </w:r>
      <w:r>
        <w:rPr>
          <w:rFonts w:ascii="黑体" w:eastAsia="黑体" w:hAnsi="黑体"/>
          <w:b/>
          <w:color w:themeColor="text1" w:val="000000"/>
          <w:sz w:val="20"/>
          <w:szCs w:val="20"/>
          <w:highlight w:val="none"/>
          <w14:textFill>
            <w14:solidFill>
              <w14:schemeClr w14:val="tx1"/>
            </w14:solidFill>
          </w14:textFill>
        </w:rPr>
        <w:t>认购失败或</w:t>
      </w:r>
      <w:r>
        <w:rPr>
          <w:rFonts w:ascii="黑体" w:eastAsia="黑体" w:hAnsi="黑体" w:hint="eastAsia"/>
          <w:b/>
          <w:color w:themeColor="text1" w:val="000000"/>
          <w:sz w:val="20"/>
          <w:szCs w:val="20"/>
          <w:highlight w:val="none"/>
          <w14:textFill>
            <w14:solidFill>
              <w14:schemeClr w14:val="tx1"/>
            </w14:solidFill>
          </w14:textFill>
        </w:rPr>
        <w:t>理财</w:t>
      </w:r>
      <w:r>
        <w:rPr>
          <w:rFonts w:ascii="黑体" w:eastAsia="黑体" w:hAnsi="黑体"/>
          <w:b/>
          <w:color w:themeColor="text1" w:val="000000"/>
          <w:sz w:val="20"/>
          <w:szCs w:val="20"/>
          <w:highlight w:val="none"/>
          <w14:textFill>
            <w14:solidFill>
              <w14:schemeClr w14:val="tx1"/>
            </w14:solidFill>
          </w14:textFill>
        </w:rPr>
        <w:t>资金遭受损失。</w:t>
      </w:r>
      <w:r>
        <w:rPr>
          <w:rFonts w:ascii="黑体" w:eastAsia="黑体" w:hAnsi="黑体" w:hint="eastAsia"/>
          <w:b/>
          <w:color w:themeColor="text1" w:val="000000"/>
          <w:sz w:val="20"/>
          <w:szCs w:val="20"/>
          <w:highlight w:val="none"/>
          <w14:textFill>
            <w14:solidFill>
              <w14:schemeClr w14:val="tx1"/>
            </w14:solidFill>
          </w14:textFill>
        </w:rPr>
        <w:t>在</w:t>
      </w:r>
      <w:r>
        <w:rPr>
          <w:rFonts w:ascii="黑体" w:eastAsia="黑体" w:hAnsi="黑体"/>
          <w:b/>
          <w:color w:themeColor="text1" w:val="000000"/>
          <w:sz w:val="20"/>
          <w:szCs w:val="20"/>
          <w:highlight w:val="none"/>
          <w14:textFill>
            <w14:solidFill>
              <w14:schemeClr w14:val="tx1"/>
            </w14:solidFill>
          </w14:textFill>
        </w:rPr>
        <w:t>认购时，如果投资者在合作销售机构的资金账户余额</w:t>
      </w:r>
      <w:r>
        <w:rPr>
          <w:rFonts w:ascii="黑体" w:eastAsia="黑体" w:hAnsi="黑体" w:hint="eastAsia"/>
          <w:b/>
          <w:color w:themeColor="text1" w:val="000000"/>
          <w:sz w:val="20"/>
          <w:szCs w:val="20"/>
          <w:highlight w:val="none"/>
          <w14:textFill>
            <w14:solidFill>
              <w14:schemeClr w14:val="tx1"/>
            </w14:solidFill>
          </w14:textFill>
        </w:rPr>
        <w:t>不足</w:t>
      </w:r>
      <w:r>
        <w:rPr>
          <w:rFonts w:ascii="黑体" w:eastAsia="黑体" w:hAnsi="黑体"/>
          <w:b/>
          <w:color w:themeColor="text1" w:val="000000"/>
          <w:sz w:val="20"/>
          <w:szCs w:val="20"/>
          <w:highlight w:val="none"/>
          <w14:textFill>
            <w14:solidFill>
              <w14:schemeClr w14:val="tx1"/>
            </w14:solidFill>
          </w14:textFill>
        </w:rPr>
        <w:t>，或合作销售机构</w:t>
      </w:r>
      <w:r>
        <w:rPr>
          <w:rFonts w:ascii="黑体" w:eastAsia="黑体" w:hAnsi="黑体" w:hint="eastAsia"/>
          <w:b/>
          <w:color w:themeColor="text1" w:val="000000"/>
          <w:sz w:val="20"/>
          <w:szCs w:val="20"/>
          <w:highlight w:val="none"/>
          <w14:textFill>
            <w14:solidFill>
              <w14:schemeClr w14:val="tx1"/>
            </w14:solidFill>
          </w14:textFill>
        </w:rPr>
        <w:t>未及时将投资者认购</w:t>
      </w:r>
      <w:r>
        <w:rPr>
          <w:rFonts w:ascii="黑体" w:eastAsia="黑体" w:hAnsi="黑体"/>
          <w:b/>
          <w:color w:themeColor="text1" w:val="000000"/>
          <w:sz w:val="20"/>
          <w:szCs w:val="20"/>
          <w:highlight w:val="none"/>
          <w14:textFill>
            <w14:solidFill>
              <w14:schemeClr w14:val="tx1"/>
            </w14:solidFill>
          </w14:textFill>
        </w:rPr>
        <w:t>资金划转至信银理财，将导致投资者无法完成认购，因此造成的损失信银理财不承担责任；在</w:t>
      </w:r>
      <w:r>
        <w:rPr>
          <w:rFonts w:ascii="黑体" w:eastAsia="黑体" w:hAnsi="黑体" w:hint="eastAsia"/>
          <w:b/>
          <w:color w:themeColor="text1" w:val="000000"/>
          <w:sz w:val="20"/>
          <w:szCs w:val="20"/>
          <w:highlight w:val="none"/>
          <w14:textFill>
            <w14:solidFill>
              <w14:schemeClr w14:val="tx1"/>
            </w14:solidFill>
          </w14:textFill>
        </w:rPr>
        <w:t>赎回和</w:t>
      </w:r>
      <w:r>
        <w:rPr>
          <w:rFonts w:ascii="黑体" w:eastAsia="黑体" w:hAnsi="黑体"/>
          <w:b/>
          <w:color w:themeColor="text1" w:val="000000"/>
          <w:sz w:val="20"/>
          <w:szCs w:val="20"/>
          <w:highlight w:val="none"/>
          <w14:textFill>
            <w14:solidFill>
              <w14:schemeClr w14:val="tx1"/>
            </w14:solidFill>
          </w14:textFill>
        </w:rPr>
        <w:t>到期时，信银理财将投资者应得资金划转至合作</w:t>
      </w:r>
      <w:r>
        <w:rPr>
          <w:rFonts w:ascii="黑体" w:eastAsia="黑体" w:hAnsi="黑体" w:hint="eastAsia"/>
          <w:b/>
          <w:color w:themeColor="text1" w:val="000000"/>
          <w:sz w:val="20"/>
          <w:szCs w:val="20"/>
          <w:highlight w:val="none"/>
          <w14:textFill>
            <w14:solidFill>
              <w14:schemeClr w14:val="tx1"/>
            </w14:solidFill>
          </w14:textFill>
        </w:rPr>
        <w:t>销售</w:t>
      </w:r>
      <w:r>
        <w:rPr>
          <w:rFonts w:ascii="黑体" w:eastAsia="黑体" w:hAnsi="黑体"/>
          <w:b/>
          <w:color w:themeColor="text1" w:val="000000"/>
          <w:sz w:val="20"/>
          <w:szCs w:val="20"/>
          <w:highlight w:val="none"/>
          <w14:textFill>
            <w14:solidFill>
              <w14:schemeClr w14:val="tx1"/>
            </w14:solidFill>
          </w14:textFill>
        </w:rPr>
        <w:t>机构</w:t>
      </w:r>
      <w:r>
        <w:rPr>
          <w:rFonts w:ascii="黑体" w:eastAsia="黑体" w:hAnsi="黑体" w:hint="eastAsia"/>
          <w:b/>
          <w:color w:themeColor="text1" w:val="000000"/>
          <w:sz w:val="20"/>
          <w:szCs w:val="20"/>
          <w:highlight w:val="none"/>
          <w14:textFill>
            <w14:solidFill>
              <w14:schemeClr w14:val="tx1"/>
            </w14:solidFill>
          </w14:textFill>
        </w:rPr>
        <w:t>指定账户</w:t>
      </w:r>
      <w:r>
        <w:rPr>
          <w:rFonts w:ascii="黑体" w:eastAsia="黑体" w:hAnsi="黑体"/>
          <w:b/>
          <w:color w:themeColor="text1" w:val="000000"/>
          <w:sz w:val="20"/>
          <w:szCs w:val="20"/>
          <w:highlight w:val="none"/>
          <w14:textFill>
            <w14:solidFill>
              <w14:schemeClr w14:val="tx1"/>
            </w14:solidFill>
          </w14:textFill>
        </w:rPr>
        <w:t>后，由合作销售机构将相应应得资金划转至投资者账户</w:t>
      </w:r>
      <w:r>
        <w:rPr>
          <w:rFonts w:ascii="黑体" w:eastAsia="黑体" w:hAnsi="黑体" w:hint="eastAsia"/>
          <w:b/>
          <w:color w:themeColor="text1" w:val="000000"/>
          <w:sz w:val="20"/>
          <w:szCs w:val="20"/>
          <w:highlight w:val="none"/>
          <w14:textFill>
            <w14:solidFill>
              <w14:schemeClr w14:val="tx1"/>
            </w14:solidFill>
          </w14:textFill>
        </w:rPr>
        <w:t>。</w:t>
      </w:r>
      <w:r>
        <w:rPr>
          <w:rFonts w:ascii="黑体" w:eastAsia="黑体" w:hAnsi="黑体"/>
          <w:b/>
          <w:color w:themeColor="text1" w:val="000000"/>
          <w:sz w:val="20"/>
          <w:szCs w:val="20"/>
          <w:highlight w:val="none"/>
          <w14:textFill>
            <w14:solidFill>
              <w14:schemeClr w14:val="tx1"/>
            </w14:solidFill>
          </w14:textFill>
        </w:rPr>
        <w:t>若</w:t>
      </w:r>
      <w:r>
        <w:rPr>
          <w:rFonts w:ascii="黑体" w:eastAsia="黑体" w:hAnsi="黑体" w:hint="eastAsia"/>
          <w:b/>
          <w:color w:themeColor="text1" w:val="000000"/>
          <w:sz w:val="20"/>
          <w:szCs w:val="20"/>
          <w:highlight w:val="none"/>
          <w14:textFill>
            <w14:solidFill>
              <w14:schemeClr w14:val="tx1"/>
            </w14:solidFill>
          </w14:textFill>
        </w:rPr>
        <w:t>合作</w:t>
      </w:r>
      <w:r>
        <w:rPr>
          <w:rFonts w:ascii="黑体" w:eastAsia="黑体" w:hAnsi="黑体"/>
          <w:b/>
          <w:color w:themeColor="text1" w:val="000000"/>
          <w:sz w:val="20"/>
          <w:szCs w:val="20"/>
          <w:highlight w:val="none"/>
          <w14:textFill>
            <w14:solidFill>
              <w14:schemeClr w14:val="tx1"/>
            </w14:solidFill>
          </w14:textFill>
        </w:rPr>
        <w:t>销售机构未及时进行划付，因此造成的</w:t>
      </w:r>
      <w:r>
        <w:rPr>
          <w:rFonts w:ascii="黑体" w:eastAsia="黑体" w:hAnsi="黑体" w:hint="eastAsia"/>
          <w:b/>
          <w:color w:themeColor="text1" w:val="000000"/>
          <w:sz w:val="20"/>
          <w:szCs w:val="20"/>
          <w:highlight w:val="none"/>
          <w14:textFill>
            <w14:solidFill>
              <w14:schemeClr w14:val="tx1"/>
            </w14:solidFill>
          </w14:textFill>
        </w:rPr>
        <w:t>损失</w:t>
      </w:r>
      <w:r>
        <w:rPr>
          <w:rFonts w:ascii="黑体" w:eastAsia="黑体" w:hAnsi="黑体"/>
          <w:b/>
          <w:color w:themeColor="text1" w:val="000000"/>
          <w:sz w:val="20"/>
          <w:szCs w:val="20"/>
          <w:highlight w:val="none"/>
          <w14:textFill>
            <w14:solidFill>
              <w14:schemeClr w14:val="tx1"/>
            </w14:solidFill>
          </w14:textFill>
        </w:rPr>
        <w:t>信银理财不承担任何责任。</w:t>
      </w:r>
    </w:p>
    <w:p w14:paraId="74EAAF49">
      <w:pPr>
        <w:spacing w:line="300" w:lineRule="atLeast"/>
        <w:ind w:firstLine="402" w:firstLineChars="200"/>
        <w:jc w:val="both"/>
        <w:rPr>
          <w:rFonts w:ascii="黑体" w:eastAsia="黑体" w:hAnsi="黑体"/>
          <w:b/>
          <w:color w:themeColor="text1" w:val="000000"/>
          <w:sz w:val="20"/>
          <w:szCs w:val="20"/>
          <w:highlight w:val="none"/>
          <w14:textFill>
            <w14:solidFill>
              <w14:schemeClr w14:val="tx1"/>
            </w14:solidFill>
          </w14:textFill>
        </w:rPr>
      </w:pPr>
      <w:r>
        <w:rPr>
          <w:rFonts w:ascii="黑体" w:eastAsia="黑体" w:hAnsi="黑体"/>
          <w:b/>
          <w:color w:themeColor="text1" w:val="000000"/>
          <w:sz w:val="20"/>
          <w:szCs w:val="20"/>
          <w:highlight w:val="none"/>
          <w14:textFill>
            <w14:solidFill>
              <w14:schemeClr w14:val="tx1"/>
            </w14:solidFill>
          </w14:textFill>
        </w:rPr>
        <w:t>1</w:t>
      </w:r>
      <w:r>
        <w:rPr>
          <w:rFonts w:ascii="黑体" w:eastAsia="黑体" w:hAnsi="黑体" w:hint="eastAsia"/>
          <w:b/>
          <w:color w:themeColor="text1" w:val="000000"/>
          <w:sz w:val="20"/>
          <w:szCs w:val="20"/>
          <w:highlight w:val="none"/>
          <w:lang w:eastAsia="zh-CN" w:val="en-US"/>
          <w14:textFill>
            <w14:solidFill>
              <w14:schemeClr w14:val="tx1"/>
            </w14:solidFill>
          </w14:textFill>
        </w:rPr>
        <w:t>2</w:t>
      </w:r>
      <w:r>
        <w:rPr>
          <w:rFonts w:ascii="黑体" w:eastAsia="黑体" w:hAnsi="黑体" w:hint="eastAsia"/>
          <w:b/>
          <w:color w:themeColor="text1" w:val="000000"/>
          <w:sz w:val="20"/>
          <w:szCs w:val="20"/>
          <w:highlight w:val="none"/>
          <w14:textFill>
            <w14:solidFill>
              <w14:schemeClr w14:val="tx1"/>
            </w14:solidFill>
          </w14:textFill>
        </w:rPr>
        <w:t>．操作风险：如本理财产品管理人、</w:t>
      </w:r>
      <w:r>
        <w:rPr>
          <w:rFonts w:ascii="黑体" w:eastAsia="黑体" w:hAnsi="黑体"/>
          <w:b/>
          <w:color w:themeColor="text1" w:val="000000"/>
          <w:sz w:val="20"/>
          <w:szCs w:val="20"/>
          <w:highlight w:val="none"/>
          <w14:textFill>
            <w14:solidFill>
              <w14:schemeClr w14:val="tx1"/>
            </w14:solidFill>
          </w14:textFill>
        </w:rPr>
        <w:t>代销机构</w:t>
      </w:r>
      <w:r>
        <w:rPr>
          <w:rFonts w:ascii="黑体" w:eastAsia="黑体" w:hAnsi="黑体" w:hint="eastAsia"/>
          <w:b/>
          <w:color w:themeColor="text1" w:val="000000"/>
          <w:sz w:val="20"/>
          <w:szCs w:val="20"/>
          <w:highlight w:val="none"/>
          <w14:textFill>
            <w14:solidFill>
              <w14:schemeClr w14:val="tx1"/>
            </w14:solidFill>
          </w14:textFill>
        </w:rPr>
        <w:t>由于内部作业、人员管理、系统操作及事务处理不当或失误等，可能导致本理财产品的本金及收益遭受损失。</w:t>
      </w:r>
    </w:p>
    <w:p w14:paraId="7D4352F1">
      <w:pPr>
        <w:spacing w:line="300" w:lineRule="atLeast"/>
        <w:ind w:firstLine="428" w:firstLineChars="213"/>
        <w:jc w:val="both"/>
        <w:rPr>
          <w:rFonts w:ascii="黑体" w:eastAsia="黑体" w:hAnsi="黑体" w:hint="eastAsia"/>
          <w:b/>
          <w:color w:themeColor="text1" w:val="000000"/>
          <w:sz w:val="20"/>
          <w:szCs w:val="20"/>
          <w:highlight w:val="none"/>
          <w:lang w:eastAsia="zh-CN"/>
          <w14:textFill>
            <w14:solidFill>
              <w14:schemeClr w14:val="tx1"/>
            </w14:solidFill>
          </w14:textFill>
        </w:rPr>
      </w:pPr>
      <w:r>
        <w:rPr>
          <w:rFonts w:ascii="黑体" w:eastAsia="黑体" w:hAnsi="黑体" w:hint="eastAsia"/>
          <w:b/>
          <w:color w:themeColor="text1" w:val="000000"/>
          <w:sz w:val="20"/>
          <w:szCs w:val="20"/>
          <w:highlight w:val="none"/>
          <w:lang w:eastAsia="zh-CN"/>
          <w14:textFill>
            <w14:solidFill>
              <w14:schemeClr w14:val="tx1"/>
            </w14:solidFill>
          </w14:textFill>
        </w:rPr>
        <w:t>1</w:t>
      </w:r>
      <w:r>
        <w:rPr>
          <w:rFonts w:ascii="黑体" w:eastAsia="黑体" w:hAnsi="黑体" w:hint="eastAsia"/>
          <w:b/>
          <w:color w:themeColor="text1" w:val="000000"/>
          <w:sz w:val="20"/>
          <w:szCs w:val="20"/>
          <w:highlight w:val="none"/>
          <w:lang w:eastAsia="zh-CN" w:val="en-US"/>
          <w14:textFill>
            <w14:solidFill>
              <w14:schemeClr w14:val="tx1"/>
            </w14:solidFill>
          </w14:textFill>
        </w:rPr>
        <w:t>3</w:t>
      </w:r>
      <w:r>
        <w:rPr>
          <w:rFonts w:ascii="黑体" w:eastAsia="黑体" w:hAnsi="黑体" w:hint="eastAsia"/>
          <w:b/>
          <w:color w:themeColor="text1" w:val="000000"/>
          <w:sz w:val="20"/>
          <w:szCs w:val="20"/>
          <w:highlight w:val="none"/>
          <w:lang w:eastAsia="zh-CN"/>
          <w14:textFill>
            <w14:solidFill>
              <w14:schemeClr w14:val="tx1"/>
            </w14:solidFill>
          </w14:textFill>
        </w:rPr>
        <w:t>.关联交易风险：在合法合规且履行应履行的内外部程序后，理财产品可能与管理人及其控股股东、实际控制人等发生关联交易。本理财产品可能通过管理人的关联方进行托管、销售或作为投资顾问（如有），本理财产品的销售机构、托管人及投资顾问（如有）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106F76B6">
      <w:pPr>
        <w:snapToGrid w:val="0"/>
        <w:ind w:firstLine="402" w:firstLineChars="200"/>
        <w:jc w:val="both"/>
        <w:rPr>
          <w:rFonts w:ascii="黑体" w:eastAsia="黑体" w:hAnsi="黑体" w:hint="eastAsia"/>
          <w:b/>
          <w:color w:themeColor="text1" w:val="000000"/>
          <w:sz w:val="20"/>
          <w:szCs w:val="20"/>
          <w:highlight w:val="none"/>
          <w:lang w:eastAsia="zh-CN"/>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1</w:t>
      </w:r>
      <w:r>
        <w:rPr>
          <w:rFonts w:ascii="黑体" w:cs="黑体" w:eastAsia="黑体" w:hAnsi="Times New Roman" w:hint="eastAsia"/>
          <w:b/>
          <w:color w:themeColor="text1" w:val="000000"/>
          <w:sz w:val="20"/>
          <w:szCs w:val="20"/>
          <w:highlight w:val="none"/>
          <w:lang w:eastAsia="zh-CN" w:val="en-US"/>
          <w14:textFill>
            <w14:solidFill>
              <w14:schemeClr w14:val="tx1"/>
            </w14:solidFill>
          </w14:textFill>
        </w:rPr>
        <w:t>4</w:t>
      </w:r>
      <w:r>
        <w:rPr>
          <w:rFonts w:ascii="黑体" w:cs="黑体" w:eastAsia="黑体" w:hAnsi="Times New Roman" w:hint="eastAsia"/>
          <w:b/>
          <w:color w:themeColor="text1" w:val="000000"/>
          <w:sz w:val="20"/>
          <w:szCs w:val="20"/>
          <w:highlight w:val="none"/>
          <w14:textFill>
            <w14:solidFill>
              <w14:schemeClr w14:val="tx1"/>
            </w14:solidFill>
          </w14:textFill>
        </w:rPr>
        <w:t>．</w:t>
      </w:r>
      <w:r>
        <w:rPr>
          <w:rFonts w:ascii="黑体" w:cs="黑体" w:eastAsia="黑体" w:hAnsi="Times New Roman" w:hint="eastAsia"/>
          <w:b/>
          <w:color w:themeColor="text1" w:val="000000"/>
          <w:sz w:val="20"/>
          <w:szCs w:val="20"/>
          <w:highlight w:val="none"/>
          <w:lang w:eastAsia="zh-CN" w:val="en-US"/>
          <w14:textFill>
            <w14:solidFill>
              <w14:schemeClr w14:val="tx1"/>
            </w14:solidFill>
          </w14:textFill>
        </w:rPr>
        <w:t>理财本金全部损失风险（</w:t>
      </w:r>
      <w:r>
        <w:rPr>
          <w:rFonts w:ascii="黑体" w:eastAsia="黑体" w:hint="eastAsia"/>
          <w:b/>
          <w:color w:themeColor="text1" w:val="000000"/>
          <w:sz w:val="20"/>
          <w:szCs w:val="20"/>
          <w:highlight w:val="none"/>
          <w:lang w:eastAsia="zh-CN" w:val="en-US"/>
          <w14:textFill>
            <w14:solidFill>
              <w14:schemeClr w14:val="tx1"/>
            </w14:solidFill>
          </w14:textFill>
        </w:rPr>
        <w:t>最不利投资情形下的投资结果）</w:t>
      </w:r>
      <w:r>
        <w:rPr>
          <w:rFonts w:ascii="黑体" w:eastAsia="黑体"/>
          <w:b/>
          <w:color w:themeColor="text1" w:val="000000"/>
          <w:sz w:val="20"/>
          <w:szCs w:val="20"/>
          <w:highlight w:val="none"/>
          <w14:textFill>
            <w14:solidFill>
              <w14:schemeClr w14:val="tx1"/>
            </w14:solidFill>
          </w14:textFill>
        </w:rPr>
        <w:t>：</w:t>
      </w:r>
      <w:r>
        <w:rPr>
          <w:rFonts w:ascii="黑体" w:cs="黑体" w:eastAsia="黑体" w:hAnsi="Times New Roman" w:hint="eastAsia"/>
          <w:b/>
          <w:color w:themeColor="text1" w:val="000000"/>
          <w:sz w:val="20"/>
          <w:szCs w:val="20"/>
          <w:highlight w:val="none"/>
          <w14:textFill>
            <w14:solidFill>
              <w14:schemeClr w14:val="tx1"/>
            </w14:solidFill>
          </w14:textFill>
        </w:rPr>
        <w:t>本产品不保证本金和收益，由于发生本产品风险提示的相应风险，包括但不限于市场价格波动导致本产品投资工具贬值，或者投资工具发生信用违约，或不可抗力风险导致相应损失，则有可能造成本产品投资资金部分或全部损失</w:t>
      </w:r>
      <w:r>
        <w:rPr>
          <w:rFonts w:ascii="黑体" w:cs="黑体" w:eastAsia="黑体" w:hAnsi="Times New Roman" w:hint="eastAsia"/>
          <w:b/>
          <w:color w:themeColor="text1" w:val="000000"/>
          <w:sz w:val="20"/>
          <w:szCs w:val="20"/>
          <w:highlight w:val="none"/>
          <w:lang w:eastAsia="zh-CN"/>
          <w14:textFill>
            <w14:solidFill>
              <w14:schemeClr w14:val="tx1"/>
            </w14:solidFill>
          </w14:textFill>
        </w:rPr>
        <w:t>，</w:t>
      </w:r>
      <w:r>
        <w:rPr>
          <w:rFonts w:ascii="黑体" w:cs="黑体" w:eastAsia="黑体" w:hAnsi="Times New Roman" w:hint="eastAsia"/>
          <w:b/>
          <w:color w:themeColor="text1" w:val="000000"/>
          <w:sz w:val="20"/>
          <w:szCs w:val="20"/>
          <w:highlight w:val="none"/>
          <w:lang w:eastAsia="zh-CN" w:val="en-US"/>
          <w14:textFill>
            <w14:solidFill>
              <w14:schemeClr w14:val="tx1"/>
            </w14:solidFill>
          </w14:textFill>
        </w:rPr>
        <w:t>最不利情形下投资者将可能损失全部本金及收益（如有）。</w:t>
      </w:r>
    </w:p>
    <w:p w14:paraId="597E3557">
      <w:pPr>
        <w:spacing w:line="300" w:lineRule="atLeast"/>
        <w:ind w:firstLine="402" w:firstLineChars="200"/>
        <w:jc w:val="both"/>
        <w:rPr>
          <w:rFonts w:ascii="黑体" w:eastAsia="黑体" w:hAnsi="黑体" w:hint="eastAsia"/>
          <w:b/>
          <w:color w:themeColor="text1" w:val="000000"/>
          <w:sz w:val="20"/>
          <w:szCs w:val="20"/>
          <w:highlight w:val="none"/>
          <w14:textFill>
            <w14:solidFill>
              <w14:schemeClr w14:val="tx1"/>
            </w14:solidFill>
          </w14:textFill>
        </w:rPr>
      </w:pPr>
      <w:r>
        <w:rPr>
          <w:rFonts w:ascii="黑体" w:eastAsia="黑体" w:hAnsi="黑体" w:hint="eastAsia"/>
          <w:b/>
          <w:color w:themeColor="text1" w:val="000000"/>
          <w:sz w:val="20"/>
          <w:szCs w:val="20"/>
          <w:highlight w:val="none"/>
          <w14:textFill>
            <w14:solidFill>
              <w14:schemeClr w14:val="tx1"/>
            </w14:solidFill>
          </w14:textFill>
        </w:rPr>
        <w:t>以上风险事项仅为列举性质，未能详尽列明投资本产品可能面临的全部风险和可能导致投资者投资本金及收益损失的所有因素，请投资者充分评估投资风险。理财产品管理人承诺以诚实守信、勤勉尽职的原则管理和运用理财产品资金，在理财产品募集、存续、终止各环节实施全面风险管理，对产品面临的上述风险持续进行识别、评估、监测、报告，对不同风险特性采用分散、对冲、转移、规避、补偿或缓释等手段对风险进行控制。管理人上述风险管控措施为管理人基于正常市场环境及合理预期而设，不构成管理人对理财产品风险的完全消除或对理财产品本金安全和理财产品收益的任何承诺与保证。理财产品在实际运作中仍可能因市场、政策、不可抗力等各类因素而遭受超出管理人风险控制措施覆盖范围的风险事件，从而导致理财产品净值波动乃至本金损失。</w:t>
      </w:r>
    </w:p>
    <w:p w14:paraId="3115A60B">
      <w:pPr>
        <w:spacing w:line="300" w:lineRule="atLeast"/>
        <w:ind w:right="36"/>
        <w:rPr>
          <w:rFonts w:ascii="黑体" w:eastAsia="黑体" w:hAnsi="黑体"/>
          <w:color w:themeColor="text1" w:val="000000"/>
          <w:sz w:val="20"/>
          <w:szCs w:val="20"/>
          <w:highlight w:val="none"/>
          <w14:textFill>
            <w14:solidFill>
              <w14:schemeClr w14:val="tx1"/>
            </w14:solidFill>
          </w14:textFill>
        </w:rPr>
      </w:pPr>
    </w:p>
    <w:p w14:paraId="2A932026">
      <w:pPr>
        <w:snapToGrid w:val="0"/>
        <w:ind w:left="-2" w:leftChars="-1" w:right="53" w:rightChars="22"/>
        <w:rPr>
          <w:rFonts w:ascii="黑体" w:cs="黑体" w:eastAsia="黑体" w:hAnsi="Times New Roman"/>
          <w:b/>
          <w:bCs/>
          <w:color w:themeColor="text1" w:val="000000"/>
          <w:sz w:val="20"/>
          <w:szCs w:val="20"/>
          <w:highlight w:val="none"/>
          <w14:textFill>
            <w14:solidFill>
              <w14:schemeClr w14:val="tx1"/>
            </w14:solidFill>
          </w14:textFill>
        </w:rPr>
      </w:pPr>
      <w:r>
        <w:rPr>
          <w:rFonts w:ascii="黑体" w:cs="黑体" w:eastAsia="黑体" w:hAnsi="Times New Roman" w:hint="eastAsia"/>
          <w:b/>
          <w:bCs/>
          <w:color w:themeColor="text1" w:val="000000"/>
          <w:sz w:val="20"/>
          <w:szCs w:val="20"/>
          <w:highlight w:val="none"/>
          <w14:textFill>
            <w14:solidFill>
              <w14:schemeClr w14:val="tx1"/>
            </w14:solidFill>
          </w14:textFill>
        </w:rPr>
        <w:t>释义与</w:t>
      </w:r>
      <w:r>
        <w:rPr>
          <w:rFonts w:ascii="黑体" w:cs="黑体" w:eastAsia="黑体" w:hAnsi="Times New Roman"/>
          <w:b/>
          <w:bCs/>
          <w:color w:themeColor="text1" w:val="000000"/>
          <w:sz w:val="20"/>
          <w:szCs w:val="20"/>
          <w:highlight w:val="none"/>
          <w14:textFill>
            <w14:solidFill>
              <w14:schemeClr w14:val="tx1"/>
            </w14:solidFill>
          </w14:textFill>
        </w:rPr>
        <w:t>定义：</w:t>
      </w:r>
    </w:p>
    <w:p w14:paraId="1E80C41F">
      <w:p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在</w:t>
      </w:r>
      <w:r>
        <w:rPr>
          <w:rFonts w:ascii="黑体" w:eastAsia="黑体" w:hAnsi="黑体"/>
          <w:color w:themeColor="text1" w:val="000000"/>
          <w:sz w:val="20"/>
          <w:szCs w:val="20"/>
          <w:highlight w:val="none"/>
          <w14:textFill>
            <w14:solidFill>
              <w14:schemeClr w14:val="tx1"/>
            </w14:solidFill>
          </w14:textFill>
        </w:rPr>
        <w:t>本产品说明书中，除非上下文另有明确约定，下列用词将具有如下含义：</w:t>
      </w:r>
    </w:p>
    <w:p w14:paraId="1DDFA2EE">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1．信银理财有限责任公司（简称“信银理财”）：为中信银行股份有限公司经国务院银行业监督管理机构批准设立的主要从事理财业务的金融机构。</w:t>
      </w:r>
    </w:p>
    <w:p w14:paraId="27887EE3">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2．理财业务：指信银理财接受投资者委托，按照与投资者约定的投资策略、风险承担和收益分配方式，对受托的投资者财产进行投资和管理的金融服务。</w:t>
      </w:r>
    </w:p>
    <w:p w14:paraId="377F7C0D">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3．理财产品/产品：是指信银理财按照约定条件和实际投资收益情况向投资者支付收益、不保证本金支付和收益水平的非保本理财产品。根据募集方式、运作方式、投资性质的不同，理财产品分为多种类型。</w:t>
      </w:r>
    </w:p>
    <w:p w14:paraId="240E5D86">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4．投资者/客户：指符合相关法律法规、监管规定要求的，可以购买理财产品的自然人、法人和非法人组织。其中，个人投资者指符合相关法律法规、监管规定要求的，经管理人或代销机构的个人投资者投资风险承受能力评估体系评定为适合的自然人；机构投资者指符合相关法律法规、监管规定要求的法人和非法人组织。个人投资者和机构投资者合称投资者。</w:t>
      </w:r>
    </w:p>
    <w:p w14:paraId="0DFE77E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5．理财产品资产净值</w:t>
      </w:r>
      <w:r>
        <w:rPr>
          <w:rFonts w:ascii="黑体" w:eastAsia="黑体" w:hAnsi="黑体"/>
          <w:color w:themeColor="text1" w:val="000000"/>
          <w:sz w:val="20"/>
          <w:szCs w:val="20"/>
          <w:highlight w:val="none"/>
          <w14:textFill>
            <w14:solidFill>
              <w14:schemeClr w14:val="tx1"/>
            </w14:solidFill>
          </w14:textFill>
        </w:rPr>
        <w:t>/资产净值</w:t>
      </w:r>
      <w:r>
        <w:rPr>
          <w:rFonts w:ascii="黑体" w:eastAsia="黑体" w:hAnsi="黑体" w:hint="eastAsia"/>
          <w:color w:themeColor="text1" w:val="000000"/>
          <w:sz w:val="20"/>
          <w:szCs w:val="20"/>
          <w:highlight w:val="none"/>
          <w14:textFill>
            <w14:solidFill>
              <w14:schemeClr w14:val="tx1"/>
            </w14:solidFill>
          </w14:textFill>
        </w:rPr>
        <w:t>/净资产</w:t>
      </w:r>
      <w:r>
        <w:rPr>
          <w:rFonts w:ascii="黑体" w:eastAsia="黑体" w:hAnsi="黑体"/>
          <w:color w:themeColor="text1" w:val="000000"/>
          <w:sz w:val="20"/>
          <w:szCs w:val="20"/>
          <w:highlight w:val="none"/>
          <w14:textFill>
            <w14:solidFill>
              <w14:schemeClr w14:val="tx1"/>
            </w14:solidFill>
          </w14:textFill>
        </w:rPr>
        <w:t>：资产净值=产品资产总值-产品负</w:t>
      </w:r>
      <w:r>
        <w:rPr>
          <w:rFonts w:ascii="黑体" w:eastAsia="黑体" w:hAnsi="黑体" w:hint="eastAsia"/>
          <w:color w:themeColor="text1" w:val="000000"/>
          <w:sz w:val="20"/>
          <w:szCs w:val="20"/>
          <w:highlight w:val="none"/>
          <w14:textFill>
            <w14:solidFill>
              <w14:schemeClr w14:val="tx1"/>
            </w14:solidFill>
          </w14:textFill>
        </w:rPr>
        <w:t>债总值。产品资产总值是指产品拥有的各类有价证券、银行存款、应收款项及其他资产的价值总和。产品负债总值是指产品运作及融资时形成的负债价值总和，包括融资资金本息、应付各项费用、应付税金及其他应付款项等。</w:t>
      </w:r>
    </w:p>
    <w:p w14:paraId="00FF5B3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6．</w:t>
      </w:r>
      <w:r>
        <w:rPr>
          <w:rFonts w:ascii="黑体" w:eastAsia="黑体" w:hAnsi="黑体"/>
          <w:color w:themeColor="text1" w:val="000000"/>
          <w:sz w:val="20"/>
          <w:szCs w:val="20"/>
          <w:highlight w:val="none"/>
          <w14:textFill>
            <w14:solidFill>
              <w14:schemeClr w14:val="tx1"/>
            </w14:solidFill>
          </w14:textFill>
        </w:rPr>
        <w:t>理财产品单位净值/单位净值/</w:t>
      </w:r>
      <w:r>
        <w:rPr>
          <w:rFonts w:ascii="黑体" w:eastAsia="黑体" w:hAnsi="黑体" w:hint="eastAsia"/>
          <w:color w:themeColor="text1" w:val="000000"/>
          <w:sz w:val="20"/>
          <w:szCs w:val="20"/>
          <w:highlight w:val="none"/>
          <w14:textFill>
            <w14:solidFill>
              <w14:schemeClr w14:val="tx1"/>
            </w14:solidFill>
          </w14:textFill>
        </w:rPr>
        <w:t>份额净值</w:t>
      </w:r>
      <w:r>
        <w:rPr>
          <w:rFonts w:ascii="黑体" w:eastAsia="黑体" w:hAnsi="黑体"/>
          <w:color w:themeColor="text1" w:val="000000"/>
          <w:sz w:val="20"/>
          <w:szCs w:val="20"/>
          <w:highlight w:val="none"/>
          <w14:textFill>
            <w14:solidFill>
              <w14:schemeClr w14:val="tx1"/>
            </w14:solidFill>
          </w14:textFill>
        </w:rPr>
        <w:t>：指理财产品份额的单位净值，即每1</w:t>
      </w:r>
      <w:r>
        <w:rPr>
          <w:rFonts w:ascii="黑体" w:eastAsia="黑体" w:hAnsi="黑体" w:hint="eastAsia"/>
          <w:color w:themeColor="text1" w:val="000000"/>
          <w:sz w:val="20"/>
          <w:szCs w:val="20"/>
          <w:highlight w:val="none"/>
          <w14:textFill>
            <w14:solidFill>
              <w14:schemeClr w14:val="tx1"/>
            </w14:solidFill>
          </w14:textFill>
        </w:rPr>
        <w:t>份理财产品份额以人民币计价的价格。理财产品单位净值</w:t>
      </w:r>
      <w:r>
        <w:rPr>
          <w:rFonts w:ascii="黑体" w:eastAsia="黑体" w:hAnsi="黑体"/>
          <w:color w:themeColor="text1" w:val="000000"/>
          <w:sz w:val="20"/>
          <w:szCs w:val="20"/>
          <w:highlight w:val="none"/>
          <w14:textFill>
            <w14:solidFill>
              <w14:schemeClr w14:val="tx1"/>
            </w14:solidFill>
          </w14:textFill>
        </w:rPr>
        <w:t>=当日理财产品资产净值/当日理财产品存续份额</w:t>
      </w:r>
      <w:r>
        <w:rPr>
          <w:rFonts w:ascii="黑体" w:eastAsia="黑体" w:hAnsi="黑体" w:hint="eastAsia"/>
          <w:color w:themeColor="text1" w:val="000000"/>
          <w:sz w:val="20"/>
          <w:szCs w:val="20"/>
          <w:highlight w:val="none"/>
          <w14:textFill>
            <w14:solidFill>
              <w14:schemeClr w14:val="tx1"/>
            </w14:solidFill>
          </w14:textFill>
        </w:rPr>
        <w:t>。</w:t>
      </w:r>
    </w:p>
    <w:p w14:paraId="1B1F5FC5">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7．理财</w:t>
      </w:r>
      <w:r>
        <w:rPr>
          <w:rFonts w:ascii="黑体" w:eastAsia="黑体" w:hAnsi="黑体"/>
          <w:color w:themeColor="text1" w:val="000000"/>
          <w:sz w:val="20"/>
          <w:szCs w:val="20"/>
          <w:highlight w:val="none"/>
          <w14:textFill>
            <w14:solidFill>
              <w14:schemeClr w14:val="tx1"/>
            </w14:solidFill>
          </w14:textFill>
        </w:rPr>
        <w:t>产品本金</w:t>
      </w:r>
      <w:r>
        <w:rPr>
          <w:rFonts w:ascii="黑体" w:eastAsia="黑体" w:hAnsi="黑体" w:hint="eastAsia"/>
          <w:color w:themeColor="text1" w:val="000000"/>
          <w:sz w:val="20"/>
          <w:szCs w:val="20"/>
          <w:highlight w:val="none"/>
          <w14:textFill>
            <w14:solidFill>
              <w14:schemeClr w14:val="tx1"/>
            </w14:solidFill>
          </w14:textFill>
        </w:rPr>
        <w:t>/投资本金/本金</w:t>
      </w:r>
      <w:r>
        <w:rPr>
          <w:rFonts w:ascii="黑体" w:eastAsia="黑体" w:hAnsi="黑体"/>
          <w:color w:themeColor="text1" w:val="000000"/>
          <w:sz w:val="20"/>
          <w:szCs w:val="20"/>
          <w:highlight w:val="none"/>
          <w14:textFill>
            <w14:solidFill>
              <w14:schemeClr w14:val="tx1"/>
            </w14:solidFill>
          </w14:textFill>
        </w:rPr>
        <w:t>：指投资者为认购理财</w:t>
      </w:r>
      <w:r>
        <w:rPr>
          <w:rFonts w:ascii="黑体" w:eastAsia="黑体" w:hAnsi="黑体" w:hint="eastAsia"/>
          <w:color w:themeColor="text1" w:val="000000"/>
          <w:sz w:val="20"/>
          <w:szCs w:val="20"/>
          <w:highlight w:val="none"/>
          <w14:textFill>
            <w14:solidFill>
              <w14:schemeClr w14:val="tx1"/>
            </w14:solidFill>
          </w14:textFill>
        </w:rPr>
        <w:t>产品</w:t>
      </w:r>
      <w:r>
        <w:rPr>
          <w:rFonts w:ascii="黑体" w:eastAsia="黑体" w:hAnsi="黑体"/>
          <w:color w:themeColor="text1" w:val="000000"/>
          <w:sz w:val="20"/>
          <w:szCs w:val="20"/>
          <w:highlight w:val="none"/>
          <w14:textFill>
            <w14:solidFill>
              <w14:schemeClr w14:val="tx1"/>
            </w14:solidFill>
          </w14:textFill>
        </w:rPr>
        <w:t>份额而向理财产品管理人交付的货币资金</w:t>
      </w:r>
      <w:r>
        <w:rPr>
          <w:rFonts w:ascii="黑体" w:eastAsia="黑体" w:hAnsi="黑体" w:hint="eastAsia"/>
          <w:color w:themeColor="text1" w:val="000000"/>
          <w:sz w:val="20"/>
          <w:szCs w:val="20"/>
          <w:highlight w:val="none"/>
          <w14:textFill>
            <w14:solidFill>
              <w14:schemeClr w14:val="tx1"/>
            </w14:solidFill>
          </w14:textFill>
        </w:rPr>
        <w:t>，扣除认购费后</w:t>
      </w:r>
      <w:r>
        <w:rPr>
          <w:rFonts w:ascii="黑体" w:eastAsia="黑体" w:hAnsi="黑体"/>
          <w:color w:themeColor="text1" w:val="000000"/>
          <w:sz w:val="20"/>
          <w:szCs w:val="20"/>
          <w:highlight w:val="none"/>
          <w14:textFill>
            <w14:solidFill>
              <w14:schemeClr w14:val="tx1"/>
            </w14:solidFill>
          </w14:textFill>
        </w:rPr>
        <w:t>即投资者的投资</w:t>
      </w:r>
      <w:r>
        <w:rPr>
          <w:rFonts w:ascii="黑体" w:eastAsia="黑体" w:hAnsi="黑体" w:hint="eastAsia"/>
          <w:color w:themeColor="text1" w:val="000000"/>
          <w:sz w:val="20"/>
          <w:szCs w:val="20"/>
          <w:highlight w:val="none"/>
          <w14:textFill>
            <w14:solidFill>
              <w14:schemeClr w14:val="tx1"/>
            </w14:solidFill>
          </w14:textFill>
        </w:rPr>
        <w:t>本金。</w:t>
      </w:r>
      <w:r>
        <w:rPr>
          <w:rFonts w:ascii="黑体" w:eastAsia="黑体" w:hAnsi="黑体"/>
          <w:color w:themeColor="text1" w:val="000000"/>
          <w:sz w:val="20"/>
          <w:szCs w:val="20"/>
          <w:highlight w:val="none"/>
          <w14:textFill>
            <w14:solidFill>
              <w14:schemeClr w14:val="tx1"/>
            </w14:solidFill>
          </w14:textFill>
        </w:rPr>
        <w:t>本金</w:t>
      </w:r>
      <w:r>
        <w:rPr>
          <w:rFonts w:ascii="黑体" w:eastAsia="黑体" w:hAnsi="黑体" w:hint="eastAsia"/>
          <w:color w:themeColor="text1" w:val="000000"/>
          <w:sz w:val="20"/>
          <w:szCs w:val="20"/>
          <w:highlight w:val="none"/>
          <w14:textFill>
            <w14:solidFill>
              <w14:schemeClr w14:val="tx1"/>
            </w14:solidFill>
          </w14:textFill>
        </w:rPr>
        <w:t>的</w:t>
      </w:r>
      <w:r>
        <w:rPr>
          <w:rFonts w:ascii="黑体" w:eastAsia="黑体" w:hAnsi="黑体"/>
          <w:color w:themeColor="text1" w:val="000000"/>
          <w:sz w:val="20"/>
          <w:szCs w:val="20"/>
          <w:highlight w:val="none"/>
          <w14:textFill>
            <w14:solidFill>
              <w14:schemeClr w14:val="tx1"/>
            </w14:solidFill>
          </w14:textFill>
        </w:rPr>
        <w:t>称谓</w:t>
      </w:r>
      <w:r>
        <w:rPr>
          <w:rFonts w:ascii="黑体" w:eastAsia="黑体" w:hAnsi="黑体"/>
          <w:sz w:val="20"/>
          <w:szCs w:val="20"/>
          <w:highlight w:val="none"/>
        </w:rPr>
        <w:t>仅为产品估值和核算方便而设，</w:t>
      </w:r>
      <w:r>
        <w:rPr>
          <w:rFonts w:ascii="黑体" w:eastAsia="黑体" w:hAnsi="黑体" w:hint="eastAsia"/>
          <w:color w:themeColor="text1" w:val="000000"/>
          <w:sz w:val="20"/>
          <w:szCs w:val="20"/>
          <w:highlight w:val="none"/>
          <w14:textFill>
            <w14:solidFill>
              <w14:schemeClr w14:val="tx1"/>
            </w14:solidFill>
          </w14:textFill>
        </w:rPr>
        <w:t>不代表对</w:t>
      </w:r>
      <w:r>
        <w:rPr>
          <w:rFonts w:ascii="黑体" w:eastAsia="黑体" w:hAnsi="黑体"/>
          <w:color w:themeColor="text1" w:val="000000"/>
          <w:sz w:val="20"/>
          <w:szCs w:val="20"/>
          <w:highlight w:val="none"/>
          <w14:textFill>
            <w14:solidFill>
              <w14:schemeClr w14:val="tx1"/>
            </w14:solidFill>
          </w14:textFill>
        </w:rPr>
        <w:t>投资资金不受损失的承诺。</w:t>
      </w:r>
    </w:p>
    <w:p w14:paraId="777990EA">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8．理财产品</w:t>
      </w:r>
      <w:r>
        <w:rPr>
          <w:rFonts w:ascii="黑体" w:eastAsia="黑体" w:hAnsi="黑体"/>
          <w:color w:themeColor="text1" w:val="000000"/>
          <w:sz w:val="20"/>
          <w:szCs w:val="20"/>
          <w:highlight w:val="none"/>
          <w14:textFill>
            <w14:solidFill>
              <w14:schemeClr w14:val="tx1"/>
            </w14:solidFill>
          </w14:textFill>
        </w:rPr>
        <w:t>收益</w:t>
      </w:r>
      <w:r>
        <w:rPr>
          <w:rFonts w:ascii="黑体" w:eastAsia="黑体" w:hAnsi="黑体" w:hint="eastAsia"/>
          <w:color w:themeColor="text1" w:val="000000"/>
          <w:sz w:val="20"/>
          <w:szCs w:val="20"/>
          <w:highlight w:val="none"/>
          <w14:textFill>
            <w14:solidFill>
              <w14:schemeClr w14:val="tx1"/>
            </w14:solidFill>
          </w14:textFill>
        </w:rPr>
        <w:t>/投资</w:t>
      </w:r>
      <w:r>
        <w:rPr>
          <w:rFonts w:ascii="黑体" w:eastAsia="黑体" w:hAnsi="黑体"/>
          <w:color w:themeColor="text1" w:val="000000"/>
          <w:sz w:val="20"/>
          <w:szCs w:val="20"/>
          <w:highlight w:val="none"/>
          <w14:textFill>
            <w14:solidFill>
              <w14:schemeClr w14:val="tx1"/>
            </w14:solidFill>
          </w14:textFill>
        </w:rPr>
        <w:t>收益</w:t>
      </w:r>
      <w:r>
        <w:rPr>
          <w:rFonts w:ascii="黑体" w:eastAsia="黑体" w:hAnsi="黑体" w:hint="eastAsia"/>
          <w:color w:themeColor="text1" w:val="000000"/>
          <w:sz w:val="20"/>
          <w:szCs w:val="20"/>
          <w:highlight w:val="none"/>
          <w14:textFill>
            <w14:solidFill>
              <w14:schemeClr w14:val="tx1"/>
            </w14:solidFill>
          </w14:textFill>
        </w:rPr>
        <w:t>/收益</w:t>
      </w:r>
      <w:r>
        <w:rPr>
          <w:rFonts w:ascii="黑体" w:eastAsia="黑体" w:hAnsi="黑体"/>
          <w:color w:themeColor="text1" w:val="000000"/>
          <w:sz w:val="20"/>
          <w:szCs w:val="20"/>
          <w:highlight w:val="none"/>
          <w14:textFill>
            <w14:solidFill>
              <w14:schemeClr w14:val="tx1"/>
            </w14:solidFill>
          </w14:textFill>
        </w:rPr>
        <w:t>：</w:t>
      </w:r>
      <w:r>
        <w:rPr>
          <w:rFonts w:ascii="黑体" w:eastAsia="黑体" w:hAnsi="黑体" w:hint="eastAsia"/>
          <w:color w:themeColor="text1" w:val="000000"/>
          <w:sz w:val="20"/>
          <w:szCs w:val="20"/>
          <w:highlight w:val="none"/>
          <w14:textFill>
            <w14:solidFill>
              <w14:schemeClr w14:val="tx1"/>
            </w14:solidFill>
          </w14:textFill>
        </w:rPr>
        <w:t>指</w:t>
      </w:r>
      <w:r>
        <w:rPr>
          <w:rFonts w:ascii="黑体" w:eastAsia="黑体" w:hAnsi="黑体"/>
          <w:color w:themeColor="text1" w:val="000000"/>
          <w:sz w:val="20"/>
          <w:szCs w:val="20"/>
          <w:highlight w:val="none"/>
          <w14:textFill>
            <w14:solidFill>
              <w14:schemeClr w14:val="tx1"/>
            </w14:solidFill>
          </w14:textFill>
        </w:rPr>
        <w:t>投资者投资理财产品获得的投资收益。</w:t>
      </w:r>
    </w:p>
    <w:p w14:paraId="4508E9F2">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color w:themeColor="text1" w:val="000000"/>
          <w:sz w:val="20"/>
          <w:szCs w:val="20"/>
          <w:highlight w:val="none"/>
          <w14:textFill>
            <w14:solidFill>
              <w14:schemeClr w14:val="tx1"/>
            </w14:solidFill>
          </w14:textFill>
        </w:rPr>
        <w:t>9</w:t>
      </w:r>
      <w:r>
        <w:rPr>
          <w:rFonts w:ascii="黑体" w:eastAsia="黑体" w:hAnsi="黑体" w:hint="eastAsia"/>
          <w:color w:themeColor="text1" w:val="000000"/>
          <w:sz w:val="20"/>
          <w:szCs w:val="20"/>
          <w:highlight w:val="none"/>
          <w14:textFill>
            <w14:solidFill>
              <w14:schemeClr w14:val="tx1"/>
            </w14:solidFill>
          </w14:textFill>
        </w:rPr>
        <w:t>．合作销售机构/代销机构：指</w:t>
      </w:r>
      <w:r>
        <w:rPr>
          <w:rFonts w:ascii="黑体" w:eastAsia="黑体" w:hAnsi="黑体"/>
          <w:color w:themeColor="text1" w:val="000000"/>
          <w:sz w:val="20"/>
          <w:szCs w:val="20"/>
          <w:highlight w:val="none"/>
          <w14:textFill>
            <w14:solidFill>
              <w14:schemeClr w14:val="tx1"/>
            </w14:solidFill>
          </w14:textFill>
        </w:rPr>
        <w:t>接受</w:t>
      </w:r>
      <w:r>
        <w:rPr>
          <w:rFonts w:ascii="黑体" w:eastAsia="黑体" w:hAnsi="黑体" w:hint="eastAsia"/>
          <w:color w:themeColor="text1" w:val="000000"/>
          <w:sz w:val="20"/>
          <w:szCs w:val="20"/>
          <w:highlight w:val="none"/>
          <w14:textFill>
            <w14:solidFill>
              <w14:schemeClr w14:val="tx1"/>
            </w14:solidFill>
          </w14:textFill>
        </w:rPr>
        <w:t>信银</w:t>
      </w:r>
      <w:r>
        <w:rPr>
          <w:rFonts w:ascii="黑体" w:eastAsia="黑体" w:hAnsi="黑体"/>
          <w:color w:themeColor="text1" w:val="000000"/>
          <w:sz w:val="20"/>
          <w:szCs w:val="20"/>
          <w:highlight w:val="none"/>
          <w14:textFill>
            <w14:solidFill>
              <w14:schemeClr w14:val="tx1"/>
            </w14:solidFill>
          </w14:textFill>
        </w:rPr>
        <w:t>理财委托</w:t>
      </w:r>
      <w:r>
        <w:rPr>
          <w:rFonts w:ascii="黑体" w:eastAsia="黑体" w:hAnsi="黑体" w:hint="eastAsia"/>
          <w:color w:themeColor="text1" w:val="000000"/>
          <w:sz w:val="20"/>
          <w:szCs w:val="20"/>
          <w:highlight w:val="none"/>
          <w14:textFill>
            <w14:solidFill>
              <w14:schemeClr w14:val="tx1"/>
            </w14:solidFill>
          </w14:textFill>
        </w:rPr>
        <w:t>在</w:t>
      </w:r>
      <w:r>
        <w:rPr>
          <w:rFonts w:ascii="黑体" w:eastAsia="黑体" w:hAnsi="黑体"/>
          <w:color w:themeColor="text1" w:val="000000"/>
          <w:sz w:val="20"/>
          <w:szCs w:val="20"/>
          <w:highlight w:val="none"/>
          <w14:textFill>
            <w14:solidFill>
              <w14:schemeClr w14:val="tx1"/>
            </w14:solidFill>
          </w14:textFill>
        </w:rPr>
        <w:t>其销售渠道</w:t>
      </w:r>
      <w:r>
        <w:rPr>
          <w:rFonts w:ascii="黑体" w:eastAsia="黑体" w:hAnsi="黑体" w:hint="eastAsia"/>
          <w:color w:themeColor="text1" w:val="000000"/>
          <w:sz w:val="20"/>
          <w:szCs w:val="20"/>
          <w:highlight w:val="none"/>
          <w14:textFill>
            <w14:solidFill>
              <w14:schemeClr w14:val="tx1"/>
            </w14:solidFill>
          </w14:textFill>
        </w:rPr>
        <w:t>代理</w:t>
      </w:r>
      <w:r>
        <w:rPr>
          <w:rFonts w:ascii="黑体" w:eastAsia="黑体" w:hAnsi="黑体"/>
          <w:color w:themeColor="text1" w:val="000000"/>
          <w:sz w:val="20"/>
          <w:szCs w:val="20"/>
          <w:highlight w:val="none"/>
          <w14:textFill>
            <w14:solidFill>
              <w14:schemeClr w14:val="tx1"/>
            </w14:solidFill>
          </w14:textFill>
        </w:rPr>
        <w:t>销售信银理财依法发行的理财产品的机构。</w:t>
      </w:r>
    </w:p>
    <w:p w14:paraId="48AD85FA">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color w:themeColor="text1" w:val="000000"/>
          <w:sz w:val="20"/>
          <w:szCs w:val="20"/>
          <w:highlight w:val="none"/>
          <w14:textFill>
            <w14:solidFill>
              <w14:schemeClr w14:val="tx1"/>
            </w14:solidFill>
          </w14:textFill>
        </w:rPr>
        <w:t>10</w:t>
      </w:r>
      <w:r>
        <w:rPr>
          <w:rFonts w:ascii="黑体" w:eastAsia="黑体" w:hAnsi="黑体" w:hint="eastAsia"/>
          <w:color w:themeColor="text1" w:val="000000"/>
          <w:sz w:val="20"/>
          <w:szCs w:val="20"/>
          <w:highlight w:val="none"/>
          <w14:textFill>
            <w14:solidFill>
              <w14:schemeClr w14:val="tx1"/>
            </w14:solidFill>
          </w14:textFill>
        </w:rPr>
        <w:t>．监管</w:t>
      </w:r>
      <w:r>
        <w:rPr>
          <w:rFonts w:ascii="黑体" w:eastAsia="黑体" w:hAnsi="黑体"/>
          <w:color w:themeColor="text1" w:val="000000"/>
          <w:sz w:val="20"/>
          <w:szCs w:val="20"/>
          <w:highlight w:val="none"/>
          <w14:textFill>
            <w14:solidFill>
              <w14:schemeClr w14:val="tx1"/>
            </w14:solidFill>
          </w14:textFill>
        </w:rPr>
        <w:t>机构：</w:t>
      </w:r>
      <w:r>
        <w:rPr>
          <w:rFonts w:ascii="黑体" w:eastAsia="黑体" w:hAnsi="黑体" w:hint="eastAsia"/>
          <w:color w:themeColor="text1" w:val="000000"/>
          <w:sz w:val="20"/>
          <w:szCs w:val="20"/>
          <w:highlight w:val="none"/>
          <w14:textFill>
            <w14:solidFill>
              <w14:schemeClr w14:val="tx1"/>
            </w14:solidFill>
          </w14:textFill>
        </w:rPr>
        <w:t>指对管理人（包括理财产品管理人、理财</w:t>
      </w:r>
      <w:r>
        <w:rPr>
          <w:rFonts w:ascii="黑体" w:eastAsia="黑体" w:hAnsi="黑体"/>
          <w:color w:themeColor="text1" w:val="000000"/>
          <w:sz w:val="20"/>
          <w:szCs w:val="20"/>
          <w:highlight w:val="none"/>
          <w14:textFill>
            <w14:solidFill>
              <w14:schemeClr w14:val="tx1"/>
            </w14:solidFill>
          </w14:textFill>
        </w:rPr>
        <w:t>产品</w:t>
      </w:r>
      <w:r>
        <w:rPr>
          <w:rFonts w:ascii="黑体" w:eastAsia="黑体" w:hAnsi="黑体" w:hint="eastAsia"/>
          <w:color w:themeColor="text1" w:val="000000"/>
          <w:sz w:val="20"/>
          <w:szCs w:val="20"/>
          <w:highlight w:val="none"/>
          <w14:textFill>
            <w14:solidFill>
              <w14:schemeClr w14:val="tx1"/>
            </w14:solidFill>
          </w14:textFill>
        </w:rPr>
        <w:t>所投资的资管产品的管理人</w:t>
      </w:r>
      <w:r>
        <w:rPr>
          <w:rFonts w:ascii="黑体" w:eastAsia="黑体" w:hAnsi="黑体"/>
          <w:color w:themeColor="text1" w:val="000000"/>
          <w:sz w:val="20"/>
          <w:szCs w:val="20"/>
          <w:highlight w:val="none"/>
          <w14:textFill>
            <w14:solidFill>
              <w14:schemeClr w14:val="tx1"/>
            </w14:solidFill>
          </w14:textFill>
        </w:rPr>
        <w:t>/</w:t>
      </w:r>
      <w:r>
        <w:rPr>
          <w:rFonts w:ascii="黑体" w:eastAsia="黑体" w:hAnsi="黑体" w:hint="eastAsia"/>
          <w:color w:themeColor="text1" w:val="000000"/>
          <w:sz w:val="20"/>
          <w:szCs w:val="20"/>
          <w:highlight w:val="none"/>
          <w14:textFill>
            <w14:solidFill>
              <w14:schemeClr w14:val="tx1"/>
            </w14:solidFill>
          </w14:textFill>
        </w:rPr>
        <w:t>受托人、相关投资顾问（如有）等）实施监督管理的机构，包括但不限于中国人民银行、国家金融监督管理总局、中国证券监督管理委员会、外汇管理局、银行业理财登记托管中心等</w:t>
      </w:r>
      <w:r>
        <w:rPr>
          <w:rFonts w:ascii="黑体" w:eastAsia="黑体" w:hAnsi="黑体"/>
          <w:color w:themeColor="text1" w:val="000000"/>
          <w:sz w:val="20"/>
          <w:szCs w:val="20"/>
          <w:highlight w:val="none"/>
          <w14:textFill>
            <w14:solidFill>
              <w14:schemeClr w14:val="tx1"/>
            </w14:solidFill>
          </w14:textFill>
        </w:rPr>
        <w:t>。</w:t>
      </w:r>
    </w:p>
    <w:p w14:paraId="29BC2341">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color w:themeColor="text1" w:val="000000"/>
          <w:sz w:val="20"/>
          <w:szCs w:val="20"/>
          <w:highlight w:val="none"/>
          <w14:textFill>
            <w14:solidFill>
              <w14:schemeClr w14:val="tx1"/>
            </w14:solidFill>
          </w14:textFill>
        </w:rPr>
        <w:t>11</w:t>
      </w:r>
      <w:r>
        <w:rPr>
          <w:rFonts w:ascii="黑体" w:eastAsia="黑体" w:hAnsi="黑体" w:hint="eastAsia"/>
          <w:color w:themeColor="text1" w:val="000000"/>
          <w:sz w:val="20"/>
          <w:szCs w:val="20"/>
          <w:highlight w:val="none"/>
          <w14:textFill>
            <w14:solidFill>
              <w14:schemeClr w14:val="tx1"/>
            </w14:solidFill>
          </w14:textFill>
        </w:rPr>
        <w:t>．适用</w:t>
      </w:r>
      <w:r>
        <w:rPr>
          <w:rFonts w:ascii="黑体" w:eastAsia="黑体" w:hAnsi="黑体"/>
          <w:color w:themeColor="text1" w:val="000000"/>
          <w:sz w:val="20"/>
          <w:szCs w:val="20"/>
          <w:highlight w:val="none"/>
          <w14:textFill>
            <w14:solidFill>
              <w14:schemeClr w14:val="tx1"/>
            </w14:solidFill>
          </w14:textFill>
        </w:rPr>
        <w:t>法律：</w:t>
      </w:r>
      <w:r>
        <w:rPr>
          <w:rFonts w:ascii="黑体" w:eastAsia="黑体" w:hAnsi="黑体" w:hint="eastAsia"/>
          <w:color w:themeColor="text1" w:val="000000"/>
          <w:sz w:val="20"/>
          <w:szCs w:val="20"/>
          <w:highlight w:val="none"/>
          <w14:textFill>
            <w14:solidFill>
              <w14:schemeClr w14:val="tx1"/>
            </w14:solidFill>
          </w14:textFill>
        </w:rPr>
        <w:t>指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14:paraId="3664E83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color w:themeColor="text1" w:val="000000"/>
          <w:sz w:val="20"/>
          <w:szCs w:val="20"/>
          <w:highlight w:val="none"/>
          <w14:textFill>
            <w14:solidFill>
              <w14:schemeClr w14:val="tx1"/>
            </w14:solidFill>
          </w14:textFill>
        </w:rPr>
        <w:t>12</w:t>
      </w:r>
      <w:r>
        <w:rPr>
          <w:rFonts w:ascii="黑体" w:eastAsia="黑体" w:hAnsi="黑体" w:hint="eastAsia"/>
          <w:color w:themeColor="text1" w:val="000000"/>
          <w:sz w:val="20"/>
          <w:szCs w:val="20"/>
          <w:highlight w:val="none"/>
          <w14:textFill>
            <w14:solidFill>
              <w14:schemeClr w14:val="tx1"/>
            </w14:solidFill>
          </w14:textFill>
        </w:rPr>
        <w:t>．不可抗力：指理财</w:t>
      </w:r>
      <w:r>
        <w:rPr>
          <w:rFonts w:ascii="黑体" w:eastAsia="黑体" w:hAnsi="黑体"/>
          <w:color w:themeColor="text1" w:val="000000"/>
          <w:sz w:val="20"/>
          <w:szCs w:val="20"/>
          <w:highlight w:val="none"/>
          <w14:textFill>
            <w14:solidFill>
              <w14:schemeClr w14:val="tx1"/>
            </w14:solidFill>
          </w14:textFill>
        </w:rPr>
        <w:t>产品</w:t>
      </w:r>
      <w:r>
        <w:rPr>
          <w:rFonts w:ascii="黑体" w:eastAsia="黑体" w:hAnsi="黑体" w:hint="eastAsia"/>
          <w:color w:themeColor="text1" w:val="000000"/>
          <w:sz w:val="20"/>
          <w:szCs w:val="20"/>
          <w:highlight w:val="none"/>
          <w14:textFill>
            <w14:solidFill>
              <w14:schemeClr w14:val="tx1"/>
            </w14:solidFill>
          </w14:textFill>
        </w:rPr>
        <w:t>当事各方不能预见、不能避免且不能克服的客观情况，该事件妨碍、影响或延误任何一方依相关理财产品文件履行其全部或部分义务。该事件包括但不限于：</w:t>
      </w:r>
    </w:p>
    <w:p w14:paraId="74DD3C4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1</w:t>
      </w:r>
      <w:r>
        <w:rPr>
          <w:rFonts w:ascii="黑体" w:eastAsia="黑体" w:hAnsi="黑体" w:hint="eastAsia"/>
          <w:color w:themeColor="text1" w:val="000000"/>
          <w:sz w:val="20"/>
          <w:szCs w:val="20"/>
          <w:highlight w:val="none"/>
          <w14:textFill>
            <w14:solidFill>
              <w14:schemeClr w14:val="tx1"/>
            </w14:solidFill>
          </w14:textFill>
        </w:rPr>
        <w:t>）地震、台风、海啸、洪水、火灾、停电、瘟疫；</w:t>
      </w:r>
    </w:p>
    <w:p w14:paraId="4E153AAC">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2</w:t>
      </w:r>
      <w:r>
        <w:rPr>
          <w:rFonts w:ascii="黑体" w:eastAsia="黑体" w:hAnsi="黑体" w:hint="eastAsia"/>
          <w:color w:themeColor="text1" w:val="000000"/>
          <w:sz w:val="20"/>
          <w:szCs w:val="20"/>
          <w:highlight w:val="none"/>
          <w14:textFill>
            <w14:solidFill>
              <w14:schemeClr w14:val="tx1"/>
            </w14:solidFill>
          </w14:textFill>
        </w:rPr>
        <w:t>）战争、政变、恐怖主义行动、骚乱、罢工；</w:t>
      </w:r>
    </w:p>
    <w:p w14:paraId="7E3AD067">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3</w:t>
      </w:r>
      <w:r>
        <w:rPr>
          <w:rFonts w:ascii="黑体" w:eastAsia="黑体" w:hAnsi="黑体" w:hint="eastAsia"/>
          <w:color w:themeColor="text1" w:val="000000"/>
          <w:sz w:val="20"/>
          <w:szCs w:val="20"/>
          <w:highlight w:val="none"/>
          <w14:textFill>
            <w14:solidFill>
              <w14:schemeClr w14:val="tx1"/>
            </w14:solidFill>
          </w14:textFill>
        </w:rPr>
        <w:t>）新的适用法律或国家政策的颁布或实施、对原适用法律或国家政策的修改；</w:t>
      </w:r>
    </w:p>
    <w:p w14:paraId="7138C285">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4</w:t>
      </w:r>
      <w:r>
        <w:rPr>
          <w:rFonts w:ascii="黑体" w:eastAsia="黑体" w:hAnsi="黑体" w:hint="eastAsia"/>
          <w:color w:themeColor="text1" w:val="000000"/>
          <w:sz w:val="20"/>
          <w:szCs w:val="20"/>
          <w:highlight w:val="none"/>
          <w14:textFill>
            <w14:solidFill>
              <w14:schemeClr w14:val="tx1"/>
            </w14:solidFill>
          </w14:textFill>
        </w:rPr>
        <w:t>）金融管理部门强制要求（该等强制要求不可归咎于任何一方）；</w:t>
      </w:r>
    </w:p>
    <w:p w14:paraId="74C60AB6">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5</w:t>
      </w:r>
      <w:r>
        <w:rPr>
          <w:rFonts w:ascii="黑体" w:eastAsia="黑体" w:hAnsi="黑体" w:hint="eastAsia"/>
          <w:color w:themeColor="text1" w:val="000000"/>
          <w:sz w:val="20"/>
          <w:szCs w:val="20"/>
          <w:highlight w:val="none"/>
          <w14:textFill>
            <w14:solidFill>
              <w14:schemeClr w14:val="tx1"/>
            </w14:solidFill>
          </w14:textFill>
        </w:rPr>
        <w:t>）因理财产品各方和</w:t>
      </w:r>
      <w:r>
        <w:rPr>
          <w:rFonts w:ascii="黑体" w:eastAsia="黑体" w:hAnsi="黑体"/>
          <w:color w:themeColor="text1" w:val="000000"/>
          <w:sz w:val="20"/>
          <w:szCs w:val="20"/>
          <w:highlight w:val="none"/>
          <w14:textFill>
            <w14:solidFill>
              <w14:schemeClr w14:val="tx1"/>
            </w14:solidFill>
          </w14:textFill>
        </w:rPr>
        <w:t>/</w:t>
      </w:r>
      <w:r>
        <w:rPr>
          <w:rFonts w:ascii="黑体" w:eastAsia="黑体" w:hAnsi="黑体" w:hint="eastAsia"/>
          <w:color w:themeColor="text1" w:val="000000"/>
          <w:sz w:val="20"/>
          <w:szCs w:val="20"/>
          <w:highlight w:val="none"/>
          <w14:textFill>
            <w14:solidFill>
              <w14:schemeClr w14:val="tx1"/>
            </w14:solidFill>
          </w14:textFill>
        </w:rPr>
        <w:t>或其关联方运营网络系统遭受黑客攻击、电信部门技术调整或故障等原因而造成的理财产品各方和</w:t>
      </w:r>
      <w:r>
        <w:rPr>
          <w:rFonts w:ascii="黑体" w:eastAsia="黑体" w:hAnsi="黑体"/>
          <w:color w:themeColor="text1" w:val="000000"/>
          <w:sz w:val="20"/>
          <w:szCs w:val="20"/>
          <w:highlight w:val="none"/>
          <w14:textFill>
            <w14:solidFill>
              <w14:schemeClr w14:val="tx1"/>
            </w14:solidFill>
          </w14:textFill>
        </w:rPr>
        <w:t>/</w:t>
      </w:r>
      <w:r>
        <w:rPr>
          <w:rFonts w:ascii="黑体" w:eastAsia="黑体" w:hAnsi="黑体" w:hint="eastAsia"/>
          <w:color w:themeColor="text1" w:val="000000"/>
          <w:sz w:val="20"/>
          <w:szCs w:val="20"/>
          <w:highlight w:val="none"/>
          <w14:textFill>
            <w14:solidFill>
              <w14:schemeClr w14:val="tx1"/>
            </w14:solidFill>
          </w14:textFill>
        </w:rPr>
        <w:t>或其关联方之服务、营业的中断或者延迟。</w:t>
      </w:r>
    </w:p>
    <w:p w14:paraId="2272F832">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13．流动性受限资产：是指由于法律法规、监管、合同或操作障碍等原因无法以合理价格予以变现的资产，包括到期日在</w:t>
      </w:r>
      <w:r>
        <w:rPr>
          <w:rFonts w:ascii="黑体" w:eastAsia="黑体" w:hAnsi="黑体"/>
          <w:color w:themeColor="text1" w:val="000000"/>
          <w:sz w:val="20"/>
          <w:szCs w:val="20"/>
          <w:highlight w:val="none"/>
          <w14:textFill>
            <w14:solidFill>
              <w14:schemeClr w14:val="tx1"/>
            </w14:solidFill>
          </w14:textFill>
        </w:rPr>
        <w:t>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14:paraId="1BA21A24">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14．信银理财电子渠道：指信银理财官方网站（</w:t>
      </w:r>
      <w:r>
        <w:rPr>
          <w:rStyle w:val="12"/>
          <w:rFonts w:ascii="黑体" w:eastAsia="黑体" w:hAnsi="黑体"/>
          <w:sz w:val="20"/>
          <w:szCs w:val="20"/>
          <w:highlight w:val="none"/>
        </w:rPr>
        <w:fldChar w:fldCharType="begin"/>
      </w:r>
      <w:r>
        <w:rPr>
          <w:rStyle w:val="12"/>
          <w:rFonts w:ascii="黑体" w:eastAsia="黑体" w:hAnsi="黑体"/>
          <w:sz w:val="20"/>
          <w:szCs w:val="20"/>
          <w:highlight w:val="none"/>
        </w:rPr>
        <w:instrText xml:space="preserve"> HYPERLINK "http://www.citic-wealth.com" </w:instrText>
      </w:r>
      <w:r>
        <w:rPr>
          <w:rStyle w:val="12"/>
          <w:rFonts w:ascii="黑体" w:eastAsia="黑体" w:hAnsi="黑体"/>
          <w:sz w:val="20"/>
          <w:szCs w:val="20"/>
          <w:highlight w:val="none"/>
        </w:rPr>
        <w:fldChar w:fldCharType="separate"/>
      </w:r>
      <w:r>
        <w:rPr>
          <w:rStyle w:val="12"/>
          <w:rFonts w:ascii="黑体" w:eastAsia="黑体" w:hAnsi="黑体"/>
          <w:sz w:val="20"/>
          <w:szCs w:val="20"/>
          <w:highlight w:val="none"/>
        </w:rPr>
        <w:t>http://www.citic-wealth.com</w:t>
      </w:r>
      <w:r>
        <w:rPr>
          <w:rStyle w:val="12"/>
          <w:rFonts w:ascii="黑体" w:eastAsia="黑体" w:hAnsi="黑体"/>
          <w:sz w:val="20"/>
          <w:szCs w:val="20"/>
          <w:highlight w:val="none"/>
        </w:rPr>
        <w:fldChar w:fldCharType="end"/>
      </w:r>
      <w:r>
        <w:rPr>
          <w:rFonts w:ascii="黑体" w:eastAsia="黑体" w:hAnsi="黑体" w:hint="eastAsia"/>
          <w:color w:themeColor="text1" w:val="000000"/>
          <w:sz w:val="20"/>
          <w:szCs w:val="20"/>
          <w:highlight w:val="none"/>
          <w14:textFill>
            <w14:solidFill>
              <w14:schemeClr w14:val="tx1"/>
            </w14:solidFill>
          </w14:textFill>
        </w:rPr>
        <w:t>）</w:t>
      </w:r>
      <w:r>
        <w:rPr>
          <w:rFonts w:ascii="黑体" w:eastAsia="黑体" w:hAnsi="黑体"/>
          <w:color w:themeColor="text1" w:val="000000"/>
          <w:sz w:val="20"/>
          <w:szCs w:val="20"/>
          <w:highlight w:val="none"/>
          <w14:textFill>
            <w14:solidFill>
              <w14:schemeClr w14:val="tx1"/>
            </w14:solidFill>
          </w14:textFill>
        </w:rPr>
        <w:t>、信银理财APP。</w:t>
      </w:r>
    </w:p>
    <w:p w14:paraId="4FCE737A">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15．信银理财直销渠道：指信银理财电子渠道及营业场所。</w:t>
      </w:r>
    </w:p>
    <w:p w14:paraId="6B4EF93D">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16．销售机构：指信银理财及代销机构</w:t>
      </w:r>
      <w:r>
        <w:rPr>
          <w:rFonts w:ascii="黑体" w:eastAsia="黑体" w:hAnsi="黑体" w:hint="eastAsia"/>
          <w:color w:themeColor="text1" w:val="000000"/>
          <w:sz w:val="20"/>
          <w:szCs w:val="20"/>
          <w:highlight w:val="none"/>
          <w:lang w:eastAsia="zh-CN"/>
          <w14:textFill>
            <w14:solidFill>
              <w14:schemeClr w14:val="tx1"/>
            </w14:solidFill>
          </w14:textFill>
        </w:rPr>
        <w:t>，</w:t>
      </w:r>
      <w:r>
        <w:rPr>
          <w:rFonts w:ascii="黑体" w:eastAsia="黑体" w:hAnsi="黑体" w:hint="eastAsia"/>
          <w:color w:themeColor="text1" w:val="000000"/>
          <w:sz w:val="20"/>
          <w:szCs w:val="20"/>
          <w:highlight w:val="none"/>
          <w:lang w:eastAsia="zh-CN" w:val="en-US"/>
          <w14:textFill>
            <w14:solidFill>
              <w14:schemeClr w14:val="tx1"/>
            </w14:solidFill>
          </w14:textFill>
        </w:rPr>
        <w:t>具体</w:t>
      </w:r>
      <w:r>
        <w:rPr>
          <w:rFonts w:ascii="黑体" w:eastAsia="黑体" w:hAnsi="黑体" w:hint="eastAsia"/>
          <w:b w:val="0"/>
          <w:color w:themeColor="text1" w:val="000000"/>
          <w:sz w:val="20"/>
          <w:szCs w:val="20"/>
          <w:highlight w:val="none"/>
          <w:lang w:eastAsia="zh-CN" w:val="en-US"/>
          <w14:textFill>
            <w14:solidFill>
              <w14:schemeClr w14:val="tx1"/>
            </w14:solidFill>
          </w14:textFill>
        </w:rPr>
        <w:t>详见说明书披露。</w:t>
      </w:r>
    </w:p>
    <w:p w14:paraId="77627480">
      <w:pPr>
        <w:pStyle w:val="20"/>
        <w:numPr>
          <w:ilvl w:val="255"/>
          <w:numId w:val="0"/>
        </w:numPr>
        <w:spacing w:line="300" w:lineRule="atLeast"/>
        <w:ind w:firstLine="400" w:firstLineChars="200"/>
        <w:jc w:val="both"/>
        <w:rPr>
          <w:rFonts w:ascii="黑体" w:eastAsia="黑体" w:hAnsi="黑体"/>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17．理财产品合同：指本理财产品的《信银理财理财产品说明书》、《信银理财理财产品风险揭示书》和《信银理财理财产品投资协议书》及其不时有效修订与补充。</w:t>
      </w:r>
    </w:p>
    <w:p w14:paraId="264BEF87">
      <w:pPr>
        <w:pStyle w:val="20"/>
        <w:numPr>
          <w:ilvl w:val="255"/>
          <w:numId w:val="0"/>
        </w:numPr>
        <w:spacing w:line="300" w:lineRule="atLeast"/>
        <w:ind w:firstLine="400" w:firstLineChars="200"/>
        <w:jc w:val="both"/>
        <w:rPr>
          <w:rFonts w:ascii="黑体" w:eastAsia="黑体" w:hAnsi="黑体" w:hint="eastAsia"/>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14:textFill>
            <w14:solidFill>
              <w14:schemeClr w14:val="tx1"/>
            </w14:solidFill>
          </w14:textFill>
        </w:rPr>
        <w:t>18．销售文件：指本理财产品的理财产品合同及《信银理财理财产品销售总协议》（含附件：客户权益须知专页）（或合作销售机构向投资者提供的理财产品销售协议文本）等文件及其不时有效修订与补充。</w:t>
      </w:r>
    </w:p>
    <w:p w14:paraId="4D3D6CBC">
      <w:pPr>
        <w:pStyle w:val="20"/>
        <w:numPr>
          <w:ilvl w:val="255"/>
          <w:numId w:val="0"/>
        </w:numPr>
        <w:spacing w:line="300" w:lineRule="atLeast"/>
        <w:ind w:firstLine="400" w:firstLineChars="200" w:right="36"/>
        <w:jc w:val="left"/>
        <w:rPr>
          <w:rFonts w:ascii="黑体" w:eastAsia="黑体" w:hAnsi="黑体" w:hint="eastAsia"/>
          <w:color w:themeColor="text1" w:val="000000"/>
          <w:sz w:val="20"/>
          <w:szCs w:val="20"/>
          <w:highlight w:val="none"/>
          <w14:textFill>
            <w14:solidFill>
              <w14:schemeClr w14:val="tx1"/>
            </w14:solidFill>
          </w14:textFill>
        </w:rPr>
      </w:pPr>
      <w:r>
        <w:rPr>
          <w:rFonts w:ascii="黑体" w:eastAsia="黑体" w:hAnsi="黑体" w:hint="eastAsia"/>
          <w:color w:themeColor="text1" w:val="000000"/>
          <w:sz w:val="20"/>
          <w:szCs w:val="20"/>
          <w:highlight w:val="none"/>
          <w:lang w:eastAsia="zh-CN" w:val="en-US"/>
          <w14:textFill>
            <w14:solidFill>
              <w14:schemeClr w14:val="tx1"/>
            </w14:solidFill>
          </w14:textFill>
        </w:rPr>
        <w:t>19</w:t>
      </w:r>
      <w:r>
        <w:rPr>
          <w:rFonts w:ascii="黑体" w:eastAsia="黑体" w:hAnsi="黑体"/>
          <w:color w:themeColor="text1" w:val="000000"/>
          <w:sz w:val="20"/>
          <w:szCs w:val="20"/>
          <w:highlight w:val="none"/>
          <w14:textFill>
            <w14:solidFill>
              <w14:schemeClr w14:val="tx1"/>
            </w14:solidFill>
          </w14:textFill>
        </w:rPr>
        <w:t>．收益分配基准日：指本理财产品管理人以该日日终产品份额净值计算并确定可供分配的投资收益的日期。</w:t>
      </w:r>
      <w:r>
        <w:rPr>
          <w:rFonts w:ascii="黑体" w:eastAsia="黑体" w:hAnsi="黑体"/>
          <w:color w:themeColor="text1" w:val="000000"/>
          <w:sz w:val="20"/>
          <w:szCs w:val="20"/>
          <w:highlight w:val="none"/>
          <w14:textFill>
            <w14:solidFill>
              <w14:schemeClr w14:val="tx1"/>
            </w14:solidFill>
          </w14:textFill>
        </w:rPr>
        <w:br w:type="textWrapping"/>
      </w:r>
      <w:r>
        <w:rPr>
          <w:rFonts w:ascii="黑体" w:eastAsia="黑体" w:hAnsi="黑体"/>
          <w:color w:themeColor="text1" w:val="000000"/>
          <w:sz w:val="20"/>
          <w:szCs w:val="20"/>
          <w:highlight w:val="none"/>
          <w14:textFill>
            <w14:solidFill>
              <w14:schemeClr w14:val="tx1"/>
            </w14:solidFill>
          </w14:textFill>
        </w:rPr>
        <w:t xml:space="preserve">    2</w:t>
      </w:r>
      <w:r>
        <w:rPr>
          <w:rFonts w:ascii="黑体" w:eastAsia="黑体" w:hAnsi="黑体" w:hint="eastAsia"/>
          <w:color w:themeColor="text1" w:val="000000"/>
          <w:sz w:val="20"/>
          <w:szCs w:val="20"/>
          <w:highlight w:val="none"/>
          <w:lang w:eastAsia="zh-CN" w:val="en-US"/>
          <w14:textFill>
            <w14:solidFill>
              <w14:schemeClr w14:val="tx1"/>
            </w14:solidFill>
          </w14:textFill>
        </w:rPr>
        <w:t>0</w:t>
      </w:r>
      <w:r>
        <w:rPr>
          <w:rFonts w:ascii="黑体" w:eastAsia="黑体" w:hAnsi="黑体"/>
          <w:color w:themeColor="text1" w:val="000000"/>
          <w:sz w:val="20"/>
          <w:szCs w:val="20"/>
          <w:highlight w:val="none"/>
          <w14:textFill>
            <w14:solidFill>
              <w14:schemeClr w14:val="tx1"/>
            </w14:solidFill>
          </w14:textFill>
        </w:rPr>
        <w:t>．权益登记日：指本理财产品管理人以该日日终登记在册的本理财产品份额全体持有人确定收益分配对象的日期。</w:t>
      </w:r>
    </w:p>
    <w:p w14:paraId="0F96C1C8">
      <w:pPr>
        <w:snapToGrid w:val="0"/>
        <w:ind w:left="-2" w:leftChars="-1" w:right="53" w:rightChars="22"/>
        <w:rPr>
          <w:rFonts w:ascii="黑体" w:cs="黑体" w:eastAsia="黑体" w:hAnsi="Times New Roman"/>
          <w:b/>
          <w:bCs/>
          <w:color w:themeColor="text1" w:val="000000"/>
          <w:sz w:val="20"/>
          <w:szCs w:val="20"/>
          <w:highlight w:val="none"/>
          <w14:textFill>
            <w14:solidFill>
              <w14:schemeClr w14:val="tx1"/>
            </w14:solidFill>
          </w14:textFill>
        </w:rPr>
      </w:pPr>
      <w:r>
        <w:rPr>
          <w:rFonts w:ascii="黑体" w:cs="黑体" w:eastAsia="黑体" w:hAnsi="Times New Roman"/>
          <w:b/>
          <w:bCs/>
          <w:color w:themeColor="text1" w:val="000000"/>
          <w:sz w:val="20"/>
          <w:szCs w:val="20"/>
          <w:highlight w:val="none"/>
          <w14:textFill>
            <w14:solidFill>
              <w14:schemeClr w14:val="tx1"/>
            </w14:solidFill>
          </w14:textFill>
        </w:rPr>
        <w:t> </w:t>
      </w:r>
      <w:r>
        <w:rPr>
          <w:rFonts w:ascii="黑体" w:cs="黑体" w:eastAsia="黑体" w:hAnsi="Times New Roman" w:hint="eastAsia"/>
          <w:b/>
          <w:bCs/>
          <w:color w:themeColor="text1" w:val="000000"/>
          <w:sz w:val="20"/>
          <w:szCs w:val="20"/>
          <w:highlight w:val="none"/>
          <w14:textFill>
            <w14:solidFill>
              <w14:schemeClr w14:val="tx1"/>
            </w14:solidFill>
          </w14:textFill>
        </w:rPr>
        <w:t>理财产品风险评级及</w:t>
      </w:r>
      <w:r>
        <w:rPr>
          <w:rFonts w:ascii="黑体" w:cs="黑体" w:eastAsia="黑体" w:hAnsi="Times New Roman"/>
          <w:b/>
          <w:bCs/>
          <w:color w:themeColor="text1" w:val="000000"/>
          <w:sz w:val="20"/>
          <w:szCs w:val="20"/>
          <w:highlight w:val="none"/>
          <w14:textFill>
            <w14:solidFill>
              <w14:schemeClr w14:val="tx1"/>
            </w14:solidFill>
          </w14:textFill>
        </w:rPr>
        <w:t>与投资者</w:t>
      </w:r>
      <w:r>
        <w:rPr>
          <w:rFonts w:ascii="黑体" w:cs="黑体" w:eastAsia="黑体" w:hAnsi="Times New Roman" w:hint="eastAsia"/>
          <w:b/>
          <w:bCs/>
          <w:color w:themeColor="text1" w:val="000000"/>
          <w:sz w:val="20"/>
          <w:szCs w:val="20"/>
          <w:highlight w:val="none"/>
          <w14:textFill>
            <w14:solidFill>
              <w14:schemeClr w14:val="tx1"/>
            </w14:solidFill>
          </w14:textFill>
        </w:rPr>
        <w:t>类型</w:t>
      </w:r>
      <w:r>
        <w:rPr>
          <w:rFonts w:ascii="黑体" w:cs="黑体" w:eastAsia="黑体" w:hAnsi="Times New Roman"/>
          <w:b/>
          <w:bCs/>
          <w:color w:themeColor="text1" w:val="000000"/>
          <w:sz w:val="20"/>
          <w:szCs w:val="20"/>
          <w:highlight w:val="none"/>
          <w14:textFill>
            <w14:solidFill>
              <w14:schemeClr w14:val="tx1"/>
            </w14:solidFill>
          </w14:textFill>
        </w:rPr>
        <w:t>对应关系</w:t>
      </w:r>
      <w:r>
        <w:rPr>
          <w:rFonts w:ascii="黑体" w:cs="黑体" w:eastAsia="黑体" w:hAnsi="Times New Roman" w:hint="eastAsia"/>
          <w:b/>
          <w:bCs/>
          <w:color w:themeColor="text1" w:val="000000"/>
          <w:sz w:val="20"/>
          <w:szCs w:val="20"/>
          <w:highlight w:val="none"/>
          <w14:textFill>
            <w14:solidFill>
              <w14:schemeClr w14:val="tx1"/>
            </w14:solidFill>
          </w14:textFill>
        </w:rPr>
        <w:t>：</w:t>
      </w:r>
    </w:p>
    <w:p w14:paraId="525AFA1F">
      <w:pPr>
        <w:snapToGrid w:val="0"/>
        <w:ind w:left="-2" w:leftChars="-1" w:right="53" w:rightChars="22"/>
        <w:rPr>
          <w:rFonts w:ascii="黑体" w:cs="黑体" w:eastAsia="黑体" w:hAnsi="Times New Roman"/>
          <w:b/>
          <w:bCs/>
          <w:color w:themeColor="text1" w:val="000000"/>
          <w:sz w:val="20"/>
          <w:szCs w:val="20"/>
          <w:highlight w:val="none"/>
          <w14:textFill>
            <w14:solidFill>
              <w14:schemeClr w14:val="tx1"/>
            </w14:solidFill>
          </w14:textFill>
        </w:rPr>
      </w:pPr>
    </w:p>
    <w:tbl>
      <w:tblPr>
        <w:tblStyle w:val="9"/>
        <w:tblW w:type="pct" w:w="500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388"/>
        <w:gridCol w:w="2370"/>
        <w:gridCol w:w="3770"/>
      </w:tblGrid>
      <w:tr w14:paraId="086033D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601"/>
        </w:trPr>
        <w:tc>
          <w:tcPr>
            <w:tcW w:type="dxa" w:w="2710"/>
            <w:vAlign w:val="center"/>
          </w:tcPr>
          <w:p w14:paraId="2F62CB8A">
            <w:pPr>
              <w:adjustRightInd w:val="0"/>
              <w:jc w:val="center"/>
              <w:textAlignment w:val="baseline"/>
              <w:outlineLvl w:val="0"/>
              <w:rPr>
                <w:rFonts w:ascii="楷体" w:cs="楷体" w:eastAsia="楷体" w:hAnsi="楷体"/>
                <w:b/>
                <w:color w:val="000000"/>
                <w:highlight w:val="none"/>
              </w:rPr>
            </w:pPr>
            <w:r>
              <w:rPr>
                <w:rFonts w:ascii="楷体" w:cs="楷体" w:eastAsia="楷体" w:hAnsi="楷体" w:hint="eastAsia"/>
                <w:b/>
                <w:color w:val="000000"/>
                <w:highlight w:val="none"/>
              </w:rPr>
              <w:t>产品</w:t>
            </w:r>
            <w:r>
              <w:rPr>
                <w:rFonts w:ascii="楷体" w:cs="楷体" w:eastAsia="楷体" w:hAnsi="楷体"/>
                <w:b/>
                <w:color w:val="000000"/>
                <w:highlight w:val="none"/>
              </w:rPr>
              <w:t>风险评级</w:t>
            </w:r>
          </w:p>
        </w:tc>
        <w:tc>
          <w:tcPr>
            <w:tcW w:type="dxa" w:w="2710"/>
            <w:vAlign w:val="center"/>
          </w:tcPr>
          <w:p w14:paraId="1695DDE9">
            <w:pPr>
              <w:adjustRightInd w:val="0"/>
              <w:jc w:val="center"/>
              <w:textAlignment w:val="baseline"/>
              <w:outlineLvl w:val="0"/>
              <w:rPr>
                <w:rFonts w:ascii="楷体" w:cs="楷体" w:eastAsia="楷体" w:hAnsi="楷体"/>
                <w:b/>
                <w:color w:val="000000"/>
                <w:highlight w:val="none"/>
              </w:rPr>
            </w:pPr>
            <w:r>
              <w:rPr>
                <w:rFonts w:ascii="楷体" w:cs="楷体" w:eastAsia="楷体" w:hAnsi="楷体"/>
                <w:b/>
                <w:color w:val="000000"/>
                <w:highlight w:val="none"/>
              </w:rPr>
              <w:t>风险程度</w:t>
            </w:r>
          </w:p>
        </w:tc>
        <w:tc>
          <w:tcPr>
            <w:tcW w:type="dxa" w:w="4327"/>
            <w:vAlign w:val="center"/>
          </w:tcPr>
          <w:p w14:paraId="1029746E">
            <w:pPr>
              <w:adjustRightInd w:val="0"/>
              <w:jc w:val="center"/>
              <w:textAlignment w:val="baseline"/>
              <w:outlineLvl w:val="0"/>
              <w:rPr>
                <w:rFonts w:ascii="楷体" w:cs="楷体" w:eastAsia="楷体" w:hAnsi="楷体"/>
                <w:b/>
                <w:color w:val="000000"/>
                <w:highlight w:val="none"/>
              </w:rPr>
            </w:pPr>
            <w:r>
              <w:rPr>
                <w:rFonts w:ascii="楷体" w:cs="楷体" w:eastAsia="楷体" w:hAnsi="楷体" w:hint="eastAsia"/>
                <w:b/>
                <w:color w:val="000000"/>
                <w:kern w:val="2"/>
                <w:highlight w:val="none"/>
              </w:rPr>
              <w:t>适合投资者类型</w:t>
            </w:r>
          </w:p>
        </w:tc>
      </w:tr>
      <w:tr w14:paraId="326ABE0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576"/>
        </w:trPr>
        <w:tc>
          <w:tcPr>
            <w:tcW w:type="dxa" w:w="2710"/>
            <w:vAlign w:val="center"/>
          </w:tcPr>
          <w:p w14:paraId="55713153">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PR1级</w:t>
            </w:r>
          </w:p>
        </w:tc>
        <w:tc>
          <w:tcPr>
            <w:tcW w:type="dxa" w:w="2710"/>
            <w:vAlign w:val="center"/>
          </w:tcPr>
          <w:p w14:paraId="7EBF8FBC">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低</w:t>
            </w:r>
          </w:p>
        </w:tc>
        <w:tc>
          <w:tcPr>
            <w:tcW w:type="dxa" w:w="4327"/>
            <w:vAlign w:val="center"/>
          </w:tcPr>
          <w:p w14:paraId="48987A97">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谨慎型、稳健型、平衡型、进取型、激进型</w:t>
            </w:r>
          </w:p>
        </w:tc>
      </w:tr>
      <w:tr w14:paraId="70A7D78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601"/>
        </w:trPr>
        <w:tc>
          <w:tcPr>
            <w:tcW w:type="dxa" w:w="2710"/>
            <w:vAlign w:val="center"/>
          </w:tcPr>
          <w:p w14:paraId="055A059B">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PR2级</w:t>
            </w:r>
          </w:p>
        </w:tc>
        <w:tc>
          <w:tcPr>
            <w:tcW w:type="dxa" w:w="2710"/>
            <w:vAlign w:val="center"/>
          </w:tcPr>
          <w:p w14:paraId="1DA79A45">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中低</w:t>
            </w:r>
          </w:p>
        </w:tc>
        <w:tc>
          <w:tcPr>
            <w:tcW w:type="dxa" w:w="4327"/>
            <w:vAlign w:val="center"/>
          </w:tcPr>
          <w:p w14:paraId="5FB6EADF">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稳健型、平衡型、进取型、激进型</w:t>
            </w:r>
          </w:p>
        </w:tc>
      </w:tr>
      <w:tr w14:paraId="19CD262A">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601"/>
        </w:trPr>
        <w:tc>
          <w:tcPr>
            <w:tcW w:type="dxa" w:w="2710"/>
            <w:vAlign w:val="center"/>
          </w:tcPr>
          <w:p w14:paraId="69D1EA47">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PR3级</w:t>
            </w:r>
          </w:p>
        </w:tc>
        <w:tc>
          <w:tcPr>
            <w:tcW w:type="dxa" w:w="2710"/>
            <w:vAlign w:val="center"/>
          </w:tcPr>
          <w:p w14:paraId="4AAA9B0A">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szCs w:val="21"/>
                <w:highlight w:val="none"/>
              </w:rPr>
              <w:t>中等</w:t>
            </w:r>
          </w:p>
        </w:tc>
        <w:tc>
          <w:tcPr>
            <w:tcW w:type="dxa" w:w="4327"/>
            <w:vAlign w:val="center"/>
          </w:tcPr>
          <w:p w14:paraId="5CFE2FEB">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平衡型、进取型、激进型</w:t>
            </w:r>
          </w:p>
        </w:tc>
      </w:tr>
      <w:tr w14:paraId="2750460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601"/>
        </w:trPr>
        <w:tc>
          <w:tcPr>
            <w:tcW w:type="dxa" w:w="2710"/>
            <w:vAlign w:val="center"/>
          </w:tcPr>
          <w:p w14:paraId="63150E7D">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PR4级</w:t>
            </w:r>
          </w:p>
        </w:tc>
        <w:tc>
          <w:tcPr>
            <w:tcW w:type="dxa" w:w="2710"/>
            <w:vAlign w:val="center"/>
          </w:tcPr>
          <w:p w14:paraId="7198B426">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szCs w:val="21"/>
                <w:highlight w:val="none"/>
              </w:rPr>
              <w:t>中高</w:t>
            </w:r>
          </w:p>
        </w:tc>
        <w:tc>
          <w:tcPr>
            <w:tcW w:type="dxa" w:w="4327"/>
            <w:vAlign w:val="center"/>
          </w:tcPr>
          <w:p w14:paraId="7746408B">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进取型、激进型</w:t>
            </w:r>
          </w:p>
        </w:tc>
      </w:tr>
      <w:tr w14:paraId="623C19D3">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576"/>
        </w:trPr>
        <w:tc>
          <w:tcPr>
            <w:tcW w:type="dxa" w:w="2710"/>
            <w:vAlign w:val="center"/>
          </w:tcPr>
          <w:p w14:paraId="5D09A3A2">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PR5级</w:t>
            </w:r>
          </w:p>
        </w:tc>
        <w:tc>
          <w:tcPr>
            <w:tcW w:type="dxa" w:w="2710"/>
            <w:vAlign w:val="center"/>
          </w:tcPr>
          <w:p w14:paraId="7BD6D5DA">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color w:val="000000"/>
                <w:szCs w:val="21"/>
                <w:highlight w:val="none"/>
              </w:rPr>
              <w:t>高</w:t>
            </w:r>
          </w:p>
        </w:tc>
        <w:tc>
          <w:tcPr>
            <w:tcW w:type="dxa" w:w="4327"/>
            <w:vAlign w:val="center"/>
          </w:tcPr>
          <w:p w14:paraId="762AD7B7">
            <w:pPr>
              <w:adjustRightInd w:val="0"/>
              <w:jc w:val="center"/>
              <w:textAlignment w:val="baseline"/>
              <w:outlineLvl w:val="0"/>
              <w:rPr>
                <w:rFonts w:ascii="楷体" w:cs="楷体" w:eastAsia="楷体" w:hAnsi="楷体"/>
                <w:color w:val="000000"/>
                <w:szCs w:val="21"/>
                <w:highlight w:val="none"/>
              </w:rPr>
            </w:pPr>
            <w:r>
              <w:rPr>
                <w:rFonts w:ascii="楷体" w:cs="楷体" w:eastAsia="楷体" w:hAnsi="楷体" w:hint="eastAsia"/>
                <w:color w:val="000000"/>
                <w:kern w:val="2"/>
                <w:sz w:val="21"/>
                <w:szCs w:val="21"/>
                <w:highlight w:val="none"/>
              </w:rPr>
              <w:t>激进型</w:t>
            </w:r>
          </w:p>
        </w:tc>
      </w:tr>
    </w:tbl>
    <w:p w14:paraId="0A087549">
      <w:pPr>
        <w:snapToGrid w:val="0"/>
        <w:ind w:right="53" w:rightChars="22"/>
        <w:outlineLvl w:val="9"/>
        <w:rPr>
          <w:rFonts w:ascii="黑体" w:cs="黑体" w:eastAsia="黑体" w:hAnsi="Times New Roman" w:hint="eastAsia"/>
          <w:b/>
          <w:bCs/>
          <w:color w:val="auto"/>
          <w:sz w:val="20"/>
          <w:szCs w:val="20"/>
          <w:highlight w:val="none"/>
          <w:lang w:eastAsia="zh-CN" w:val="en-US"/>
        </w:rPr>
      </w:pPr>
      <w:r>
        <w:rPr>
          <w:rFonts w:ascii="楷体_GB2312" w:eastAsia="楷体_GB2312" w:hint="eastAsia"/>
          <w:color w:themeColor="text1" w:val="000000"/>
          <w:sz w:val="20"/>
          <w:szCs w:val="20"/>
          <w:highlight w:val="none"/>
          <w14:textFill>
            <w14:solidFill>
              <w14:schemeClr w14:val="tx1"/>
            </w14:solidFill>
          </w14:textFill>
        </w:rPr>
        <w:t/>
      </w:r>
      <w:r>
        <w:rPr>
          <w:rFonts w:ascii="楷体_GB2312" w:eastAsia="楷体_GB2312" w:hint="eastAsia"/>
          <w:color w:themeColor="text1" w:val="000000"/>
          <w:sz w:val="20"/>
          <w:szCs w:val="20"/>
          <w:highlight w:val="none"/>
          <w:lang w:eastAsia="zh-CN" w:val="en-US"/>
          <w14:textFill>
            <w14:solidFill>
              <w14:schemeClr w14:val="tx1"/>
            </w14:solidFill>
          </w14:textFill>
        </w:rPr>
        <w:t/>
      </w:r>
      <w:r>
        <w:rPr>
          <w:rFonts w:ascii="楷体_GB2312" w:eastAsia="楷体_GB2312"/>
          <w:color w:themeColor="text1" w:val="000000"/>
          <w:sz w:val="20"/>
          <w:szCs w:val="20"/>
          <w:highlight w:val="none"/>
          <w14:textFill>
            <w14:solidFill>
              <w14:schemeClr w14:val="tx1"/>
            </w14:solidFill>
          </w14:textFill>
        </w:rPr>
        <w:t/>
      </w:r>
    </w:p>
    <w:p w14:paraId="590B0D59">
      <w:pPr>
        <w:snapToGrid w:val="0"/>
        <w:ind w:firstLine="0" w:left="-2" w:leftChars="-1" w:right="53" w:rightChars="22"/>
        <w:outlineLvl w:val="9"/>
        <w:rPr>
          <w:rFonts w:ascii="黑体" w:cs="黑体" w:eastAsia="黑体" w:hAnsi="Times New Roman" w:hint="eastAsia"/>
          <w:b/>
          <w:bCs/>
          <w:color w:val="auto"/>
          <w:sz w:val="20"/>
          <w:szCs w:val="20"/>
          <w:highlight w:val="none"/>
          <w:lang w:eastAsia="zh-CN" w:val="en-US"/>
        </w:rPr>
      </w:pPr>
      <w:r>
        <w:rPr>
          <w:rFonts w:ascii="黑体" w:cs="黑体" w:eastAsia="黑体" w:hAnsi="Times New Roman" w:hint="eastAsia"/>
          <w:b/>
          <w:bCs/>
          <w:color w:val="auto"/>
          <w:sz w:val="20"/>
          <w:szCs w:val="20"/>
          <w:highlight w:val="none"/>
          <w:lang w:eastAsia="zh-CN" w:val="en-US"/>
        </w:rPr>
        <w:t>投资者通过本产品合作销售机构办理的，以合作销售机构的投资者风险测评结果、产品风险评级以及二者的对应关系为准。</w:t>
      </w:r>
    </w:p>
    <w:p w14:paraId="4643FD06">
      <w:pPr>
        <w:snapToGrid w:val="0"/>
        <w:ind w:hanging="435" w:left="433" w:right="53" w:rightChars="22"/>
        <w:outlineLvl w:val="0"/>
        <w:rPr>
          <w:rFonts w:ascii="黑体" w:cs="黑体" w:eastAsia="黑体" w:hAnsi="Times New Roman" w:hint="default"/>
          <w:color w:themeColor="text1" w:val="000000"/>
          <w:sz w:val="20"/>
          <w:szCs w:val="20"/>
          <w:highlight w:val="none"/>
          <w:lang w:eastAsia="zh-CN" w:val="en-US"/>
          <w14:textFill>
            <w14:solidFill>
              <w14:schemeClr w14:val="tx1"/>
            </w14:solidFill>
          </w14:textFill>
        </w:rPr>
      </w:pPr>
    </w:p>
    <w:p w14:paraId="5DA403D6">
      <w:pPr>
        <w:snapToGrid w:val="0"/>
        <w:ind w:hanging="435" w:left="433" w:right="53" w:rightChars="22"/>
        <w:outlineLvl w:val="0"/>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一、</w:t>
      </w:r>
      <w:r>
        <w:rPr>
          <w:rFonts w:ascii="Times New Roman" w:eastAsia="黑体" w:hAnsi="Times New Roman"/>
          <w:color w:themeColor="text1" w:val="000000"/>
          <w:sz w:val="14"/>
          <w:szCs w:val="14"/>
          <w:highlight w:val="none"/>
          <w14:textFill>
            <w14:solidFill>
              <w14:schemeClr w14:val="tx1"/>
            </w14:solidFill>
          </w14:textFill>
        </w:rPr>
        <w:t xml:space="preserve"> </w:t>
      </w:r>
      <w:r>
        <w:rPr>
          <w:rFonts w:ascii="黑体" w:cs="黑体" w:eastAsia="黑体" w:hAnsi="Times New Roman" w:hint="eastAsia"/>
          <w:color w:themeColor="text1" w:val="000000"/>
          <w:sz w:val="20"/>
          <w:szCs w:val="20"/>
          <w:highlight w:val="none"/>
          <w14:textFill>
            <w14:solidFill>
              <w14:schemeClr w14:val="tx1"/>
            </w14:solidFill>
          </w14:textFill>
        </w:rPr>
        <w:t>产品投资范围</w:t>
      </w:r>
    </w:p>
    <w:p w14:paraId="683DC93B">
      <w:pPr>
        <w:snapToGrid w:val="0"/>
        <w:ind w:firstLine="0" w:firstLineChars="0" w:left="433" w:right="53" w:rightChars="22"/>
        <w:outlineLvl w:val="0"/>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1</w:t>
      </w:r>
      <w:r>
        <w:rPr>
          <w:rFonts w:ascii="楷体_GB2312" w:eastAsia="楷体_GB2312" w:hint="eastAsia"/>
          <w:color w:themeColor="text1" w:val="000000"/>
          <w:sz w:val="20"/>
          <w:szCs w:val="20"/>
          <w:highlight w:val="none"/>
          <w14:textFill>
            <w14:solidFill>
              <w14:schemeClr w14:val="tx1"/>
            </w14:solidFill>
          </w14:textFill>
        </w:rPr>
        <w:t>．产品投资策略：</w:t>
      </w:r>
    </w:p>
    <w:p w14:paraId="2E9FE289">
      <w:pPr>
        <w:spacing w:line="300" w:lineRule="exact"/>
        <w:ind w:firstLine="422" w:left="-2" w:leftChars="-1" w:right="36" w:rightChars="15"/>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产品主要投资于债券为主的固收类资产，通过积极主动的投资管理，在严控组合风险的基础上，精选信用资质较好的发行人，获取相对稳定的票息收入，同时积极把握市场波动，获取交易性收入，力争获取超越业绩比较基准的投资回报。</w:t>
      </w:r>
      <w:r>
        <w:rPr>
          <w:rFonts w:ascii="楷体_GB2312" w:eastAsia="楷体_GB2312"/>
          <w:color w:themeColor="text1" w:val="000000"/>
          <w:sz w:val="20"/>
          <w:szCs w:val="20"/>
          <w:highlight w:val="none"/>
          <w14:textFill>
            <w14:solidFill>
              <w14:schemeClr w14:val="tx1"/>
            </w14:solidFill>
          </w14:textFill>
        </w:rPr>
        <w:t/>
      </w:r>
    </w:p>
    <w:p w14:paraId="032DBAE6">
      <w:pPr>
        <w:spacing w:line="300" w:lineRule="exact"/>
        <w:ind w:firstLine="420" w:firstLineChars="0" w:left="-2" w:leftChars="0" w:right="36" w:rightChars="15"/>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2</w:t>
      </w:r>
      <w:r>
        <w:rPr>
          <w:rFonts w:ascii="楷体_GB2312" w:eastAsia="楷体_GB2312" w:hint="eastAsia"/>
          <w:color w:themeColor="text1" w:val="000000"/>
          <w:sz w:val="20"/>
          <w:szCs w:val="20"/>
          <w:highlight w:val="none"/>
          <w14:textFill>
            <w14:solidFill>
              <w14:schemeClr w14:val="tx1"/>
            </w14:solidFill>
          </w14:textFill>
        </w:rPr>
        <w:t>．本理财产品存续期间，投资于以下投资对象：</w:t>
      </w:r>
    </w:p>
    <w:p w14:paraId="37379198">
      <w:pPr>
        <w:spacing w:line="300" w:lineRule="exact"/>
        <w:ind w:firstLine="400" w:firstLineChars="200" w:right="36" w:rightChars="15"/>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（1）债权类资产</w:t>
      </w:r>
    </w:p>
    <w:p w14:paraId="04B61E15">
      <w:pPr>
        <w:spacing w:line="300" w:lineRule="exact"/>
        <w:ind w:firstLine="400" w:firstLineChars="200" w:right="36" w:rightChars="15"/>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a</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货币市场类：现金、存款、大额</w:t>
      </w:r>
      <w:r>
        <w:rPr>
          <w:rFonts w:ascii="楷体_GB2312" w:eastAsia="楷体_GB2312"/>
          <w:color w:themeColor="text1" w:val="000000"/>
          <w:sz w:val="20"/>
          <w:szCs w:val="20"/>
          <w:highlight w:val="none"/>
          <w14:textFill>
            <w14:solidFill>
              <w14:schemeClr w14:val="tx1"/>
            </w14:solidFill>
          </w14:textFill>
        </w:rPr>
        <w:t>存单、同业存单、</w:t>
      </w:r>
      <w:r>
        <w:rPr>
          <w:rFonts w:ascii="楷体_GB2312" w:eastAsia="楷体_GB2312" w:hint="eastAsia"/>
          <w:color w:themeColor="text1" w:val="000000"/>
          <w:sz w:val="20"/>
          <w:szCs w:val="20"/>
          <w:highlight w:val="none"/>
          <w14:textFill>
            <w14:solidFill>
              <w14:schemeClr w14:val="tx1"/>
            </w14:solidFill>
          </w14:textFill>
        </w:rPr>
        <w:t>货币基金、质押式回购和其他货币市场类资产；</w:t>
      </w:r>
    </w:p>
    <w:p w14:paraId="710C6F30">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b.固定收益类：国债</w:t>
      </w:r>
      <w:r>
        <w:rPr>
          <w:rFonts w:ascii="楷体_GB2312" w:eastAsia="楷体_GB2312"/>
          <w:color w:themeColor="text1" w:val="000000"/>
          <w:sz w:val="20"/>
          <w:szCs w:val="20"/>
          <w:highlight w:val="none"/>
          <w14:textFill>
            <w14:solidFill>
              <w14:schemeClr w14:val="tx1"/>
            </w14:solidFill>
          </w14:textFill>
        </w:rPr>
        <w:t>、地方政府债券、中央银行票据、政府机构债券、金融债券、公司信用类债券、在银行间市场和证券交易所市场发行的</w:t>
      </w:r>
      <w:r>
        <w:rPr>
          <w:rFonts w:ascii="楷体_GB2312" w:eastAsia="楷体_GB2312" w:hint="eastAsia"/>
          <w:color w:themeColor="text1" w:val="000000"/>
          <w:sz w:val="20"/>
          <w:szCs w:val="20"/>
          <w:highlight w:val="none"/>
          <w14:textFill>
            <w14:solidFill>
              <w14:schemeClr w14:val="tx1"/>
            </w14:solidFill>
          </w14:textFill>
        </w:rPr>
        <w:t>资产支持证券、非公开定向债务融资工具、债券型</w:t>
      </w:r>
      <w:r>
        <w:rPr>
          <w:rFonts w:ascii="楷体_GB2312" w:eastAsia="楷体_GB2312"/>
          <w:color w:themeColor="text1" w:val="000000"/>
          <w:sz w:val="20"/>
          <w:szCs w:val="20"/>
          <w:highlight w:val="none"/>
          <w14:textFill>
            <w14:solidFill>
              <w14:schemeClr w14:val="tx1"/>
            </w14:solidFill>
          </w14:textFill>
        </w:rPr>
        <w:t>证券投资</w:t>
      </w:r>
      <w:r>
        <w:rPr>
          <w:rFonts w:ascii="楷体_GB2312" w:eastAsia="楷体_GB2312" w:hint="eastAsia"/>
          <w:color w:themeColor="text1" w:val="000000"/>
          <w:sz w:val="20"/>
          <w:szCs w:val="20"/>
          <w:highlight w:val="none"/>
          <w14:textFill>
            <w14:solidFill>
              <w14:schemeClr w14:val="tx1"/>
            </w14:solidFill>
          </w14:textFill>
        </w:rPr>
        <w:t>基金、</w:t>
      </w:r>
      <w:r>
        <w:rPr>
          <w:rFonts w:ascii="楷体_GB2312" w:eastAsia="楷体_GB2312"/>
          <w:color w:themeColor="text1" w:val="000000"/>
          <w:sz w:val="20"/>
          <w:szCs w:val="20"/>
          <w:highlight w:val="none"/>
          <w14:textFill>
            <w14:solidFill>
              <w14:schemeClr w14:val="tx1"/>
            </w14:solidFill>
          </w14:textFill>
        </w:rPr>
        <w:t>非标准化债权类资产</w:t>
      </w:r>
      <w:r>
        <w:rPr>
          <w:rFonts w:ascii="楷体_GB2312" w:eastAsia="楷体_GB2312" w:hint="eastAsia"/>
          <w:color w:themeColor="text1" w:val="000000"/>
          <w:sz w:val="20"/>
          <w:szCs w:val="20"/>
          <w:highlight w:val="none"/>
          <w14:textFill>
            <w14:solidFill>
              <w14:schemeClr w14:val="tx1"/>
            </w14:solidFill>
          </w14:textFill>
        </w:rPr>
        <w:t>和其他固定收益类资产；</w:t>
      </w:r>
    </w:p>
    <w:p w14:paraId="76EF9675">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w:t>
      </w:r>
      <w:r>
        <w:rPr>
          <w:rFonts w:ascii="Times New Roman" w:eastAsia="楷体_GB2312" w:hAnsi="Times New Roman"/>
          <w:color w:themeColor="text1" w:val="000000"/>
          <w:sz w:val="20"/>
          <w:szCs w:val="20"/>
          <w:highlight w:val="none"/>
          <w14:textFill>
            <w14:solidFill>
              <w14:schemeClr w14:val="tx1"/>
            </w14:solidFill>
          </w14:textFill>
        </w:rPr>
        <w:t>2）</w:t>
      </w:r>
      <w:r>
        <w:rPr>
          <w:rFonts w:ascii="Times New Roman" w:eastAsia="楷体_GB2312" w:hAnsi="Times New Roman" w:hint="eastAsia"/>
          <w:color w:themeColor="text1" w:val="000000"/>
          <w:sz w:val="20"/>
          <w:szCs w:val="20"/>
          <w:highlight w:val="none"/>
          <w14:textFill>
            <w14:solidFill>
              <w14:schemeClr w14:val="tx1"/>
            </w14:solidFill>
          </w14:textFill>
        </w:rPr>
        <w:t>权益</w:t>
      </w:r>
      <w:r>
        <w:rPr>
          <w:rFonts w:ascii="Times New Roman" w:eastAsia="楷体_GB2312" w:hAnsi="Times New Roman"/>
          <w:color w:themeColor="text1" w:val="000000"/>
          <w:sz w:val="20"/>
          <w:szCs w:val="20"/>
          <w:highlight w:val="none"/>
          <w14:textFill>
            <w14:solidFill>
              <w14:schemeClr w14:val="tx1"/>
            </w14:solidFill>
          </w14:textFill>
        </w:rPr>
        <w:t>类</w:t>
      </w:r>
      <w:r>
        <w:rPr>
          <w:rFonts w:ascii="Times New Roman" w:eastAsia="楷体_GB2312" w:hAnsi="Times New Roman" w:hint="eastAsia"/>
          <w:color w:themeColor="text1" w:val="000000"/>
          <w:sz w:val="20"/>
          <w:szCs w:val="20"/>
          <w:highlight w:val="none"/>
          <w14:textFill>
            <w14:solidFill>
              <w14:schemeClr w14:val="tx1"/>
            </w14:solidFill>
          </w14:textFill>
        </w:rPr>
        <w:t>资产</w:t>
      </w:r>
      <w:r>
        <w:rPr>
          <w:rFonts w:ascii="Times New Roman" w:eastAsia="楷体_GB2312" w:hAnsi="Times New Roman"/>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上市</w:t>
      </w:r>
      <w:r>
        <w:rPr>
          <w:rFonts w:ascii="楷体_GB2312" w:cs="楷体_GB2312" w:eastAsia="楷体_GB2312"/>
          <w:color w:themeColor="text1" w:val="000000"/>
          <w:sz w:val="20"/>
          <w:szCs w:val="20"/>
          <w:highlight w:val="none"/>
          <w14:textFill>
            <w14:solidFill>
              <w14:schemeClr w14:val="tx1"/>
            </w14:solidFill>
          </w14:textFill>
        </w:rPr>
        <w:t>交易</w:t>
      </w:r>
      <w:r>
        <w:rPr>
          <w:rFonts w:ascii="楷体_GB2312" w:cs="楷体_GB2312" w:eastAsia="楷体_GB2312" w:hint="eastAsia"/>
          <w:color w:themeColor="text1" w:val="000000"/>
          <w:sz w:val="20"/>
          <w:szCs w:val="20"/>
          <w:highlight w:val="none"/>
          <w14:textFill>
            <w14:solidFill>
              <w14:schemeClr w14:val="tx1"/>
            </w14:solidFill>
          </w14:textFill>
        </w:rPr>
        <w:t>的</w:t>
      </w:r>
      <w:r>
        <w:rPr>
          <w:rFonts w:ascii="楷体_GB2312" w:cs="楷体_GB2312" w:eastAsia="楷体_GB2312"/>
          <w:color w:themeColor="text1" w:val="000000"/>
          <w:sz w:val="20"/>
          <w:szCs w:val="20"/>
          <w:highlight w:val="none"/>
          <w14:textFill>
            <w14:solidFill>
              <w14:schemeClr w14:val="tx1"/>
            </w14:solidFill>
          </w14:textFill>
        </w:rPr>
        <w:t>股票以及法律法规允许或监管部门批准的其他具备权益特征的资产和资产组合</w:t>
      </w:r>
      <w:r>
        <w:rPr>
          <w:rFonts w:ascii="Times New Roman" w:eastAsia="楷体_GB2312" w:hAnsi="Times New Roman"/>
          <w:color w:themeColor="text1" w:val="000000"/>
          <w:sz w:val="20"/>
          <w:szCs w:val="20"/>
          <w:highlight w:val="none"/>
          <w14:textFill>
            <w14:solidFill>
              <w14:schemeClr w14:val="tx1"/>
            </w14:solidFill>
          </w14:textFill>
        </w:rPr>
        <w:t>。</w:t>
      </w:r>
    </w:p>
    <w:p w14:paraId="6C290A87">
      <w:pPr>
        <w:spacing w:line="300" w:lineRule="exact"/>
        <w:ind w:firstLine="422" w:left="-2" w:leftChars="-1"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w:t>
      </w:r>
      <w:r>
        <w:rPr>
          <w:rFonts w:ascii="Times New Roman" w:eastAsia="楷体_GB2312" w:hAnsi="Times New Roman"/>
          <w:color w:themeColor="text1" w:val="000000"/>
          <w:sz w:val="20"/>
          <w:szCs w:val="20"/>
          <w:highlight w:val="none"/>
          <w14:textFill>
            <w14:solidFill>
              <w14:schemeClr w14:val="tx1"/>
            </w14:solidFill>
          </w14:textFill>
        </w:rPr>
        <w:t>3</w:t>
      </w:r>
      <w:r>
        <w:rPr>
          <w:rFonts w:ascii="Times New Roman" w:eastAsia="楷体_GB2312" w:hAnsi="Times New Roman" w:hint="eastAsia"/>
          <w:color w:themeColor="text1" w:val="000000"/>
          <w:sz w:val="20"/>
          <w:szCs w:val="20"/>
          <w:highlight w:val="none"/>
          <w14:textFill>
            <w14:solidFill>
              <w14:schemeClr w14:val="tx1"/>
            </w14:solidFill>
          </w14:textFill>
        </w:rPr>
        <w:t>）商品</w:t>
      </w:r>
      <w:r>
        <w:rPr>
          <w:rFonts w:ascii="Times New Roman" w:eastAsia="楷体_GB2312" w:hAnsi="Times New Roman"/>
          <w:color w:themeColor="text1" w:val="000000"/>
          <w:sz w:val="20"/>
          <w:szCs w:val="20"/>
          <w:highlight w:val="none"/>
          <w14:textFill>
            <w14:solidFill>
              <w14:schemeClr w14:val="tx1"/>
            </w14:solidFill>
          </w14:textFill>
        </w:rPr>
        <w:t>及</w:t>
      </w:r>
      <w:r>
        <w:rPr>
          <w:rFonts w:ascii="Times New Roman" w:eastAsia="楷体_GB2312" w:hAnsi="Times New Roman" w:hint="eastAsia"/>
          <w:color w:themeColor="text1" w:val="000000"/>
          <w:sz w:val="20"/>
          <w:szCs w:val="20"/>
          <w:highlight w:val="none"/>
          <w14:textFill>
            <w14:solidFill>
              <w14:schemeClr w14:val="tx1"/>
            </w14:solidFill>
          </w14:textFill>
        </w:rPr>
        <w:t>金融</w:t>
      </w:r>
      <w:r>
        <w:rPr>
          <w:rFonts w:ascii="Times New Roman" w:eastAsia="楷体_GB2312" w:hAnsi="Times New Roman"/>
          <w:color w:themeColor="text1" w:val="000000"/>
          <w:sz w:val="20"/>
          <w:szCs w:val="20"/>
          <w:highlight w:val="none"/>
          <w14:textFill>
            <w14:solidFill>
              <w14:schemeClr w14:val="tx1"/>
            </w14:solidFill>
          </w14:textFill>
        </w:rPr>
        <w:t>衍生品类资产：</w:t>
      </w:r>
      <w:r>
        <w:rPr>
          <w:rFonts w:ascii="Times New Roman" w:eastAsia="楷体_GB2312" w:hAnsi="Times New Roman" w:hint="eastAsia"/>
          <w:color w:themeColor="text1" w:val="000000"/>
          <w:sz w:val="20"/>
          <w:szCs w:val="20"/>
          <w:highlight w:val="none"/>
          <w14:textFill>
            <w14:solidFill>
              <w14:schemeClr w14:val="tx1"/>
            </w14:solidFill>
          </w14:textFill>
        </w:rPr>
        <w:t>商品现货，互换</w:t>
      </w:r>
      <w:r>
        <w:rPr>
          <w:rFonts w:ascii="Times New Roman" w:eastAsia="楷体_GB2312" w:hAnsi="Times New Roman"/>
          <w:color w:themeColor="text1" w:val="000000"/>
          <w:sz w:val="20"/>
          <w:szCs w:val="20"/>
          <w:highlight w:val="none"/>
          <w14:textFill>
            <w14:solidFill>
              <w14:schemeClr w14:val="tx1"/>
            </w14:solidFill>
          </w14:textFill>
        </w:rPr>
        <w:t>、</w:t>
      </w:r>
      <w:r>
        <w:rPr>
          <w:rFonts w:ascii="Times New Roman" w:eastAsia="楷体_GB2312" w:hAnsi="Times New Roman" w:hint="eastAsia"/>
          <w:color w:themeColor="text1" w:val="000000"/>
          <w:sz w:val="20"/>
          <w:szCs w:val="20"/>
          <w:highlight w:val="none"/>
          <w14:textFill>
            <w14:solidFill>
              <w14:schemeClr w14:val="tx1"/>
            </w14:solidFill>
          </w14:textFill>
        </w:rPr>
        <w:t>远期、掉期、期货、期权、信用风险缓释工具等衍生工具及其他资产或者资产组合（管理人将通过其他资产管理产品以及其他符合法律法规的投资渠道和方式实现对商品及金融衍生品类资产的投资）。</w:t>
      </w:r>
    </w:p>
    <w:p w14:paraId="060F24D1">
      <w:pPr>
        <w:spacing w:line="300" w:lineRule="exact"/>
        <w:ind w:firstLine="420" w:firstLineChars="0" w:right="36" w:rightChars="15"/>
        <w:jc w:val="both"/>
        <w:rPr>
          <w:rFonts w:ascii="Times New Roman" w:eastAsia="楷体_GB2312" w:hAnsi="Times New Roman"/>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3</w:t>
      </w:r>
      <w:r>
        <w:rPr>
          <w:rFonts w:ascii="楷体_GB2312" w:eastAsia="楷体_GB2312" w:hint="eastAsia"/>
          <w:color w:themeColor="text1" w:val="000000"/>
          <w:sz w:val="20"/>
          <w:szCs w:val="20"/>
          <w:highlight w:val="none"/>
          <w14:textFill>
            <w14:solidFill>
              <w14:schemeClr w14:val="tx1"/>
            </w14:solidFill>
          </w14:textFill>
        </w:rPr>
        <w:t>．</w:t>
      </w:r>
      <w:r>
        <w:rPr>
          <w:rFonts w:ascii="Times New Roman" w:eastAsia="楷体_GB2312" w:hAnsi="Times New Roman" w:hint="eastAsia"/>
          <w:color w:themeColor="text1" w:val="000000"/>
          <w:sz w:val="20"/>
          <w:szCs w:val="20"/>
          <w:highlight w:val="none"/>
          <w14:textFill>
            <w14:solidFill>
              <w14:schemeClr w14:val="tx1"/>
            </w14:solidFill>
          </w14:textFill>
        </w:rPr>
        <w:t>各</w:t>
      </w:r>
      <w:r>
        <w:rPr>
          <w:rFonts w:ascii="Times New Roman" w:eastAsia="楷体_GB2312" w:hAnsi="Times New Roman"/>
          <w:color w:themeColor="text1" w:val="000000"/>
          <w:sz w:val="20"/>
          <w:szCs w:val="20"/>
          <w:highlight w:val="none"/>
          <w14:textFill>
            <w14:solidFill>
              <w14:schemeClr w14:val="tx1"/>
            </w14:solidFill>
          </w14:textFill>
        </w:rPr>
        <w:t>投资对象投资比例为：</w:t>
      </w:r>
    </w:p>
    <w:tbl>
      <w:tblPr>
        <w:tblStyle w:val="9"/>
        <w:tblW w:type="pct" w:w="5000"/>
        <w:tblInd w:type="dxa"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autofit"/>
        <w:tblCellMar>
          <w:top w:type="dxa" w:w="0"/>
          <w:left w:type="dxa" w:w="108"/>
          <w:bottom w:type="dxa" w:w="0"/>
          <w:right w:type="dxa" w:w="108"/>
        </w:tblCellMar>
      </w:tblPr>
      <w:tblGrid>
        <w:gridCol w:w="4713"/>
        <w:gridCol w:w="3815"/>
      </w:tblGrid>
      <w:tr w14:paraId="4CFBB5EA">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4DF0D605">
            <w:pPr>
              <w:ind w:right="29" w:rightChars="12"/>
              <w:jc w:val="center"/>
              <w:rPr>
                <w:rFonts w:ascii="楷体" w:eastAsia="楷体" w:hAnsi="楷体"/>
                <w:b/>
                <w:bCs/>
                <w:color w:themeColor="text1" w:val="000000"/>
                <w:sz w:val="20"/>
                <w:szCs w:val="20"/>
                <w:highlight w:val="none"/>
                <w14:textFill>
                  <w14:solidFill>
                    <w14:schemeClr w14:val="tx1"/>
                  </w14:solidFill>
                </w14:textFill>
              </w:rPr>
            </w:pPr>
            <w:r>
              <w:rPr>
                <w:rFonts w:ascii="楷体" w:eastAsia="楷体" w:hAnsi="楷体" w:hint="eastAsia"/>
                <w:b/>
                <w:bCs/>
                <w:color w:themeColor="text1" w:val="000000"/>
                <w:sz w:val="20"/>
                <w:szCs w:val="20"/>
                <w:highlight w:val="none"/>
                <w14:textFill>
                  <w14:solidFill>
                    <w14:schemeClr w14:val="tx1"/>
                  </w14:solidFill>
                </w14:textFill>
              </w:rPr>
              <w:t>资产种类</w:t>
            </w:r>
          </w:p>
        </w:tc>
        <w:tc>
          <w:tcPr>
            <w:tcW w:type="pct" w:w="2237"/>
            <w:vAlign w:val="center"/>
          </w:tcPr>
          <w:p w14:paraId="1BA084F8">
            <w:pPr>
              <w:ind w:right="29" w:rightChars="12"/>
              <w:jc w:val="center"/>
              <w:rPr>
                <w:rFonts w:ascii="楷体" w:eastAsia="楷体" w:hAnsi="楷体"/>
                <w:b/>
                <w:bCs/>
                <w:color w:themeColor="text1" w:val="000000"/>
                <w:sz w:val="20"/>
                <w:szCs w:val="20"/>
                <w:highlight w:val="none"/>
                <w14:textFill>
                  <w14:solidFill>
                    <w14:schemeClr w14:val="tx1"/>
                  </w14:solidFill>
                </w14:textFill>
              </w:rPr>
            </w:pPr>
            <w:r>
              <w:rPr>
                <w:rFonts w:ascii="楷体" w:eastAsia="楷体" w:hAnsi="楷体" w:hint="eastAsia"/>
                <w:b/>
                <w:bCs/>
                <w:color w:themeColor="text1" w:val="000000"/>
                <w:sz w:val="20"/>
                <w:szCs w:val="20"/>
                <w:highlight w:val="none"/>
                <w14:textFill>
                  <w14:solidFill>
                    <w14:schemeClr w14:val="tx1"/>
                  </w14:solidFill>
                </w14:textFill>
              </w:rPr>
              <w:t>投资比例</w:t>
            </w:r>
          </w:p>
        </w:tc>
      </w:tr>
      <w:tr w14:paraId="061487A6">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23BD7430">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债权类资产</w:t>
            </w:r>
          </w:p>
        </w:tc>
        <w:tc>
          <w:tcPr>
            <w:tcW w:type="pct" w:w="2237"/>
            <w:vAlign w:val="center"/>
          </w:tcPr>
          <w:p w14:paraId="002CA2BD">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【80%-100%</w:t>
            </w:r>
            <w:r>
              <w:rPr>
                <w:rFonts w:ascii="楷体" w:eastAsia="楷体" w:hAnsi="楷体"/>
                <w:color w:themeColor="text1" w:val="000000"/>
                <w:sz w:val="20"/>
                <w:szCs w:val="20"/>
                <w:highlight w:val="none"/>
                <w14:textFill>
                  <w14:solidFill>
                    <w14:schemeClr w14:val="tx1"/>
                  </w14:solidFill>
                </w14:textFill>
              </w:rPr>
              <w:t/>
            </w:r>
            <w:r>
              <w:rPr>
                <w:rFonts w:ascii="楷体" w:eastAsia="楷体" w:hAnsi="楷体" w:hint="eastAsia"/>
                <w:color w:themeColor="text1" w:val="000000"/>
                <w:sz w:val="20"/>
                <w:szCs w:val="20"/>
                <w:highlight w:val="none"/>
                <w14:textFill>
                  <w14:solidFill>
                    <w14:schemeClr w14:val="tx1"/>
                  </w14:solidFill>
                </w14:textFill>
              </w:rPr>
              <w:t>】</w:t>
            </w:r>
          </w:p>
        </w:tc>
      </w:tr>
      <w:tr w14:paraId="2066F565">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4C95E97D">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其中</w:t>
            </w:r>
            <w:r>
              <w:rPr>
                <w:rFonts w:ascii="楷体" w:eastAsia="楷体" w:hAnsi="楷体"/>
                <w:color w:themeColor="text1" w:val="000000"/>
                <w:sz w:val="20"/>
                <w:szCs w:val="20"/>
                <w:highlight w:val="none"/>
                <w14:textFill>
                  <w14:solidFill>
                    <w14:schemeClr w14:val="tx1"/>
                  </w14:solidFill>
                </w14:textFill>
              </w:rPr>
              <w:t>，非标准化债权类资产</w:t>
            </w:r>
          </w:p>
        </w:tc>
        <w:tc>
          <w:tcPr>
            <w:tcW w:type="pct" w:w="2237"/>
            <w:vAlign w:val="center"/>
          </w:tcPr>
          <w:p w14:paraId="06CBEEFC">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【0%-49%</w:t>
            </w:r>
            <w:r>
              <w:rPr>
                <w:rFonts w:ascii="楷体" w:eastAsia="楷体" w:hAnsi="楷体"/>
                <w:color w:themeColor="text1" w:val="000000"/>
                <w:sz w:val="20"/>
                <w:szCs w:val="20"/>
                <w:highlight w:val="none"/>
                <w14:textFill>
                  <w14:solidFill>
                    <w14:schemeClr w14:val="tx1"/>
                  </w14:solidFill>
                </w14:textFill>
              </w:rPr>
              <w:t>】</w:t>
            </w:r>
          </w:p>
        </w:tc>
      </w:tr>
      <w:tr w14:paraId="76D4315F">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01F568B0">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权益类资产</w:t>
            </w:r>
          </w:p>
        </w:tc>
        <w:tc>
          <w:tcPr>
            <w:tcW w:type="pct" w:w="2237"/>
            <w:vAlign w:val="center"/>
          </w:tcPr>
          <w:p w14:paraId="4CAD7C05">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【0%</w:t>
            </w:r>
            <w:r>
              <w:rPr>
                <w:rFonts w:ascii="楷体" w:eastAsia="楷体" w:hAnsi="楷体"/>
                <w:color w:themeColor="text1" w:val="000000"/>
                <w:sz w:val="20"/>
                <w:szCs w:val="20"/>
                <w:highlight w:val="none"/>
                <w14:textFill>
                  <w14:solidFill>
                    <w14:schemeClr w14:val="tx1"/>
                  </w14:solidFill>
                </w14:textFill>
              </w:rPr>
              <w:t/>
            </w:r>
            <w:r>
              <w:rPr>
                <w:rFonts w:ascii="楷体" w:eastAsia="楷体" w:hAnsi="楷体" w:hint="eastAsia"/>
                <w:color w:themeColor="text1" w:val="000000"/>
                <w:sz w:val="20"/>
                <w:szCs w:val="20"/>
                <w:highlight w:val="none"/>
                <w14:textFill>
                  <w14:solidFill>
                    <w14:schemeClr w14:val="tx1"/>
                  </w14:solidFill>
                </w14:textFill>
              </w:rPr>
              <w:t>】</w:t>
            </w:r>
          </w:p>
        </w:tc>
      </w:tr>
      <w:tr w14:paraId="6F4EE1AF">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1BFAE4AE">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商品</w:t>
            </w:r>
            <w:r>
              <w:rPr>
                <w:rFonts w:ascii="楷体" w:eastAsia="楷体" w:hAnsi="楷体"/>
                <w:color w:themeColor="text1" w:val="000000"/>
                <w:sz w:val="20"/>
                <w:szCs w:val="20"/>
                <w:highlight w:val="none"/>
                <w14:textFill>
                  <w14:solidFill>
                    <w14:schemeClr w14:val="tx1"/>
                  </w14:solidFill>
                </w14:textFill>
              </w:rPr>
              <w:t>及</w:t>
            </w:r>
            <w:r>
              <w:rPr>
                <w:rFonts w:ascii="楷体" w:eastAsia="楷体" w:hAnsi="楷体" w:hint="eastAsia"/>
                <w:color w:themeColor="text1" w:val="000000"/>
                <w:sz w:val="20"/>
                <w:szCs w:val="20"/>
                <w:highlight w:val="none"/>
                <w14:textFill>
                  <w14:solidFill>
                    <w14:schemeClr w14:val="tx1"/>
                  </w14:solidFill>
                </w14:textFill>
              </w:rPr>
              <w:t>金融</w:t>
            </w:r>
            <w:r>
              <w:rPr>
                <w:rFonts w:ascii="楷体" w:eastAsia="楷体" w:hAnsi="楷体"/>
                <w:color w:themeColor="text1" w:val="000000"/>
                <w:sz w:val="20"/>
                <w:szCs w:val="20"/>
                <w:highlight w:val="none"/>
                <w14:textFill>
                  <w14:solidFill>
                    <w14:schemeClr w14:val="tx1"/>
                  </w14:solidFill>
                </w14:textFill>
              </w:rPr>
              <w:t>衍生品类</w:t>
            </w:r>
            <w:r>
              <w:rPr>
                <w:rFonts w:ascii="楷体" w:eastAsia="楷体" w:hAnsi="楷体" w:hint="eastAsia"/>
                <w:color w:themeColor="text1" w:val="000000"/>
                <w:sz w:val="20"/>
                <w:szCs w:val="20"/>
                <w:highlight w:val="none"/>
                <w14:textFill>
                  <w14:solidFill>
                    <w14:schemeClr w14:val="tx1"/>
                  </w14:solidFill>
                </w14:textFill>
              </w:rPr>
              <w:t>资产：持仓合约价值</w:t>
            </w:r>
          </w:p>
        </w:tc>
        <w:tc>
          <w:tcPr>
            <w:tcW w:type="pct" w:w="2237"/>
            <w:vAlign w:val="center"/>
          </w:tcPr>
          <w:p w14:paraId="6612C441">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【0%-20%</w:t>
            </w:r>
            <w:r>
              <w:rPr>
                <w:rFonts w:ascii="楷体" w:eastAsia="楷体" w:hAnsi="楷体"/>
                <w:color w:themeColor="text1" w:val="000000"/>
                <w:sz w:val="20"/>
                <w:szCs w:val="20"/>
                <w:highlight w:val="none"/>
                <w14:textFill>
                  <w14:solidFill>
                    <w14:schemeClr w14:val="tx1"/>
                  </w14:solidFill>
                </w14:textFill>
              </w:rPr>
              <w:t/>
            </w:r>
            <w:r>
              <w:rPr>
                <w:rFonts w:ascii="楷体" w:eastAsia="楷体" w:hAnsi="楷体" w:hint="eastAsia"/>
                <w:color w:themeColor="text1" w:val="000000"/>
                <w:sz w:val="20"/>
                <w:szCs w:val="20"/>
                <w:highlight w:val="none"/>
                <w14:textFill>
                  <w14:solidFill>
                    <w14:schemeClr w14:val="tx1"/>
                  </w14:solidFill>
                </w14:textFill>
              </w:rPr>
              <w:t>】</w:t>
            </w:r>
          </w:p>
        </w:tc>
      </w:tr>
      <w:tr w14:paraId="67AD8BD0">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2763"/>
            <w:vAlign w:val="center"/>
          </w:tcPr>
          <w:p w14:paraId="361AB169">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商品</w:t>
            </w:r>
            <w:r>
              <w:rPr>
                <w:rFonts w:ascii="楷体" w:eastAsia="楷体" w:hAnsi="楷体"/>
                <w:color w:themeColor="text1" w:val="000000"/>
                <w:sz w:val="20"/>
                <w:szCs w:val="20"/>
                <w:highlight w:val="none"/>
                <w14:textFill>
                  <w14:solidFill>
                    <w14:schemeClr w14:val="tx1"/>
                  </w14:solidFill>
                </w14:textFill>
              </w:rPr>
              <w:t>及</w:t>
            </w:r>
            <w:r>
              <w:rPr>
                <w:rFonts w:ascii="楷体" w:eastAsia="楷体" w:hAnsi="楷体" w:hint="eastAsia"/>
                <w:color w:themeColor="text1" w:val="000000"/>
                <w:sz w:val="20"/>
                <w:szCs w:val="20"/>
                <w:highlight w:val="none"/>
                <w14:textFill>
                  <w14:solidFill>
                    <w14:schemeClr w14:val="tx1"/>
                  </w14:solidFill>
                </w14:textFill>
              </w:rPr>
              <w:t>金融</w:t>
            </w:r>
            <w:r>
              <w:rPr>
                <w:rFonts w:ascii="楷体" w:eastAsia="楷体" w:hAnsi="楷体"/>
                <w:color w:themeColor="text1" w:val="000000"/>
                <w:sz w:val="20"/>
                <w:szCs w:val="20"/>
                <w:highlight w:val="none"/>
                <w14:textFill>
                  <w14:solidFill>
                    <w14:schemeClr w14:val="tx1"/>
                  </w14:solidFill>
                </w14:textFill>
              </w:rPr>
              <w:t>衍生品类</w:t>
            </w:r>
            <w:r>
              <w:rPr>
                <w:rFonts w:ascii="楷体" w:eastAsia="楷体" w:hAnsi="楷体" w:hint="eastAsia"/>
                <w:color w:themeColor="text1" w:val="000000"/>
                <w:sz w:val="20"/>
                <w:szCs w:val="20"/>
                <w:highlight w:val="none"/>
                <w14:textFill>
                  <w14:solidFill>
                    <w14:schemeClr w14:val="tx1"/>
                  </w14:solidFill>
                </w14:textFill>
              </w:rPr>
              <w:t>资产：衍生品账户权益</w:t>
            </w:r>
          </w:p>
        </w:tc>
        <w:tc>
          <w:tcPr>
            <w:tcW w:type="pct" w:w="2237"/>
            <w:vAlign w:val="center"/>
          </w:tcPr>
          <w:p w14:paraId="486BB9BA">
            <w:pPr>
              <w:ind w:right="29" w:rightChars="12"/>
              <w:jc w:val="center"/>
              <w:rPr>
                <w:rFonts w:ascii="楷体" w:eastAsia="楷体" w:hAnsi="楷体"/>
                <w:color w:themeColor="text1" w:val="000000"/>
                <w:sz w:val="20"/>
                <w:szCs w:val="20"/>
                <w:highlight w:val="none"/>
                <w14:textFill>
                  <w14:solidFill>
                    <w14:schemeClr w14:val="tx1"/>
                  </w14:solidFill>
                </w14:textFill>
              </w:rPr>
            </w:pPr>
            <w:r>
              <w:rPr>
                <w:rFonts w:ascii="楷体" w:eastAsia="楷体" w:hAnsi="楷体" w:hint="eastAsia"/>
                <w:color w:themeColor="text1" w:val="000000"/>
                <w:sz w:val="20"/>
                <w:szCs w:val="20"/>
                <w:highlight w:val="none"/>
                <w14:textFill>
                  <w14:solidFill>
                    <w14:schemeClr w14:val="tx1"/>
                  </w14:solidFill>
                </w14:textFill>
              </w:rPr>
              <w:t>【0%-20%</w:t>
            </w:r>
            <w:r>
              <w:rPr>
                <w:rFonts w:ascii="楷体" w:eastAsia="楷体" w:hAnsi="楷体"/>
                <w:color w:themeColor="text1" w:val="000000"/>
                <w:sz w:val="20"/>
                <w:szCs w:val="20"/>
                <w:highlight w:val="none"/>
                <w14:textFill>
                  <w14:solidFill>
                    <w14:schemeClr w14:val="tx1"/>
                  </w14:solidFill>
                </w14:textFill>
              </w:rPr>
              <w:t/>
            </w:r>
            <w:r>
              <w:rPr>
                <w:rFonts w:ascii="楷体" w:eastAsia="楷体" w:hAnsi="楷体" w:hint="eastAsia"/>
                <w:color w:themeColor="text1" w:val="000000"/>
                <w:sz w:val="20"/>
                <w:szCs w:val="20"/>
                <w:highlight w:val="none"/>
                <w14:textFill>
                  <w14:solidFill>
                    <w14:schemeClr w14:val="tx1"/>
                  </w14:solidFill>
                </w14:textFill>
              </w:rPr>
              <w:t>】</w:t>
            </w:r>
          </w:p>
        </w:tc>
      </w:tr>
    </w:tbl>
    <w:p w14:paraId="065AA9BC">
      <w:pPr>
        <w:spacing w:line="300" w:lineRule="exact"/>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若本产品为商品及金融衍生品类产品，则上表中“持仓合约价值”及“衍生品账户权益”两项比例应同时满足；若本产品为其他类型产品，则上表中“持仓合约价值”及“衍生品账户权益”两项比例仅须满足其一。）</w:t>
      </w:r>
    </w:p>
    <w:p w14:paraId="4535435B">
      <w:pPr>
        <w:spacing w:line="300" w:lineRule="exact"/>
        <w:ind w:firstLine="426" w:firstLineChars="213"/>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本产品可通过信托、证券</w:t>
      </w:r>
      <w:r>
        <w:rPr>
          <w:rFonts w:ascii="Times New Roman" w:cs="楷体_GB2312" w:eastAsia="楷体_GB2312" w:hAnsi="Times New Roman"/>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基金</w:t>
      </w:r>
      <w:r>
        <w:rPr>
          <w:rFonts w:ascii="Times New Roman" w:cs="楷体_GB2312" w:eastAsia="楷体_GB2312" w:hAnsi="Times New Roman"/>
          <w:color w:themeColor="text1" w:val="000000"/>
          <w:sz w:val="20"/>
          <w:szCs w:val="20"/>
          <w:highlight w:val="none"/>
          <w14:textFill>
            <w14:solidFill>
              <w14:schemeClr w14:val="tx1"/>
            </w14:solidFill>
          </w14:textFill>
        </w:rPr>
        <w:t>、期货</w:t>
      </w: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color w:themeColor="text1" w:val="000000"/>
          <w:sz w:val="20"/>
          <w:szCs w:val="20"/>
          <w:highlight w:val="none"/>
          <w14:textFill>
            <w14:solidFill>
              <w14:schemeClr w14:val="tx1"/>
            </w14:solidFill>
          </w14:textFill>
        </w:rPr>
        <w:t>保险资产管理机构等依法设立的资产管理产品</w:t>
      </w:r>
      <w:r>
        <w:rPr>
          <w:rFonts w:ascii="Times New Roman" w:cs="楷体_GB2312" w:eastAsia="楷体_GB2312" w:hAnsi="Times New Roman" w:hint="eastAsia"/>
          <w:color w:themeColor="text1" w:val="000000"/>
          <w:sz w:val="20"/>
          <w:szCs w:val="20"/>
          <w:highlight w:val="none"/>
          <w14:textFill>
            <w14:solidFill>
              <w14:schemeClr w14:val="tx1"/>
            </w14:solidFill>
          </w14:textFill>
        </w:rPr>
        <w:t>以及其他符合国家相关政策、法律法规的投资渠道和方式实现对上述投资品种的投资，且可以由资产</w:t>
      </w:r>
      <w:r>
        <w:rPr>
          <w:rFonts w:ascii="Times New Roman" w:cs="楷体_GB2312" w:eastAsia="楷体_GB2312" w:hAnsi="Times New Roman" w:hint="eastAsia"/>
          <w:color w:themeColor="text1" w:val="000000"/>
          <w:sz w:val="20"/>
          <w:szCs w:val="20"/>
          <w:highlight w:val="none"/>
          <w:lang w:eastAsia="zh-CN" w:val="en-US"/>
          <w14:textFill>
            <w14:solidFill>
              <w14:schemeClr w14:val="tx1"/>
            </w14:solidFill>
          </w14:textFill>
        </w:rPr>
        <w:t>名义</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持有人按公允价格转让本产品所投资的全部或部分投资标的。</w:t>
      </w:r>
    </w:p>
    <w:p w14:paraId="42F021DF">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产品管理人应确保本产品建仓期后投资比例符合前述要求，</w:t>
      </w:r>
      <w:r>
        <w:rPr>
          <w:rFonts w:ascii="Times New Roman" w:cs="楷体_GB2312" w:eastAsia="楷体_GB2312" w:hAnsi="Times New Roman" w:hint="eastAsia"/>
          <w:color w:themeColor="text1" w:val="000000"/>
          <w:sz w:val="20"/>
          <w:szCs w:val="20"/>
          <w:highlight w:val="none"/>
          <w14:textFill>
            <w14:solidFill>
              <w14:schemeClr w14:val="tx1"/>
            </w14:solidFill>
          </w14:textFill>
        </w:rPr>
        <w:t>非因管理人主观因素导致突破前述比例限制的，管理人应在流动性受限资产可出售、可转让或者恢复交易的15个</w:t>
      </w:r>
      <w:r>
        <w:rPr>
          <w:rFonts w:ascii="Times New Roman" w:cs="楷体_GB2312" w:eastAsia="楷体_GB2312" w:hAnsi="Times New Roman"/>
          <w:color w:themeColor="text1" w:val="000000"/>
          <w:sz w:val="20"/>
          <w:szCs w:val="20"/>
          <w:highlight w:val="none"/>
          <w14:textFill>
            <w14:solidFill>
              <w14:schemeClr w14:val="tx1"/>
            </w14:solidFill>
          </w14:textFill>
        </w:rPr>
        <w:t>交易日内调整</w:t>
      </w:r>
      <w:r>
        <w:rPr>
          <w:rFonts w:ascii="Times New Roman" w:cs="楷体_GB2312" w:eastAsia="楷体_GB2312" w:hAnsi="Times New Roman" w:hint="eastAsia"/>
          <w:color w:themeColor="text1" w:val="000000"/>
          <w:sz w:val="20"/>
          <w:szCs w:val="20"/>
          <w:highlight w:val="none"/>
          <w14:textFill>
            <w14:solidFill>
              <w14:schemeClr w14:val="tx1"/>
            </w14:solidFill>
          </w14:textFill>
        </w:rPr>
        <w:t>至符合</w:t>
      </w:r>
      <w:r>
        <w:rPr>
          <w:rFonts w:ascii="Times New Roman" w:cs="楷体_GB2312" w:eastAsia="楷体_GB2312" w:hAnsi="Times New Roman"/>
          <w:color w:themeColor="text1" w:val="000000"/>
          <w:sz w:val="20"/>
          <w:szCs w:val="20"/>
          <w:highlight w:val="none"/>
          <w14:textFill>
            <w14:solidFill>
              <w14:schemeClr w14:val="tx1"/>
            </w14:solidFill>
          </w14:textFill>
        </w:rPr>
        <w:t>要求</w:t>
      </w: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color w:themeColor="text1" w:val="000000"/>
          <w:sz w:val="20"/>
          <w:szCs w:val="20"/>
          <w:highlight w:val="none"/>
          <w14:textFill>
            <w14:solidFill>
              <w14:schemeClr w14:val="tx1"/>
            </w14:solidFill>
          </w14:textFill>
        </w:rPr>
        <w:t>国务院银行业监督管理机构规定的特殊情形除外</w:t>
      </w: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p>
    <w:p w14:paraId="3B0557B5">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本产品的上述投资范围将有可能随国家法律法规及监管政策的变化而进行调整，或信银理财基于勤勉尽职从投资者利益出发，对投资范围进行调整。在本产品存续期间，信银理财</w:t>
      </w:r>
      <w:r>
        <w:rPr>
          <w:rFonts w:ascii="楷体_GB2312" w:cs="楷体_GB2312" w:eastAsia="楷体_GB2312"/>
          <w:color w:themeColor="text1" w:val="000000"/>
          <w:sz w:val="20"/>
          <w:szCs w:val="20"/>
          <w:highlight w:val="none"/>
          <w14:textFill>
            <w14:solidFill>
              <w14:schemeClr w14:val="tx1"/>
            </w14:solidFill>
          </w14:textFill>
        </w:rPr>
        <w:t>有权根据市场情况，在不损害投资者利益且根据</w:t>
      </w:r>
      <w:r>
        <w:rPr>
          <w:rFonts w:ascii="楷体_GB2312" w:cs="楷体_GB2312" w:eastAsia="楷体_GB2312" w:hint="eastAsia"/>
          <w:color w:themeColor="text1" w:val="000000"/>
          <w:sz w:val="20"/>
          <w:szCs w:val="20"/>
          <w:highlight w:val="none"/>
          <w14:textFill>
            <w14:solidFill>
              <w14:schemeClr w14:val="tx1"/>
            </w14:solidFill>
          </w14:textFill>
        </w:rPr>
        <w:t>本</w:t>
      </w:r>
      <w:r>
        <w:rPr>
          <w:rFonts w:ascii="楷体_GB2312" w:cs="楷体_GB2312" w:eastAsia="楷体_GB2312"/>
          <w:color w:themeColor="text1" w:val="000000"/>
          <w:sz w:val="20"/>
          <w:szCs w:val="20"/>
          <w:highlight w:val="none"/>
          <w14:textFill>
            <w14:solidFill>
              <w14:schemeClr w14:val="tx1"/>
            </w14:solidFill>
          </w14:textFill>
        </w:rPr>
        <w:t>说明书约定提前</w:t>
      </w:r>
      <w:r>
        <w:rPr>
          <w:rFonts w:ascii="楷体_GB2312" w:cs="楷体_GB2312" w:eastAsia="楷体_GB2312" w:hint="eastAsia"/>
          <w:color w:themeColor="text1" w:val="000000"/>
          <w:sz w:val="20"/>
          <w:szCs w:val="20"/>
          <w:highlight w:val="none"/>
          <w14:textFill>
            <w14:solidFill>
              <w14:schemeClr w14:val="tx1"/>
            </w14:solidFill>
          </w14:textFill>
        </w:rPr>
        <w:t>通知</w:t>
      </w:r>
      <w:r>
        <w:rPr>
          <w:rFonts w:ascii="楷体_GB2312" w:cs="楷体_GB2312" w:eastAsia="楷体_GB2312"/>
          <w:color w:themeColor="text1" w:val="000000"/>
          <w:sz w:val="20"/>
          <w:szCs w:val="20"/>
          <w:highlight w:val="none"/>
          <w14:textFill>
            <w14:solidFill>
              <w14:schemeClr w14:val="tx1"/>
            </w14:solidFill>
          </w14:textFill>
        </w:rPr>
        <w:t>投资者的情况下，对本</w:t>
      </w:r>
      <w:r>
        <w:rPr>
          <w:rFonts w:ascii="楷体_GB2312" w:cs="楷体_GB2312" w:eastAsia="楷体_GB2312" w:hint="eastAsia"/>
          <w:color w:themeColor="text1" w:val="000000"/>
          <w:sz w:val="20"/>
          <w:szCs w:val="20"/>
          <w:highlight w:val="none"/>
          <w14:textFill>
            <w14:solidFill>
              <w14:schemeClr w14:val="tx1"/>
            </w14:solidFill>
          </w14:textFill>
        </w:rPr>
        <w:t>产品</w:t>
      </w:r>
      <w:r>
        <w:rPr>
          <w:rFonts w:ascii="楷体_GB2312" w:cs="楷体_GB2312" w:eastAsia="楷体_GB2312"/>
          <w:color w:themeColor="text1" w:val="000000"/>
          <w:sz w:val="20"/>
          <w:szCs w:val="20"/>
          <w:highlight w:val="none"/>
          <w14:textFill>
            <w14:solidFill>
              <w14:schemeClr w14:val="tx1"/>
            </w14:solidFill>
          </w14:textFill>
        </w:rPr>
        <w:t>的</w:t>
      </w:r>
      <w:r>
        <w:rPr>
          <w:rFonts w:ascii="楷体_GB2312" w:cs="楷体_GB2312" w:eastAsia="楷体_GB2312" w:hint="eastAsia"/>
          <w:color w:themeColor="text1" w:val="000000"/>
          <w:sz w:val="20"/>
          <w:szCs w:val="20"/>
          <w:highlight w:val="none"/>
          <w14:textFill>
            <w14:solidFill>
              <w14:schemeClr w14:val="tx1"/>
            </w14:solidFill>
          </w14:textFill>
        </w:rPr>
        <w:t>投资范围、投资品种或投资比例进行</w:t>
      </w:r>
      <w:r>
        <w:rPr>
          <w:rFonts w:ascii="楷体_GB2312" w:cs="楷体_GB2312" w:eastAsia="楷体_GB2312"/>
          <w:color w:themeColor="text1" w:val="000000"/>
          <w:sz w:val="20"/>
          <w:szCs w:val="20"/>
          <w:highlight w:val="none"/>
          <w14:textFill>
            <w14:solidFill>
              <w14:schemeClr w14:val="tx1"/>
            </w14:solidFill>
          </w14:textFill>
        </w:rPr>
        <w:t>调</w:t>
      </w:r>
      <w:r>
        <w:rPr>
          <w:rFonts w:ascii="楷体_GB2312" w:cs="楷体_GB2312" w:eastAsia="楷体_GB2312"/>
          <w:sz w:val="20"/>
          <w:szCs w:val="20"/>
          <w:highlight w:val="none"/>
        </w:rPr>
        <w:t>整</w:t>
      </w:r>
      <w:r>
        <w:rPr>
          <w:rFonts w:ascii="楷体_GB2312" w:cs="楷体_GB2312" w:eastAsia="楷体_GB2312" w:hint="eastAsia"/>
          <w:sz w:val="20"/>
          <w:szCs w:val="20"/>
          <w:highlight w:val="none"/>
        </w:rPr>
        <w:t>。投资者</w:t>
      </w:r>
      <w:r>
        <w:rPr>
          <w:rFonts w:ascii="楷体_GB2312" w:cs="楷体_GB2312" w:eastAsia="楷体_GB2312"/>
          <w:sz w:val="20"/>
          <w:szCs w:val="20"/>
          <w:highlight w:val="none"/>
        </w:rPr>
        <w:t>不接受的，可</w:t>
      </w:r>
      <w:r>
        <w:rPr>
          <w:rFonts w:ascii="楷体_GB2312" w:cs="楷体_GB2312" w:eastAsia="楷体_GB2312" w:hint="eastAsia"/>
          <w:sz w:val="20"/>
          <w:szCs w:val="20"/>
          <w:highlight w:val="none"/>
        </w:rPr>
        <w:t>提前</w:t>
      </w:r>
      <w:r>
        <w:rPr>
          <w:rFonts w:ascii="楷体_GB2312" w:cs="楷体_GB2312" w:eastAsia="楷体_GB2312"/>
          <w:sz w:val="20"/>
          <w:szCs w:val="20"/>
          <w:highlight w:val="none"/>
        </w:rPr>
        <w:t>赎回理财产品，</w:t>
      </w:r>
      <w:r>
        <w:rPr>
          <w:rFonts w:ascii="楷体_GB2312" w:cs="楷体_GB2312" w:eastAsia="楷体_GB2312" w:hint="eastAsia"/>
          <w:sz w:val="20"/>
          <w:szCs w:val="20"/>
          <w:highlight w:val="none"/>
        </w:rPr>
        <w:t>信银理财有权根据情况设立临时的赎回开放日</w:t>
      </w:r>
      <w:r>
        <w:rPr>
          <w:rFonts w:ascii="楷体_GB2312" w:cs="楷体_GB2312" w:eastAsia="楷体_GB2312"/>
          <w:sz w:val="20"/>
          <w:szCs w:val="20"/>
          <w:highlight w:val="none"/>
        </w:rPr>
        <w:t>。</w:t>
      </w:r>
      <w:r>
        <w:rPr>
          <w:rFonts w:ascii="楷体_GB2312" w:cs="楷体_GB2312" w:eastAsia="楷体_GB2312" w:hint="eastAsia"/>
          <w:color w:themeColor="text1" w:val="000000"/>
          <w:sz w:val="20"/>
          <w:szCs w:val="20"/>
          <w:highlight w:val="none"/>
          <w14:textFill>
            <w14:solidFill>
              <w14:schemeClr w14:val="tx1"/>
            </w14:solidFill>
          </w14:textFill>
        </w:rPr>
        <w:t>除</w:t>
      </w:r>
      <w:r>
        <w:rPr>
          <w:rFonts w:ascii="楷体_GB2312" w:cs="楷体_GB2312" w:eastAsia="楷体_GB2312"/>
          <w:color w:themeColor="text1" w:val="000000"/>
          <w:sz w:val="20"/>
          <w:szCs w:val="20"/>
          <w:highlight w:val="none"/>
          <w14:textFill>
            <w14:solidFill>
              <w14:schemeClr w14:val="tx1"/>
            </w14:solidFill>
          </w14:textFill>
        </w:rPr>
        <w:t>高风险类型的产品超出比例范围投资较低风险资产外，</w:t>
      </w:r>
      <w:r>
        <w:rPr>
          <w:rFonts w:ascii="楷体_GB2312" w:cs="楷体_GB2312" w:eastAsia="楷体_GB2312" w:hint="eastAsia"/>
          <w:color w:themeColor="text1" w:val="000000"/>
          <w:sz w:val="20"/>
          <w:szCs w:val="20"/>
          <w:highlight w:val="none"/>
          <w14:textFill>
            <w14:solidFill>
              <w14:schemeClr w14:val="tx1"/>
            </w14:solidFill>
          </w14:textFill>
        </w:rPr>
        <w:t>产品管理人应按</w:t>
      </w:r>
      <w:r>
        <w:rPr>
          <w:rFonts w:ascii="楷体_GB2312" w:cs="楷体_GB2312" w:eastAsia="楷体_GB2312"/>
          <w:color w:themeColor="text1" w:val="000000"/>
          <w:sz w:val="20"/>
          <w:szCs w:val="20"/>
          <w:highlight w:val="none"/>
          <w14:textFill>
            <w14:solidFill>
              <w14:schemeClr w14:val="tx1"/>
            </w14:solidFill>
          </w14:textFill>
        </w:rPr>
        <w:t>监管要求</w:t>
      </w:r>
      <w:r>
        <w:rPr>
          <w:rFonts w:ascii="楷体_GB2312" w:cs="楷体_GB2312" w:eastAsia="楷体_GB2312" w:hint="eastAsia"/>
          <w:color w:themeColor="text1" w:val="000000"/>
          <w:sz w:val="20"/>
          <w:szCs w:val="20"/>
          <w:highlight w:val="none"/>
          <w14:textFill>
            <w14:solidFill>
              <w14:schemeClr w14:val="tx1"/>
            </w14:solidFill>
          </w14:textFill>
        </w:rPr>
        <w:t>提前</w:t>
      </w:r>
      <w:r>
        <w:rPr>
          <w:rFonts w:ascii="楷体_GB2312" w:cs="楷体_GB2312" w:eastAsia="楷体_GB2312"/>
          <w:color w:themeColor="text1" w:val="000000"/>
          <w:sz w:val="20"/>
          <w:szCs w:val="20"/>
          <w:highlight w:val="none"/>
          <w14:textFill>
            <w14:solidFill>
              <w14:schemeClr w14:val="tx1"/>
            </w14:solidFill>
          </w14:textFill>
        </w:rPr>
        <w:t>取得投资者书面同意</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并履行登记备案等法律法规以及金融监督管理部门规定的程序。</w:t>
      </w:r>
    </w:p>
    <w:p w14:paraId="76EDFE13">
      <w:pPr>
        <w:spacing w:line="300" w:lineRule="exact"/>
        <w:ind w:firstLine="420" w:firstLineChars="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4</w:t>
      </w:r>
      <w:r>
        <w:rPr>
          <w:rFonts w:ascii="楷体_GB2312" w:eastAsia="楷体_GB2312"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投资</w:t>
      </w:r>
      <w:r>
        <w:rPr>
          <w:rFonts w:ascii="Times New Roman" w:cs="楷体_GB2312" w:eastAsia="楷体_GB2312" w:hAnsi="Times New Roman"/>
          <w:color w:themeColor="text1" w:val="000000"/>
          <w:sz w:val="20"/>
          <w:szCs w:val="20"/>
          <w:highlight w:val="none"/>
          <w14:textFill>
            <w14:solidFill>
              <w14:schemeClr w14:val="tx1"/>
            </w14:solidFill>
          </w14:textFill>
        </w:rPr>
        <w:t>限制：</w:t>
      </w:r>
    </w:p>
    <w:p w14:paraId="32AEEF17">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（1）本产品总资产不得超过净资产的</w:t>
      </w:r>
      <w:r>
        <w:rPr>
          <w:rFonts w:ascii="Times New Roman" w:cs="楷体_GB2312" w:eastAsia="楷体_GB2312" w:hAnsi="Times New Roman"/>
          <w:color w:themeColor="text1" w:val="000000"/>
          <w:sz w:val="20"/>
          <w:szCs w:val="20"/>
          <w:highlight w:val="none"/>
          <w14:textFill>
            <w14:solidFill>
              <w14:schemeClr w14:val="tx1"/>
            </w14:solidFill>
          </w14:textFill>
        </w:rPr>
        <w:t>200%；</w:t>
      </w:r>
    </w:p>
    <w:p w14:paraId="712A2732">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color w:themeColor="text1" w:val="000000"/>
          <w:sz w:val="20"/>
          <w:szCs w:val="20"/>
          <w:highlight w:val="none"/>
          <w14:textFill>
            <w14:solidFill>
              <w14:schemeClr w14:val="tx1"/>
            </w14:solidFill>
          </w14:textFill>
        </w:rPr>
        <w:t>（2）</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本产品投资单只证券或者单只公募证券投资基金的市值不得超过产品净资产的</w:t>
      </w:r>
      <w:r>
        <w:rPr>
          <w:rFonts w:ascii="Times New Roman" w:cs="楷体_GB2312" w:eastAsia="楷体_GB2312" w:hAnsi="Times New Roman"/>
          <w:color w:themeColor="text1" w:val="000000"/>
          <w:sz w:val="20"/>
          <w:szCs w:val="20"/>
          <w:highlight w:val="none"/>
          <w14:textFill>
            <w14:solidFill>
              <w14:schemeClr w14:val="tx1"/>
            </w14:solidFill>
          </w14:textFill>
        </w:rPr>
        <w:t>10%，投资于国债、地方政府债券、中央银行票据、政府机构债券、政策性金融债券以及完全按照有关指数的构成比例进行投资的除外；非因产品管理人主观因素导致突破前述比例限制的，产品管理人应当在流动性受限资产可出售、可转让或者恢复交易的10个交易日内调整至符合要求，国务院银行业监督管理机构规定的特殊情形除外。</w:t>
      </w:r>
    </w:p>
    <w:p w14:paraId="6717F508">
      <w:pPr>
        <w:spacing w:line="300" w:lineRule="exact"/>
        <w:ind w:firstLine="426" w:firstLineChars="213"/>
        <w:jc w:val="both"/>
        <w:rPr>
          <w:rFonts w:ascii="Times New Roman" w:cs="楷体_GB2312" w:eastAsia="楷体_GB2312" w:hAnsi="Times New Roman"/>
          <w:b/>
          <w:bCs/>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（3</w:t>
      </w:r>
      <w:r>
        <w:rPr>
          <w:rFonts w:ascii="Times New Roman" w:cs="楷体_GB2312" w:eastAsia="楷体_GB2312" w:hAnsi="Times New Roman"/>
          <w:color w:themeColor="text1" w:val="000000"/>
          <w:sz w:val="20"/>
          <w:szCs w:val="20"/>
          <w:highlight w:val="none"/>
          <w14:textFill>
            <w14:solidFill>
              <w14:schemeClr w14:val="tx1"/>
            </w14:solidFill>
          </w14:textFill>
        </w:rPr>
        <w:t>）</w:t>
      </w:r>
      <w:r>
        <w:rPr>
          <w:rFonts w:ascii="Times New Roman" w:cs="楷体_GB2312" w:eastAsia="楷体_GB2312" w:hAnsi="Times New Roman"/>
          <w:b/>
          <w:bCs/>
          <w:color w:themeColor="text1" w:val="000000"/>
          <w:sz w:val="20"/>
          <w:szCs w:val="20"/>
          <w:highlight w:val="none"/>
          <w14:textFill>
            <w14:solidFill>
              <w14:schemeClr w14:val="tx1"/>
            </w14:solidFill>
          </w14:textFill>
        </w:rPr>
        <w:t>本产品可以同时出现下述两种情形（具体以本产品说明书约定和实际运作情况为准）：</w:t>
      </w:r>
    </w:p>
    <w:p w14:paraId="4C5C2F2E">
      <w:pPr>
        <w:spacing w:line="300" w:lineRule="exact"/>
        <w:ind w:firstLine="426" w:firstLineChars="213"/>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color w:themeColor="text1" w:val="000000"/>
          <w:sz w:val="20"/>
          <w:szCs w:val="20"/>
          <w:highlight w:val="none"/>
          <w14:textFill>
            <w14:solidFill>
              <w14:schemeClr w14:val="tx1"/>
            </w14:solidFill>
          </w14:textFill>
        </w:rPr>
        <w:t>a）计划投资不存在活跃交易市场，并且需要采用估值技术确定公允价值的资产；</w:t>
      </w:r>
    </w:p>
    <w:p w14:paraId="19A454A4">
      <w:pPr>
        <w:spacing w:line="300" w:lineRule="exact"/>
        <w:ind w:firstLine="426" w:firstLineChars="213"/>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color w:themeColor="text1" w:val="000000"/>
          <w:sz w:val="20"/>
          <w:szCs w:val="20"/>
          <w:highlight w:val="none"/>
          <w14:textFill>
            <w14:solidFill>
              <w14:schemeClr w14:val="tx1"/>
            </w14:solidFill>
          </w14:textFill>
        </w:rPr>
        <w:t>b）计划投资上述资产的比例达到产品净资产50%以上。</w:t>
      </w:r>
      <w:r>
        <w:rPr>
          <w:rFonts w:ascii="楷体_GB2312" w:eastAsia="楷体_GB2312" w:hint="eastAsia"/>
          <w:color w:themeColor="text1" w:val="000000"/>
          <w:sz w:val="20"/>
          <w:szCs w:val="20"/>
          <w:highlight w:val="none"/>
          <w14:textFill>
            <w14:solidFill>
              <w14:schemeClr w14:val="tx1"/>
            </w14:solidFill>
          </w14:textFill>
        </w:rPr>
        <w:t/>
      </w:r>
    </w:p>
    <w:p w14:paraId="2B58A500">
      <w:pPr>
        <w:spacing w:line="300" w:lineRule="exact"/>
        <w:ind w:firstLine="400" w:firstLineChars="200"/>
        <w:jc w:val="both"/>
        <w:rPr>
          <w:rFonts w:ascii="Times New Roman" w:cs="楷体_GB2312" w:eastAsia="楷体_GB2312" w:hAnsi="Times New Roman"/>
          <w:color w:themeColor="text1" w:val="000000"/>
          <w:sz w:val="20"/>
          <w:szCs w:val="20"/>
          <w:highlight w:val="none"/>
          <w:u w:val="singl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5</w:t>
      </w:r>
      <w:r>
        <w:rPr>
          <w:rFonts w:ascii="楷体_GB2312" w:eastAsia="楷体_GB2312"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投资合作机构指理财产品所投资资产管理产品的发行机构、根据合同约定从事理财产品受托投资的机构以及与理财产品投资管理相关的投资顾问等机构。投资合作机构的主要职责为进行受托资金的投资管理，根据合同约定从事受托投资或提供投资顾问等服务，具体职责以管理人与投资合作机构签署的合同为准。</w:t>
      </w:r>
    </w:p>
    <w:p w14:paraId="5D2AEFE2">
      <w:pPr>
        <w:spacing w:line="300" w:lineRule="exact"/>
        <w:ind w:firstLine="400" w:firstLineChars="200"/>
        <w:jc w:val="both"/>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6</w:t>
      </w:r>
      <w:r>
        <w:rPr>
          <w:rFonts w:ascii="楷体_GB2312" w:eastAsia="楷体_GB2312" w:hint="eastAsia"/>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在合法合规且履行应履行的内外部程序后，理财产品可能与管理人及其控股股东、实际控制人等发生关联交易。</w:t>
      </w:r>
    </w:p>
    <w:p w14:paraId="62796547">
      <w:pPr>
        <w:spacing w:line="300" w:lineRule="exact"/>
        <w:ind w:firstLine="400" w:firstLineChars="200"/>
        <w:rPr>
          <w:rFonts w:ascii="Times New Roman" w:cs="楷体_GB2312" w:eastAsia="楷体_GB2312" w:hAnsi="Times New Roman"/>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7.本产品可投资于非标准化债权类资产，信银理财将按照监管规定，向投资者披露产品投资每笔非标准化债权类资产的融资客户、项目名称、剩余融资期限、到期收益分配、交易结构、风险状况等资产信息。</w:t>
      </w:r>
    </w:p>
    <w:p w14:paraId="4C700E0C">
      <w:pPr>
        <w:spacing w:line="300" w:lineRule="exact"/>
        <w:ind w:right="48" w:rightChars="20"/>
        <w:jc w:val="both"/>
        <w:rPr>
          <w:color w:themeColor="text1" w:val="000000"/>
          <w:highlight w:val="none"/>
          <w14:textFill>
            <w14:solidFill>
              <w14:schemeClr w14:val="tx1"/>
            </w14:solidFill>
          </w14:textFill>
        </w:rPr>
      </w:pPr>
    </w:p>
    <w:p w14:paraId="23DEDF75">
      <w:pPr>
        <w:snapToGrid w:val="0"/>
        <w:ind w:left="-2" w:leftChars="-1" w:right="53" w:rightChars="22"/>
        <w:outlineLvl w:val="0"/>
        <w:rPr>
          <w:rFonts w:ascii="楷体" w:eastAsia="楷体" w:hAnsi="楷体"/>
          <w:color w:themeColor="text1" w:val="00000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二、产品基本要素</w:t>
      </w:r>
    </w:p>
    <w:tbl>
      <w:tblPr>
        <w:tblStyle w:val="9"/>
        <w:tblW w:type="pct" w:w="500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200"/>
        <w:gridCol w:w="6328"/>
      </w:tblGrid>
      <w:tr w14:paraId="39D4BA3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90"/>
        </w:trPr>
        <w:tc>
          <w:tcPr>
            <w:tcW w:type="pct" w:w="1290"/>
            <w:vAlign w:val="center"/>
          </w:tcPr>
          <w:p w14:paraId="6269E19B">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产品名称</w:t>
            </w:r>
          </w:p>
        </w:tc>
        <w:tc>
          <w:tcPr>
            <w:tcW w:type="pct" w:w="3709"/>
            <w:vAlign w:val="center"/>
          </w:tcPr>
          <w:p w14:paraId="76DC5EED">
            <w:pPr>
              <w:spacing w:line="300" w:lineRule="exact"/>
              <w:ind w:left="-2" w:leftChars="-1" w:right="36" w:rightChars="15"/>
              <w:rPr>
                <w:color w:themeColor="text1" w:val="00000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【信银理财安盈象固收稳利封闭式976号理财产品</w:t>
            </w:r>
            <w:r>
              <w:rPr>
                <w:rFonts w:ascii="楷体_GB2312" w:cs="楷体_GB2312" w:eastAsia="楷体_GB2312" w:hint="eastAsia"/>
                <w:color w:val="000000"/>
                <w:sz w:val="20"/>
                <w:szCs w:val="20"/>
                <w:highlight w:val="none"/>
              </w:rPr>
              <w:t/>
            </w:r>
            <w:r>
              <w:rPr>
                <w:rFonts w:ascii="楷体_GB2312" w:cs="楷体_GB2312" w:eastAsia="楷体_GB2312"/>
                <w:color w:val="000000"/>
                <w:sz w:val="20"/>
                <w:szCs w:val="20"/>
                <w:highlight w:val="none"/>
              </w:rPr>
              <w:t/>
            </w:r>
            <w:r>
              <w:rPr>
                <w:rFonts w:ascii="楷体_GB2312" w:cs="楷体_GB2312" w:eastAsia="楷体_GB2312" w:hint="eastAsia"/>
                <w:color w:themeColor="text1" w:val="000000"/>
                <w:sz w:val="20"/>
                <w:szCs w:val="20"/>
                <w:highlight w:val="none"/>
                <w14:textFill>
                  <w14:solidFill>
                    <w14:schemeClr w14:val="tx1"/>
                  </w14:solidFill>
                </w14:textFill>
              </w:rPr>
              <w:t>】</w:t>
            </w:r>
          </w:p>
        </w:tc>
      </w:tr>
      <w:tr w14:paraId="67C2C672">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DD5E7C7">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理财产品登记编码</w:t>
            </w:r>
          </w:p>
        </w:tc>
        <w:tc>
          <w:tcPr>
            <w:tcW w:type="pct" w:w="3709"/>
            <w:vAlign w:val="center"/>
          </w:tcPr>
          <w:p w14:paraId="7BA9F0F2">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【Z7002626001618</w:t>
            </w:r>
            <w:r>
              <w:rPr>
                <w:rFonts w:ascii="楷体_GB2312" w:eastAsia="楷体_GB2312"/>
                <w:color w:themeColor="text1" w:val="000000"/>
                <w:sz w:val="20"/>
                <w:szCs w:val="20"/>
                <w:highlight w:val="none"/>
                <w14:textFill>
                  <w14:solidFill>
                    <w14:schemeClr w14:val="tx1"/>
                  </w14:solidFill>
                </w14:textFill>
              </w:rPr>
              <w:t>】</w:t>
            </w:r>
          </w:p>
        </w:tc>
      </w:tr>
      <w:tr w14:paraId="296AB825">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37D70CC">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w:t>
            </w:r>
            <w:r>
              <w:rPr>
                <w:rFonts w:ascii="Times New Roman" w:cs="楷体_GB2312" w:eastAsia="楷体_GB2312"/>
                <w:color w:themeColor="text1" w:val="000000"/>
                <w:sz w:val="20"/>
                <w:szCs w:val="20"/>
                <w:highlight w:val="none"/>
                <w14:textFill>
                  <w14:solidFill>
                    <w14:schemeClr w14:val="tx1"/>
                  </w14:solidFill>
                </w14:textFill>
              </w:rPr>
              <w:t>代码</w:t>
            </w:r>
          </w:p>
        </w:tc>
        <w:tc>
          <w:tcPr>
            <w:tcW w:type="pct" w:w="3709"/>
            <w:vAlign w:val="center"/>
          </w:tcPr>
          <w:p w14:paraId="66D91F5E">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【AF265598</w:t>
            </w:r>
            <w:r>
              <w:rPr>
                <w:rFonts w:ascii="楷体_GB2312" w:cs="楷体_GB2312" w:eastAsia="楷体_GB2312"/>
                <w:color w:themeColor="text1" w:val="000000"/>
                <w:sz w:val="20"/>
                <w:szCs w:val="20"/>
                <w:highlight w:val="none"/>
                <w14:textFill>
                  <w14:solidFill>
                    <w14:schemeClr w14:val="tx1"/>
                  </w14:solidFill>
                </w14:textFill>
              </w:rPr>
              <w:t>】</w:t>
            </w:r>
          </w:p>
        </w:tc>
      </w:tr>
      <w:tr w14:paraId="0BBA328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0894C47">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产品类型</w:t>
            </w:r>
          </w:p>
        </w:tc>
        <w:tc>
          <w:tcPr>
            <w:tcW w:type="pct" w:w="3709"/>
            <w:vAlign w:val="center"/>
          </w:tcPr>
          <w:p w14:paraId="33D6B887">
            <w:pPr>
              <w:spacing w:line="300" w:lineRule="exact"/>
              <w:ind w:left="-2" w:leftChars="-1" w:right="36" w:rightChars="15"/>
              <w:rPr>
                <w:highlight w:val="none"/>
              </w:rPr>
            </w:pPr>
            <w:r>
              <w:rPr>
                <w:rFonts w:ascii="楷体_GB2312" w:cs="楷体_GB2312" w:eastAsia="楷体_GB2312" w:hint="eastAsia"/>
                <w:color w:themeColor="text1" w:val="000000"/>
                <w:sz w:val="20"/>
                <w:szCs w:val="20"/>
                <w:highlight w:val="none"/>
                <w14:textFill>
                  <w14:solidFill>
                    <w14:schemeClr w14:val="tx1"/>
                  </w14:solidFill>
                </w14:textFill>
              </w:rPr>
              <w:t>公募、【固定收益类】、封闭式</w:t>
            </w:r>
            <w:r>
              <w:rPr>
                <w:rFonts w:ascii="楷体_GB2312" w:cs="楷体_GB2312" w:eastAsia="楷体_GB2312"/>
                <w:color w:themeColor="text1" w:val="000000"/>
                <w:sz w:val="20"/>
                <w:szCs w:val="20"/>
                <w:highlight w:val="none"/>
                <w14:textFill>
                  <w14:solidFill>
                    <w14:schemeClr w14:val="tx1"/>
                  </w14:solidFill>
                </w14:textFill>
              </w:rPr>
              <w:t/>
            </w:r>
          </w:p>
        </w:tc>
      </w:tr>
      <w:tr w14:paraId="1D47804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23E74D3">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信银理财产品风险分级</w:t>
            </w:r>
          </w:p>
        </w:tc>
        <w:tc>
          <w:tcPr>
            <w:tcW w:type="pct" w:w="3709"/>
            <w:vAlign w:val="center"/>
          </w:tcPr>
          <w:p w14:paraId="7ED2EA72">
            <w:pPr>
              <w:spacing w:line="300" w:lineRule="exact"/>
              <w:ind w:left="-2" w:leftChars="-1" w:right="36" w:rightChars="15"/>
              <w:rPr>
                <w:rFonts w:ascii="楷体_GB2312" w:cs="楷体_GB2312" w:eastAsia="楷体_GB2312"/>
                <w:color w:val="000000"/>
                <w:sz w:val="20"/>
                <w:szCs w:val="20"/>
                <w:highlight w:val="none"/>
              </w:rPr>
            </w:pPr>
            <w:r>
              <w:rPr>
                <w:rFonts w:ascii="楷体_GB2312" w:cs="楷体_GB2312" w:eastAsia="楷体_GB2312"/>
                <w:sz w:val="20"/>
                <w:szCs w:val="20"/>
                <w:highlight w:val="none"/>
              </w:rPr>
              <w:t>PR</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2</w:t>
            </w:r>
            <w:r>
              <w:rPr>
                <w:rFonts w:ascii="楷体_GB2312" w:cs="楷体_GB2312" w:eastAsia="楷体_GB2312" w:hint="eastAsia"/>
                <w:sz w:val="20"/>
                <w:szCs w:val="20"/>
                <w:highlight w:val="none"/>
              </w:rPr>
              <w:t>】级（【稳健</w:t>
            </w:r>
            <w:r>
              <w:rPr>
                <w:rFonts w:ascii="楷体_GB2312" w:cs="楷体_GB2312" w:eastAsia="楷体_GB2312"/>
                <w:sz w:val="20"/>
                <w:szCs w:val="20"/>
                <w:highlight w:val="none"/>
              </w:rPr>
              <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型</w:t>
            </w:r>
            <w:r>
              <w:rPr>
                <w:rFonts w:ascii="楷体_GB2312" w:cs="楷体_GB2312" w:eastAsia="楷体_GB2312" w:hint="eastAsia"/>
                <w:sz w:val="20"/>
                <w:szCs w:val="20"/>
                <w:highlight w:val="none"/>
              </w:rPr>
              <w:t>）</w:t>
            </w:r>
            <w:r>
              <w:rPr>
                <w:rFonts w:ascii="楷体_GB2312" w:cs="楷体_GB2312" w:eastAsia="楷体_GB2312" w:hint="eastAsia"/>
                <w:color w:val="000000"/>
                <w:sz w:val="20"/>
                <w:szCs w:val="20"/>
                <w:highlight w:val="none"/>
              </w:rPr>
              <w:t>。本风险分级为信银理财自行评定，仅供参考。</w:t>
            </w:r>
          </w:p>
          <w:p w14:paraId="5142B071">
            <w:pPr>
              <w:spacing w:line="300" w:lineRule="exact"/>
              <w:ind w:left="-2" w:leftChars="-1" w:right="36" w:rightChars="15"/>
              <w:rPr>
                <w:rFonts w:ascii="楷体_GB2312" w:cs="楷体_GB2312" w:eastAsia="楷体_GB2312" w:hint="default"/>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信银理财有权根据市场变化对产品风险等级进行调整，</w:t>
            </w:r>
            <w:r>
              <w:rPr>
                <w:rFonts w:ascii="楷体_GB2312" w:cs="楷体_GB2312" w:eastAsia="楷体_GB2312"/>
                <w:color w:themeColor="text1" w:val="000000"/>
                <w:sz w:val="20"/>
                <w:szCs w:val="20"/>
                <w:highlight w:val="none"/>
                <w14:textFill>
                  <w14:solidFill>
                    <w14:schemeClr w14:val="tx1"/>
                  </w14:solidFill>
                </w14:textFill>
              </w:rPr>
              <w:t>并最迟于调整生效前</w:t>
            </w:r>
            <w:r>
              <w:rPr>
                <w:rFonts w:ascii="楷体_GB2312" w:cs="楷体_GB2312" w:eastAsia="楷体_GB2312" w:hint="eastAsia"/>
                <w:color w:themeColor="text1" w:val="000000"/>
                <w:sz w:val="20"/>
                <w:szCs w:val="20"/>
                <w:highlight w:val="none"/>
                <w14:textFill>
                  <w14:solidFill>
                    <w14:schemeClr w14:val="tx1"/>
                  </w14:solidFill>
                </w14:textFill>
              </w:rPr>
              <w:t>【2</w:t>
            </w:r>
            <w:r>
              <w:rPr>
                <w:rFonts w:ascii="楷体_GB2312" w:cs="楷体_GB2312" w:eastAsia="楷体_GB2312"/>
                <w:color w:themeColor="text1" w:val="000000"/>
                <w:sz w:val="20"/>
                <w:szCs w:val="20"/>
                <w:highlight w:val="none"/>
                <w14:textFill>
                  <w14:solidFill>
                    <w14:schemeClr w14:val="tx1"/>
                  </w14:solidFill>
                </w14:textFill>
              </w:rPr>
              <w:t>】个工作日</w:t>
            </w:r>
            <w:r>
              <w:rPr>
                <w:rFonts w:ascii="楷体_GB2312" w:cs="楷体_GB2312" w:eastAsia="楷体_GB2312" w:hint="eastAsia"/>
                <w:color w:themeColor="text1" w:val="000000"/>
                <w:sz w:val="20"/>
                <w:szCs w:val="20"/>
                <w:highlight w:val="none"/>
                <w14:textFill>
                  <w14:solidFill>
                    <w14:schemeClr w14:val="tx1"/>
                  </w14:solidFill>
                </w14:textFill>
              </w:rPr>
              <w:t>以</w:t>
            </w:r>
            <w:r>
              <w:rPr>
                <w:rFonts w:ascii="楷体_GB2312" w:cs="楷体_GB2312" w:eastAsia="楷体_GB2312"/>
                <w:color w:themeColor="text1" w:val="000000"/>
                <w:sz w:val="20"/>
                <w:szCs w:val="20"/>
                <w:highlight w:val="none"/>
                <w14:textFill>
                  <w14:solidFill>
                    <w14:schemeClr w14:val="tx1"/>
                  </w14:solidFill>
                </w14:textFill>
              </w:rPr>
              <w:t>本说明书约定的方式</w:t>
            </w:r>
            <w:r>
              <w:rPr>
                <w:rFonts w:ascii="楷体_GB2312" w:cs="楷体_GB2312" w:eastAsia="楷体_GB2312" w:hint="eastAsia"/>
                <w:color w:themeColor="text1" w:val="000000"/>
                <w:sz w:val="20"/>
                <w:szCs w:val="20"/>
                <w:highlight w:val="none"/>
                <w14:textFill>
                  <w14:solidFill>
                    <w14:schemeClr w14:val="tx1"/>
                  </w14:solidFill>
                </w14:textFill>
              </w:rPr>
              <w:t>向投资者发布相关信息</w:t>
            </w:r>
            <w:r>
              <w:rPr>
                <w:rFonts w:ascii="楷体_GB2312" w:cs="楷体_GB2312" w:eastAsia="楷体_GB2312"/>
                <w:color w:themeColor="text1" w:val="000000"/>
                <w:sz w:val="20"/>
                <w:szCs w:val="20"/>
                <w:highlight w:val="none"/>
                <w14:textFill>
                  <w14:solidFill>
                    <w14:schemeClr w14:val="tx1"/>
                  </w14:solidFill>
                </w14:textFill>
              </w:rPr>
              <w:t>。</w:t>
            </w:r>
          </w:p>
          <w:p w14:paraId="0C23C1AC">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产品通过代销机构销售的，代销机构将</w:t>
            </w:r>
            <w:r>
              <w:rPr>
                <w:rFonts w:ascii="楷体_GB2312" w:cs="楷体_GB2312" w:eastAsia="楷体_GB2312" w:hint="eastAsia"/>
                <w:color w:themeColor="text1" w:val="000000"/>
                <w:sz w:val="20"/>
                <w:szCs w:val="20"/>
                <w:highlight w:val="none"/>
                <w14:textFill>
                  <w14:solidFill>
                    <w14:schemeClr w14:val="tx1"/>
                  </w14:solidFill>
                </w14:textFill>
              </w:rPr>
              <w:t>对</w:t>
            </w:r>
            <w:r>
              <w:rPr>
                <w:rFonts w:ascii="楷体_GB2312" w:cs="楷体_GB2312" w:eastAsia="楷体_GB2312"/>
                <w:color w:themeColor="text1" w:val="000000"/>
                <w:sz w:val="20"/>
                <w:szCs w:val="20"/>
                <w:highlight w:val="none"/>
                <w14:textFill>
                  <w14:solidFill>
                    <w14:schemeClr w14:val="tx1"/>
                  </w14:solidFill>
                </w14:textFill>
              </w:rPr>
              <w:t>理财产品进行风险评级</w:t>
            </w:r>
            <w:r>
              <w:rPr>
                <w:rFonts w:ascii="楷体_GB2312" w:cs="楷体_GB2312" w:eastAsia="楷体_GB2312" w:hint="eastAsia"/>
                <w:color w:themeColor="text1" w:val="000000"/>
                <w:sz w:val="20"/>
                <w:szCs w:val="20"/>
                <w:highlight w:val="none"/>
                <w14:textFill>
                  <w14:solidFill>
                    <w14:schemeClr w14:val="tx1"/>
                  </w14:solidFill>
                </w14:textFill>
              </w:rPr>
              <w:t>并</w:t>
            </w:r>
            <w:r>
              <w:rPr>
                <w:rFonts w:ascii="楷体_GB2312" w:cs="楷体_GB2312" w:eastAsia="楷体_GB2312"/>
                <w:color w:themeColor="text1" w:val="000000"/>
                <w:sz w:val="20"/>
                <w:szCs w:val="20"/>
                <w:highlight w:val="none"/>
                <w14:textFill>
                  <w14:solidFill>
                    <w14:schemeClr w14:val="tx1"/>
                  </w14:solidFill>
                </w14:textFill>
              </w:rPr>
              <w:t>对投资者进行风险</w:t>
            </w:r>
            <w:r>
              <w:rPr>
                <w:rFonts w:ascii="楷体_GB2312" w:cs="楷体_GB2312" w:eastAsia="楷体_GB2312" w:hint="eastAsia"/>
                <w:color w:themeColor="text1" w:val="000000"/>
                <w:sz w:val="20"/>
                <w:szCs w:val="20"/>
                <w:highlight w:val="none"/>
                <w14:textFill>
                  <w14:solidFill>
                    <w14:schemeClr w14:val="tx1"/>
                  </w14:solidFill>
                </w14:textFill>
              </w:rPr>
              <w:t>承受能力</w:t>
            </w:r>
            <w:r>
              <w:rPr>
                <w:rFonts w:ascii="楷体_GB2312" w:cs="楷体_GB2312" w:eastAsia="楷体_GB2312"/>
                <w:color w:themeColor="text1" w:val="000000"/>
                <w:sz w:val="20"/>
                <w:szCs w:val="20"/>
                <w:highlight w:val="none"/>
                <w14:textFill>
                  <w14:solidFill>
                    <w14:schemeClr w14:val="tx1"/>
                  </w14:solidFill>
                </w14:textFill>
              </w:rPr>
              <w:t>测评</w:t>
            </w:r>
            <w:r>
              <w:rPr>
                <w:rFonts w:ascii="楷体_GB2312" w:cs="楷体_GB2312" w:eastAsia="楷体_GB2312" w:hint="eastAsia"/>
                <w:b w:val="0"/>
                <w:bCs w:val="0"/>
                <w:color w:themeColor="text1" w:val="000000"/>
                <w:sz w:val="20"/>
                <w:szCs w:val="20"/>
                <w:highlight w:val="none"/>
                <w14:textFill>
                  <w14:solidFill>
                    <w14:schemeClr w14:val="tx1"/>
                  </w14:solidFill>
                </w14:textFill>
              </w:rPr>
              <w:t>，</w:t>
            </w:r>
            <w:r>
              <w:rPr>
                <w:rFonts w:ascii="楷体_GB2312" w:cs="楷体_GB2312" w:eastAsia="楷体_GB2312" w:hint="eastAsia"/>
                <w:b/>
                <w:bCs/>
                <w:color w:themeColor="text1" w:val="000000"/>
                <w:sz w:val="20"/>
                <w:szCs w:val="20"/>
                <w:highlight w:val="none"/>
                <w14:textFill>
                  <w14:solidFill>
                    <w14:schemeClr w14:val="tx1"/>
                  </w14:solidFill>
                </w14:textFill>
              </w:rPr>
              <w:t>理财产品评级应当以代销机构最终披露的评级结果为准</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代销</w:t>
            </w:r>
            <w:r>
              <w:rPr>
                <w:rFonts w:ascii="楷体_GB2312" w:cs="楷体_GB2312" w:eastAsia="楷体_GB2312"/>
                <w:color w:themeColor="text1" w:val="000000"/>
                <w:sz w:val="20"/>
                <w:szCs w:val="20"/>
                <w:highlight w:val="none"/>
                <w14:textFill>
                  <w14:solidFill>
                    <w14:schemeClr w14:val="tx1"/>
                  </w14:solidFill>
                </w14:textFill>
              </w:rPr>
              <w:t>机构对</w:t>
            </w:r>
            <w:r>
              <w:rPr>
                <w:rFonts w:ascii="楷体_GB2312" w:cs="楷体_GB2312" w:eastAsia="楷体_GB2312" w:hint="eastAsia"/>
                <w:color w:themeColor="text1" w:val="000000"/>
                <w:sz w:val="20"/>
                <w:szCs w:val="20"/>
                <w:highlight w:val="none"/>
                <w14:textFill>
                  <w14:solidFill>
                    <w14:schemeClr w14:val="tx1"/>
                  </w14:solidFill>
                </w14:textFill>
              </w:rPr>
              <w:t>产品的</w:t>
            </w:r>
            <w:r>
              <w:rPr>
                <w:rFonts w:ascii="楷体_GB2312" w:cs="楷体_GB2312" w:eastAsia="楷体_GB2312"/>
                <w:color w:themeColor="text1" w:val="000000"/>
                <w:sz w:val="20"/>
                <w:szCs w:val="20"/>
                <w:highlight w:val="none"/>
                <w14:textFill>
                  <w14:solidFill>
                    <w14:schemeClr w14:val="tx1"/>
                  </w14:solidFill>
                </w14:textFill>
              </w:rPr>
              <w:t>风险</w:t>
            </w:r>
            <w:r>
              <w:rPr>
                <w:rFonts w:ascii="楷体_GB2312" w:cs="楷体_GB2312" w:eastAsia="楷体_GB2312" w:hint="eastAsia"/>
                <w:color w:themeColor="text1" w:val="000000"/>
                <w:sz w:val="20"/>
                <w:szCs w:val="20"/>
                <w:highlight w:val="none"/>
                <w14:textFill>
                  <w14:solidFill>
                    <w14:schemeClr w14:val="tx1"/>
                  </w14:solidFill>
                </w14:textFill>
              </w:rPr>
              <w:t>评级</w:t>
            </w:r>
            <w:r>
              <w:rPr>
                <w:rFonts w:ascii="楷体_GB2312" w:cs="楷体_GB2312" w:eastAsia="楷体_GB2312"/>
                <w:color w:themeColor="text1" w:val="000000"/>
                <w:sz w:val="20"/>
                <w:szCs w:val="20"/>
                <w:highlight w:val="none"/>
                <w14:textFill>
                  <w14:solidFill>
                    <w14:schemeClr w14:val="tx1"/>
                  </w14:solidFill>
                </w14:textFill>
              </w:rPr>
              <w:t>结果与信银理财不一致的，将采用对应较高风险</w:t>
            </w:r>
            <w:r>
              <w:rPr>
                <w:rFonts w:ascii="楷体_GB2312" w:cs="楷体_GB2312" w:eastAsia="楷体_GB2312" w:hint="eastAsia"/>
                <w:color w:themeColor="text1" w:val="000000"/>
                <w:sz w:val="20"/>
                <w:szCs w:val="20"/>
                <w:highlight w:val="none"/>
                <w14:textFill>
                  <w14:solidFill>
                    <w14:schemeClr w14:val="tx1"/>
                  </w14:solidFill>
                </w14:textFill>
              </w:rPr>
              <w:t>等级</w:t>
            </w:r>
            <w:r>
              <w:rPr>
                <w:rFonts w:ascii="楷体_GB2312" w:cs="楷体_GB2312" w:eastAsia="楷体_GB2312"/>
                <w:color w:themeColor="text1" w:val="000000"/>
                <w:sz w:val="20"/>
                <w:szCs w:val="20"/>
                <w:highlight w:val="none"/>
                <w14:textFill>
                  <w14:solidFill>
                    <w14:schemeClr w14:val="tx1"/>
                  </w14:solidFill>
                </w14:textFill>
              </w:rPr>
              <w:t>的评级结果。</w:t>
            </w:r>
          </w:p>
          <w:p w14:paraId="1042059B">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
            </w:r>
            <w:r>
              <w:rPr>
                <w:rFonts w:ascii="楷体_GB2312" w:cs="楷体_GB2312" w:eastAsia="楷体_GB2312"/>
                <w:color w:themeColor="text1" w:val="000000"/>
                <w:sz w:val="20"/>
                <w:szCs w:val="20"/>
                <w:highlight w:val="none"/>
                <w14:textFill>
                  <w14:solidFill>
                    <w14:schemeClr w14:val="tx1"/>
                  </w14:solidFill>
                </w14:textFill>
              </w:rPr>
              <w:t/>
            </w:r>
            <w:bookmarkStart w:id="0" w:name="_GoBack"/>
            <w:bookmarkEnd w:id="0"/>
          </w:p>
        </w:tc>
      </w:tr>
      <w:tr w14:paraId="4B7B4F6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6FAA7E0B">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发行对象</w:t>
            </w:r>
          </w:p>
        </w:tc>
        <w:tc>
          <w:tcPr>
            <w:tcW w:type="pct" w:w="3709"/>
            <w:vAlign w:val="center"/>
          </w:tcPr>
          <w:p w14:paraId="136D36A1">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【个人/机构】客户</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val="000000"/>
                <w:sz w:val="20"/>
                <w:szCs w:val="20"/>
                <w:highlight w:val="none"/>
              </w:rPr>
              <w:t>适合</w:t>
            </w:r>
            <w:r>
              <w:rPr>
                <w:rFonts w:ascii="楷体_GB2312" w:cs="Times New Roman" w:eastAsia="楷体_GB2312" w:hint="eastAsia"/>
                <w:sz w:val="20"/>
                <w:szCs w:val="20"/>
                <w:highlight w:val="none"/>
              </w:rPr>
              <w:t>【稳健型】、【平衡型】、【进取型】、【激进型】</w:t>
            </w:r>
            <w:r>
              <w:rPr>
                <w:rFonts w:ascii="楷体_GB2312" w:cs="Times New Roman" w:eastAsia="楷体_GB2312"/>
                <w:sz w:val="20"/>
                <w:szCs w:val="20"/>
                <w:highlight w:val="none"/>
              </w:rPr>
              <w:t/>
            </w:r>
            <w:r>
              <w:rPr>
                <w:rFonts w:ascii="楷体_GB2312" w:cs="楷体_GB2312" w:eastAsia="楷体_GB2312" w:hint="eastAsia"/>
                <w:color w:val="000000"/>
                <w:sz w:val="20"/>
                <w:szCs w:val="20"/>
                <w:highlight w:val="none"/>
              </w:rPr>
              <w:t>投资者。</w:t>
            </w:r>
            <w:r>
              <w:rPr>
                <w:rFonts w:ascii="楷体_GB2312" w:cs="楷体_GB2312" w:eastAsia="楷体_GB2312" w:hint="eastAsia"/>
                <w:sz w:val="20"/>
                <w:szCs w:val="20"/>
                <w:highlight w:val="none"/>
              </w:rPr>
              <w:t>代销机构对产品的发行对象与信银理财不一致的，以代销机构为准</w:t>
            </w:r>
            <w:r>
              <w:rPr>
                <w:rFonts w:ascii="楷体_GB2312" w:cs="楷体_GB2312" w:eastAsia="楷体_GB2312" w:hint="eastAsia"/>
                <w:b w:val="0"/>
                <w:bCs w:val="0"/>
                <w:sz w:val="20"/>
                <w:szCs w:val="20"/>
                <w:highlight w:val="none"/>
                <w:lang w:eastAsia="zh-CN"/>
              </w:rPr>
              <w:t>，</w:t>
            </w:r>
            <w:r>
              <w:rPr>
                <w:rFonts w:ascii="楷体_GB2312" w:cs="楷体_GB2312" w:eastAsia="楷体_GB2312" w:hint="eastAsia"/>
                <w:b w:val="0"/>
                <w:bCs w:val="0"/>
                <w:sz w:val="20"/>
                <w:szCs w:val="20"/>
                <w:highlight w:val="none"/>
                <w:lang w:eastAsia="zh-CN" w:val="en-US"/>
              </w:rPr>
              <w:t>但不得超出上述发行对象范围</w:t>
            </w:r>
            <w:r>
              <w:rPr>
                <w:rFonts w:ascii="楷体_GB2312" w:cs="楷体_GB2312" w:eastAsia="楷体_GB2312" w:hint="eastAsia"/>
                <w:b w:val="0"/>
                <w:bCs w:val="0"/>
                <w:sz w:val="20"/>
                <w:szCs w:val="20"/>
                <w:highlight w:val="none"/>
              </w:rPr>
              <w:t>。</w:t>
            </w:r>
          </w:p>
        </w:tc>
      </w:tr>
      <w:tr w14:paraId="2F49AD05">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26F8B53">
            <w:pPr>
              <w:spacing w:line="300" w:lineRule="exact"/>
              <w:ind w:left="-2" w:leftChars="-1" w:right="36" w:rightChars="15"/>
              <w:rPr>
                <w:rFonts w:ascii="Times New Roman"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理财本金</w:t>
            </w:r>
          </w:p>
        </w:tc>
        <w:tc>
          <w:tcPr>
            <w:tcW w:type="pct" w:w="3709"/>
            <w:vAlign w:val="center"/>
          </w:tcPr>
          <w:p w14:paraId="7B38D788">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本理财产品不保证本金及理财收益，其理财收益随单位净值浮动。详细内容见以下“七</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b/>
                <w:bCs/>
                <w:color w:themeColor="text1" w:val="000000"/>
                <w:sz w:val="20"/>
                <w:szCs w:val="20"/>
                <w:highlight w:val="none"/>
                <w14:textFill>
                  <w14:solidFill>
                    <w14:schemeClr w14:val="tx1"/>
                  </w14:solidFill>
                </w14:textFill>
              </w:rPr>
              <w:t>理财资金分配</w:t>
            </w:r>
            <w:r>
              <w:rPr>
                <w:rFonts w:ascii="楷体_GB2312" w:cs="楷体_GB2312" w:eastAsia="楷体_GB2312" w:hint="eastAsia"/>
                <w:color w:themeColor="text1" w:val="000000"/>
                <w:sz w:val="20"/>
                <w:szCs w:val="20"/>
                <w:highlight w:val="none"/>
                <w14:textFill>
                  <w14:solidFill>
                    <w14:schemeClr w14:val="tx1"/>
                  </w14:solidFill>
                </w14:textFill>
              </w:rPr>
              <w:t>”。</w:t>
            </w:r>
          </w:p>
        </w:tc>
      </w:tr>
      <w:tr w14:paraId="77CA311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AF11232">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w:t>
            </w:r>
            <w:r>
              <w:rPr>
                <w:rFonts w:ascii="Times New Roman" w:cs="楷体_GB2312" w:eastAsia="楷体_GB2312"/>
                <w:color w:themeColor="text1" w:val="000000"/>
                <w:sz w:val="20"/>
                <w:szCs w:val="20"/>
                <w:highlight w:val="none"/>
                <w14:textFill>
                  <w14:solidFill>
                    <w14:schemeClr w14:val="tx1"/>
                  </w14:solidFill>
                </w14:textFill>
              </w:rPr>
              <w:t>产品份额</w:t>
            </w:r>
          </w:p>
        </w:tc>
        <w:tc>
          <w:tcPr>
            <w:tcW w:type="pct" w:w="3709"/>
            <w:vAlign w:val="center"/>
          </w:tcPr>
          <w:p w14:paraId="74EAD760">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指</w:t>
            </w:r>
            <w:r>
              <w:rPr>
                <w:rFonts w:ascii="楷体_GB2312" w:cs="楷体_GB2312" w:eastAsia="楷体_GB2312"/>
                <w:color w:themeColor="text1" w:val="000000"/>
                <w:sz w:val="20"/>
                <w:szCs w:val="20"/>
                <w:highlight w:val="none"/>
                <w14:textFill>
                  <w14:solidFill>
                    <w14:schemeClr w14:val="tx1"/>
                  </w14:solidFill>
                </w14:textFill>
              </w:rPr>
              <w:t>管理人依据理财产品</w:t>
            </w:r>
            <w:r>
              <w:rPr>
                <w:rFonts w:ascii="楷体_GB2312" w:cs="楷体_GB2312" w:eastAsia="楷体_GB2312" w:hint="eastAsia"/>
                <w:color w:themeColor="text1" w:val="000000"/>
                <w:sz w:val="20"/>
                <w:szCs w:val="20"/>
                <w:highlight w:val="none"/>
                <w14:textFill>
                  <w14:solidFill>
                    <w14:schemeClr w14:val="tx1"/>
                  </w14:solidFill>
                </w14:textFill>
              </w:rPr>
              <w:t>合同</w:t>
            </w:r>
            <w:r>
              <w:rPr>
                <w:rFonts w:ascii="楷体_GB2312" w:cs="楷体_GB2312" w:eastAsia="楷体_GB2312"/>
                <w:color w:themeColor="text1" w:val="000000"/>
                <w:sz w:val="20"/>
                <w:szCs w:val="20"/>
                <w:highlight w:val="none"/>
                <w14:textFill>
                  <w14:solidFill>
                    <w14:schemeClr w14:val="tx1"/>
                  </w14:solidFill>
                </w14:textFill>
              </w:rPr>
              <w:t>向投资者发行的</w:t>
            </w:r>
            <w:r>
              <w:rPr>
                <w:rFonts w:ascii="楷体_GB2312" w:cs="楷体_GB2312" w:eastAsia="楷体_GB2312" w:hint="eastAsia"/>
                <w:color w:themeColor="text1" w:val="000000"/>
                <w:sz w:val="20"/>
                <w:szCs w:val="20"/>
                <w:highlight w:val="none"/>
                <w14:textFill>
                  <w14:solidFill>
                    <w14:schemeClr w14:val="tx1"/>
                  </w14:solidFill>
                </w14:textFill>
              </w:rPr>
              <w:t>理财产品</w:t>
            </w:r>
            <w:r>
              <w:rPr>
                <w:rFonts w:ascii="楷体_GB2312" w:cs="楷体_GB2312" w:eastAsia="楷体_GB2312"/>
                <w:color w:themeColor="text1" w:val="000000"/>
                <w:sz w:val="20"/>
                <w:szCs w:val="20"/>
                <w:highlight w:val="none"/>
                <w14:textFill>
                  <w14:solidFill>
                    <w14:schemeClr w14:val="tx1"/>
                  </w14:solidFill>
                </w14:textFill>
              </w:rPr>
              <w:t>受益凭证。理财产品</w:t>
            </w:r>
            <w:r>
              <w:rPr>
                <w:rFonts w:ascii="楷体_GB2312" w:cs="楷体_GB2312" w:eastAsia="楷体_GB2312" w:hint="eastAsia"/>
                <w:color w:themeColor="text1" w:val="000000"/>
                <w:sz w:val="20"/>
                <w:szCs w:val="20"/>
                <w:highlight w:val="none"/>
                <w14:textFill>
                  <w14:solidFill>
                    <w14:schemeClr w14:val="tx1"/>
                  </w14:solidFill>
                </w14:textFill>
              </w:rPr>
              <w:t>份额</w:t>
            </w:r>
            <w:r>
              <w:rPr>
                <w:rFonts w:ascii="楷体_GB2312" w:cs="楷体_GB2312" w:eastAsia="楷体_GB2312"/>
                <w:color w:themeColor="text1" w:val="000000"/>
                <w:sz w:val="20"/>
                <w:szCs w:val="20"/>
                <w:highlight w:val="none"/>
                <w14:textFill>
                  <w14:solidFill>
                    <w14:schemeClr w14:val="tx1"/>
                  </w14:solidFill>
                </w14:textFill>
              </w:rPr>
              <w:t>持有人基于其所持有的理财产品份额享有理财产品利益、承担理财产品资产风险。</w:t>
            </w:r>
          </w:p>
        </w:tc>
      </w:tr>
      <w:tr w14:paraId="673D4FF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E2C0F9F">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w:t>
            </w:r>
            <w:r>
              <w:rPr>
                <w:rFonts w:ascii="Times New Roman" w:cs="楷体_GB2312" w:eastAsia="楷体_GB2312"/>
                <w:color w:themeColor="text1" w:val="000000"/>
                <w:sz w:val="20"/>
                <w:szCs w:val="20"/>
                <w:highlight w:val="none"/>
                <w14:textFill>
                  <w14:solidFill>
                    <w14:schemeClr w14:val="tx1"/>
                  </w14:solidFill>
                </w14:textFill>
              </w:rPr>
              <w:t>产品份额面值</w:t>
            </w:r>
          </w:p>
        </w:tc>
        <w:tc>
          <w:tcPr>
            <w:tcW w:type="pct" w:w="3709"/>
            <w:vAlign w:val="center"/>
          </w:tcPr>
          <w:p w14:paraId="547247BC">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产品份额面值为</w:t>
            </w:r>
            <w:r>
              <w:rPr>
                <w:rFonts w:ascii="楷体_GB2312" w:cs="楷体_GB2312" w:eastAsia="楷体_GB2312" w:hint="eastAsia"/>
                <w:color w:themeColor="text1" w:val="000000"/>
                <w:sz w:val="20"/>
                <w:szCs w:val="20"/>
                <w:highlight w:val="none"/>
                <w14:textFill>
                  <w14:solidFill>
                    <w14:schemeClr w14:val="tx1"/>
                  </w14:solidFill>
                </w14:textFill>
              </w:rPr>
              <w:t>【人民币</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1元。</w:t>
            </w:r>
          </w:p>
        </w:tc>
      </w:tr>
      <w:tr w14:paraId="5B2F8B1F">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41C447F">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w:t>
            </w:r>
            <w:r>
              <w:rPr>
                <w:rFonts w:ascii="Times New Roman" w:cs="楷体_GB2312" w:eastAsia="楷体_GB2312"/>
                <w:color w:themeColor="text1" w:val="000000"/>
                <w:sz w:val="20"/>
                <w:szCs w:val="20"/>
                <w:highlight w:val="none"/>
                <w14:textFill>
                  <w14:solidFill>
                    <w14:schemeClr w14:val="tx1"/>
                  </w14:solidFill>
                </w14:textFill>
              </w:rPr>
              <w:t>产品份额类型</w:t>
            </w:r>
          </w:p>
        </w:tc>
        <w:tc>
          <w:tcPr>
            <w:tcW w:type="pct" w:w="3709"/>
            <w:vAlign w:val="center"/>
          </w:tcPr>
          <w:p w14:paraId="0F8D0FF3">
            <w:pPr>
              <w:spacing w:line="300" w:lineRule="exact"/>
              <w:ind w:right="36" w:rightChars="15"/>
              <w:rPr>
                <w:rFonts w:ascii="楷体_GB2312" w:cs="楷体_GB2312" w:eastAsia="楷体_GB2312"/>
                <w:sz w:val="20"/>
                <w:szCs w:val="20"/>
                <w:highlight w:val="none"/>
              </w:rPr>
            </w:pPr>
            <w:r>
              <w:rPr>
                <w:rFonts w:ascii="楷体_GB2312" w:cs="楷体_GB2312" w:eastAsia="楷体_GB2312" w:hint="eastAsia"/>
                <w:sz w:val="20"/>
                <w:szCs w:val="20"/>
                <w:highlight w:val="none"/>
              </w:rPr>
              <w:t/>
              <w:t>【A】类份额：份额代码【AF265598A】</w:t>
              <w:br/>
              <w:t>【B】类份额：份额代码【AF265598B】</w:t>
              <w:br/>
              <w:t>【C】类份额：份额代码【AF265598C】</w:t>
              <w:br/>
              <w:t>【D】类份额：份额代码【AF265598D】</w:t>
              <w:br/>
              <w:t>【G】类份额：份额代码【AF265598G】</w:t>
              <w:br/>
              <w:t>【M】类份额：份额代码【AF265598M】</w:t>
              <w:br/>
              <w:t>【N】类份额：份额代码【AF265598N】</w:t>
              <w:br/>
              <w:t>【S】类份额：份额代码【AF265598S】</w:t>
            </w:r>
            <w:r>
              <w:rPr>
                <w:rFonts w:ascii="楷体_GB2312" w:cs="楷体_GB2312" w:eastAsia="楷体_GB2312"/>
                <w:sz w:val="20"/>
                <w:szCs w:val="20"/>
                <w:highlight w:val="none"/>
              </w:rPr>
              <w:t/>
            </w:r>
          </w:p>
          <w:p w14:paraId="585FCACA">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p>
          <w:p w14:paraId="66B5979E">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后续理财产品份额类型如有新增、减少和变更，信银理财将按照本说明书约定的方式告知投资者。</w:t>
            </w:r>
          </w:p>
        </w:tc>
      </w:tr>
      <w:tr w14:paraId="25B59E84">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589387CE">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工作日</w:t>
            </w:r>
          </w:p>
        </w:tc>
        <w:tc>
          <w:tcPr>
            <w:tcW w:type="pct" w:w="3709"/>
            <w:vAlign w:val="center"/>
          </w:tcPr>
          <w:p w14:paraId="078AC594">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指除中国法定节假日和公休日外的其他日。</w:t>
            </w:r>
          </w:p>
        </w:tc>
      </w:tr>
      <w:tr w14:paraId="3CEC842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F14243A">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募集期</w:t>
            </w:r>
          </w:p>
        </w:tc>
        <w:tc>
          <w:tcPr>
            <w:tcW w:type="pct" w:w="3709"/>
            <w:vAlign w:val="center"/>
          </w:tcPr>
          <w:p w14:paraId="33B6B195">
            <w:pPr>
              <w:pStyle w:val="20"/>
              <w:numPr>
                <w:ilvl w:val="0"/>
                <w:numId w:val="1"/>
              </w:numPr>
              <w:spacing w:line="300" w:lineRule="exact"/>
              <w:ind w:firstLineChars="0"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【2026】年【9】月【15】日至【2026】年【9】月【21】日</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信银理财</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有权提前结束募集期并提前成立产品或者延长募集期。</w:t>
            </w:r>
          </w:p>
          <w:p w14:paraId="52A3ED1F">
            <w:pPr>
              <w:pStyle w:val="20"/>
              <w:numPr>
                <w:ilvl w:val="0"/>
                <w:numId w:val="1"/>
              </w:numPr>
              <w:spacing w:line="300" w:lineRule="exact"/>
              <w:ind w:firstLineChars="0"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color w:themeColor="text1" w:val="000000"/>
                <w:sz w:val="20"/>
                <w:szCs w:val="20"/>
                <w:highlight w:val="none"/>
                <w14:textFill>
                  <w14:solidFill>
                    <w14:schemeClr w14:val="tx1"/>
                  </w14:solidFill>
                </w14:textFill>
              </w:rPr>
              <w:t>投资者在</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信银</w:t>
            </w:r>
            <w:r>
              <w:rPr>
                <w:rFonts w:ascii="Times New Roman" w:cs="Times New Roman" w:eastAsia="楷体_GB2312" w:hAnsi="Times New Roman"/>
                <w:color w:themeColor="text1" w:val="000000"/>
                <w:sz w:val="20"/>
                <w:szCs w:val="20"/>
                <w:highlight w:val="none"/>
                <w14:textFill>
                  <w14:solidFill>
                    <w14:schemeClr w14:val="tx1"/>
                  </w14:solidFill>
                </w14:textFill>
              </w:rPr>
              <w:t>理财直销渠道购买</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产品</w:t>
            </w:r>
            <w:r>
              <w:rPr>
                <w:rFonts w:ascii="Times New Roman" w:cs="Times New Roman" w:eastAsia="楷体_GB2312" w:hAnsi="Times New Roman"/>
                <w:color w:themeColor="text1" w:val="000000"/>
                <w:sz w:val="20"/>
                <w:szCs w:val="20"/>
                <w:highlight w:val="none"/>
                <w14:textFill>
                  <w14:solidFill>
                    <w14:schemeClr w14:val="tx1"/>
                  </w14:solidFill>
                </w14:textFill>
              </w:rPr>
              <w:t>的，募集期内可以撤单</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。撤单</w:t>
            </w:r>
            <w:r>
              <w:rPr>
                <w:rFonts w:ascii="Times New Roman" w:cs="Times New Roman" w:eastAsia="楷体_GB2312" w:hAnsi="Times New Roman"/>
                <w:color w:themeColor="text1" w:val="000000"/>
                <w:sz w:val="20"/>
                <w:szCs w:val="20"/>
                <w:highlight w:val="none"/>
                <w14:textFill>
                  <w14:solidFill>
                    <w14:schemeClr w14:val="tx1"/>
                  </w14:solidFill>
                </w14:textFill>
              </w:rPr>
              <w:t>具体规则</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以</w:t>
            </w:r>
            <w:r>
              <w:rPr>
                <w:rFonts w:ascii="Times New Roman" w:cs="Times New Roman" w:eastAsia="楷体_GB2312" w:hAnsi="Times New Roman"/>
                <w:color w:themeColor="text1" w:val="000000"/>
                <w:sz w:val="20"/>
                <w:szCs w:val="20"/>
                <w:highlight w:val="none"/>
                <w14:textFill>
                  <w14:solidFill>
                    <w14:schemeClr w14:val="tx1"/>
                  </w14:solidFill>
                </w14:textFill>
              </w:rPr>
              <w:t>信银理财</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说明</w:t>
            </w:r>
            <w:r>
              <w:rPr>
                <w:rFonts w:ascii="Times New Roman" w:cs="Times New Roman" w:eastAsia="楷体_GB2312" w:hAnsi="Times New Roman"/>
                <w:color w:themeColor="text1" w:val="000000"/>
                <w:sz w:val="20"/>
                <w:szCs w:val="20"/>
                <w:highlight w:val="none"/>
                <w14:textFill>
                  <w14:solidFill>
                    <w14:schemeClr w14:val="tx1"/>
                  </w14:solidFill>
                </w14:textFill>
              </w:rPr>
              <w:t>或公布的操作方式为准。</w:t>
            </w:r>
          </w:p>
          <w:p w14:paraId="7908389D">
            <w:pPr>
              <w:pStyle w:val="20"/>
              <w:spacing w:line="300" w:lineRule="exact"/>
              <w:ind w:firstLine="0" w:firstLineChars="0" w:left="358"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投资者在</w:t>
            </w:r>
            <w:r>
              <w:rPr>
                <w:rFonts w:ascii="Times New Roman" w:cs="Times New Roman" w:eastAsia="楷体_GB2312" w:hAnsi="Times New Roman"/>
                <w:color w:themeColor="text1" w:val="000000"/>
                <w:sz w:val="20"/>
                <w:szCs w:val="20"/>
                <w:highlight w:val="none"/>
                <w14:textFill>
                  <w14:solidFill>
                    <w14:schemeClr w14:val="tx1"/>
                  </w14:solidFill>
                </w14:textFill>
              </w:rPr>
              <w:t>代销</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机构</w:t>
            </w:r>
            <w:r>
              <w:rPr>
                <w:rFonts w:ascii="Times New Roman" w:cs="Times New Roman" w:eastAsia="楷体_GB2312" w:hAnsi="Times New Roman"/>
                <w:color w:themeColor="text1" w:val="000000"/>
                <w:sz w:val="20"/>
                <w:szCs w:val="20"/>
                <w:highlight w:val="none"/>
                <w14:textFill>
                  <w14:solidFill>
                    <w14:schemeClr w14:val="tx1"/>
                  </w14:solidFill>
                </w14:textFill>
              </w:rPr>
              <w:t>购买理财产品的，</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募集期</w:t>
            </w:r>
            <w:r>
              <w:rPr>
                <w:rFonts w:ascii="Times New Roman" w:cs="Times New Roman" w:eastAsia="楷体_GB2312" w:hAnsi="Times New Roman"/>
                <w:color w:themeColor="text1" w:val="000000"/>
                <w:sz w:val="20"/>
                <w:szCs w:val="20"/>
                <w:highlight w:val="none"/>
                <w14:textFill>
                  <w14:solidFill>
                    <w14:schemeClr w14:val="tx1"/>
                  </w14:solidFill>
                </w14:textFill>
              </w:rPr>
              <w:t>内是否可以撤单</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以及</w:t>
            </w:r>
            <w:r>
              <w:rPr>
                <w:rFonts w:ascii="Times New Roman" w:cs="Times New Roman" w:eastAsia="楷体_GB2312" w:hAnsi="Times New Roman"/>
                <w:color w:themeColor="text1" w:val="000000"/>
                <w:sz w:val="20"/>
                <w:szCs w:val="20"/>
                <w:highlight w:val="none"/>
                <w14:textFill>
                  <w14:solidFill>
                    <w14:schemeClr w14:val="tx1"/>
                  </w14:solidFill>
                </w14:textFill>
              </w:rPr>
              <w:t>撤单规则，以代销机构说明或公布的操作方式为准。</w:t>
            </w:r>
          </w:p>
          <w:p w14:paraId="624B8A1F">
            <w:pPr>
              <w:pStyle w:val="20"/>
              <w:spacing w:line="300" w:lineRule="exact"/>
              <w:ind w:firstLine="0" w:firstLineChars="0" w:left="358"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“可以</w:t>
            </w:r>
            <w:r>
              <w:rPr>
                <w:rFonts w:ascii="Times New Roman" w:cs="Times New Roman" w:eastAsia="楷体_GB2312" w:hAnsi="Times New Roman"/>
                <w:color w:themeColor="text1" w:val="000000"/>
                <w:sz w:val="20"/>
                <w:szCs w:val="20"/>
                <w:highlight w:val="none"/>
                <w14:textFill>
                  <w14:solidFill>
                    <w14:schemeClr w14:val="tx1"/>
                  </w14:solidFill>
                </w14:textFill>
              </w:rPr>
              <w:t>撤单</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”则</w:t>
            </w:r>
            <w:r>
              <w:rPr>
                <w:rFonts w:ascii="Times New Roman" w:cs="Times New Roman" w:eastAsia="楷体_GB2312" w:hAnsi="Times New Roman"/>
                <w:color w:themeColor="text1" w:val="000000"/>
                <w:sz w:val="20"/>
                <w:szCs w:val="20"/>
                <w:highlight w:val="none"/>
                <w14:textFill>
                  <w14:solidFill>
                    <w14:schemeClr w14:val="tx1"/>
                  </w14:solidFill>
                </w14:textFill>
              </w:rPr>
              <w:t>意味着</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投资者有权撤销其已向信银理财或代销机构提交的认购申请。</w:t>
            </w:r>
          </w:p>
          <w:p w14:paraId="2B55BFA6">
            <w:pPr>
              <w:pStyle w:val="20"/>
              <w:numPr>
                <w:ilvl w:val="0"/>
                <w:numId w:val="1"/>
              </w:numPr>
              <w:spacing w:line="300" w:lineRule="exact"/>
              <w:ind w:firstLineChars="0" w:right="36" w:rightChars="15"/>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募集期内投资者认购款项在管理人募集账户不产生利息，是否计付利息以及利息计付规则以销售机构为准。</w:t>
            </w:r>
          </w:p>
        </w:tc>
      </w:tr>
      <w:tr w14:paraId="3AB6E04B">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CD3BBF5">
            <w:pPr>
              <w:spacing w:line="300" w:lineRule="atLeast"/>
              <w:ind w:left="-2" w:right="31"/>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运作</w:t>
            </w:r>
            <w:r>
              <w:rPr>
                <w:rFonts w:ascii="Times New Roman" w:cs="Times New Roman" w:eastAsia="楷体_GB2312" w:hAnsi="Times New Roman"/>
                <w:color w:themeColor="text1" w:val="000000"/>
                <w:sz w:val="20"/>
                <w:szCs w:val="20"/>
                <w:highlight w:val="none"/>
                <w14:textFill>
                  <w14:solidFill>
                    <w14:schemeClr w14:val="tx1"/>
                  </w14:solidFill>
                </w14:textFill>
              </w:rPr>
              <w:t>起始</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日</w:t>
            </w:r>
          </w:p>
        </w:tc>
        <w:tc>
          <w:tcPr>
            <w:tcW w:type="pct" w:w="3709"/>
            <w:vAlign w:val="center"/>
          </w:tcPr>
          <w:p w14:paraId="2D30CB65">
            <w:pPr>
              <w:spacing w:line="300" w:lineRule="atLeast"/>
              <w:ind w:left="-2" w:right="31"/>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int="eastAsia"/>
                <w:color w:themeColor="text1" w:val="000000"/>
                <w:sz w:val="20"/>
                <w:szCs w:val="20"/>
                <w:highlight w:val="none"/>
                <w14:textFill>
                  <w14:solidFill>
                    <w14:schemeClr w14:val="tx1"/>
                  </w14:solidFill>
                </w14:textFill>
              </w:rPr>
              <w:t>【2026】年【9】月【22】日</w:t>
            </w:r>
            <w:r>
              <w:rPr>
                <w:rFonts w:ascii="Times New Roman" w:cs="Times New Roman" w:eastAsia="楷体_GB2312"/>
                <w:color w:themeColor="text1" w:val="000000"/>
                <w:sz w:val="20"/>
                <w:szCs w:val="20"/>
                <w:highlight w:val="none"/>
                <w14:textFill>
                  <w14:solidFill>
                    <w14:schemeClr w14:val="tx1"/>
                  </w14:solidFill>
                </w14:textFill>
              </w:rPr>
              <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（如</w:t>
            </w: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信银理财</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调整募集期，则运作</w:t>
            </w:r>
            <w:r>
              <w:rPr>
                <w:rFonts w:ascii="Times New Roman" w:cs="Times New Roman" w:eastAsia="楷体_GB2312" w:hAnsi="Times New Roman"/>
                <w:color w:themeColor="text1" w:val="000000"/>
                <w:sz w:val="20"/>
                <w:szCs w:val="20"/>
                <w:highlight w:val="none"/>
                <w14:textFill>
                  <w14:solidFill>
                    <w14:schemeClr w14:val="tx1"/>
                  </w14:solidFill>
                </w14:textFill>
              </w:rPr>
              <w:t>起始</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日将相应调整。）</w:t>
            </w:r>
          </w:p>
        </w:tc>
      </w:tr>
      <w:tr w14:paraId="4686852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CE1C3EA">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产品建仓期</w:t>
            </w:r>
          </w:p>
        </w:tc>
        <w:tc>
          <w:tcPr>
            <w:tcW w:type="pct" w:w="3709"/>
            <w:vAlign w:val="center"/>
          </w:tcPr>
          <w:p w14:paraId="15383D91">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【2026】年【9】月【22】日</w:t>
            </w:r>
            <w:r>
              <w:rPr>
                <w:rFonts w:ascii="楷体_GB2312" w:cs="楷体_GB2312" w:eastAsia="楷体_GB2312" w:hint="eastAsia"/>
                <w:color w:themeColor="text1" w:val="000000"/>
                <w:sz w:val="20"/>
                <w:szCs w:val="20"/>
                <w:highlight w:val="none"/>
                <w14:textFill>
                  <w14:solidFill>
                    <w14:schemeClr w14:val="tx1"/>
                  </w14:solidFill>
                </w14:textFill>
              </w:rPr>
              <w:t>至【2026】年【12】月【21】日</w:t>
            </w:r>
            <w:r>
              <w:rPr>
                <w:rFonts w:ascii="楷体_GB2312" w:cs="楷体_GB2312" w:eastAsia="楷体_GB2312"/>
                <w:color w:themeColor="text1" w:val="000000"/>
                <w:sz w:val="20"/>
                <w:szCs w:val="20"/>
                <w:highlight w:val="none"/>
                <w14:textFill>
                  <w14:solidFill>
                    <w14:schemeClr w14:val="tx1"/>
                  </w14:solidFill>
                </w14:textFill>
              </w:rPr>
              <w:t/>
            </w:r>
            <w:r>
              <w:rPr>
                <w:rFonts w:ascii="楷体_GB2312" w:cs="楷体_GB2312" w:eastAsia="楷体_GB2312" w:hint="eastAsia"/>
                <w:color w:themeColor="text1" w:val="000000"/>
                <w:sz w:val="20"/>
                <w:szCs w:val="20"/>
                <w:highlight w:val="none"/>
                <w14:textFill>
                  <w14:solidFill>
                    <w14:schemeClr w14:val="tx1"/>
                  </w14:solidFill>
                </w14:textFill>
              </w:rPr>
              <w:t>。</w:t>
            </w:r>
          </w:p>
        </w:tc>
      </w:tr>
      <w:tr w14:paraId="6676A10B">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649C0CA">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到期日</w:t>
            </w:r>
          </w:p>
        </w:tc>
        <w:tc>
          <w:tcPr>
            <w:tcW w:type="pct" w:w="3709"/>
            <w:vAlign w:val="center"/>
          </w:tcPr>
          <w:p w14:paraId="161A27DB">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【2027】年【3】月【29】日</w:t>
            </w:r>
            <w:r>
              <w:rPr>
                <w:rFonts w:ascii="楷体_GB2312" w:cs="楷体_GB2312" w:eastAsia="楷体_GB2312" w:hint="eastAsia"/>
                <w:color w:themeColor="text1" w:val="000000"/>
                <w:sz w:val="20"/>
                <w:szCs w:val="20"/>
                <w:highlight w:val="none"/>
                <w14:textFill>
                  <w14:solidFill>
                    <w14:schemeClr w14:val="tx1"/>
                  </w14:solidFill>
                </w14:textFill>
              </w:rPr>
              <w:t>（受运作</w:t>
            </w:r>
            <w:r>
              <w:rPr>
                <w:rFonts w:ascii="楷体_GB2312" w:cs="楷体_GB2312" w:eastAsia="楷体_GB2312"/>
                <w:color w:themeColor="text1" w:val="000000"/>
                <w:sz w:val="20"/>
                <w:szCs w:val="20"/>
                <w:highlight w:val="none"/>
                <w14:textFill>
                  <w14:solidFill>
                    <w14:schemeClr w14:val="tx1"/>
                  </w14:solidFill>
                </w14:textFill>
              </w:rPr>
              <w:t>起始</w:t>
            </w:r>
            <w:r>
              <w:rPr>
                <w:rFonts w:ascii="楷体_GB2312" w:cs="楷体_GB2312" w:eastAsia="楷体_GB2312" w:hint="eastAsia"/>
                <w:color w:themeColor="text1" w:val="000000"/>
                <w:sz w:val="20"/>
                <w:szCs w:val="20"/>
                <w:highlight w:val="none"/>
                <w14:textFill>
                  <w14:solidFill>
                    <w14:schemeClr w14:val="tx1"/>
                  </w14:solidFill>
                </w14:textFill>
              </w:rPr>
              <w:t>日、提前终止条款等约束，遇非工作日则顺延至下一工作日）</w:t>
            </w:r>
          </w:p>
        </w:tc>
      </w:tr>
      <w:tr w14:paraId="441155BA">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62DC6435">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清算期</w:t>
            </w:r>
          </w:p>
        </w:tc>
        <w:tc>
          <w:tcPr>
            <w:tcW w:type="pct" w:w="3709"/>
            <w:vAlign w:val="center"/>
          </w:tcPr>
          <w:p w14:paraId="12CF1F56">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到期日（或理财产品实际终止日）至投资者持有</w:t>
            </w:r>
            <w:r>
              <w:rPr>
                <w:rFonts w:ascii="楷体_GB2312" w:cs="楷体_GB2312" w:eastAsia="楷体_GB2312"/>
                <w:color w:themeColor="text1" w:val="000000"/>
                <w:sz w:val="20"/>
                <w:szCs w:val="20"/>
                <w:highlight w:val="none"/>
                <w14:textFill>
                  <w14:solidFill>
                    <w14:schemeClr w14:val="tx1"/>
                  </w14:solidFill>
                </w14:textFill>
              </w:rPr>
              <w:t>的本</w:t>
            </w: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产品份额清零之日</w:t>
            </w:r>
            <w:r>
              <w:rPr>
                <w:rFonts w:ascii="楷体_GB2312" w:cs="楷体_GB2312" w:eastAsia="楷体_GB2312" w:hint="eastAsia"/>
                <w:color w:themeColor="text1" w:val="000000"/>
                <w:sz w:val="20"/>
                <w:szCs w:val="20"/>
                <w:highlight w:val="none"/>
                <w14:textFill>
                  <w14:solidFill>
                    <w14:schemeClr w14:val="tx1"/>
                  </w14:solidFill>
                </w14:textFill>
              </w:rPr>
              <w:t>为清算期。</w:t>
            </w:r>
          </w:p>
        </w:tc>
      </w:tr>
      <w:tr w14:paraId="61BAC6B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41DA36E">
            <w:pPr>
              <w:spacing w:line="300" w:lineRule="exact"/>
              <w:ind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color w:themeColor="text1" w:val="000000"/>
                <w:sz w:val="20"/>
                <w:szCs w:val="20"/>
                <w:highlight w:val="none"/>
                <w14:textFill>
                  <w14:solidFill>
                    <w14:schemeClr w14:val="tx1"/>
                  </w14:solidFill>
                </w14:textFill>
              </w:rPr>
              <w:t>业绩</w:t>
            </w:r>
            <w:r>
              <w:rPr>
                <w:rFonts w:ascii="Times New Roman" w:cs="楷体_GB2312" w:eastAsia="楷体_GB2312" w:hint="eastAsia"/>
                <w:color w:themeColor="text1" w:val="000000"/>
                <w:sz w:val="20"/>
                <w:szCs w:val="20"/>
                <w:highlight w:val="none"/>
                <w14:textFill>
                  <w14:solidFill>
                    <w14:schemeClr w14:val="tx1"/>
                  </w14:solidFill>
                </w14:textFill>
              </w:rPr>
              <w:t>比较</w:t>
            </w:r>
            <w:r>
              <w:rPr>
                <w:rFonts w:ascii="Times New Roman" w:cs="楷体_GB2312" w:eastAsia="楷体_GB2312"/>
                <w:color w:themeColor="text1" w:val="000000"/>
                <w:sz w:val="20"/>
                <w:szCs w:val="20"/>
                <w:highlight w:val="none"/>
                <w14:textFill>
                  <w14:solidFill>
                    <w14:schemeClr w14:val="tx1"/>
                  </w14:solidFill>
                </w14:textFill>
              </w:rPr>
              <w:t>基准</w:t>
            </w:r>
          </w:p>
        </w:tc>
        <w:tc>
          <w:tcPr>
            <w:tcW w:type="pct" w:w="3709"/>
            <w:vAlign w:val="center"/>
          </w:tcPr>
          <w:p w14:paraId="2F968686">
            <w:pPr>
              <w:spacing w:line="300" w:lineRule="exact"/>
              <w:ind w:left="-2" w:leftChars="-1" w:right="36" w:rightChars="15"/>
              <w:rPr>
                <w:rFonts w:ascii="楷体_GB2312" w:cs="楷体_GB2312" w:eastAsia="楷体_GB2312"/>
                <w:sz w:val="20"/>
                <w:szCs w:val="20"/>
                <w:highlight w:val="none"/>
              </w:rPr>
            </w:pPr>
            <w:r>
              <w:rPr>
                <w:rFonts w:ascii="楷体_GB2312" w:cs="楷体_GB2312" w:eastAsia="楷体_GB2312" w:hint="eastAsia"/>
                <w:sz w:val="20"/>
                <w:szCs w:val="20"/>
                <w:highlight w:val="none"/>
              </w:rPr>
              <w:t/>
              <w:t>【A】类份额：生效日期2026年09月22日【2.00%】</w:t>
              <w:br/>
              <w:t>【B】类份额：生效日期2026年09月22日【2.00%】</w:t>
              <w:br/>
              <w:t>【C】类份额：生效日期2026年09月22日【2.05%】</w:t>
              <w:br/>
              <w:t>【D】类份额：生效日期2026年09月22日【2.05%】</w:t>
              <w:br/>
              <w:t>【G】类份额：生效日期2026年09月22日【2.05%】</w:t>
              <w:br/>
              <w:t>【M】类份额：生效日期2026年09月22日【1.95%】</w:t>
              <w:br/>
              <w:t>【N】类份额：生效日期2026年09月22日【1.85%】</w:t>
              <w:br/>
              <w:t>【S】类份额：生效日期2026年09月22日【2.05%】</w:t>
            </w:r>
            <w:r>
              <w:rPr>
                <w:rFonts w:ascii="楷体_GB2312" w:cs="楷体_GB2312" w:eastAsia="楷体_GB2312"/>
                <w:sz w:val="20"/>
                <w:szCs w:val="20"/>
                <w:highlight w:val="none"/>
              </w:rPr>
              <w:t/>
            </w:r>
          </w:p>
          <w:p w14:paraId="121DD7AE">
            <w:pPr>
              <w:spacing w:line="300" w:lineRule="exact"/>
              <w:ind w:left="-2" w:leftChars="-1" w:right="36" w:rightChars="15"/>
              <w:jc w:val="both"/>
              <w:rPr>
                <w:rFonts w:ascii="楷体_GB2312" w:cs="楷体_GB2312" w:eastAsia="楷体_GB2312"/>
                <w:color w:themeColor="text1" w:val="000000"/>
                <w:sz w:val="20"/>
                <w:szCs w:val="20"/>
                <w:highlight w:val="none"/>
                <w14:textFill>
                  <w14:solidFill>
                    <w14:schemeClr w14:val="tx1"/>
                  </w14:solidFill>
                </w14:textFill>
              </w:rPr>
            </w:pPr>
          </w:p>
          <w:p w14:paraId="0618A9FB">
            <w:pPr>
              <w:spacing w:line="300" w:lineRule="exact"/>
              <w:ind w:left="-2" w:leftChars="-1" w:right="36" w:rightChars="15"/>
              <w:rPr>
                <w:rFonts w:ascii="楷体_GB2312" w:cs="楷体_GB2312" w:eastAsia="楷体_GB2312"/>
                <w:sz w:val="20"/>
                <w:szCs w:val="20"/>
                <w:highlight w:val="none"/>
              </w:rPr>
            </w:pPr>
            <w:r>
              <w:rPr>
                <w:rFonts w:ascii="楷体_GB2312" w:cs="楷体_GB2312" w:eastAsia="楷体_GB2312" w:hint="eastAsia"/>
                <w:b/>
                <w:bCs/>
                <w:sz w:val="20"/>
                <w:szCs w:val="20"/>
                <w:highlight w:val="none"/>
              </w:rPr>
              <w:t>业绩</w:t>
            </w:r>
            <w:r>
              <w:rPr>
                <w:rFonts w:ascii="楷体_GB2312" w:cs="楷体_GB2312" w:eastAsia="楷体_GB2312"/>
                <w:b/>
                <w:bCs/>
                <w:sz w:val="20"/>
                <w:szCs w:val="20"/>
                <w:highlight w:val="none"/>
              </w:rPr>
              <w:t>比较基准测算依据：</w:t>
            </w:r>
            <w:r>
              <w:rPr>
                <w:rFonts w:ascii="楷体_GB2312" w:cs="楷体_GB2312" w:eastAsia="楷体_GB2312" w:hint="eastAsia"/>
                <w:b/>
                <w:bCs/>
                <w:sz w:val="20"/>
                <w:szCs w:val="20"/>
                <w:highlight w:val="none"/>
              </w:rPr>
              <w:t>【</w:t>
            </w:r>
            <w:r>
              <w:rPr>
                <w:rFonts w:ascii="楷体_GB2312" w:cs="楷体_GB2312" w:eastAsia="楷体_GB2312"/>
                <w:b/>
                <w:bCs/>
                <w:sz w:val="20"/>
                <w:szCs w:val="20"/>
                <w:highlight w:val="none"/>
              </w:rPr>
              <w:t>本理财产品为固定收益类产品，主要投向为同业存单、短融、中票、PPN、公司债、资产支持证券等标准化债权类资产以及非标准化债权类资产。根据当前市场利率水平、组合目标久期、可投资债券的静态收益率、债券杠杆操作等因素作为测算依据，扣除相关税费成本之后，综合得出产品的业绩比较基准。业绩比较基准是基于产品性质、投资策略、过往经验等因素对产品设定的投资目标。业绩比较基准不是预期收益率，不代表产品的未来表现和实际收益，不构成对产品收益的承诺，投资须谨慎。</w:t>
            </w:r>
            <w:r>
              <w:rPr>
                <w:rFonts w:ascii="楷体_GB2312" w:cs="楷体_GB2312" w:eastAsia="楷体_GB2312" w:hint="eastAsia"/>
                <w:b/>
                <w:bCs/>
                <w:sz w:val="20"/>
                <w:szCs w:val="20"/>
                <w:highlight w:val="none"/>
              </w:rPr>
              <w:t>】</w:t>
            </w:r>
          </w:p>
          <w:p w14:paraId="54138B23">
            <w:pPr>
              <w:spacing w:line="300" w:lineRule="exact"/>
              <w:ind w:left="-2" w:leftChars="-1" w:right="36" w:rightChars="15"/>
              <w:jc w:val="both"/>
              <w:rPr>
                <w:rFonts w:ascii="黑体" w:cs="楷体_GB2312" w:eastAsia="黑体" w:hAnsi="黑体"/>
                <w:b/>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本产品收取的销售服务费可能因销售</w:t>
            </w:r>
            <w:r>
              <w:rPr>
                <w:rFonts w:ascii="楷体_GB2312" w:cs="楷体_GB2312" w:eastAsia="楷体_GB2312"/>
                <w:b/>
                <w:bCs/>
                <w:color w:themeColor="text1" w:val="000000"/>
                <w:sz w:val="20"/>
                <w:szCs w:val="20"/>
                <w:highlight w:val="none"/>
                <w14:textFill>
                  <w14:solidFill>
                    <w14:schemeClr w14:val="tx1"/>
                  </w14:solidFill>
                </w14:textFill>
              </w:rPr>
              <w:t>机构</w:t>
            </w:r>
            <w:r>
              <w:rPr>
                <w:rFonts w:ascii="楷体_GB2312" w:cs="楷体_GB2312" w:eastAsia="楷体_GB2312" w:hint="eastAsia"/>
                <w:b/>
                <w:bCs/>
                <w:color w:themeColor="text1" w:val="000000"/>
                <w:sz w:val="20"/>
                <w:szCs w:val="20"/>
                <w:highlight w:val="none"/>
                <w14:textFill>
                  <w14:solidFill>
                    <w14:schemeClr w14:val="tx1"/>
                  </w14:solidFill>
                </w14:textFill>
              </w:rPr>
              <w:t>不同有所差异，从而导致测算的业绩比较基准有所差异，请投资者关注管理人及销售机构相关信息披露。</w:t>
            </w:r>
          </w:p>
          <w:p w14:paraId="3407C4B8">
            <w:pPr>
              <w:spacing w:line="300" w:lineRule="exact"/>
              <w:ind w:left="-2" w:leftChars="-1" w:right="36" w:rightChars="15"/>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若今后法律法规发生变化，或有其他代表性更强、更科学客观的业绩比较基准适用于本产品时，本产品可变更业绩比较基准并及时告知投资者。</w:t>
            </w:r>
          </w:p>
        </w:tc>
      </w:tr>
      <w:tr w14:paraId="2F50F60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5A5ED974">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交易时间</w:t>
            </w:r>
          </w:p>
        </w:tc>
        <w:tc>
          <w:tcPr>
            <w:tcW w:type="pct" w:w="3709"/>
            <w:vAlign w:val="center"/>
          </w:tcPr>
          <w:p w14:paraId="447AC584">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本产品交易时间为</w:t>
            </w:r>
            <w:r>
              <w:rPr>
                <w:rFonts w:ascii="楷体_GB2312" w:cs="楷体_GB2312" w:eastAsia="楷体_GB2312"/>
                <w:color w:themeColor="text1" w:val="000000"/>
                <w:sz w:val="20"/>
                <w:szCs w:val="20"/>
                <w:highlight w:val="none"/>
                <w14:textFill>
                  <w14:solidFill>
                    <w14:schemeClr w14:val="tx1"/>
                  </w14:solidFill>
                </w14:textFill>
              </w:rPr>
              <w:t>【8：30-</w:t>
            </w:r>
            <w:r>
              <w:rPr>
                <w:rFonts w:ascii="楷体_GB2312" w:cs="楷体_GB2312" w:eastAsia="楷体_GB2312" w:hint="eastAsia"/>
                <w:sz w:val="20"/>
                <w:szCs w:val="20"/>
                <w:highlight w:val="none"/>
              </w:rPr>
              <w:t>1</w:t>
            </w:r>
            <w:r>
              <w:rPr>
                <w:rFonts w:ascii="楷体_GB2312" w:cs="楷体_GB2312" w:eastAsia="楷体_GB2312"/>
                <w:sz w:val="20"/>
                <w:szCs w:val="20"/>
                <w:highlight w:val="none"/>
              </w:rPr>
              <w:t>7</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0</w:t>
            </w:r>
            <w:r>
              <w:rPr>
                <w:rFonts w:ascii="楷体_GB2312" w:cs="楷体_GB2312" w:eastAsia="楷体_GB2312" w:hint="eastAsia"/>
                <w:sz w:val="20"/>
                <w:szCs w:val="20"/>
                <w:highlight w:val="none"/>
              </w:rPr>
              <w:t>0</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投资者应当根据产品说明书约定在交易时间内进行认购交易操作，</w:t>
            </w:r>
            <w:r>
              <w:rPr>
                <w:rFonts w:ascii="楷体_GB2312" w:cs="楷体_GB2312" w:eastAsia="楷体_GB2312"/>
                <w:color w:themeColor="text1" w:val="000000"/>
                <w:sz w:val="20"/>
                <w:szCs w:val="20"/>
                <w:highlight w:val="none"/>
                <w14:textFill>
                  <w14:solidFill>
                    <w14:schemeClr w14:val="tx1"/>
                  </w14:solidFill>
                </w14:textFill>
              </w:rPr>
              <w:t>信银理财有权变更交易时间</w:t>
            </w:r>
            <w:r>
              <w:rPr>
                <w:rFonts w:ascii="楷体_GB2312" w:cs="楷体_GB2312" w:eastAsia="楷体_GB2312" w:hint="eastAsia"/>
                <w:color w:themeColor="text1" w:val="000000"/>
                <w:sz w:val="20"/>
                <w:szCs w:val="20"/>
                <w:highlight w:val="none"/>
                <w14:textFill>
                  <w14:solidFill>
                    <w14:schemeClr w14:val="tx1"/>
                  </w14:solidFill>
                </w14:textFill>
              </w:rPr>
              <w:t>，请投资者关注管理人及销售机构相关信息披露。</w:t>
            </w:r>
            <w:r>
              <w:rPr>
                <w:rFonts w:ascii="楷体_GB2312" w:cs="楷体_GB2312" w:eastAsia="楷体_GB2312"/>
                <w:color w:themeColor="text1" w:val="000000"/>
                <w:sz w:val="20"/>
                <w:szCs w:val="20"/>
                <w:highlight w:val="none"/>
                <w14:textFill>
                  <w14:solidFill>
                    <w14:schemeClr w14:val="tx1"/>
                  </w14:solidFill>
                </w14:textFill>
              </w:rPr>
              <w:t>如果投资者通过信银理财</w:t>
            </w:r>
            <w:r>
              <w:rPr>
                <w:rFonts w:ascii="楷体_GB2312" w:cs="楷体_GB2312" w:eastAsia="楷体_GB2312" w:hint="eastAsia"/>
                <w:color w:themeColor="text1" w:val="000000"/>
                <w:sz w:val="20"/>
                <w:szCs w:val="20"/>
                <w:highlight w:val="none"/>
                <w14:textFill>
                  <w14:solidFill>
                    <w14:schemeClr w14:val="tx1"/>
                  </w14:solidFill>
                </w14:textFill>
              </w:rPr>
              <w:t>直销渠道</w:t>
            </w:r>
            <w:r>
              <w:rPr>
                <w:rFonts w:ascii="楷体_GB2312" w:cs="楷体_GB2312" w:eastAsia="楷体_GB2312"/>
                <w:color w:themeColor="text1" w:val="000000"/>
                <w:sz w:val="20"/>
                <w:szCs w:val="20"/>
                <w:highlight w:val="none"/>
                <w14:textFill>
                  <w14:solidFill>
                    <w14:schemeClr w14:val="tx1"/>
                  </w14:solidFill>
                </w14:textFill>
              </w:rPr>
              <w:t>购买的，则交易时间以</w:t>
            </w:r>
            <w:r>
              <w:rPr>
                <w:rFonts w:ascii="楷体_GB2312" w:cs="楷体_GB2312" w:eastAsia="楷体_GB2312" w:hint="eastAsia"/>
                <w:color w:themeColor="text1" w:val="000000"/>
                <w:sz w:val="20"/>
                <w:szCs w:val="20"/>
                <w:highlight w:val="none"/>
                <w14:textFill>
                  <w14:solidFill>
                    <w14:schemeClr w14:val="tx1"/>
                  </w14:solidFill>
                </w14:textFill>
              </w:rPr>
              <w:t>信银理财直销渠道</w:t>
            </w:r>
            <w:r>
              <w:rPr>
                <w:rFonts w:ascii="楷体_GB2312" w:cs="楷体_GB2312" w:eastAsia="楷体_GB2312"/>
                <w:color w:themeColor="text1" w:val="000000"/>
                <w:sz w:val="20"/>
                <w:szCs w:val="20"/>
                <w:highlight w:val="none"/>
                <w14:textFill>
                  <w14:solidFill>
                    <w14:schemeClr w14:val="tx1"/>
                  </w14:solidFill>
                </w14:textFill>
              </w:rPr>
              <w:t>的营业时间和公布的交易时间为准，且必须在【8：30-</w:t>
            </w:r>
            <w:r>
              <w:rPr>
                <w:rFonts w:ascii="楷体_GB2312" w:cs="楷体_GB2312" w:eastAsia="楷体_GB2312" w:hint="eastAsia"/>
                <w:sz w:val="20"/>
                <w:szCs w:val="20"/>
                <w:highlight w:val="none"/>
              </w:rPr>
              <w:t>1</w:t>
            </w:r>
            <w:r>
              <w:rPr>
                <w:rFonts w:ascii="楷体_GB2312" w:cs="楷体_GB2312" w:eastAsia="楷体_GB2312"/>
                <w:sz w:val="20"/>
                <w:szCs w:val="20"/>
                <w:highlight w:val="none"/>
              </w:rPr>
              <w:t>7</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0</w:t>
            </w:r>
            <w:r>
              <w:rPr>
                <w:rFonts w:ascii="楷体_GB2312" w:cs="楷体_GB2312" w:eastAsia="楷体_GB2312" w:hint="eastAsia"/>
                <w:sz w:val="20"/>
                <w:szCs w:val="20"/>
                <w:highlight w:val="none"/>
              </w:rPr>
              <w:t>0</w:t>
            </w:r>
            <w:r>
              <w:rPr>
                <w:rFonts w:ascii="楷体_GB2312" w:cs="楷体_GB2312" w:eastAsia="楷体_GB2312"/>
                <w:color w:themeColor="text1" w:val="000000"/>
                <w:sz w:val="20"/>
                <w:szCs w:val="20"/>
                <w:highlight w:val="none"/>
                <w14:textFill>
                  <w14:solidFill>
                    <w14:schemeClr w14:val="tx1"/>
                  </w14:solidFill>
                </w14:textFill>
              </w:rPr>
              <w:t>】内</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投资者通过</w:t>
            </w:r>
            <w:r>
              <w:rPr>
                <w:rFonts w:ascii="楷体_GB2312" w:cs="楷体_GB2312" w:eastAsia="楷体_GB2312"/>
                <w:color w:themeColor="text1" w:val="000000"/>
                <w:sz w:val="20"/>
                <w:szCs w:val="20"/>
                <w:highlight w:val="none"/>
                <w14:textFill>
                  <w14:solidFill>
                    <w14:schemeClr w14:val="tx1"/>
                  </w14:solidFill>
                </w14:textFill>
              </w:rPr>
              <w:t>代销机构购买理财产品的，还应按照代销机构对于交易时间以及交易申请的相关规定执行，但交易时间必须在【8：30-</w:t>
            </w:r>
            <w:r>
              <w:rPr>
                <w:rFonts w:ascii="楷体_GB2312" w:cs="楷体_GB2312" w:eastAsia="楷体_GB2312" w:hint="eastAsia"/>
                <w:sz w:val="20"/>
                <w:szCs w:val="20"/>
                <w:highlight w:val="none"/>
              </w:rPr>
              <w:t>1</w:t>
            </w:r>
            <w:r>
              <w:rPr>
                <w:rFonts w:ascii="楷体_GB2312" w:cs="楷体_GB2312" w:eastAsia="楷体_GB2312"/>
                <w:sz w:val="20"/>
                <w:szCs w:val="20"/>
                <w:highlight w:val="none"/>
              </w:rPr>
              <w:t>7</w:t>
            </w:r>
            <w:r>
              <w:rPr>
                <w:rFonts w:ascii="楷体_GB2312" w:cs="楷体_GB2312" w:eastAsia="楷体_GB2312" w:hint="eastAsia"/>
                <w:sz w:val="20"/>
                <w:szCs w:val="20"/>
                <w:highlight w:val="none"/>
              </w:rPr>
              <w:t>：</w:t>
            </w:r>
            <w:r>
              <w:rPr>
                <w:rFonts w:ascii="楷体_GB2312" w:cs="楷体_GB2312" w:eastAsia="楷体_GB2312"/>
                <w:sz w:val="20"/>
                <w:szCs w:val="20"/>
                <w:highlight w:val="none"/>
              </w:rPr>
              <w:t>0</w:t>
            </w:r>
            <w:r>
              <w:rPr>
                <w:rFonts w:ascii="楷体_GB2312" w:cs="楷体_GB2312" w:eastAsia="楷体_GB2312" w:hint="eastAsia"/>
                <w:sz w:val="20"/>
                <w:szCs w:val="20"/>
                <w:highlight w:val="none"/>
              </w:rPr>
              <w:t>0</w:t>
            </w:r>
            <w:r>
              <w:rPr>
                <w:rFonts w:ascii="楷体_GB2312" w:cs="楷体_GB2312" w:eastAsia="楷体_GB2312"/>
                <w:color w:themeColor="text1" w:val="000000"/>
                <w:sz w:val="20"/>
                <w:szCs w:val="20"/>
                <w:highlight w:val="none"/>
                <w14:textFill>
                  <w14:solidFill>
                    <w14:schemeClr w14:val="tx1"/>
                  </w14:solidFill>
                </w14:textFill>
              </w:rPr>
              <w:t>】内。</w:t>
            </w:r>
          </w:p>
        </w:tc>
      </w:tr>
      <w:tr w14:paraId="67DF9B3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E6416A4">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计划募集金额</w:t>
            </w:r>
            <w:r>
              <w:rPr>
                <w:rFonts w:ascii="Times New Roman" w:cs="楷体_GB2312" w:eastAsia="楷体_GB2312" w:hint="eastAsia"/>
                <w:color w:themeColor="text1" w:val="000000"/>
                <w:sz w:val="20"/>
                <w:szCs w:val="20"/>
                <w:highlight w:val="none"/>
                <w:lang w:eastAsia="zh-Hans"/>
                <w14:textFill>
                  <w14:solidFill>
                    <w14:schemeClr w14:val="tx1"/>
                  </w14:solidFill>
                </w14:textFill>
              </w:rPr>
              <w:t>上</w:t>
            </w:r>
            <w:r>
              <w:rPr>
                <w:rFonts w:ascii="Times New Roman" w:cs="楷体_GB2312" w:eastAsia="楷体_GB2312"/>
                <w:color w:themeColor="text1" w:val="000000"/>
                <w:sz w:val="20"/>
                <w:szCs w:val="20"/>
                <w:highlight w:val="none"/>
                <w14:textFill>
                  <w14:solidFill>
                    <w14:schemeClr w14:val="tx1"/>
                  </w14:solidFill>
                </w14:textFill>
              </w:rPr>
              <w:t>限</w:t>
            </w:r>
          </w:p>
        </w:tc>
        <w:tc>
          <w:tcPr>
            <w:tcW w:type="pct" w:w="3709"/>
            <w:vAlign w:val="center"/>
          </w:tcPr>
          <w:p w14:paraId="20E44042">
            <w:pPr>
              <w:pStyle w:val="2"/>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无。</w:t>
            </w:r>
          </w:p>
        </w:tc>
      </w:tr>
      <w:tr w14:paraId="11003127">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E6A03B9">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计划募集金额</w:t>
            </w:r>
            <w:r>
              <w:rPr>
                <w:rFonts w:ascii="Times New Roman" w:cs="楷体_GB2312" w:eastAsia="楷体_GB2312"/>
                <w:color w:themeColor="text1" w:val="000000"/>
                <w:sz w:val="20"/>
                <w:szCs w:val="20"/>
                <w:highlight w:val="none"/>
                <w14:textFill>
                  <w14:solidFill>
                    <w14:schemeClr w14:val="tx1"/>
                  </w14:solidFill>
                </w14:textFill>
              </w:rPr>
              <w:t>下限</w:t>
            </w:r>
          </w:p>
        </w:tc>
        <w:tc>
          <w:tcPr>
            <w:tcW w:type="pct" w:w="3709"/>
            <w:vAlign w:val="center"/>
          </w:tcPr>
          <w:p w14:paraId="15B787E4">
            <w:pPr>
              <w:spacing w:line="300" w:lineRule="exact"/>
              <w:ind w:left="-2" w:leftChars="-1" w:right="36" w:rightChars="15"/>
              <w:rPr>
                <w:rFonts w:ascii="楷体_GB2312" w:cs="楷体_GB2312" w:eastAsia="楷体_GB2312"/>
                <w:sz w:val="20"/>
                <w:szCs w:val="20"/>
                <w:highlight w:val="none"/>
              </w:rPr>
            </w:pPr>
            <w:r>
              <w:rPr>
                <w:rFonts w:ascii="楷体_GB2312" w:cs="楷体_GB2312" w:eastAsia="楷体_GB2312" w:hint="eastAsia"/>
                <w:sz w:val="20"/>
                <w:szCs w:val="20"/>
                <w:highlight w:val="none"/>
              </w:rPr>
              <w:t>本产品的计划募集金额下限为【人民币】【500】万元。信银理财有权根据实际需要对此金额下限进行调整。如果募集期内未达到计划募集金额下限，信银理财有权决定产品不成立，并在宣告产品不成立后【2】个工作日内返还投资者资金，同时信银理财保留延长本产品募集期的权利。届时信银理财将按照本说明书约定的方式告知投资者。</w:t>
            </w:r>
            <w:r>
              <w:rPr>
                <w:rFonts w:ascii="楷体_GB2312" w:cs="楷体_GB2312" w:eastAsia="楷体_GB2312"/>
                <w:sz w:val="20"/>
                <w:szCs w:val="20"/>
                <w:highlight w:val="none"/>
              </w:rPr>
              <w:t/>
            </w:r>
          </w:p>
        </w:tc>
      </w:tr>
      <w:tr w14:paraId="03DBEC7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A73008C">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币种</w:t>
            </w:r>
          </w:p>
        </w:tc>
        <w:tc>
          <w:tcPr>
            <w:tcW w:type="pct" w:w="3709"/>
            <w:vAlign w:val="center"/>
          </w:tcPr>
          <w:p w14:paraId="6C37B9B4">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本产品投资与收益币种为【人民币】</w:t>
            </w:r>
          </w:p>
        </w:tc>
      </w:tr>
      <w:tr w14:paraId="0BC63FE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C09B961">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认购起点</w:t>
            </w:r>
          </w:p>
        </w:tc>
        <w:tc>
          <w:tcPr>
            <w:tcW w:type="pct" w:w="3709"/>
            <w:vAlign w:val="center"/>
          </w:tcPr>
          <w:p w14:paraId="0B62AA2E">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sz w:val="20"/>
                <w:szCs w:val="20"/>
                <w:highlight w:val="none"/>
              </w:rPr>
              <w:t/>
              <w:t>1.【A】类份额初始认购金额不低于【人民币】【1】元，以【人民币】【0.01】元的整数倍增加。追加认购金额不低于【人民币】【0.01】元，以【人民币】【0.01】元的整数倍增加。</w:t>
              <w:br/>
              <w:t>【B】类份额初始认购金额不低于【人民币】【1】元，以【人民币】【0.01】元的整数倍增加。追加认购金额不低于【人民币】【0.01】元，以【人民币】【0.01】元的整数倍增加。</w:t>
              <w:br/>
              <w:t>【C】类份额初始认购金额不低于【人民币】【1】元，以【人民币】【0.01】元的整数倍增加。追加认购金额不低于【人民币】【0.01】元，以【人民币】【0.01】元的整数倍增加。</w:t>
              <w:br/>
              <w:t>【D】类份额初始认购金额不低于【人民币】【100】万元，以【人民币】【0.01】元的整数倍增加。追加认购金额不低于【人民币】【0.01】元，以【人民币】【0.01】元的整数倍增加。</w:t>
              <w:br/>
              <w:t>【G】类份额初始认购金额不低于【人民币】【1】元，以【人民币】【0.01】元的整数倍增加。追加认购金额不低于【人民币】【0.01】元，以【人民币】【0.01】元的整数倍增加。</w:t>
              <w:br/>
              <w:t>【M】类份额初始认购金额不低于【人民币】【1】元，以【人民币】【0.01】元的整数倍增加。追加认购金额不低于【人民币】【0.01】元，以【人民币】【0.01】元的整数倍增加。</w:t>
              <w:br/>
              <w:t>【N】类份额初始认购金额不低于【人民币】【1】元，以【人民币】【0.01】元的整数倍增加。追加认购金额不低于【人民币】【0.01】元，以【人民币】【0.01】元的整数倍增加。</w:t>
              <w:br/>
              <w:t>【S】类份额初始认购金额不低于【人民币】【1】元，以【人民币】【0.01】元的整数倍增加。追加认购金额不低于【人民币】【0.01】元，以【人民币】【0.01】元的整数倍增加。</w:t>
              <w:br/>
              <w:t>2.代销机构对产品的认购起点及追加认购金额的要求与信银理财不一致的，以代销机构为准，但不得低于上述对应金额。</w:t>
            </w:r>
            <w:r>
              <w:rPr>
                <w:rFonts w:ascii="楷体_GB2312" w:cs="楷体_GB2312" w:eastAsia="楷体_GB2312"/>
                <w:sz w:val="20"/>
                <w:szCs w:val="20"/>
                <w:highlight w:val="none"/>
              </w:rPr>
              <w:t/>
            </w:r>
          </w:p>
        </w:tc>
      </w:tr>
      <w:tr w14:paraId="428F5218">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6B34D5A5">
            <w:pPr>
              <w:spacing w:line="300" w:lineRule="exact"/>
              <w:ind w:left="-2" w:leftChars="-1" w:right="36" w:rightChars="15"/>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单个投资者持仓上限</w:t>
            </w:r>
          </w:p>
        </w:tc>
        <w:tc>
          <w:tcPr>
            <w:tcW w:type="pct" w:w="3709"/>
            <w:vAlign w:val="center"/>
          </w:tcPr>
          <w:p w14:paraId="736B2C12">
            <w:pPr>
              <w:spacing w:line="300" w:lineRule="exact"/>
              <w:ind w:left="-2" w:leftChars="-1" w:right="36" w:rightChars="15"/>
              <w:rPr>
                <w:rFonts w:ascii="楷体_GB2312" w:cs="楷体_GB2312" w:eastAsia="楷体_GB2312" w:hint="eastAsia"/>
                <w:sz w:val="20"/>
                <w:szCs w:val="20"/>
                <w:highlight w:val="none"/>
              </w:rPr>
            </w:pPr>
            <w:r>
              <w:rPr>
                <w:rFonts w:ascii="楷体_GB2312" w:cs="楷体_GB2312" w:eastAsia="楷体_GB2312" w:hint="eastAsia"/>
                <w:sz w:val="20"/>
                <w:szCs w:val="20"/>
                <w:highlight w:val="none"/>
              </w:rPr>
              <w:t>无。</w:t>
            </w:r>
            <w:r>
              <w:rPr>
                <w:rFonts w:ascii="楷体_GB2312" w:cs="楷体_GB2312" w:eastAsia="楷体_GB2312"/>
                <w:sz w:val="20"/>
                <w:szCs w:val="20"/>
                <w:highlight w:val="none"/>
              </w:rPr>
              <w:t/>
            </w:r>
          </w:p>
        </w:tc>
      </w:tr>
      <w:tr w14:paraId="514ECAC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AC33B0C">
            <w:pPr>
              <w:spacing w:line="300" w:lineRule="exact"/>
              <w:ind w:left="-2" w:leftChars="-1" w:right="36" w:rightChars="15"/>
              <w:rPr>
                <w:rFonts w:ascii="Times New Roman" w:cs="楷体_GB2312" w:eastAsia="楷体_GB2312"/>
                <w:b/>
                <w:bCs/>
                <w:color w:themeColor="text1" w:val="000000"/>
                <w:sz w:val="20"/>
                <w:szCs w:val="20"/>
                <w:highlight w:val="none"/>
                <w14:textFill>
                  <w14:solidFill>
                    <w14:schemeClr w14:val="tx1"/>
                  </w14:solidFill>
                </w14:textFill>
              </w:rPr>
            </w:pPr>
            <w:r>
              <w:rPr>
                <w:rFonts w:ascii="Times New Roman" w:cs="楷体_GB2312" w:eastAsia="楷体_GB2312" w:hint="eastAsia"/>
                <w:b/>
                <w:bCs/>
                <w:color w:themeColor="text1" w:val="000000"/>
                <w:sz w:val="20"/>
                <w:szCs w:val="20"/>
                <w:highlight w:val="none"/>
                <w14:textFill>
                  <w14:solidFill>
                    <w14:schemeClr w14:val="tx1"/>
                  </w14:solidFill>
                </w14:textFill>
              </w:rPr>
              <w:t>单个</w:t>
            </w:r>
            <w:r>
              <w:rPr>
                <w:rFonts w:ascii="Times New Roman" w:cs="楷体_GB2312" w:eastAsia="楷体_GB2312"/>
                <w:b/>
                <w:bCs/>
                <w:color w:themeColor="text1" w:val="000000"/>
                <w:sz w:val="20"/>
                <w:szCs w:val="20"/>
                <w:highlight w:val="none"/>
                <w14:textFill>
                  <w14:solidFill>
                    <w14:schemeClr w14:val="tx1"/>
                  </w14:solidFill>
                </w14:textFill>
              </w:rPr>
              <w:t>投资者持仓份额比例限制</w:t>
            </w:r>
          </w:p>
        </w:tc>
        <w:tc>
          <w:tcPr>
            <w:tcW w:type="pct" w:w="3709"/>
            <w:vAlign w:val="center"/>
          </w:tcPr>
          <w:p w14:paraId="752664D1">
            <w:pPr>
              <w:spacing w:line="300" w:lineRule="exact"/>
              <w:ind w:left="-2" w:leftChars="-1" w:right="36" w:rightChars="15"/>
              <w:rPr>
                <w:rFonts w:ascii="楷体_GB2312" w:cs="楷体_GB2312" w:eastAsia="楷体_GB2312"/>
                <w:b/>
                <w:bCs/>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本产品</w:t>
            </w:r>
            <w:r>
              <w:rPr>
                <w:rFonts w:ascii="楷体_GB2312" w:cs="楷体_GB2312" w:eastAsia="楷体_GB2312"/>
                <w:b/>
                <w:bCs/>
                <w:color w:themeColor="text1" w:val="000000"/>
                <w:sz w:val="20"/>
                <w:szCs w:val="20"/>
                <w:highlight w:val="none"/>
                <w14:textFill>
                  <w14:solidFill>
                    <w14:schemeClr w14:val="tx1"/>
                  </w14:solidFill>
                </w14:textFill>
              </w:rPr>
              <w:t>单一投资者持有份额</w:t>
            </w:r>
            <w:r>
              <w:rPr>
                <w:rFonts w:ascii="楷体_GB2312" w:cs="楷体_GB2312" w:eastAsia="楷体_GB2312" w:hint="eastAsia"/>
                <w:b/>
                <w:bCs/>
                <w:color w:themeColor="text1" w:val="000000"/>
                <w:sz w:val="20"/>
                <w:szCs w:val="20"/>
                <w:highlight w:val="none"/>
                <w:lang w:eastAsia="zh-CN"/>
                <w14:textFill>
                  <w14:solidFill>
                    <w14:schemeClr w14:val="tx1"/>
                  </w14:solidFill>
                </w14:textFill>
              </w:rPr>
              <w:t>：</w:t>
            </w:r>
            <w:r>
              <w:rPr>
                <w:rFonts w:ascii="楷体_GB2312" w:cs="楷体_GB2312" w:eastAsia="楷体_GB2312" w:hint="eastAsia"/>
                <w:b/>
                <w:bCs/>
                <w:color w:themeColor="text1" w:val="000000"/>
                <w:sz w:val="20"/>
                <w:szCs w:val="20"/>
                <w:highlight w:val="none"/>
                <w14:textFill>
                  <w14:solidFill>
                    <w14:schemeClr w14:val="tx1"/>
                  </w14:solidFill>
                </w14:textFill>
              </w:rPr>
              <w:t>【b</w:t>
            </w:r>
            <w:r>
              <w:rPr>
                <w:rFonts w:ascii="楷体_GB2312" w:cs="楷体_GB2312" w:eastAsia="楷体_GB2312"/>
                <w:b/>
                <w:bCs/>
                <w:color w:themeColor="text1" w:val="000000"/>
                <w:sz w:val="20"/>
                <w:szCs w:val="20"/>
                <w:highlight w:val="none"/>
                <w14:textFill>
                  <w14:solidFill>
                    <w14:schemeClr w14:val="tx1"/>
                  </w14:solidFill>
                </w14:textFill>
              </w:rPr>
              <w:t>】</w:t>
            </w:r>
          </w:p>
          <w:p w14:paraId="261B67A2">
            <w:pPr>
              <w:pStyle w:val="20"/>
              <w:numPr>
                <w:ilvl w:val="0"/>
                <w:numId w:val="2"/>
              </w:numPr>
              <w:spacing w:line="300" w:lineRule="exact"/>
              <w:ind w:firstLineChars="0" w:right="36" w:rightChars="15"/>
              <w:rPr>
                <w:rFonts w:ascii="楷体_GB2312" w:cs="楷体_GB2312" w:eastAsia="楷体_GB2312"/>
                <w:b/>
                <w:bCs/>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可以</w:t>
            </w:r>
            <w:r>
              <w:rPr>
                <w:rFonts w:ascii="楷体_GB2312" w:cs="楷体_GB2312" w:eastAsia="楷体_GB2312"/>
                <w:b/>
                <w:bCs/>
                <w:color w:themeColor="text1" w:val="000000"/>
                <w:sz w:val="20"/>
                <w:szCs w:val="20"/>
                <w:highlight w:val="none"/>
                <w14:textFill>
                  <w14:solidFill>
                    <w14:schemeClr w14:val="tx1"/>
                  </w14:solidFill>
                </w14:textFill>
              </w:rPr>
              <w:t>超过产品总份额的50%</w:t>
            </w:r>
            <w:r>
              <w:rPr>
                <w:rFonts w:ascii="楷体_GB2312" w:cs="楷体_GB2312" w:eastAsia="楷体_GB2312" w:hint="eastAsia"/>
                <w:b/>
                <w:bCs/>
                <w:color w:themeColor="text1" w:val="000000"/>
                <w:sz w:val="20"/>
                <w:szCs w:val="20"/>
                <w:highlight w:val="none"/>
                <w14:textFill>
                  <w14:solidFill>
                    <w14:schemeClr w14:val="tx1"/>
                  </w14:solidFill>
                </w14:textFill>
              </w:rPr>
              <w:t>。但产品不得</w:t>
            </w:r>
            <w:r>
              <w:rPr>
                <w:rFonts w:ascii="楷体_GB2312" w:cs="楷体_GB2312" w:eastAsia="楷体_GB2312"/>
                <w:b/>
                <w:bCs/>
                <w:color w:themeColor="text1" w:val="000000"/>
                <w:sz w:val="20"/>
                <w:szCs w:val="20"/>
                <w:highlight w:val="none"/>
                <w14:textFill>
                  <w14:solidFill>
                    <w14:schemeClr w14:val="tx1"/>
                  </w14:solidFill>
                </w14:textFill>
              </w:rPr>
              <w:t xml:space="preserve">向个人投资者公开发售。 </w:t>
            </w:r>
          </w:p>
          <w:p w14:paraId="735BA2F5">
            <w:pPr>
              <w:pStyle w:val="20"/>
              <w:numPr>
                <w:ilvl w:val="0"/>
                <w:numId w:val="2"/>
              </w:numPr>
              <w:spacing w:line="300" w:lineRule="exact"/>
              <w:ind w:firstLineChars="0" w:right="36" w:rightChars="15"/>
              <w:rPr>
                <w:rFonts w:ascii="楷体_GB2312" w:cs="楷体_GB2312" w:eastAsia="楷体_GB2312"/>
                <w:b/>
                <w:bCs/>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不得</w:t>
            </w:r>
            <w:r>
              <w:rPr>
                <w:rFonts w:ascii="楷体_GB2312" w:cs="楷体_GB2312" w:eastAsia="楷体_GB2312"/>
                <w:b/>
                <w:bCs/>
                <w:color w:themeColor="text1" w:val="000000"/>
                <w:sz w:val="20"/>
                <w:szCs w:val="20"/>
                <w:highlight w:val="none"/>
                <w14:textFill>
                  <w14:solidFill>
                    <w14:schemeClr w14:val="tx1"/>
                  </w14:solidFill>
                </w14:textFill>
              </w:rPr>
              <w:t>超过产品总份额的50%。</w:t>
            </w:r>
            <w:r>
              <w:rPr>
                <w:rFonts w:ascii="楷体_GB2312" w:cs="楷体_GB2312" w:eastAsia="楷体_GB2312" w:hint="eastAsia"/>
                <w:b/>
                <w:bCs/>
                <w:color w:themeColor="text1" w:val="000000"/>
                <w:sz w:val="20"/>
                <w:szCs w:val="20"/>
                <w:highlight w:val="none"/>
                <w14:textFill>
                  <w14:solidFill>
                    <w14:schemeClr w14:val="tx1"/>
                  </w14:solidFill>
                </w14:textFill>
              </w:rPr>
              <w:t>投资者提出认</w:t>
            </w:r>
            <w:r>
              <w:rPr>
                <w:rFonts w:ascii="楷体_GB2312" w:cs="楷体_GB2312" w:eastAsia="楷体_GB2312"/>
                <w:b/>
                <w:bCs/>
                <w:color w:themeColor="text1" w:val="000000"/>
                <w:sz w:val="20"/>
                <w:szCs w:val="20"/>
                <w:highlight w:val="none"/>
                <w14:textFill>
                  <w14:solidFill>
                    <w14:schemeClr w14:val="tx1"/>
                  </w14:solidFill>
                </w14:textFill>
              </w:rPr>
              <w:t>购申请时，如认购后投资者持有份额超过产品总份额的50%，信银理财将不接受超过单个投资者持仓份额比例限制的申请。</w:t>
            </w:r>
          </w:p>
        </w:tc>
      </w:tr>
      <w:tr w14:paraId="0048B47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328F217">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份额单位</w:t>
            </w:r>
          </w:p>
        </w:tc>
        <w:tc>
          <w:tcPr>
            <w:tcW w:type="pct" w:w="3709"/>
            <w:vAlign w:val="center"/>
          </w:tcPr>
          <w:p w14:paraId="3028C13D">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份</w:t>
            </w:r>
          </w:p>
        </w:tc>
      </w:tr>
      <w:tr w14:paraId="7143AE76">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A8AA2B6">
            <w:pPr>
              <w:spacing w:line="300" w:lineRule="exact"/>
              <w:ind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单位净值</w:t>
            </w:r>
          </w:p>
        </w:tc>
        <w:tc>
          <w:tcPr>
            <w:tcW w:type="pct" w:w="3709"/>
            <w:vAlign w:val="center"/>
          </w:tcPr>
          <w:p w14:paraId="45DF7300">
            <w:pPr>
              <w:spacing w:line="300" w:lineRule="exact"/>
              <w:ind w:right="29" w:rightChars="12"/>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1.</w:t>
            </w:r>
            <w:r>
              <w:rPr>
                <w:rFonts w:ascii="楷体_GB2312" w:cs="楷体_GB2312" w:eastAsia="楷体_GB2312" w:hint="eastAsia"/>
                <w:color w:themeColor="text1" w:val="000000"/>
                <w:sz w:val="20"/>
                <w:szCs w:val="20"/>
                <w:highlight w:val="none"/>
                <w14:textFill>
                  <w14:solidFill>
                    <w14:schemeClr w14:val="tx1"/>
                  </w14:solidFill>
                </w14:textFill>
              </w:rPr>
              <w:t>单位净值为单位产品份额的净值，该净值为扣除相关税费（相关税费包含固定管理费、</w:t>
            </w:r>
            <w:r>
              <w:rPr>
                <w:rFonts w:ascii="楷体_GB2312" w:cs="楷体_GB2312" w:eastAsia="楷体_GB2312"/>
                <w:color w:themeColor="text1" w:val="000000"/>
                <w:sz w:val="20"/>
                <w:szCs w:val="20"/>
                <w:highlight w:val="none"/>
                <w14:textFill>
                  <w14:solidFill>
                    <w14:schemeClr w14:val="tx1"/>
                  </w14:solidFill>
                </w14:textFill>
              </w:rPr>
              <w:t>浮动管理费</w:t>
            </w:r>
            <w:r>
              <w:rPr>
                <w:rFonts w:ascii="楷体_GB2312" w:cs="楷体_GB2312" w:eastAsia="楷体_GB2312" w:hint="eastAsia"/>
                <w:color w:themeColor="text1" w:val="000000"/>
                <w:sz w:val="20"/>
                <w:szCs w:val="20"/>
                <w:highlight w:val="none"/>
                <w14:textFill>
                  <w14:solidFill>
                    <w14:schemeClr w14:val="tx1"/>
                  </w14:solidFill>
                </w14:textFill>
              </w:rPr>
              <w:t>、销售服务费、托管费</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、信息技术服务费、</w:t>
            </w:r>
            <w:r>
              <w:rPr>
                <w:rFonts w:ascii="楷体_GB2312" w:cs="楷体_GB2312" w:eastAsia="楷体_GB2312" w:hint="eastAsia"/>
                <w:color w:themeColor="text1" w:val="000000"/>
                <w:sz w:val="20"/>
                <w:szCs w:val="20"/>
                <w:highlight w:val="none"/>
                <w14:textFill>
                  <w14:solidFill>
                    <w14:schemeClr w14:val="tx1"/>
                  </w14:solidFill>
                </w14:textFill>
              </w:rPr>
              <w:t>本理财产品运营过程中产生的增值税及附加税费等）后的净值。单位净值按照【四舍五入】保留至小数点后【4】位。</w:t>
            </w:r>
          </w:p>
          <w:p w14:paraId="4CF7DD1D">
            <w:pPr>
              <w:spacing w:line="300" w:lineRule="exact"/>
              <w:ind w:right="29" w:rightChars="12"/>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w:t>
            </w:r>
            <w:r>
              <w:rPr>
                <w:rFonts w:ascii="楷体_GB2312" w:cs="楷体_GB2312" w:eastAsia="楷体_GB2312" w:hint="eastAsia"/>
                <w:color w:themeColor="text1" w:val="000000"/>
                <w:sz w:val="20"/>
                <w:szCs w:val="20"/>
                <w:highlight w:val="none"/>
                <w14:textFill>
                  <w14:solidFill>
                    <w14:schemeClr w14:val="tx1"/>
                  </w14:solidFill>
                </w14:textFill>
              </w:rPr>
              <w:t>本产品到期后，管理人将在到期日后【5】个工作日内披露产品</w:t>
            </w:r>
            <w:r>
              <w:rPr>
                <w:rFonts w:ascii="楷体_GB2312" w:cs="楷体_GB2312" w:eastAsia="楷体_GB2312"/>
                <w:color w:themeColor="text1" w:val="000000"/>
                <w:sz w:val="20"/>
                <w:szCs w:val="20"/>
                <w:highlight w:val="none"/>
                <w14:textFill>
                  <w14:solidFill>
                    <w14:schemeClr w14:val="tx1"/>
                  </w14:solidFill>
                </w14:textFill>
              </w:rPr>
              <w:t>份额</w:t>
            </w:r>
            <w:r>
              <w:rPr>
                <w:rFonts w:ascii="楷体_GB2312" w:cs="楷体_GB2312" w:eastAsia="楷体_GB2312" w:hint="eastAsia"/>
                <w:color w:themeColor="text1" w:val="000000"/>
                <w:sz w:val="20"/>
                <w:szCs w:val="20"/>
                <w:highlight w:val="none"/>
                <w14:textFill>
                  <w14:solidFill>
                    <w14:schemeClr w14:val="tx1"/>
                  </w14:solidFill>
                </w14:textFill>
              </w:rPr>
              <w:t>最终单位净值。</w:t>
            </w:r>
          </w:p>
        </w:tc>
      </w:tr>
      <w:tr w14:paraId="4E76B5E9">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EDA1EB8">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认购渠道</w:t>
            </w:r>
          </w:p>
        </w:tc>
        <w:tc>
          <w:tcPr>
            <w:tcW w:type="pct" w:w="3709"/>
            <w:vAlign w:val="center"/>
          </w:tcPr>
          <w:p w14:paraId="5E90A1A6">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理财产品通过代销机构销售的，投资者可通过代销机构规定的渠道认购。</w:t>
            </w:r>
            <w:r>
              <w:rPr>
                <w:rFonts w:ascii="楷体_GB2312" w:cs="楷体_GB2312" w:eastAsia="楷体_GB2312"/>
                <w:color w:themeColor="text1" w:val="000000"/>
                <w:sz w:val="20"/>
                <w:szCs w:val="20"/>
                <w:highlight w:val="none"/>
                <w14:textFill>
                  <w14:solidFill>
                    <w14:schemeClr w14:val="tx1"/>
                  </w14:solidFill>
                </w14:textFill>
              </w:rPr>
              <w:t/>
            </w:r>
          </w:p>
          <w:p w14:paraId="08BBF135">
            <w:pPr>
              <w:spacing w:line="300" w:lineRule="exact"/>
              <w:ind w:right="36" w:rightChars="15"/>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tc>
      </w:tr>
      <w:tr w14:paraId="2C5F681A">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93CECDB">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税收条款</w:t>
            </w:r>
          </w:p>
        </w:tc>
        <w:tc>
          <w:tcPr>
            <w:tcW w:type="pct" w:w="3709"/>
            <w:vAlign w:val="center"/>
          </w:tcPr>
          <w:p w14:paraId="44C81E18">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根据国家法律法规、部门规章和其他规范性文件，理财产品运营过程中产生的相关税费（包括但不限于增值税及相应的附加税费等）由理财产品承担，由信银理财作为</w:t>
            </w:r>
            <w:r>
              <w:rPr>
                <w:rFonts w:ascii="楷体_GB2312" w:cs="楷体_GB2312" w:eastAsia="楷体_GB2312"/>
                <w:color w:themeColor="text1" w:val="000000"/>
                <w:sz w:val="20"/>
                <w:szCs w:val="20"/>
                <w:highlight w:val="none"/>
                <w14:textFill>
                  <w14:solidFill>
                    <w14:schemeClr w14:val="tx1"/>
                  </w14:solidFill>
                </w14:textFill>
              </w:rPr>
              <w:t>产品管理人</w:t>
            </w:r>
            <w:r>
              <w:rPr>
                <w:rFonts w:ascii="楷体_GB2312" w:cs="楷体_GB2312" w:eastAsia="楷体_GB2312" w:hint="eastAsia"/>
                <w:color w:themeColor="text1" w:val="000000"/>
                <w:sz w:val="20"/>
                <w:szCs w:val="20"/>
                <w:highlight w:val="none"/>
                <w14:textFill>
                  <w14:solidFill>
                    <w14:schemeClr w14:val="tx1"/>
                  </w14:solidFill>
                </w14:textFill>
              </w:rPr>
              <w:t>以</w:t>
            </w:r>
            <w:r>
              <w:rPr>
                <w:rFonts w:ascii="楷体_GB2312" w:cs="楷体_GB2312" w:eastAsia="楷体_GB2312"/>
                <w:color w:themeColor="text1" w:val="000000"/>
                <w:sz w:val="20"/>
                <w:szCs w:val="20"/>
                <w:highlight w:val="none"/>
                <w14:textFill>
                  <w14:solidFill>
                    <w14:schemeClr w14:val="tx1"/>
                  </w14:solidFill>
                </w14:textFill>
              </w:rPr>
              <w:t>理财资金</w:t>
            </w:r>
            <w:r>
              <w:rPr>
                <w:rFonts w:ascii="楷体_GB2312" w:cs="楷体_GB2312" w:eastAsia="楷体_GB2312" w:hint="eastAsia"/>
                <w:color w:themeColor="text1" w:val="000000"/>
                <w:sz w:val="20"/>
                <w:szCs w:val="20"/>
                <w:highlight w:val="none"/>
                <w14:textFill>
                  <w14:solidFill>
                    <w14:schemeClr w14:val="tx1"/>
                  </w14:solidFill>
                </w14:textFill>
              </w:rPr>
              <w:t>予以缴纳。前述税费具体的计算、提取及缴纳，由信银理财按照应税行为发生时有效的相关税收法规确定。理财产品的实际收益为扣除增值税及附加税费后的收益。投资者取得理财收益产生的纳税义务（包括但不限于增值税、所得税等，如有），由投资者自行缴纳，信银理财不承担代扣代缴义务，法律法规另有明确规定的除外。</w:t>
            </w:r>
          </w:p>
        </w:tc>
      </w:tr>
      <w:tr w14:paraId="6405A28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44E6B4A9">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费用条款</w:t>
            </w:r>
          </w:p>
        </w:tc>
        <w:tc>
          <w:tcPr>
            <w:tcW w:type="pct" w:w="3709"/>
            <w:vAlign w:val="center"/>
          </w:tcPr>
          <w:p w14:paraId="0DC19621">
            <w:pPr>
              <w:snapToGrid w:val="0"/>
              <w:spacing w:line="300" w:lineRule="exact"/>
              <w:ind w:left="-2" w:leftChars="-1" w:right="53" w:rightChars="22"/>
              <w:jc w:val="both"/>
              <w:outlineLvl w:val="0"/>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本产品的费用包括认购费、销售服务费、托管费、固定管理费、浮动管理费</w:t>
            </w: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、信息技术服务费</w:t>
            </w:r>
            <w:r>
              <w:rPr>
                <w:rFonts w:ascii="楷体_GB2312" w:cs="楷体_GB2312" w:eastAsia="楷体_GB2312"/>
                <w:b/>
                <w:color w:themeColor="text1" w:val="000000"/>
                <w:sz w:val="20"/>
                <w:szCs w:val="20"/>
                <w:highlight w:val="none"/>
                <w14:textFill>
                  <w14:solidFill>
                    <w14:schemeClr w14:val="tx1"/>
                  </w14:solidFill>
                </w14:textFill>
              </w:rPr>
              <w:t>，产品运作和清算中产生的其他资金汇划费、结算费、交易手续费、注册登记费、信息披露费、账户服务费、审计费、律师费</w:t>
            </w:r>
            <w:r>
              <w:rPr>
                <w:rFonts w:ascii="楷体_GB2312" w:cs="楷体_GB2312" w:eastAsia="楷体_GB2312" w:hint="eastAsia"/>
                <w:b/>
                <w:color w:themeColor="text1" w:val="000000"/>
                <w:sz w:val="20"/>
                <w:szCs w:val="20"/>
                <w:highlight w:val="none"/>
                <w14:textFill>
                  <w14:solidFill>
                    <w14:schemeClr w14:val="tx1"/>
                  </w14:solidFill>
                </w14:textFill>
              </w:rPr>
              <w:t>、因投资资产而产生的资产推荐服务费等相关费用</w:t>
            </w:r>
            <w:r>
              <w:rPr>
                <w:rFonts w:ascii="楷体_GB2312" w:cs="楷体_GB2312" w:eastAsia="楷体_GB2312"/>
                <w:b/>
                <w:color w:themeColor="text1" w:val="000000"/>
                <w:sz w:val="20"/>
                <w:szCs w:val="20"/>
                <w:highlight w:val="none"/>
                <w14:textFill>
                  <w14:solidFill>
                    <w14:schemeClr w14:val="tx1"/>
                  </w14:solidFill>
                </w14:textFill>
              </w:rPr>
              <w:t>，以及按照国家规定可以列入的其他费用</w:t>
            </w:r>
            <w:r>
              <w:rPr>
                <w:rFonts w:ascii="楷体_GB2312" w:cs="楷体_GB2312" w:eastAsia="楷体_GB2312" w:hint="eastAsia"/>
                <w:b/>
                <w:color w:themeColor="text1" w:val="000000"/>
                <w:sz w:val="20"/>
                <w:szCs w:val="20"/>
                <w:highlight w:val="none"/>
                <w14:textFill>
                  <w14:solidFill>
                    <w14:schemeClr w14:val="tx1"/>
                  </w14:solidFill>
                </w14:textFill>
              </w:rPr>
              <w:t>，按照实际发生时列支</w:t>
            </w:r>
            <w:r>
              <w:rPr>
                <w:rFonts w:ascii="楷体_GB2312" w:cs="楷体_GB2312" w:eastAsia="楷体_GB2312"/>
                <w:b/>
                <w:color w:themeColor="text1" w:val="000000"/>
                <w:sz w:val="20"/>
                <w:szCs w:val="20"/>
                <w:highlight w:val="none"/>
                <w14:textFill>
                  <w14:solidFill>
                    <w14:schemeClr w14:val="tx1"/>
                  </w14:solidFill>
                </w14:textFill>
              </w:rPr>
              <w:t>。管理人因管理、运营理财产品发生的税费</w:t>
            </w:r>
            <w:r>
              <w:rPr>
                <w:rFonts w:ascii="楷体_GB2312" w:eastAsia="楷体_GB2312"/>
                <w:b/>
                <w:color w:themeColor="text1" w:val="000000"/>
                <w:sz w:val="20"/>
                <w:szCs w:val="20"/>
                <w:highlight w:val="none"/>
                <w14:textFill>
                  <w14:solidFill>
                    <w14:schemeClr w14:val="tx1"/>
                  </w14:solidFill>
                </w14:textFill>
              </w:rPr>
              <w:t>（包括但不限于增值税及相应的附加税费等）</w:t>
            </w:r>
            <w:r>
              <w:rPr>
                <w:rFonts w:ascii="楷体_GB2312" w:cs="楷体_GB2312" w:eastAsia="楷体_GB2312"/>
                <w:b/>
                <w:color w:themeColor="text1" w:val="000000"/>
                <w:sz w:val="20"/>
                <w:szCs w:val="20"/>
                <w:highlight w:val="none"/>
                <w14:textFill>
                  <w14:solidFill>
                    <w14:schemeClr w14:val="tx1"/>
                  </w14:solidFill>
                </w14:textFill>
              </w:rPr>
              <w:t>由产品资产承担。法律法规另有规定时从其规定。</w:t>
            </w:r>
          </w:p>
          <w:p w14:paraId="6394029B">
            <w:pPr>
              <w:snapToGrid w:val="0"/>
              <w:spacing w:line="300" w:lineRule="exact"/>
              <w:ind w:right="53" w:rightChars="22"/>
              <w:outlineLvl w:val="0"/>
              <w:rPr>
                <w:rFonts w:ascii="楷体_GB2312" w:cs="楷体_GB2312" w:eastAsia="楷体_GB2312" w:hint="eastAsia"/>
                <w:b/>
                <w:sz w:val="20"/>
                <w:szCs w:val="20"/>
                <w:highlight w:val="none"/>
                <w:lang w:eastAsia="zh-CN"/>
              </w:rPr>
            </w:pPr>
            <w:r>
              <w:rPr>
                <w:rFonts w:ascii="楷体_GB2312" w:cs="楷体_GB2312" w:eastAsia="楷体_GB2312"/>
                <w:b/>
                <w:sz w:val="20"/>
                <w:szCs w:val="20"/>
                <w:highlight w:val="none"/>
              </w:rPr>
              <w:t>1.</w:t>
            </w:r>
            <w:r>
              <w:rPr>
                <w:rFonts w:ascii="楷体_GB2312" w:cs="楷体_GB2312" w:eastAsia="楷体_GB2312" w:hint="eastAsia"/>
                <w:b/>
                <w:sz w:val="20"/>
                <w:szCs w:val="20"/>
                <w:highlight w:val="none"/>
              </w:rPr>
              <w:t>认购费</w:t>
            </w:r>
            <w:r>
              <w:rPr>
                <w:rFonts w:ascii="楷体_GB2312" w:cs="楷体_GB2312" w:eastAsia="楷体_GB2312"/>
                <w:b/>
                <w:sz w:val="20"/>
                <w:szCs w:val="20"/>
                <w:highlight w:val="none"/>
              </w:rPr>
              <w:t>：</w:t>
            </w:r>
            <w:r>
              <w:rPr>
                <w:rFonts w:ascii="楷体_GB2312" w:eastAsia="楷体_GB2312" w:hint="eastAsia"/>
                <w:b/>
                <w:sz w:val="20"/>
                <w:szCs w:val="20"/>
                <w:highlight w:val="none"/>
              </w:rPr>
              <w:t>【A】类份额不收取认购费，【B】类份额不收取认购费，【C】类份额不收取认购费，【D】类份额不收取认购费，【G】类份额不收取认购费，【M】类份额不收取认购费，【N】类份额不收取认购费，【S】类份额不收取认购费</w:t>
            </w:r>
            <w:r>
              <w:rPr>
                <w:rFonts w:ascii="楷体_GB2312" w:eastAsia="楷体_GB2312"/>
                <w:b/>
                <w:sz w:val="20"/>
                <w:szCs w:val="20"/>
                <w:highlight w:val="none"/>
              </w:rPr>
              <w:t/>
            </w:r>
            <w:r>
              <w:rPr>
                <w:rFonts w:ascii="楷体_GB2312" w:eastAsia="楷体_GB2312" w:hint="eastAsia"/>
                <w:b/>
                <w:sz w:val="20"/>
                <w:szCs w:val="20"/>
                <w:highlight w:val="none"/>
                <w:lang w:eastAsia="zh-CN"/>
              </w:rPr>
              <w:t>；</w:t>
            </w:r>
          </w:p>
          <w:p w14:paraId="62A82753">
            <w:pPr>
              <w:snapToGrid w:val="0"/>
              <w:spacing w:line="300" w:lineRule="exact"/>
              <w:ind w:left="-2" w:leftChars="-1" w:right="53" w:rightChars="22"/>
              <w:outlineLvl w:val="0"/>
              <w:rPr>
                <w:rFonts w:ascii="楷体_GB2312" w:cs="楷体_GB2312" w:eastAsia="楷体_GB2312" w:hint="eastAsia"/>
                <w:b/>
                <w:sz w:val="20"/>
                <w:szCs w:val="20"/>
                <w:highlight w:val="none"/>
                <w:lang w:eastAsia="zh-CN"/>
              </w:rPr>
            </w:pPr>
            <w:r>
              <w:rPr>
                <w:rFonts w:ascii="楷体_GB2312" w:cs="楷体_GB2312" w:eastAsia="楷体_GB2312"/>
                <w:b/>
                <w:sz w:val="20"/>
                <w:szCs w:val="20"/>
                <w:highlight w:val="none"/>
              </w:rPr>
              <w:t>2.</w:t>
            </w:r>
            <w:r>
              <w:rPr>
                <w:rFonts w:ascii="楷体_GB2312" w:cs="楷体_GB2312" w:eastAsia="楷体_GB2312" w:hint="eastAsia"/>
                <w:b/>
                <w:sz w:val="20"/>
                <w:szCs w:val="20"/>
                <w:highlight w:val="none"/>
              </w:rPr>
              <w:t>销售服务费：【A】类份额费率【0.15%】/年，【B】类份额费率【0.15%】/年，【C】类份额费率【0.10%】/年，【D】类份额费率【0.10%】/年，【G】类份额费率【0.10%】/年，【M】类份额费率【0.20%】/年，【N】类份额费率【0.30%】/年，【S】类份额费率【0.10%】/年</w:t>
            </w:r>
            <w:r>
              <w:rPr>
                <w:rFonts w:ascii="楷体_GB2312" w:cs="楷体_GB2312" w:eastAsia="楷体_GB2312"/>
                <w:b/>
                <w:sz w:val="20"/>
                <w:szCs w:val="20"/>
                <w:highlight w:val="none"/>
              </w:rPr>
              <w:t/>
            </w:r>
            <w:r>
              <w:rPr>
                <w:rFonts w:ascii="楷体_GB2312" w:cs="楷体_GB2312" w:eastAsia="楷体_GB2312" w:hint="eastAsia"/>
                <w:b/>
                <w:sz w:val="20"/>
                <w:szCs w:val="20"/>
                <w:highlight w:val="none"/>
                <w:lang w:eastAsia="zh-CN"/>
              </w:rPr>
              <w:t>；</w:t>
            </w:r>
          </w:p>
          <w:p w14:paraId="793AE849">
            <w:pPr>
              <w:snapToGrid w:val="0"/>
              <w:spacing w:line="300" w:lineRule="exact"/>
              <w:ind w:right="53" w:rightChars="22"/>
              <w:outlineLvl w:val="0"/>
              <w:rPr>
                <w:rFonts w:ascii="楷体_GB2312" w:cs="楷体_GB2312" w:eastAsia="楷体_GB2312" w:hint="eastAsia"/>
                <w:b/>
                <w:sz w:val="20"/>
                <w:szCs w:val="20"/>
                <w:highlight w:val="none"/>
                <w:lang w:eastAsia="zh-CN"/>
              </w:rPr>
            </w:pPr>
            <w:r>
              <w:rPr>
                <w:rFonts w:ascii="楷体_GB2312" w:cs="楷体_GB2312" w:eastAsia="楷体_GB2312"/>
                <w:b/>
                <w:sz w:val="20"/>
                <w:szCs w:val="20"/>
                <w:highlight w:val="none"/>
              </w:rPr>
              <w:t>3.</w:t>
            </w:r>
            <w:r>
              <w:rPr>
                <w:rFonts w:ascii="楷体_GB2312" w:cs="楷体_GB2312" w:eastAsia="楷体_GB2312" w:hint="eastAsia"/>
                <w:b/>
                <w:sz w:val="20"/>
                <w:szCs w:val="20"/>
                <w:highlight w:val="none"/>
              </w:rPr>
              <w:t>托管费：费率【</w:t>
            </w:r>
            <w:r>
              <w:rPr>
                <w:rFonts w:ascii="楷体_GB2312" w:cs="楷体_GB2312" w:eastAsia="楷体_GB2312"/>
                <w:b/>
                <w:sz w:val="20"/>
                <w:szCs w:val="20"/>
                <w:highlight w:val="none"/>
              </w:rPr>
              <w:t>0.05%】/年</w:t>
            </w:r>
            <w:r>
              <w:rPr>
                <w:rFonts w:ascii="楷体_GB2312" w:cs="楷体_GB2312" w:eastAsia="楷体_GB2312" w:hint="eastAsia"/>
                <w:b/>
                <w:sz w:val="20"/>
                <w:szCs w:val="20"/>
                <w:highlight w:val="none"/>
                <w:lang w:eastAsia="zh-CN"/>
              </w:rPr>
              <w:t>；</w:t>
            </w:r>
          </w:p>
          <w:p w14:paraId="0B46EB90">
            <w:pPr>
              <w:snapToGrid w:val="0"/>
              <w:spacing w:line="300" w:lineRule="exact"/>
              <w:ind w:right="96" w:rightChars="40"/>
              <w:outlineLvl w:val="0"/>
              <w:rPr>
                <w:rFonts w:ascii="楷体_GB2312" w:cs="楷体_GB2312" w:eastAsia="楷体_GB2312" w:hint="eastAsia"/>
                <w:b/>
                <w:sz w:val="20"/>
                <w:szCs w:val="20"/>
                <w:highlight w:val="none"/>
                <w:lang w:eastAsia="zh-CN"/>
              </w:rPr>
            </w:pPr>
            <w:r>
              <w:rPr>
                <w:rFonts w:ascii="楷体_GB2312" w:cs="楷体_GB2312" w:eastAsia="楷体_GB2312"/>
                <w:b/>
                <w:sz w:val="20"/>
                <w:szCs w:val="20"/>
                <w:highlight w:val="none"/>
              </w:rPr>
              <w:t>4.</w:t>
            </w:r>
            <w:r>
              <w:rPr>
                <w:rFonts w:ascii="楷体_GB2312" w:cs="楷体_GB2312" w:eastAsia="楷体_GB2312" w:hint="eastAsia"/>
                <w:b/>
                <w:sz w:val="20"/>
                <w:szCs w:val="20"/>
                <w:highlight w:val="none"/>
              </w:rPr>
              <w:t>固定管理费：费率【0.15%</w:t>
            </w:r>
            <w:r>
              <w:rPr>
                <w:rFonts w:ascii="楷体_GB2312" w:cs="楷体_GB2312" w:eastAsia="楷体_GB2312"/>
                <w:b/>
                <w:sz w:val="20"/>
                <w:szCs w:val="20"/>
                <w:highlight w:val="none"/>
              </w:rPr>
              <w:t>】/年</w:t>
            </w:r>
            <w:r>
              <w:rPr>
                <w:rFonts w:ascii="楷体_GB2312" w:cs="楷体_GB2312" w:eastAsia="楷体_GB2312" w:hint="eastAsia"/>
                <w:b/>
                <w:sz w:val="20"/>
                <w:szCs w:val="20"/>
                <w:highlight w:val="none"/>
                <w:lang w:eastAsia="zh-CN"/>
              </w:rPr>
              <w:t>；</w:t>
            </w:r>
          </w:p>
          <w:p w14:paraId="0005DA40">
            <w:pPr>
              <w:snapToGrid w:val="0"/>
              <w:spacing w:line="300" w:lineRule="exact"/>
              <w:ind w:right="96" w:rightChars="40"/>
              <w:outlineLvl w:val="0"/>
              <w:rPr>
                <w:rFonts w:ascii="楷体_GB2312" w:cs="楷体_GB2312" w:eastAsia="楷体_GB2312"/>
                <w:b/>
                <w:sz w:val="20"/>
                <w:szCs w:val="20"/>
                <w:highlight w:val="none"/>
              </w:rPr>
            </w:pPr>
            <w:r>
              <w:rPr>
                <w:rFonts w:ascii="楷体_GB2312" w:cs="楷体_GB2312" w:eastAsia="楷体_GB2312"/>
                <w:b/>
                <w:sz w:val="20"/>
                <w:szCs w:val="20"/>
                <w:highlight w:val="none"/>
              </w:rPr>
              <w:t>5.</w:t>
            </w:r>
            <w:r>
              <w:rPr>
                <w:rFonts w:ascii="楷体_GB2312" w:cs="楷体_GB2312" w:eastAsia="楷体_GB2312" w:hint="eastAsia"/>
                <w:b/>
                <w:sz w:val="20"/>
                <w:szCs w:val="20"/>
                <w:highlight w:val="none"/>
              </w:rPr>
              <w:t>浮动管理费：</w:t>
            </w:r>
          </w:p>
          <w:p w14:paraId="00EF91D0">
            <w:pPr>
              <w:snapToGrid w:val="0"/>
              <w:spacing w:line="300" w:lineRule="exact"/>
              <w:ind w:right="96" w:rightChars="40"/>
              <w:outlineLvl w:val="0"/>
              <w:rPr>
                <w:rFonts w:ascii="楷体_GB2312" w:eastAsia="楷体_GB2312"/>
                <w:b/>
                <w:sz w:val="20"/>
                <w:szCs w:val="20"/>
                <w:highlight w:val="none"/>
              </w:rPr>
            </w:pPr>
            <w:r>
              <w:rPr>
                <w:rFonts w:ascii="楷体_GB2312" w:eastAsia="楷体_GB2312" w:hint="eastAsia"/>
                <w:b/>
                <w:sz w:val="20"/>
                <w:szCs w:val="20"/>
                <w:highlight w:val="none"/>
              </w:rPr>
              <w:t/>
              <w:t>【A】类份额设立业绩比较基准，在产品到期日或提前终止日时，如计提浮动管理费前年化收益率超过【2.20%】的，管理人将收取超额部分的【50%】作为浮动管理费。</w:t>
              <w:br/>
              <w:t>【B】类份额设立业绩比较基准，在产品到期日或提前终止日时，如计提浮动管理费前年化收益率超过【2.20%】的，管理人将收取超额部分的【50%】作为浮动管理费。</w:t>
              <w:br/>
              <w:t>【C】类份额设立业绩比较基准，在产品到期日或提前终止日时，如计提浮动管理费前年化收益率超过【2.25%】的，管理人将收取超额部分的【50%】作为浮动管理费。</w:t>
              <w:br/>
              <w:t>【D】类份额设立业绩比较基准，在产品到期日或提前终止日时，如计提浮动管理费前年化收益率超过【2.25%】的，管理人将收取超额部分的【50%】作为浮动管理费。</w:t>
              <w:br/>
              <w:t>【G】类份额设立业绩比较基准，在产品到期日或提前终止日时，如计提浮动管理费前年化收益率超过【2.25%】的，管理人将收取超额部分的【50%】作为浮动管理费。</w:t>
              <w:br/>
              <w:t>【M】类份额设立业绩比较基准，在产品到期日或提前终止日时，如计提浮动管理费前年化收益率超过【2.15%】的，管理人将收取超额部分的【50%】作为浮动管理费。</w:t>
              <w:br/>
              <w:t>【N】类份额设立业绩比较基准，在产品到期日或提前终止日时，如计提浮动管理费前年化收益率超过【2.05%】的，管理人将收取超额部分的【50%】作为浮动管理费。</w:t>
              <w:br/>
              <w:t>【S】类份额设立业绩比较基准，在产品到期日或提前终止日时，如计提浮动管理费前年化收益率超过【2.25%】的，管理人将收取超额部分的【50%】作为浮动管理费。</w:t>
            </w:r>
            <w:r>
              <w:rPr>
                <w:rFonts w:ascii="楷体_GB2312" w:eastAsia="楷体_GB2312"/>
                <w:b/>
                <w:sz w:val="20"/>
                <w:szCs w:val="20"/>
                <w:highlight w:val="none"/>
              </w:rPr>
              <w:t/>
            </w:r>
          </w:p>
          <w:p w14:paraId="048B7A86">
            <w:pPr>
              <w:snapToGrid w:val="0"/>
              <w:spacing w:line="300" w:lineRule="exact"/>
              <w:ind w:left="-2" w:leftChars="-1" w:right="53" w:rightChars="22"/>
              <w:outlineLvl w:val="0"/>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
              <w:t>6.信息技术服务费：费率【0.002%】/年</w:t>
              <w:br/>
              <w:t>以上1-6项费用金额均四舍五入保留小数点后【2】位。</w:t>
            </w:r>
          </w:p>
          <w:p w14:paraId="1A0F7EF0">
            <w:pPr>
              <w:snapToGrid w:val="0"/>
              <w:spacing w:line="300" w:lineRule="exact"/>
              <w:ind w:left="-2" w:leftChars="-1" w:right="53" w:rightChars="22"/>
              <w:outlineLvl w:val="0"/>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具体请参见本说明书“</w:t>
            </w:r>
            <w:r>
              <w:rPr>
                <w:rFonts w:ascii="黑体" w:cs="黑体" w:eastAsia="黑体" w:hint="eastAsia"/>
                <w:b/>
                <w:color w:themeColor="text1" w:val="000000"/>
                <w:sz w:val="20"/>
                <w:szCs w:val="20"/>
                <w:highlight w:val="none"/>
                <w14:textFill>
                  <w14:solidFill>
                    <w14:schemeClr w14:val="tx1"/>
                  </w14:solidFill>
                </w14:textFill>
              </w:rPr>
              <w:t>八、理财产品的费用</w:t>
            </w:r>
            <w:r>
              <w:rPr>
                <w:rFonts w:ascii="楷体_GB2312" w:cs="楷体_GB2312" w:eastAsia="楷体_GB2312"/>
                <w:b/>
                <w:color w:themeColor="text1" w:val="000000"/>
                <w:sz w:val="20"/>
                <w:szCs w:val="20"/>
                <w:highlight w:val="none"/>
                <w14:textFill>
                  <w14:solidFill>
                    <w14:schemeClr w14:val="tx1"/>
                  </w14:solidFill>
                </w14:textFill>
              </w:rPr>
              <w:t>”部分。</w:t>
            </w:r>
          </w:p>
          <w:p w14:paraId="55528487">
            <w:pPr>
              <w:snapToGrid w:val="0"/>
              <w:spacing w:line="300" w:lineRule="exact"/>
              <w:ind w:left="-2" w:leftChars="-1" w:right="53" w:rightChars="22"/>
              <w:outlineLvl w:val="0"/>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hint="eastAsia"/>
                <w:b/>
                <w:color w:themeColor="text1" w:val="000000"/>
                <w:sz w:val="20"/>
                <w:szCs w:val="20"/>
                <w:highlight w:val="none"/>
                <w14:textFill>
                  <w14:solidFill>
                    <w14:schemeClr w14:val="tx1"/>
                  </w14:solidFill>
                </w14:textFill>
              </w:rPr>
              <w:t/>
            </w:r>
            <w:r>
              <w:rPr>
                <w:rFonts w:ascii="楷体_GB2312" w:cs="楷体_GB2312" w:eastAsia="楷体_GB2312" w:hint="eastAsia"/>
                <w:b/>
                <w:color w:themeColor="text1" w:val="000000"/>
                <w:sz w:val="20"/>
                <w:szCs w:val="20"/>
                <w:highlight w:val="none"/>
                <w:lang w:eastAsia="zh-CN"/>
                <w14:textFill>
                  <w14:solidFill>
                    <w14:schemeClr w14:val="tx1"/>
                  </w14:solidFill>
                </w14:textFill>
              </w:rPr>
              <w:t/>
            </w:r>
            <w:r>
              <w:rPr>
                <w:rFonts w:ascii="楷体_GB2312" w:cs="楷体_GB2312" w:eastAsia="楷体_GB2312"/>
                <w:b/>
                <w:color w:themeColor="text1" w:val="000000"/>
                <w:sz w:val="20"/>
                <w:szCs w:val="20"/>
                <w:highlight w:val="none"/>
                <w14:textFill>
                  <w14:solidFill>
                    <w14:schemeClr w14:val="tx1"/>
                  </w14:solidFill>
                </w14:textFill>
              </w:rPr>
              <w:t/>
            </w:r>
          </w:p>
          <w:p w14:paraId="00B37122">
            <w:pPr>
              <w:spacing w:line="300" w:lineRule="exact"/>
              <w:ind w:right="36" w:rightChars="15"/>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hint="eastAsia"/>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p w14:paraId="6469E845">
            <w:pPr>
              <w:snapToGrid w:val="0"/>
              <w:spacing w:line="300" w:lineRule="exact"/>
              <w:ind w:left="-2" w:leftChars="-1" w:right="53" w:rightChars="22"/>
              <w:outlineLvl w:val="0"/>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投资者通过代销机构购买理财产品的，代销机构收取的销售相关费用（如有）以代销机构规定为准，但不得超过上述费用标准。</w:t>
            </w:r>
          </w:p>
        </w:tc>
      </w:tr>
      <w:tr w14:paraId="2066EACE">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dxa" w:w="2200"/>
            <w:vAlign w:val="center"/>
          </w:tcPr>
          <w:p w14:paraId="7B319979">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理财产品</w:t>
            </w:r>
            <w:r>
              <w:rPr>
                <w:rFonts w:ascii="Times New Roman" w:cs="楷体_GB2312" w:eastAsia="楷体_GB2312"/>
                <w:color w:themeColor="text1" w:val="000000"/>
                <w:sz w:val="20"/>
                <w:szCs w:val="20"/>
                <w:highlight w:val="none"/>
                <w14:textFill>
                  <w14:solidFill>
                    <w14:schemeClr w14:val="tx1"/>
                  </w14:solidFill>
                </w14:textFill>
              </w:rPr>
              <w:t>管理人</w:t>
            </w:r>
            <w:r>
              <w:rPr>
                <w:rFonts w:ascii="Times New Roman" w:cs="楷体_GB2312" w:eastAsia="楷体_GB2312" w:hint="eastAsia"/>
                <w:color w:themeColor="text1" w:val="000000"/>
                <w:sz w:val="20"/>
                <w:szCs w:val="20"/>
                <w:highlight w:val="none"/>
                <w14:textFill>
                  <w14:solidFill>
                    <w14:schemeClr w14:val="tx1"/>
                  </w14:solidFill>
                </w14:textFill>
              </w:rPr>
              <w:t>/产品</w:t>
            </w:r>
            <w:r>
              <w:rPr>
                <w:rFonts w:ascii="Times New Roman" w:cs="楷体_GB2312" w:eastAsia="楷体_GB2312"/>
                <w:color w:themeColor="text1" w:val="000000"/>
                <w:sz w:val="20"/>
                <w:szCs w:val="20"/>
                <w:highlight w:val="none"/>
                <w14:textFill>
                  <w14:solidFill>
                    <w14:schemeClr w14:val="tx1"/>
                  </w14:solidFill>
                </w14:textFill>
              </w:rPr>
              <w:t>管理</w:t>
            </w:r>
            <w:r>
              <w:rPr>
                <w:rFonts w:ascii="Times New Roman" w:cs="楷体_GB2312" w:eastAsia="楷体_GB2312" w:hint="eastAsia"/>
                <w:color w:themeColor="text1" w:val="000000"/>
                <w:sz w:val="20"/>
                <w:szCs w:val="20"/>
                <w:highlight w:val="none"/>
                <w14:textFill>
                  <w14:solidFill>
                    <w14:schemeClr w14:val="tx1"/>
                  </w14:solidFill>
                </w14:textFill>
              </w:rPr>
              <w:t>人/管理人</w:t>
            </w:r>
            <w:r>
              <w:rPr>
                <w:rFonts w:ascii="Times New Roman" w:cs="楷体_GB2312" w:eastAsia="楷体_GB2312"/>
                <w:color w:themeColor="text1" w:val="000000"/>
                <w:sz w:val="20"/>
                <w:szCs w:val="20"/>
                <w:highlight w:val="none"/>
                <w14:textFill>
                  <w14:solidFill>
                    <w14:schemeClr w14:val="tx1"/>
                  </w14:solidFill>
                </w14:textFill>
              </w:rPr>
              <w:t>、</w:t>
            </w:r>
            <w:r>
              <w:rPr>
                <w:rFonts w:ascii="Times New Roman" w:cs="楷体_GB2312" w:eastAsia="楷体_GB2312" w:hint="eastAsia"/>
                <w:color w:themeColor="text1" w:val="000000"/>
                <w:sz w:val="20"/>
                <w:szCs w:val="20"/>
                <w:highlight w:val="none"/>
                <w14:textFill>
                  <w14:solidFill>
                    <w14:schemeClr w14:val="tx1"/>
                  </w14:solidFill>
                </w14:textFill>
              </w:rPr>
              <w:t>收益</w:t>
            </w:r>
            <w:r>
              <w:rPr>
                <w:rFonts w:ascii="Times New Roman" w:cs="楷体_GB2312" w:eastAsia="楷体_GB2312"/>
                <w:color w:themeColor="text1" w:val="000000"/>
                <w:sz w:val="20"/>
                <w:szCs w:val="20"/>
                <w:highlight w:val="none"/>
                <w14:textFill>
                  <w14:solidFill>
                    <w14:schemeClr w14:val="tx1"/>
                  </w14:solidFill>
                </w14:textFill>
              </w:rPr>
              <w:t>计算方</w:t>
            </w:r>
          </w:p>
        </w:tc>
        <w:tc>
          <w:tcPr>
            <w:tcW w:type="dxa" w:w="6328"/>
            <w:vAlign w:val="center"/>
          </w:tcPr>
          <w:p w14:paraId="3ACAFC2D">
            <w:pPr>
              <w:spacing w:line="300" w:lineRule="atLeast"/>
              <w:ind w:left="-2"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企业名称：【信银理财有限责任公司】</w:t>
            </w:r>
          </w:p>
          <w:p w14:paraId="1EC9DD74">
            <w:pPr>
              <w:spacing w:line="300" w:lineRule="atLeast"/>
              <w:ind w:left="-2"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住所：【上海市黄浦区中山东二路600号1幢35层、36层】</w:t>
            </w:r>
          </w:p>
          <w:p w14:paraId="61DB60F5">
            <w:pPr>
              <w:spacing w:line="300" w:lineRule="atLeast"/>
              <w:ind w:left="-2" w:leftChars="0" w:right="31" w:rightChars="0"/>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客户服务热线：【950950】</w:t>
            </w:r>
          </w:p>
        </w:tc>
      </w:tr>
      <w:tr w14:paraId="5B6DB180">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dxa" w:w="2200"/>
            <w:vAlign w:val="center"/>
          </w:tcPr>
          <w:p w14:paraId="53F3AACF">
            <w:pPr>
              <w:spacing w:line="300" w:lineRule="exact"/>
              <w:ind w:left="-2" w:leftChars="-1" w:right="36" w:rightChars="15"/>
              <w:rPr>
                <w:rFonts w:ascii="Times New Roman" w:cs="楷体_GB2312" w:eastAsia="楷体_GB2312" w:hint="eastAsia"/>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lang w:eastAsia="zh-CN" w:val="en-US"/>
                <w14:textFill>
                  <w14:solidFill>
                    <w14:schemeClr w14:val="tx1"/>
                  </w14:solidFill>
                </w14:textFill>
              </w:rPr>
              <w:t>管理人主要职责</w:t>
            </w:r>
          </w:p>
        </w:tc>
        <w:tc>
          <w:tcPr>
            <w:tcW w:type="dxa" w:w="6328"/>
            <w:vAlign w:val="center"/>
          </w:tcPr>
          <w:p w14:paraId="786DC71C">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依法募集资金，办理产品份额的发售和登记事宜；</w:t>
            </w:r>
          </w:p>
          <w:p w14:paraId="5D6703E1">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办理产品登记备案或者注册手续；</w:t>
            </w:r>
          </w:p>
          <w:p w14:paraId="7BDE41CB">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对所管理的不同产品受托财产分别管理、分别记账，进行投资；</w:t>
            </w:r>
          </w:p>
          <w:p w14:paraId="4BF702AE">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按照产品合同的约定确定收益分配方案，及时向投资者分配收益；</w:t>
            </w:r>
          </w:p>
          <w:p w14:paraId="258E0354">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进行产品会计核算并编制产品财务会计报告；</w:t>
            </w:r>
          </w:p>
          <w:p w14:paraId="4658768D">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依法计算并披露产品净值或者投资收益情况，确定申购、赎回价格；</w:t>
            </w:r>
          </w:p>
          <w:p w14:paraId="335BC975">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办理与受托财产管理业务活动有关的信息披露事项；</w:t>
            </w:r>
          </w:p>
          <w:p w14:paraId="4156FF0B">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保存受托财产管理业务活动的记录、账册、报表和其他相关资料；</w:t>
            </w:r>
          </w:p>
          <w:p w14:paraId="473B81A1">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以管理人名义，代表投资者利益行使诉讼权利或者实施其他法律行为；</w:t>
            </w:r>
          </w:p>
          <w:p w14:paraId="7DD14248">
            <w:pPr>
              <w:numPr>
                <w:ilvl w:val="0"/>
                <w:numId w:val="3"/>
              </w:numPr>
              <w:spacing w:line="300" w:lineRule="atLeast"/>
              <w:ind w:hanging="425" w:left="425" w:right="31"/>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在兑付受托资金及收益时，应当保证受托资金及收益返回委托人的原账户、同名账户或者合同约定的受益人账户；</w:t>
            </w:r>
          </w:p>
          <w:p w14:paraId="55EED232">
            <w:pPr>
              <w:numPr>
                <w:ilvl w:val="0"/>
                <w:numId w:val="3"/>
              </w:numPr>
              <w:spacing w:line="300" w:lineRule="atLeast"/>
              <w:ind w:hanging="425" w:left="425" w:right="31" w:rightChars="0"/>
              <w:rPr>
                <w:rFonts w:ascii="楷体_GB2312" w:cs="楷体_GB2312" w:eastAsia="楷体_GB2312" w:hint="eastAsia"/>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国家金融监督管理总局规定的其他职责。</w:t>
            </w:r>
          </w:p>
        </w:tc>
      </w:tr>
      <w:tr w14:paraId="68ADDBAF">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29A16B15">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销售机构</w:t>
            </w:r>
          </w:p>
        </w:tc>
        <w:tc>
          <w:tcPr>
            <w:tcW w:type="pct" w:w="3709"/>
            <w:vAlign w:val="center"/>
          </w:tcPr>
          <w:p w14:paraId="0CE896E3">
            <w:pPr>
              <w:spacing w:line="300" w:lineRule="atLeast"/>
              <w:ind w:left="-2" w:right="31"/>
              <w:rPr>
                <w:rFonts w:ascii="楷体_GB2312" w:cs="楷体_GB2312" w:eastAsia="楷体_GB2312"/>
                <w:sz w:val="20"/>
                <w:szCs w:val="20"/>
                <w:highlight w:val="none"/>
              </w:rPr>
            </w:pPr>
            <w:r>
              <w:rPr>
                <w:rFonts w:ascii="楷体_GB2312" w:cs="楷体_GB2312" w:eastAsia="楷体_GB2312" w:hint="eastAsia"/>
                <w:sz w:val="20"/>
                <w:szCs w:val="20"/>
                <w:highlight w:val="none"/>
              </w:rPr>
              <w:t/>
              <w:t>【A】类份额（份额代码【AF265598A】）合作销售机构信息：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【B】类份额（份额代码【AF265598B】）合作销售机构信息：</w:t>
              <w:br/>
              <w:t>1.企业名称：【三原县农村信用合作联社】</w:t>
              <w:br/>
              <w:t>住所：【陕西省咸阳市三原县宴友思大街中段】</w:t>
              <w:br/>
              <w:t>客户服务热线：【029-96262】</w:t>
              <w:br/>
              <w:t>2.企业名称：【乾县农村信用合作联社】</w:t>
              <w:br/>
              <w:t>住所：【陕西省咸阳市乾县西兰大街中段】</w:t>
              <w:br/>
              <w:t>客户服务热线：【029-96262】</w:t>
              <w:br/>
              <w:t>3.企业名称：【兴平市农村信用合作联社】</w:t>
              <w:br/>
              <w:t>住所：【陕西省咸阳市兴平市金城路】</w:t>
              <w:br/>
              <w:t>客户服务热线：【029-96262】</w:t>
              <w:br/>
              <w:t>4.企业名称：【陕西彬州农村商业银行股份有限公司】</w:t>
              <w:br/>
              <w:t>住所：【陕西省咸阳市彬州市城关镇西大街】</w:t>
              <w:br/>
              <w:t>客户服务热线：【029-96262】</w:t>
              <w:br/>
              <w:t>5.企业名称：【旬邑县农村信用合作联社】</w:t>
              <w:br/>
              <w:t>住所：【陕西省咸阳市旬邑县南大街】</w:t>
              <w:br/>
              <w:t>客户服务热线：【029-96262】</w:t>
              <w:br/>
              <w:t>6.企业名称：【武功县农村信用合作联社】</w:t>
              <w:br/>
              <w:t>住所：【陕西省咸阳市武功县普集镇后稷路】</w:t>
              <w:br/>
              <w:t>客户服务热线：【029-96262】</w:t>
              <w:br/>
              <w:t>7.企业名称：【永寿县农村信用合作联社】</w:t>
              <w:br/>
              <w:t>住所：【陕西省咸阳市永寿县监军镇西兰路中段】</w:t>
              <w:br/>
              <w:t>客户服务热线：【029-96262】</w:t>
              <w:br/>
              <w:t>8.企业名称：【泾阳县农村信用合作联社】</w:t>
              <w:br/>
              <w:t>住所：【陕西省咸阳市泾阳县泾干大街19号】</w:t>
              <w:br/>
              <w:t>客户服务热线：【029-96262】</w:t>
              <w:br/>
              <w:t>9.企业名称：【淳化县农村信用合作联社】</w:t>
              <w:br/>
              <w:t>住所：【陕西省咸阳市淳化县南新街】</w:t>
              <w:br/>
              <w:t>客户服务热线：【029-96262】</w:t>
              <w:br/>
              <w:t>10.企业名称：【礼泉县农村信用合作联社】</w:t>
              <w:br/>
              <w:t>住所：【陕西省咸阳市礼泉县建设路南段】</w:t>
              <w:br/>
              <w:t>客户服务热线：【029-96262】</w:t>
              <w:br/>
              <w:t>11.企业名称：【陕西咸阳农村商业银行股份有限公司】</w:t>
              <w:br/>
              <w:t>住所：【陕西省咸阳市秦都区文兴路智汇原8号商业楼1单元1层4号、5号、6号】</w:t>
              <w:br/>
              <w:t>客户服务热线：【029-96262】</w:t>
              <w:br/>
              <w:t>12.企业名称：【陕西长武农村商业银行股份有限公司】</w:t>
              <w:br/>
              <w:t>住所：【陕西省咸阳市长武县城西门什字北街002号】</w:t>
              <w:br/>
              <w:t>客户服务热线：【029-96262】</w:t>
              <w:br/>
              <w:t>13.企业名称：【陕西丹凤农村商业银行股份有限公司】</w:t>
              <w:br/>
              <w:t>住所：【陕西省商洛市丹凤县龙驹寨街道办事处县城新凤街】</w:t>
              <w:br/>
              <w:t>客户服务热线：【029-96262】</w:t>
              <w:br/>
              <w:t>14.企业名称：【陕西商南农村商业银行股份有限公司】</w:t>
              <w:br/>
              <w:t>住所：【陕西省商洛市商南县滨河西路中段】</w:t>
              <w:br/>
              <w:t>客户服务热线：【029-96262】</w:t>
              <w:br/>
              <w:t>15.企业名称：【陕西山阳农村商业银行股份有限公司】</w:t>
              <w:br/>
              <w:t>住所：【陕西省商洛市山阳县南大街73号】</w:t>
              <w:br/>
              <w:t>客户服务热线：【029-96262】</w:t>
              <w:br/>
              <w:t>16.企业名称：【陕西宁陕农村商业银行股份有限公司】</w:t>
              <w:br/>
              <w:t>住所：【陕西省安康市宁陕县城关镇迎宾大道15号】</w:t>
              <w:br/>
              <w:t>客户服务热线：【029-96262】</w:t>
              <w:br/>
              <w:t>17.企业名称：【陕西岚皋农村商业银行股份有限公司】</w:t>
              <w:br/>
              <w:t>住所：【陕西省安康市岚皋县城关镇河滨大道87号】</w:t>
              <w:br/>
              <w:t>客户服务热线：【029-96262】</w:t>
              <w:br/>
              <w:t>18.企业名称：【陕西旬阳农村商业银行股份有限公司】</w:t>
              <w:br/>
              <w:t>住所：【陕西省安康市旬阳市城区祝尔慷大道19号】</w:t>
              <w:br/>
              <w:t>客户服务热线：【029-96262】</w:t>
              <w:br/>
              <w:t>19.企业名称：【陕西安康农村商业银行股份有限公司】</w:t>
              <w:br/>
              <w:t>住所：【陕西省安康市汉滨区大桥南路2号】</w:t>
              <w:br/>
              <w:t>客户服务热线：【029-96262】</w:t>
              <w:br/>
              <w:t>20.企业名称：【陕西汉阴农村商业银行股份有限公司】</w:t>
              <w:br/>
              <w:t>住所：【陕西省安康市汉阴县城关镇北城街65号】</w:t>
              <w:br/>
              <w:t>客户服务热线：【029-96262】</w:t>
              <w:br/>
              <w:t>21.企业名称：【陕西白河农村商业银行股份有限公司】</w:t>
              <w:br/>
              <w:t>住所：【陕西省安康市白河县城关镇狮子山社区滨河大道】</w:t>
              <w:br/>
              <w:t>客户服务热线：【029-96262】</w:t>
              <w:br/>
              <w:t>22.企业名称：【陕西石泉农村商业银行股份有限公司】</w:t>
              <w:br/>
              <w:t>住所：【陕西省安康市石泉县城关镇向阳大道东段2号】</w:t>
              <w:br/>
              <w:t>客户服务热线：【029-96262】</w:t>
              <w:br/>
              <w:t>23.企业名称：【陕西紫阳农村商业银行股份有限公司】</w:t>
              <w:br/>
              <w:t>住所：【陕西省安康市紫阳县城关镇紫府路7号】</w:t>
              <w:br/>
              <w:t>客户服务热线：【029-96262】</w:t>
              <w:br/>
              <w:t>24.企业名称：【陕西镇坪农村商业银行股份有限公司】</w:t>
              <w:br/>
              <w:t>住所：【陕西省安康市镇坪县城关镇上新街32号】</w:t>
              <w:br/>
              <w:t>客户服务热线：【029-96262】</w:t>
              <w:br/>
              <w:t>25.企业名称：【陕西凤县农村商业银行股份有限公司】</w:t>
              <w:br/>
              <w:t>住所：【陕西省宝鸡市凤县双石铺镇新建路】</w:t>
              <w:br/>
              <w:t>客户服务热线：【029-96262】</w:t>
              <w:br/>
              <w:t>26.企业名称：【陕西千阳农村商业银行股份有限公司】</w:t>
              <w:br/>
              <w:t>住所：【陕西省宝鸡市千阳县城关镇西大街9号】</w:t>
              <w:br/>
              <w:t>客户服务热线：【029-96262】</w:t>
              <w:br/>
              <w:t>27.企业名称：【陕西太白农村商业银行股份有限公司】</w:t>
              <w:br/>
              <w:t>住所：【陕西省宝鸡市太白县南大街30号】</w:t>
              <w:br/>
              <w:t>客户服务热线：【029-96262】</w:t>
              <w:br/>
              <w:t>28.企业名称：【陕西岐山农村商业银行股份有限公司】</w:t>
              <w:br/>
              <w:t>住所：【陕西省宝鸡市岐山县凤鸣镇凤鸣西路凤鸣印象商城一层】</w:t>
              <w:br/>
              <w:t>客户服务热线：【029-96262】</w:t>
              <w:br/>
              <w:t>29.企业名称：【陕西宝鸡渭滨农村商业银行股份有限公司】</w:t>
              <w:br/>
              <w:t>住所：【陕西省宝鸡市渭滨区经二路东段151号】</w:t>
              <w:br/>
              <w:t>客户服务热线：【029-96262】</w:t>
              <w:br/>
              <w:t>30.企业名称：【陕西眉县农村商业银行股份有限公司】</w:t>
              <w:br/>
              <w:t>住所：【陕西省宝鸡市眉县首善镇平阳街334号】</w:t>
              <w:br/>
              <w:t>客户服务热线：【029-96262】</w:t>
              <w:br/>
              <w:t>31.企业名称：【陕西宝鸡金台农村商业银行股份有限公司】</w:t>
              <w:br/>
              <w:t>住所：【陕西省宝鸡市金台区大庆路86号】</w:t>
              <w:br/>
              <w:t>客户服务热线：【029-96262】</w:t>
              <w:br/>
              <w:t>32.企业名称：【陕西陇县农村商业银行股份有限公司】</w:t>
              <w:br/>
              <w:t>住所：【陕西省宝鸡市陇县南岸新城陇州大道】</w:t>
              <w:br/>
              <w:t>客户服务热线：【029-96262】</w:t>
              <w:br/>
              <w:t>33.企业名称：【陕西麟游农村商业银行股份有限公司】</w:t>
              <w:br/>
              <w:t>住所：【陕西省宝鸡市麟游县东大街49号】</w:t>
              <w:br/>
              <w:t>客户服务热线：【029-96262】</w:t>
              <w:br/>
              <w:t>34.企业名称：【陕西平利农村商业银行股份有限公司】</w:t>
              <w:br/>
              <w:t>住所：【陕西省平利县城关镇新正街177号】</w:t>
              <w:br/>
              <w:t>客户服务热线：【029-96262】</w:t>
              <w:br/>
              <w:t>35.企业名称：【陕西吴起农村合作银行】</w:t>
              <w:br/>
              <w:t>住所：【陕西省延安市吴起县北苑东路26号】</w:t>
              <w:br/>
              <w:t>客户服务热线：【029-96262】</w:t>
              <w:br/>
              <w:t>36.企业名称：【陕西子长农村商业银行股份有限公司】</w:t>
              <w:br/>
              <w:t>住所：【陕西省延安市子长市长兴街】</w:t>
              <w:br/>
              <w:t>客户服务热线：【029-96262】</w:t>
              <w:br/>
              <w:t>37.企业名称：【陕西安塞农村商业银行股份有限公司】</w:t>
              <w:br/>
              <w:t>住所：【陕西省延安市安塞区富民街22号】</w:t>
              <w:br/>
              <w:t>客户服务热线：【029-96262】</w:t>
              <w:br/>
              <w:t>38.企业名称：【陕西富县农村合作银行】</w:t>
              <w:br/>
              <w:t>住所：【陕西省延安市富县富城镇正街8号】</w:t>
              <w:br/>
              <w:t>客户服务热线：【029-96262】</w:t>
              <w:br/>
              <w:t>39.企业名称：【陕西洛川农村商业银行股份有限公司】</w:t>
              <w:br/>
              <w:t>住所：【陕西省延安市洛川县中心街】</w:t>
              <w:br/>
              <w:t>客户服务热线：【029-96262】</w:t>
              <w:br/>
              <w:t>40.企业名称：【陕西甘泉农村商业银行股份有限公司】</w:t>
              <w:br/>
              <w:t>住所：【陕西省延安市甘泉县中心街019号】</w:t>
              <w:br/>
              <w:t>客户服务热线：【029-96262】</w:t>
              <w:br/>
              <w:t>41.企业名称：【黄陵县农村信用合作联社】</w:t>
              <w:br/>
              <w:t>住所：【陕西省延安市黄陵县中心广场桥山大厦】</w:t>
              <w:br/>
              <w:t>客户服务热线：【029-96262】</w:t>
              <w:br/>
              <w:t>42.企业名称：【黄龙县农村信用合作联社】</w:t>
              <w:br/>
              <w:t>住所：【陕西省延安市黄龙县石堡镇广场大街40号】</w:t>
              <w:br/>
              <w:t>客户服务热线：【029-96262】</w:t>
              <w:br/>
              <w:t>43.企业名称：【陕西杨凌农村商业银行股份有限公司】</w:t>
              <w:br/>
              <w:t>住所：【陕西省杨凌示范区康乐路43号】</w:t>
              <w:br/>
              <w:t>客户服务热线：【029-96262】</w:t>
              <w:br/>
              <w:t>44.企业名称：【陕西定边农村商业银行股份有限公司】</w:t>
              <w:br/>
              <w:t>住所：【陕西省榆林市定边县西环路体育中心对面】</w:t>
              <w:br/>
              <w:t>客户服务热线：【029-96262】</w:t>
              <w:br/>
              <w:t>45.企业名称：【陕西府谷农村商业银行股份有限公司】</w:t>
              <w:br/>
              <w:t>住所：【陕西省榆林市府谷县新区营盘中路】</w:t>
              <w:br/>
              <w:t>客户服务热线：【029-96262】</w:t>
              <w:br/>
              <w:t>46.企业名称：【陕西榆林农村商业银行股份有限公司】</w:t>
              <w:br/>
              <w:t>住所：【陕西省榆林市榆阳区长城中路2号】</w:t>
              <w:br/>
              <w:t>客户服务热线：【029-96262】</w:t>
              <w:br/>
              <w:t>47.企业名称：【陕西清涧农村商业银行股份有限公司】</w:t>
              <w:br/>
              <w:t>住所：【陕西省榆林市清涧县西城区】</w:t>
              <w:br/>
              <w:t>客户服务热线：【029-96262】</w:t>
              <w:br/>
              <w:t>48.企业名称：【陕西神木农村商业银行股份有限公司】</w:t>
              <w:br/>
              <w:t>住所：【陕西省榆林市神木市神木镇东兴街中段】</w:t>
              <w:br/>
              <w:t>客户服务热线：【029-96262】</w:t>
              <w:br/>
              <w:t>49.企业名称：【陕西米脂农村商业银行股份有限公司】</w:t>
              <w:br/>
              <w:t>住所：【陕西省榆林市米脂县迎宾大道南侧园艺路东侧】</w:t>
              <w:br/>
              <w:t>客户服务热线：【029-96262】</w:t>
              <w:br/>
              <w:t>50.企业名称：【陕西绥德农村商业银行股份有限公司】</w:t>
              <w:br/>
              <w:t>住所：【陕西省榆林市绥德县北门街26号】</w:t>
              <w:br/>
              <w:t>客户服务热线：【029-96262】</w:t>
              <w:br/>
              <w:t>51.企业名称：【陕西佛坪农村商业银行股份有限公司】</w:t>
              <w:br/>
              <w:t>住所：【陕西省汉中市佛坪县河堤街40号】</w:t>
              <w:br/>
              <w:t>客户服务热线：【029-96262】</w:t>
              <w:br/>
              <w:t>52.企业名称：【陕西勉县农村商业银行股份有限公司】</w:t>
              <w:br/>
              <w:t>住所：【陕西省汉中市勉县勉阳街道办和平路东】</w:t>
              <w:br/>
              <w:t>客户服务热线：【029-96262】</w:t>
              <w:br/>
              <w:t>53.企业名称：【城固县农村信用合作联社】</w:t>
              <w:br/>
              <w:t>住所：【陕西省汉中市城固县博望街道桔园路中段】</w:t>
              <w:br/>
              <w:t>客户服务热线：【029-96262】</w:t>
              <w:br/>
              <w:t>54.企业名称：【宁强县农村信用合作联社】</w:t>
              <w:br/>
              <w:t>住所：【陕西省汉中市宁强县汉源街道办事处羌州路中段】</w:t>
              <w:br/>
              <w:t>客户服务热线：【029-96262】</w:t>
              <w:br/>
              <w:t>55.企业名称：【陕西汉中农村商业银行股份有限公司】</w:t>
              <w:br/>
              <w:t>住所：【陕西省汉中市汉台区民主街1号】</w:t>
              <w:br/>
              <w:t>客户服务热线：【029-96262】</w:t>
              <w:br/>
              <w:t>56.企业名称：【洋县农村信用合作联社】</w:t>
              <w:br/>
              <w:t>住所：【陕西省汉中市洋县洋州街道办事处北环路以北洋县医院以西】</w:t>
              <w:br/>
              <w:t>客户服务热线：【029-96262】</w:t>
              <w:br/>
              <w:t>57.企业名称：【留坝县农村信用合作联社】</w:t>
              <w:br/>
              <w:t>住所：【陕西省汉中市留坝县紫柏街道办事处紫柏路150号】</w:t>
              <w:br/>
              <w:t>客户服务热线：【029-96262】</w:t>
              <w:br/>
              <w:t>58.企业名称：【略阳县农村信用合作联社】</w:t>
              <w:br/>
              <w:t>住所：【陕西省汉中市略阳县电厂路油库坪】</w:t>
              <w:br/>
              <w:t>客户服务热线：【029-96262】</w:t>
              <w:br/>
              <w:t>59.企业名称：【陕西西乡农村商业银行股份有限公司】</w:t>
              <w:br/>
              <w:t>住所：【陕西省汉中市西乡县东一路和鹿龄路交汇处】</w:t>
              <w:br/>
              <w:t>客户服务热线：【029-96262】</w:t>
              <w:br/>
              <w:t>60.企业名称：【陕西镇巴农村商业银行股份有限公司】</w:t>
              <w:br/>
              <w:t>住所：【陕西省汉中市镇巴县泾洋镇新街4号】</w:t>
              <w:br/>
              <w:t>客户服务热线：【029-96262】</w:t>
              <w:br/>
              <w:t>61.企业名称：【大荔县农村信用合作联社】</w:t>
              <w:br/>
              <w:t>住所：【陕西省渭南市大荔县城关镇花城路24号】</w:t>
              <w:br/>
              <w:t>客户服务热线：【029-96262】</w:t>
              <w:br/>
              <w:t>62.企业名称：【富平县农村信用合作联社】</w:t>
              <w:br/>
              <w:t>住所：【陕西省渭南市富平县频阳大街23号】</w:t>
              <w:br/>
              <w:t>客户服务热线：【029-96262】</w:t>
              <w:br/>
              <w:t>63.企业名称：【铜川市印台区农村信用合作联社】</w:t>
              <w:br/>
              <w:t>住所：【陕西省铜川市印台区同官路】</w:t>
              <w:br/>
              <w:t>客户服务热线：【029-96262】</w:t>
              <w:br/>
              <w:t>64.企业名称：【宜君县农村信用合作联社】</w:t>
              <w:br/>
              <w:t>住所：【陕西省铜川市宜君县宜阳南街3号】</w:t>
              <w:br/>
              <w:t>客户服务热线：【029-96262】</w:t>
              <w:br/>
              <w:t>65.企业名称：【铜川市王益区农村信用合作联社】</w:t>
              <w:br/>
              <w:t>住所：【陕西省铜川市王益区红旗街86号】</w:t>
              <w:br/>
              <w:t>客户服务热线：【029-96262】</w:t>
              <w:br/>
              <w:t>66.企业名称：【铜川市耀州区农村信用合作联社】</w:t>
              <w:br/>
              <w:t>住所：【陕西省铜川市耀州区华原路塔坡什字】</w:t>
              <w:br/>
              <w:t>客户服务热线：【029-96262】</w:t>
              <w:br/>
              <w:t>67.企业名称：【陕西镇安农村商业银行股份有限公司】</w:t>
              <w:br/>
              <w:t>住所：【陕西省镇安县南新街38号】</w:t>
              <w:br/>
              <w:t>客户服务热线：【029-96262】</w:t>
              <w:br/>
              <w:t>68.企业名称：【江苏扬中农村商业银行股份有限公司】</w:t>
              <w:br/>
              <w:t>住所：【扬中市扬子西路79号】</w:t>
              <w:br/>
              <w:t>客户服务热线：【0511-96008】</w:t>
              <w:br/>
              <w:t>69.企业名称：【江苏仪征农村商业银行股份有限公司】</w:t>
              <w:br/>
              <w:t>住所：【江苏省仪征市真州镇解放东路 818 号金融集聚区 1 座 801811，901-911，1001-1011，2 座 101】</w:t>
              <w:br/>
              <w:t>客户服务热线：【0514-96008】</w:t>
              <w:br/>
              <w:t>70.企业名称：【江苏滨海农村商业银行股份有限公司】</w:t>
              <w:br/>
              <w:t>住所：【滨海县城迎宾中路1号】</w:t>
              <w:br/>
              <w:t>客户服务热线：【0515-96008】</w:t>
              <w:br/>
              <w:t>71.企业名称：【江苏泰兴农村商业银行股份有限公司】</w:t>
              <w:br/>
              <w:t>住所：【江苏省泰兴市国庆东路166号】</w:t>
              <w:br/>
              <w:t>客户服务热线：【0523-96008】</w:t>
              <w:br/>
              <w:t>72.企业名称：【浙江东阳农村商业银行股份有限公司】</w:t>
              <w:br/>
              <w:t>住所：【东阳市双岘路18号】</w:t>
              <w:br/>
              <w:t>客户服务热线：【0571-96596】</w:t>
              <w:br/>
              <w:t>73.企业名称：【浙江乐清农村商业银行股份有限公司】</w:t>
              <w:br/>
              <w:t>住所：【乐清市城南街道伯乐西路99号】</w:t>
              <w:br/>
              <w:t>客户服务热线：【0571-96596】</w:t>
              <w:br/>
              <w:t>74.企业名称：【宁波余姚农村商业银行股份有限公司】</w:t>
              <w:br/>
              <w:t>住所：【余姚市新建路69号】</w:t>
              <w:br/>
              <w:t>客户服务热线：【0571-96596】</w:t>
              <w:br/>
              <w:t>75.企业名称：【宁波镇海农村商业银行股份有限公司】</w:t>
              <w:br/>
              <w:t>住所：【宁波市镇海区骆驼街道镇海大道中段788号】</w:t>
              <w:br/>
              <w:t>客户服务热线：【0571-96596】</w:t>
              <w:br/>
              <w:t>76.企业名称：【宁波宁海农村商业银行股份有限公司】</w:t>
              <w:br/>
              <w:t>住所：【宁海县跃龙街道学勉路1号（金融中心）】</w:t>
              <w:br/>
              <w:t>客户服务热线：【0571-96596】</w:t>
              <w:br/>
              <w:t>77.企业名称：【浙江丽水莲都农村商业银行股份有限公司】</w:t>
              <w:br/>
              <w:t>住所：【浙江丽水市解放街438号】</w:t>
              <w:br/>
              <w:t>客户服务热线：【0571-96596】</w:t>
              <w:br/>
              <w:t>78.企业名称：【浙江三门农村商业银行股份有限公司】</w:t>
              <w:br/>
              <w:t>住所：【浙江省三门县海游街道上洋路68号】</w:t>
              <w:br/>
              <w:t>客户服务热线：【0571-96596】</w:t>
              <w:br/>
              <w:t>79.企业名称：【浙江衢州柯城农村商业银行股份有限公司】</w:t>
              <w:br/>
              <w:t>住所：【浙江省上街92号】</w:t>
              <w:br/>
              <w:t>客户服务热线：【0571-96596】</w:t>
              <w:br/>
              <w:t>80.企业名称：【浙江云和农村商业银行股份有限公司】</w:t>
              <w:br/>
              <w:t>住所：【浙江省丽水市云和县浮云街道新建路72号】</w:t>
              <w:br/>
              <w:t>客户服务热线：【0571-96596】</w:t>
              <w:br/>
              <w:t>81.企业名称：【浙江庆元农村商业银行股份有限公司】</w:t>
              <w:br/>
              <w:t>住所：【浙江省丽水市庆元县濛洲街道云鹤路3号】</w:t>
              <w:br/>
              <w:t>客户服务热线：【0571-96596】</w:t>
              <w:br/>
              <w:t>82.企业名称：【浙江景宁农村商业银行股份有限公司】</w:t>
              <w:br/>
              <w:t>住所：【浙江省丽水市景宁畲族自治县红星街道人民中路201号】</w:t>
              <w:br/>
              <w:t>客户服务热线：【0571-96596】</w:t>
              <w:br/>
              <w:t>83.企业名称：【浙江松阳农村商业银行股份有限公司】</w:t>
              <w:br/>
              <w:t>住所：【浙江省丽水市松阳县水南街道要津南路71号】</w:t>
              <w:br/>
              <w:t>客户服务热线：【0571-96596】</w:t>
              <w:br/>
              <w:t>84.企业名称：【浙江缙云农村商业银行股份有限公司】</w:t>
              <w:br/>
              <w:t>住所：【浙江省丽水市缙云县五云镇新区仙都路68号】</w:t>
              <w:br/>
              <w:t>客户服务热线：【0571-96596】</w:t>
              <w:br/>
              <w:t>85.企业名称：【浙江遂昌农村商业银行股份有限公司】</w:t>
              <w:br/>
              <w:t>住所：【浙江省丽水市遂昌县妙高街道溪边路100号】</w:t>
              <w:br/>
              <w:t>客户服务热线：【0571-96596】</w:t>
              <w:br/>
              <w:t>86.企业名称：【浙江龙泉农村商业银行股份有限公司】</w:t>
              <w:br/>
              <w:t>住所：【浙江省丽水市龙泉市中山东路101号】</w:t>
              <w:br/>
              <w:t>客户服务热线：【0571-96596】</w:t>
              <w:br/>
              <w:t>87.企业名称：【浙江义乌农村商业银行股份有限公司】</w:t>
              <w:br/>
              <w:t>住所：【浙江省义乌市福田街道城北路677号】</w:t>
              <w:br/>
              <w:t>客户服务热线：【0571-96596】</w:t>
              <w:br/>
              <w:t>88.企业名称：【浙江仙居农村商业银行股份有限公司】</w:t>
              <w:br/>
              <w:t>住所：【浙江省仙居县南峰街道穿城中路21号】</w:t>
              <w:br/>
              <w:t>客户服务热线：【0571-96596】</w:t>
              <w:br/>
              <w:t>89.企业名称：【浙江兰溪农村商业银行股份有限公司】</w:t>
              <w:br/>
              <w:t>住所：【浙江省兰溪市兰江街道丹溪大道18号】</w:t>
              <w:br/>
              <w:t>客户服务热线：【0571-96596】</w:t>
              <w:br/>
              <w:t>90.企业名称：【浙江临海农村商业银行股份有限公司】</w:t>
              <w:br/>
              <w:t>住所：【浙江省台州市临海市大洋街道河阳路299号】</w:t>
              <w:br/>
              <w:t>客户服务热线：【0571-96596】</w:t>
              <w:br/>
              <w:t>91.企业名称：【浙江台州椒江农村商业银行股份有限公司】</w:t>
              <w:br/>
              <w:t>住所：【浙江省台州市椒江区工人东路322号】</w:t>
              <w:br/>
              <w:t>客户服务热线：【0571-96596】</w:t>
              <w:br/>
              <w:t>92.企业名称：【浙江温岭农村商业银行股份有限公司】</w:t>
              <w:br/>
              <w:t>住所：【浙江省台州市温岭市城东街道下保路100号】</w:t>
              <w:br/>
              <w:t>客户服务热线：【0571-96596】</w:t>
              <w:br/>
              <w:t>93.企业名称：【浙江台州路桥农村商业银行股份有限公司】</w:t>
              <w:br/>
              <w:t>住所：【浙江省台州市路桥区西路桥大道328号】</w:t>
              <w:br/>
              <w:t>客户服务热线：【0571-96596】</w:t>
              <w:br/>
              <w:t>94.企业名称：【浙江台州黄岩农村商业银行股份有限公司】</w:t>
              <w:br/>
              <w:t>住所：【浙江省台州市黄岩区洞天路88号】</w:t>
              <w:br/>
              <w:t>客户服务热线：【0571-96596】</w:t>
              <w:br/>
              <w:t>95.企业名称：【浙江嘉善农村商业银行股份有限公司】</w:t>
              <w:br/>
              <w:t>住所：【浙江省嘉兴市嘉善县罗星街道车站南路999号】</w:t>
              <w:br/>
              <w:t>客户服务热线：【0571-96596】</w:t>
              <w:br/>
              <w:t>96.企业名称：【浙江桐乡农村商业银行股份有限公司】</w:t>
              <w:br/>
              <w:t>住所：【浙江省嘉兴市桐乡市梧桐街道校场东路59号】</w:t>
              <w:br/>
              <w:t>客户服务热线：【0571-96596】</w:t>
              <w:br/>
              <w:t>97.企业名称：【浙江禾城农村商业银行股份有限公司】</w:t>
              <w:br/>
              <w:t>住所：【浙江省嘉兴市经济技术开发区文昌路1229号】</w:t>
              <w:br/>
              <w:t>客户服务热线：【0571-96596】</w:t>
              <w:br/>
              <w:t>98.企业名称：【浙江天台农村商业银行股份有限公司】</w:t>
              <w:br/>
              <w:t>住所：【浙江省天台县赤城街道飞鹤路358号】</w:t>
              <w:br/>
              <w:t>客户服务热线：【0571-96596】</w:t>
              <w:br/>
              <w:t>99.企业名称：【宁波北仑农村商业银行股份有限公司】</w:t>
              <w:br/>
              <w:t>住所：【浙江省宁波市北仑区新碶宝山路69号（凤凰国际商务广场）1幢69号、63号（凤凰国际商务广场）1幢（2-26层）】</w:t>
              <w:br/>
              <w:t>客户服务热线：【0571-96596】</w:t>
              <w:br/>
              <w:t>100.企业名称：【宁波奉化农村商业银行股份有限公司】</w:t>
              <w:br/>
              <w:t>住所：【浙江省宁波市奉化区锦屏街道中山路27号】</w:t>
              <w:br/>
              <w:t>客户服务热线：【0571-96596】</w:t>
              <w:br/>
              <w:t>101.企业名称：【宁波甬城农村商业银行股份有限公司】</w:t>
              <w:br/>
              <w:t>住所：【浙江省宁波市江北区育才路15、17号】</w:t>
              <w:br/>
              <w:t>客户服务热线：【0571-96596】</w:t>
              <w:br/>
              <w:t>102.企业名称：【浙江嵊州农村商业银行股份有限公司】</w:t>
              <w:br/>
              <w:t>住所：【浙江省嵊州市剡湖街道官河路398号】</w:t>
              <w:br/>
              <w:t>客户服务热线：【0571-96596】</w:t>
              <w:br/>
              <w:t>103.企业名称：【浙江嵊泗农村商业银行股份有限公司】</w:t>
              <w:br/>
              <w:t>住所：【浙江省嵊泗县菜园镇沙河路110号】</w:t>
              <w:br/>
              <w:t>客户服务热线：【0571-96596】</w:t>
              <w:br/>
              <w:t>104.企业名称：【浙江平湖农村商业银行股份有限公司】</w:t>
              <w:br/>
              <w:t>住所：【浙江省平湖市当湖街道胜利路518号】</w:t>
              <w:br/>
              <w:t>客户服务热线：【0571-96596】</w:t>
              <w:br/>
              <w:t>105.企业名称：【浙江平阳农村商业银行股份有限公司】</w:t>
              <w:br/>
              <w:t>住所：【浙江省平阳县鳌江镇车站大道999号】</w:t>
              <w:br/>
              <w:t>客户服务热线：【0571-96596】</w:t>
              <w:br/>
              <w:t>106.企业名称：【浙江建德农村商业银行股份有限公司】</w:t>
              <w:br/>
              <w:t>住所：【浙江省建德市新安江街道江滨中路176号】</w:t>
              <w:br/>
              <w:t>客户服务热线：【0571-96596】</w:t>
              <w:br/>
              <w:t>107.企业名称：【浙江德清农村商业银行股份有限公司】</w:t>
              <w:br/>
              <w:t>住所：【浙江省德清县武康街道沈长圩街50号】</w:t>
              <w:br/>
              <w:t>客户服务热线：【0571-96596】</w:t>
              <w:br/>
              <w:t>108.企业名称：【宁波慈溪农村商业银行股份有限公司】</w:t>
              <w:br/>
              <w:t>住所：【浙江省慈溪市浒山街道南城路 25 号、59 号 5-6 楼】</w:t>
              <w:br/>
              <w:t>客户服务热线：【0571-96596】</w:t>
              <w:br/>
              <w:t>109.企业名称：【浙江新昌农村商业银行股份有限公司】</w:t>
              <w:br/>
              <w:t>住所：【浙江省新昌县七星街道七星路18号】</w:t>
              <w:br/>
              <w:t>客户服务热线：【0571-96596】</w:t>
              <w:br/>
              <w:t>110.企业名称：【杭州联合农村商业银行股份有限公司】</w:t>
              <w:br/>
              <w:t>住所：【浙江省杭州市上城区建国中路99号】</w:t>
              <w:br/>
              <w:t>客户服务热线：【0571-96596】</w:t>
              <w:br/>
              <w:t>111.企业名称：【浙江临安农村商业银行股份有限公司】</w:t>
              <w:br/>
              <w:t>住所：【浙江省杭州市临安区锦城街道城中街442号】</w:t>
              <w:br/>
              <w:t>客户服务热线：【0571-96596】</w:t>
              <w:br/>
              <w:t>112.企业名称：【浙江杭州余杭农村商业银行股份有限公司】</w:t>
              <w:br/>
              <w:t>住所：【浙江省杭州市临平区南苑街道南大街72号】</w:t>
              <w:br/>
              <w:t>客户服务热线：【0571-96596】</w:t>
              <w:br/>
              <w:t>113.企业名称：【浙江富阳农村商业银行股份有限公司】</w:t>
              <w:br/>
              <w:t>住所：【浙江省杭州市富阳区鹿山街道依江路501号第1幢】</w:t>
              <w:br/>
              <w:t>客户服务热线：【0571-96596】</w:t>
              <w:br/>
              <w:t>114.企业名称：【浙江桐庐农村商业银行股份有限公司】</w:t>
              <w:br/>
              <w:t>住所：【浙江省杭州市桐庐县城迎春南路278号】</w:t>
              <w:br/>
              <w:t>客户服务热线：【0571-96596】</w:t>
              <w:br/>
              <w:t>115.企业名称：【浙江淳安农村商业银行股份有限公司】</w:t>
              <w:br/>
              <w:t>住所：【浙江省杭州市淳安县千岛湖镇环湖北路369号】</w:t>
              <w:br/>
              <w:t>客户服务热线：【0571-96596】</w:t>
              <w:br/>
              <w:t>116.企业名称：【浙江萧山农村商业银行股份有限公司】</w:t>
              <w:br/>
              <w:t>住所：【浙江省杭州市萧山区人民路258号】</w:t>
              <w:br/>
              <w:t>客户服务热线：【0571-96596】</w:t>
              <w:br/>
              <w:t>117.企业名称：【浙江武义农村商业银行股份有限公司】</w:t>
              <w:br/>
              <w:t>住所：【浙江省武义县城武阳中路37号】</w:t>
              <w:br/>
              <w:t>客户服务热线：【0571-96596】</w:t>
              <w:br/>
              <w:t>118.企业名称：【浙江江山农村商业银行股份有限公司】</w:t>
              <w:br/>
              <w:t>住所：【浙江省江山市双塔街道江滨路188号】</w:t>
              <w:br/>
              <w:t>客户服务热线：【0571-96596】</w:t>
              <w:br/>
              <w:t>119.企业名称：【浙江浦江农村商业银行股份有限公司】</w:t>
              <w:br/>
              <w:t>住所：【浙江省浦江县人民东路90号】</w:t>
              <w:br/>
              <w:t>客户服务热线：【0571-96596】</w:t>
              <w:br/>
              <w:t>120.企业名称：【浙江海宁农村商业银行股份有限公司】</w:t>
              <w:br/>
              <w:t>住所：【浙江省海宁市海洲街道钱江西路278号】</w:t>
              <w:br/>
              <w:t>客户服务热线：【0571-96596】</w:t>
              <w:br/>
              <w:t>121.企业名称：【浙江海盐农村商业银行股份有限公司】</w:t>
              <w:br/>
              <w:t>住所：【浙江省海盐县武原街道枣园西路176号】</w:t>
              <w:br/>
              <w:t>客户服务热线：【0571-96596】</w:t>
              <w:br/>
              <w:t>122.企业名称：【浙江文成农村商业银行股份有限公司】</w:t>
              <w:br/>
              <w:t>住所：【浙江省温州市文成县大峃镇伯温路6号】</w:t>
              <w:br/>
              <w:t>客户服务热线：【0571-96596】</w:t>
              <w:br/>
              <w:t>123.企业名称：【浙江永嘉农村商业银行股份有限公司】</w:t>
              <w:br/>
              <w:t>住所：【浙江省温州市永嘉县瓯北街道阳光大道3918号101室、201室、301室、401室、501室、1101室、1801室、2201室】</w:t>
              <w:br/>
              <w:t>客户服务热线：【0571-96596】</w:t>
              <w:br/>
              <w:t>124.企业名称：【浙江泰顺农村商业银行股份有限公司】</w:t>
              <w:br/>
              <w:t>住所：【浙江省温州市泰顺县罗阳镇新城区文祥大道181号】</w:t>
              <w:br/>
              <w:t>客户服务热线：【0571-96596】</w:t>
              <w:br/>
              <w:t>125.企业名称：【浙江温州瓯海农村商业银行股份有限公司】</w:t>
              <w:br/>
              <w:t>住所：【浙江省温州市瓯海区瓯海大道989号】</w:t>
              <w:br/>
              <w:t>客户服务热线：【0571-96596】</w:t>
              <w:br/>
              <w:t>126.企业名称：【浙江温州鹿城农村商业银行股份有限公司】</w:t>
              <w:br/>
              <w:t>住所：【浙江省温州市鹿城区会展路1500号富银大厦】</w:t>
              <w:br/>
              <w:t>客户服务热线：【0571-96596】</w:t>
              <w:br/>
              <w:t>127.企业名称：【浙江温州龙湾农村商业银行股份有限公司】</w:t>
              <w:br/>
              <w:t>住所：【浙江省温州市龙湾区永中街道永宁西路555号】</w:t>
              <w:br/>
              <w:t>客户服务热线：【0571-96596】</w:t>
              <w:br/>
              <w:t>128.企业名称：【湖州吴兴农村商业银行股份有限公司】</w:t>
              <w:br/>
              <w:t>住所：【浙江省湖州市东街55号】</w:t>
              <w:br/>
              <w:t>客户服务热线：【0571-96596】</w:t>
              <w:br/>
              <w:t>129.企业名称：【浙江南浔农村商业银行股份有限公司】</w:t>
              <w:br/>
              <w:t>住所：【浙江省湖州市南浔区南浔镇人瑞路1188号】</w:t>
              <w:br/>
              <w:t>客户服务热线：【0571-96596】</w:t>
              <w:br/>
              <w:t>130.企业名称：【浙江安吉农村商业银行股份有限公司】</w:t>
              <w:br/>
              <w:t>住所：【浙江省湖州市安吉县昌硕街道昌硕东路1号(自主申报)】</w:t>
              <w:br/>
              <w:t>客户服务热线：【0571-96596】</w:t>
              <w:br/>
              <w:t>131.企业名称：【浙江长兴农村商业银行股份有限公司】</w:t>
              <w:br/>
              <w:t>住所：【浙江省湖州市长兴县太湖街道明珠路1298号】</w:t>
              <w:br/>
              <w:t>客户服务热线：【0571-96596】</w:t>
              <w:br/>
              <w:t>132.企业名称：【浙江玉环农村商业银行股份有限公司】</w:t>
              <w:br/>
              <w:t>住所：【浙江省玉环市玉城街道珠港大道26号】</w:t>
              <w:br/>
              <w:t>客户服务热线：【0571-96596】</w:t>
              <w:br/>
              <w:t>133.企业名称：【浙江上虞农村商业银行股份有限公司】</w:t>
              <w:br/>
              <w:t>住所：【浙江省百官街道德盛路55号】</w:t>
              <w:br/>
              <w:t>客户服务热线：【0571-96596】</w:t>
              <w:br/>
              <w:t>134.企业名称：【浙江绍兴恒信农村商业银行股份有限公司】</w:t>
              <w:br/>
              <w:t>住所：【浙江省绍兴市中兴中路159号】</w:t>
              <w:br/>
              <w:t>客户服务热线：【0571-96596】</w:t>
              <w:br/>
              <w:t>135.企业名称：【浙江绍兴瑞丰农村商业银行股份有限公司】</w:t>
              <w:br/>
              <w:t>住所：【浙江省绍兴市柯桥区柯桥笛扬路1363号】</w:t>
              <w:br/>
              <w:t>客户服务热线：【0571-96596】</w:t>
              <w:br/>
              <w:t>136.企业名称：【浙江舟山定海海洋农村商业银行股份有限公司】</w:t>
              <w:br/>
              <w:t>住所：【浙江省舟山市定海区环城东路81号】</w:t>
              <w:br/>
              <w:t>客户服务热线：【0571-96596】</w:t>
              <w:br/>
              <w:t>137.企业名称：【浙江岱山农村商业银行股份有限公司】</w:t>
              <w:br/>
              <w:t>住所：【浙江省舟山市岱山县高亭镇衢山大道1009号(自主申报)】</w:t>
              <w:br/>
              <w:t>客户服务热线：【0571-96596】</w:t>
              <w:br/>
              <w:t>138.企业名称：【浙江舟山普陀农村商业银行股份有限公司】</w:t>
              <w:br/>
              <w:t>住所：【浙江省舟山市普陀区东港街道麒麟街225号（自贸试验区内）】</w:t>
              <w:br/>
              <w:t>客户服务热线：【0571-96596】</w:t>
              <w:br/>
              <w:t>139.企业名称：【浙江苍南农村商业银行股份有限公司】</w:t>
              <w:br/>
              <w:t>住所：【浙江省苍南县灵溪镇人民大道425号】</w:t>
              <w:br/>
              <w:t>客户服务热线：【0571-96596】</w:t>
              <w:br/>
              <w:t>140.企业名称：【浙江常山农村商业银行股份有限公司】</w:t>
              <w:br/>
              <w:t>住所：【浙江省衢州市常山县天马街道人民路125号】</w:t>
              <w:br/>
              <w:t>客户服务热线：【0571-96596】</w:t>
              <w:br/>
              <w:t>141.企业名称：【浙江开化农村商业银行股份有限公司】</w:t>
              <w:br/>
              <w:t>住所：【浙江省衢州市开化县华埠镇永吉二路8号】</w:t>
              <w:br/>
              <w:t>客户服务热线：【0571-96596】</w:t>
              <w:br/>
              <w:t>142.企业名称：【浙江衢州衢江农村商业银行股份有限公司】</w:t>
              <w:br/>
              <w:t>住所：【浙江省衢州市衢江区樟潭街道信安东路37号】</w:t>
              <w:br/>
              <w:t>客户服务热线：【0571-96596】</w:t>
              <w:br/>
              <w:t>143.企业名称：【浙江龙游农村商业银行股份有限公司】</w:t>
              <w:br/>
              <w:t>住所：【浙江省衢州市龙游县龙洲街道荣昌大道683、685、687号】</w:t>
              <w:br/>
              <w:t>客户服务热线：【0571-96596】</w:t>
              <w:br/>
              <w:t>144.企业名称：【浙江诸暨农村商业银行股份有限公司】</w:t>
              <w:br/>
              <w:t>住所：【浙江省诸暨市暨阳街道大桥东路2号】</w:t>
              <w:br/>
              <w:t>客户服务热线：【0571-96596】</w:t>
              <w:br/>
              <w:t>145.企业名称：【浙江金华成泰农村商业银行股份有限公司】</w:t>
              <w:br/>
              <w:t>住所：【浙江省金华市八一南街123号】</w:t>
              <w:br/>
              <w:t>客户服务热线：【0571-96596】</w:t>
              <w:br/>
              <w:t>146.企业名称：【浙江永康农村商业银行股份有限公司】</w:t>
              <w:br/>
              <w:t>住所：【浙江省金华市永康市九铃东路3259号】</w:t>
              <w:br/>
              <w:t>客户服务热线：【0571-96596】</w:t>
              <w:br/>
              <w:t>147.企业名称：【浙江青田农村商业银行股份有限公司】</w:t>
              <w:br/>
              <w:t>住所：【浙江省青田县鹤城街道鹤城东路180号】</w:t>
              <w:br/>
              <w:t>客户服务热线：【0571-96596】</w:t>
              <w:br/>
              <w:t>148.企业名称：【浙江瑞安农村商业银行股份有限公司】</w:t>
              <w:br/>
              <w:t>住所：【瑞安市安阳街道万松东路148号】</w:t>
              <w:br/>
              <w:t>客户服务热线：【0571-96596】</w:t>
              <w:br/>
              <w:t>149.企业名称：【江苏宜兴农村商业银行股份有限公司】</w:t>
              <w:br/>
              <w:t>住所：【江苏省宜兴市宜城街道解放东路579号】</w:t>
              <w:br/>
              <w:t>客户服务热线：【96008】</w:t>
              <w:br/>
              <w:t>150.企业名称：【江苏兴化农村商业银行股份有限公司】</w:t>
              <w:br/>
              <w:t>住所：【江苏省兴化市长安南路999号】</w:t>
              <w:br/>
              <w:t>客户服务热线：【96028】</w:t>
              <w:br/>
              <w:t xml:space="preserve"> </w:t>
              <w:br/>
              <w:t>【C】类份额（份额代码【AF265598C】）合作销售机构信息：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【D】类份额（份额代码【AF265598D】）合作销售机构信息：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【G】类份额（份额代码【AF265598G】）合作销售机构信息：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【M】类份额（份额代码【AF265598M】）合作销售机构信息：</w:t>
              <w:br/>
              <w:t>1.企业名称：【江苏高淳农村商业银行股份有限公司】</w:t>
              <w:br/>
              <w:t>住所：【江苏省南京市高淳区宝塔路123号】</w:t>
              <w:br/>
              <w:t>客户服务热线：【025-96008】</w:t>
              <w:br/>
              <w:t>2.企业名称：【内蒙古农村商业银行股份有限公司】</w:t>
              <w:br/>
              <w:t>住所：【内蒙古自治区呼和浩特市赛罕区陶利西街1号】</w:t>
              <w:br/>
              <w:t>客户服务热线：【0471-96688】</w:t>
              <w:br/>
              <w:t>3.企业名称：【江苏句容农村商业银行股份有限公司】</w:t>
              <w:br/>
              <w:t>住所：【江苏省句容市福地东路66号】</w:t>
              <w:br/>
              <w:t>客户服务热线：【0511-96008】</w:t>
              <w:br/>
              <w:t>4.企业名称：【江苏镇江农村商业银行股份有限公司】</w:t>
              <w:br/>
              <w:t>住所：【江苏省镇江市润州区长江路97号】</w:t>
              <w:br/>
              <w:t>客户服务热线：【0513-96008】</w:t>
              <w:br/>
              <w:t>5.企业名称：【江苏东台农村商业银行股份有限公司】</w:t>
              <w:br/>
              <w:t>住所：【东台市东城大道10号】</w:t>
              <w:br/>
              <w:t>客户服务热线：【0515-96008】</w:t>
              <w:br/>
              <w:t>6.企业名称：【江苏建湖农村商业银行股份有限公司】</w:t>
              <w:br/>
              <w:t>住所：【江苏省建湖县湖南中路958号】</w:t>
              <w:br/>
              <w:t>客户服务热线：【0515-96008】</w:t>
              <w:br/>
              <w:t>7.企业名称：【江苏大丰农村商业银行股份有限公司】</w:t>
              <w:br/>
              <w:t>住所：【江苏省盐城市大丰区常新中路9号】</w:t>
              <w:br/>
              <w:t>客户服务热线：【0515-96008】</w:t>
              <w:br/>
              <w:t>8.企业名称：【江苏阜宁农村商业银行股份有限公司】</w:t>
              <w:br/>
              <w:t>住所：【江苏省阜宁县城南新区上海路459号】</w:t>
              <w:br/>
              <w:t>客户服务热线：【0515-96008】</w:t>
              <w:br/>
              <w:t>9.企业名称：【江苏泰州农村商业银行股份有限公司】</w:t>
              <w:br/>
              <w:t>住所：【江苏省泰州市海陵区西仓路36号】</w:t>
              <w:br/>
              <w:t>客户服务热线：【0523-96008】</w:t>
              <w:br/>
              <w:t>10.企业名称：【温州银行股份有限公司】</w:t>
              <w:br/>
              <w:t>住所：【浙江省温州市鹿城区会展路1316号】</w:t>
              <w:br/>
              <w:t>客户服务热线：【0577-96699】</w:t>
              <w:br/>
              <w:t>11.企业名称：【鄂尔多斯银行股份有限公司】</w:t>
              <w:br/>
              <w:t>住所：【内蒙古自治区鄂尔多斯市东胜区乌审西街6号】</w:t>
              <w:br/>
              <w:t>客户服务热线：【4000096622】</w:t>
              <w:br/>
              <w:t>12.企业名称：【郑州银行股份有限公司】</w:t>
              <w:br/>
              <w:t>住所：【郑州市郑东新区商务外环路22号】</w:t>
              <w:br/>
              <w:t>客户服务热线：【95097】</w:t>
              <w:br/>
              <w:t>13.企业名称：【江苏姜堰农村商业银行股份有限公司】</w:t>
              <w:br/>
              <w:t>住所：【泰州市姜堰区姜堰大道128号】</w:t>
              <w:br/>
              <w:t>客户服务热线：【96008】</w:t>
              <w:br/>
              <w:t xml:space="preserve"> </w:t>
              <w:br/>
              <w:t>【N】类份额（份额代码【AF265598N】）合作销售机构信息：</w:t>
              <w:br/>
              <w:t>1.企业名称：【江苏涟水农村商业银行股份有限公司】</w:t>
              <w:br/>
              <w:t>住所：【淮安市涟水县涟城镇涟州路５号】</w:t>
              <w:br/>
              <w:t>客户服务热线：【0517-96008】</w:t>
              <w:br/>
              <w:t>2.企业名称：【湖南银行股份有限公司】</w:t>
              <w:br/>
              <w:t>住所：【湖南省长沙市天心区湘江中路二段210号】</w:t>
              <w:br/>
              <w:t>客户服务热线：【0731-96599】</w:t>
              <w:br/>
              <w:t>3.企业名称：【赣州银行股份有限公司】</w:t>
              <w:br/>
              <w:t>住所：【江西省赣州市赣江源大道26号】</w:t>
              <w:br/>
              <w:t>客户服务热线：【0797-96296】</w:t>
              <w:br/>
              <w:t>4.企业名称：【内蒙古银行股份有限公司】</w:t>
              <w:br/>
              <w:t>住所：【内蒙古自治区呼和浩特市赛罕区腾飞南路33号】</w:t>
              <w:br/>
              <w:t>客户服务热线：【40005-96019】</w:t>
              <w:br/>
              <w:t>5.企业名称：【福建海峡银行股份有限公司】</w:t>
              <w:br/>
              <w:t>住所：【福建省福州市台江区江滨中大道358号海峡银行大厦】</w:t>
              <w:br/>
              <w:t>客户服务热线：【4008939999】</w:t>
              <w:br/>
              <w:t xml:space="preserve"> </w:t>
              <w:br/>
              <w:t>【S】类份额（份额代码【AF265598S】）合作销售机构信息：</w:t>
              <w:br/>
              <w:t>1.企业名称：【中信银行股份有限公司】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br/>
              <w:t xml:space="preserve"> </w:t>
              <w:br/>
              <w:t>后续合作销售机构如有新增、减少和变更，信银理财将按照本说明书约定的方式告知投资者。</w:t>
            </w:r>
            <w:r>
              <w:rPr>
                <w:rFonts w:ascii="楷体_GB2312" w:cs="楷体_GB2312" w:eastAsia="楷体_GB2312"/>
                <w:sz w:val="20"/>
                <w:szCs w:val="20"/>
                <w:highlight w:val="none"/>
              </w:rPr>
              <w:t/>
            </w:r>
          </w:p>
        </w:tc>
      </w:tr>
      <w:tr w14:paraId="3BF4609B">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1E5FB7AD">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销售机构主要职责</w:t>
            </w:r>
          </w:p>
        </w:tc>
        <w:tc>
          <w:tcPr>
            <w:tcW w:type="pct" w:w="3709"/>
            <w:vAlign w:val="center"/>
          </w:tcPr>
          <w:p w14:paraId="0CCB71FB">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理财产品的宣传推广；</w:t>
            </w:r>
          </w:p>
          <w:p w14:paraId="7CDAF1AF">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投资者风险承受能力评估和投资者适当性管理；</w:t>
            </w:r>
          </w:p>
          <w:p w14:paraId="702914E0">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理财产品认</w:t>
            </w:r>
            <w:r>
              <w:rPr>
                <w:rFonts w:ascii="楷体_GB2312" w:cs="楷体_GB2312" w:eastAsia="楷体_GB2312" w:hint="eastAsia"/>
                <w:color w:themeColor="text1" w:val="000000"/>
                <w:sz w:val="20"/>
                <w:szCs w:val="20"/>
                <w:highlight w:val="none"/>
                <w14:textFill>
                  <w14:solidFill>
                    <w14:schemeClr w14:val="tx1"/>
                  </w14:solidFill>
                </w14:textFill>
              </w:rPr>
              <w:t>/申购、赎回等业务办理；</w:t>
            </w:r>
          </w:p>
          <w:p w14:paraId="4A9AD0E7">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协助管理人与投资者订立相关协议；</w:t>
            </w:r>
          </w:p>
          <w:p w14:paraId="2C74EE7E">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协助管理人与投资者沟通及进行信息披露；</w:t>
            </w:r>
          </w:p>
          <w:p w14:paraId="139ACE42">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接受投资者咨询、投诉和客户维护等销售服务；</w:t>
            </w:r>
          </w:p>
          <w:p w14:paraId="7AAA1E7A">
            <w:pPr>
              <w:pStyle w:val="20"/>
              <w:numPr>
                <w:ilvl w:val="0"/>
                <w:numId w:val="4"/>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国务院银行业监督管理机构规定的其他职责。</w:t>
            </w:r>
          </w:p>
        </w:tc>
      </w:tr>
      <w:tr w14:paraId="0D71B26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7050542A">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托管人</w:t>
            </w:r>
          </w:p>
        </w:tc>
        <w:tc>
          <w:tcPr>
            <w:tcW w:type="pct" w:w="3709"/>
            <w:vAlign w:val="center"/>
          </w:tcPr>
          <w:p w14:paraId="7881BBFC">
            <w:pPr>
              <w:spacing w:line="300" w:lineRule="exact"/>
              <w:ind w:left="-2" w:leftChars="-1"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sz w:val="20"/>
                <w:szCs w:val="20"/>
                <w:highlight w:val="none"/>
              </w:rPr>
              <w:t/>
              <w:t>企业名称：【中信银行股份有限公司】</w:t>
              <w:br/>
              <w:t>住所：【北京市朝阳区光华路10号中信大厦】</w:t>
              <w:br/>
              <w:t>客户服务热线：【95558】</w:t>
              <w:br/>
              <w:t>关联关系情况：【中信银行股份有限公司】系信银理财的法人控股股东，与信银理财具有关联关系。信银理财委托【中信银行股份有限公司】托管本理财产品，存在关联交易风险，请投资者仔细阅读理财产品说明书中相应风险揭示部分。</w:t>
            </w:r>
            <w:r>
              <w:rPr>
                <w:rFonts w:ascii="楷体_GB2312" w:cs="楷体_GB2312" w:eastAsia="楷体_GB2312"/>
                <w:sz w:val="20"/>
                <w:szCs w:val="20"/>
                <w:highlight w:val="none"/>
              </w:rPr>
              <w:t/>
            </w:r>
          </w:p>
        </w:tc>
      </w:tr>
      <w:tr w14:paraId="57355916">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6C8FAB92">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托管人职责</w:t>
            </w:r>
          </w:p>
        </w:tc>
        <w:tc>
          <w:tcPr>
            <w:tcW w:type="pct" w:w="3709"/>
            <w:vAlign w:val="center"/>
          </w:tcPr>
          <w:p w14:paraId="361E7CE9">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安全保管理财产品财产；</w:t>
            </w:r>
          </w:p>
          <w:p w14:paraId="783F89AB">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为每只理财产品开设独立的托管账户，不同托管账户中的资产应当相互独立，为理财产品开立所需的证券账户等其他账户；</w:t>
            </w:r>
          </w:p>
          <w:p w14:paraId="0AB16666">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按照托管协议约定和管理人的投资指令，及时办理理财产品的清算、交割事宜，核对理财产品资金划拨记录；</w:t>
            </w:r>
          </w:p>
          <w:p w14:paraId="15E5EBA8">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建立与理财产品管理人的对账机制，复核、审查理财产品资金头寸、资产账目、</w:t>
            </w:r>
            <w:r>
              <w:rPr>
                <w:rFonts w:ascii="楷体_GB2312" w:cs="楷体_GB2312" w:eastAsia="楷体_GB2312"/>
                <w:color w:themeColor="text1" w:val="000000"/>
                <w:sz w:val="20"/>
                <w:szCs w:val="20"/>
                <w:highlight w:val="none"/>
                <w14:textFill>
                  <w14:solidFill>
                    <w14:schemeClr w14:val="tx1"/>
                  </w14:solidFill>
                </w14:textFill>
              </w:rPr>
              <w:t>资产净值</w:t>
            </w:r>
            <w:r>
              <w:rPr>
                <w:rFonts w:ascii="楷体_GB2312" w:cs="楷体_GB2312" w:eastAsia="楷体_GB2312" w:hint="eastAsia"/>
                <w:color w:themeColor="text1" w:val="000000"/>
                <w:sz w:val="20"/>
                <w:szCs w:val="20"/>
                <w:highlight w:val="none"/>
                <w14:textFill>
                  <w14:solidFill>
                    <w14:schemeClr w14:val="tx1"/>
                  </w14:solidFill>
                </w14:textFill>
              </w:rPr>
              <w:t>、理财产品份额认/申购、赎回价格等数据，及时核查认/申购、赎回以及投资资金的支付和到账情况；</w:t>
            </w:r>
          </w:p>
          <w:p w14:paraId="28C9B121">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监督理财产品投资运作，发现理财产品违反法律、行政法规、规章规定或合同约定进行投资的，应当拒绝执行，及时通知理财产品管理人并报告国务院银行业监督管理机构；</w:t>
            </w:r>
          </w:p>
          <w:p w14:paraId="4D3CA57E">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2F2C6E25">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保存理财产品托管业务活动的记录、账册、报表和其他相关材料1</w:t>
            </w:r>
            <w:r>
              <w:rPr>
                <w:rFonts w:ascii="楷体_GB2312" w:cs="楷体_GB2312" w:eastAsia="楷体_GB2312"/>
                <w:color w:themeColor="text1" w:val="000000"/>
                <w:sz w:val="20"/>
                <w:szCs w:val="20"/>
                <w:highlight w:val="none"/>
                <w14:textFill>
                  <w14:solidFill>
                    <w14:schemeClr w14:val="tx1"/>
                  </w14:solidFill>
                </w14:textFill>
              </w:rPr>
              <w:t>5</w:t>
            </w:r>
            <w:r>
              <w:rPr>
                <w:rFonts w:ascii="楷体_GB2312" w:cs="楷体_GB2312" w:eastAsia="楷体_GB2312" w:hint="eastAsia"/>
                <w:color w:themeColor="text1" w:val="000000"/>
                <w:sz w:val="20"/>
                <w:szCs w:val="20"/>
                <w:highlight w:val="none"/>
                <w14:textFill>
                  <w14:solidFill>
                    <w14:schemeClr w14:val="tx1"/>
                  </w14:solidFill>
                </w14:textFill>
              </w:rPr>
              <w:t>年以上；</w:t>
            </w:r>
          </w:p>
          <w:p w14:paraId="65054DC6">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对理财产品投资信息和相关资料承担保密责任，除法律、行政法规、规章规定、审计要求或者合同约定外，不得向任何机构或者个人提供相关信息和资料；</w:t>
            </w:r>
          </w:p>
          <w:p w14:paraId="759E0F88">
            <w:pPr>
              <w:pStyle w:val="20"/>
              <w:numPr>
                <w:ilvl w:val="0"/>
                <w:numId w:val="5"/>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国务院银行业监督管理机构规定的其他职责。</w:t>
            </w:r>
          </w:p>
        </w:tc>
      </w:tr>
      <w:tr w14:paraId="3191A575">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15AE062F">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理财托管</w:t>
            </w:r>
            <w:r>
              <w:rPr>
                <w:rFonts w:ascii="Times New Roman" w:cs="楷体_GB2312" w:eastAsia="楷体_GB2312"/>
                <w:color w:themeColor="text1" w:val="000000"/>
                <w:sz w:val="20"/>
                <w:szCs w:val="20"/>
                <w:highlight w:val="none"/>
                <w14:textFill>
                  <w14:solidFill>
                    <w14:schemeClr w14:val="tx1"/>
                  </w14:solidFill>
                </w14:textFill>
              </w:rPr>
              <w:t>账户</w:t>
            </w:r>
          </w:p>
        </w:tc>
        <w:tc>
          <w:tcPr>
            <w:tcW w:type="pct" w:w="3709"/>
            <w:vAlign w:val="center"/>
          </w:tcPr>
          <w:p w14:paraId="382C2B1E">
            <w:pPr>
              <w:spacing w:line="300" w:lineRule="exact"/>
              <w:ind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w:t>
            </w:r>
            <w:r>
              <w:rPr>
                <w:rFonts w:ascii="楷体_GB2312" w:cs="楷体_GB2312" w:eastAsia="楷体_GB2312" w:hint="eastAsia"/>
                <w:color w:themeColor="text1" w:val="000000"/>
                <w:sz w:val="20"/>
                <w:szCs w:val="20"/>
                <w:highlight w:val="none"/>
                <w14:textFill>
                  <w14:solidFill>
                    <w14:schemeClr w14:val="tx1"/>
                  </w14:solidFill>
                </w14:textFill>
              </w:rPr>
              <w:t>管理人为理财产品资金管理之目的，以理财产品的名义在托管人处单独开立资金账户，理财产品资金的一切收支活动，包括但不限于接收募集资金、划付对外投资资金、缴纳理财产品税费、接收理财产品回收资金、支付理财产品费用以及向投资者划付理财产品分配款项，均通过该账户进行。</w:t>
            </w:r>
          </w:p>
        </w:tc>
      </w:tr>
      <w:tr w14:paraId="4B732241">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CC53874">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投资者</w:t>
            </w:r>
            <w:r>
              <w:rPr>
                <w:rFonts w:ascii="Times New Roman" w:cs="楷体_GB2312" w:eastAsia="楷体_GB2312"/>
                <w:color w:themeColor="text1" w:val="000000"/>
                <w:sz w:val="20"/>
                <w:szCs w:val="20"/>
                <w:highlight w:val="none"/>
                <w14:textFill>
                  <w14:solidFill>
                    <w14:schemeClr w14:val="tx1"/>
                  </w14:solidFill>
                </w14:textFill>
              </w:rPr>
              <w:t>账户</w:t>
            </w:r>
          </w:p>
        </w:tc>
        <w:tc>
          <w:tcPr>
            <w:tcW w:type="pct" w:w="3709"/>
            <w:vAlign w:val="center"/>
          </w:tcPr>
          <w:p w14:paraId="5031BE54">
            <w:pPr>
              <w:pStyle w:val="20"/>
              <w:spacing w:line="300" w:lineRule="exact"/>
              <w:ind w:firstLine="0"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投资者认购或申购（如有）理财</w:t>
            </w:r>
            <w:r>
              <w:rPr>
                <w:rFonts w:ascii="楷体_GB2312" w:cs="楷体_GB2312" w:eastAsia="楷体_GB2312"/>
                <w:color w:themeColor="text1" w:val="000000"/>
                <w:sz w:val="20"/>
                <w:szCs w:val="20"/>
                <w:highlight w:val="none"/>
                <w14:textFill>
                  <w14:solidFill>
                    <w14:schemeClr w14:val="tx1"/>
                  </w14:solidFill>
                </w14:textFill>
              </w:rPr>
              <w:t>产品</w:t>
            </w:r>
            <w:r>
              <w:rPr>
                <w:rFonts w:ascii="楷体_GB2312" w:cs="楷体_GB2312" w:eastAsia="楷体_GB2312" w:hint="eastAsia"/>
                <w:color w:themeColor="text1" w:val="000000"/>
                <w:sz w:val="20"/>
                <w:szCs w:val="20"/>
                <w:highlight w:val="none"/>
                <w14:textFill>
                  <w14:solidFill>
                    <w14:schemeClr w14:val="tx1"/>
                  </w14:solidFill>
                </w14:textFill>
              </w:rPr>
              <w:t>的资金划出账户与理财产品到期或期间赎回（如有）接收资金的银行</w:t>
            </w:r>
            <w:r>
              <w:rPr>
                <w:rFonts w:ascii="楷体_GB2312" w:cs="楷体_GB2312" w:eastAsia="楷体_GB2312"/>
                <w:color w:themeColor="text1" w:val="000000"/>
                <w:sz w:val="20"/>
                <w:szCs w:val="20"/>
                <w:highlight w:val="none"/>
                <w14:textFill>
                  <w14:solidFill>
                    <w14:schemeClr w14:val="tx1"/>
                  </w14:solidFill>
                </w14:textFill>
              </w:rPr>
              <w:t>结算</w:t>
            </w:r>
            <w:r>
              <w:rPr>
                <w:rFonts w:ascii="楷体_GB2312" w:cs="楷体_GB2312" w:eastAsia="楷体_GB2312" w:hint="eastAsia"/>
                <w:color w:themeColor="text1" w:val="000000"/>
                <w:sz w:val="20"/>
                <w:szCs w:val="20"/>
                <w:highlight w:val="none"/>
                <w14:textFill>
                  <w14:solidFill>
                    <w14:schemeClr w14:val="tx1"/>
                  </w14:solidFill>
                </w14:textFill>
              </w:rPr>
              <w:t>账户。在本理财产品存续期间，除非经理财</w:t>
            </w:r>
            <w:r>
              <w:rPr>
                <w:rFonts w:ascii="楷体_GB2312" w:cs="楷体_GB2312" w:eastAsia="楷体_GB2312"/>
                <w:color w:themeColor="text1" w:val="000000"/>
                <w:sz w:val="20"/>
                <w:szCs w:val="20"/>
                <w:highlight w:val="none"/>
                <w14:textFill>
                  <w14:solidFill>
                    <w14:schemeClr w14:val="tx1"/>
                  </w14:solidFill>
                </w14:textFill>
              </w:rPr>
              <w:t>产品</w:t>
            </w:r>
            <w:r>
              <w:rPr>
                <w:rFonts w:ascii="楷体_GB2312" w:cs="楷体_GB2312" w:eastAsia="楷体_GB2312" w:hint="eastAsia"/>
                <w:color w:themeColor="text1" w:val="000000"/>
                <w:sz w:val="20"/>
                <w:szCs w:val="20"/>
                <w:highlight w:val="none"/>
                <w14:textFill>
                  <w14:solidFill>
                    <w14:schemeClr w14:val="tx1"/>
                  </w14:solidFill>
                </w14:textFill>
              </w:rPr>
              <w:t>管理人同意，该账户不得变更、注销。如发生投资者账户被有权机关采取司法强制措施的，投资者不得申请对投资者账户予以变更或注销。</w:t>
            </w:r>
          </w:p>
        </w:tc>
      </w:tr>
      <w:tr w14:paraId="16E3016F">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C9168BC">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投资者</w:t>
            </w:r>
            <w:r>
              <w:rPr>
                <w:rFonts w:ascii="Times New Roman" w:cs="楷体_GB2312" w:eastAsia="楷体_GB2312"/>
                <w:color w:themeColor="text1" w:val="000000"/>
                <w:sz w:val="20"/>
                <w:szCs w:val="20"/>
                <w:highlight w:val="none"/>
                <w14:textFill>
                  <w14:solidFill>
                    <w14:schemeClr w14:val="tx1"/>
                  </w14:solidFill>
                </w14:textFill>
              </w:rPr>
              <w:t>理财账户</w:t>
            </w:r>
          </w:p>
        </w:tc>
        <w:tc>
          <w:tcPr>
            <w:tcW w:type="pct" w:w="3709"/>
            <w:vAlign w:val="center"/>
          </w:tcPr>
          <w:p w14:paraId="28841A80">
            <w:pPr>
              <w:pStyle w:val="20"/>
              <w:spacing w:line="300" w:lineRule="exact"/>
              <w:ind w:firstLine="0" w:firstLineChars="0" w:left="2"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为投资者开立的，唯一用于信银理财管理和记录投资者持有信银理财理财产品份额及理财产品份额变化等情况的账户。投资者购买信银理财理财产品的，信银理财将为其开立理财账户。开户需要的信息和要求以信银理财或代销机构营业场所或线上办理要求为准。</w:t>
            </w:r>
          </w:p>
        </w:tc>
      </w:tr>
      <w:tr w14:paraId="5A64D0D4">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37660C98">
            <w:pPr>
              <w:spacing w:line="300" w:lineRule="exact"/>
              <w:ind w:left="-2" w:leftChars="-1" w:right="36" w:rightChars="15"/>
              <w:rPr>
                <w:rFonts w:ascii="Times New Roman"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投资者</w:t>
            </w:r>
            <w:r>
              <w:rPr>
                <w:rFonts w:ascii="Times New Roman" w:cs="楷体_GB2312" w:eastAsia="楷体_GB2312"/>
                <w:color w:themeColor="text1" w:val="000000"/>
                <w:sz w:val="20"/>
                <w:szCs w:val="20"/>
                <w:highlight w:val="none"/>
                <w14:textFill>
                  <w14:solidFill>
                    <w14:schemeClr w14:val="tx1"/>
                  </w14:solidFill>
                </w14:textFill>
              </w:rPr>
              <w:t>理财交易账户</w:t>
            </w:r>
          </w:p>
        </w:tc>
        <w:tc>
          <w:tcPr>
            <w:tcW w:type="pct" w:w="3709"/>
            <w:vAlign w:val="center"/>
          </w:tcPr>
          <w:p w14:paraId="32D4C033">
            <w:pPr>
              <w:pStyle w:val="20"/>
              <w:spacing w:line="300" w:lineRule="exact"/>
              <w:ind w:firstLine="0" w:firstLineChars="0" w:left="2"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销售机构为投资者开立的、记录投资者通过该销售机构办理认购、申购、赎回、转换、转托管及定期定额投资等业务导致理财份额变动及结余情况的账户</w:t>
            </w:r>
            <w:r>
              <w:rPr>
                <w:rFonts w:ascii="楷体_GB2312" w:cs="楷体_GB2312" w:eastAsia="楷体_GB2312"/>
                <w:color w:themeColor="text1" w:val="000000"/>
                <w:sz w:val="20"/>
                <w:szCs w:val="20"/>
                <w:highlight w:val="none"/>
                <w14:textFill>
                  <w14:solidFill>
                    <w14:schemeClr w14:val="tx1"/>
                  </w14:solidFill>
                </w14:textFill>
              </w:rPr>
              <w:t>。具体</w:t>
            </w:r>
            <w:r>
              <w:rPr>
                <w:rFonts w:ascii="楷体_GB2312" w:cs="楷体_GB2312" w:eastAsia="楷体_GB2312" w:hint="eastAsia"/>
                <w:color w:themeColor="text1" w:val="000000"/>
                <w:sz w:val="20"/>
                <w:szCs w:val="20"/>
                <w:highlight w:val="none"/>
                <w14:textFill>
                  <w14:solidFill>
                    <w14:schemeClr w14:val="tx1"/>
                  </w14:solidFill>
                </w14:textFill>
              </w:rPr>
              <w:t>开户</w:t>
            </w:r>
            <w:r>
              <w:rPr>
                <w:rFonts w:ascii="楷体_GB2312" w:cs="楷体_GB2312" w:eastAsia="楷体_GB2312"/>
                <w:color w:themeColor="text1" w:val="000000"/>
                <w:sz w:val="20"/>
                <w:szCs w:val="20"/>
                <w:highlight w:val="none"/>
                <w14:textFill>
                  <w14:solidFill>
                    <w14:schemeClr w14:val="tx1"/>
                  </w14:solidFill>
                </w14:textFill>
              </w:rPr>
              <w:t>流程应</w:t>
            </w:r>
            <w:r>
              <w:rPr>
                <w:rFonts w:ascii="楷体_GB2312" w:cs="楷体_GB2312" w:eastAsia="楷体_GB2312" w:hint="eastAsia"/>
                <w:color w:themeColor="text1" w:val="000000"/>
                <w:sz w:val="20"/>
                <w:szCs w:val="20"/>
                <w:highlight w:val="none"/>
                <w14:textFill>
                  <w14:solidFill>
                    <w14:schemeClr w14:val="tx1"/>
                  </w14:solidFill>
                </w14:textFill>
              </w:rPr>
              <w:t>遵守</w:t>
            </w:r>
            <w:r>
              <w:rPr>
                <w:rFonts w:ascii="楷体_GB2312" w:cs="楷体_GB2312" w:eastAsia="楷体_GB2312"/>
                <w:color w:themeColor="text1" w:val="000000"/>
                <w:sz w:val="20"/>
                <w:szCs w:val="20"/>
                <w:highlight w:val="none"/>
                <w14:textFill>
                  <w14:solidFill>
                    <w14:schemeClr w14:val="tx1"/>
                  </w14:solidFill>
                </w14:textFill>
              </w:rPr>
              <w:t>信银理财或代销机构</w:t>
            </w:r>
            <w:r>
              <w:rPr>
                <w:rFonts w:ascii="楷体_GB2312" w:cs="楷体_GB2312" w:eastAsia="楷体_GB2312" w:hint="eastAsia"/>
                <w:color w:themeColor="text1" w:val="000000"/>
                <w:sz w:val="20"/>
                <w:szCs w:val="20"/>
                <w:highlight w:val="none"/>
                <w14:textFill>
                  <w14:solidFill>
                    <w14:schemeClr w14:val="tx1"/>
                  </w14:solidFill>
                </w14:textFill>
              </w:rPr>
              <w:t>网点</w:t>
            </w:r>
            <w:r>
              <w:rPr>
                <w:rFonts w:ascii="楷体_GB2312" w:cs="楷体_GB2312" w:eastAsia="楷体_GB2312"/>
                <w:color w:themeColor="text1" w:val="000000"/>
                <w:sz w:val="20"/>
                <w:szCs w:val="20"/>
                <w:highlight w:val="none"/>
                <w14:textFill>
                  <w14:solidFill>
                    <w14:schemeClr w14:val="tx1"/>
                  </w14:solidFill>
                </w14:textFill>
              </w:rPr>
              <w:t>或线上办理要求。</w:t>
            </w:r>
          </w:p>
        </w:tc>
      </w:tr>
      <w:tr w14:paraId="79CDDB8C">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361"/>
        </w:trPr>
        <w:tc>
          <w:tcPr>
            <w:tcW w:type="pct" w:w="1290"/>
            <w:vAlign w:val="center"/>
          </w:tcPr>
          <w:p w14:paraId="07F6AE4F">
            <w:pPr>
              <w:spacing w:line="300" w:lineRule="exact"/>
              <w:ind w:left="-2" w:leftChars="-1" w:right="36" w:rightChars="15"/>
              <w:rPr>
                <w:rFonts w:eastAsia="楷体_GB2312"/>
                <w:color w:themeColor="text1" w:val="000000"/>
                <w:sz w:val="20"/>
                <w:szCs w:val="20"/>
                <w:highlight w:val="none"/>
                <w14:textFill>
                  <w14:solidFill>
                    <w14:schemeClr w14:val="tx1"/>
                  </w14:solidFill>
                </w14:textFill>
              </w:rPr>
            </w:pPr>
            <w:r>
              <w:rPr>
                <w:rFonts w:ascii="Times New Roman" w:cs="楷体_GB2312" w:eastAsia="楷体_GB2312" w:hint="eastAsia"/>
                <w:color w:themeColor="text1" w:val="000000"/>
                <w:sz w:val="20"/>
                <w:szCs w:val="20"/>
                <w:highlight w:val="none"/>
                <w14:textFill>
                  <w14:solidFill>
                    <w14:schemeClr w14:val="tx1"/>
                  </w14:solidFill>
                </w14:textFill>
              </w:rPr>
              <w:t>信息披露</w:t>
            </w:r>
          </w:p>
        </w:tc>
        <w:tc>
          <w:tcPr>
            <w:tcW w:type="pct" w:w="3709"/>
            <w:vAlign w:val="center"/>
          </w:tcPr>
          <w:p w14:paraId="27FDFA24">
            <w:pPr>
              <w:pStyle w:val="20"/>
              <w:numPr>
                <w:ilvl w:val="3"/>
                <w:numId w:val="5"/>
              </w:numPr>
              <w:spacing w:line="300" w:lineRule="exact"/>
              <w:ind w:firstLineChars="0" w:hanging="425" w:left="427"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w:t>
            </w:r>
            <w:r>
              <w:rPr>
                <w:rFonts w:ascii="楷体_GB2312" w:cs="楷体_GB2312" w:eastAsia="楷体_GB2312"/>
                <w:color w:themeColor="text1" w:val="000000"/>
                <w:sz w:val="20"/>
                <w:szCs w:val="20"/>
                <w:highlight w:val="none"/>
                <w14:textFill>
                  <w14:solidFill>
                    <w14:schemeClr w14:val="tx1"/>
                  </w14:solidFill>
                </w14:textFill>
              </w:rPr>
              <w:t>将通过【</w:t>
            </w:r>
            <w:r>
              <w:rPr>
                <w:rFonts w:ascii="楷体_GB2312" w:cs="楷体_GB2312" w:eastAsia="楷体_GB2312" w:hint="eastAsia"/>
                <w:color w:themeColor="text1" w:val="000000"/>
                <w:sz w:val="20"/>
                <w:szCs w:val="20"/>
                <w:highlight w:val="none"/>
                <w14:textFill>
                  <w14:solidFill>
                    <w14:schemeClr w14:val="tx1"/>
                  </w14:solidFill>
                </w14:textFill>
              </w:rPr>
              <w:t>信银理财官方网站（</w:t>
            </w:r>
            <w:r>
              <w:rPr>
                <w:highlight w:val="none"/>
              </w:rPr>
              <w:fldChar w:fldCharType="begin"/>
            </w:r>
            <w:r>
              <w:rPr>
                <w:highlight w:val="none"/>
              </w:rPr>
              <w:instrText xml:space="preserve"> HYPERLINK "http://www.citic-wealth.com" </w:instrText>
            </w:r>
            <w:r>
              <w:rPr>
                <w:highlight w:val="none"/>
              </w:rPr>
              <w:fldChar w:fldCharType="separate"/>
            </w:r>
            <w:r>
              <w:rPr>
                <w:rStyle w:val="12"/>
                <w:rFonts w:ascii="楷体_GB2312" w:cs="楷体_GB2312" w:eastAsia="楷体_GB2312"/>
                <w:sz w:val="20"/>
                <w:szCs w:val="20"/>
                <w:highlight w:val="none"/>
              </w:rPr>
              <w:t>http://www.citic-wealth.com</w:t>
            </w:r>
            <w:r>
              <w:rPr>
                <w:rStyle w:val="12"/>
                <w:rFonts w:ascii="楷体_GB2312" w:cs="楷体_GB2312" w:eastAsia="楷体_GB2312"/>
                <w:sz w:val="20"/>
                <w:szCs w:val="20"/>
                <w:highlight w:val="none"/>
              </w:rPr>
              <w:fldChar w:fldCharType="end"/>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披露</w:t>
            </w:r>
            <w:r>
              <w:rPr>
                <w:rFonts w:ascii="楷体_GB2312" w:cs="楷体_GB2312" w:eastAsia="楷体_GB2312"/>
                <w:color w:themeColor="text1" w:val="000000"/>
                <w:sz w:val="20"/>
                <w:szCs w:val="20"/>
                <w:highlight w:val="none"/>
                <w14:textFill>
                  <w14:solidFill>
                    <w14:schemeClr w14:val="tx1"/>
                  </w14:solidFill>
                </w14:textFill>
              </w:rPr>
              <w:t>本理财产品的各类信息</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并按照国家金融监督管理总局</w:t>
            </w:r>
            <w:r>
              <w:rPr>
                <w:rFonts w:ascii="楷体_GB2312" w:cs="楷体_GB2312" w:eastAsia="楷体_GB2312"/>
                <w:color w:themeColor="text1" w:val="000000"/>
                <w:sz w:val="20"/>
                <w:szCs w:val="20"/>
                <w:highlight w:val="none"/>
                <w14:textFill>
                  <w14:solidFill>
                    <w14:schemeClr w14:val="tx1"/>
                  </w14:solidFill>
                </w14:textFill>
              </w:rPr>
              <w:t>规定</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在【中国理财网（www.chinawealth.com.cn）】披露本理财产品的相关信息</w:t>
            </w:r>
            <w:r>
              <w:rPr>
                <w:rFonts w:ascii="楷体_GB2312" w:cs="楷体_GB2312" w:eastAsia="楷体_GB2312"/>
                <w:color w:themeColor="text1" w:val="000000"/>
                <w:sz w:val="20"/>
                <w:szCs w:val="20"/>
                <w:highlight w:val="none"/>
                <w14:textFill>
                  <w14:solidFill>
                    <w14:schemeClr w14:val="tx1"/>
                  </w14:solidFill>
                </w14:textFill>
              </w:rPr>
              <w:t>。</w:t>
            </w:r>
          </w:p>
          <w:p w14:paraId="5811A9BC">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本理财产品存续期间内，因</w:t>
            </w:r>
            <w:r>
              <w:rPr>
                <w:rFonts w:ascii="楷体_GB2312" w:cs="楷体_GB2312" w:eastAsia="楷体_GB2312"/>
                <w:color w:themeColor="text1" w:val="000000"/>
                <w:sz w:val="20"/>
                <w:szCs w:val="20"/>
                <w:highlight w:val="none"/>
                <w14:textFill>
                  <w14:solidFill>
                    <w14:schemeClr w14:val="tx1"/>
                  </w14:solidFill>
                </w14:textFill>
              </w:rPr>
              <w:t>国家法律法规、监管规定发生变化，或是出于维持本产品正常运营需要</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在不损害投资者</w:t>
            </w:r>
            <w:r>
              <w:rPr>
                <w:rFonts w:ascii="楷体_GB2312" w:cs="楷体_GB2312" w:eastAsia="楷体_GB2312" w:hint="eastAsia"/>
                <w:color w:themeColor="text1" w:val="000000"/>
                <w:sz w:val="20"/>
                <w:szCs w:val="20"/>
                <w:highlight w:val="none"/>
                <w14:textFill>
                  <w14:solidFill>
                    <w14:schemeClr w14:val="tx1"/>
                  </w14:solidFill>
                </w14:textFill>
              </w:rPr>
              <w:t>利益</w:t>
            </w:r>
            <w:r>
              <w:rPr>
                <w:rFonts w:ascii="楷体_GB2312" w:cs="楷体_GB2312" w:eastAsia="楷体_GB2312"/>
                <w:color w:themeColor="text1" w:val="000000"/>
                <w:sz w:val="20"/>
                <w:szCs w:val="20"/>
                <w:highlight w:val="none"/>
                <w14:textFill>
                  <w14:solidFill>
                    <w14:schemeClr w14:val="tx1"/>
                  </w14:solidFill>
                </w14:textFill>
              </w:rPr>
              <w:t>的前提下</w:t>
            </w:r>
            <w:r>
              <w:rPr>
                <w:rFonts w:ascii="楷体_GB2312" w:cs="楷体_GB2312" w:eastAsia="楷体_GB2312" w:hint="eastAsia"/>
                <w:color w:themeColor="text1" w:val="000000"/>
                <w:sz w:val="20"/>
                <w:szCs w:val="20"/>
                <w:highlight w:val="none"/>
                <w14:textFill>
                  <w14:solidFill>
                    <w14:schemeClr w14:val="tx1"/>
                  </w14:solidFill>
                </w14:textFill>
              </w:rPr>
              <w:t>，信银理财有权提前【2】个工作日向投资者发出</w:t>
            </w:r>
            <w:r>
              <w:rPr>
                <w:rFonts w:ascii="楷体_GB2312" w:cs="楷体_GB2312" w:eastAsia="楷体_GB2312"/>
                <w:color w:themeColor="text1" w:val="000000"/>
                <w:sz w:val="20"/>
                <w:szCs w:val="20"/>
                <w:highlight w:val="none"/>
                <w14:textFill>
                  <w14:solidFill>
                    <w14:schemeClr w14:val="tx1"/>
                  </w14:solidFill>
                </w14:textFill>
              </w:rPr>
              <w:t>通知</w:t>
            </w:r>
            <w:r>
              <w:rPr>
                <w:rFonts w:ascii="楷体_GB2312" w:cs="楷体_GB2312" w:eastAsia="楷体_GB2312" w:hint="eastAsia"/>
                <w:color w:themeColor="text1" w:val="000000"/>
                <w:sz w:val="20"/>
                <w:szCs w:val="20"/>
                <w:highlight w:val="none"/>
                <w14:textFill>
                  <w14:solidFill>
                    <w14:schemeClr w14:val="tx1"/>
                  </w14:solidFill>
                </w14:textFill>
              </w:rPr>
              <w:t>，以</w:t>
            </w:r>
            <w:r>
              <w:rPr>
                <w:rFonts w:ascii="楷体_GB2312" w:cs="楷体_GB2312" w:eastAsia="楷体_GB2312"/>
                <w:color w:themeColor="text1" w:val="000000"/>
                <w:sz w:val="20"/>
                <w:szCs w:val="20"/>
                <w:highlight w:val="none"/>
                <w14:textFill>
                  <w14:solidFill>
                    <w14:schemeClr w14:val="tx1"/>
                  </w14:solidFill>
                </w14:textFill>
              </w:rPr>
              <w:t>符合监管规定的方式</w:t>
            </w:r>
            <w:r>
              <w:rPr>
                <w:rFonts w:ascii="楷体_GB2312" w:cs="楷体_GB2312" w:eastAsia="楷体_GB2312" w:hint="eastAsia"/>
                <w:color w:themeColor="text1" w:val="000000"/>
                <w:sz w:val="20"/>
                <w:szCs w:val="20"/>
                <w:highlight w:val="none"/>
                <w14:textFill>
                  <w14:solidFill>
                    <w14:schemeClr w14:val="tx1"/>
                  </w14:solidFill>
                </w14:textFill>
              </w:rPr>
              <w:t>对说明书条款进行补充、说明和修改。</w:t>
            </w:r>
          </w:p>
          <w:p w14:paraId="07DBB1E1">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如信银理财</w:t>
            </w:r>
            <w:r>
              <w:rPr>
                <w:rFonts w:ascii="楷体_GB2312" w:cs="楷体_GB2312" w:eastAsia="楷体_GB2312"/>
                <w:color w:themeColor="text1" w:val="000000"/>
                <w:sz w:val="20"/>
                <w:szCs w:val="20"/>
                <w:highlight w:val="none"/>
                <w14:textFill>
                  <w14:solidFill>
                    <w14:schemeClr w14:val="tx1"/>
                  </w14:solidFill>
                </w14:textFill>
              </w:rPr>
              <w:t>决定理财产品不成立，将在决定本理财产品不成立后的【2】</w:t>
            </w:r>
            <w:r>
              <w:rPr>
                <w:rFonts w:ascii="楷体_GB2312" w:cs="楷体_GB2312" w:eastAsia="楷体_GB2312" w:hint="eastAsia"/>
                <w:color w:themeColor="text1" w:val="000000"/>
                <w:sz w:val="20"/>
                <w:szCs w:val="20"/>
                <w:highlight w:val="none"/>
                <w14:textFill>
                  <w14:solidFill>
                    <w14:schemeClr w14:val="tx1"/>
                  </w14:solidFill>
                </w14:textFill>
              </w:rPr>
              <w:t>个</w:t>
            </w:r>
            <w:r>
              <w:rPr>
                <w:rFonts w:ascii="楷体_GB2312" w:cs="楷体_GB2312" w:eastAsia="楷体_GB2312"/>
                <w:color w:themeColor="text1" w:val="000000"/>
                <w:sz w:val="20"/>
                <w:szCs w:val="20"/>
                <w:highlight w:val="none"/>
                <w14:textFill>
                  <w14:solidFill>
                    <w14:schemeClr w14:val="tx1"/>
                  </w14:solidFill>
                </w14:textFill>
              </w:rPr>
              <w:t>工作日</w:t>
            </w:r>
            <w:r>
              <w:rPr>
                <w:rFonts w:ascii="楷体_GB2312" w:cs="楷体_GB2312" w:eastAsia="楷体_GB2312" w:hint="eastAsia"/>
                <w:color w:themeColor="text1" w:val="000000"/>
                <w:sz w:val="20"/>
                <w:szCs w:val="20"/>
                <w:highlight w:val="none"/>
                <w14:textFill>
                  <w14:solidFill>
                    <w14:schemeClr w14:val="tx1"/>
                  </w14:solidFill>
                </w14:textFill>
              </w:rPr>
              <w:t>内向</w:t>
            </w:r>
            <w:r>
              <w:rPr>
                <w:rFonts w:ascii="楷体_GB2312" w:cs="楷体_GB2312" w:eastAsia="楷体_GB2312"/>
                <w:color w:themeColor="text1" w:val="000000"/>
                <w:sz w:val="20"/>
                <w:szCs w:val="20"/>
                <w:highlight w:val="none"/>
                <w14:textFill>
                  <w14:solidFill>
                    <w14:schemeClr w14:val="tx1"/>
                  </w14:solidFill>
                </w14:textFill>
              </w:rPr>
              <w:t>投资者发布信息。</w:t>
            </w:r>
          </w:p>
          <w:p w14:paraId="3A941581">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如信银理财</w:t>
            </w:r>
            <w:r>
              <w:rPr>
                <w:rFonts w:ascii="楷体_GB2312" w:cs="楷体_GB2312" w:eastAsia="楷体_GB2312"/>
                <w:color w:themeColor="text1" w:val="000000"/>
                <w:sz w:val="20"/>
                <w:szCs w:val="20"/>
                <w:highlight w:val="none"/>
                <w14:textFill>
                  <w14:solidFill>
                    <w14:schemeClr w14:val="tx1"/>
                  </w14:solidFill>
                </w14:textFill>
              </w:rPr>
              <w:t>决定提前</w:t>
            </w:r>
            <w:r>
              <w:rPr>
                <w:rFonts w:ascii="楷体_GB2312" w:cs="楷体_GB2312" w:eastAsia="楷体_GB2312" w:hint="eastAsia"/>
                <w:color w:themeColor="text1" w:val="000000"/>
                <w:sz w:val="20"/>
                <w:szCs w:val="20"/>
                <w:highlight w:val="none"/>
                <w14:textFill>
                  <w14:solidFill>
                    <w14:schemeClr w14:val="tx1"/>
                  </w14:solidFill>
                </w14:textFill>
              </w:rPr>
              <w:t>结束募集期或</w:t>
            </w:r>
            <w:r>
              <w:rPr>
                <w:rFonts w:ascii="楷体_GB2312" w:cs="楷体_GB2312" w:eastAsia="楷体_GB2312"/>
                <w:color w:themeColor="text1" w:val="000000"/>
                <w:sz w:val="20"/>
                <w:szCs w:val="20"/>
                <w:highlight w:val="none"/>
                <w14:textFill>
                  <w14:solidFill>
                    <w14:schemeClr w14:val="tx1"/>
                  </w14:solidFill>
                </w14:textFill>
              </w:rPr>
              <w:t>延长募集期</w:t>
            </w:r>
            <w:r>
              <w:rPr>
                <w:rFonts w:ascii="楷体_GB2312" w:cs="楷体_GB2312" w:eastAsia="楷体_GB2312" w:hint="eastAsia"/>
                <w:color w:themeColor="text1" w:val="000000"/>
                <w:sz w:val="20"/>
                <w:szCs w:val="20"/>
                <w:highlight w:val="none"/>
                <w14:textFill>
                  <w14:solidFill>
                    <w14:schemeClr w14:val="tx1"/>
                  </w14:solidFill>
                </w14:textFill>
              </w:rPr>
              <w:t>的，将在</w:t>
            </w:r>
            <w:r>
              <w:rPr>
                <w:rFonts w:ascii="楷体_GB2312" w:cs="楷体_GB2312" w:eastAsia="楷体_GB2312"/>
                <w:color w:themeColor="text1" w:val="000000"/>
                <w:sz w:val="20"/>
                <w:szCs w:val="20"/>
                <w:highlight w:val="none"/>
                <w14:textFill>
                  <w14:solidFill>
                    <w14:schemeClr w14:val="tx1"/>
                  </w14:solidFill>
                </w14:textFill>
              </w:rPr>
              <w:t>决定调整募集期后的【2】</w:t>
            </w:r>
            <w:r>
              <w:rPr>
                <w:rFonts w:ascii="楷体_GB2312" w:cs="楷体_GB2312" w:eastAsia="楷体_GB2312" w:hint="eastAsia"/>
                <w:color w:themeColor="text1" w:val="000000"/>
                <w:sz w:val="20"/>
                <w:szCs w:val="20"/>
                <w:highlight w:val="none"/>
                <w14:textFill>
                  <w14:solidFill>
                    <w14:schemeClr w14:val="tx1"/>
                  </w14:solidFill>
                </w14:textFill>
              </w:rPr>
              <w:t>个</w:t>
            </w:r>
            <w:r>
              <w:rPr>
                <w:rFonts w:ascii="楷体_GB2312" w:cs="楷体_GB2312" w:eastAsia="楷体_GB2312"/>
                <w:color w:themeColor="text1" w:val="000000"/>
                <w:sz w:val="20"/>
                <w:szCs w:val="20"/>
                <w:highlight w:val="none"/>
                <w14:textFill>
                  <w14:solidFill>
                    <w14:schemeClr w14:val="tx1"/>
                  </w14:solidFill>
                </w14:textFill>
              </w:rPr>
              <w:t>工作日内向</w:t>
            </w:r>
            <w:r>
              <w:rPr>
                <w:rFonts w:ascii="楷体_GB2312" w:cs="楷体_GB2312" w:eastAsia="楷体_GB2312" w:hint="eastAsia"/>
                <w:color w:themeColor="text1" w:val="000000"/>
                <w:sz w:val="20"/>
                <w:szCs w:val="20"/>
                <w:highlight w:val="none"/>
                <w14:textFill>
                  <w14:solidFill>
                    <w14:schemeClr w14:val="tx1"/>
                  </w14:solidFill>
                </w14:textFill>
              </w:rPr>
              <w:t>投资者发布</w:t>
            </w:r>
            <w:r>
              <w:rPr>
                <w:rFonts w:ascii="楷体_GB2312" w:cs="楷体_GB2312" w:eastAsia="楷体_GB2312"/>
                <w:color w:themeColor="text1" w:val="000000"/>
                <w:sz w:val="20"/>
                <w:szCs w:val="20"/>
                <w:highlight w:val="none"/>
                <w14:textFill>
                  <w14:solidFill>
                    <w14:schemeClr w14:val="tx1"/>
                  </w14:solidFill>
                </w14:textFill>
              </w:rPr>
              <w:t>相关信息。</w:t>
            </w:r>
          </w:p>
          <w:p w14:paraId="7965FB0F">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信银理财将</w:t>
            </w:r>
            <w:r>
              <w:rPr>
                <w:rFonts w:ascii="楷体_GB2312" w:cs="楷体_GB2312" w:eastAsia="楷体_GB2312"/>
                <w:color w:themeColor="text1" w:val="000000"/>
                <w:sz w:val="20"/>
                <w:szCs w:val="20"/>
                <w:highlight w:val="none"/>
                <w14:textFill>
                  <w14:solidFill>
                    <w14:schemeClr w14:val="tx1"/>
                  </w14:solidFill>
                </w14:textFill>
              </w:rPr>
              <w:t>在本产品成立后【</w:t>
            </w:r>
            <w:r>
              <w:rPr>
                <w:rFonts w:ascii="楷体_GB2312" w:cs="楷体_GB2312" w:eastAsia="楷体_GB2312" w:hint="eastAsia"/>
                <w:color w:themeColor="text1" w:val="000000"/>
                <w:sz w:val="20"/>
                <w:szCs w:val="20"/>
                <w:highlight w:val="none"/>
                <w14:textFill>
                  <w14:solidFill>
                    <w14:schemeClr w14:val="tx1"/>
                  </w14:solidFill>
                </w14:textFill>
              </w:rPr>
              <w:t>5</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个</w:t>
            </w:r>
            <w:r>
              <w:rPr>
                <w:rFonts w:ascii="楷体_GB2312" w:cs="楷体_GB2312" w:eastAsia="楷体_GB2312"/>
                <w:color w:themeColor="text1" w:val="000000"/>
                <w:sz w:val="20"/>
                <w:szCs w:val="20"/>
                <w:highlight w:val="none"/>
                <w14:textFill>
                  <w14:solidFill>
                    <w14:schemeClr w14:val="tx1"/>
                  </w14:solidFill>
                </w14:textFill>
              </w:rPr>
              <w:t>工作</w:t>
            </w:r>
            <w:r>
              <w:rPr>
                <w:rFonts w:ascii="楷体_GB2312" w:cs="楷体_GB2312" w:eastAsia="楷体_GB2312" w:hint="eastAsia"/>
                <w:color w:themeColor="text1" w:val="000000"/>
                <w:sz w:val="20"/>
                <w:szCs w:val="20"/>
                <w:highlight w:val="none"/>
                <w14:textFill>
                  <w14:solidFill>
                    <w14:schemeClr w14:val="tx1"/>
                  </w14:solidFill>
                </w14:textFill>
              </w:rPr>
              <w:t>日</w:t>
            </w:r>
            <w:r>
              <w:rPr>
                <w:rFonts w:ascii="楷体_GB2312" w:cs="楷体_GB2312" w:eastAsia="楷体_GB2312"/>
                <w:color w:themeColor="text1" w:val="000000"/>
                <w:sz w:val="20"/>
                <w:szCs w:val="20"/>
                <w:highlight w:val="none"/>
                <w14:textFill>
                  <w14:solidFill>
                    <w14:schemeClr w14:val="tx1"/>
                  </w14:solidFill>
                </w14:textFill>
              </w:rPr>
              <w:t>内披露发行公告。</w:t>
            </w:r>
          </w:p>
          <w:p w14:paraId="76FC2D2A">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如信银理财决定提前终止本产品，将于提前终止日前【2</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个工作日向投资者发布相关信息。</w:t>
            </w:r>
          </w:p>
          <w:p w14:paraId="237D92F2">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如本产品需延期清算，将于原定到期日前【2</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个工作日内向投资者发布相关信息。</w:t>
            </w:r>
          </w:p>
          <w:p w14:paraId="056B2842">
            <w:pPr>
              <w:pStyle w:val="20"/>
              <w:spacing w:line="300" w:lineRule="exact"/>
              <w:ind w:firstLine="0" w:firstLineChars="0" w:left="36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信银理财将在本产品终止</w:t>
            </w:r>
            <w:r>
              <w:rPr>
                <w:rFonts w:ascii="楷体_GB2312" w:cs="楷体_GB2312" w:eastAsia="楷体_GB2312"/>
                <w:color w:themeColor="text1" w:val="000000"/>
                <w:sz w:val="20"/>
                <w:szCs w:val="20"/>
                <w:highlight w:val="none"/>
                <w14:textFill>
                  <w14:solidFill>
                    <w14:schemeClr w14:val="tx1"/>
                  </w14:solidFill>
                </w14:textFill>
              </w:rPr>
              <w:t>（包括</w:t>
            </w:r>
            <w:r>
              <w:rPr>
                <w:rFonts w:ascii="楷体_GB2312" w:cs="楷体_GB2312" w:eastAsia="楷体_GB2312" w:hint="eastAsia"/>
                <w:color w:themeColor="text1" w:val="000000"/>
                <w:sz w:val="20"/>
                <w:szCs w:val="20"/>
                <w:highlight w:val="none"/>
                <w14:textFill>
                  <w14:solidFill>
                    <w14:schemeClr w14:val="tx1"/>
                  </w14:solidFill>
                </w14:textFill>
              </w:rPr>
              <w:t>到期和</w:t>
            </w:r>
            <w:r>
              <w:rPr>
                <w:rFonts w:ascii="楷体_GB2312" w:cs="楷体_GB2312" w:eastAsia="楷体_GB2312"/>
                <w:color w:themeColor="text1" w:val="000000"/>
                <w:sz w:val="20"/>
                <w:szCs w:val="20"/>
                <w:highlight w:val="none"/>
                <w14:textFill>
                  <w14:solidFill>
                    <w14:schemeClr w14:val="tx1"/>
                  </w14:solidFill>
                </w14:textFill>
              </w:rPr>
              <w:t>提前终止）</w:t>
            </w:r>
            <w:r>
              <w:rPr>
                <w:rFonts w:ascii="楷体_GB2312" w:cs="楷体_GB2312" w:eastAsia="楷体_GB2312" w:hint="eastAsia"/>
                <w:color w:themeColor="text1" w:val="000000"/>
                <w:sz w:val="20"/>
                <w:szCs w:val="20"/>
                <w:highlight w:val="none"/>
                <w14:textFill>
                  <w14:solidFill>
                    <w14:schemeClr w14:val="tx1"/>
                  </w14:solidFill>
                </w14:textFill>
              </w:rPr>
              <w:t>日后【5】个工作日内，向投资者披露</w:t>
            </w:r>
            <w:r>
              <w:rPr>
                <w:rFonts w:ascii="楷体_GB2312" w:cs="楷体_GB2312" w:eastAsia="楷体_GB2312"/>
                <w:color w:themeColor="text1" w:val="000000"/>
                <w:sz w:val="20"/>
                <w:szCs w:val="20"/>
                <w:highlight w:val="none"/>
                <w14:textFill>
                  <w14:solidFill>
                    <w14:schemeClr w14:val="tx1"/>
                  </w14:solidFill>
                </w14:textFill>
              </w:rPr>
              <w:t>到期公告</w:t>
            </w:r>
            <w:r>
              <w:rPr>
                <w:rFonts w:ascii="楷体_GB2312" w:cs="楷体_GB2312" w:eastAsia="楷体_GB2312" w:hint="eastAsia"/>
                <w:color w:themeColor="text1" w:val="000000"/>
                <w:sz w:val="20"/>
                <w:szCs w:val="20"/>
                <w:highlight w:val="none"/>
                <w14:textFill>
                  <w14:solidFill>
                    <w14:schemeClr w14:val="tx1"/>
                  </w14:solidFill>
                </w14:textFill>
              </w:rPr>
              <w:t>，包括</w:t>
            </w:r>
            <w:r>
              <w:rPr>
                <w:rFonts w:ascii="楷体_GB2312" w:cs="楷体_GB2312" w:eastAsia="楷体_GB2312"/>
                <w:color w:themeColor="text1" w:val="000000"/>
                <w:sz w:val="20"/>
                <w:szCs w:val="20"/>
                <w:highlight w:val="none"/>
                <w14:textFill>
                  <w14:solidFill>
                    <w14:schemeClr w14:val="tx1"/>
                  </w14:solidFill>
                </w14:textFill>
              </w:rPr>
              <w:t>到期日产品</w:t>
            </w:r>
            <w:r>
              <w:rPr>
                <w:rFonts w:ascii="楷体_GB2312" w:cs="楷体_GB2312" w:eastAsia="楷体_GB2312" w:hint="eastAsia"/>
                <w:color w:themeColor="text1" w:val="000000"/>
                <w:sz w:val="20"/>
                <w:szCs w:val="20"/>
                <w:highlight w:val="none"/>
                <w14:textFill>
                  <w14:solidFill>
                    <w14:schemeClr w14:val="tx1"/>
                  </w14:solidFill>
                </w14:textFill>
              </w:rPr>
              <w:t>份额</w:t>
            </w:r>
            <w:r>
              <w:rPr>
                <w:rFonts w:ascii="楷体_GB2312" w:cs="楷体_GB2312" w:eastAsia="楷体_GB2312"/>
                <w:color w:themeColor="text1" w:val="000000"/>
                <w:sz w:val="20"/>
                <w:szCs w:val="20"/>
                <w:highlight w:val="none"/>
                <w14:textFill>
                  <w14:solidFill>
                    <w14:schemeClr w14:val="tx1"/>
                  </w14:solidFill>
                </w14:textFill>
              </w:rPr>
              <w:t>单位净值在内的</w:t>
            </w:r>
            <w:r>
              <w:rPr>
                <w:rFonts w:ascii="楷体_GB2312" w:cs="楷体_GB2312" w:eastAsia="楷体_GB2312" w:hint="eastAsia"/>
                <w:color w:themeColor="text1" w:val="000000"/>
                <w:sz w:val="20"/>
                <w:szCs w:val="20"/>
                <w:highlight w:val="none"/>
                <w14:textFill>
                  <w14:solidFill>
                    <w14:schemeClr w14:val="tx1"/>
                  </w14:solidFill>
                </w14:textFill>
              </w:rPr>
              <w:t>到期相关信息。</w:t>
            </w:r>
          </w:p>
          <w:p w14:paraId="23460B1C">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在产品</w:t>
            </w:r>
            <w:r>
              <w:rPr>
                <w:rFonts w:ascii="楷体_GB2312" w:cs="楷体_GB2312" w:eastAsia="楷体_GB2312"/>
                <w:color w:themeColor="text1" w:val="000000"/>
                <w:sz w:val="20"/>
                <w:szCs w:val="20"/>
                <w:highlight w:val="none"/>
                <w14:textFill>
                  <w14:solidFill>
                    <w14:schemeClr w14:val="tx1"/>
                  </w14:solidFill>
                </w14:textFill>
              </w:rPr>
              <w:t>存续期间，</w:t>
            </w:r>
            <w:r>
              <w:rPr>
                <w:rFonts w:ascii="楷体_GB2312" w:cs="楷体_GB2312" w:eastAsia="楷体_GB2312" w:hint="eastAsia"/>
                <w:color w:themeColor="text1" w:val="000000"/>
                <w:sz w:val="20"/>
                <w:szCs w:val="20"/>
                <w:highlight w:val="none"/>
                <w14:textFill>
                  <w14:solidFill>
                    <w14:schemeClr w14:val="tx1"/>
                  </w14:solidFill>
                </w14:textFill>
              </w:rPr>
              <w:t>信银理财根据</w:t>
            </w:r>
            <w:r>
              <w:rPr>
                <w:rFonts w:ascii="楷体_GB2312" w:cs="楷体_GB2312" w:eastAsia="楷体_GB2312"/>
                <w:color w:themeColor="text1" w:val="000000"/>
                <w:sz w:val="20"/>
                <w:szCs w:val="20"/>
                <w:highlight w:val="none"/>
                <w14:textFill>
                  <w14:solidFill>
                    <w14:schemeClr w14:val="tx1"/>
                  </w14:solidFill>
                </w14:textFill>
              </w:rPr>
              <w:t>市场情况对投资范围、投资品种或投资比例进行调整</w:t>
            </w:r>
            <w:r>
              <w:rPr>
                <w:rFonts w:ascii="楷体_GB2312" w:cs="楷体_GB2312" w:eastAsia="楷体_GB2312" w:hint="eastAsia"/>
                <w:color w:themeColor="text1" w:val="000000"/>
                <w:sz w:val="20"/>
                <w:szCs w:val="20"/>
                <w:highlight w:val="none"/>
                <w14:textFill>
                  <w14:solidFill>
                    <w14:schemeClr w14:val="tx1"/>
                  </w14:solidFill>
                </w14:textFill>
              </w:rPr>
              <w:t>的</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将</w:t>
            </w:r>
            <w:r>
              <w:rPr>
                <w:rFonts w:ascii="楷体_GB2312" w:cs="楷体_GB2312" w:eastAsia="楷体_GB2312"/>
                <w:color w:themeColor="text1" w:val="000000"/>
                <w:sz w:val="20"/>
                <w:szCs w:val="20"/>
                <w:highlight w:val="none"/>
                <w14:textFill>
                  <w14:solidFill>
                    <w14:schemeClr w14:val="tx1"/>
                  </w14:solidFill>
                </w14:textFill>
              </w:rPr>
              <w:t>提前【2】个工作日告知</w:t>
            </w:r>
            <w:r>
              <w:rPr>
                <w:rFonts w:ascii="楷体_GB2312" w:cs="楷体_GB2312" w:eastAsia="楷体_GB2312" w:hint="eastAsia"/>
                <w:color w:themeColor="text1" w:val="000000"/>
                <w:sz w:val="20"/>
                <w:szCs w:val="20"/>
                <w:highlight w:val="none"/>
                <w14:textFill>
                  <w14:solidFill>
                    <w14:schemeClr w14:val="tx1"/>
                  </w14:solidFill>
                </w14:textFill>
              </w:rPr>
              <w:t>投资者</w:t>
            </w:r>
            <w:r>
              <w:rPr>
                <w:rFonts w:ascii="楷体_GB2312" w:cs="楷体_GB2312" w:eastAsia="楷体_GB2312"/>
                <w:color w:themeColor="text1" w:val="000000"/>
                <w:sz w:val="20"/>
                <w:szCs w:val="20"/>
                <w:highlight w:val="none"/>
                <w14:textFill>
                  <w14:solidFill>
                    <w14:schemeClr w14:val="tx1"/>
                  </w14:solidFill>
                </w14:textFill>
              </w:rPr>
              <w:t>。</w:t>
            </w:r>
          </w:p>
          <w:p w14:paraId="79FB8F9D">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如因法律法规、规范性文件的规定或市场变化等原因，信银理财确需调整本产品说明书项下收费标准的，应在变更</w:t>
            </w:r>
            <w:r>
              <w:rPr>
                <w:rFonts w:ascii="楷体_GB2312" w:eastAsia="楷体_GB2312"/>
                <w:color w:themeColor="text1" w:val="000000"/>
                <w:sz w:val="20"/>
                <w:szCs w:val="20"/>
                <w:highlight w:val="none"/>
                <w14:textFill>
                  <w14:solidFill>
                    <w14:schemeClr w14:val="tx1"/>
                  </w14:solidFill>
                </w14:textFill>
              </w:rPr>
              <w:t>生效前</w:t>
            </w:r>
            <w:r>
              <w:rPr>
                <w:rFonts w:ascii="楷体_GB2312" w:eastAsia="楷体_GB2312" w:hint="eastAsia"/>
                <w:color w:themeColor="text1" w:val="000000"/>
                <w:sz w:val="20"/>
                <w:szCs w:val="20"/>
                <w:highlight w:val="none"/>
                <w14:textFill>
                  <w14:solidFill>
                    <w14:schemeClr w14:val="tx1"/>
                  </w14:solidFill>
                </w14:textFill>
              </w:rPr>
              <w:t>【2</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个</w:t>
            </w:r>
            <w:r>
              <w:rPr>
                <w:rFonts w:ascii="楷体_GB2312" w:eastAsia="楷体_GB2312"/>
                <w:color w:themeColor="text1" w:val="000000"/>
                <w:sz w:val="20"/>
                <w:szCs w:val="20"/>
                <w:highlight w:val="none"/>
                <w14:textFill>
                  <w14:solidFill>
                    <w14:schemeClr w14:val="tx1"/>
                  </w14:solidFill>
                </w14:textFill>
              </w:rPr>
              <w:t>工作日</w:t>
            </w:r>
            <w:r>
              <w:rPr>
                <w:rFonts w:ascii="楷体_GB2312" w:eastAsia="楷体_GB2312" w:hint="eastAsia"/>
                <w:color w:themeColor="text1" w:val="000000"/>
                <w:sz w:val="20"/>
                <w:szCs w:val="20"/>
                <w:highlight w:val="none"/>
                <w14:textFill>
                  <w14:solidFill>
                    <w14:schemeClr w14:val="tx1"/>
                  </w14:solidFill>
                </w14:textFill>
              </w:rPr>
              <w:t>告知投资者。</w:t>
            </w:r>
          </w:p>
          <w:p w14:paraId="13ECEA48">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本</w:t>
            </w:r>
            <w:r>
              <w:rPr>
                <w:rFonts w:ascii="Times New Roman" w:cs="楷体_GB2312" w:eastAsia="楷体_GB2312" w:hAnsi="Times New Roman"/>
                <w:color w:themeColor="text1" w:val="000000"/>
                <w:sz w:val="20"/>
                <w:szCs w:val="20"/>
                <w:highlight w:val="none"/>
                <w14:textFill>
                  <w14:solidFill>
                    <w14:schemeClr w14:val="tx1"/>
                  </w14:solidFill>
                </w14:textFill>
              </w:rPr>
              <w:t>产品存续</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期间</w:t>
            </w:r>
            <w:r>
              <w:rPr>
                <w:rFonts w:ascii="Times New Roman" w:cs="楷体_GB2312" w:eastAsia="楷体_GB2312" w:hAnsi="Times New Roman"/>
                <w:color w:themeColor="text1" w:val="000000"/>
                <w:sz w:val="20"/>
                <w:szCs w:val="20"/>
                <w:highlight w:val="none"/>
                <w14:textFill>
                  <w14:solidFill>
                    <w14:schemeClr w14:val="tx1"/>
                  </w14:solidFill>
                </w14:textFill>
              </w:rPr>
              <w:t>，</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如</w:t>
            </w:r>
            <w:r>
              <w:rPr>
                <w:rFonts w:ascii="Times New Roman" w:cs="楷体_GB2312" w:eastAsia="楷体_GB2312" w:hAnsi="Times New Roman"/>
                <w:color w:themeColor="text1" w:val="000000"/>
                <w:sz w:val="20"/>
                <w:szCs w:val="20"/>
                <w:highlight w:val="none"/>
                <w14:textFill>
                  <w14:solidFill>
                    <w14:schemeClr w14:val="tx1"/>
                  </w14:solidFill>
                </w14:textFill>
              </w:rPr>
              <w:t>因市场</w:t>
            </w:r>
            <w:r>
              <w:rPr>
                <w:rFonts w:ascii="Times New Roman" w:cs="楷体_GB2312" w:eastAsia="楷体_GB2312" w:hAnsi="Times New Roman" w:hint="eastAsia"/>
                <w:color w:themeColor="text1" w:val="000000"/>
                <w:sz w:val="20"/>
                <w:szCs w:val="20"/>
                <w:highlight w:val="none"/>
                <w14:textFill>
                  <w14:solidFill>
                    <w14:schemeClr w14:val="tx1"/>
                  </w14:solidFill>
                </w14:textFill>
              </w:rPr>
              <w:t>重大</w:t>
            </w:r>
            <w:r>
              <w:rPr>
                <w:rFonts w:ascii="Times New Roman" w:cs="楷体_GB2312" w:eastAsia="楷体_GB2312" w:hAnsi="Times New Roman"/>
                <w:color w:themeColor="text1" w:val="000000"/>
                <w:sz w:val="20"/>
                <w:szCs w:val="20"/>
                <w:highlight w:val="none"/>
                <w14:textFill>
                  <w14:solidFill>
                    <w14:schemeClr w14:val="tx1"/>
                  </w14:solidFill>
                </w14:textFill>
              </w:rPr>
              <w:t>变化导致投资比例暂时超出</w:t>
            </w:r>
            <w:r>
              <w:rPr>
                <w:rFonts w:ascii="Times New Roman" w:cs="楷体_GB2312" w:eastAsia="楷体_GB2312" w:hAnsi="Times New Roman" w:hint="eastAsia"/>
                <w:color w:themeColor="text1" w:val="000000"/>
                <w:sz w:val="20"/>
                <w:szCs w:val="20"/>
                <w:highlight w:val="none"/>
                <w14:textFill>
                  <w14:solidFill>
                    <w14:schemeClr w14:val="tx1"/>
                  </w14:solidFill>
                </w14:textFill>
              </w:rPr>
              <w:t>本</w:t>
            </w:r>
            <w:r>
              <w:rPr>
                <w:rFonts w:ascii="Times New Roman" w:cs="楷体_GB2312" w:eastAsia="楷体_GB2312" w:hAnsi="Times New Roman"/>
                <w:color w:themeColor="text1" w:val="000000"/>
                <w:sz w:val="20"/>
                <w:szCs w:val="20"/>
                <w:highlight w:val="none"/>
                <w14:textFill>
                  <w14:solidFill>
                    <w14:schemeClr w14:val="tx1"/>
                  </w14:solidFill>
                </w14:textFill>
              </w:rPr>
              <w:t>说明书约定的投资比例区间</w:t>
            </w:r>
            <w:r>
              <w:rPr>
                <w:rFonts w:ascii="Times New Roman" w:cs="楷体_GB2312" w:eastAsia="楷体_GB2312" w:hAnsi="Times New Roman" w:hint="eastAsia"/>
                <w:color w:themeColor="text1" w:val="000000"/>
                <w:sz w:val="20"/>
                <w:szCs w:val="20"/>
                <w:highlight w:val="none"/>
                <w14:textFill>
                  <w14:solidFill>
                    <w14:schemeClr w14:val="tx1"/>
                  </w14:solidFill>
                </w14:textFill>
              </w:rPr>
              <w:t>且</w:t>
            </w:r>
            <w:r>
              <w:rPr>
                <w:rFonts w:ascii="Times New Roman" w:cs="楷体_GB2312" w:eastAsia="楷体_GB2312" w:hAnsi="Times New Roman"/>
                <w:color w:themeColor="text1" w:val="000000"/>
                <w:sz w:val="20"/>
                <w:szCs w:val="20"/>
                <w:highlight w:val="none"/>
                <w14:textFill>
                  <w14:solidFill>
                    <w14:schemeClr w14:val="tx1"/>
                  </w14:solidFill>
                </w14:textFill>
              </w:rPr>
              <w:t>可能对理财产品收益产生重大影响的，</w:t>
            </w:r>
            <w:r>
              <w:rPr>
                <w:rFonts w:ascii="Times New Roman" w:cs="楷体_GB2312" w:eastAsia="楷体_GB2312" w:hAnsi="Times New Roman" w:hint="eastAsia"/>
                <w:color w:themeColor="text1" w:val="000000"/>
                <w:sz w:val="20"/>
                <w:szCs w:val="20"/>
                <w:highlight w:val="none"/>
                <w14:textFill>
                  <w14:solidFill>
                    <w14:schemeClr w14:val="tx1"/>
                  </w14:solidFill>
                </w14:textFill>
              </w:rPr>
              <w:t>信银理财</w:t>
            </w:r>
            <w:r>
              <w:rPr>
                <w:rFonts w:ascii="Times New Roman" w:cs="楷体_GB2312" w:eastAsia="楷体_GB2312" w:hAnsi="Times New Roman"/>
                <w:color w:themeColor="text1" w:val="000000"/>
                <w:sz w:val="20"/>
                <w:szCs w:val="20"/>
                <w:highlight w:val="none"/>
                <w14:textFill>
                  <w14:solidFill>
                    <w14:schemeClr w14:val="tx1"/>
                  </w14:solidFill>
                </w14:textFill>
              </w:rPr>
              <w:t>将</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在【</w:t>
            </w:r>
            <w:r>
              <w:rPr>
                <w:rFonts w:ascii="Times New Roman" w:cs="楷体_GB2312" w:eastAsia="楷体_GB2312" w:hAnsi="Times New Roman" w:hint="eastAsia"/>
                <w:color w:themeColor="text1" w:val="000000"/>
                <w:sz w:val="20"/>
                <w:szCs w:val="20"/>
                <w:highlight w:val="none"/>
                <w:lang w:eastAsia="zh-CN" w:val="en-US"/>
                <w14:textFill>
                  <w14:solidFill>
                    <w14:schemeClr w14:val="tx1"/>
                  </w14:solidFill>
                </w14:textFill>
              </w:rPr>
              <w:t>5</w:t>
            </w:r>
            <w:r>
              <w:rPr>
                <w:rFonts w:ascii="Times New Roman" w:cs="楷体_GB2312" w:eastAsia="楷体_GB2312" w:hAnsi="Times New Roman" w:hint="eastAsia"/>
                <w:color w:themeColor="text1" w:val="000000"/>
                <w:sz w:val="20"/>
                <w:szCs w:val="20"/>
                <w:highlight w:val="none"/>
                <w14:textFill>
                  <w14:solidFill>
                    <w14:schemeClr w14:val="tx1"/>
                  </w14:solidFill>
                </w14:textFill>
              </w:rPr>
              <w:t>】个</w:t>
            </w:r>
            <w:r>
              <w:rPr>
                <w:rFonts w:ascii="Times New Roman" w:cs="楷体_GB2312" w:eastAsia="楷体_GB2312" w:hAnsi="Times New Roman"/>
                <w:color w:themeColor="text1" w:val="000000"/>
                <w:sz w:val="20"/>
                <w:szCs w:val="20"/>
                <w:highlight w:val="none"/>
                <w14:textFill>
                  <w14:solidFill>
                    <w14:schemeClr w14:val="tx1"/>
                  </w14:solidFill>
                </w14:textFill>
              </w:rPr>
              <w:t>工作日内</w:t>
            </w:r>
            <w:r>
              <w:rPr>
                <w:rFonts w:ascii="Times New Roman" w:cs="楷体_GB2312" w:eastAsia="楷体_GB2312" w:hAnsi="Times New Roman" w:hint="eastAsia"/>
                <w:color w:themeColor="text1" w:val="000000"/>
                <w:sz w:val="20"/>
                <w:szCs w:val="20"/>
                <w:highlight w:val="none"/>
                <w14:textFill>
                  <w14:solidFill>
                    <w14:schemeClr w14:val="tx1"/>
                  </w14:solidFill>
                </w14:textFill>
              </w:rPr>
              <w:t>告知投资者</w:t>
            </w:r>
            <w:r>
              <w:rPr>
                <w:rFonts w:ascii="Times New Roman" w:cs="楷体_GB2312" w:eastAsia="楷体_GB2312" w:hAnsi="Times New Roman"/>
                <w:color w:themeColor="text1" w:val="000000"/>
                <w:sz w:val="20"/>
                <w:szCs w:val="20"/>
                <w:highlight w:val="none"/>
                <w14:textFill>
                  <w14:solidFill>
                    <w14:schemeClr w14:val="tx1"/>
                  </w14:solidFill>
                </w14:textFill>
              </w:rPr>
              <w:t>。</w:t>
            </w:r>
          </w:p>
          <w:p w14:paraId="13C3E740">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Times New Roman" w:cs="楷体_GB2312" w:eastAsia="楷体_GB2312" w:hAnsi="Times New Roman" w:hint="eastAsia"/>
                <w:color w:themeColor="text1" w:val="000000"/>
                <w:sz w:val="20"/>
                <w:szCs w:val="20"/>
                <w:highlight w:val="none"/>
                <w14:textFill>
                  <w14:solidFill>
                    <w14:schemeClr w14:val="tx1"/>
                  </w14:solidFill>
                </w14:textFill>
              </w:rPr>
              <w:t>本产品存续期间，信银理财每【月】向投资者提供本产品的理财产品账单，投资者可以通过信银理财营业网点等渠道进行查询，也可致电信银理财客户服务热线咨询。投资者通过合作销售机构购买本产品的，可以通过合作销售机构的手机银行、网上银行、营业网点等渠道进行查询，具体查询方式以代销机构规则为准。产品账单内容包括但不限于投资者持有本产品份额、认购金额、份额净值、份额累计净值、净资产、收益情况、投资者理财交易账户发生的交易明细记录等</w:t>
            </w:r>
            <w:r>
              <w:rPr>
                <w:rFonts w:ascii="Times New Roman" w:cs="楷体_GB2312" w:eastAsia="楷体_GB2312" w:hAnsi="Times New Roman"/>
                <w:color w:themeColor="text1" w:val="000000"/>
                <w:sz w:val="20"/>
                <w:szCs w:val="20"/>
                <w:highlight w:val="none"/>
                <w14:textFill>
                  <w14:solidFill>
                    <w14:schemeClr w14:val="tx1"/>
                  </w14:solidFill>
                </w14:textFill>
              </w:rPr>
              <w:t>。</w:t>
            </w:r>
          </w:p>
          <w:p w14:paraId="52D47665">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w:t>
            </w:r>
            <w:r>
              <w:rPr>
                <w:rFonts w:ascii="楷体_GB2312" w:cs="楷体_GB2312" w:eastAsia="楷体_GB2312"/>
                <w:color w:themeColor="text1" w:val="000000"/>
                <w:sz w:val="20"/>
                <w:szCs w:val="20"/>
                <w:highlight w:val="none"/>
                <w14:textFill>
                  <w14:solidFill>
                    <w14:schemeClr w14:val="tx1"/>
                  </w14:solidFill>
                </w14:textFill>
              </w:rPr>
              <w:t>产品存续期间，</w:t>
            </w:r>
            <w:r>
              <w:rPr>
                <w:rFonts w:ascii="楷体_GB2312" w:cs="楷体_GB2312" w:eastAsia="楷体_GB2312" w:hint="eastAsia"/>
                <w:color w:themeColor="text1" w:val="000000"/>
                <w:sz w:val="20"/>
                <w:szCs w:val="20"/>
                <w:highlight w:val="none"/>
                <w14:textFill>
                  <w14:solidFill>
                    <w14:schemeClr w14:val="tx1"/>
                  </w14:solidFill>
                </w14:textFill>
              </w:rPr>
              <w:t>信银理财</w:t>
            </w:r>
            <w:r>
              <w:rPr>
                <w:rFonts w:ascii="楷体_GB2312" w:cs="楷体_GB2312" w:eastAsia="楷体_GB2312"/>
                <w:color w:themeColor="text1" w:val="000000"/>
                <w:sz w:val="20"/>
                <w:szCs w:val="20"/>
                <w:highlight w:val="none"/>
                <w14:textFill>
                  <w14:solidFill>
                    <w14:schemeClr w14:val="tx1"/>
                  </w14:solidFill>
                </w14:textFill>
              </w:rPr>
              <w:t>将向投资者</w:t>
            </w:r>
            <w:r>
              <w:rPr>
                <w:rFonts w:ascii="楷体_GB2312" w:cs="楷体_GB2312" w:eastAsia="楷体_GB2312" w:hint="eastAsia"/>
                <w:color w:themeColor="text1" w:val="000000"/>
                <w:sz w:val="20"/>
                <w:szCs w:val="20"/>
                <w:highlight w:val="none"/>
                <w14:textFill>
                  <w14:solidFill>
                    <w14:schemeClr w14:val="tx1"/>
                  </w14:solidFill>
                </w14:textFill>
              </w:rPr>
              <w:t>发布</w:t>
            </w:r>
            <w:r>
              <w:rPr>
                <w:rFonts w:ascii="楷体_GB2312" w:cs="楷体_GB2312" w:eastAsia="楷体_GB2312"/>
                <w:color w:themeColor="text1" w:val="000000"/>
                <w:sz w:val="20"/>
                <w:szCs w:val="20"/>
                <w:highlight w:val="none"/>
                <w14:textFill>
                  <w14:solidFill>
                    <w14:schemeClr w14:val="tx1"/>
                  </w14:solidFill>
                </w14:textFill>
              </w:rPr>
              <w:t>定期报告，</w:t>
            </w:r>
            <w:r>
              <w:rPr>
                <w:rFonts w:ascii="楷体_GB2312" w:cs="楷体_GB2312" w:eastAsia="楷体_GB2312" w:hint="eastAsia"/>
                <w:color w:themeColor="text1" w:val="000000"/>
                <w:sz w:val="20"/>
                <w:szCs w:val="20"/>
                <w:highlight w:val="none"/>
                <w14:textFill>
                  <w14:solidFill>
                    <w14:schemeClr w14:val="tx1"/>
                  </w14:solidFill>
                </w14:textFill>
              </w:rPr>
              <w:t>包括</w:t>
            </w:r>
            <w:r>
              <w:rPr>
                <w:rFonts w:ascii="楷体_GB2312" w:cs="楷体_GB2312" w:eastAsia="楷体_GB2312"/>
                <w:color w:themeColor="text1" w:val="000000"/>
                <w:sz w:val="20"/>
                <w:szCs w:val="20"/>
                <w:highlight w:val="none"/>
                <w14:textFill>
                  <w14:solidFill>
                    <w14:schemeClr w14:val="tx1"/>
                  </w14:solidFill>
                </w14:textFill>
              </w:rPr>
              <w:t>但不限于季度、半年和年度报告。</w:t>
            </w:r>
            <w:r>
              <w:rPr>
                <w:rFonts w:ascii="楷体_GB2312" w:cs="楷体_GB2312" w:eastAsia="楷体_GB2312" w:hint="eastAsia"/>
                <w:color w:themeColor="text1" w:val="000000"/>
                <w:sz w:val="20"/>
                <w:szCs w:val="20"/>
                <w:highlight w:val="none"/>
                <w14:textFill>
                  <w14:solidFill>
                    <w14:schemeClr w14:val="tx1"/>
                  </w14:solidFill>
                </w14:textFill>
              </w:rPr>
              <w:t>管理人</w:t>
            </w:r>
            <w:r>
              <w:rPr>
                <w:rFonts w:ascii="楷体_GB2312" w:cs="楷体_GB2312" w:eastAsia="楷体_GB2312"/>
                <w:color w:themeColor="text1" w:val="000000"/>
                <w:sz w:val="20"/>
                <w:szCs w:val="20"/>
                <w:highlight w:val="none"/>
                <w14:textFill>
                  <w14:solidFill>
                    <w14:schemeClr w14:val="tx1"/>
                  </w14:solidFill>
                </w14:textFill>
              </w:rPr>
              <w:t>将在理财产品季度、半年和年度报告中披露理财产品组合资产情况及其流动性风险分析</w:t>
            </w:r>
            <w:r>
              <w:rPr>
                <w:rFonts w:ascii="楷体_GB2312" w:cs="楷体_GB2312" w:eastAsia="楷体_GB2312" w:hint="eastAsia"/>
                <w:color w:themeColor="text1" w:val="000000"/>
                <w:sz w:val="20"/>
                <w:szCs w:val="20"/>
                <w:highlight w:val="none"/>
                <w:lang w:eastAsia="zh-CN"/>
                <w14:textFill>
                  <w14:solidFill>
                    <w14:schemeClr w14:val="tx1"/>
                  </w14:solidFill>
                </w14:textFill>
              </w:rPr>
              <w:t>、投资资产类别和比例</w:t>
            </w:r>
            <w:r>
              <w:rPr>
                <w:rFonts w:ascii="楷体_GB2312" w:cs="楷体_GB2312" w:eastAsia="楷体_GB2312"/>
                <w:color w:themeColor="text1" w:val="000000"/>
                <w:sz w:val="20"/>
                <w:szCs w:val="20"/>
                <w:highlight w:val="none"/>
                <w14:textFill>
                  <w14:solidFill>
                    <w14:schemeClr w14:val="tx1"/>
                  </w14:solidFill>
                </w14:textFill>
              </w:rPr>
              <w:t>等</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理财产品成立不足九十个自然日的，</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管理人</w:t>
            </w:r>
            <w:r>
              <w:rPr>
                <w:rFonts w:ascii="楷体_GB2312" w:cs="楷体_GB2312" w:eastAsia="楷体_GB2312" w:hint="eastAsia"/>
                <w:color w:themeColor="text1" w:val="000000"/>
                <w:sz w:val="20"/>
                <w:szCs w:val="20"/>
                <w:highlight w:val="none"/>
                <w14:textFill>
                  <w14:solidFill>
                    <w14:schemeClr w14:val="tx1"/>
                  </w14:solidFill>
                </w14:textFill>
              </w:rPr>
              <w:t>可以不编制当期的季度、半年和年度报告。</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理财产品期限超过九十个自然日的，管理人将在存续期内至少披露一次定期报告。理财产品剩余存续期不足完整报告期，且到期公告包括对应定期报告内容的，可以不编制剩余存续期所对应的季度、半年和年度报告。</w:t>
            </w:r>
          </w:p>
          <w:p w14:paraId="10EC2279">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在</w:t>
            </w:r>
            <w:r>
              <w:rPr>
                <w:rFonts w:ascii="楷体_GB2312" w:cs="楷体_GB2312" w:eastAsia="楷体_GB2312"/>
                <w:color w:themeColor="text1" w:val="000000"/>
                <w:sz w:val="20"/>
                <w:szCs w:val="20"/>
                <w:highlight w:val="none"/>
                <w14:textFill>
                  <w14:solidFill>
                    <w14:schemeClr w14:val="tx1"/>
                  </w14:solidFill>
                </w14:textFill>
              </w:rPr>
              <w:t>本理财产品存续期间</w:t>
            </w:r>
            <w:r>
              <w:rPr>
                <w:rFonts w:ascii="楷体_GB2312" w:cs="楷体_GB2312" w:eastAsia="楷体_GB2312" w:hint="eastAsia"/>
                <w:color w:themeColor="text1" w:val="000000"/>
                <w:sz w:val="20"/>
                <w:szCs w:val="20"/>
                <w:highlight w:val="none"/>
                <w14:textFill>
                  <w14:solidFill>
                    <w14:schemeClr w14:val="tx1"/>
                  </w14:solidFill>
                </w14:textFill>
              </w:rPr>
              <w:t>信银理财</w:t>
            </w:r>
            <w:r>
              <w:rPr>
                <w:rFonts w:ascii="楷体_GB2312" w:cs="楷体_GB2312" w:eastAsia="楷体_GB2312"/>
                <w:color w:themeColor="text1" w:val="000000"/>
                <w:sz w:val="20"/>
                <w:szCs w:val="20"/>
                <w:highlight w:val="none"/>
                <w14:textFill>
                  <w14:solidFill>
                    <w14:schemeClr w14:val="tx1"/>
                  </w14:solidFill>
                </w14:textFill>
              </w:rPr>
              <w:t>获知</w:t>
            </w:r>
            <w:r>
              <w:rPr>
                <w:rFonts w:ascii="楷体_GB2312" w:cs="楷体_GB2312" w:eastAsia="楷体_GB2312" w:hint="eastAsia"/>
                <w:color w:themeColor="text1" w:val="000000"/>
                <w:sz w:val="20"/>
                <w:szCs w:val="20"/>
                <w:highlight w:val="none"/>
                <w14:textFill>
                  <w14:solidFill>
                    <w14:schemeClr w14:val="tx1"/>
                  </w14:solidFill>
                </w14:textFill>
              </w:rPr>
              <w:t>并</w:t>
            </w:r>
            <w:r>
              <w:rPr>
                <w:rFonts w:ascii="楷体_GB2312" w:cs="楷体_GB2312" w:eastAsia="楷体_GB2312"/>
                <w:color w:themeColor="text1" w:val="000000"/>
                <w:sz w:val="20"/>
                <w:szCs w:val="20"/>
                <w:highlight w:val="none"/>
                <w14:textFill>
                  <w14:solidFill>
                    <w14:schemeClr w14:val="tx1"/>
                  </w14:solidFill>
                </w14:textFill>
              </w:rPr>
              <w:t>经信银理财合理判断认为对</w:t>
            </w:r>
            <w:r>
              <w:rPr>
                <w:rFonts w:ascii="楷体_GB2312" w:cs="楷体_GB2312" w:eastAsia="楷体_GB2312" w:hint="eastAsia"/>
                <w:color w:themeColor="text1" w:val="000000"/>
                <w:sz w:val="20"/>
                <w:szCs w:val="20"/>
                <w:highlight w:val="none"/>
                <w14:textFill>
                  <w14:solidFill>
                    <w14:schemeClr w14:val="tx1"/>
                  </w14:solidFill>
                </w14:textFill>
              </w:rPr>
              <w:t>本</w:t>
            </w:r>
            <w:r>
              <w:rPr>
                <w:rFonts w:ascii="楷体_GB2312" w:cs="楷体_GB2312" w:eastAsia="楷体_GB2312"/>
                <w:color w:themeColor="text1" w:val="000000"/>
                <w:sz w:val="20"/>
                <w:szCs w:val="20"/>
                <w:highlight w:val="none"/>
                <w14:textFill>
                  <w14:solidFill>
                    <w14:schemeClr w14:val="tx1"/>
                  </w14:solidFill>
                </w14:textFill>
              </w:rPr>
              <w:t>产品、投资者权益、投资收益等有重大影响的事件，将</w:t>
            </w:r>
            <w:r>
              <w:rPr>
                <w:rFonts w:ascii="楷体_GB2312" w:cs="楷体_GB2312" w:eastAsia="楷体_GB2312" w:hint="eastAsia"/>
                <w:color w:themeColor="text1" w:val="000000"/>
                <w:sz w:val="20"/>
                <w:szCs w:val="20"/>
                <w:highlight w:val="none"/>
                <w14:textFill>
                  <w14:solidFill>
                    <w14:schemeClr w14:val="tx1"/>
                  </w14:solidFill>
                </w14:textFill>
              </w:rPr>
              <w:t>按照</w:t>
            </w:r>
            <w:r>
              <w:rPr>
                <w:rFonts w:ascii="楷体_GB2312" w:cs="楷体_GB2312" w:eastAsia="楷体_GB2312"/>
                <w:color w:themeColor="text1" w:val="000000"/>
                <w:sz w:val="20"/>
                <w:szCs w:val="20"/>
                <w:highlight w:val="none"/>
                <w14:textFill>
                  <w14:solidFill>
                    <w14:schemeClr w14:val="tx1"/>
                  </w14:solidFill>
                </w14:textFill>
              </w:rPr>
              <w:t>法律法规、监管规定</w:t>
            </w:r>
            <w:r>
              <w:rPr>
                <w:rFonts w:ascii="楷体_GB2312" w:cs="楷体_GB2312" w:eastAsia="楷体_GB2312" w:hint="eastAsia"/>
                <w:color w:themeColor="text1" w:val="000000"/>
                <w:sz w:val="20"/>
                <w:szCs w:val="20"/>
                <w:highlight w:val="none"/>
                <w14:textFill>
                  <w14:solidFill>
                    <w14:schemeClr w14:val="tx1"/>
                  </w14:solidFill>
                </w14:textFill>
              </w:rPr>
              <w:t>及时</w:t>
            </w:r>
            <w:r>
              <w:rPr>
                <w:rFonts w:ascii="楷体_GB2312" w:cs="楷体_GB2312" w:eastAsia="楷体_GB2312"/>
                <w:color w:themeColor="text1" w:val="000000"/>
                <w:sz w:val="20"/>
                <w:szCs w:val="20"/>
                <w:highlight w:val="none"/>
                <w14:textFill>
                  <w14:solidFill>
                    <w14:schemeClr w14:val="tx1"/>
                  </w14:solidFill>
                </w14:textFill>
              </w:rPr>
              <w:t>向投资者发布相关信息。</w:t>
            </w:r>
          </w:p>
          <w:p w14:paraId="7013C41C">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信银理财将</w:t>
            </w:r>
            <w:r>
              <w:rPr>
                <w:rFonts w:ascii="楷体_GB2312" w:cs="楷体_GB2312" w:eastAsia="楷体_GB2312"/>
                <w:color w:themeColor="text1" w:val="000000"/>
                <w:sz w:val="20"/>
                <w:szCs w:val="20"/>
                <w:highlight w:val="none"/>
                <w14:textFill>
                  <w14:solidFill>
                    <w14:schemeClr w14:val="tx1"/>
                  </w14:solidFill>
                </w14:textFill>
              </w:rPr>
              <w:t>至少每周向投资者披露一次本产品的资产净值和份额净值。</w:t>
            </w:r>
          </w:p>
          <w:p w14:paraId="167010BD">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管理人在</w:t>
            </w:r>
            <w:r>
              <w:rPr>
                <w:rFonts w:ascii="楷体_GB2312" w:cs="楷体_GB2312" w:eastAsia="楷体_GB2312"/>
                <w:color w:themeColor="text1" w:val="000000"/>
                <w:sz w:val="20"/>
                <w:szCs w:val="20"/>
                <w:highlight w:val="none"/>
                <w14:textFill>
                  <w14:solidFill>
                    <w14:schemeClr w14:val="tx1"/>
                  </w14:solidFill>
                </w14:textFill>
              </w:rPr>
              <w:t>运用暂停</w:t>
            </w:r>
            <w:r>
              <w:rPr>
                <w:rFonts w:ascii="楷体_GB2312" w:cs="楷体_GB2312" w:eastAsia="楷体_GB2312" w:hint="eastAsia"/>
                <w:color w:themeColor="text1" w:val="000000"/>
                <w:sz w:val="20"/>
                <w:szCs w:val="20"/>
                <w:highlight w:val="none"/>
                <w14:textFill>
                  <w14:solidFill>
                    <w14:schemeClr w14:val="tx1"/>
                  </w14:solidFill>
                </w14:textFill>
              </w:rPr>
              <w:t>或</w:t>
            </w:r>
            <w:r>
              <w:rPr>
                <w:rFonts w:ascii="楷体_GB2312" w:cs="楷体_GB2312" w:eastAsia="楷体_GB2312"/>
                <w:color w:themeColor="text1" w:val="000000"/>
                <w:sz w:val="20"/>
                <w:szCs w:val="20"/>
                <w:highlight w:val="none"/>
                <w14:textFill>
                  <w14:solidFill>
                    <w14:schemeClr w14:val="tx1"/>
                  </w14:solidFill>
                </w14:textFill>
              </w:rPr>
              <w:t>拒绝认</w:t>
            </w:r>
            <w:r>
              <w:rPr>
                <w:rFonts w:ascii="楷体_GB2312" w:cs="楷体_GB2312" w:eastAsia="楷体_GB2312" w:hint="eastAsia"/>
                <w:color w:themeColor="text1" w:val="000000"/>
                <w:sz w:val="20"/>
                <w:szCs w:val="20"/>
                <w:highlight w:val="none"/>
                <w14:textFill>
                  <w14:solidFill>
                    <w14:schemeClr w14:val="tx1"/>
                  </w14:solidFill>
                </w14:textFill>
              </w:rPr>
              <w:t>购</w:t>
            </w:r>
            <w:r>
              <w:rPr>
                <w:rFonts w:ascii="楷体_GB2312" w:cs="楷体_GB2312" w:eastAsia="楷体_GB2312"/>
                <w:color w:themeColor="text1" w:val="000000"/>
                <w:sz w:val="20"/>
                <w:szCs w:val="20"/>
                <w:highlight w:val="none"/>
                <w14:textFill>
                  <w14:solidFill>
                    <w14:schemeClr w14:val="tx1"/>
                  </w14:solidFill>
                </w14:textFill>
              </w:rPr>
              <w:t>申请</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暂停理财产品估值等措施后，</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3</w:t>
            </w: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个交易日内告知投资者，并说明运用相关措施的原因、拟采取的应对安排等。在发生涉及理财产品认购事项调</w:t>
            </w:r>
            <w:r>
              <w:rPr>
                <w:rFonts w:ascii="楷体_GB2312" w:cs="楷体_GB2312" w:eastAsia="楷体_GB2312" w:hint="eastAsia"/>
                <w:color w:themeColor="text1" w:val="000000"/>
                <w:sz w:val="20"/>
                <w:szCs w:val="20"/>
                <w:highlight w:val="none"/>
                <w14:textFill>
                  <w14:solidFill>
                    <w14:schemeClr w14:val="tx1"/>
                  </w14:solidFill>
                </w14:textFill>
              </w:rPr>
              <w:t>整</w:t>
            </w:r>
            <w:r>
              <w:rPr>
                <w:rFonts w:ascii="楷体_GB2312" w:cs="楷体_GB2312" w:eastAsia="楷体_GB2312"/>
                <w:color w:themeColor="text1" w:val="000000"/>
                <w:sz w:val="20"/>
                <w:szCs w:val="20"/>
                <w:highlight w:val="none"/>
                <w14:textFill>
                  <w14:solidFill>
                    <w14:schemeClr w14:val="tx1"/>
                  </w14:solidFill>
                </w14:textFill>
              </w:rPr>
              <w:t>时，及时发布临时公告</w:t>
            </w:r>
            <w:r>
              <w:rPr>
                <w:rFonts w:ascii="楷体_GB2312" w:cs="楷体_GB2312" w:eastAsia="楷体_GB2312" w:hint="eastAsia"/>
                <w:color w:themeColor="text1" w:val="000000"/>
                <w:sz w:val="20"/>
                <w:szCs w:val="20"/>
                <w:highlight w:val="none"/>
                <w14:textFill>
                  <w14:solidFill>
                    <w14:schemeClr w14:val="tx1"/>
                  </w14:solidFill>
                </w14:textFill>
              </w:rPr>
              <w:t>。</w:t>
            </w:r>
          </w:p>
          <w:p w14:paraId="4D7FDA24">
            <w:pPr>
              <w:pStyle w:val="20"/>
              <w:numPr>
                <w:ilvl w:val="0"/>
                <w:numId w:val="6"/>
              </w:numPr>
              <w:spacing w:line="300" w:lineRule="exact"/>
              <w:ind w:firstLineChars="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法律法规、</w:t>
            </w:r>
            <w:r>
              <w:rPr>
                <w:rFonts w:ascii="楷体_GB2312" w:cs="楷体_GB2312" w:eastAsia="楷体_GB2312"/>
                <w:color w:themeColor="text1" w:val="000000"/>
                <w:sz w:val="20"/>
                <w:szCs w:val="20"/>
                <w:highlight w:val="none"/>
                <w14:textFill>
                  <w14:solidFill>
                    <w14:schemeClr w14:val="tx1"/>
                  </w14:solidFill>
                </w14:textFill>
              </w:rPr>
              <w:t>规范性文件、</w:t>
            </w:r>
            <w:r>
              <w:rPr>
                <w:rFonts w:ascii="楷体_GB2312" w:cs="楷体_GB2312" w:eastAsia="楷体_GB2312" w:hint="eastAsia"/>
                <w:color w:themeColor="text1" w:val="000000"/>
                <w:sz w:val="20"/>
                <w:szCs w:val="20"/>
                <w:highlight w:val="none"/>
                <w14:textFill>
                  <w14:solidFill>
                    <w14:schemeClr w14:val="tx1"/>
                  </w14:solidFill>
                </w14:textFill>
              </w:rPr>
              <w:t>监管政策规定或本说明书约定其他应向投资者进行</w:t>
            </w:r>
            <w:r>
              <w:rPr>
                <w:rFonts w:ascii="楷体_GB2312" w:cs="楷体_GB2312" w:eastAsia="楷体_GB2312"/>
                <w:color w:themeColor="text1" w:val="000000"/>
                <w:sz w:val="20"/>
                <w:szCs w:val="20"/>
                <w:highlight w:val="none"/>
                <w14:textFill>
                  <w14:solidFill>
                    <w14:schemeClr w14:val="tx1"/>
                  </w14:solidFill>
                </w14:textFill>
              </w:rPr>
              <w:t>信息</w:t>
            </w:r>
            <w:r>
              <w:rPr>
                <w:rFonts w:ascii="楷体_GB2312" w:cs="楷体_GB2312" w:eastAsia="楷体_GB2312" w:hint="eastAsia"/>
                <w:color w:themeColor="text1" w:val="000000"/>
                <w:sz w:val="20"/>
                <w:szCs w:val="20"/>
                <w:highlight w:val="none"/>
                <w14:textFill>
                  <w14:solidFill>
                    <w14:schemeClr w14:val="tx1"/>
                  </w14:solidFill>
                </w14:textFill>
              </w:rPr>
              <w:t>披露的情形</w:t>
            </w:r>
            <w:r>
              <w:rPr>
                <w:rFonts w:ascii="楷体_GB2312" w:cs="楷体_GB2312" w:eastAsia="楷体_GB2312"/>
                <w:color w:themeColor="text1" w:val="000000"/>
                <w:sz w:val="20"/>
                <w:szCs w:val="20"/>
                <w:highlight w:val="none"/>
                <w14:textFill>
                  <w14:solidFill>
                    <w14:schemeClr w14:val="tx1"/>
                  </w14:solidFill>
                </w14:textFill>
              </w:rPr>
              <w:t>的，信银理财将根据上述规定向投资者发布相关信息</w:t>
            </w:r>
            <w:r>
              <w:rPr>
                <w:rFonts w:ascii="楷体_GB2312" w:cs="楷体_GB2312" w:eastAsia="楷体_GB2312" w:hint="eastAsia"/>
                <w:color w:themeColor="text1" w:val="000000"/>
                <w:sz w:val="20"/>
                <w:szCs w:val="20"/>
                <w:highlight w:val="none"/>
                <w14:textFill>
                  <w14:solidFill>
                    <w14:schemeClr w14:val="tx1"/>
                  </w14:solidFill>
                </w14:textFill>
              </w:rPr>
              <w:t>。</w:t>
            </w:r>
          </w:p>
        </w:tc>
      </w:tr>
    </w:tbl>
    <w:p w14:paraId="68AE099C">
      <w:pPr>
        <w:snapToGrid w:val="0"/>
        <w:ind w:left="-2" w:leftChars="-1" w:right="53" w:rightChars="22"/>
        <w:outlineLvl w:val="0"/>
        <w:rPr>
          <w:rFonts w:ascii="黑体" w:cs="黑体" w:eastAsia="黑体" w:hAnsi="Times New Roman"/>
          <w:color w:themeColor="text1" w:val="000000"/>
          <w:sz w:val="20"/>
          <w:szCs w:val="20"/>
          <w:highlight w:val="none"/>
          <w14:textFill>
            <w14:solidFill>
              <w14:schemeClr w14:val="tx1"/>
            </w14:solidFill>
          </w14:textFill>
        </w:rPr>
      </w:pPr>
    </w:p>
    <w:p w14:paraId="30C464FF">
      <w:pPr>
        <w:snapToGrid w:val="0"/>
        <w:ind w:left="-2" w:leftChars="-1" w:right="53" w:rightChars="22"/>
        <w:outlineLvl w:val="0"/>
        <w:rPr>
          <w:b/>
          <w:color w:themeColor="text1" w:val="00000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三、理财产品管理人</w:t>
      </w:r>
    </w:p>
    <w:p w14:paraId="78AC27D9">
      <w:pPr>
        <w:widowControl w:val="0"/>
        <w:snapToGrid w:val="0"/>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本理财产品的投资管理人为信银理财。信银理财接受客户的委托和授权，按照本产品说明书约定的投资方向和方式进行投资和资产管理，投资者在此授权并同意信银理财享有以下权利：</w:t>
      </w:r>
    </w:p>
    <w:p w14:paraId="322896D1">
      <w:pPr>
        <w:pStyle w:val="20"/>
        <w:widowControl w:val="0"/>
        <w:snapToGrid w:val="0"/>
        <w:spacing w:line="300" w:lineRule="exact"/>
        <w:ind w:firstLine="201" w:firstLineChars="100" w:left="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1.按照理财产品说明书的约定，管理、运用和处分理财资金；</w:t>
      </w:r>
    </w:p>
    <w:p w14:paraId="6B4617D5">
      <w:pPr>
        <w:widowControl w:val="0"/>
        <w:snapToGrid w:val="0"/>
        <w:spacing w:line="300" w:lineRule="exact"/>
        <w:ind w:left="398"/>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2.代表理财产品签订投资和资产管理过程中涉及到的协议、合同等文本；</w:t>
      </w:r>
    </w:p>
    <w:p w14:paraId="1B580ABA">
      <w:pPr>
        <w:pStyle w:val="20"/>
        <w:widowControl w:val="0"/>
        <w:snapToGrid w:val="0"/>
        <w:spacing w:line="300" w:lineRule="exact"/>
        <w:ind w:firstLine="402"/>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3.以理财产品投资管理人的名义，依照法律法规相关规定以及为理财产品投资者的利益，对被投资的信托计划、资管计划、各类基金（含公募基金和私募基金）、公司/企业等各类投资对象行使出资人/投资者权利（包括但不限于表决投票的权利）以及行使因理财产品财产投资于证券类基础资产（含债券、股票等）或其他基础资产（包括但不限于债权类资产）所产生的相关权利；</w:t>
      </w:r>
    </w:p>
    <w:p w14:paraId="03A62DF7">
      <w:pPr>
        <w:widowControl w:val="0"/>
        <w:snapToGrid w:val="0"/>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4以理财产品投资管理人的名义，依照法律法规相关规定以及代表理财产品投资者的利益行使代为追索的权利（包括但不限于提起诉讼/仲裁、申请保全/执行的权利）或者实施风险处置，行使、放弃、变更相关权利义务等其他法律行为，产生的合理费用由理财产品承担；</w:t>
      </w:r>
    </w:p>
    <w:p w14:paraId="3A73CC19">
      <w:pPr>
        <w:widowControl w:val="0"/>
        <w:snapToGrid w:val="0"/>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5.按照理财产品说明书的约定，及时、足额获得投资管理费和本产品说明书约定的其他费用（如有）；</w:t>
      </w:r>
    </w:p>
    <w:p w14:paraId="475C7526">
      <w:pPr>
        <w:widowControl w:val="0"/>
        <w:snapToGrid w:val="0"/>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6.管理人以其固有财产先行垫付因处理本理财产品相关事务所支出的费用及税费的，对理财产品资金享有优先受偿的权利；</w:t>
      </w:r>
    </w:p>
    <w:p w14:paraId="2C9D5F6A">
      <w:pPr>
        <w:spacing w:line="300" w:lineRule="exact"/>
        <w:ind w:firstLine="402" w:firstLineChars="200"/>
        <w:jc w:val="both"/>
        <w:rPr>
          <w:rFonts w:ascii="Times New Roman" w:eastAsia="楷体_GB2312" w:hAnsi="Times New Roman"/>
          <w:b/>
          <w:color w:themeColor="text1" w:val="000000"/>
          <w:sz w:val="20"/>
          <w:szCs w:val="20"/>
          <w:highlight w:val="none"/>
          <w14:textFill>
            <w14:solidFill>
              <w14:schemeClr w14:val="tx1"/>
            </w14:solidFill>
          </w14:textFill>
        </w:rPr>
      </w:pPr>
      <w:r>
        <w:rPr>
          <w:rFonts w:ascii="Times New Roman" w:eastAsia="楷体_GB2312" w:hAnsi="Times New Roman"/>
          <w:b/>
          <w:color w:themeColor="text1" w:val="000000"/>
          <w:sz w:val="20"/>
          <w:szCs w:val="20"/>
          <w:highlight w:val="none"/>
          <w14:textFill>
            <w14:solidFill>
              <w14:schemeClr w14:val="tx1"/>
            </w14:solidFill>
          </w14:textFill>
        </w:rPr>
        <w:t>7.管理人有权按照法律规定和监管机构的要求将投资者的信息向有权部门或相关机构披露。</w:t>
      </w:r>
    </w:p>
    <w:p w14:paraId="24B55933">
      <w:pPr>
        <w:snapToGrid w:val="0"/>
        <w:spacing w:line="300" w:lineRule="exact"/>
        <w:ind w:firstLine="400" w:firstLineChars="200" w:left="-2" w:leftChars="-1" w:right="53" w:rightChars="22"/>
        <w:outlineLvl w:val="0"/>
        <w:rPr>
          <w:rFonts w:ascii="楷体_GB2312" w:eastAsia="楷体_GB2312"/>
          <w:color w:themeColor="text1" w:val="000000"/>
          <w:sz w:val="20"/>
          <w:szCs w:val="20"/>
          <w:highlight w:val="none"/>
          <w14:textFill>
            <w14:solidFill>
              <w14:schemeClr w14:val="tx1"/>
            </w14:solidFill>
          </w14:textFill>
        </w:rPr>
      </w:pPr>
    </w:p>
    <w:p w14:paraId="35CD7F63">
      <w:pPr>
        <w:spacing w:line="300" w:lineRule="exact"/>
        <w:ind w:left="-2" w:leftChars="-1" w:right="36" w:rightChars="15"/>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四、理财</w:t>
      </w:r>
      <w:r>
        <w:rPr>
          <w:rFonts w:ascii="黑体" w:cs="黑体" w:eastAsia="黑体" w:hAnsi="Times New Roman"/>
          <w:color w:themeColor="text1" w:val="000000"/>
          <w:sz w:val="20"/>
          <w:szCs w:val="20"/>
          <w:highlight w:val="none"/>
          <w14:textFill>
            <w14:solidFill>
              <w14:schemeClr w14:val="tx1"/>
            </w14:solidFill>
          </w14:textFill>
        </w:rPr>
        <w:t>产品的认购</w:t>
      </w:r>
    </w:p>
    <w:p w14:paraId="408920C5">
      <w:pPr>
        <w:pStyle w:val="20"/>
        <w:numPr>
          <w:ilvl w:val="0"/>
          <w:numId w:val="7"/>
        </w:numPr>
        <w:spacing w:line="300" w:lineRule="exact"/>
        <w:ind w:firstLine="400" w:left="0"/>
        <w:jc w:val="both"/>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投资者在募集期</w:t>
      </w:r>
      <w:r>
        <w:rPr>
          <w:rFonts w:ascii="Times New Roman" w:cs="Times New Roman" w:eastAsia="楷体_GB2312" w:hAnsi="Times New Roman"/>
          <w:color w:themeColor="text1" w:val="000000"/>
          <w:sz w:val="20"/>
          <w:szCs w:val="20"/>
          <w:highlight w:val="none"/>
          <w14:textFill>
            <w14:solidFill>
              <w14:schemeClr w14:val="tx1"/>
            </w14:solidFill>
          </w14:textFill>
        </w:rPr>
        <w:t>内可</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提交</w:t>
      </w:r>
      <w:r>
        <w:rPr>
          <w:rFonts w:ascii="Times New Roman" w:cs="Times New Roman" w:eastAsia="楷体_GB2312" w:hAnsi="Times New Roman"/>
          <w:color w:themeColor="text1" w:val="000000"/>
          <w:sz w:val="20"/>
          <w:szCs w:val="20"/>
          <w:highlight w:val="none"/>
          <w14:textFill>
            <w14:solidFill>
              <w14:schemeClr w14:val="tx1"/>
            </w14:solidFill>
          </w14:textFill>
        </w:rPr>
        <w:t>认购申请，认购</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理财</w:t>
      </w:r>
      <w:r>
        <w:rPr>
          <w:rFonts w:ascii="Times New Roman" w:cs="Times New Roman" w:eastAsia="楷体_GB2312" w:hAnsi="Times New Roman"/>
          <w:color w:themeColor="text1" w:val="000000"/>
          <w:sz w:val="20"/>
          <w:szCs w:val="20"/>
          <w:highlight w:val="none"/>
          <w14:textFill>
            <w14:solidFill>
              <w14:schemeClr w14:val="tx1"/>
            </w14:solidFill>
          </w14:textFill>
        </w:rPr>
        <w:t>产品份额</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w:t>
      </w:r>
    </w:p>
    <w:p w14:paraId="433102F3">
      <w:pPr>
        <w:pStyle w:val="20"/>
        <w:numPr>
          <w:ilvl w:val="0"/>
          <w:numId w:val="7"/>
        </w:numPr>
        <w:spacing w:line="300" w:lineRule="exact"/>
        <w:ind w:firstLine="400" w:left="0"/>
        <w:jc w:val="both"/>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本</w:t>
      </w:r>
      <w:r>
        <w:rPr>
          <w:rFonts w:ascii="Times New Roman" w:cs="Times New Roman" w:eastAsia="楷体_GB2312" w:hAnsi="Times New Roman"/>
          <w:color w:themeColor="text1" w:val="000000"/>
          <w:sz w:val="20"/>
          <w:szCs w:val="20"/>
          <w:highlight w:val="none"/>
          <w14:textFill>
            <w14:solidFill>
              <w14:schemeClr w14:val="tx1"/>
            </w14:solidFill>
          </w14:textFill>
        </w:rPr>
        <w:t>理财产品采取金额认购的方式，</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认购份额</w:t>
      </w:r>
      <w:r>
        <w:rPr>
          <w:rFonts w:ascii="Times New Roman" w:cs="Times New Roman" w:eastAsia="楷体_GB2312" w:hAnsi="Times New Roman"/>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lang w:eastAsia="zh-CN"/>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人民币认购金额</w:t>
      </w: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（1</w:t>
      </w:r>
      <w:r>
        <w:rPr>
          <w:rFonts w:ascii="Times New Roman" w:cs="Times New Roman" w:eastAsia="楷体_GB2312" w:hAnsi="Times New Roman" w:hint="eastAsia"/>
          <w:color w:themeColor="text1" w:val="000000"/>
          <w:sz w:val="20"/>
          <w:szCs w:val="20"/>
          <w:highlight w:val="none"/>
          <w:lang w:eastAsia="zh-CN" w:val="en-US"/>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认购费率）</w:t>
      </w:r>
      <w:r>
        <w:rPr>
          <w:rFonts w:ascii="Times New Roman" w:cs="Times New Roman" w:eastAsia="楷体_GB2312" w:hAnsi="Times New Roman" w:hint="eastAsia"/>
          <w:color w:themeColor="text1" w:val="000000"/>
          <w:sz w:val="20"/>
          <w:szCs w:val="20"/>
          <w:highlight w:val="none"/>
          <w:lang w:eastAsia="zh-CN"/>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/1元</w:t>
      </w:r>
      <w:r>
        <w:rPr>
          <w:rFonts w:ascii="Times New Roman" w:cs="Times New Roman" w:eastAsia="楷体_GB2312" w:hAnsi="Times New Roman" w:hint="eastAsia"/>
          <w:color w:themeColor="text1" w:val="000000"/>
          <w:sz w:val="20"/>
          <w:szCs w:val="20"/>
          <w:highlight w:val="none"/>
          <w:lang w:eastAsia="zh-CN"/>
          <w14:textFill>
            <w14:solidFill>
              <w14:schemeClr w14:val="tx1"/>
            </w14:solidFill>
          </w14:textFill>
        </w:rPr>
        <w:t>，</w:t>
      </w:r>
      <w:r>
        <w:rPr>
          <w:rFonts w:ascii="Times New Roman" w:cs="Times New Roman" w:eastAsia="楷体_GB2312" w:hAnsi="Times New Roman"/>
          <w:color w:themeColor="text1" w:val="000000"/>
          <w:sz w:val="20"/>
          <w:szCs w:val="20"/>
          <w:highlight w:val="none"/>
          <w14:textFill>
            <w14:solidFill>
              <w14:schemeClr w14:val="tx1"/>
            </w14:solidFill>
          </w14:textFill>
        </w:rPr>
        <w:t>认购份额按照四舍五入方法计算，保留小数点后【2】位</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由此误差产生的损失由理财财产承担，产生的收益归理财财产所有</w:t>
      </w:r>
      <w:r>
        <w:rPr>
          <w:rFonts w:ascii="Times New Roman" w:cs="Times New Roman" w:eastAsia="楷体_GB2312" w:hAnsi="Times New Roman"/>
          <w:color w:themeColor="text1" w:val="000000"/>
          <w:sz w:val="20"/>
          <w:szCs w:val="20"/>
          <w:highlight w:val="none"/>
          <w14:textFill>
            <w14:solidFill>
              <w14:schemeClr w14:val="tx1"/>
            </w14:solidFill>
          </w14:textFill>
        </w:rPr>
        <w:t>。</w:t>
      </w:r>
    </w:p>
    <w:p w14:paraId="166A4339">
      <w:pPr>
        <w:pStyle w:val="20"/>
        <w:numPr>
          <w:ilvl w:val="0"/>
          <w:numId w:val="7"/>
        </w:numPr>
        <w:spacing w:line="300" w:lineRule="exact"/>
        <w:ind w:firstLine="400" w:left="0"/>
        <w:jc w:val="both"/>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Times New Roman" w:cs="Times New Roman" w:eastAsia="楷体_GB2312" w:hAnsi="Times New Roman" w:hint="eastAsia"/>
          <w:color w:themeColor="text1" w:val="000000"/>
          <w:sz w:val="20"/>
          <w:szCs w:val="20"/>
          <w:highlight w:val="none"/>
          <w14:textFill>
            <w14:solidFill>
              <w14:schemeClr w14:val="tx1"/>
            </w14:solidFill>
          </w14:textFill>
        </w:rPr>
        <w:t>【</w:t>
      </w:r>
      <w:r>
        <w:rPr>
          <w:rFonts w:ascii="楷体_GB2312" w:cs="楷体_GB2312" w:eastAsia="楷体_GB2312" w:hint="eastAsia"/>
          <w:color w:val="000000"/>
          <w:sz w:val="20"/>
          <w:szCs w:val="20"/>
          <w:highlight w:val="none"/>
        </w:rPr>
        <w:t>募集期结束后的第一个工作日</w:t>
      </w:r>
      <w:r>
        <w:rPr>
          <w:rFonts w:ascii="Times New Roman" w:cs="Times New Roman" w:eastAsia="楷体_GB2312" w:hAnsi="Times New Roman"/>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为认购份额</w:t>
      </w:r>
      <w:r>
        <w:rPr>
          <w:rFonts w:ascii="Times New Roman" w:cs="Times New Roman" w:eastAsia="楷体_GB2312" w:hAnsi="Times New Roman"/>
          <w:color w:themeColor="text1" w:val="000000"/>
          <w:sz w:val="20"/>
          <w:szCs w:val="20"/>
          <w:highlight w:val="none"/>
          <w14:textFill>
            <w14:solidFill>
              <w14:schemeClr w14:val="tx1"/>
            </w14:solidFill>
          </w14:textFill>
        </w:rPr>
        <w:t>确认日</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，认购</w:t>
      </w:r>
      <w:r>
        <w:rPr>
          <w:rFonts w:ascii="Times New Roman" w:cs="Times New Roman" w:eastAsia="楷体_GB2312" w:hAnsi="Times New Roman"/>
          <w:color w:themeColor="text1" w:val="000000"/>
          <w:sz w:val="20"/>
          <w:szCs w:val="20"/>
          <w:highlight w:val="none"/>
          <w14:textFill>
            <w14:solidFill>
              <w14:schemeClr w14:val="tx1"/>
            </w14:solidFill>
          </w14:textFill>
        </w:rPr>
        <w:t>份额确认日后投资者可</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向销售机构</w:t>
      </w:r>
      <w:r>
        <w:rPr>
          <w:rFonts w:ascii="Times New Roman" w:cs="Times New Roman" w:eastAsia="楷体_GB2312" w:hAnsi="Times New Roman"/>
          <w:color w:themeColor="text1" w:val="000000"/>
          <w:sz w:val="20"/>
          <w:szCs w:val="20"/>
          <w:highlight w:val="none"/>
          <w14:textFill>
            <w14:solidFill>
              <w14:schemeClr w14:val="tx1"/>
            </w14:solidFill>
          </w14:textFill>
        </w:rPr>
        <w:t>查询认购是否</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成功</w:t>
      </w:r>
      <w:r>
        <w:rPr>
          <w:rFonts w:ascii="Times New Roman" w:cs="Times New Roman" w:eastAsia="楷体_GB2312" w:hAnsi="Times New Roman"/>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color w:themeColor="text1" w:val="000000"/>
          <w:sz w:val="20"/>
          <w:szCs w:val="20"/>
          <w:highlight w:val="none"/>
          <w14:textFill>
            <w14:solidFill>
              <w14:schemeClr w14:val="tx1"/>
            </w14:solidFill>
          </w14:textFill>
        </w:rPr>
        <w:t>投资者通过代销机构购买理财产品的，代销机构受理认购申请并不表示对该申请成功的确认，而仅代表收到了认购申请，申请是否成功应以管理人的最终确认为准。具体而言，如管理人确认认购申请，并根据投资者的认购申请为投资者成功登记认购份额，则视为投资者的认购申请成功，并以管理人的登记结果为准。管理人会将认购申请及认购份额的确认结果及时反馈给代销机构，投资者应及时按照本产品说明书的约定查询认购结果。</w:t>
      </w:r>
    </w:p>
    <w:p w14:paraId="20CA6B84">
      <w:pPr>
        <w:pStyle w:val="20"/>
        <w:numPr>
          <w:ilvl w:val="0"/>
          <w:numId w:val="7"/>
        </w:numPr>
        <w:spacing w:line="300" w:lineRule="exact"/>
        <w:ind w:firstLine="400" w:left="0"/>
        <w:jc w:val="both"/>
        <w:rPr>
          <w:rFonts w:ascii="Times New Roman" w:cs="Times New Roman" w:eastAsia="楷体_GB2312" w:hAnsi="Times New Roman"/>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管理人保留不接受认购申请的权利。</w:t>
      </w:r>
    </w:p>
    <w:p w14:paraId="787D5991">
      <w:pPr>
        <w:spacing w:line="300" w:lineRule="exact"/>
        <w:ind w:left="-2" w:leftChars="-1" w:right="36" w:rightChars="15"/>
        <w:rPr>
          <w:rFonts w:ascii="黑体" w:cs="黑体" w:eastAsia="黑体" w:hAnsi="Times New Roman"/>
          <w:color w:themeColor="text1" w:val="000000"/>
          <w:sz w:val="20"/>
          <w:szCs w:val="20"/>
          <w:highlight w:val="none"/>
          <w14:textFill>
            <w14:solidFill>
              <w14:schemeClr w14:val="tx1"/>
            </w14:solidFill>
          </w14:textFill>
        </w:rPr>
      </w:pPr>
    </w:p>
    <w:p w14:paraId="2142C2C1">
      <w:pPr>
        <w:spacing w:line="300" w:lineRule="exact"/>
        <w:ind w:left="-2" w:leftChars="-1" w:right="36" w:rightChars="15"/>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五</w:t>
      </w:r>
      <w:r>
        <w:rPr>
          <w:rFonts w:ascii="黑体" w:cs="黑体" w:eastAsia="黑体" w:hAnsi="Times New Roman"/>
          <w:color w:themeColor="text1" w:val="000000"/>
          <w:sz w:val="20"/>
          <w:szCs w:val="20"/>
          <w:highlight w:val="none"/>
          <w14:textFill>
            <w14:solidFill>
              <w14:schemeClr w14:val="tx1"/>
            </w14:solidFill>
          </w14:textFill>
        </w:rPr>
        <w:t>、</w:t>
      </w:r>
      <w:r>
        <w:rPr>
          <w:rFonts w:ascii="黑体" w:cs="黑体" w:eastAsia="黑体" w:hAnsi="Times New Roman" w:hint="eastAsia"/>
          <w:color w:themeColor="text1" w:val="000000"/>
          <w:sz w:val="20"/>
          <w:szCs w:val="20"/>
          <w:highlight w:val="none"/>
          <w14:textFill>
            <w14:solidFill>
              <w14:schemeClr w14:val="tx1"/>
            </w14:solidFill>
          </w14:textFill>
        </w:rPr>
        <w:t>理财</w:t>
      </w:r>
      <w:r>
        <w:rPr>
          <w:rFonts w:ascii="黑体" w:cs="黑体" w:eastAsia="黑体" w:hAnsi="Times New Roman"/>
          <w:color w:themeColor="text1" w:val="000000"/>
          <w:sz w:val="20"/>
          <w:szCs w:val="20"/>
          <w:highlight w:val="none"/>
          <w14:textFill>
            <w14:solidFill>
              <w14:schemeClr w14:val="tx1"/>
            </w14:solidFill>
          </w14:textFill>
        </w:rPr>
        <w:t>产品的</w:t>
      </w:r>
      <w:r>
        <w:rPr>
          <w:rFonts w:ascii="黑体" w:cs="黑体" w:eastAsia="黑体" w:hAnsi="Times New Roman" w:hint="eastAsia"/>
          <w:color w:themeColor="text1" w:val="000000"/>
          <w:sz w:val="20"/>
          <w:szCs w:val="20"/>
          <w:highlight w:val="none"/>
          <w14:textFill>
            <w14:solidFill>
              <w14:schemeClr w14:val="tx1"/>
            </w14:solidFill>
          </w14:textFill>
        </w:rPr>
        <w:t>申购和</w:t>
      </w:r>
      <w:r>
        <w:rPr>
          <w:rFonts w:ascii="黑体" w:cs="黑体" w:eastAsia="黑体" w:hAnsi="Times New Roman"/>
          <w:color w:themeColor="text1" w:val="000000"/>
          <w:sz w:val="20"/>
          <w:szCs w:val="20"/>
          <w:highlight w:val="none"/>
          <w14:textFill>
            <w14:solidFill>
              <w14:schemeClr w14:val="tx1"/>
            </w14:solidFill>
          </w14:textFill>
        </w:rPr>
        <w:t>赎回</w:t>
      </w:r>
    </w:p>
    <w:p w14:paraId="0AC6A6FA">
      <w:pPr>
        <w:spacing w:line="300" w:lineRule="exact"/>
        <w:ind w:firstLine="428" w:firstLineChars="214" w:left="-2" w:leftChars="-1" w:right="36" w:rightChars="15"/>
        <w:rPr>
          <w:rFonts w:ascii="楷体_GB2312" w:eastAsia="楷体_GB2312"/>
          <w:color w:themeColor="text1" w:val="000000"/>
          <w:sz w:val="20"/>
          <w:szCs w:val="20"/>
          <w:highlight w:val="none"/>
          <w14:textFill>
            <w14:solidFill>
              <w14:schemeClr w14:val="tx1"/>
            </w14:solidFill>
          </w14:textFill>
        </w:rPr>
      </w:pPr>
      <w:r>
        <w:rPr>
          <w:rFonts w:ascii="Times New Roman" w:eastAsia="楷体_GB2312" w:hAnsi="Times New Roman" w:hint="eastAsia"/>
          <w:color w:themeColor="text1" w:val="000000"/>
          <w:sz w:val="20"/>
          <w:szCs w:val="20"/>
          <w:highlight w:val="none"/>
          <w14:textFill>
            <w14:solidFill>
              <w14:schemeClr w14:val="tx1"/>
            </w14:solidFill>
          </w14:textFill>
        </w:rPr>
        <w:t>本产品不开放申购和赎回。</w:t>
      </w:r>
    </w:p>
    <w:p w14:paraId="453E6466">
      <w:pPr>
        <w:spacing w:line="300" w:lineRule="exact"/>
        <w:ind w:right="36" w:rightChars="15"/>
        <w:rPr>
          <w:rFonts w:ascii="楷体_GB2312" w:eastAsia="楷体_GB2312"/>
          <w:color w:themeColor="text1" w:val="000000"/>
          <w:sz w:val="20"/>
          <w:szCs w:val="20"/>
          <w:highlight w:val="none"/>
          <w14:textFill>
            <w14:solidFill>
              <w14:schemeClr w14:val="tx1"/>
            </w14:solidFill>
          </w14:textFill>
        </w:rPr>
      </w:pPr>
    </w:p>
    <w:p w14:paraId="6B9F2CF3">
      <w:pPr>
        <w:spacing w:line="300" w:lineRule="exact"/>
        <w:ind w:left="-2" w:leftChars="-1" w:right="96" w:rightChars="40"/>
        <w:rPr>
          <w:rFonts w:ascii="黑体" w:eastAsia="黑体"/>
          <w:color w:themeColor="text1" w:val="000000"/>
          <w:sz w:val="20"/>
          <w:szCs w:val="20"/>
          <w:highlight w:val="none"/>
          <w14:textFill>
            <w14:solidFill>
              <w14:schemeClr w14:val="tx1"/>
            </w14:solidFill>
          </w14:textFill>
        </w:rPr>
      </w:pPr>
      <w:r>
        <w:rPr>
          <w:rFonts w:ascii="黑体" w:cs="黑体" w:eastAsia="黑体" w:hint="eastAsia"/>
          <w:color w:themeColor="text1" w:val="000000"/>
          <w:sz w:val="20"/>
          <w:szCs w:val="20"/>
          <w:highlight w:val="none"/>
          <w14:textFill>
            <w14:solidFill>
              <w14:schemeClr w14:val="tx1"/>
            </w14:solidFill>
          </w14:textFill>
        </w:rPr>
        <w:t>六、拒绝或暂停接受认购申请的情形及处理</w:t>
      </w:r>
    </w:p>
    <w:p w14:paraId="3C9A11A6">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管理人可拒绝接受或暂停接受投资者的认购申请的情形包括：</w:t>
      </w:r>
    </w:p>
    <w:p w14:paraId="4F45B73E">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w:t>
      </w:r>
      <w:r>
        <w:rPr>
          <w:rFonts w:ascii="楷体_GB2312" w:cs="楷体_GB2312" w:eastAsia="楷体_GB2312" w:hint="eastAsia"/>
          <w:color w:themeColor="text1" w:val="000000"/>
          <w:sz w:val="20"/>
          <w:szCs w:val="20"/>
          <w:highlight w:val="none"/>
          <w14:textFill>
            <w14:solidFill>
              <w14:schemeClr w14:val="tx1"/>
            </w14:solidFill>
          </w14:textFill>
        </w:rPr>
        <w:t>）不可抗力或国家经济金融政策发生变化等原因导致本产品无法正常运作；</w:t>
      </w:r>
    </w:p>
    <w:p w14:paraId="2462A7A7">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2</w:t>
      </w:r>
      <w:r>
        <w:rPr>
          <w:rFonts w:ascii="楷体_GB2312" w:cs="楷体_GB2312" w:eastAsia="楷体_GB2312" w:hint="eastAsia"/>
          <w:color w:themeColor="text1" w:val="000000"/>
          <w:sz w:val="20"/>
          <w:szCs w:val="20"/>
          <w:highlight w:val="none"/>
          <w14:textFill>
            <w14:solidFill>
              <w14:schemeClr w14:val="tx1"/>
            </w14:solidFill>
          </w14:textFill>
        </w:rPr>
        <w:t>）证券交易场所或银行间债券市场依法决定停市等情形；</w:t>
      </w:r>
    </w:p>
    <w:p w14:paraId="0819B7E4">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3</w:t>
      </w:r>
      <w:r>
        <w:rPr>
          <w:rFonts w:ascii="楷体_GB2312" w:cs="楷体_GB2312" w:eastAsia="楷体_GB2312" w:hint="eastAsia"/>
          <w:color w:themeColor="text1" w:val="000000"/>
          <w:sz w:val="20"/>
          <w:szCs w:val="20"/>
          <w:highlight w:val="none"/>
          <w14:textFill>
            <w14:solidFill>
              <w14:schemeClr w14:val="tx1"/>
            </w14:solidFill>
          </w14:textFill>
        </w:rPr>
        <w:t>）当管理人认为某笔认购申请会有损于本产品其他份额持有人利益时，或基于投资运作和风险控制需要，可拒绝该笔认购申请；</w:t>
      </w:r>
    </w:p>
    <w:p w14:paraId="3E52C154">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4</w:t>
      </w:r>
      <w:r>
        <w:rPr>
          <w:rFonts w:ascii="楷体_GB2312" w:cs="楷体_GB2312" w:eastAsia="楷体_GB2312" w:hint="eastAsia"/>
          <w:color w:themeColor="text1" w:val="000000"/>
          <w:sz w:val="20"/>
          <w:szCs w:val="20"/>
          <w:highlight w:val="none"/>
          <w14:textFill>
            <w14:solidFill>
              <w14:schemeClr w14:val="tx1"/>
            </w14:solidFill>
          </w14:textFill>
        </w:rPr>
        <w:t>）当投资者认购金额将导致单笔认购金额上限、单个投资者持仓上限、计划募集金额上限、产品规模上限等各指标超限时，管理人有权拒绝投资者的认购申请；</w:t>
      </w:r>
    </w:p>
    <w:p w14:paraId="438683C3">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（5</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法律法规规定或管理人基于审慎考虑认定的其他情形。</w:t>
      </w:r>
    </w:p>
    <w:p w14:paraId="2D8C760D">
      <w:pPr>
        <w:spacing w:line="300" w:lineRule="exact"/>
        <w:ind w:firstLine="400" w:firstLineChars="200" w:right="0" w:rightChars="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如果投资者的认购申请被拒绝，被拒绝的认购款项将全额退还给投资者，扣款日至认购款项返还日期间是否计付利息以及利息计付规则以销售机构为准。</w:t>
      </w:r>
    </w:p>
    <w:p w14:paraId="2F9BC8AD">
      <w:pPr>
        <w:pStyle w:val="20"/>
        <w:numPr>
          <w:ilvl w:val="0"/>
          <w:numId w:val="8"/>
        </w:numPr>
        <w:spacing w:line="300" w:lineRule="exact"/>
        <w:ind w:firstLineChars="0" w:right="96" w:rightChars="40"/>
        <w:rPr>
          <w:rFonts w:ascii="黑体" w:cs="黑体" w:eastAsia="黑体"/>
          <w:color w:themeColor="text1" w:val="000000"/>
          <w:sz w:val="20"/>
          <w:szCs w:val="20"/>
          <w:highlight w:val="none"/>
          <w14:textFill>
            <w14:solidFill>
              <w14:schemeClr w14:val="tx1"/>
            </w14:solidFill>
          </w14:textFill>
        </w:rPr>
      </w:pPr>
      <w:r>
        <w:rPr>
          <w:rFonts w:ascii="黑体" w:cs="黑体" w:eastAsia="黑体"/>
          <w:color w:themeColor="text1" w:val="000000"/>
          <w:sz w:val="20"/>
          <w:szCs w:val="20"/>
          <w:highlight w:val="none"/>
          <w14:textFill>
            <w14:solidFill>
              <w14:schemeClr w14:val="tx1"/>
            </w14:solidFill>
          </w14:textFill>
        </w:rPr>
        <w:t>理财资金分配</w:t>
      </w:r>
    </w:p>
    <w:p w14:paraId="44DD0FE2">
      <w:pPr>
        <w:pStyle w:val="20"/>
        <w:numPr>
          <w:ilvl w:val="0"/>
          <w:numId w:val="0"/>
        </w:numPr>
        <w:spacing w:line="300" w:lineRule="exact"/>
        <w:ind w:firstLine="420" w:firstLineChars="0" w:right="96" w:rightChars="40"/>
        <w:rPr>
          <w:rFonts w:ascii="黑体" w:cs="黑体" w:eastAsia="黑体"/>
          <w:color w:themeColor="text1" w:val="000000"/>
          <w:sz w:val="20"/>
          <w:szCs w:val="20"/>
          <w:highlight w:val="none"/>
          <w14:textFill>
            <w14:solidFill>
              <w14:schemeClr w14:val="tx1"/>
            </w14:solidFill>
          </w14:textFill>
        </w:rPr>
      </w:pPr>
      <w:r>
        <w:rPr>
          <w:rFonts w:ascii="黑体" w:cs="黑体" w:eastAsia="黑体" w:hint="eastAsia"/>
          <w:color w:themeColor="text1" w:val="000000"/>
          <w:sz w:val="20"/>
          <w:szCs w:val="20"/>
          <w:highlight w:val="none"/>
          <w:lang w:eastAsia="zh-CN"/>
          <w14:textFill>
            <w14:solidFill>
              <w14:schemeClr w14:val="tx1"/>
            </w14:solidFill>
          </w14:textFill>
        </w:rPr>
        <w:t>（一）</w:t>
      </w:r>
      <w:r>
        <w:rPr>
          <w:rFonts w:ascii="黑体" w:cs="黑体" w:eastAsia="黑体" w:hint="eastAsia"/>
          <w:color w:themeColor="text1" w:val="000000"/>
          <w:sz w:val="20"/>
          <w:szCs w:val="20"/>
          <w:highlight w:val="none"/>
          <w14:textFill>
            <w14:solidFill>
              <w14:schemeClr w14:val="tx1"/>
            </w14:solidFill>
          </w14:textFill>
        </w:rPr>
        <w:t>期间</w:t>
      </w:r>
      <w:r>
        <w:rPr>
          <w:rFonts w:ascii="黑体" w:cs="黑体" w:eastAsia="黑体"/>
          <w:color w:themeColor="text1" w:val="000000"/>
          <w:sz w:val="20"/>
          <w:szCs w:val="20"/>
          <w:highlight w:val="none"/>
          <w14:textFill>
            <w14:solidFill>
              <w14:schemeClr w14:val="tx1"/>
            </w14:solidFill>
          </w14:textFill>
        </w:rPr>
        <w:t>分配</w:t>
      </w:r>
    </w:p>
    <w:p w14:paraId="244E4B04">
      <w:pPr>
        <w:spacing w:line="300" w:lineRule="exact"/>
        <w:ind w:firstLine="402" w:firstLineChars="200" w:right="96" w:rightChars="40"/>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b/>
          <w:bCs/>
          <w:color w:themeColor="text1" w:val="000000"/>
          <w:sz w:val="20"/>
          <w:szCs w:val="20"/>
          <w:highlight w:val="none"/>
          <w14:textFill>
            <w14:solidFill>
              <w14:schemeClr w14:val="tx1"/>
            </w14:solidFill>
          </w14:textFill>
        </w:rPr>
        <w:t/>
        <w:t>无。</w:t>
      </w:r>
      <w:r>
        <w:rPr>
          <w:rFonts w:ascii="楷体_GB2312" w:cs="楷体_GB2312" w:eastAsia="楷体_GB2312"/>
          <w:b/>
          <w:bCs/>
          <w:color w:themeColor="text1" w:val="000000"/>
          <w:sz w:val="20"/>
          <w:szCs w:val="20"/>
          <w:highlight w:val="none"/>
          <w14:textFill>
            <w14:solidFill>
              <w14:schemeClr w14:val="tx1"/>
            </w14:solidFill>
          </w14:textFill>
        </w:rPr>
        <w:t/>
      </w:r>
    </w:p>
    <w:p w14:paraId="2FCF4BB6">
      <w:pPr>
        <w:pStyle w:val="20"/>
        <w:numPr>
          <w:ilvl w:val="0"/>
          <w:numId w:val="0"/>
        </w:numPr>
        <w:spacing w:line="300" w:lineRule="exact"/>
        <w:ind w:firstLine="420" w:firstLineChars="0" w:right="96" w:rightChars="40"/>
        <w:rPr>
          <w:rFonts w:ascii="黑体" w:cs="黑体" w:eastAsia="黑体" w:hint="eastAsia"/>
          <w:color w:themeColor="text1" w:val="000000"/>
          <w:sz w:val="20"/>
          <w:szCs w:val="20"/>
          <w:highlight w:val="none"/>
          <w:lang w:eastAsia="zh-CN"/>
          <w14:textFill>
            <w14:solidFill>
              <w14:schemeClr w14:val="tx1"/>
            </w14:solidFill>
          </w14:textFill>
        </w:rPr>
      </w:pPr>
      <w:r>
        <w:rPr>
          <w:rFonts w:ascii="黑体" w:cs="黑体" w:eastAsia="黑体" w:hint="eastAsia"/>
          <w:color w:themeColor="text1" w:val="000000"/>
          <w:sz w:val="20"/>
          <w:szCs w:val="20"/>
          <w:highlight w:val="none"/>
          <w:lang w:eastAsia="zh-CN"/>
          <w14:textFill>
            <w14:solidFill>
              <w14:schemeClr w14:val="tx1"/>
            </w14:solidFill>
          </w14:textFill>
        </w:rPr>
        <w:t>（二）终止分配</w:t>
      </w:r>
    </w:p>
    <w:p w14:paraId="5F49184E">
      <w:pPr>
        <w:spacing w:line="300" w:lineRule="exact"/>
        <w:ind w:firstLine="400" w:firstLineChars="20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1</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本产品在扣除信银理财</w:t>
      </w:r>
      <w:r>
        <w:rPr>
          <w:rFonts w:ascii="楷体_GB2312" w:cs="楷体_GB2312" w:eastAsia="楷体_GB2312"/>
          <w:color w:themeColor="text1" w:val="000000"/>
          <w:sz w:val="20"/>
          <w:szCs w:val="20"/>
          <w:highlight w:val="none"/>
          <w14:textFill>
            <w14:solidFill>
              <w14:schemeClr w14:val="tx1"/>
            </w14:solidFill>
          </w14:textFill>
        </w:rPr>
        <w:t>应收取费用</w:t>
      </w:r>
      <w:r>
        <w:rPr>
          <w:rFonts w:ascii="楷体_GB2312" w:cs="楷体_GB2312" w:eastAsia="楷体_GB2312" w:hint="eastAsia"/>
          <w:color w:themeColor="text1" w:val="000000"/>
          <w:sz w:val="20"/>
          <w:szCs w:val="20"/>
          <w:highlight w:val="none"/>
          <w14:textFill>
            <w14:solidFill>
              <w14:schemeClr w14:val="tx1"/>
            </w14:solidFill>
          </w14:textFill>
        </w:rPr>
        <w:t>及其他应由产品承担的税费后的投资损益全部归属投资者。</w:t>
      </w:r>
    </w:p>
    <w:p w14:paraId="6CF59FB7">
      <w:pPr>
        <w:spacing w:line="300" w:lineRule="exact"/>
        <w:ind w:firstLine="400" w:firstLineChars="200" w:right="36" w:rightChars="15"/>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2</w:t>
      </w:r>
      <w:r>
        <w:rPr>
          <w:rFonts w:ascii="楷体_GB2312" w:eastAsia="楷体_GB2312"/>
          <w:color w:themeColor="text1" w:val="000000"/>
          <w:sz w:val="20"/>
          <w:szCs w:val="20"/>
          <w:highlight w:val="none"/>
          <w14:textFill>
            <w14:solidFill>
              <w14:schemeClr w14:val="tx1"/>
            </w14:solidFill>
          </w14:textFill>
        </w:rPr>
        <w:t>.如产品正常到期</w:t>
      </w:r>
      <w:r>
        <w:rPr>
          <w:rFonts w:ascii="楷体_GB2312" w:eastAsia="楷体_GB2312" w:hint="eastAsia"/>
          <w:color w:themeColor="text1" w:val="000000"/>
          <w:sz w:val="20"/>
          <w:szCs w:val="20"/>
          <w:highlight w:val="none"/>
          <w14:textFill>
            <w14:solidFill>
              <w14:schemeClr w14:val="tx1"/>
            </w14:solidFill>
          </w14:textFill>
        </w:rPr>
        <w:t>或</w:t>
      </w:r>
      <w:r>
        <w:rPr>
          <w:rFonts w:ascii="楷体_GB2312" w:eastAsia="楷体_GB2312"/>
          <w:color w:themeColor="text1" w:val="000000"/>
          <w:sz w:val="20"/>
          <w:szCs w:val="20"/>
          <w:highlight w:val="none"/>
          <w14:textFill>
            <w14:solidFill>
              <w14:schemeClr w14:val="tx1"/>
            </w14:solidFill>
          </w14:textFill>
        </w:rPr>
        <w:t>提前终止，理财资金于</w:t>
      </w:r>
      <w:r>
        <w:rPr>
          <w:rFonts w:ascii="楷体_GB2312" w:eastAsia="楷体_GB2312" w:hint="eastAsia"/>
          <w:color w:themeColor="text1" w:val="000000"/>
          <w:sz w:val="20"/>
          <w:szCs w:val="20"/>
          <w:highlight w:val="none"/>
          <w14:textFill>
            <w14:solidFill>
              <w14:schemeClr w14:val="tx1"/>
            </w14:solidFill>
          </w14:textFill>
        </w:rPr>
        <w:t>到期日</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实际</w:t>
      </w:r>
      <w:r>
        <w:rPr>
          <w:rFonts w:ascii="楷体_GB2312" w:eastAsia="楷体_GB2312"/>
          <w:color w:themeColor="text1" w:val="000000"/>
          <w:sz w:val="20"/>
          <w:szCs w:val="20"/>
          <w:highlight w:val="none"/>
          <w14:textFill>
            <w14:solidFill>
              <w14:schemeClr w14:val="tx1"/>
            </w14:solidFill>
          </w14:textFill>
        </w:rPr>
        <w:t>到期日</w:t>
      </w:r>
      <w:r>
        <w:rPr>
          <w:rFonts w:ascii="楷体_GB2312" w:eastAsia="楷体_GB2312" w:hint="eastAsia"/>
          <w:color w:themeColor="text1" w:val="000000"/>
          <w:sz w:val="20"/>
          <w:szCs w:val="20"/>
          <w:highlight w:val="none"/>
          <w14:textFill>
            <w14:solidFill>
              <w14:schemeClr w14:val="tx1"/>
            </w14:solidFill>
          </w14:textFill>
        </w:rPr>
        <w:t>或</w:t>
      </w:r>
      <w:r>
        <w:rPr>
          <w:rFonts w:ascii="楷体_GB2312" w:eastAsia="楷体_GB2312"/>
          <w:color w:themeColor="text1" w:val="000000"/>
          <w:sz w:val="20"/>
          <w:szCs w:val="20"/>
          <w:highlight w:val="none"/>
          <w14:textFill>
            <w14:solidFill>
              <w14:schemeClr w14:val="tx1"/>
            </w14:solidFill>
          </w14:textFill>
        </w:rPr>
        <w:t>提前终止日</w:t>
      </w: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后【</w:t>
      </w:r>
      <w:r>
        <w:rPr>
          <w:rFonts w:ascii="楷体_GB2312" w:eastAsia="楷体_GB2312" w:hint="eastAsia"/>
          <w:color w:themeColor="text1" w:val="000000"/>
          <w:sz w:val="20"/>
          <w:szCs w:val="20"/>
          <w:highlight w:val="none"/>
          <w14:textFill>
            <w14:solidFill>
              <w14:schemeClr w14:val="tx1"/>
            </w14:solidFill>
          </w14:textFill>
        </w:rPr>
        <w:t>5</w:t>
      </w:r>
      <w:r>
        <w:rPr>
          <w:rFonts w:ascii="楷体_GB2312" w:eastAsia="楷体_GB2312"/>
          <w:color w:themeColor="text1" w:val="000000"/>
          <w:sz w:val="20"/>
          <w:szCs w:val="20"/>
          <w:highlight w:val="none"/>
          <w14:textFill>
            <w14:solidFill>
              <w14:schemeClr w14:val="tx1"/>
            </w14:solidFill>
          </w14:textFill>
        </w:rPr>
        <w:t>】个工作日内根据实际情况一次性分配，如遇</w:t>
      </w:r>
      <w:r>
        <w:rPr>
          <w:rFonts w:ascii="楷体_GB2312" w:eastAsia="楷体_GB2312" w:hint="eastAsia"/>
          <w:color w:themeColor="text1" w:val="000000"/>
          <w:sz w:val="20"/>
          <w:szCs w:val="20"/>
          <w:highlight w:val="none"/>
          <w14:textFill>
            <w14:solidFill>
              <w14:schemeClr w14:val="tx1"/>
            </w14:solidFill>
          </w14:textFill>
        </w:rPr>
        <w:t>非工作日</w:t>
      </w:r>
      <w:r>
        <w:rPr>
          <w:rFonts w:ascii="楷体_GB2312" w:eastAsia="楷体_GB2312"/>
          <w:color w:themeColor="text1" w:val="000000"/>
          <w:sz w:val="20"/>
          <w:szCs w:val="20"/>
          <w:highlight w:val="none"/>
          <w14:textFill>
            <w14:solidFill>
              <w14:schemeClr w14:val="tx1"/>
            </w14:solidFill>
          </w14:textFill>
        </w:rPr>
        <w:t>则顺延至下一工作日。</w:t>
      </w:r>
    </w:p>
    <w:p w14:paraId="0B5273DF">
      <w:pPr>
        <w:spacing w:line="300" w:lineRule="exact"/>
        <w:ind w:firstLine="400" w:firstLineChars="200"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3.</w:t>
      </w:r>
      <w:r>
        <w:rPr>
          <w:rFonts w:ascii="楷体_GB2312" w:cs="楷体_GB2312" w:eastAsia="楷体_GB2312" w:hint="eastAsia"/>
          <w:color w:themeColor="text1" w:val="000000"/>
          <w:sz w:val="20"/>
          <w:szCs w:val="20"/>
          <w:highlight w:val="none"/>
          <w14:textFill>
            <w14:solidFill>
              <w14:schemeClr w14:val="tx1"/>
            </w14:solidFill>
          </w14:textFill>
        </w:rPr>
        <w:t>投资者到期日应得资金计算公式如下：</w:t>
      </w:r>
    </w:p>
    <w:p w14:paraId="3D646041">
      <w:pPr>
        <w:spacing w:line="300" w:lineRule="exact"/>
        <w:ind w:firstLine="400" w:firstLineChars="200" w:right="36" w:rightChars="15"/>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投资者应得资金</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到期日产品可分配的总金额</w:t>
      </w:r>
      <w:r>
        <w:rPr>
          <w:rFonts w:ascii="楷体_GB2312" w:cs="楷体_GB2312" w:eastAsia="楷体_GB2312"/>
          <w:color w:themeColor="text1" w:val="000000"/>
          <w:sz w:val="20"/>
          <w:szCs w:val="20"/>
          <w:highlight w:val="none"/>
          <w14:textFill>
            <w14:solidFill>
              <w14:schemeClr w14:val="tx1"/>
            </w14:solidFill>
          </w14:textFill>
        </w:rPr>
        <w:t>/产品的总份额*投资者的持有份额</w:t>
      </w:r>
    </w:p>
    <w:p w14:paraId="55FA2824">
      <w:pPr>
        <w:spacing w:line="300" w:lineRule="exact"/>
        <w:ind w:firstLine="400" w:firstLineChars="20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4.</w:t>
      </w:r>
      <w:r>
        <w:rPr>
          <w:rFonts w:ascii="楷体_GB2312" w:cs="楷体_GB2312" w:eastAsia="楷体_GB2312" w:hint="eastAsia"/>
          <w:color w:themeColor="text1" w:val="000000"/>
          <w:sz w:val="20"/>
          <w:szCs w:val="20"/>
          <w:highlight w:val="none"/>
          <w14:textFill>
            <w14:solidFill>
              <w14:schemeClr w14:val="tx1"/>
            </w14:solidFill>
          </w14:textFill>
        </w:rPr>
        <w:t>若募集期发生变化（募集期提前结束或募集期延长）、运作起始日发生变化或者清算期遇非工作日或</w:t>
      </w:r>
      <w:r>
        <w:rPr>
          <w:rFonts w:ascii="楷体_GB2312" w:cs="楷体_GB2312" w:eastAsia="楷体_GB2312"/>
          <w:color w:themeColor="text1" w:val="000000"/>
          <w:sz w:val="20"/>
          <w:szCs w:val="20"/>
          <w:highlight w:val="none"/>
          <w14:textFill>
            <w14:solidFill>
              <w14:schemeClr w14:val="tx1"/>
            </w14:solidFill>
          </w14:textFill>
        </w:rPr>
        <w:t>其他原因延长</w:t>
      </w:r>
      <w:r>
        <w:rPr>
          <w:rFonts w:ascii="楷体_GB2312" w:cs="楷体_GB2312" w:eastAsia="楷体_GB2312" w:hint="eastAsia"/>
          <w:color w:themeColor="text1" w:val="000000"/>
          <w:sz w:val="20"/>
          <w:szCs w:val="20"/>
          <w:highlight w:val="none"/>
          <w14:textFill>
            <w14:solidFill>
              <w14:schemeClr w14:val="tx1"/>
            </w14:solidFill>
          </w14:textFill>
        </w:rPr>
        <w:t>，产品到期日视情况将可能相应进行调整，若进行调整，信银理财将以本产品</w:t>
      </w:r>
      <w:r>
        <w:rPr>
          <w:rFonts w:ascii="楷体_GB2312" w:cs="楷体_GB2312" w:eastAsia="楷体_GB2312"/>
          <w:color w:themeColor="text1" w:val="000000"/>
          <w:sz w:val="20"/>
          <w:szCs w:val="20"/>
          <w:highlight w:val="none"/>
          <w14:textFill>
            <w14:solidFill>
              <w14:schemeClr w14:val="tx1"/>
            </w14:solidFill>
          </w14:textFill>
        </w:rPr>
        <w:t>说明书</w:t>
      </w:r>
      <w:r>
        <w:rPr>
          <w:rFonts w:ascii="楷体_GB2312" w:cs="楷体_GB2312" w:eastAsia="楷体_GB2312" w:hint="eastAsia"/>
          <w:color w:themeColor="text1" w:val="000000"/>
          <w:sz w:val="20"/>
          <w:szCs w:val="20"/>
          <w:highlight w:val="none"/>
          <w14:textFill>
            <w14:solidFill>
              <w14:schemeClr w14:val="tx1"/>
            </w14:solidFill>
          </w14:textFill>
        </w:rPr>
        <w:t>约定的</w:t>
      </w:r>
      <w:r>
        <w:rPr>
          <w:rFonts w:ascii="楷体_GB2312" w:cs="楷体_GB2312" w:eastAsia="楷体_GB2312"/>
          <w:color w:themeColor="text1" w:val="000000"/>
          <w:sz w:val="20"/>
          <w:szCs w:val="20"/>
          <w:highlight w:val="none"/>
          <w14:textFill>
            <w14:solidFill>
              <w14:schemeClr w14:val="tx1"/>
            </w14:solidFill>
          </w14:textFill>
        </w:rPr>
        <w:t>方式通知投资者</w:t>
      </w:r>
      <w:r>
        <w:rPr>
          <w:rFonts w:ascii="楷体_GB2312" w:cs="楷体_GB2312" w:eastAsia="楷体_GB2312" w:hint="eastAsia"/>
          <w:color w:themeColor="text1" w:val="000000"/>
          <w:sz w:val="20"/>
          <w:szCs w:val="20"/>
          <w:highlight w:val="none"/>
          <w14:textFill>
            <w14:solidFill>
              <w14:schemeClr w14:val="tx1"/>
            </w14:solidFill>
          </w14:textFill>
        </w:rPr>
        <w:t>。</w:t>
      </w:r>
    </w:p>
    <w:p w14:paraId="558A3115">
      <w:pPr>
        <w:spacing w:line="300" w:lineRule="exact"/>
        <w:ind w:firstLine="400" w:firstLineChars="200" w:right="36" w:rightChars="15"/>
        <w:rPr>
          <w:rFonts w:ascii="楷体_GB2312" w:cs="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5</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投资者通过</w:t>
      </w:r>
      <w:r>
        <w:rPr>
          <w:rFonts w:ascii="楷体_GB2312" w:eastAsia="楷体_GB2312"/>
          <w:color w:themeColor="text1" w:val="000000"/>
          <w:sz w:val="20"/>
          <w:szCs w:val="20"/>
          <w:highlight w:val="none"/>
          <w14:textFill>
            <w14:solidFill>
              <w14:schemeClr w14:val="tx1"/>
            </w14:solidFill>
          </w14:textFill>
        </w:rPr>
        <w:t>代销机构渠道购买理财产品的，理财资金划转至投资者</w:t>
      </w:r>
      <w:r>
        <w:rPr>
          <w:rFonts w:ascii="楷体_GB2312" w:eastAsia="楷体_GB2312" w:hint="eastAsia"/>
          <w:color w:themeColor="text1" w:val="000000"/>
          <w:sz w:val="20"/>
          <w:szCs w:val="20"/>
          <w:highlight w:val="none"/>
          <w14:textFill>
            <w14:solidFill>
              <w14:schemeClr w14:val="tx1"/>
            </w14:solidFill>
          </w14:textFill>
        </w:rPr>
        <w:t>账户的</w:t>
      </w:r>
      <w:r>
        <w:rPr>
          <w:rFonts w:ascii="楷体_GB2312" w:eastAsia="楷体_GB2312"/>
          <w:color w:themeColor="text1" w:val="000000"/>
          <w:sz w:val="20"/>
          <w:szCs w:val="20"/>
          <w:highlight w:val="none"/>
          <w14:textFill>
            <w14:solidFill>
              <w14:schemeClr w14:val="tx1"/>
            </w14:solidFill>
          </w14:textFill>
        </w:rPr>
        <w:t>时间以代销机构的清算时间为准。</w:t>
      </w:r>
    </w:p>
    <w:p w14:paraId="3A470B0F">
      <w:pPr>
        <w:spacing w:line="300" w:lineRule="exact"/>
        <w:ind w:left="-2" w:leftChars="-1" w:right="36" w:rightChars="15"/>
        <w:rPr>
          <w:color w:themeColor="text1" w:val="000000"/>
          <w:highlight w:val="none"/>
          <w14:textFill>
            <w14:solidFill>
              <w14:schemeClr w14:val="tx1"/>
            </w14:solidFill>
          </w14:textFill>
        </w:rPr>
      </w:pPr>
    </w:p>
    <w:p w14:paraId="0B43CF77">
      <w:pPr>
        <w:snapToGrid w:val="0"/>
        <w:spacing w:line="300" w:lineRule="exact"/>
        <w:ind w:left="-2" w:leftChars="-1" w:right="53" w:rightChars="22"/>
        <w:outlineLvl w:val="0"/>
        <w:rPr>
          <w:rFonts w:ascii="黑体" w:cs="黑体" w:eastAsia="黑体"/>
          <w:b/>
          <w:color w:themeColor="text1" w:val="000000"/>
          <w:sz w:val="20"/>
          <w:szCs w:val="20"/>
          <w:highlight w:val="none"/>
          <w14:textFill>
            <w14:solidFill>
              <w14:schemeClr w14:val="tx1"/>
            </w14:solidFill>
          </w14:textFill>
        </w:rPr>
      </w:pPr>
      <w:r>
        <w:rPr>
          <w:rFonts w:ascii="黑体" w:cs="黑体" w:eastAsia="黑体" w:hint="eastAsia"/>
          <w:b/>
          <w:color w:themeColor="text1" w:val="000000"/>
          <w:sz w:val="20"/>
          <w:szCs w:val="20"/>
          <w:highlight w:val="none"/>
          <w14:textFill>
            <w14:solidFill>
              <w14:schemeClr w14:val="tx1"/>
            </w14:solidFill>
          </w14:textFill>
        </w:rPr>
        <w:t>八、理财产品的费用</w:t>
      </w:r>
    </w:p>
    <w:p w14:paraId="4E95783D">
      <w:pPr>
        <w:snapToGrid w:val="0"/>
        <w:spacing w:line="300" w:lineRule="exact"/>
        <w:ind w:firstLine="402" w:firstLineChars="200"/>
        <w:jc w:val="both"/>
        <w:outlineLvl w:val="0"/>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1．本产品的费用包括认购费、销售服务费、托管费、固定管理费</w:t>
      </w:r>
      <w:r>
        <w:rPr>
          <w:rFonts w:ascii="楷体_GB2312" w:cs="楷体_GB2312" w:eastAsia="楷体_GB2312" w:hint="eastAsia"/>
          <w:b/>
          <w:color w:themeColor="text1" w:val="000000"/>
          <w:sz w:val="20"/>
          <w:szCs w:val="20"/>
          <w:highlight w:val="none"/>
          <w:lang w:eastAsia="zh-CN" w:val="en-US"/>
          <w14:textFill>
            <w14:solidFill>
              <w14:schemeClr w14:val="tx1"/>
            </w14:solidFill>
          </w14:textFill>
        </w:rPr>
        <w:t>、信息技术服务费</w:t>
      </w:r>
      <w:r>
        <w:rPr>
          <w:rFonts w:ascii="楷体_GB2312" w:cs="楷体_GB2312" w:eastAsia="楷体_GB2312" w:hint="eastAsia"/>
          <w:b/>
          <w:color w:themeColor="text1" w:val="000000"/>
          <w:sz w:val="20"/>
          <w:szCs w:val="20"/>
          <w:highlight w:val="none"/>
          <w:lang w:eastAsia="zh-CN"/>
          <w14:textFill>
            <w14:solidFill>
              <w14:schemeClr w14:val="tx1"/>
            </w14:solidFill>
          </w14:textFill>
        </w:rPr>
        <w:t>、</w:t>
      </w:r>
      <w:r>
        <w:rPr>
          <w:rFonts w:ascii="楷体_GB2312" w:cs="楷体_GB2312" w:eastAsia="楷体_GB2312"/>
          <w:b/>
          <w:color w:themeColor="text1" w:val="000000"/>
          <w:sz w:val="20"/>
          <w:szCs w:val="20"/>
          <w:highlight w:val="none"/>
          <w14:textFill>
            <w14:solidFill>
              <w14:schemeClr w14:val="tx1"/>
            </w14:solidFill>
          </w14:textFill>
        </w:rPr>
        <w:t>浮动管理费，产品运作和清算中产生的其他资金汇划费、结算费、交易手续费、注册登记费、信息披露费、账户服务费、审计费、律师费</w:t>
      </w:r>
      <w:r>
        <w:rPr>
          <w:rFonts w:ascii="楷体_GB2312" w:cs="楷体_GB2312" w:eastAsia="楷体_GB2312" w:hint="eastAsia"/>
          <w:b/>
          <w:color w:themeColor="text1" w:val="000000"/>
          <w:sz w:val="20"/>
          <w:szCs w:val="20"/>
          <w:highlight w:val="none"/>
          <w14:textFill>
            <w14:solidFill>
              <w14:schemeClr w14:val="tx1"/>
            </w14:solidFill>
          </w14:textFill>
        </w:rPr>
        <w:t>、因投资资产而产生的资产推荐服务费等相关费用</w:t>
      </w:r>
      <w:r>
        <w:rPr>
          <w:rFonts w:ascii="楷体_GB2312" w:cs="楷体_GB2312" w:eastAsia="楷体_GB2312"/>
          <w:b/>
          <w:color w:themeColor="text1" w:val="000000"/>
          <w:sz w:val="20"/>
          <w:szCs w:val="20"/>
          <w:highlight w:val="none"/>
          <w14:textFill>
            <w14:solidFill>
              <w14:schemeClr w14:val="tx1"/>
            </w14:solidFill>
          </w14:textFill>
        </w:rPr>
        <w:t>，以及按照法律法规规章规定和理财产品销售文件约定可以列入的其他费用。管理人因管理、运营理财产品发生的税费</w:t>
      </w:r>
      <w:r>
        <w:rPr>
          <w:rFonts w:ascii="楷体_GB2312" w:eastAsia="楷体_GB2312"/>
          <w:b/>
          <w:color w:themeColor="text1" w:val="000000"/>
          <w:sz w:val="20"/>
          <w:szCs w:val="20"/>
          <w:highlight w:val="none"/>
          <w14:textFill>
            <w14:solidFill>
              <w14:schemeClr w14:val="tx1"/>
            </w14:solidFill>
          </w14:textFill>
        </w:rPr>
        <w:t>（包括但不限于增值税及相应的附加税费等）</w:t>
      </w:r>
      <w:r>
        <w:rPr>
          <w:rFonts w:ascii="楷体_GB2312" w:cs="楷体_GB2312" w:eastAsia="楷体_GB2312"/>
          <w:b/>
          <w:color w:themeColor="text1" w:val="000000"/>
          <w:sz w:val="20"/>
          <w:szCs w:val="20"/>
          <w:highlight w:val="none"/>
          <w14:textFill>
            <w14:solidFill>
              <w14:schemeClr w14:val="tx1"/>
            </w14:solidFill>
          </w14:textFill>
        </w:rPr>
        <w:t>由产品资产承担。法律法规另有规定时从其规定。</w:t>
      </w:r>
    </w:p>
    <w:p w14:paraId="62EC02D6">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2.认购费</w:t>
      </w:r>
      <w:r>
        <w:rPr>
          <w:rFonts w:ascii="楷体_GB2312" w:cs="楷体_GB2312" w:eastAsia="楷体_GB2312" w:hint="eastAsia"/>
          <w:b/>
          <w:color w:val="000000"/>
          <w:sz w:val="20"/>
          <w:szCs w:val="20"/>
          <w:highlight w:val="none"/>
        </w:rPr>
        <w:t>：</w:t>
      </w:r>
      <w:r>
        <w:rPr>
          <w:rFonts w:ascii="楷体_GB2312" w:cs="楷体_GB2312" w:eastAsia="楷体_GB2312"/>
          <w:b/>
          <w:sz w:val="20"/>
          <w:szCs w:val="20"/>
          <w:highlight w:val="none"/>
        </w:rPr>
        <w:t>【A】类份额不收取认购费，【B】类份额不收取认购费，【C】类份额不收取认购费，【D】类份额不收取认购费，【G】类份额不收取认购费，【M】类份额不收取认购费，【N】类份额不收取认购费，【S】类份额不收取认购费</w:t>
      </w:r>
      <w:r>
        <w:rPr>
          <w:rFonts w:ascii="楷体_GB2312" w:cs="楷体_GB2312" w:eastAsia="楷体_GB2312" w:hint="eastAsia"/>
          <w:b/>
          <w:sz w:val="20"/>
          <w:szCs w:val="20"/>
          <w:highlight w:val="none"/>
        </w:rPr>
        <w:t>。</w:t>
      </w:r>
    </w:p>
    <w:p w14:paraId="54618D66">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3.销售服务费</w:t>
      </w:r>
    </w:p>
    <w:p w14:paraId="7D1AECCA">
      <w:pPr>
        <w:spacing w:line="300" w:lineRule="exact"/>
        <w:ind w:firstLine="402" w:firstLineChars="200"/>
        <w:rPr>
          <w:rFonts w:ascii="楷体_GB2312" w:cs="楷体_GB2312" w:eastAsia="楷体_GB2312"/>
          <w:b/>
          <w:color w:val="000000"/>
          <w:sz w:val="20"/>
          <w:szCs w:val="20"/>
          <w:highlight w:val="none"/>
        </w:rPr>
      </w:pPr>
      <w:r>
        <w:rPr>
          <w:rFonts w:ascii="楷体_GB2312" w:cs="楷体_GB2312" w:eastAsia="楷体_GB2312"/>
          <w:b/>
          <w:sz w:val="20"/>
          <w:szCs w:val="20"/>
          <w:highlight w:val="none"/>
        </w:rPr>
        <w:t/>
        <w:t>【A】类份额费率【0.15%】/年，【B】类份额费率【0.15%】/年，【C】类份额费率【0.10%】/年，【D】类份额费率【0.10%】/年，【G】类份额费率【0.10%】/年，【M】类份额费率【0.20%】/年，【N】类份额费率【0.30%】/年，【S】类份额费率【0.10%】/年，计算方式为【每日销售费=理财产品上一自然日产品净资产×销售费率/365。 （在首个起息日计算销售服务费时，以产品成立日的实收本金为计提基础，计算托管费、固定管理费时亦参照执行）】。</w:t>
        <w:br/>
        <w:t xml:space="preserve">    销售服务费每日计提，按【季】支付，由管理人向托管人发送指令，托管人复核后按【季】从资产中一次性支付。投资者通过代销机构购买理财产品的，代销机构收取的销售相关费用以代销机构规定为准。</w:t>
      </w:r>
      <w:r>
        <w:rPr>
          <w:rFonts w:ascii="楷体_GB2312" w:cs="楷体_GB2312" w:eastAsia="楷体_GB2312" w:hint="eastAsia"/>
          <w:b/>
          <w:sz w:val="20"/>
          <w:szCs w:val="20"/>
          <w:highlight w:val="none"/>
          <w:lang w:eastAsia="zh-CN" w:val="en-US"/>
        </w:rPr>
        <w:t/>
      </w:r>
      <w:r>
        <w:rPr>
          <w:rFonts w:ascii="楷体_GB2312" w:cs="楷体_GB2312" w:eastAsia="楷体_GB2312"/>
          <w:b/>
          <w:sz w:val="20"/>
          <w:szCs w:val="20"/>
          <w:highlight w:val="none"/>
        </w:rPr>
        <w:t/>
      </w:r>
    </w:p>
    <w:p w14:paraId="79AE49C5">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4.托管费</w:t>
      </w:r>
    </w:p>
    <w:p w14:paraId="2C84DF00">
      <w:pPr>
        <w:snapToGrid w:val="0"/>
        <w:spacing w:line="300" w:lineRule="exact"/>
        <w:ind w:firstLine="402" w:firstLineChars="200"/>
        <w:outlineLvl w:val="0"/>
        <w:rPr>
          <w:rFonts w:ascii="楷体_GB2312" w:eastAsia="楷体_GB2312"/>
          <w:b/>
          <w:sz w:val="20"/>
          <w:szCs w:val="20"/>
          <w:highlight w:val="none"/>
        </w:rPr>
      </w:pPr>
      <w:r>
        <w:rPr>
          <w:rFonts w:ascii="楷体_GB2312" w:cs="楷体_GB2312" w:eastAsia="楷体_GB2312"/>
          <w:b/>
          <w:sz w:val="20"/>
          <w:szCs w:val="20"/>
          <w:highlight w:val="none"/>
        </w:rPr>
        <w:t>费率【0.05%】/年，计算方式为【</w:t>
      </w:r>
      <w:r>
        <w:rPr>
          <w:rFonts w:ascii="楷体_GB2312" w:cs="楷体_GB2312" w:eastAsia="楷体_GB2312" w:hint="eastAsia"/>
          <w:b/>
          <w:sz w:val="20"/>
          <w:szCs w:val="20"/>
          <w:highlight w:val="none"/>
        </w:rPr>
        <w:t>每日托管费</w:t>
      </w:r>
      <w:r>
        <w:rPr>
          <w:rFonts w:ascii="楷体_GB2312" w:cs="楷体_GB2312" w:eastAsia="楷体_GB2312"/>
          <w:b/>
          <w:sz w:val="20"/>
          <w:szCs w:val="20"/>
          <w:highlight w:val="none"/>
        </w:rPr>
        <w:t>=理财产品上一自然日产品净资产</w:t>
      </w:r>
      <w:r>
        <w:rPr>
          <w:rFonts w:ascii="楷体_GB2312" w:cs="楷体_GB2312" w:eastAsia="楷体_GB2312" w:hint="eastAsia"/>
          <w:b/>
          <w:sz w:val="20"/>
          <w:szCs w:val="20"/>
          <w:highlight w:val="none"/>
        </w:rPr>
        <w:t/>
      </w:r>
      <w:r>
        <w:rPr>
          <w:rFonts w:ascii="楷体_GB2312" w:cs="楷体_GB2312" w:eastAsia="楷体_GB2312"/>
          <w:b/>
          <w:sz w:val="20"/>
          <w:szCs w:val="20"/>
          <w:highlight w:val="none"/>
        </w:rPr>
        <w:t>×托管费率/365</w:t>
      </w:r>
      <w:r>
        <w:rPr>
          <w:rFonts w:ascii="楷体_GB2312" w:cs="楷体_GB2312" w:eastAsia="楷体_GB2312" w:hint="eastAsia"/>
          <w:b/>
          <w:sz w:val="20"/>
          <w:szCs w:val="20"/>
          <w:highlight w:val="none"/>
        </w:rPr>
        <w:t/>
      </w:r>
      <w:r>
        <w:rPr>
          <w:rFonts w:ascii="楷体_GB2312" w:cs="楷体_GB2312" w:eastAsia="楷体_GB2312"/>
          <w:b/>
          <w:sz w:val="20"/>
          <w:szCs w:val="20"/>
          <w:highlight w:val="none"/>
        </w:rPr>
        <w:t>】</w:t>
      </w:r>
      <w:r>
        <w:rPr>
          <w:rFonts w:ascii="楷体_GB2312" w:cs="楷体_GB2312" w:eastAsia="楷体_GB2312" w:hint="eastAsia"/>
          <w:b/>
          <w:sz w:val="20"/>
          <w:szCs w:val="20"/>
          <w:highlight w:val="none"/>
        </w:rPr>
        <w:t>。</w:t>
      </w:r>
    </w:p>
    <w:p w14:paraId="61F79A12">
      <w:pPr>
        <w:snapToGrid w:val="0"/>
        <w:spacing w:line="300" w:lineRule="exact"/>
        <w:ind w:firstLine="402" w:firstLineChars="200"/>
        <w:outlineLvl w:val="0"/>
        <w:rPr>
          <w:rFonts w:ascii="楷体_GB2312" w:eastAsia="楷体_GB2312"/>
          <w:b/>
          <w:color w:val="000000"/>
          <w:sz w:val="20"/>
          <w:szCs w:val="20"/>
          <w:highlight w:val="none"/>
        </w:rPr>
      </w:pPr>
      <w:r>
        <w:rPr>
          <w:rFonts w:ascii="楷体_GB2312" w:cs="楷体_GB2312" w:eastAsia="楷体_GB2312"/>
          <w:b/>
          <w:color w:val="000000"/>
          <w:sz w:val="20"/>
          <w:szCs w:val="20"/>
          <w:highlight w:val="none"/>
        </w:rPr>
        <w:t>托管费每日计提，按【</w:t>
      </w:r>
      <w:r>
        <w:rPr>
          <w:rFonts w:ascii="楷体_GB2312" w:cs="楷体_GB2312" w:eastAsia="楷体_GB2312" w:hint="eastAsia"/>
          <w:b/>
          <w:color w:val="000000"/>
          <w:sz w:val="20"/>
          <w:szCs w:val="20"/>
          <w:highlight w:val="none"/>
        </w:rPr>
        <w:t>年</w:t>
      </w:r>
      <w:r>
        <w:rPr>
          <w:rFonts w:ascii="楷体_GB2312" w:cs="楷体_GB2312" w:eastAsia="楷体_GB2312"/>
          <w:b/>
          <w:color w:val="000000"/>
          <w:sz w:val="20"/>
          <w:szCs w:val="20"/>
          <w:highlight w:val="none"/>
        </w:rPr>
        <w:t>】支付，由管理人向托管人发送指令，托管人复核后从资产中一次性支付。</w:t>
      </w:r>
    </w:p>
    <w:p w14:paraId="015FAA49">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5.固定管理费</w:t>
      </w:r>
    </w:p>
    <w:p w14:paraId="0B9B6D7F">
      <w:pPr>
        <w:snapToGrid w:val="0"/>
        <w:spacing w:line="300" w:lineRule="exact"/>
        <w:ind w:firstLine="402" w:firstLineChars="200"/>
        <w:outlineLvl w:val="0"/>
        <w:rPr>
          <w:rFonts w:ascii="楷体_GB2312" w:eastAsia="楷体_GB2312"/>
          <w:b/>
          <w:sz w:val="20"/>
          <w:szCs w:val="20"/>
          <w:highlight w:val="none"/>
        </w:rPr>
      </w:pPr>
      <w:r>
        <w:rPr>
          <w:rFonts w:ascii="楷体_GB2312" w:cs="楷体_GB2312" w:eastAsia="楷体_GB2312" w:hint="eastAsia"/>
          <w:b/>
          <w:sz w:val="20"/>
          <w:szCs w:val="20"/>
          <w:highlight w:val="none"/>
        </w:rPr>
        <w:t>费率【</w:t>
      </w:r>
      <w:r>
        <w:rPr>
          <w:rFonts w:ascii="楷体_GB2312" w:cs="楷体_GB2312" w:eastAsia="楷体_GB2312"/>
          <w:b/>
          <w:sz w:val="20"/>
          <w:szCs w:val="20"/>
          <w:highlight w:val="none"/>
        </w:rPr>
        <w:t>0.15%】/年，计算方式为【</w:t>
      </w:r>
      <w:r>
        <w:rPr>
          <w:rFonts w:ascii="楷体_GB2312" w:cs="楷体_GB2312" w:eastAsia="楷体_GB2312" w:hint="eastAsia"/>
          <w:b/>
          <w:sz w:val="20"/>
          <w:szCs w:val="20"/>
          <w:highlight w:val="none"/>
        </w:rPr>
        <w:t>每日固定管理费</w:t>
      </w:r>
      <w:r>
        <w:rPr>
          <w:rFonts w:ascii="楷体_GB2312" w:cs="楷体_GB2312" w:eastAsia="楷体_GB2312"/>
          <w:b/>
          <w:sz w:val="20"/>
          <w:szCs w:val="20"/>
          <w:highlight w:val="none"/>
        </w:rPr>
        <w:t>=理财产品上一自然日产品净资产</w:t>
      </w:r>
      <w:r>
        <w:rPr>
          <w:rFonts w:ascii="楷体_GB2312" w:cs="楷体_GB2312" w:eastAsia="楷体_GB2312" w:hint="eastAsia"/>
          <w:b/>
          <w:sz w:val="20"/>
          <w:szCs w:val="20"/>
          <w:highlight w:val="none"/>
        </w:rPr>
        <w:t/>
      </w:r>
      <w:r>
        <w:rPr>
          <w:rFonts w:ascii="楷体_GB2312" w:cs="楷体_GB2312" w:eastAsia="楷体_GB2312"/>
          <w:b/>
          <w:sz w:val="20"/>
          <w:szCs w:val="20"/>
          <w:highlight w:val="none"/>
        </w:rPr>
        <w:t>×固定管理费率/365】</w:t>
      </w:r>
      <w:r>
        <w:rPr>
          <w:rFonts w:ascii="楷体_GB2312" w:cs="楷体_GB2312" w:eastAsia="楷体_GB2312" w:hint="eastAsia"/>
          <w:b/>
          <w:sz w:val="20"/>
          <w:szCs w:val="20"/>
          <w:highlight w:val="none"/>
        </w:rPr>
        <w:t>。</w:t>
      </w:r>
    </w:p>
    <w:p w14:paraId="60C301C7">
      <w:pPr>
        <w:snapToGrid w:val="0"/>
        <w:spacing w:line="300" w:lineRule="exact"/>
        <w:ind w:firstLine="402" w:firstLineChars="200" w:left="-2" w:leftChars="-1"/>
        <w:outlineLvl w:val="0"/>
        <w:rPr>
          <w:rFonts w:ascii="楷体_GB2312" w:eastAsia="楷体_GB2312"/>
          <w:b/>
          <w:sz w:val="20"/>
          <w:szCs w:val="20"/>
          <w:highlight w:val="none"/>
        </w:rPr>
      </w:pPr>
      <w:r>
        <w:rPr>
          <w:rFonts w:ascii="楷体_GB2312" w:cs="楷体_GB2312" w:eastAsia="楷体_GB2312" w:hint="eastAsia"/>
          <w:b/>
          <w:sz w:val="20"/>
          <w:szCs w:val="20"/>
          <w:highlight w:val="none"/>
        </w:rPr>
        <w:t>固定管理费每日计提，按【月】支付，由管理人向托管人发送指令，托管人复核后从资产中一次性支付。</w:t>
      </w:r>
    </w:p>
    <w:p w14:paraId="5506B4A6">
      <w:pPr>
        <w:snapToGrid w:val="0"/>
        <w:spacing w:line="300" w:lineRule="exact"/>
        <w:ind w:firstLine="402" w:firstLineChars="200"/>
        <w:outlineLvl w:val="0"/>
        <w:rPr>
          <w:rFonts w:ascii="楷体_GB2312" w:cs="楷体_GB2312" w:eastAsia="楷体_GB2312"/>
          <w:b/>
          <w:color w:val="000000"/>
          <w:sz w:val="20"/>
          <w:szCs w:val="20"/>
          <w:highlight w:val="none"/>
        </w:rPr>
      </w:pPr>
      <w:r>
        <w:rPr>
          <w:rFonts w:ascii="楷体_GB2312" w:cs="楷体_GB2312" w:eastAsia="楷体_GB2312"/>
          <w:b/>
          <w:color w:val="000000"/>
          <w:sz w:val="20"/>
          <w:szCs w:val="20"/>
          <w:highlight w:val="none"/>
        </w:rPr>
        <w:t>6.浮动管理费</w:t>
      </w:r>
    </w:p>
    <w:p w14:paraId="03DB22E1">
      <w:pPr>
        <w:snapToGrid w:val="0"/>
        <w:spacing w:line="300" w:lineRule="exact"/>
        <w:ind w:firstLine="402" w:firstLineChars="200" w:right="96" w:rightChars="40"/>
        <w:outlineLvl w:val="0"/>
        <w:rPr>
          <w:rFonts w:ascii="楷体_GB2312" w:cs="楷体_GB2312" w:eastAsia="楷体_GB2312"/>
          <w:b/>
          <w:sz w:val="20"/>
          <w:szCs w:val="20"/>
          <w:highlight w:val="none"/>
        </w:rPr>
      </w:pPr>
      <w:r>
        <w:rPr>
          <w:rFonts w:ascii="楷体_GB2312" w:cs="楷体_GB2312" w:eastAsia="楷体_GB2312"/>
          <w:b/>
          <w:sz w:val="20"/>
          <w:szCs w:val="20"/>
          <w:highlight w:val="none"/>
        </w:rPr>
        <w:t/>
        <w:t>【A】类份额设立业绩比较基准，在产品到期日或提前终止日时，如计提浮动管理费前年化收益率超过【2.20%】的，管理人将收取超额部分的【50%】作为浮动管理费。</w:t>
        <w:br/>
        <w:t xml:space="preserve">    【B】类份额设立业绩比较基准，在产品到期日或提前终止日时，如计提浮动管理费前年化收益率超过【2.20%】的，管理人将收取超额部分的【50%】作为浮动管理费。</w:t>
        <w:br/>
        <w:t xml:space="preserve">    【C】类份额设立业绩比较基准，在产品到期日或提前终止日时，如计提浮动管理费前年化收益率超过【2.25%】的，管理人将收取超额部分的【50%】作为浮动管理费。</w:t>
        <w:br/>
        <w:t xml:space="preserve">    【D】类份额设立业绩比较基准，在产品到期日或提前终止日时，如计提浮动管理费前年化收益率超过【2.25%】的，管理人将收取超额部分的【50%】作为浮动管理费。</w:t>
        <w:br/>
        <w:t xml:space="preserve">    【G】类份额设立业绩比较基准，在产品到期日或提前终止日时，如计提浮动管理费前年化收益率超过【2.25%】的，管理人将收取超额部分的【50%】作为浮动管理费。</w:t>
        <w:br/>
        <w:t xml:space="preserve">    【M】类份额设立业绩比较基准，在产品到期日或提前终止日时，如计提浮动管理费前年化收益率超过【2.15%】的，管理人将收取超额部分的【50%】作为浮动管理费。</w:t>
        <w:br/>
        <w:t xml:space="preserve">    【N】类份额设立业绩比较基准，在产品到期日或提前终止日时，如计提浮动管理费前年化收益率超过【2.05%】的，管理人将收取超额部分的【50%】作为浮动管理费。</w:t>
        <w:br/>
        <w:t xml:space="preserve">    【S】类份额设立业绩比较基准，在产品到期日或提前终止日时，如计提浮动管理费前年化收益率超过【2.25%】的，管理人将收取超额部分的【50%】作为浮动管理费。</w:t>
        <w:br/>
        <w:t xml:space="preserve">    浮动管理费到期日或提前终止日计提，由管理人向托管人发送指令，托管人复核后到期从资产中一次性支付。</w:t>
        <w:br/>
        <w:t xml:space="preserve">    理财产品每日暂估的浮动管理费，仅用于理财产品会计核算和估值日估值，并将扣除“暂估浮动管理费”后的理财产品份额净值按照本说明书约定定期向投资者进行披露。理财产品实际的浮动管理费最终以每个到期日或提前终止日计提核算的数值为准。</w:t>
      </w:r>
    </w:p>
    <w:p w14:paraId="4C1A9847">
      <w:pPr>
        <w:snapToGrid w:val="0"/>
        <w:spacing w:line="300" w:lineRule="exact"/>
        <w:ind w:firstLine="402" w:firstLineChars="200" w:left="0" w:leftChars="0" w:right="96" w:rightChars="40"/>
        <w:outlineLvl w:val="0"/>
        <w:rPr>
          <w:rFonts w:ascii="楷体_GB2312" w:cs="楷体_GB2312" w:eastAsia="楷体_GB2312"/>
          <w:b/>
          <w:sz w:val="20"/>
          <w:szCs w:val="20"/>
          <w:highlight w:val="none"/>
        </w:rPr>
      </w:pPr>
      <w:r>
        <w:rPr>
          <w:rFonts w:ascii="楷体_GB2312" w:cs="楷体_GB2312" w:eastAsia="楷体_GB2312" w:hint="eastAsia"/>
          <w:b/>
          <w:bCs/>
          <w:color w:themeColor="text1" w:val="000000"/>
          <w:sz w:val="20"/>
          <w:szCs w:val="20"/>
          <w:highlight w:val="none"/>
          <w:lang w:eastAsia="zh-CN" w:val="en-US"/>
          <w14:textFill>
            <w14:solidFill>
              <w14:schemeClr w14:val="tx1"/>
            </w14:solidFill>
          </w14:textFill>
        </w:rPr>
        <w:t/>
        <w:t>7.信息技术服务费</w:t>
        <w:br/>
        <w:t xml:space="preserve">    费率【0.002%】/年，计算方式为【每日信息技术服务费=理财产品上一自然日产品净资产*信息技术服务费率/365】。</w:t>
        <w:br/>
        <w:t xml:space="preserve">    信息技术服务费系理财产品使用银行业理财登记托管中心有限公司中央数据交换平台服务产生，信息技术服务费每日计提，按【季】支付，由管理人向托管人发送指令，托管人复核后从资产中一次性支付银行业理财登记托管中心有限公司。</w:t>
        <w:br/>
        <w:t xml:space="preserve">    8.产品运作和清算中产生的其他资金汇划费、结算费、交易手续费、注册登记费、信息披露费、账户服务费、审计费、律师费、因投资资产而产生的资产推荐服务费等相关费用及按照法律法规规章规定和理财产品销售文件约定应由产品承担的费用等，按照实际发生时从产品资产中列支。</w:t>
      </w:r>
    </w:p>
    <w:p w14:paraId="284F0913">
      <w:pPr>
        <w:snapToGrid w:val="0"/>
        <w:spacing w:line="300" w:lineRule="exact"/>
        <w:ind w:firstLine="400" w:firstLineChars="200" w:left="-2" w:leftChars="-1" w:right="53" w:rightChars="22"/>
        <w:jc w:val="both"/>
        <w:outlineLvl w:val="0"/>
        <w:rPr>
          <w:rFonts w:ascii="楷体_GB2312" w:cs="楷体_GB2312" w:eastAsia="楷体_GB2312"/>
          <w:color w:themeColor="text1" w:val="000000"/>
          <w:sz w:val="20"/>
          <w:szCs w:val="20"/>
          <w:highlight w:val="none"/>
          <w14:textFill>
            <w14:solidFill>
              <w14:schemeClr w14:val="tx1"/>
            </w14:solidFill>
          </w14:textFill>
        </w:rPr>
      </w:pPr>
    </w:p>
    <w:p w14:paraId="79F8174C">
      <w:pPr>
        <w:spacing w:line="300" w:lineRule="exact"/>
        <w:ind w:right="29" w:rightChars="12"/>
        <w:rPr>
          <w:rFonts w:ascii="黑体" w:eastAsia="黑体"/>
          <w:color w:themeColor="text1" w:val="000000"/>
          <w:sz w:val="20"/>
          <w:szCs w:val="20"/>
          <w:highlight w:val="none"/>
          <w14:textFill>
            <w14:solidFill>
              <w14:schemeClr w14:val="tx1"/>
            </w14:solidFill>
          </w14:textFill>
        </w:rPr>
      </w:pPr>
      <w:r>
        <w:rPr>
          <w:rFonts w:ascii="黑体" w:cs="黑体" w:eastAsia="黑体" w:hint="eastAsia"/>
          <w:color w:themeColor="text1" w:val="000000"/>
          <w:sz w:val="20"/>
          <w:szCs w:val="20"/>
          <w:highlight w:val="none"/>
          <w14:textFill>
            <w14:solidFill>
              <w14:schemeClr w14:val="tx1"/>
            </w14:solidFill>
          </w14:textFill>
        </w:rPr>
        <w:t>九、资产估值</w:t>
      </w:r>
    </w:p>
    <w:p w14:paraId="1AB5D47C">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1</w:t>
      </w:r>
      <w:r>
        <w:rPr>
          <w:rFonts w:ascii="楷体_GB2312" w:cs="楷体_GB2312" w:eastAsia="楷体_GB2312" w:hint="eastAsia"/>
          <w:color w:themeColor="text1" w:val="000000"/>
          <w:sz w:val="20"/>
          <w:szCs w:val="20"/>
          <w:highlight w:val="none"/>
          <w14:textFill>
            <w14:solidFill>
              <w14:schemeClr w14:val="tx1"/>
            </w14:solidFill>
          </w14:textFill>
        </w:rPr>
        <w:t>．估值日</w:t>
      </w:r>
    </w:p>
    <w:p w14:paraId="773AD8D1">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w:t>
      </w:r>
      <w:r>
        <w:rPr>
          <w:rFonts w:ascii="楷体_GB2312" w:cs="楷体_GB2312" w:eastAsia="楷体_GB2312"/>
          <w:color w:themeColor="text1" w:val="000000"/>
          <w:sz w:val="20"/>
          <w:szCs w:val="20"/>
          <w:highlight w:val="none"/>
          <w14:textFill>
            <w14:solidFill>
              <w14:schemeClr w14:val="tx1"/>
            </w14:solidFill>
          </w14:textFill>
        </w:rPr>
        <w:t>产品的估值日为</w:t>
      </w:r>
      <w:r>
        <w:rPr>
          <w:rFonts w:ascii="楷体_GB2312" w:cs="楷体_GB2312" w:eastAsia="楷体_GB2312" w:hint="eastAsia"/>
          <w:color w:themeColor="text1" w:val="000000"/>
          <w:sz w:val="20"/>
          <w:szCs w:val="20"/>
          <w:highlight w:val="none"/>
          <w14:textFill>
            <w14:solidFill>
              <w14:schemeClr w14:val="tx1"/>
            </w14:solidFill>
          </w14:textFill>
        </w:rPr>
        <w:t>净值披露日和收益分配日</w:t>
      </w:r>
      <w:r>
        <w:rPr>
          <w:rFonts w:ascii="楷体_GB2312" w:cs="楷体_GB2312" w:eastAsia="楷体_GB2312"/>
          <w:color w:themeColor="text1" w:val="000000"/>
          <w:sz w:val="20"/>
          <w:szCs w:val="20"/>
          <w:highlight w:val="none"/>
          <w14:textFill>
            <w14:solidFill>
              <w14:schemeClr w14:val="tx1"/>
            </w14:solidFill>
          </w14:textFill>
        </w:rPr>
        <w:t>。</w:t>
      </w:r>
    </w:p>
    <w:p w14:paraId="2D3F1DD2">
      <w:pPr>
        <w:numPr>
          <w:ilvl w:val="0"/>
          <w:numId w:val="9"/>
        </w:numPr>
        <w:spacing w:line="300" w:lineRule="exact"/>
        <w:ind w:firstLine="400" w:firstLineChars="200"/>
        <w:jc w:val="both"/>
        <w:rPr>
          <w:rFonts w:ascii="楷体_GB2312" w:cs="楷体_GB2312" w:eastAsia="楷体_GB2312" w:hint="default"/>
          <w:color w:themeColor="text1" w:val="000000"/>
          <w:sz w:val="20"/>
          <w:szCs w:val="20"/>
          <w:highlight w:val="none"/>
          <w:lang w:eastAsia="zh-CN" w:val="en-US"/>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估值原则</w:t>
      </w:r>
    </w:p>
    <w:p w14:paraId="79EA9118">
      <w:pPr>
        <w:numPr>
          <w:ilvl w:val="-1"/>
          <w:numId w:val="0"/>
        </w:numPr>
        <w:spacing w:line="300" w:lineRule="exact"/>
        <w:ind w:firstLine="0" w:firstLineChars="0"/>
        <w:jc w:val="both"/>
        <w:rPr>
          <w:rFonts w:ascii="楷体_GB2312" w:cs="楷体_GB2312" w:eastAsia="楷体_GB2312" w:hint="eastAsia"/>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 xml:space="preserve">    </w:t>
      </w:r>
      <w:r>
        <w:rPr>
          <w:rFonts w:ascii="楷体_GB2312" w:cs="楷体_GB2312" w:eastAsia="楷体_GB2312" w:hint="eastAsia"/>
          <w:color w:themeColor="text1" w:val="000000"/>
          <w:sz w:val="20"/>
          <w:szCs w:val="20"/>
          <w:highlight w:val="none"/>
          <w14:textFill>
            <w14:solidFill>
              <w14:schemeClr w14:val="tx1"/>
            </w14:solidFill>
          </w14:textFill>
        </w:rPr>
        <w:t>管理人在确定相关金融工具的公允价值时，应符合《企业会计准则》、监管部门有关规定。</w:t>
      </w:r>
    </w:p>
    <w:p w14:paraId="53F4A7F7">
      <w:pPr>
        <w:numPr>
          <w:ilvl w:val="-1"/>
          <w:numId w:val="0"/>
        </w:numPr>
        <w:spacing w:line="300" w:lineRule="exact"/>
        <w:ind w:firstLine="400" w:firstLineChars="200"/>
        <w:jc w:val="both"/>
        <w:rPr>
          <w:rFonts w:ascii="楷体_GB2312" w:cs="楷体_GB2312" w:eastAsia="楷体_GB2312" w:hint="eastAsia"/>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1</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对存在活跃市场且能够获取相同投资品种报价的金融工具，在估值日有报价的，除会计准则规定的例外情况外，应将该报价不加调整地应用于该金融工具的公允价值计量。估值日无报价且最近交易日后未发生影响公允价值计量的重大事件的，应采用最近交易日的报价确定金融工具</w:t>
      </w:r>
      <w:r>
        <w:rPr>
          <w:rFonts w:ascii="楷体_GB2312" w:cs="楷体_GB2312" w:eastAsia="楷体_GB2312" w:hint="eastAsia"/>
          <w:color w:themeColor="text1" w:val="000000"/>
          <w:sz w:val="20"/>
          <w:szCs w:val="20"/>
          <w:highlight w:val="none"/>
          <w:lang w:eastAsia="zh-CN"/>
          <w14:textFill>
            <w14:solidFill>
              <w14:schemeClr w14:val="tx1"/>
            </w14:solidFill>
          </w14:textFill>
        </w:rPr>
        <w:t>的</w:t>
      </w:r>
      <w:r>
        <w:rPr>
          <w:rFonts w:ascii="楷体_GB2312" w:cs="楷体_GB2312" w:eastAsia="楷体_GB2312" w:hint="eastAsia"/>
          <w:color w:themeColor="text1" w:val="000000"/>
          <w:sz w:val="20"/>
          <w:szCs w:val="20"/>
          <w:highlight w:val="none"/>
          <w14:textFill>
            <w14:solidFill>
              <w14:schemeClr w14:val="tx1"/>
            </w14:solidFill>
          </w14:textFill>
        </w:rPr>
        <w:t>公允价值。有充足证据表明估值日或最近交易日的报价不能真实反映金融工具</w:t>
      </w:r>
      <w:r>
        <w:rPr>
          <w:rFonts w:ascii="楷体_GB2312" w:cs="楷体_GB2312" w:eastAsia="楷体_GB2312" w:hint="eastAsia"/>
          <w:color w:themeColor="text1" w:val="000000"/>
          <w:sz w:val="20"/>
          <w:szCs w:val="20"/>
          <w:highlight w:val="none"/>
          <w:lang w:eastAsia="zh-CN"/>
          <w14:textFill>
            <w14:solidFill>
              <w14:schemeClr w14:val="tx1"/>
            </w14:solidFill>
          </w14:textFill>
        </w:rPr>
        <w:t>的</w:t>
      </w:r>
      <w:r>
        <w:rPr>
          <w:rFonts w:ascii="楷体_GB2312" w:cs="楷体_GB2312" w:eastAsia="楷体_GB2312" w:hint="eastAsia"/>
          <w:color w:themeColor="text1" w:val="000000"/>
          <w:sz w:val="20"/>
          <w:szCs w:val="20"/>
          <w:highlight w:val="none"/>
          <w14:textFill>
            <w14:solidFill>
              <w14:schemeClr w14:val="tx1"/>
            </w14:solidFill>
          </w14:textFill>
        </w:rPr>
        <w:t>公允价值的，应对报价进行调整，确定公允价值。</w:t>
      </w:r>
    </w:p>
    <w:p w14:paraId="6CF710A9">
      <w:pPr>
        <w:numPr>
          <w:ilvl w:val="-1"/>
          <w:numId w:val="0"/>
        </w:numPr>
        <w:spacing w:line="300" w:lineRule="exact"/>
        <w:ind w:firstLine="400" w:firstLineChars="200"/>
        <w:jc w:val="both"/>
        <w:rPr>
          <w:rFonts w:ascii="楷体_GB2312" w:cs="楷体_GB2312" w:eastAsia="楷体_GB2312" w:hint="eastAsia"/>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2</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对存在活跃市场的投资品种，如估值日无报价的，需结合最近交易日后经济环境是否发生了重大变化，评估是否对最近交易市价进行调整，确定公允价值。</w:t>
      </w:r>
    </w:p>
    <w:p w14:paraId="760BED59">
      <w:pPr>
        <w:numPr>
          <w:ilvl w:val="-1"/>
          <w:numId w:val="0"/>
        </w:numPr>
        <w:spacing w:line="300" w:lineRule="exact"/>
        <w:ind w:firstLine="400" w:firstLineChars="200"/>
        <w:jc w:val="both"/>
        <w:rPr>
          <w:rFonts w:ascii="楷体_GB2312" w:cs="楷体_GB2312" w:eastAsia="楷体_GB2312" w:hint="eastAsia"/>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3</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对不存在活跃市场的投资品种，应采用市场参与者普遍认同且被以往市场实际交易价格验证具有可靠性的估值技术确定金融工具的公允价值。采用估值技术确定公允价值时，应优先使用可观察输入值，只有在无法取得相关金融工具可观察输入值或取得不切实可行的情况下，才可以使用不可观察输入值。</w:t>
      </w:r>
    </w:p>
    <w:p w14:paraId="747172AD">
      <w:pPr>
        <w:numPr>
          <w:ilvl w:val="-1"/>
          <w:numId w:val="0"/>
        </w:num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4</w:t>
      </w:r>
      <w:r>
        <w:rPr>
          <w:rFonts w:ascii="楷体_GB2312" w:cs="楷体_GB2312" w:eastAsia="楷体_GB2312" w:hint="eastAsia"/>
          <w:color w:themeColor="text1" w:val="000000"/>
          <w:sz w:val="20"/>
          <w:szCs w:val="20"/>
          <w:highlight w:val="none"/>
          <w:lang w:eastAsia="zh-CN"/>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公司在估值过程中可参考第三方估值机构提供的估值结果或估值参数。当采用第三方估值机构提供的价格数据估值时，应选取可靠的、信誉良好的第三方估值机构，并充分了解第三方估值机构所使用的估值技术和估值结果的产生过程，通过定期对估值结构或估值参数进行校验评价其估值质量，防范可能出现的估值偏差。</w:t>
      </w:r>
    </w:p>
    <w:p w14:paraId="57A19E35">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3</w:t>
      </w:r>
      <w:r>
        <w:rPr>
          <w:rFonts w:ascii="楷体_GB2312" w:cs="楷体_GB2312" w:eastAsia="楷体_GB2312" w:hint="eastAsia"/>
          <w:color w:themeColor="text1" w:val="000000"/>
          <w:sz w:val="20"/>
          <w:szCs w:val="20"/>
          <w:highlight w:val="none"/>
          <w14:textFill>
            <w14:solidFill>
              <w14:schemeClr w14:val="tx1"/>
            </w14:solidFill>
          </w14:textFill>
        </w:rPr>
        <w:t>．估值</w:t>
      </w:r>
      <w:r>
        <w:rPr>
          <w:rFonts w:ascii="楷体_GB2312" w:cs="楷体_GB2312" w:eastAsia="楷体_GB2312"/>
          <w:color w:themeColor="text1" w:val="000000"/>
          <w:sz w:val="20"/>
          <w:szCs w:val="20"/>
          <w:highlight w:val="none"/>
          <w14:textFill>
            <w14:solidFill>
              <w14:schemeClr w14:val="tx1"/>
            </w14:solidFill>
          </w14:textFill>
        </w:rPr>
        <w:t>对象和</w:t>
      </w:r>
      <w:r>
        <w:rPr>
          <w:rFonts w:ascii="楷体_GB2312" w:cs="楷体_GB2312" w:eastAsia="楷体_GB2312" w:hint="eastAsia"/>
          <w:color w:themeColor="text1" w:val="000000"/>
          <w:sz w:val="20"/>
          <w:szCs w:val="20"/>
          <w:highlight w:val="none"/>
          <w14:textFill>
            <w14:solidFill>
              <w14:schemeClr w14:val="tx1"/>
            </w14:solidFill>
          </w14:textFill>
        </w:rPr>
        <w:t>估值方法</w:t>
      </w:r>
    </w:p>
    <w:p w14:paraId="6EB8E0C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【理财产品所投资各类资产原则上按照公允价值估值。</w:t>
      </w:r>
    </w:p>
    <w:p w14:paraId="5C1AE40A">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1）银行存款、回购等货币市场工具</w:t>
      </w:r>
    </w:p>
    <w:p w14:paraId="3F0DE640">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以本金列示，按商定的利率在实际持有期间内逐日计提利息。</w:t>
      </w:r>
    </w:p>
    <w:p w14:paraId="21BE500C">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2）在境内银行间市场和证券交易所流通的债券等标准化固定收益类资产</w:t>
      </w:r>
    </w:p>
    <w:p w14:paraId="611A7C5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在符合企业会计准则及监管要求前提下，若产品投资以收取合同现金流量为目的并持有到期的债券，可采用“摊余成本法”计量；</w:t>
      </w:r>
    </w:p>
    <w:p w14:paraId="2412F37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其它不符合上述条件的，按第三方估值机构（中债、中证等）提供的相应品种当日的估值净价进行估值，未获取到第三方估值结果的，按照最新监管规定进行估值。</w:t>
      </w:r>
    </w:p>
    <w:p w14:paraId="3E76ACC6">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3）交易所上市的非货币基金，按其所在证券交易所的收盘价或基金管理人公布能获取到的最新份额净值估值；交易所上市的货币基金，按基金管理人公布能获取到的最新份额净值，或前一估值日后至估值日期间（含节假日）能获取到的最新万分收益进行估值。</w:t>
      </w:r>
    </w:p>
    <w:p w14:paraId="093E298B">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4）未上市基金估值</w:t>
      </w:r>
    </w:p>
    <w:p w14:paraId="15E45F74">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境内未上市的货币市场基金，按基金管理人公布的前一估值日后至估值日期间（含节假日）能获取到的最新万份收益计提估值日收益。</w:t>
      </w:r>
    </w:p>
    <w:p w14:paraId="10850C22">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境内未上市的非货币市场基金，按基金管理人公布能获取到的最新份额净值估值。</w:t>
      </w:r>
    </w:p>
    <w:p w14:paraId="667F6631">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 xml:space="preserve">5）非上市股权估值 </w:t>
      </w:r>
    </w:p>
    <w:p w14:paraId="59D6180F">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对于已在全国中小企业股份转让系统挂牌的股票，如其交易量及交易频率足以持续提供公允价值信息的，参考上市公司股票估值方法确定公允价值；对于未在股转系统挂牌或是已挂牌但其交易量或交易频率不足以反映公允价值的，应当充分考虑市场参与者在选择估值方法时考虑的各种因素，选择有充足证据表明能够准确估值的方法、估值技术或第三方专业评估机构等对非上市股权投资进行估值。</w:t>
      </w:r>
    </w:p>
    <w:p w14:paraId="11625B9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6）信托计划、资管计划、私募基金等资产，以对方管理人披露的可获取到的最新净值，或前一估值日后至估值日期间（含节假日）能获取到的最新万分收益进行估值。</w:t>
      </w:r>
    </w:p>
    <w:p w14:paraId="0067FD5D">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7）非标准化债权，在符合企业会计准则及监管要求前提下，可采用摊余成本法计量；存在并可以确定公允价值的，以公允价值估值，公允价值不能确定的，按照最新监管规定或管理人认可的估值技术进行估值。</w:t>
      </w:r>
    </w:p>
    <w:p w14:paraId="1D72B88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8）交易所上市的股票，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2CBD6723">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9）期货、互换、期权等衍生金融工具，有活跃市场的交易，以最近交易日结算价或收盘价进行估值；无活跃市场的交易，按照第三方机构提供的估值数据或管理人认可的估值技术进行估值。</w:t>
      </w:r>
    </w:p>
    <w:p w14:paraId="078B8A7A">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10）对于以摊余成本法计量的资产，按照企业会计准则要求，采用第三方减值计量结果或模型计量结果进行预期信用损失计提。</w:t>
      </w:r>
    </w:p>
    <w:p w14:paraId="65304967">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11）若本产品存续期间持有其他投资品种，以管理人和托管人共同认可的方法估值。</w:t>
      </w:r>
    </w:p>
    <w:p w14:paraId="5BD5D36B">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12）在任何情况下，如采用以上规定的方法对资产进行估值，均应被认为采用了适当的估值方法。但是，如果管理人或托管人认为按以上规定的方法对本产品资产进行估值不能客观反映其公允价值的，可协商一致后，变更其估值方式，并从协商一致日起执行。</w:t>
      </w:r>
    </w:p>
    <w:p w14:paraId="1A4C83BD">
      <w:pPr>
        <w:spacing w:line="300" w:lineRule="exact"/>
        <w:ind w:firstLine="426" w:firstLineChars="213"/>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13）对于以上估值方法，相关法律法规以及监管部门有另行规定的，按照监管最新规定执行。若本产品存续期间持有其他投资品种，以管理人和托管人共同认可的方法计算其价值，如存在并可以确定公允价值的，以公允价值计算。公允价值不能确定的，根据监管最新规定采用管理人认可的估值技术进行估值。</w:t>
      </w:r>
    </w:p>
    <w:p w14:paraId="11CE5220">
      <w:pPr>
        <w:spacing w:line="300" w:lineRule="exact"/>
        <w:ind w:firstLine="426" w:firstLineChars="213"/>
        <w:jc w:val="both"/>
        <w:rPr>
          <w:rFonts w:ascii="楷体_GB2312" w:eastAsia="楷体_GB2312"/>
          <w:color w:themeColor="text1" w:val="000000"/>
          <w:sz w:val="20"/>
          <w:szCs w:val="20"/>
          <w:highlight w:val="none"/>
          <w:u w:val="singl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按照以上估值方法进行估值时，所造成的误差不作为理财产品估值错误处理。】</w:t>
      </w:r>
    </w:p>
    <w:p w14:paraId="2D1843F2">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4</w:t>
      </w:r>
      <w:r>
        <w:rPr>
          <w:rFonts w:ascii="楷体_GB2312" w:cs="楷体_GB2312" w:eastAsia="楷体_GB2312" w:hint="eastAsia"/>
          <w:color w:themeColor="text1" w:val="000000"/>
          <w:sz w:val="20"/>
          <w:szCs w:val="20"/>
          <w:highlight w:val="none"/>
          <w14:textFill>
            <w14:solidFill>
              <w14:schemeClr w14:val="tx1"/>
            </w14:solidFill>
          </w14:textFill>
        </w:rPr>
        <w:t>．估值</w:t>
      </w:r>
      <w:r>
        <w:rPr>
          <w:rFonts w:ascii="楷体_GB2312" w:cs="楷体_GB2312" w:eastAsia="楷体_GB2312"/>
          <w:color w:themeColor="text1" w:val="000000"/>
          <w:sz w:val="20"/>
          <w:szCs w:val="20"/>
          <w:highlight w:val="none"/>
          <w14:textFill>
            <w14:solidFill>
              <w14:schemeClr w14:val="tx1"/>
            </w14:solidFill>
          </w14:textFill>
        </w:rPr>
        <w:t>错误的处理</w:t>
      </w:r>
    </w:p>
    <w:p w14:paraId="6ECABD3B">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本产品管理人和托管人将采取必要、适当合理的措施确保资产估值的准确性、及时性。当单位净值出现错误时，本产品管理人和</w:t>
      </w:r>
      <w:r>
        <w:rPr>
          <w:rFonts w:ascii="楷体_GB2312" w:cs="楷体_GB2312" w:eastAsia="楷体_GB2312"/>
          <w:color w:themeColor="text1" w:val="000000"/>
          <w:sz w:val="20"/>
          <w:szCs w:val="20"/>
          <w:highlight w:val="none"/>
          <w14:textFill>
            <w14:solidFill>
              <w14:schemeClr w14:val="tx1"/>
            </w14:solidFill>
          </w14:textFill>
        </w:rPr>
        <w:t>托管人</w:t>
      </w:r>
      <w:r>
        <w:rPr>
          <w:rFonts w:ascii="楷体_GB2312" w:cs="楷体_GB2312" w:eastAsia="楷体_GB2312" w:hint="eastAsia"/>
          <w:color w:themeColor="text1" w:val="000000"/>
          <w:sz w:val="20"/>
          <w:szCs w:val="20"/>
          <w:highlight w:val="none"/>
          <w14:textFill>
            <w14:solidFill>
              <w14:schemeClr w14:val="tx1"/>
            </w14:solidFill>
          </w14:textFill>
        </w:rPr>
        <w:t>应当立即予以纠正，并采取合理的措施防止损失进一步扩大。</w:t>
      </w:r>
    </w:p>
    <w:p w14:paraId="23D62053">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1</w:t>
      </w:r>
      <w:r>
        <w:rPr>
          <w:rFonts w:ascii="楷体_GB2312" w:eastAsia="楷体_GB2312" w:hint="eastAsia"/>
          <w:color w:themeColor="text1" w:val="000000"/>
          <w:sz w:val="20"/>
          <w:szCs w:val="20"/>
          <w:highlight w:val="none"/>
          <w14:textFill>
            <w14:solidFill>
              <w14:schemeClr w14:val="tx1"/>
            </w14:solidFill>
          </w14:textFill>
        </w:rPr>
        <w:t>）估值错误处理原则</w:t>
      </w:r>
    </w:p>
    <w:p w14:paraId="1B8EFC4A">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A</w:t>
      </w:r>
      <w:r>
        <w:rPr>
          <w:rFonts w:ascii="楷体_GB2312" w:eastAsia="楷体_GB2312" w:hint="eastAsia"/>
          <w:color w:themeColor="text1" w:val="000000"/>
          <w:sz w:val="20"/>
          <w:szCs w:val="20"/>
          <w:highlight w:val="none"/>
          <w14:textFill>
            <w14:solidFill>
              <w14:schemeClr w14:val="tx1"/>
            </w14:solidFill>
          </w14:textFill>
        </w:rPr>
        <w:t>由于管理人或托管人自身的过错造成估值错误，导致投资者遭受损失的，由估值错误责任方按照各自过错程度对该估值错误导致投资者遭受的直接损失给予赔偿，承担赔偿责任。</w:t>
      </w:r>
    </w:p>
    <w:p w14:paraId="3BC808F5">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B</w:t>
      </w:r>
      <w:r>
        <w:rPr>
          <w:rFonts w:ascii="楷体_GB2312" w:eastAsia="楷体_GB2312" w:hint="eastAsia"/>
          <w:color w:themeColor="text1" w:val="000000"/>
          <w:sz w:val="20"/>
          <w:szCs w:val="20"/>
          <w:highlight w:val="none"/>
          <w14:textFill>
            <w14:solidFill>
              <w14:schemeClr w14:val="tx1"/>
            </w14:solidFill>
          </w14:textFill>
        </w:rPr>
        <w:t>对于因技术原因引起的差错，若系同行业现有技术水平无法预见、无法避免、无法抗拒，属不可抗力。因不可抗力原因出现差错的当事人不对投资者承担赔偿责任，但</w:t>
      </w:r>
      <w:r>
        <w:rPr>
          <w:rFonts w:ascii="楷体_GB2312" w:eastAsia="楷体_GB2312"/>
          <w:color w:themeColor="text1" w:val="000000"/>
          <w:sz w:val="20"/>
          <w:szCs w:val="20"/>
          <w:highlight w:val="none"/>
          <w14:textFill>
            <w14:solidFill>
              <w14:schemeClr w14:val="tx1"/>
            </w14:solidFill>
          </w14:textFill>
        </w:rPr>
        <w:t>应当积极采取必要措施消除</w:t>
      </w:r>
      <w:r>
        <w:rPr>
          <w:rFonts w:ascii="楷体_GB2312" w:eastAsia="楷体_GB2312" w:hint="eastAsia"/>
          <w:color w:themeColor="text1" w:val="000000"/>
          <w:sz w:val="20"/>
          <w:szCs w:val="20"/>
          <w:highlight w:val="none"/>
          <w14:textFill>
            <w14:solidFill>
              <w14:schemeClr w14:val="tx1"/>
            </w14:solidFill>
          </w14:textFill>
        </w:rPr>
        <w:t>差错</w:t>
      </w:r>
      <w:r>
        <w:rPr>
          <w:rFonts w:ascii="楷体_GB2312" w:eastAsia="楷体_GB2312"/>
          <w:color w:themeColor="text1" w:val="000000"/>
          <w:sz w:val="20"/>
          <w:szCs w:val="20"/>
          <w:highlight w:val="none"/>
          <w14:textFill>
            <w14:solidFill>
              <w14:schemeClr w14:val="tx1"/>
            </w14:solidFill>
          </w14:textFill>
        </w:rPr>
        <w:t>带来的影响</w:t>
      </w:r>
      <w:r>
        <w:rPr>
          <w:rFonts w:ascii="楷体_GB2312" w:eastAsia="楷体_GB2312" w:hint="eastAsia"/>
          <w:color w:themeColor="text1" w:val="000000"/>
          <w:sz w:val="20"/>
          <w:szCs w:val="20"/>
          <w:highlight w:val="none"/>
          <w14:textFill>
            <w14:solidFill>
              <w14:schemeClr w14:val="tx1"/>
            </w14:solidFill>
          </w14:textFill>
        </w:rPr>
        <w:t>。</w:t>
      </w:r>
    </w:p>
    <w:p w14:paraId="548BA121">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C</w:t>
      </w:r>
      <w:r>
        <w:rPr>
          <w:rFonts w:ascii="楷体_GB2312" w:eastAsia="楷体_GB2312" w:hint="eastAsia"/>
          <w:color w:themeColor="text1" w:val="000000"/>
          <w:sz w:val="20"/>
          <w:szCs w:val="20"/>
          <w:highlight w:val="none"/>
          <w14:textFill>
            <w14:solidFill>
              <w14:schemeClr w14:val="tx1"/>
            </w14:solidFill>
          </w14:textFill>
        </w:rPr>
        <w:t>因托管人估值错误造成财产损失时，管理人应向托管人追偿。若管理人和托管人之外的第三方估值差错造成财产的损失，并拒绝进行赔偿时，理财产品由管理人负责向差错方追偿；追偿过程中产生的有关费用，应列入理财产品费用，由理财产品承担。</w:t>
      </w:r>
    </w:p>
    <w:p w14:paraId="5E9AA99B">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D</w:t>
      </w:r>
      <w:r>
        <w:rPr>
          <w:rFonts w:ascii="楷体_GB2312" w:eastAsia="楷体_GB2312" w:hint="eastAsia"/>
          <w:color w:themeColor="text1" w:val="000000"/>
          <w:sz w:val="20"/>
          <w:szCs w:val="20"/>
          <w:highlight w:val="none"/>
          <w14:textFill>
            <w14:solidFill>
              <w14:schemeClr w14:val="tx1"/>
            </w14:solidFill>
          </w14:textFill>
        </w:rPr>
        <w:t>当估值出现错误时，因估值错误而获得不当得利的投资者负有及时返还不当得利的义务。</w:t>
      </w:r>
    </w:p>
    <w:p w14:paraId="009AF177">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E</w:t>
      </w:r>
      <w:r>
        <w:rPr>
          <w:rFonts w:ascii="楷体_GB2312" w:eastAsia="楷体_GB2312" w:hint="eastAsia"/>
          <w:color w:themeColor="text1" w:val="000000"/>
          <w:sz w:val="20"/>
          <w:szCs w:val="20"/>
          <w:highlight w:val="none"/>
          <w14:textFill>
            <w14:solidFill>
              <w14:schemeClr w14:val="tx1"/>
            </w14:solidFill>
          </w14:textFill>
        </w:rPr>
        <w:t>按法律法规规定的其他原则处理估值错误。</w:t>
      </w:r>
    </w:p>
    <w:p w14:paraId="0E416116">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2</w:t>
      </w:r>
      <w:r>
        <w:rPr>
          <w:rFonts w:ascii="楷体_GB2312" w:eastAsia="楷体_GB2312" w:hint="eastAsia"/>
          <w:color w:themeColor="text1" w:val="000000"/>
          <w:sz w:val="20"/>
          <w:szCs w:val="20"/>
          <w:highlight w:val="none"/>
          <w14:textFill>
            <w14:solidFill>
              <w14:schemeClr w14:val="tx1"/>
            </w14:solidFill>
          </w14:textFill>
        </w:rPr>
        <w:t>）估值错误处理程序</w:t>
      </w:r>
    </w:p>
    <w:p w14:paraId="67EDA1CC">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估值错误被发现后，管理人和托管人应当及时进行处理，处理的程序如下：</w:t>
      </w:r>
    </w:p>
    <w:p w14:paraId="7F4C80C9">
      <w:pPr>
        <w:spacing w:line="300" w:lineRule="exact"/>
        <w:ind w:firstLine="400" w:firstLineChars="200"/>
        <w:jc w:val="both"/>
        <w:rPr>
          <w:rFonts w:ascii="楷体_GB2312" w:eastAsia="楷体_GB2312" w:hint="eastAsia"/>
          <w:color w:themeColor="text1" w:val="000000"/>
          <w:sz w:val="20"/>
          <w:szCs w:val="20"/>
          <w:highlight w:val="none"/>
          <w:lang w:eastAsia="zh-CN"/>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A</w:t>
      </w:r>
      <w:r>
        <w:rPr>
          <w:rFonts w:ascii="楷体_GB2312" w:eastAsia="楷体_GB2312" w:hint="eastAsia"/>
          <w:color w:themeColor="text1" w:val="000000"/>
          <w:sz w:val="20"/>
          <w:szCs w:val="20"/>
          <w:highlight w:val="none"/>
          <w14:textFill>
            <w14:solidFill>
              <w14:schemeClr w14:val="tx1"/>
            </w14:solidFill>
          </w14:textFill>
        </w:rPr>
        <w:t>查明估值错误发生的原因，列明所有的管理人和托管人并根据估值错误发生的原因确定估值错误的责任方</w:t>
      </w:r>
      <w:r>
        <w:rPr>
          <w:rFonts w:ascii="楷体_GB2312" w:eastAsia="楷体_GB2312" w:hint="eastAsia"/>
          <w:color w:themeColor="text1" w:val="000000"/>
          <w:sz w:val="20"/>
          <w:szCs w:val="20"/>
          <w:highlight w:val="none"/>
          <w:lang w:eastAsia="zh-CN"/>
          <w14:textFill>
            <w14:solidFill>
              <w14:schemeClr w14:val="tx1"/>
            </w14:solidFill>
          </w14:textFill>
        </w:rPr>
        <w:t>；</w:t>
      </w:r>
    </w:p>
    <w:p w14:paraId="47F684A2">
      <w:pPr>
        <w:spacing w:line="300" w:lineRule="exact"/>
        <w:ind w:firstLine="400" w:firstLineChars="200"/>
        <w:jc w:val="both"/>
        <w:rPr>
          <w:rFonts w:ascii="楷体_GB2312" w:eastAsia="楷体_GB2312" w:hint="eastAsia"/>
          <w:color w:themeColor="text1" w:val="000000"/>
          <w:sz w:val="20"/>
          <w:szCs w:val="20"/>
          <w:highlight w:val="none"/>
          <w:lang w:eastAsia="zh-CN"/>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B</w:t>
      </w:r>
      <w:r>
        <w:rPr>
          <w:rFonts w:ascii="楷体_GB2312" w:eastAsia="楷体_GB2312" w:hint="eastAsia"/>
          <w:color w:themeColor="text1" w:val="000000"/>
          <w:sz w:val="20"/>
          <w:szCs w:val="20"/>
          <w:highlight w:val="none"/>
          <w14:textFill>
            <w14:solidFill>
              <w14:schemeClr w14:val="tx1"/>
            </w14:solidFill>
          </w14:textFill>
        </w:rPr>
        <w:t>根据估值错误处理原则对因估值错误造成的损失进行评估</w:t>
      </w:r>
      <w:r>
        <w:rPr>
          <w:rFonts w:ascii="楷体_GB2312" w:eastAsia="楷体_GB2312" w:hint="eastAsia"/>
          <w:color w:themeColor="text1" w:val="000000"/>
          <w:sz w:val="20"/>
          <w:szCs w:val="20"/>
          <w:highlight w:val="none"/>
          <w:lang w:eastAsia="zh-CN"/>
          <w14:textFill>
            <w14:solidFill>
              <w14:schemeClr w14:val="tx1"/>
            </w14:solidFill>
          </w14:textFill>
        </w:rPr>
        <w:t>；</w:t>
      </w:r>
    </w:p>
    <w:p w14:paraId="3C76DF03">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14:textFill>
            <w14:solidFill>
              <w14:schemeClr w14:val="tx1"/>
            </w14:solidFill>
          </w14:textFill>
        </w:rPr>
        <w:t>C</w:t>
      </w:r>
      <w:r>
        <w:rPr>
          <w:rFonts w:ascii="楷体_GB2312" w:eastAsia="楷体_GB2312" w:hint="eastAsia"/>
          <w:color w:themeColor="text1" w:val="000000"/>
          <w:sz w:val="20"/>
          <w:szCs w:val="20"/>
          <w:highlight w:val="none"/>
          <w14:textFill>
            <w14:solidFill>
              <w14:schemeClr w14:val="tx1"/>
            </w14:solidFill>
          </w14:textFill>
        </w:rPr>
        <w:t>根据管理人和托管人协商的方法，由管理人和托管人共同进行更正，由估值错误的责任方进行赔偿损失。</w:t>
      </w:r>
    </w:p>
    <w:p w14:paraId="0FAEEF66">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lang w:eastAsia="zh-CN" w:val="en-US"/>
          <w14:textFill>
            <w14:solidFill>
              <w14:schemeClr w14:val="tx1"/>
            </w14:solidFill>
          </w14:textFill>
        </w:rPr>
        <w:t>5</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特殊情况的处理</w:t>
      </w:r>
    </w:p>
    <w:p w14:paraId="5292E473">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1</w:t>
      </w:r>
      <w:r>
        <w:rPr>
          <w:rFonts w:ascii="楷体_GB2312" w:eastAsia="楷体_GB2312" w:hint="eastAsia"/>
          <w:color w:themeColor="text1" w:val="000000"/>
          <w:sz w:val="20"/>
          <w:szCs w:val="20"/>
          <w:highlight w:val="none"/>
          <w14:textFill>
            <w14:solidFill>
              <w14:schemeClr w14:val="tx1"/>
            </w14:solidFill>
          </w14:textFill>
        </w:rPr>
        <w:t>）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w:t>
      </w:r>
    </w:p>
    <w:p w14:paraId="40CE4F47">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w:t>
      </w:r>
      <w:r>
        <w:rPr>
          <w:rFonts w:ascii="楷体_GB2312" w:eastAsia="楷体_GB2312"/>
          <w:color w:themeColor="text1" w:val="000000"/>
          <w:sz w:val="20"/>
          <w:szCs w:val="20"/>
          <w:highlight w:val="none"/>
          <w14:textFill>
            <w14:solidFill>
              <w14:schemeClr w14:val="tx1"/>
            </w14:solidFill>
          </w14:textFill>
        </w:rPr>
        <w:t>2</w:t>
      </w:r>
      <w:r>
        <w:rPr>
          <w:rFonts w:ascii="楷体_GB2312" w:eastAsia="楷体_GB2312" w:hint="eastAsia"/>
          <w:color w:themeColor="text1" w:val="000000"/>
          <w:sz w:val="20"/>
          <w:szCs w:val="20"/>
          <w:highlight w:val="none"/>
          <w14:textFill>
            <w14:solidFill>
              <w14:schemeClr w14:val="tx1"/>
            </w14:solidFill>
          </w14:textFill>
        </w:rPr>
        <w:t>）前述内容如法律法规、监管机关另有规定的，或有关会计准则发生变化等，按照国家最新规定或管理人最新约定估值。如果行业另有通行做法，管理人和托管人本着平等和保护投资者的原则进行协商。</w:t>
      </w:r>
    </w:p>
    <w:p w14:paraId="6530EA0F">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6</w:t>
      </w:r>
      <w:r>
        <w:rPr>
          <w:rFonts w:ascii="楷体_GB2312" w:cs="楷体_GB2312" w:eastAsia="楷体_GB2312" w:hint="eastAsia"/>
          <w:color w:themeColor="text1" w:val="000000"/>
          <w:sz w:val="20"/>
          <w:szCs w:val="20"/>
          <w:highlight w:val="none"/>
          <w14:textFill>
            <w14:solidFill>
              <w14:schemeClr w14:val="tx1"/>
            </w14:solidFill>
          </w14:textFill>
        </w:rPr>
        <w:t>．暂停</w:t>
      </w:r>
      <w:r>
        <w:rPr>
          <w:rFonts w:ascii="楷体_GB2312" w:cs="楷体_GB2312" w:eastAsia="楷体_GB2312"/>
          <w:color w:themeColor="text1" w:val="000000"/>
          <w:sz w:val="20"/>
          <w:szCs w:val="20"/>
          <w:highlight w:val="none"/>
          <w14:textFill>
            <w14:solidFill>
              <w14:schemeClr w14:val="tx1"/>
            </w14:solidFill>
          </w14:textFill>
        </w:rPr>
        <w:t>估值的情形</w:t>
      </w:r>
    </w:p>
    <w:p w14:paraId="3714930D">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（1</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当资产估值因不可抗力或其他情形致使本产品管理人和托管人无法准确评估资产价值时；</w:t>
      </w:r>
    </w:p>
    <w:p w14:paraId="649DFEF0">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（2</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产品投资所涉及的交易市场遇法定节假日或因其他原因暂停营业时；</w:t>
      </w:r>
    </w:p>
    <w:p w14:paraId="157F9EE9">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（3</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产品投资的其他</w:t>
      </w:r>
      <w:r>
        <w:rPr>
          <w:rFonts w:ascii="楷体_GB2312" w:cs="楷体_GB2312" w:eastAsia="楷体_GB2312" w:hint="eastAsia"/>
          <w:color w:themeColor="text1" w:val="000000"/>
          <w:sz w:val="20"/>
          <w:szCs w:val="20"/>
          <w:highlight w:val="none"/>
          <w14:textFill>
            <w14:solidFill>
              <w14:schemeClr w14:val="tx1"/>
            </w14:solidFill>
          </w14:textFill>
        </w:rPr>
        <w:t>资产</w:t>
      </w:r>
      <w:r>
        <w:rPr>
          <w:rFonts w:ascii="楷体_GB2312" w:cs="楷体_GB2312" w:eastAsia="楷体_GB2312"/>
          <w:color w:themeColor="text1" w:val="000000"/>
          <w:sz w:val="20"/>
          <w:szCs w:val="20"/>
          <w:highlight w:val="none"/>
          <w14:textFill>
            <w14:solidFill>
              <w14:schemeClr w14:val="tx1"/>
            </w14:solidFill>
          </w14:textFill>
        </w:rPr>
        <w:t>产品合同约定暂停估值或无法估值的情形发生，导致理财产品无法估值时；</w:t>
      </w:r>
    </w:p>
    <w:p w14:paraId="516C9B3D">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w:t>
      </w:r>
      <w:r>
        <w:rPr>
          <w:rFonts w:ascii="楷体_GB2312" w:cs="楷体_GB2312" w:eastAsia="楷体_GB2312"/>
          <w:color w:themeColor="text1" w:val="000000"/>
          <w:sz w:val="20"/>
          <w:szCs w:val="20"/>
          <w:highlight w:val="none"/>
          <w14:textFill>
            <w14:solidFill>
              <w14:schemeClr w14:val="tx1"/>
            </w14:solidFill>
          </w14:textFill>
        </w:rPr>
        <w:t>4）</w:t>
      </w:r>
      <w:r>
        <w:rPr>
          <w:rFonts w:ascii="楷体_GB2312" w:cs="楷体_GB2312" w:eastAsia="楷体_GB2312" w:hint="eastAsia"/>
          <w:color w:themeColor="text1" w:val="000000"/>
          <w:sz w:val="20"/>
          <w:szCs w:val="20"/>
          <w:highlight w:val="none"/>
          <w14:textFill>
            <w14:solidFill>
              <w14:schemeClr w14:val="tx1"/>
            </w14:solidFill>
          </w14:textFill>
        </w:rPr>
        <w:t>产品在前一估值日内，产品资产净值</w:t>
      </w:r>
      <w:r>
        <w:rPr>
          <w:rFonts w:ascii="楷体_GB2312" w:cs="楷体_GB2312" w:eastAsia="楷体_GB2312"/>
          <w:color w:themeColor="text1" w:val="000000"/>
          <w:sz w:val="20"/>
          <w:szCs w:val="20"/>
          <w:highlight w:val="none"/>
          <w14:textFill>
            <w14:solidFill>
              <w14:schemeClr w14:val="tx1"/>
            </w14:solidFill>
          </w14:textFill>
        </w:rPr>
        <w:t>50%以上的资产不具备活跃交易市场或者在活跃市场中无报价，且不能采用估值技术可靠计量公允价值的</w:t>
      </w:r>
      <w:r>
        <w:rPr>
          <w:rFonts w:ascii="楷体_GB2312" w:cs="楷体_GB2312" w:eastAsia="楷体_GB2312" w:hint="eastAsia"/>
          <w:color w:themeColor="text1" w:val="000000"/>
          <w:sz w:val="20"/>
          <w:szCs w:val="20"/>
          <w:highlight w:val="none"/>
          <w14:textFill>
            <w14:solidFill>
              <w14:schemeClr w14:val="tx1"/>
            </w14:solidFill>
          </w14:textFill>
        </w:rPr>
        <w:t>；</w:t>
      </w:r>
    </w:p>
    <w:p w14:paraId="4C1B57FB">
      <w:pPr>
        <w:spacing w:line="300" w:lineRule="exact"/>
        <w:ind w:firstLine="400" w:firstLineChars="200"/>
        <w:jc w:val="both"/>
        <w:rPr>
          <w:rFonts w:ascii="楷体_GB2312" w:cs="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（5</w:t>
      </w:r>
      <w:r>
        <w:rPr>
          <w:rFonts w:ascii="楷体_GB2312" w:cs="楷体_GB2312" w:eastAsia="楷体_GB2312"/>
          <w:color w:themeColor="text1" w:val="000000"/>
          <w:sz w:val="20"/>
          <w:szCs w:val="20"/>
          <w:highlight w:val="none"/>
          <w14:textFill>
            <w14:solidFill>
              <w14:schemeClr w14:val="tx1"/>
            </w14:solidFill>
          </w14:textFill>
        </w:rPr>
        <w:t>）</w:t>
      </w:r>
      <w:r>
        <w:rPr>
          <w:rFonts w:ascii="楷体_GB2312" w:cs="楷体_GB2312" w:eastAsia="楷体_GB2312" w:hint="eastAsia"/>
          <w:color w:themeColor="text1" w:val="000000"/>
          <w:sz w:val="20"/>
          <w:szCs w:val="20"/>
          <w:highlight w:val="none"/>
          <w14:textFill>
            <w14:solidFill>
              <w14:schemeClr w14:val="tx1"/>
            </w14:solidFill>
          </w14:textFill>
        </w:rPr>
        <w:t>国务院银行业监督管理机构认定的其他情形或理财</w:t>
      </w:r>
      <w:r>
        <w:rPr>
          <w:rFonts w:ascii="楷体_GB2312" w:cs="楷体_GB2312" w:eastAsia="楷体_GB2312"/>
          <w:color w:themeColor="text1" w:val="000000"/>
          <w:sz w:val="20"/>
          <w:szCs w:val="20"/>
          <w:highlight w:val="none"/>
          <w14:textFill>
            <w14:solidFill>
              <w14:schemeClr w14:val="tx1"/>
            </w14:solidFill>
          </w14:textFill>
        </w:rPr>
        <w:t>产品管理人、托管人有合理理由认为将影响本理财产品估值的其他情形</w:t>
      </w:r>
      <w:r>
        <w:rPr>
          <w:rFonts w:ascii="楷体_GB2312" w:cs="楷体_GB2312" w:eastAsia="楷体_GB2312" w:hint="eastAsia"/>
          <w:color w:themeColor="text1" w:val="000000"/>
          <w:sz w:val="20"/>
          <w:szCs w:val="20"/>
          <w:highlight w:val="none"/>
          <w14:textFill>
            <w14:solidFill>
              <w14:schemeClr w14:val="tx1"/>
            </w14:solidFill>
          </w14:textFill>
        </w:rPr>
        <w:t>。</w:t>
      </w:r>
    </w:p>
    <w:p w14:paraId="361976D9">
      <w:p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cs="楷体_GB2312" w:eastAsia="楷体_GB2312" w:hint="eastAsia"/>
          <w:color w:themeColor="text1" w:val="000000"/>
          <w:sz w:val="20"/>
          <w:szCs w:val="20"/>
          <w:highlight w:val="none"/>
          <w14:textFill>
            <w14:solidFill>
              <w14:schemeClr w14:val="tx1"/>
            </w14:solidFill>
          </w14:textFill>
        </w:rPr>
        <w:t>遇</w:t>
      </w:r>
      <w:r>
        <w:rPr>
          <w:rFonts w:ascii="楷体_GB2312" w:cs="楷体_GB2312" w:eastAsia="楷体_GB2312"/>
          <w:color w:themeColor="text1" w:val="000000"/>
          <w:sz w:val="20"/>
          <w:szCs w:val="20"/>
          <w:highlight w:val="none"/>
          <w14:textFill>
            <w14:solidFill>
              <w14:schemeClr w14:val="tx1"/>
            </w14:solidFill>
          </w14:textFill>
        </w:rPr>
        <w:t>以上情形，</w:t>
      </w:r>
      <w:r>
        <w:rPr>
          <w:rFonts w:ascii="楷体_GB2312" w:cs="楷体_GB2312" w:eastAsia="楷体_GB2312" w:hint="eastAsia"/>
          <w:color w:themeColor="text1" w:val="000000"/>
          <w:sz w:val="20"/>
          <w:szCs w:val="20"/>
          <w:highlight w:val="none"/>
          <w14:textFill>
            <w14:solidFill>
              <w14:schemeClr w14:val="tx1"/>
            </w14:solidFill>
          </w14:textFill>
        </w:rPr>
        <w:t>管理人可暂停本产品估值直至另行通知。</w:t>
      </w:r>
    </w:p>
    <w:p w14:paraId="7F626292">
      <w:pPr>
        <w:snapToGrid w:val="0"/>
        <w:spacing w:line="300" w:lineRule="exact"/>
        <w:ind w:right="53" w:rightChars="22"/>
        <w:outlineLvl w:val="0"/>
        <w:rPr>
          <w:rFonts w:ascii="楷体_GB2312" w:eastAsia="楷体_GB2312"/>
          <w:color w:themeColor="text1" w:val="000000"/>
          <w:sz w:val="20"/>
          <w:szCs w:val="20"/>
          <w:highlight w:val="none"/>
          <w14:textFill>
            <w14:solidFill>
              <w14:schemeClr w14:val="tx1"/>
            </w14:solidFill>
          </w14:textFill>
        </w:rPr>
      </w:pPr>
    </w:p>
    <w:p w14:paraId="22FDF408">
      <w:pPr>
        <w:spacing w:line="300" w:lineRule="exact"/>
        <w:ind w:left="-2" w:leftChars="-1" w:right="36" w:rightChars="15"/>
        <w:rPr>
          <w:color w:themeColor="text1" w:val="00000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十、产品不成立</w:t>
      </w:r>
    </w:p>
    <w:p w14:paraId="5A45DF60">
      <w:pPr>
        <w:spacing w:line="300" w:lineRule="exact"/>
        <w:ind w:firstLine="400" w:firstLineChars="200" w:left="-2" w:leftChars="-1" w:right="36" w:rightChars="15"/>
        <w:jc w:val="both"/>
        <w:rPr>
          <w:color w:themeColor="text1" w:val="00000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1．</w:t>
      </w:r>
      <w:r>
        <w:rPr>
          <w:rFonts w:ascii="楷体_GB2312" w:cs="楷体_GB2312" w:eastAsia="楷体_GB2312" w:hint="eastAsia"/>
          <w:color w:themeColor="text1" w:val="000000"/>
          <w:sz w:val="20"/>
          <w:szCs w:val="20"/>
          <w:highlight w:val="none"/>
          <w14:textFill>
            <w14:solidFill>
              <w14:schemeClr w14:val="tx1"/>
            </w14:solidFill>
          </w14:textFill>
        </w:rPr>
        <w:t>如遇国家法律法规或监管政策出现重大调整，或者市场、拟投资标的等</w:t>
      </w:r>
      <w:r>
        <w:rPr>
          <w:rFonts w:ascii="楷体_GB2312" w:cs="楷体_GB2312" w:eastAsia="楷体_GB2312"/>
          <w:color w:themeColor="text1" w:val="000000"/>
          <w:sz w:val="20"/>
          <w:szCs w:val="20"/>
          <w:highlight w:val="none"/>
          <w14:textFill>
            <w14:solidFill>
              <w14:schemeClr w14:val="tx1"/>
            </w14:solidFill>
          </w14:textFill>
        </w:rPr>
        <w:t>情况</w:t>
      </w:r>
      <w:r>
        <w:rPr>
          <w:rFonts w:ascii="楷体_GB2312" w:cs="楷体_GB2312" w:eastAsia="楷体_GB2312" w:hint="eastAsia"/>
          <w:color w:themeColor="text1" w:val="000000"/>
          <w:sz w:val="20"/>
          <w:szCs w:val="20"/>
          <w:highlight w:val="none"/>
          <w14:textFill>
            <w14:solidFill>
              <w14:schemeClr w14:val="tx1"/>
            </w14:solidFill>
          </w14:textFill>
        </w:rPr>
        <w:t>出现重大变化，影响到本产品的正常成立时，信银理财有权宣布产品不成立。</w:t>
      </w:r>
    </w:p>
    <w:p w14:paraId="37899C85">
      <w:pPr>
        <w:spacing w:line="300" w:lineRule="exact"/>
        <w:ind w:firstLine="400" w:firstLineChars="200" w:left="-2" w:leftChars="-1" w:right="36" w:rightChars="15"/>
        <w:jc w:val="both"/>
        <w:rPr>
          <w:color w:themeColor="text1" w:val="000000"/>
          <w:highlight w:val="none"/>
          <w14:textFill>
            <w14:solidFill>
              <w14:schemeClr w14:val="tx1"/>
            </w14:solidFill>
          </w14:textFill>
        </w:rPr>
      </w:pPr>
      <w:r>
        <w:rPr>
          <w:rFonts w:ascii="楷体_GB2312" w:cs="楷体_GB2312" w:eastAsia="楷体_GB2312"/>
          <w:color w:themeColor="text1" w:val="000000"/>
          <w:sz w:val="20"/>
          <w:szCs w:val="20"/>
          <w:highlight w:val="none"/>
          <w14:textFill>
            <w14:solidFill>
              <w14:schemeClr w14:val="tx1"/>
            </w14:solidFill>
          </w14:textFill>
        </w:rPr>
        <w:t>2．</w:t>
      </w:r>
      <w:r>
        <w:rPr>
          <w:rFonts w:ascii="楷体_GB2312" w:cs="楷体_GB2312" w:eastAsia="楷体_GB2312" w:hint="eastAsia"/>
          <w:color w:themeColor="text1" w:val="000000"/>
          <w:sz w:val="20"/>
          <w:szCs w:val="20"/>
          <w:highlight w:val="none"/>
          <w14:textFill>
            <w14:solidFill>
              <w14:schemeClr w14:val="tx1"/>
            </w14:solidFill>
          </w14:textFill>
        </w:rPr>
        <w:t>信银理财将于决定理财产品不成立后的【2】个工作日内</w:t>
      </w:r>
      <w:r>
        <w:rPr>
          <w:rFonts w:ascii="楷体_GB2312" w:cs="楷体_GB2312" w:eastAsia="楷体_GB2312"/>
          <w:color w:themeColor="text1" w:val="000000"/>
          <w:sz w:val="20"/>
          <w:szCs w:val="20"/>
          <w:highlight w:val="none"/>
          <w14:textFill>
            <w14:solidFill>
              <w14:schemeClr w14:val="tx1"/>
            </w14:solidFill>
          </w14:textFill>
        </w:rPr>
        <w:t>通知投资者</w:t>
      </w:r>
      <w:r>
        <w:rPr>
          <w:rFonts w:ascii="楷体_GB2312" w:cs="楷体_GB2312" w:eastAsia="楷体_GB2312" w:hint="eastAsia"/>
          <w:color w:themeColor="text1" w:val="000000"/>
          <w:sz w:val="20"/>
          <w:szCs w:val="20"/>
          <w:highlight w:val="none"/>
          <w14:textFill>
            <w14:solidFill>
              <w14:schemeClr w14:val="tx1"/>
            </w14:solidFill>
          </w14:textFill>
        </w:rPr>
        <w:t>。如信银理财通知产品不成立，将于通知产品不成立之日起【2】个工作日内返还投资者本金（</w:t>
      </w:r>
      <w:r>
        <w:rPr>
          <w:rFonts w:ascii="楷体_GB2312" w:cs="楷体_GB2312" w:eastAsia="楷体_GB2312" w:hint="eastAsia"/>
          <w:color w:themeColor="text1" w:val="000000"/>
          <w:sz w:val="20"/>
          <w:szCs w:val="20"/>
          <w:highlight w:val="none"/>
          <w:lang w:eastAsia="zh-CN" w:val="en-US"/>
          <w14:textFill>
            <w14:solidFill>
              <w14:schemeClr w14:val="tx1"/>
            </w14:solidFill>
          </w14:textFill>
        </w:rPr>
        <w:t>扣款日至本金返还日期间是否计付利息以及利息计付规则以销售机构为准</w:t>
      </w:r>
      <w:r>
        <w:rPr>
          <w:rFonts w:ascii="楷体_GB2312" w:cs="楷体_GB2312" w:eastAsia="楷体_GB2312" w:hint="eastAsia"/>
          <w:color w:themeColor="text1" w:val="000000"/>
          <w:sz w:val="20"/>
          <w:szCs w:val="20"/>
          <w:highlight w:val="none"/>
          <w14:textFill>
            <w14:solidFill>
              <w14:schemeClr w14:val="tx1"/>
            </w14:solidFill>
          </w14:textFill>
        </w:rPr>
        <w:t>）。投资者</w:t>
      </w:r>
      <w:r>
        <w:rPr>
          <w:rFonts w:ascii="楷体_GB2312" w:cs="楷体_GB2312" w:eastAsia="楷体_GB2312"/>
          <w:color w:themeColor="text1" w:val="000000"/>
          <w:sz w:val="20"/>
          <w:szCs w:val="20"/>
          <w:highlight w:val="none"/>
          <w14:textFill>
            <w14:solidFill>
              <w14:schemeClr w14:val="tx1"/>
            </w14:solidFill>
          </w14:textFill>
        </w:rPr>
        <w:t>通过代销机构渠道购买</w:t>
      </w:r>
      <w:r>
        <w:rPr>
          <w:rFonts w:ascii="楷体_GB2312" w:cs="楷体_GB2312" w:eastAsia="楷体_GB2312" w:hint="eastAsia"/>
          <w:color w:themeColor="text1" w:val="000000"/>
          <w:sz w:val="20"/>
          <w:szCs w:val="20"/>
          <w:highlight w:val="none"/>
          <w14:textFill>
            <w14:solidFill>
              <w14:schemeClr w14:val="tx1"/>
            </w14:solidFill>
          </w14:textFill>
        </w:rPr>
        <w:t>理财</w:t>
      </w:r>
      <w:r>
        <w:rPr>
          <w:rFonts w:ascii="楷体_GB2312" w:cs="楷体_GB2312" w:eastAsia="楷体_GB2312"/>
          <w:color w:themeColor="text1" w:val="000000"/>
          <w:sz w:val="20"/>
          <w:szCs w:val="20"/>
          <w:highlight w:val="none"/>
          <w14:textFill>
            <w14:solidFill>
              <w14:schemeClr w14:val="tx1"/>
            </w14:solidFill>
          </w14:textFill>
        </w:rPr>
        <w:t>产品的，</w:t>
      </w:r>
      <w:r>
        <w:rPr>
          <w:rFonts w:ascii="楷体_GB2312" w:cs="楷体_GB2312" w:eastAsia="楷体_GB2312" w:hint="eastAsia"/>
          <w:color w:themeColor="text1" w:val="000000"/>
          <w:sz w:val="20"/>
          <w:szCs w:val="20"/>
          <w:highlight w:val="none"/>
          <w14:textFill>
            <w14:solidFill>
              <w14:schemeClr w14:val="tx1"/>
            </w14:solidFill>
          </w14:textFill>
        </w:rPr>
        <w:t>投资者</w:t>
      </w:r>
      <w:r>
        <w:rPr>
          <w:rFonts w:ascii="楷体_GB2312" w:cs="楷体_GB2312" w:eastAsia="楷体_GB2312"/>
          <w:color w:themeColor="text1" w:val="000000"/>
          <w:sz w:val="20"/>
          <w:szCs w:val="20"/>
          <w:highlight w:val="none"/>
          <w14:textFill>
            <w14:solidFill>
              <w14:schemeClr w14:val="tx1"/>
            </w14:solidFill>
          </w14:textFill>
        </w:rPr>
        <w:t>本金</w:t>
      </w:r>
      <w:r>
        <w:rPr>
          <w:rFonts w:ascii="楷体_GB2312" w:cs="楷体_GB2312" w:eastAsia="楷体_GB2312" w:hint="eastAsia"/>
          <w:color w:themeColor="text1" w:val="000000"/>
          <w:sz w:val="20"/>
          <w:szCs w:val="20"/>
          <w:highlight w:val="none"/>
          <w14:textFill>
            <w14:solidFill>
              <w14:schemeClr w14:val="tx1"/>
            </w14:solidFill>
          </w14:textFill>
        </w:rPr>
        <w:t>划转至</w:t>
      </w:r>
      <w:r>
        <w:rPr>
          <w:rFonts w:ascii="楷体_GB2312" w:cs="楷体_GB2312" w:eastAsia="楷体_GB2312"/>
          <w:color w:themeColor="text1" w:val="000000"/>
          <w:sz w:val="20"/>
          <w:szCs w:val="20"/>
          <w:highlight w:val="none"/>
          <w14:textFill>
            <w14:solidFill>
              <w14:schemeClr w14:val="tx1"/>
            </w14:solidFill>
          </w14:textFill>
        </w:rPr>
        <w:t>投资者账户的时间以代销机构</w:t>
      </w:r>
      <w:r>
        <w:rPr>
          <w:rFonts w:ascii="楷体_GB2312" w:cs="楷体_GB2312" w:eastAsia="楷体_GB2312" w:hint="eastAsia"/>
          <w:color w:themeColor="text1" w:val="000000"/>
          <w:sz w:val="20"/>
          <w:szCs w:val="20"/>
          <w:highlight w:val="none"/>
          <w:lang w:eastAsia="zh-CN"/>
          <w14:textFill>
            <w14:solidFill>
              <w14:schemeClr w14:val="tx1"/>
            </w14:solidFill>
          </w14:textFill>
        </w:rPr>
        <w:t>的</w:t>
      </w:r>
      <w:r>
        <w:rPr>
          <w:rFonts w:ascii="楷体_GB2312" w:cs="楷体_GB2312" w:eastAsia="楷体_GB2312" w:hint="eastAsia"/>
          <w:color w:themeColor="text1" w:val="000000"/>
          <w:sz w:val="20"/>
          <w:szCs w:val="20"/>
          <w:highlight w:val="none"/>
          <w14:textFill>
            <w14:solidFill>
              <w14:schemeClr w14:val="tx1"/>
            </w14:solidFill>
          </w14:textFill>
        </w:rPr>
        <w:t>清算</w:t>
      </w:r>
      <w:r>
        <w:rPr>
          <w:rFonts w:ascii="楷体_GB2312" w:cs="楷体_GB2312" w:eastAsia="楷体_GB2312"/>
          <w:color w:themeColor="text1" w:val="000000"/>
          <w:sz w:val="20"/>
          <w:szCs w:val="20"/>
          <w:highlight w:val="none"/>
          <w14:textFill>
            <w14:solidFill>
              <w14:schemeClr w14:val="tx1"/>
            </w14:solidFill>
          </w14:textFill>
        </w:rPr>
        <w:t>时间为准。</w:t>
      </w:r>
    </w:p>
    <w:p w14:paraId="24DC171A">
      <w:pPr>
        <w:snapToGrid w:val="0"/>
        <w:ind w:left="-2" w:leftChars="-1" w:right="53" w:rightChars="22"/>
        <w:rPr>
          <w:color w:themeColor="text1" w:val="000000"/>
          <w:highlight w:val="none"/>
          <w14:textFill>
            <w14:solidFill>
              <w14:schemeClr w14:val="tx1"/>
            </w14:solidFill>
          </w14:textFill>
        </w:rPr>
      </w:pPr>
      <w:r>
        <w:rPr>
          <w:rFonts w:ascii="Times New Roman" w:hAnsi="Times New Roman"/>
          <w:b/>
          <w:bCs/>
          <w:color w:themeColor="text1" w:val="000000"/>
          <w:sz w:val="20"/>
          <w:szCs w:val="20"/>
          <w:highlight w:val="none"/>
          <w14:textFill>
            <w14:solidFill>
              <w14:schemeClr w14:val="tx1"/>
            </w14:solidFill>
          </w14:textFill>
        </w:rPr>
        <w:t> </w:t>
      </w:r>
    </w:p>
    <w:p w14:paraId="7582A71E">
      <w:pPr>
        <w:snapToGrid w:val="0"/>
        <w:ind w:left="-2" w:leftChars="-1" w:right="53" w:rightChars="22"/>
        <w:outlineLvl w:val="0"/>
        <w:rPr>
          <w:color w:themeColor="text1" w:val="00000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十一、产品的提前终止</w:t>
      </w:r>
    </w:p>
    <w:p w14:paraId="40D67254">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color w:val="000000"/>
          <w:sz w:val="20"/>
          <w:szCs w:val="20"/>
          <w:highlight w:val="none"/>
        </w:rPr>
        <w:t>1．</w:t>
      </w:r>
      <w:r>
        <w:rPr>
          <w:rFonts w:ascii="楷体_GB2312" w:cs="楷体_GB2312" w:eastAsia="楷体_GB2312" w:hint="eastAsia"/>
          <w:color w:val="000000"/>
          <w:sz w:val="20"/>
          <w:szCs w:val="20"/>
          <w:highlight w:val="none"/>
        </w:rPr>
        <w:t>本理财产品存续期内，投资者无权单方面主动决定终止本理财产品。为保护投资者利益，理财产品管理人有权按照本理财产品资金运作的实际情况，主动终止本理财产品。理财产品管理人提前终止本理财产品的原因包括但不限于：</w:t>
      </w:r>
    </w:p>
    <w:p w14:paraId="49D5D320">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（1）遇不可</w:t>
      </w:r>
      <w:r>
        <w:rPr>
          <w:rFonts w:ascii="楷体_GB2312" w:cs="楷体_GB2312" w:eastAsia="楷体_GB2312"/>
          <w:color w:val="000000"/>
          <w:sz w:val="20"/>
          <w:szCs w:val="20"/>
          <w:highlight w:val="none"/>
        </w:rPr>
        <w:t>抗力事件</w:t>
      </w:r>
      <w:r>
        <w:rPr>
          <w:rFonts w:ascii="楷体_GB2312" w:cs="楷体_GB2312" w:eastAsia="楷体_GB2312" w:hint="eastAsia"/>
          <w:color w:val="000000"/>
          <w:sz w:val="20"/>
          <w:szCs w:val="20"/>
          <w:highlight w:val="none"/>
        </w:rPr>
        <w:t>、</w:t>
      </w:r>
      <w:r>
        <w:rPr>
          <w:rFonts w:ascii="楷体_GB2312" w:cs="楷体_GB2312" w:eastAsia="楷体_GB2312"/>
          <w:color w:val="000000"/>
          <w:sz w:val="20"/>
          <w:szCs w:val="20"/>
          <w:highlight w:val="none"/>
        </w:rPr>
        <w:t>法律法规</w:t>
      </w:r>
      <w:r>
        <w:rPr>
          <w:rFonts w:ascii="楷体_GB2312" w:cs="楷体_GB2312" w:eastAsia="楷体_GB2312" w:hint="eastAsia"/>
          <w:color w:val="000000"/>
          <w:sz w:val="20"/>
          <w:szCs w:val="20"/>
          <w:highlight w:val="none"/>
        </w:rPr>
        <w:t>规定、</w:t>
      </w:r>
      <w:r>
        <w:rPr>
          <w:rFonts w:ascii="楷体_GB2312" w:cs="楷体_GB2312" w:eastAsia="楷体_GB2312"/>
          <w:color w:val="000000"/>
          <w:sz w:val="20"/>
          <w:szCs w:val="20"/>
          <w:highlight w:val="none"/>
        </w:rPr>
        <w:t>国家有权机关强制要求等原因导致理财产品无法继续存续</w:t>
      </w:r>
      <w:r>
        <w:rPr>
          <w:rFonts w:ascii="楷体_GB2312" w:cs="楷体_GB2312" w:eastAsia="楷体_GB2312" w:hint="eastAsia"/>
          <w:color w:val="000000"/>
          <w:sz w:val="20"/>
          <w:szCs w:val="20"/>
          <w:highlight w:val="none"/>
        </w:rPr>
        <w:t>的；</w:t>
      </w:r>
    </w:p>
    <w:p w14:paraId="7011ECBB">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（2）遇国家金融政策出现重大调整，或本产品所投资资产市场价格大幅下滑，或信银理财认为将</w:t>
      </w:r>
      <w:r>
        <w:rPr>
          <w:rFonts w:ascii="楷体_GB2312" w:cs="楷体_GB2312" w:eastAsia="楷体_GB2312"/>
          <w:color w:val="000000"/>
          <w:sz w:val="20"/>
          <w:szCs w:val="20"/>
          <w:highlight w:val="none"/>
        </w:rPr>
        <w:t>影响理财产品正常运作</w:t>
      </w:r>
      <w:r>
        <w:rPr>
          <w:rFonts w:ascii="楷体_GB2312" w:cs="楷体_GB2312" w:eastAsia="楷体_GB2312" w:hint="eastAsia"/>
          <w:color w:val="000000"/>
          <w:sz w:val="20"/>
          <w:szCs w:val="20"/>
          <w:highlight w:val="none"/>
        </w:rPr>
        <w:t>、需要提前终止本产品的其他情形的；</w:t>
      </w:r>
    </w:p>
    <w:p w14:paraId="325B0620">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（3）本产品所投资资产的信用状况发生恶化，信银理财合理判断可能影响到期正常兑付时；</w:t>
      </w:r>
    </w:p>
    <w:p w14:paraId="2517BBDA">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（4）因投资者理财资金被有权机关扣划等原因导致理财产品剩余资产无法满足相关法律法规规定、所投资市场要求或协议等相关法律文件约定，或者继续存续无法实现投资目的；</w:t>
      </w:r>
    </w:p>
    <w:p w14:paraId="54C73AF4">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（5）因相关投资管理机构解散、破产、撤销、被取消业务资格等原因无法继续履行相应职责导致产品无法继续运作；</w:t>
      </w:r>
    </w:p>
    <w:p w14:paraId="359A359B">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（6）相关投资管理机构或运用理财资金的第三方主体实施符合法律法规规定或协议等相关文件约定的行为导致理财产品被动提前终止；</w:t>
      </w:r>
    </w:p>
    <w:p w14:paraId="7EFE0B96">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（7）提前终止产品比维持产品运作更有利于保护产品持有人的权益；</w:t>
      </w:r>
    </w:p>
    <w:p w14:paraId="5FD66643">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（8）法律法规规定或监管部门认定的其他情形。</w:t>
      </w:r>
    </w:p>
    <w:p w14:paraId="23DB911A">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2</w:t>
      </w:r>
      <w:r>
        <w:rPr>
          <w:rFonts w:ascii="楷体_GB2312" w:cs="楷体_GB2312" w:eastAsia="楷体_GB2312"/>
          <w:color w:val="000000"/>
          <w:sz w:val="20"/>
          <w:szCs w:val="20"/>
          <w:highlight w:val="none"/>
        </w:rPr>
        <w:t>．</w:t>
      </w:r>
      <w:r>
        <w:rPr>
          <w:rFonts w:ascii="楷体_GB2312" w:cs="楷体_GB2312" w:eastAsia="楷体_GB2312" w:hint="eastAsia"/>
          <w:color w:val="000000"/>
          <w:sz w:val="20"/>
          <w:szCs w:val="20"/>
          <w:highlight w:val="none"/>
        </w:rPr>
        <w:t>如果信银理财提前终止本理财产品，信银理财将于提前终止日前【2】个工作日通知投资者，并在提前终止日后【5】个工作日内支付投资者应得</w:t>
      </w:r>
      <w:r>
        <w:rPr>
          <w:rFonts w:ascii="楷体_GB2312" w:cs="楷体_GB2312" w:eastAsia="楷体_GB2312"/>
          <w:color w:val="000000"/>
          <w:sz w:val="20"/>
          <w:szCs w:val="20"/>
          <w:highlight w:val="none"/>
        </w:rPr>
        <w:t>资金</w:t>
      </w:r>
      <w:r>
        <w:rPr>
          <w:rFonts w:ascii="楷体_GB2312" w:cs="楷体_GB2312" w:eastAsia="楷体_GB2312" w:hint="eastAsia"/>
          <w:color w:val="000000"/>
          <w:sz w:val="20"/>
          <w:szCs w:val="20"/>
          <w:highlight w:val="none"/>
        </w:rPr>
        <w:t>。投资者通过</w:t>
      </w:r>
      <w:r>
        <w:rPr>
          <w:rFonts w:ascii="楷体_GB2312" w:cs="楷体_GB2312" w:eastAsia="楷体_GB2312"/>
          <w:color w:val="000000"/>
          <w:sz w:val="20"/>
          <w:szCs w:val="20"/>
          <w:highlight w:val="none"/>
        </w:rPr>
        <w:t>代销机构购买本理财产品的</w:t>
      </w:r>
      <w:r>
        <w:rPr>
          <w:rFonts w:ascii="楷体_GB2312" w:cs="楷体_GB2312" w:eastAsia="楷体_GB2312" w:hint="eastAsia"/>
          <w:color w:val="000000"/>
          <w:sz w:val="20"/>
          <w:szCs w:val="20"/>
          <w:highlight w:val="none"/>
        </w:rPr>
        <w:t>，理财资金划转至投资者账户的时间以该代销机构的清算时间为准。若产品提前终止，产品到期日相应调整为提前终止日。</w:t>
      </w:r>
    </w:p>
    <w:p w14:paraId="58514B4B">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3</w:t>
      </w:r>
      <w:r>
        <w:rPr>
          <w:rFonts w:ascii="楷体_GB2312" w:cs="楷体_GB2312" w:eastAsia="楷体_GB2312"/>
          <w:color w:val="000000"/>
          <w:sz w:val="20"/>
          <w:szCs w:val="20"/>
          <w:highlight w:val="none"/>
        </w:rPr>
        <w:t>．理财产品不因投资者死亡、丧失民事行为能力、破产而终止；投资者的法定继承人、承继人或指定受益人以及继任管理人承担本理财产品项下的相应权利和义务。</w:t>
      </w:r>
    </w:p>
    <w:p w14:paraId="093044DD">
      <w:pPr>
        <w:spacing w:line="300" w:lineRule="exact"/>
        <w:ind w:firstLine="400" w:firstLineChars="200"/>
        <w:jc w:val="both"/>
        <w:rPr>
          <w:rFonts w:ascii="楷体_GB2312" w:cs="楷体_GB2312" w:eastAsia="楷体_GB2312"/>
          <w:color w:val="000000"/>
          <w:sz w:val="20"/>
          <w:szCs w:val="20"/>
          <w:highlight w:val="none"/>
        </w:rPr>
      </w:pPr>
    </w:p>
    <w:p w14:paraId="001E63B7">
      <w:pPr>
        <w:snapToGrid w:val="0"/>
        <w:ind w:left="-2" w:leftChars="-1" w:right="53" w:rightChars="22"/>
        <w:outlineLvl w:val="0"/>
        <w:rPr>
          <w:color w:themeColor="text1" w:val="00000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十二、产品的延期清算</w:t>
      </w:r>
    </w:p>
    <w:p w14:paraId="6D0591B2">
      <w:pPr>
        <w:spacing w:line="300" w:lineRule="exact"/>
        <w:ind w:firstLine="400" w:firstLineChars="200"/>
        <w:jc w:val="both"/>
        <w:rPr>
          <w:rFonts w:ascii="楷体_GB2312" w:cs="楷体_GB2312" w:eastAsia="楷体_GB2312"/>
          <w:color w:val="000000"/>
          <w:sz w:val="20"/>
          <w:szCs w:val="20"/>
          <w:highlight w:val="none"/>
        </w:rPr>
      </w:pPr>
      <w:r>
        <w:rPr>
          <w:rFonts w:ascii="楷体_GB2312" w:cs="楷体_GB2312" w:eastAsia="楷体_GB2312" w:hint="eastAsia"/>
          <w:color w:val="000000"/>
          <w:sz w:val="20"/>
          <w:szCs w:val="20"/>
          <w:highlight w:val="none"/>
        </w:rPr>
        <w:t>如遇国家金融政策、监管政策、相关法律法规发生变化，或本产品所投资资产的市场发生重大市场波动，或融资方、资产发行人及交易方出现违约或未按约定偿还本息、或投资市场出现流动性不足、资产未能正常买卖结算或后续加入资金不足及其他情形导致投资资产不能及时变现，则信银理财有权将产品实际结算延长至相关投资资产变现或追偿处置完毕为止，产品管理人将尽快对相关资产进行变现，并将变现后的非现金类资产与原有现金类资产在扣除相关费用后向投资者分配。</w:t>
      </w:r>
    </w:p>
    <w:p w14:paraId="26A98C20">
      <w:pPr>
        <w:snapToGrid w:val="0"/>
        <w:ind w:right="53" w:rightChars="22"/>
        <w:jc w:val="both"/>
        <w:rPr>
          <w:rFonts w:ascii="Times New Roman" w:cs="楷体_GB2312" w:eastAsia="楷体_GB2312" w:hAnsi="Times New Roman"/>
          <w:color w:themeColor="text1" w:val="000000"/>
          <w:sz w:val="20"/>
          <w:szCs w:val="20"/>
          <w:highlight w:val="none"/>
          <w14:textFill>
            <w14:solidFill>
              <w14:schemeClr w14:val="tx1"/>
            </w14:solidFill>
          </w14:textFill>
        </w:rPr>
      </w:pPr>
    </w:p>
    <w:p w14:paraId="0782545B">
      <w:pPr>
        <w:snapToGrid w:val="0"/>
        <w:ind w:left="-2" w:leftChars="-1" w:right="53" w:rightChars="22"/>
        <w:outlineLvl w:val="0"/>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十三、产品管理人与投资者权利义务</w:t>
      </w:r>
    </w:p>
    <w:p w14:paraId="45CF0B5E">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w:t>
      </w:r>
      <w:r>
        <w:rPr>
          <w:rFonts w:ascii="Times New Roman" w:cs="楷体_GB2312" w:eastAsia="楷体_GB2312" w:hAnsi="Times New Roman"/>
          <w:b/>
          <w:color w:themeColor="text1" w:val="000000"/>
          <w:sz w:val="20"/>
          <w:szCs w:val="20"/>
          <w:highlight w:val="none"/>
          <w14:textFill>
            <w14:solidFill>
              <w14:schemeClr w14:val="tx1"/>
            </w14:solidFill>
          </w14:textFill>
        </w:rPr>
        <w:t>产品管理人声明与保证</w:t>
      </w:r>
    </w:p>
    <w:p w14:paraId="3351CF72">
      <w:pPr>
        <w:snapToGrid w:val="0"/>
        <w:ind w:firstLine="428" w:firstLineChars="213" w:right="53" w:rightChars="22"/>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w:t>
      </w:r>
      <w:r>
        <w:rPr>
          <w:rFonts w:ascii="Times New Roman" w:cs="楷体_GB2312" w:eastAsia="楷体_GB2312" w:hAnsi="Times New Roman"/>
          <w:b/>
          <w:color w:themeColor="text1" w:val="000000"/>
          <w:sz w:val="20"/>
          <w:szCs w:val="20"/>
          <w:highlight w:val="none"/>
          <w14:textFill>
            <w14:solidFill>
              <w14:schemeClr w14:val="tx1"/>
            </w14:solidFill>
          </w14:textFill>
        </w:rPr>
        <w:t>产品管理人具有开办理财业务的经营资质，保证以诚实守信、勤勉尽职的原则管理和运用理财资金；</w:t>
      </w:r>
    </w:p>
    <w:p w14:paraId="19A18BD7">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w:t>
      </w:r>
      <w:r>
        <w:rPr>
          <w:rFonts w:ascii="Times New Roman" w:cs="楷体_GB2312" w:eastAsia="楷体_GB2312" w:hAnsi="Times New Roman"/>
          <w:b/>
          <w:color w:themeColor="text1" w:val="000000"/>
          <w:sz w:val="20"/>
          <w:szCs w:val="20"/>
          <w:highlight w:val="none"/>
          <w14:textFill>
            <w14:solidFill>
              <w14:schemeClr w14:val="tx1"/>
            </w14:solidFill>
          </w14:textFill>
        </w:rPr>
        <w:t>产品管理人具有完全适当的资格和能力订立与履行本理财产品合同。</w:t>
      </w:r>
    </w:p>
    <w:p w14:paraId="7085C45B">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w:t>
      </w:r>
      <w:r>
        <w:rPr>
          <w:rFonts w:ascii="Times New Roman" w:cs="楷体_GB2312" w:eastAsia="楷体_GB2312" w:hAnsi="Times New Roman"/>
          <w:b/>
          <w:color w:themeColor="text1" w:val="000000"/>
          <w:sz w:val="20"/>
          <w:szCs w:val="20"/>
          <w:highlight w:val="none"/>
          <w14:textFill>
            <w14:solidFill>
              <w14:schemeClr w14:val="tx1"/>
            </w14:solidFill>
          </w14:textFill>
        </w:rPr>
        <w:t>投资者声明与保证</w:t>
      </w:r>
    </w:p>
    <w:p w14:paraId="7A2827AE">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w:t>
      </w:r>
      <w:r>
        <w:rPr>
          <w:rFonts w:ascii="Times New Roman" w:cs="楷体_GB2312" w:eastAsia="楷体_GB2312" w:hAnsi="Times New Roman"/>
          <w:b/>
          <w:color w:themeColor="text1" w:val="000000"/>
          <w:sz w:val="20"/>
          <w:szCs w:val="20"/>
          <w:highlight w:val="none"/>
          <w14:textFill>
            <w14:solidFill>
              <w14:schemeClr w14:val="tx1"/>
            </w14:solidFill>
          </w14:textFill>
        </w:rPr>
        <w:t>投资者具有完全民事行为能力，有完全适当的资格与能力订立并履行本理财产品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，不存在法律、行政法规有关规定禁止或限制投资理财产品的情形（适用于个人投资者）。</w:t>
      </w:r>
    </w:p>
    <w:p w14:paraId="777AF035">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Times New Roman" w:cs="楷体_GB2312" w:eastAsia="楷体_GB2312" w:hAnsi="Times New Roman"/>
          <w:b/>
          <w:color w:themeColor="text1" w:val="000000"/>
          <w:sz w:val="20"/>
          <w:szCs w:val="20"/>
          <w:highlight w:val="none"/>
          <w14:textFill>
            <w14:solidFill>
              <w14:schemeClr w14:val="tx1"/>
            </w14:solidFill>
          </w14:textFill>
        </w:rPr>
        <w:t>投资者确认签署和履行理财产品销售文件系其真实意思表示，已经按照其章程或者其它内部管理文件的要求取得合法、有效的授权且不会违反对其有约束力的任何合同和其他法律文件；投资者已经取得签订和履行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所需的一切有关批准、许可、备案或者登记。（适用于机构投资者）；</w:t>
      </w:r>
    </w:p>
    <w:p w14:paraId="1A9A2C09">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w:t>
      </w:r>
      <w:r>
        <w:rPr>
          <w:rFonts w:ascii="Times New Roman" w:cs="楷体_GB2312" w:eastAsia="楷体_GB2312" w:hAnsi="Times New Roman"/>
          <w:b/>
          <w:color w:themeColor="text1" w:val="000000"/>
          <w:sz w:val="20"/>
          <w:szCs w:val="20"/>
          <w:highlight w:val="none"/>
          <w14:textFill>
            <w14:solidFill>
              <w14:schemeClr w14:val="tx1"/>
            </w14:solidFill>
          </w14:textFill>
        </w:rPr>
        <w:t>投资者保证以真实身份投资本理财产品，保证提供给产品管理人和代销机构的信息和资料均真实、准确、完整、合法。如投资者的信息和/或资料发生变更，应当及时书面告知产品管理人或代销机构；</w:t>
      </w:r>
    </w:p>
    <w:p w14:paraId="7AB32567">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（3）</w:t>
      </w:r>
      <w:r>
        <w:rPr>
          <w:rFonts w:ascii="Times New Roman" w:cs="楷体_GB2312" w:eastAsia="楷体_GB2312" w:hAnsi="Times New Roman"/>
          <w:b/>
          <w:color w:themeColor="text1" w:val="000000"/>
          <w:sz w:val="20"/>
          <w:szCs w:val="20"/>
          <w:highlight w:val="none"/>
          <w14:textFill>
            <w14:solidFill>
              <w14:schemeClr w14:val="tx1"/>
            </w14:solidFill>
          </w14:textFill>
        </w:rPr>
        <w:t>投资者声明熟悉理财产品类型特征及不同销售渠道的法律法规规定；</w:t>
      </w:r>
    </w:p>
    <w:p w14:paraId="2793902D">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（4）</w:t>
      </w:r>
      <w:r>
        <w:rPr>
          <w:rFonts w:ascii="Times New Roman" w:cs="楷体_GB2312" w:eastAsia="楷体_GB2312" w:hAnsi="Times New Roman"/>
          <w:b/>
          <w:color w:themeColor="text1" w:val="000000"/>
          <w:sz w:val="20"/>
          <w:szCs w:val="20"/>
          <w:highlight w:val="none"/>
          <w14:textFill>
            <w14:solidFill>
              <w14:schemeClr w14:val="tx1"/>
            </w14:solidFill>
          </w14:textFill>
        </w:rPr>
        <w:t>投资者承诺：如委托他人购买本产品，代理人须出具具有法律效力的授权委托书；</w:t>
      </w:r>
    </w:p>
    <w:p w14:paraId="675D344A">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（5）</w:t>
      </w:r>
      <w:r>
        <w:rPr>
          <w:rFonts w:ascii="Times New Roman" w:cs="楷体_GB2312" w:eastAsia="楷体_GB2312" w:hAnsi="Times New Roman"/>
          <w:b/>
          <w:color w:themeColor="text1" w:val="000000"/>
          <w:sz w:val="20"/>
          <w:szCs w:val="20"/>
          <w:highlight w:val="none"/>
          <w14:textFill>
            <w14:solidFill>
              <w14:schemeClr w14:val="tx1"/>
            </w14:solidFill>
          </w14:textFill>
        </w:rPr>
        <w:t>投资者保证理财投资资金来源和用途合法，保证可向产品管理人和代销机构提供合法筹集的证明文件；</w:t>
      </w:r>
    </w:p>
    <w:p w14:paraId="21D1EF66">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（6）</w:t>
      </w:r>
      <w:r>
        <w:rPr>
          <w:rFonts w:ascii="Times New Roman" w:cs="楷体_GB2312" w:eastAsia="楷体_GB2312" w:hAnsi="Times New Roman"/>
          <w:b/>
          <w:color w:themeColor="text1" w:val="000000"/>
          <w:sz w:val="20"/>
          <w:szCs w:val="20"/>
          <w:highlight w:val="none"/>
          <w14:textFill>
            <w14:solidFill>
              <w14:schemeClr w14:val="tx1"/>
            </w14:solidFill>
          </w14:textFill>
        </w:rPr>
        <w:t>投资者不利用本理财业务及本理财产品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项下理财产品从事违法活动；</w:t>
      </w:r>
    </w:p>
    <w:p w14:paraId="42C0B570">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（7）</w:t>
      </w:r>
      <w:r>
        <w:rPr>
          <w:rFonts w:ascii="Times New Roman" w:cs="楷体_GB2312" w:eastAsia="楷体_GB2312" w:hAnsi="Times New Roman"/>
          <w:b/>
          <w:color w:themeColor="text1" w:val="000000"/>
          <w:sz w:val="20"/>
          <w:szCs w:val="20"/>
          <w:highlight w:val="none"/>
          <w14:textFill>
            <w14:solidFill>
              <w14:schemeClr w14:val="tx1"/>
            </w14:solidFill>
          </w14:textFill>
        </w:rPr>
        <w:t>投资者保证遵守国家反洗钱法律、法规及相关政策要求，不从事涉及洗钱、恐怖融资、逃税、逃废债务、套取现金等违法违规活动，积极配合管理人/代销机构开展投资者身份识别、交易记录保存、投资者身份及交易背景尽职调查、大额和可疑交易报告等各项反洗钱工作，并按要求提供相关证明材料；</w:t>
      </w:r>
    </w:p>
    <w:p w14:paraId="4D01FFBA">
      <w:pPr>
        <w:snapToGrid w:val="0"/>
        <w:ind w:firstLine="402" w:firstLineChars="200"/>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（8）</w:t>
      </w:r>
      <w:r>
        <w:rPr>
          <w:rFonts w:ascii="Times New Roman" w:cs="楷体_GB2312" w:eastAsia="楷体_GB2312" w:hAnsi="Times New Roman"/>
          <w:b/>
          <w:color w:themeColor="text1" w:val="000000"/>
          <w:sz w:val="20"/>
          <w:szCs w:val="20"/>
          <w:highlight w:val="none"/>
          <w14:textFill>
            <w14:solidFill>
              <w14:schemeClr w14:val="tx1"/>
            </w14:solidFill>
          </w14:textFill>
        </w:rPr>
        <w:t>投资者不属于联合国制裁名单，及中国政府部门或有权机关发布的涉恐及反洗钱相关风险名单内的企业或个人；不位于被联合</w:t>
      </w:r>
      <w:r>
        <w:rPr>
          <w:rFonts w:ascii="Times New Roman" w:cs="楷体_GB2312" w:eastAsia="楷体_GB2312" w:hAnsi="Times New Roman" w:hint="eastAsia"/>
          <w:b/>
          <w:color w:themeColor="text1" w:val="000000"/>
          <w:sz w:val="20"/>
          <w:szCs w:val="20"/>
          <w:highlight w:val="none"/>
          <w:lang w:eastAsia="zh-CN" w:val="en-US"/>
          <w14:textFill>
            <w14:solidFill>
              <w14:schemeClr w14:val="tx1"/>
            </w14:solidFill>
          </w14:textFill>
        </w:rPr>
        <w:t>国</w:t>
      </w:r>
      <w:r>
        <w:rPr>
          <w:rFonts w:ascii="Times New Roman" w:cs="楷体_GB2312" w:eastAsia="楷体_GB2312" w:hAnsi="Times New Roman"/>
          <w:b/>
          <w:color w:themeColor="text1" w:val="000000"/>
          <w:sz w:val="20"/>
          <w:szCs w:val="20"/>
          <w:highlight w:val="none"/>
          <w14:textFill>
            <w14:solidFill>
              <w14:schemeClr w14:val="tx1"/>
            </w14:solidFill>
          </w14:textFill>
        </w:rPr>
        <w:t>或</w:t>
      </w:r>
      <w:r>
        <w:rPr>
          <w:rFonts w:ascii="Times New Roman" w:cs="楷体_GB2312" w:eastAsia="楷体_GB2312" w:hAnsi="Times New Roman" w:hint="eastAsia"/>
          <w:b/>
          <w:color w:themeColor="text1" w:val="000000"/>
          <w:sz w:val="20"/>
          <w:szCs w:val="20"/>
          <w:highlight w:val="none"/>
          <w:lang w:eastAsia="zh-CN" w:val="en-US"/>
          <w14:textFill>
            <w14:solidFill>
              <w14:schemeClr w14:val="tx1"/>
            </w14:solidFill>
          </w14:textFill>
        </w:rPr>
        <w:t>中</w:t>
      </w:r>
      <w:r>
        <w:rPr>
          <w:rFonts w:ascii="Times New Roman" w:cs="楷体_GB2312" w:eastAsia="楷体_GB2312" w:hAnsi="Times New Roman"/>
          <w:b/>
          <w:color w:themeColor="text1" w:val="000000"/>
          <w:sz w:val="20"/>
          <w:szCs w:val="20"/>
          <w:highlight w:val="none"/>
          <w14:textFill>
            <w14:solidFill>
              <w14:schemeClr w14:val="tx1"/>
            </w14:solidFill>
          </w14:textFill>
        </w:rPr>
        <w:t>国制裁的国家和地区；</w:t>
      </w:r>
    </w:p>
    <w:p w14:paraId="7F6A09A5">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（9）</w:t>
      </w:r>
      <w:r>
        <w:rPr>
          <w:rFonts w:ascii="Times New Roman" w:cs="楷体_GB2312" w:eastAsia="楷体_GB2312" w:hAnsi="Times New Roman"/>
          <w:b/>
          <w:color w:themeColor="text1" w:val="000000"/>
          <w:sz w:val="20"/>
          <w:szCs w:val="20"/>
          <w:highlight w:val="none"/>
          <w14:textFill>
            <w14:solidFill>
              <w14:schemeClr w14:val="tx1"/>
            </w14:solidFill>
          </w14:textFill>
        </w:rPr>
        <w:t>投资者保证不使用贷款、发行债券等筹集的非自有资金投资理财产品，保证投资本理财产品不存在违反监管要求的产品嵌套，以及以投资本理财产品规避投资范围、杠杆约束等监管要求等违规行为。</w:t>
      </w:r>
    </w:p>
    <w:p w14:paraId="29886281">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3．</w:t>
      </w:r>
      <w:r>
        <w:rPr>
          <w:rFonts w:ascii="Times New Roman" w:cs="楷体_GB2312" w:eastAsia="楷体_GB2312" w:hAnsi="Times New Roman"/>
          <w:b/>
          <w:color w:themeColor="text1" w:val="000000"/>
          <w:sz w:val="20"/>
          <w:szCs w:val="20"/>
          <w:highlight w:val="none"/>
          <w14:textFill>
            <w14:solidFill>
              <w14:schemeClr w14:val="tx1"/>
            </w14:solidFill>
          </w14:textFill>
        </w:rPr>
        <w:t>双方同意</w:t>
      </w:r>
    </w:p>
    <w:p w14:paraId="1CFE977B">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w:t>
      </w:r>
      <w:r>
        <w:rPr>
          <w:rFonts w:ascii="Times New Roman" w:cs="楷体_GB2312" w:eastAsia="楷体_GB2312" w:hAnsi="Times New Roman"/>
          <w:b/>
          <w:color w:themeColor="text1" w:val="000000"/>
          <w:sz w:val="20"/>
          <w:szCs w:val="20"/>
          <w:highlight w:val="none"/>
          <w14:textFill>
            <w14:solidFill>
              <w14:schemeClr w14:val="tx1"/>
            </w14:solidFill>
          </w14:textFill>
        </w:rPr>
        <w:t>未经产品管理人同意，投资者不得以本理财产品项下的任何权利、利益、权益（包括单独和整体）为投资者和任何第三人的债务设定担保或其他权益；</w:t>
      </w:r>
    </w:p>
    <w:p w14:paraId="689D8748">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w:t>
      </w:r>
      <w:r>
        <w:rPr>
          <w:rFonts w:ascii="Times New Roman" w:cs="楷体_GB2312" w:eastAsia="楷体_GB2312" w:hAnsi="Times New Roman"/>
          <w:b/>
          <w:color w:themeColor="text1" w:val="000000"/>
          <w:sz w:val="20"/>
          <w:szCs w:val="20"/>
          <w:highlight w:val="none"/>
          <w14:textFill>
            <w14:solidFill>
              <w14:schemeClr w14:val="tx1"/>
            </w14:solidFill>
          </w14:textFill>
        </w:rPr>
        <w:t>未经产品管理人同意，投资者不得向任何第三人转让、赠与本理财产品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或本理财产品</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销售文件</w:t>
      </w:r>
      <w:r>
        <w:rPr>
          <w:rFonts w:ascii="Times New Roman" w:cs="楷体_GB2312" w:eastAsia="楷体_GB2312" w:hAnsi="Times New Roman"/>
          <w:b/>
          <w:color w:themeColor="text1" w:val="000000"/>
          <w:sz w:val="20"/>
          <w:szCs w:val="20"/>
          <w:highlight w:val="none"/>
          <w14:textFill>
            <w14:solidFill>
              <w14:schemeClr w14:val="tx1"/>
            </w14:solidFill>
          </w14:textFill>
        </w:rPr>
        <w:t>项下的任何权利、利益、权益（包括单独和整体）；</w:t>
      </w:r>
    </w:p>
    <w:p w14:paraId="1D3314DF">
      <w:pPr>
        <w:snapToGrid w:val="0"/>
        <w:ind w:firstLine="428" w:firstLineChars="213" w:right="53" w:rightChars="22"/>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（3）</w:t>
      </w:r>
      <w:r>
        <w:rPr>
          <w:rFonts w:ascii="Times New Roman" w:cs="楷体_GB2312" w:eastAsia="楷体_GB2312" w:hAnsi="Times New Roman"/>
          <w:b/>
          <w:color w:themeColor="text1" w:val="000000"/>
          <w:sz w:val="20"/>
          <w:szCs w:val="20"/>
          <w:highlight w:val="none"/>
          <w14:textFill>
            <w14:solidFill>
              <w14:schemeClr w14:val="tx1"/>
            </w14:solidFill>
          </w14:textFill>
        </w:rPr>
        <w:t>产品管理人不承担对第三人支付本产品项下投资者清算产品后分配金额以及相关权益的责任，法律法规另有规定的除外。</w:t>
      </w:r>
    </w:p>
    <w:p w14:paraId="11AA4DF9">
      <w:pPr>
        <w:spacing w:line="300" w:lineRule="exact"/>
        <w:ind w:hanging="402" w:hangingChars="200" w:left="402" w:right="29" w:rightChars="12"/>
        <w:rPr>
          <w:rFonts w:ascii="Times New Roman" w:hAnsi="Times New Roman"/>
          <w:b/>
          <w:bCs/>
          <w:color w:themeColor="text1" w:val="000000"/>
          <w:sz w:val="20"/>
          <w:szCs w:val="20"/>
          <w:highlight w:val="none"/>
          <w14:textFill>
            <w14:solidFill>
              <w14:schemeClr w14:val="tx1"/>
            </w14:solidFill>
          </w14:textFill>
        </w:rPr>
      </w:pPr>
      <w:r>
        <w:rPr>
          <w:rFonts w:ascii="Times New Roman" w:hAnsi="Times New Roman"/>
          <w:b/>
          <w:bCs/>
          <w:color w:themeColor="text1" w:val="000000"/>
          <w:sz w:val="20"/>
          <w:szCs w:val="20"/>
          <w:highlight w:val="none"/>
          <w14:textFill>
            <w14:solidFill>
              <w14:schemeClr w14:val="tx1"/>
            </w14:solidFill>
          </w14:textFill>
        </w:rPr>
        <w:t> </w:t>
      </w:r>
    </w:p>
    <w:p w14:paraId="2ACD857F">
      <w:pPr>
        <w:spacing w:line="300" w:lineRule="exact"/>
        <w:ind w:hanging="402" w:hangingChars="200" w:left="402" w:right="29" w:rightChars="12"/>
        <w:rPr>
          <w:rFonts w:ascii="黑体" w:cs="黑体" w:eastAsia="黑体"/>
          <w:b/>
          <w:color w:themeColor="text1" w:val="000000"/>
          <w:sz w:val="20"/>
          <w:szCs w:val="20"/>
          <w:highlight w:val="none"/>
          <w14:textFill>
            <w14:solidFill>
              <w14:schemeClr w14:val="tx1"/>
            </w14:solidFill>
          </w14:textFill>
        </w:rPr>
      </w:pPr>
      <w:r>
        <w:rPr>
          <w:rFonts w:ascii="黑体" w:cs="黑体" w:eastAsia="黑体" w:hint="eastAsia"/>
          <w:b/>
          <w:color w:themeColor="text1" w:val="000000"/>
          <w:sz w:val="20"/>
          <w:szCs w:val="20"/>
          <w:highlight w:val="none"/>
          <w14:textFill>
            <w14:solidFill>
              <w14:schemeClr w14:val="tx1"/>
            </w14:solidFill>
          </w14:textFill>
        </w:rPr>
        <w:t>十四、保密</w:t>
      </w:r>
      <w:r>
        <w:rPr>
          <w:rFonts w:ascii="黑体" w:cs="黑体" w:eastAsia="黑体"/>
          <w:b/>
          <w:color w:themeColor="text1" w:val="000000"/>
          <w:sz w:val="20"/>
          <w:szCs w:val="20"/>
          <w:highlight w:val="none"/>
          <w14:textFill>
            <w14:solidFill>
              <w14:schemeClr w14:val="tx1"/>
            </w14:solidFill>
          </w14:textFill>
        </w:rPr>
        <w:t>条款</w:t>
      </w:r>
    </w:p>
    <w:p w14:paraId="0263DDBD">
      <w:pPr>
        <w:spacing w:line="300" w:lineRule="exact"/>
        <w:ind w:firstLine="402" w:firstLineChars="200"/>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Times New Roman" w:cs="楷体_GB2312" w:eastAsia="楷体_GB2312" w:hAnsi="Times New Roman"/>
          <w:b/>
          <w:color w:themeColor="text1" w:val="000000"/>
          <w:sz w:val="20"/>
          <w:szCs w:val="20"/>
          <w:highlight w:val="none"/>
          <w14:textFill>
            <w14:solidFill>
              <w14:schemeClr w14:val="tx1"/>
            </w14:solidFill>
          </w14:textFill>
        </w:rPr>
        <w:t>1．信银理财将加强信息安全管理，根据法律法规及监管要求，对在产品销售和运作过程中获取的投资者信息履行保密义务，除非依照法律法规之规定，或应监管机构及其他有权机关的要求，或与投资者另有约定外，不向第三方披露。</w:t>
      </w:r>
    </w:p>
    <w:p w14:paraId="27AD9E42">
      <w:pPr>
        <w:spacing w:line="300" w:lineRule="exact"/>
        <w:ind w:firstLine="402" w:firstLineChars="200"/>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Times New Roman" w:cs="楷体_GB2312" w:eastAsia="楷体_GB2312" w:hAnsi="Times New Roman"/>
          <w:b/>
          <w:color w:themeColor="text1" w:val="000000"/>
          <w:sz w:val="20"/>
          <w:szCs w:val="20"/>
          <w:highlight w:val="none"/>
          <w14:textFill>
            <w14:solidFill>
              <w14:schemeClr w14:val="tx1"/>
            </w14:solidFill>
          </w14:textFill>
        </w:rPr>
        <w:t>2．理财产品管理人向投资者披露的或投资者因购买本理财产品而获知的有关本理财产品的全部信息（包括但不限于本理财产品销售文件、本理财产品投资安排的全部信息）及本理财产品参与主体的未对外公开的信息均为保密信息。投资者有义务对上述保密信息采取保密措施，未经理财产品管理人同意，投资者不得向任何第三方披露该等保密信息，否则应承担相应违约责任，但以下情形除外：（1）向与本次投资有关而需要获知以上信息并受保密协议约束的律师、会计师、顾问和咨询人员披露的；（2）根据适用的法律法规的要求，向有关政府部门、监管机构或者管理机构（包括证券交易所）披露的；（3）本产品说明书另有约定的。前述保密义务不因本理财产品销售文件或相关协议的无效、被撤销、终止而受影响。</w:t>
      </w:r>
    </w:p>
    <w:p w14:paraId="7BE5DC63">
      <w:pPr>
        <w:spacing w:line="300" w:lineRule="exact"/>
        <w:ind w:firstLine="402" w:firstLineChars="200"/>
        <w:jc w:val="both"/>
        <w:rPr>
          <w:rFonts w:ascii="Times New Roman" w:cs="楷体_GB2312" w:eastAsia="楷体_GB2312" w:hAnsi="Times New Roman"/>
          <w:b/>
          <w:color w:themeColor="text1" w:val="000000"/>
          <w:sz w:val="20"/>
          <w:szCs w:val="20"/>
          <w:highlight w:val="none"/>
          <w14:textFill>
            <w14:solidFill>
              <w14:schemeClr w14:val="tx1"/>
            </w14:solidFill>
          </w14:textFill>
        </w:rPr>
      </w:pPr>
      <w:r>
        <w:rPr>
          <w:rFonts w:ascii="Times New Roman" w:cs="楷体_GB2312" w:eastAsia="楷体_GB2312" w:hAnsi="Times New Roman"/>
          <w:b/>
          <w:color w:themeColor="text1" w:val="000000"/>
          <w:sz w:val="20"/>
          <w:szCs w:val="20"/>
          <w:highlight w:val="none"/>
          <w14:textFill>
            <w14:solidFill>
              <w14:schemeClr w14:val="tx1"/>
            </w14:solidFill>
          </w14:textFill>
        </w:rPr>
        <w:t>3．根据监管机构要求，管理人（特指除本理财</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产品</w:t>
      </w:r>
      <w:r>
        <w:rPr>
          <w:rFonts w:ascii="Times New Roman" w:cs="楷体_GB2312" w:eastAsia="楷体_GB2312" w:hAnsi="Times New Roman"/>
          <w:b/>
          <w:color w:themeColor="text1" w:val="000000"/>
          <w:sz w:val="20"/>
          <w:szCs w:val="20"/>
          <w:highlight w:val="none"/>
          <w14:textFill>
            <w14:solidFill>
              <w14:schemeClr w14:val="tx1"/>
            </w14:solidFill>
          </w14:textFill>
        </w:rPr>
        <w:t>的管理人信银理财之外的其他管理人，包括但不限于本理财</w:t>
      </w:r>
      <w:r>
        <w:rPr>
          <w:rFonts w:ascii="Times New Roman" w:cs="楷体_GB2312" w:eastAsia="楷体_GB2312" w:hAnsi="Times New Roman" w:hint="eastAsia"/>
          <w:b/>
          <w:color w:themeColor="text1" w:val="000000"/>
          <w:sz w:val="20"/>
          <w:szCs w:val="20"/>
          <w:highlight w:val="none"/>
          <w14:textFill>
            <w14:solidFill>
              <w14:schemeClr w14:val="tx1"/>
            </w14:solidFill>
          </w14:textFill>
        </w:rPr>
        <w:t>产品</w:t>
      </w:r>
      <w:r>
        <w:rPr>
          <w:rFonts w:ascii="Times New Roman" w:cs="楷体_GB2312" w:eastAsia="楷体_GB2312" w:hAnsi="Times New Roman"/>
          <w:b/>
          <w:color w:themeColor="text1" w:val="000000"/>
          <w:sz w:val="20"/>
          <w:szCs w:val="20"/>
          <w:highlight w:val="none"/>
          <w14:textFill>
            <w14:solidFill>
              <w14:schemeClr w14:val="tx1"/>
            </w14:solidFill>
          </w14:textFill>
        </w:rPr>
        <w:t>所投资的信托计划、资管计划、私募基金的受托人或管理人、相关投资顾问等，下同）有可能需要向监管机构报送投资者身份信息、持仓信息等相关信息，信银理财将应管理人申请，在必要范围内向管理人提供相关信息，并要求该等管理人履行投资者信息保密义务。投资者签署本理财产品销售文件即视为已经同意信银理财在前述范围内向相关方提供投资者身份信息、持仓信息等相关信息。</w:t>
      </w:r>
    </w:p>
    <w:p w14:paraId="78906FC4">
      <w:pPr>
        <w:spacing w:line="300" w:lineRule="exact"/>
        <w:ind w:firstLine="282" w:firstLineChars="141" w:left="2" w:right="29" w:rightChars="12"/>
        <w:rPr>
          <w:rFonts w:ascii="Times New Roman" w:cs="楷体_GB2312" w:eastAsia="楷体_GB2312" w:hAnsi="Times New Roman"/>
          <w:color w:themeColor="text1" w:val="000000"/>
          <w:sz w:val="20"/>
          <w:szCs w:val="20"/>
          <w:highlight w:val="none"/>
          <w14:textFill>
            <w14:solidFill>
              <w14:schemeClr w14:val="tx1"/>
            </w14:solidFill>
          </w14:textFill>
        </w:rPr>
      </w:pPr>
    </w:p>
    <w:p w14:paraId="1F461DD7">
      <w:pPr>
        <w:spacing w:line="300" w:lineRule="exact"/>
        <w:ind w:hanging="402" w:hangingChars="200" w:left="402" w:right="29" w:rightChars="12"/>
        <w:rPr>
          <w:rFonts w:ascii="楷体_GB2312" w:eastAsia="楷体_GB2312"/>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十五、特别提示</w:t>
      </w:r>
    </w:p>
    <w:p w14:paraId="0293E191">
      <w:pPr>
        <w:spacing w:line="300" w:lineRule="exact"/>
        <w:ind w:firstLine="402" w:firstLineChars="200"/>
        <w:jc w:val="both"/>
        <w:rPr>
          <w:b/>
          <w:color w:themeColor="text1" w:val="00000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1．本产品面临的风险包括信用风险、市场风险、流动性风险、提前终止风险、政策风险、信息传递风险、管理风险、延期清算风险、</w:t>
      </w:r>
      <w:r>
        <w:rPr>
          <w:rFonts w:ascii="楷体_GB2312" w:cs="楷体_GB2312" w:eastAsia="楷体_GB2312" w:hint="eastAsia"/>
          <w:b/>
          <w:color w:themeColor="text1" w:val="000000"/>
          <w:sz w:val="20"/>
          <w:szCs w:val="20"/>
          <w:highlight w:val="none"/>
          <w14:textFill>
            <w14:solidFill>
              <w14:schemeClr w14:val="tx1"/>
            </w14:solidFill>
          </w14:textFill>
        </w:rPr>
        <w:t>理财</w:t>
      </w:r>
      <w:r>
        <w:rPr>
          <w:rFonts w:ascii="楷体_GB2312" w:cs="楷体_GB2312" w:eastAsia="楷体_GB2312"/>
          <w:b/>
          <w:color w:themeColor="text1" w:val="000000"/>
          <w:sz w:val="20"/>
          <w:szCs w:val="20"/>
          <w:highlight w:val="none"/>
          <w14:textFill>
            <w14:solidFill>
              <w14:schemeClr w14:val="tx1"/>
            </w14:solidFill>
          </w14:textFill>
        </w:rPr>
        <w:t>产品不成立风险、不可抗力及意外事件风险、</w:t>
      </w:r>
      <w:r>
        <w:rPr>
          <w:rFonts w:ascii="楷体_GB2312" w:cs="楷体_GB2312" w:eastAsia="楷体_GB2312" w:hint="eastAsia"/>
          <w:b/>
          <w:color w:themeColor="text1" w:val="000000"/>
          <w:sz w:val="20"/>
          <w:szCs w:val="20"/>
          <w:highlight w:val="none"/>
          <w14:textFill>
            <w14:solidFill>
              <w14:schemeClr w14:val="tx1"/>
            </w14:solidFill>
          </w14:textFill>
        </w:rPr>
        <w:t>理财本金全部损失风险</w:t>
      </w:r>
      <w:r>
        <w:rPr>
          <w:rFonts w:ascii="楷体_GB2312" w:cs="楷体_GB2312" w:eastAsia="楷体_GB2312"/>
          <w:b/>
          <w:color w:themeColor="text1" w:val="000000"/>
          <w:sz w:val="20"/>
          <w:szCs w:val="20"/>
          <w:highlight w:val="none"/>
          <w14:textFill>
            <w14:solidFill>
              <w14:schemeClr w14:val="tx1"/>
            </w14:solidFill>
          </w14:textFill>
        </w:rPr>
        <w:t>、合作销售机构</w:t>
      </w:r>
      <w:r>
        <w:rPr>
          <w:rFonts w:ascii="楷体_GB2312" w:cs="楷体_GB2312" w:eastAsia="楷体_GB2312" w:hint="eastAsia"/>
          <w:b/>
          <w:color w:themeColor="text1" w:val="000000"/>
          <w:sz w:val="20"/>
          <w:szCs w:val="20"/>
          <w:highlight w:val="none"/>
          <w14:textFill>
            <w14:solidFill>
              <w14:schemeClr w14:val="tx1"/>
            </w14:solidFill>
          </w14:textFill>
        </w:rPr>
        <w:t>（代销机构）</w:t>
      </w:r>
      <w:r>
        <w:rPr>
          <w:rFonts w:ascii="楷体_GB2312" w:cs="楷体_GB2312" w:eastAsia="楷体_GB2312"/>
          <w:b/>
          <w:color w:themeColor="text1" w:val="000000"/>
          <w:sz w:val="20"/>
          <w:szCs w:val="20"/>
          <w:highlight w:val="none"/>
          <w14:textFill>
            <w14:solidFill>
              <w14:schemeClr w14:val="tx1"/>
            </w14:solidFill>
          </w14:textFill>
        </w:rPr>
        <w:t>风险、操作风险</w:t>
      </w:r>
      <w:r>
        <w:rPr>
          <w:rFonts w:ascii="楷体_GB2312" w:cs="楷体_GB2312" w:eastAsia="楷体_GB2312" w:hint="eastAsia"/>
          <w:b/>
          <w:color w:themeColor="text1" w:val="000000"/>
          <w:sz w:val="20"/>
          <w:szCs w:val="20"/>
          <w:highlight w:val="none"/>
          <w14:textFill>
            <w14:solidFill>
              <w14:schemeClr w14:val="tx1"/>
            </w14:solidFill>
          </w14:textFill>
        </w:rPr>
        <w:t>、关联交易风险</w:t>
      </w:r>
      <w:r>
        <w:rPr>
          <w:rFonts w:ascii="楷体_GB2312" w:cs="楷体_GB2312" w:eastAsia="楷体_GB2312"/>
          <w:b/>
          <w:color w:themeColor="text1" w:val="000000"/>
          <w:sz w:val="20"/>
          <w:szCs w:val="20"/>
          <w:highlight w:val="none"/>
          <w14:textFill>
            <w14:solidFill>
              <w14:schemeClr w14:val="tx1"/>
            </w14:solidFill>
          </w14:textFill>
        </w:rPr>
        <w:t xml:space="preserve">等风险，将可能导致投资者无法取得收益，甚至本金蒙受部分或全部损失。由此产生的理财本金和收益损失的风险由投资者自行承担，信银理财不承担任何返还理财本金及收益的保证责任。  </w:t>
      </w:r>
    </w:p>
    <w:p w14:paraId="3568FECC">
      <w:pPr>
        <w:spacing w:line="300" w:lineRule="exact"/>
        <w:ind w:firstLine="402" w:firstLineChars="200"/>
        <w:jc w:val="both"/>
        <w:rPr>
          <w:rFonts w:ascii="楷体_GB2312" w:cs="楷体_GB2312" w:eastAsia="楷体_GB2312"/>
          <w:b/>
          <w:color w:themeColor="text1" w:val="000000"/>
          <w:sz w:val="20"/>
          <w:szCs w:val="20"/>
          <w:highlight w:val="none"/>
          <w14:textFill>
            <w14:solidFill>
              <w14:schemeClr w14:val="tx1"/>
            </w14:solidFill>
          </w14:textFill>
        </w:rPr>
      </w:pPr>
      <w:r>
        <w:rPr>
          <w:rFonts w:ascii="楷体_GB2312" w:cs="楷体_GB2312" w:eastAsia="楷体_GB2312"/>
          <w:b/>
          <w:color w:themeColor="text1" w:val="000000"/>
          <w:sz w:val="20"/>
          <w:szCs w:val="20"/>
          <w:highlight w:val="none"/>
          <w14:textFill>
            <w14:solidFill>
              <w14:schemeClr w14:val="tx1"/>
            </w14:solidFill>
          </w14:textFill>
        </w:rPr>
        <w:t>2．除本说明书中明确规定的收益或收益分配方式外，任何预计收益、预期收益、测算收益、业绩比较基准或类似表述均属不具有法律效力的用语，不代表投资者可能获得的实际收益，亦不构成信银理财对本理财产品的任何收益承诺。</w:t>
      </w:r>
    </w:p>
    <w:p w14:paraId="66F65FAB">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3．关于费用</w:t>
      </w:r>
    </w:p>
    <w:p w14:paraId="515847A2">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（1）双方确认：本产品说明书约定的收费标准经双方协商确定，双方均认可该收费标准。</w:t>
      </w:r>
    </w:p>
    <w:p w14:paraId="32501BBD">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2）限制与例外条款：信银理财保留根据适用法律和国家政策规定及产品说明书的相关约定调整产品收费标准的权利。若因上述原因，信银理财确需调整本产品说明书项下收费标准的，应以本产品说明书约定方式提前通知投资者。投资者不接受调整后的收费标准的，有权提前赎回理财产品。信银理财有权根据情况设立临时的赎回开放日。</w:t>
      </w:r>
    </w:p>
    <w:p w14:paraId="2BC355BF">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4．咨询与投诉：投资者对本理财产品有任何建议、意见或投诉，请联系信银理财理财经理，或反馈至信银理财营业场所，或拨打信银理财客户服务热线【950950，工作时间为工作日8：30-20：30】，</w:t>
      </w:r>
      <w:r>
        <w:rPr>
          <w:rFonts w:ascii="楷体_GB2312" w:eastAsia="楷体_GB2312" w:hint="eastAsia"/>
          <w:b/>
          <w:color w:themeColor="text1" w:val="000000"/>
          <w:sz w:val="20"/>
          <w:szCs w:val="20"/>
          <w:highlight w:val="none"/>
          <w14:textFill>
            <w14:solidFill>
              <w14:schemeClr w14:val="tx1"/>
            </w14:solidFill>
          </w14:textFill>
        </w:rPr>
        <w:t>或</w:t>
      </w:r>
      <w:r>
        <w:rPr>
          <w:rFonts w:ascii="楷体_GB2312" w:eastAsia="楷体_GB2312"/>
          <w:b/>
          <w:color w:themeColor="text1" w:val="000000"/>
          <w:sz w:val="20"/>
          <w:szCs w:val="20"/>
          <w:highlight w:val="none"/>
          <w14:textFill>
            <w14:solidFill>
              <w14:schemeClr w14:val="tx1"/>
            </w14:solidFill>
          </w14:textFill>
        </w:rPr>
        <w:t>登录信银理财网站【http://www.citic-wealth.com/】进行查询。信银理财将安排专人及时收集客户投诉，并在收到客户投诉的第一时间内与客户取得联系，及时处理并进行反馈。投资者通过代销机构购买理财产品的，可按照代销机构提供的联系方式反馈信息、咨询和投诉。</w:t>
      </w:r>
    </w:p>
    <w:p w14:paraId="59675254">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hint="eastAsia"/>
          <w:b/>
          <w:color w:themeColor="text1" w:val="000000"/>
          <w:sz w:val="20"/>
          <w:szCs w:val="20"/>
          <w:highlight w:val="none"/>
          <w:lang w:eastAsia="zh-CN" w:val="en-US"/>
          <w14:textFill>
            <w14:solidFill>
              <w14:schemeClr w14:val="tx1"/>
            </w14:solidFill>
          </w14:textFill>
        </w:rPr>
        <w:t>我司投诉处理机构或部门调查核实投诉事项，在收到投诉之日起15日内作出处理决定并告知投诉人，情况复杂的可延长至30日，最长处理期限不超过60日。我司投诉处理机构或部门告知投诉人处理决定的同时，会说明对消费投诉内容的核实情况、作出决定的有关依据和理由，以及投诉人可以采取的申请核查、调解、仲裁、诉讼等纠纷解决途径。</w:t>
      </w:r>
    </w:p>
    <w:p w14:paraId="450D0CF7">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5．本产品说明书中关于时间的标准，以信银理财业务处理系统记录的北京时间为准。</w:t>
      </w:r>
    </w:p>
    <w:p w14:paraId="7F48C6A5">
      <w:pPr>
        <w:spacing w:line="300" w:lineRule="exact"/>
        <w:ind w:firstLine="430" w:firstLineChars="214"/>
        <w:jc w:val="both"/>
        <w:rPr>
          <w:rFonts w:ascii="楷体_GB2312" w:eastAsia="楷体_GB2312"/>
          <w:b/>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6．信银理财有权依法对本产品说明书进行解释。</w:t>
      </w:r>
    </w:p>
    <w:p w14:paraId="7CD903EC">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p>
    <w:p w14:paraId="2F9F4230">
      <w:pPr>
        <w:spacing w:line="300" w:lineRule="exact"/>
        <w:ind w:hanging="400" w:hangingChars="200" w:left="400" w:right="29" w:rightChars="12"/>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十六、违约责任</w:t>
      </w:r>
    </w:p>
    <w:p w14:paraId="0FE10543">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双方因违反本产品说明书约定而给对方造成损失的，违约方应赔偿因此给对方造成的直接损失。</w:t>
      </w:r>
    </w:p>
    <w:p w14:paraId="515352ED">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p>
    <w:p w14:paraId="27319308">
      <w:pPr>
        <w:spacing w:line="300" w:lineRule="exact"/>
        <w:ind w:hanging="402" w:hangingChars="200" w:left="402" w:right="29" w:rightChars="12"/>
        <w:rPr>
          <w:rFonts w:ascii="黑体" w:cs="黑体" w:eastAsia="黑体" w:hAnsi="Times New Roman"/>
          <w:b/>
          <w:color w:themeColor="text1" w:val="000000"/>
          <w:sz w:val="20"/>
          <w:szCs w:val="20"/>
          <w:highlight w:val="none"/>
          <w14:textFill>
            <w14:solidFill>
              <w14:schemeClr w14:val="tx1"/>
            </w14:solidFill>
          </w14:textFill>
        </w:rPr>
      </w:pPr>
      <w:r>
        <w:rPr>
          <w:rFonts w:ascii="黑体" w:cs="黑体" w:eastAsia="黑体" w:hAnsi="Times New Roman" w:hint="eastAsia"/>
          <w:b/>
          <w:color w:themeColor="text1" w:val="000000"/>
          <w:sz w:val="20"/>
          <w:szCs w:val="20"/>
          <w:highlight w:val="none"/>
          <w14:textFill>
            <w14:solidFill>
              <w14:schemeClr w14:val="tx1"/>
            </w14:solidFill>
          </w14:textFill>
        </w:rPr>
        <w:t>十七、免责内容</w:t>
      </w:r>
    </w:p>
    <w:p w14:paraId="4FD939CD">
      <w:pPr>
        <w:spacing w:line="300" w:lineRule="exact"/>
        <w:ind w:firstLine="402"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b/>
          <w:color w:themeColor="text1" w:val="000000"/>
          <w:sz w:val="20"/>
          <w:szCs w:val="20"/>
          <w:highlight w:val="none"/>
          <w14:textFill>
            <w14:solidFill>
              <w14:schemeClr w14:val="tx1"/>
            </w14:solidFill>
          </w14:textFill>
        </w:rPr>
        <w:t>因法律法规或监管政策变化、自然灾害、意外事故、战争、系统故障、通讯故障等信银理财客观不能预见、不能避免、不能克服的不可抗力事件或意外事件，导致信银理财无法或延后履行本产品说明书有关义务的，信银理财不承担责任，但因信银理财故意或重大过失造成的系统故障、通讯故障的除外。前述约定不免除因信银理财过错导致依法应由产品管理人承担的责任。管理人应在条件允许的情况下，采取必要的补救措施以减少不可抗力造成的损失。</w:t>
      </w:r>
    </w:p>
    <w:p w14:paraId="2301179A">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p>
    <w:p w14:paraId="5E4B27E8">
      <w:pPr>
        <w:spacing w:line="300" w:lineRule="exact"/>
        <w:ind w:hanging="400" w:hangingChars="200" w:left="400" w:right="29" w:rightChars="12"/>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十八、本说明书的生效与终止</w:t>
      </w:r>
    </w:p>
    <w:p w14:paraId="5F5DFE30">
      <w:pPr>
        <w:pStyle w:val="20"/>
        <w:numPr>
          <w:ilvl w:val="255"/>
          <w:numId w:val="0"/>
        </w:num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1</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投资者在信银</w:t>
      </w:r>
      <w:r>
        <w:rPr>
          <w:rFonts w:ascii="楷体_GB2312" w:eastAsia="楷体_GB2312"/>
          <w:color w:themeColor="text1" w:val="000000"/>
          <w:sz w:val="20"/>
          <w:szCs w:val="20"/>
          <w:highlight w:val="none"/>
          <w14:textFill>
            <w14:solidFill>
              <w14:schemeClr w14:val="tx1"/>
            </w14:solidFill>
          </w14:textFill>
        </w:rPr>
        <w:t>理财</w:t>
      </w:r>
      <w:r>
        <w:rPr>
          <w:rFonts w:ascii="楷体_GB2312" w:eastAsia="楷体_GB2312" w:hint="eastAsia"/>
          <w:color w:themeColor="text1" w:val="000000"/>
          <w:sz w:val="20"/>
          <w:szCs w:val="20"/>
          <w:highlight w:val="none"/>
          <w14:textFill>
            <w14:solidFill>
              <w14:schemeClr w14:val="tx1"/>
            </w14:solidFill>
          </w14:textFill>
        </w:rPr>
        <w:t>营业</w:t>
      </w:r>
      <w:r>
        <w:rPr>
          <w:rFonts w:ascii="楷体_GB2312" w:eastAsia="楷体_GB2312"/>
          <w:color w:themeColor="text1" w:val="000000"/>
          <w:sz w:val="20"/>
          <w:szCs w:val="20"/>
          <w:highlight w:val="none"/>
          <w14:textFill>
            <w14:solidFill>
              <w14:schemeClr w14:val="tx1"/>
            </w14:solidFill>
          </w14:textFill>
        </w:rPr>
        <w:t>场所购买理财产品的，</w:t>
      </w:r>
      <w:r>
        <w:rPr>
          <w:rFonts w:ascii="楷体_GB2312" w:eastAsia="楷体_GB2312" w:hint="eastAsia"/>
          <w:color w:themeColor="text1" w:val="000000"/>
          <w:sz w:val="20"/>
          <w:szCs w:val="20"/>
          <w:highlight w:val="none"/>
          <w14:textFill>
            <w14:solidFill>
              <w14:schemeClr w14:val="tx1"/>
            </w14:solidFill>
          </w14:textFill>
        </w:rPr>
        <w:t>本产品说明书</w:t>
      </w:r>
      <w:r>
        <w:rPr>
          <w:rFonts w:ascii="楷体_GB2312" w:eastAsia="楷体_GB2312"/>
          <w:color w:themeColor="text1" w:val="000000"/>
          <w:sz w:val="20"/>
          <w:szCs w:val="20"/>
          <w:highlight w:val="none"/>
          <w14:textFill>
            <w14:solidFill>
              <w14:schemeClr w14:val="tx1"/>
            </w14:solidFill>
          </w14:textFill>
        </w:rPr>
        <w:t>自</w:t>
      </w:r>
      <w:r>
        <w:rPr>
          <w:rFonts w:ascii="楷体_GB2312" w:eastAsia="楷体_GB2312" w:hint="eastAsia"/>
          <w:color w:themeColor="text1" w:val="000000"/>
          <w:sz w:val="20"/>
          <w:szCs w:val="20"/>
          <w:highlight w:val="none"/>
          <w14:textFill>
            <w14:solidFill>
              <w14:schemeClr w14:val="tx1"/>
            </w14:solidFill>
          </w14:textFill>
        </w:rPr>
        <w:t>投资者</w:t>
      </w:r>
      <w:r>
        <w:rPr>
          <w:rFonts w:ascii="楷体_GB2312" w:eastAsia="楷体_GB2312"/>
          <w:color w:themeColor="text1" w:val="000000"/>
          <w:sz w:val="20"/>
          <w:szCs w:val="20"/>
          <w:highlight w:val="none"/>
          <w14:textFill>
            <w14:solidFill>
              <w14:schemeClr w14:val="tx1"/>
            </w14:solidFill>
          </w14:textFill>
        </w:rPr>
        <w:t>签字/盖章后生效。</w:t>
      </w:r>
      <w:r>
        <w:rPr>
          <w:rFonts w:ascii="楷体_GB2312" w:eastAsia="楷体_GB2312" w:hint="eastAsia"/>
          <w:color w:themeColor="text1" w:val="000000"/>
          <w:sz w:val="20"/>
          <w:szCs w:val="20"/>
          <w:highlight w:val="none"/>
          <w14:textFill>
            <w14:solidFill>
              <w14:schemeClr w14:val="tx1"/>
            </w14:solidFill>
          </w14:textFill>
        </w:rPr>
        <w:t>投资者</w:t>
      </w:r>
      <w:r>
        <w:rPr>
          <w:rFonts w:ascii="楷体_GB2312" w:eastAsia="楷体_GB2312"/>
          <w:color w:themeColor="text1" w:val="000000"/>
          <w:sz w:val="20"/>
          <w:szCs w:val="20"/>
          <w:highlight w:val="none"/>
          <w14:textFill>
            <w14:solidFill>
              <w14:schemeClr w14:val="tx1"/>
            </w14:solidFill>
          </w14:textFill>
        </w:rPr>
        <w:t>通过</w:t>
      </w:r>
      <w:r>
        <w:rPr>
          <w:rFonts w:ascii="楷体_GB2312" w:eastAsia="楷体_GB2312" w:hint="eastAsia"/>
          <w:color w:themeColor="text1" w:val="000000"/>
          <w:sz w:val="20"/>
          <w:szCs w:val="20"/>
          <w:highlight w:val="none"/>
          <w14:textFill>
            <w14:solidFill>
              <w14:schemeClr w14:val="tx1"/>
            </w14:solidFill>
          </w14:textFill>
        </w:rPr>
        <w:t>信银理财</w:t>
      </w:r>
      <w:r>
        <w:rPr>
          <w:rFonts w:ascii="楷体_GB2312" w:eastAsia="楷体_GB2312"/>
          <w:color w:themeColor="text1" w:val="000000"/>
          <w:sz w:val="20"/>
          <w:szCs w:val="20"/>
          <w:highlight w:val="none"/>
          <w14:textFill>
            <w14:solidFill>
              <w14:schemeClr w14:val="tx1"/>
            </w14:solidFill>
          </w14:textFill>
        </w:rPr>
        <w:t>电子渠道购买理财产品的，</w:t>
      </w:r>
      <w:r>
        <w:rPr>
          <w:rFonts w:ascii="楷体_GB2312" w:eastAsia="楷体_GB2312" w:hint="eastAsia"/>
          <w:color w:themeColor="text1" w:val="000000"/>
          <w:sz w:val="20"/>
          <w:szCs w:val="20"/>
          <w:highlight w:val="none"/>
          <w14:textFill>
            <w14:solidFill>
              <w14:schemeClr w14:val="tx1"/>
            </w14:solidFill>
          </w14:textFill>
        </w:rPr>
        <w:t>本产品说明书</w:t>
      </w:r>
      <w:r>
        <w:rPr>
          <w:rFonts w:ascii="楷体_GB2312" w:eastAsia="楷体_GB2312"/>
          <w:color w:themeColor="text1" w:val="000000"/>
          <w:sz w:val="20"/>
          <w:szCs w:val="20"/>
          <w:highlight w:val="none"/>
          <w14:textFill>
            <w14:solidFill>
              <w14:schemeClr w14:val="tx1"/>
            </w14:solidFill>
          </w14:textFill>
        </w:rPr>
        <w:t>自</w:t>
      </w:r>
      <w:r>
        <w:rPr>
          <w:rFonts w:ascii="楷体_GB2312" w:eastAsia="楷体_GB2312" w:hint="eastAsia"/>
          <w:color w:themeColor="text1" w:val="000000"/>
          <w:sz w:val="20"/>
          <w:szCs w:val="20"/>
          <w:highlight w:val="none"/>
          <w14:textFill>
            <w14:solidFill>
              <w14:schemeClr w14:val="tx1"/>
            </w14:solidFill>
          </w14:textFill>
        </w:rPr>
        <w:t>其</w:t>
      </w:r>
      <w:r>
        <w:rPr>
          <w:rFonts w:ascii="楷体_GB2312" w:eastAsia="楷体_GB2312"/>
          <w:color w:themeColor="text1" w:val="000000"/>
          <w:sz w:val="20"/>
          <w:szCs w:val="20"/>
          <w:highlight w:val="none"/>
          <w14:textFill>
            <w14:solidFill>
              <w14:schemeClr w14:val="tx1"/>
            </w14:solidFill>
          </w14:textFill>
        </w:rPr>
        <w:t>在线</w:t>
      </w:r>
      <w:r>
        <w:rPr>
          <w:rFonts w:ascii="楷体_GB2312" w:eastAsia="楷体_GB2312" w:hint="eastAsia"/>
          <w:color w:themeColor="text1" w:val="000000"/>
          <w:sz w:val="20"/>
          <w:szCs w:val="20"/>
          <w:highlight w:val="none"/>
          <w14:textFill>
            <w14:solidFill>
              <w14:schemeClr w14:val="tx1"/>
            </w14:solidFill>
          </w14:textFill>
        </w:rPr>
        <w:t>勾选</w:t>
      </w:r>
      <w:r>
        <w:rPr>
          <w:rFonts w:ascii="楷体_GB2312" w:eastAsia="楷体_GB2312"/>
          <w:color w:themeColor="text1" w:val="000000"/>
          <w:sz w:val="20"/>
          <w:szCs w:val="20"/>
          <w:highlight w:val="none"/>
          <w14:textFill>
            <w14:solidFill>
              <w14:schemeClr w14:val="tx1"/>
            </w14:solidFill>
          </w14:textFill>
        </w:rPr>
        <w:t>确认后生效。</w:t>
      </w:r>
    </w:p>
    <w:p w14:paraId="5377648D">
      <w:pPr>
        <w:pStyle w:val="20"/>
        <w:numPr>
          <w:ilvl w:val="255"/>
          <w:numId w:val="0"/>
        </w:numPr>
        <w:spacing w:line="300" w:lineRule="exact"/>
        <w:ind w:firstLine="400"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color w:themeColor="text1" w:val="000000"/>
          <w:sz w:val="20"/>
          <w:szCs w:val="20"/>
          <w:highlight w:val="none"/>
          <w14:textFill>
            <w14:solidFill>
              <w14:schemeClr w14:val="tx1"/>
            </w14:solidFill>
          </w14:textFill>
        </w:rPr>
        <w:t>2</w:t>
      </w:r>
      <w:r>
        <w:rPr>
          <w:rFonts w:ascii="楷体_GB2312" w:eastAsia="楷体_GB2312"/>
          <w:color w:themeColor="text1" w:val="000000"/>
          <w:sz w:val="20"/>
          <w:szCs w:val="20"/>
          <w:highlight w:val="none"/>
          <w14:textFill>
            <w14:solidFill>
              <w14:schemeClr w14:val="tx1"/>
            </w14:solidFill>
          </w14:textFill>
        </w:rPr>
        <w:t>．</w:t>
      </w:r>
      <w:r>
        <w:rPr>
          <w:rFonts w:ascii="楷体_GB2312" w:eastAsia="楷体_GB2312" w:hint="eastAsia"/>
          <w:color w:themeColor="text1" w:val="000000"/>
          <w:sz w:val="20"/>
          <w:szCs w:val="20"/>
          <w:highlight w:val="none"/>
          <w14:textFill>
            <w14:solidFill>
              <w14:schemeClr w14:val="tx1"/>
            </w14:solidFill>
          </w14:textFill>
        </w:rPr>
        <w:t>如</w:t>
      </w:r>
      <w:r>
        <w:rPr>
          <w:rFonts w:ascii="楷体_GB2312" w:eastAsia="楷体_GB2312"/>
          <w:color w:themeColor="text1" w:val="000000"/>
          <w:sz w:val="20"/>
          <w:szCs w:val="20"/>
          <w:highlight w:val="none"/>
          <w14:textFill>
            <w14:solidFill>
              <w14:schemeClr w14:val="tx1"/>
            </w14:solidFill>
          </w14:textFill>
        </w:rPr>
        <w:t>投资者通过</w:t>
      </w:r>
      <w:r>
        <w:rPr>
          <w:rFonts w:ascii="楷体_GB2312" w:eastAsia="楷体_GB2312" w:hint="eastAsia"/>
          <w:color w:themeColor="text1" w:val="000000"/>
          <w:sz w:val="20"/>
          <w:szCs w:val="20"/>
          <w:highlight w:val="none"/>
          <w14:textFill>
            <w14:solidFill>
              <w14:schemeClr w14:val="tx1"/>
            </w14:solidFill>
          </w14:textFill>
        </w:rPr>
        <w:t>信银</w:t>
      </w:r>
      <w:r>
        <w:rPr>
          <w:rFonts w:ascii="楷体_GB2312" w:eastAsia="楷体_GB2312"/>
          <w:color w:themeColor="text1" w:val="000000"/>
          <w:sz w:val="20"/>
          <w:szCs w:val="20"/>
          <w:highlight w:val="none"/>
          <w14:textFill>
            <w14:solidFill>
              <w14:schemeClr w14:val="tx1"/>
            </w14:solidFill>
          </w14:textFill>
        </w:rPr>
        <w:t>理财合作销售机构</w:t>
      </w:r>
      <w:r>
        <w:rPr>
          <w:rFonts w:ascii="楷体_GB2312" w:eastAsia="楷体_GB2312" w:hint="eastAsia"/>
          <w:color w:themeColor="text1" w:val="000000"/>
          <w:sz w:val="20"/>
          <w:szCs w:val="20"/>
          <w:highlight w:val="none"/>
          <w14:textFill>
            <w14:solidFill>
              <w14:schemeClr w14:val="tx1"/>
            </w14:solidFill>
          </w14:textFill>
        </w:rPr>
        <w:t>（代销机构）</w:t>
      </w:r>
      <w:r>
        <w:rPr>
          <w:rFonts w:ascii="楷体_GB2312" w:eastAsia="楷体_GB2312"/>
          <w:color w:themeColor="text1" w:val="000000"/>
          <w:sz w:val="20"/>
          <w:szCs w:val="20"/>
          <w:highlight w:val="none"/>
          <w14:textFill>
            <w14:solidFill>
              <w14:schemeClr w14:val="tx1"/>
            </w14:solidFill>
          </w14:textFill>
        </w:rPr>
        <w:t>购买理财产品的，</w:t>
      </w:r>
      <w:r>
        <w:rPr>
          <w:rFonts w:ascii="楷体_GB2312" w:eastAsia="楷体_GB2312" w:hint="eastAsia"/>
          <w:color w:themeColor="text1" w:val="000000"/>
          <w:sz w:val="20"/>
          <w:szCs w:val="20"/>
          <w:highlight w:val="none"/>
          <w14:textFill>
            <w14:solidFill>
              <w14:schemeClr w14:val="tx1"/>
            </w14:solidFill>
          </w14:textFill>
        </w:rPr>
        <w:t>说明书</w:t>
      </w:r>
      <w:r>
        <w:rPr>
          <w:rFonts w:ascii="楷体_GB2312" w:eastAsia="楷体_GB2312"/>
          <w:color w:themeColor="text1" w:val="000000"/>
          <w:sz w:val="20"/>
          <w:szCs w:val="20"/>
          <w:highlight w:val="none"/>
          <w14:textFill>
            <w14:solidFill>
              <w14:schemeClr w14:val="tx1"/>
            </w14:solidFill>
          </w14:textFill>
        </w:rPr>
        <w:t>签署及生效方式以</w:t>
      </w:r>
      <w:r>
        <w:rPr>
          <w:rFonts w:ascii="楷体_GB2312" w:eastAsia="楷体_GB2312" w:hint="eastAsia"/>
          <w:color w:themeColor="text1" w:val="000000"/>
          <w:sz w:val="20"/>
          <w:szCs w:val="20"/>
          <w:highlight w:val="none"/>
          <w14:textFill>
            <w14:solidFill>
              <w14:schemeClr w14:val="tx1"/>
            </w14:solidFill>
          </w14:textFill>
        </w:rPr>
        <w:t>投资者</w:t>
      </w:r>
      <w:r>
        <w:rPr>
          <w:rFonts w:ascii="楷体_GB2312" w:eastAsia="楷体_GB2312"/>
          <w:color w:themeColor="text1" w:val="000000"/>
          <w:sz w:val="20"/>
          <w:szCs w:val="20"/>
          <w:highlight w:val="none"/>
          <w14:textFill>
            <w14:solidFill>
              <w14:schemeClr w14:val="tx1"/>
            </w14:solidFill>
          </w14:textFill>
        </w:rPr>
        <w:t>与</w:t>
      </w:r>
      <w:r>
        <w:rPr>
          <w:rFonts w:ascii="楷体_GB2312" w:eastAsia="楷体_GB2312" w:hint="eastAsia"/>
          <w:color w:themeColor="text1" w:val="000000"/>
          <w:sz w:val="20"/>
          <w:szCs w:val="20"/>
          <w:highlight w:val="none"/>
          <w14:textFill>
            <w14:solidFill>
              <w14:schemeClr w14:val="tx1"/>
            </w14:solidFill>
          </w14:textFill>
        </w:rPr>
        <w:t>代销机构约定</w:t>
      </w:r>
      <w:r>
        <w:rPr>
          <w:rFonts w:ascii="楷体_GB2312" w:eastAsia="楷体_GB2312"/>
          <w:color w:themeColor="text1" w:val="000000"/>
          <w:sz w:val="20"/>
          <w:szCs w:val="20"/>
          <w:highlight w:val="none"/>
          <w14:textFill>
            <w14:solidFill>
              <w14:schemeClr w14:val="tx1"/>
            </w14:solidFill>
          </w14:textFill>
        </w:rPr>
        <w:t>为准。</w:t>
      </w:r>
    </w:p>
    <w:p w14:paraId="67BD9647">
      <w:pPr>
        <w:pStyle w:val="20"/>
        <w:spacing w:line="300" w:lineRule="exact"/>
        <w:ind w:firstLine="0" w:firstLineChars="0" w:left="786" w:right="36" w:rightChars="15"/>
        <w:rPr>
          <w:rFonts w:ascii="楷体_GB2312" w:eastAsia="楷体_GB2312"/>
          <w:color w:themeColor="text1" w:val="000000"/>
          <w:sz w:val="20"/>
          <w:szCs w:val="20"/>
          <w:highlight w:val="none"/>
          <w14:textFill>
            <w14:solidFill>
              <w14:schemeClr w14:val="tx1"/>
            </w14:solidFill>
          </w14:textFill>
        </w:rPr>
      </w:pPr>
    </w:p>
    <w:p w14:paraId="0C94B904">
      <w:pPr>
        <w:spacing w:line="300" w:lineRule="exact"/>
        <w:ind w:hanging="400" w:hangingChars="200" w:left="400" w:right="29" w:rightChars="12"/>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十九、争议解决</w:t>
      </w:r>
    </w:p>
    <w:p w14:paraId="53FC01F4">
      <w:pPr>
        <w:spacing w:line="300" w:lineRule="exact"/>
        <w:ind w:firstLine="402" w:firstLineChars="200"/>
        <w:jc w:val="both"/>
        <w:rPr>
          <w:rFonts w:ascii="Times New Roman" w:cs="Times New Roman" w:eastAsia="楷体_GB2312" w:hAnsi="Times New Roman"/>
          <w:b/>
          <w:bCs/>
          <w:sz w:val="20"/>
          <w:szCs w:val="20"/>
          <w:highlight w:val="none"/>
        </w:rPr>
      </w:pPr>
      <w:r>
        <w:rPr>
          <w:rFonts w:ascii="楷体_GB2312" w:cs="楷体_GB2312" w:eastAsia="楷体_GB2312"/>
          <w:b/>
          <w:color w:themeColor="text1" w:val="000000"/>
          <w:sz w:val="20"/>
          <w:szCs w:val="20"/>
          <w:highlight w:val="none"/>
          <w14:textFill>
            <w14:solidFill>
              <w14:schemeClr w14:val="tx1"/>
            </w14:solidFill>
          </w14:textFill>
        </w:rPr>
        <w:t>1．</w:t>
      </w:r>
      <w:r>
        <w:rPr>
          <w:rFonts w:ascii="Times New Roman" w:cs="Times New Roman" w:eastAsia="楷体_GB2312" w:hAnsi="Times New Roman" w:hint="eastAsia"/>
          <w:b/>
          <w:sz w:val="20"/>
          <w:szCs w:val="20"/>
          <w:highlight w:val="none"/>
        </w:rPr>
        <w:t>理财产品合同适用中华人民共和国法律（为履行理财产品合同之目的，不包括中国香港特别行政区、澳门特别行政区及台湾地区法律）。</w:t>
      </w:r>
    </w:p>
    <w:p w14:paraId="6763ACAA">
      <w:pPr>
        <w:spacing w:line="300" w:lineRule="exact"/>
        <w:ind w:firstLine="402" w:firstLineChars="200"/>
        <w:jc w:val="both"/>
        <w:rPr>
          <w:rFonts w:ascii="Times New Roman" w:cs="Times New Roman" w:eastAsia="楷体_GB2312" w:hAnsi="Times New Roman"/>
          <w:b/>
          <w:bCs/>
          <w:sz w:val="20"/>
          <w:szCs w:val="20"/>
          <w:highlight w:val="none"/>
        </w:rPr>
      </w:pPr>
      <w:r>
        <w:rPr>
          <w:rFonts w:ascii="楷体_GB2312" w:eastAsia="楷体_GB2312" w:hint="eastAsia"/>
          <w:b/>
          <w:color w:themeColor="text1" w:val="000000"/>
          <w:sz w:val="20"/>
          <w:szCs w:val="20"/>
          <w:highlight w:val="none"/>
          <w:lang w:eastAsia="zh-CN" w:val="en-US"/>
          <w14:textFill>
            <w14:solidFill>
              <w14:schemeClr w14:val="tx1"/>
            </w14:solidFill>
          </w14:textFill>
        </w:rPr>
        <w:t>2</w:t>
      </w:r>
      <w:r>
        <w:rPr>
          <w:rFonts w:ascii="楷体_GB2312" w:eastAsia="楷体_GB2312"/>
          <w:b/>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b/>
          <w:bCs/>
          <w:sz w:val="20"/>
          <w:szCs w:val="20"/>
          <w:highlight w:val="none"/>
        </w:rPr>
        <w:t>凡因理财产品合同引起的或与理财产品合同有关的任何争议，甲乙双方应本着诚实信用的原则通过协商解决。如通过协商仍不能解决争议时，双方应将该等争议提交上海仲裁委员会仲裁，仲裁地在上海。仲裁裁决是终局性的，对双方均有约束力。除非仲裁裁决另有规定，双方为仲裁而实际支付的费用（包括但不限于仲裁费</w:t>
      </w:r>
      <w:r>
        <w:rPr>
          <w:rFonts w:ascii="Times New Roman" w:cs="Times New Roman" w:eastAsia="楷体_GB2312" w:hAnsi="Times New Roman" w:hint="eastAsia"/>
          <w:b/>
          <w:bCs/>
          <w:sz w:val="20"/>
          <w:szCs w:val="20"/>
          <w:highlight w:val="none"/>
          <w:lang w:eastAsia="zh-CN"/>
        </w:rPr>
        <w:t>、</w:t>
      </w:r>
      <w:r>
        <w:rPr>
          <w:rFonts w:ascii="Times New Roman" w:cs="Times New Roman" w:eastAsia="楷体_GB2312" w:hAnsi="Times New Roman" w:hint="eastAsia"/>
          <w:b/>
          <w:bCs/>
          <w:sz w:val="20"/>
          <w:szCs w:val="20"/>
          <w:highlight w:val="none"/>
        </w:rPr>
        <w:t>律师费</w:t>
      </w:r>
      <w:r>
        <w:rPr>
          <w:rFonts w:ascii="Times New Roman" w:cs="Times New Roman" w:eastAsia="楷体_GB2312" w:hAnsi="Times New Roman" w:hint="eastAsia"/>
          <w:b/>
          <w:bCs/>
          <w:sz w:val="20"/>
          <w:szCs w:val="20"/>
          <w:highlight w:val="none"/>
          <w:lang w:eastAsia="zh-CN"/>
        </w:rPr>
        <w:t>、</w:t>
      </w:r>
      <w:r>
        <w:rPr>
          <w:rFonts w:ascii="Times New Roman" w:cs="Times New Roman" w:eastAsia="楷体_GB2312" w:hAnsi="Times New Roman" w:hint="eastAsia"/>
          <w:b/>
          <w:bCs/>
          <w:sz w:val="20"/>
          <w:szCs w:val="20"/>
          <w:highlight w:val="none"/>
          <w:lang w:eastAsia="zh-CN" w:val="en-US"/>
        </w:rPr>
        <w:t>保全担保费等</w:t>
      </w:r>
      <w:r>
        <w:rPr>
          <w:rFonts w:ascii="Times New Roman" w:cs="Times New Roman" w:eastAsia="楷体_GB2312" w:hAnsi="Times New Roman" w:hint="eastAsia"/>
          <w:b/>
          <w:bCs/>
          <w:sz w:val="20"/>
          <w:szCs w:val="20"/>
          <w:highlight w:val="none"/>
        </w:rPr>
        <w:t>）由败诉方承担。</w:t>
      </w:r>
    </w:p>
    <w:p w14:paraId="7FFDA4E7">
      <w:pPr>
        <w:spacing w:line="300" w:lineRule="exact"/>
        <w:ind w:firstLine="402" w:firstLineChars="200"/>
        <w:jc w:val="both"/>
        <w:rPr>
          <w:rFonts w:ascii="楷体_GB2312" w:eastAsia="楷体_GB2312"/>
          <w:color w:themeColor="text1" w:val="000000"/>
          <w:sz w:val="20"/>
          <w:szCs w:val="20"/>
          <w:highlight w:val="none"/>
          <w14:textFill>
            <w14:solidFill>
              <w14:schemeClr w14:val="tx1"/>
            </w14:solidFill>
          </w14:textFill>
        </w:rPr>
      </w:pPr>
      <w:r>
        <w:rPr>
          <w:rFonts w:ascii="楷体_GB2312" w:eastAsia="楷体_GB2312" w:hint="eastAsia"/>
          <w:b/>
          <w:color w:themeColor="text1" w:val="000000"/>
          <w:sz w:val="20"/>
          <w:szCs w:val="20"/>
          <w:highlight w:val="none"/>
          <w:lang w:eastAsia="zh-CN" w:val="en-US"/>
          <w14:textFill>
            <w14:solidFill>
              <w14:schemeClr w14:val="tx1"/>
            </w14:solidFill>
          </w14:textFill>
        </w:rPr>
        <w:t>3</w:t>
      </w:r>
      <w:r>
        <w:rPr>
          <w:rFonts w:ascii="楷体_GB2312" w:eastAsia="楷体_GB2312"/>
          <w:b/>
          <w:color w:themeColor="text1" w:val="000000"/>
          <w:sz w:val="20"/>
          <w:szCs w:val="20"/>
          <w:highlight w:val="none"/>
          <w14:textFill>
            <w14:solidFill>
              <w14:schemeClr w14:val="tx1"/>
            </w14:solidFill>
          </w14:textFill>
        </w:rPr>
        <w:t>．</w:t>
      </w:r>
      <w:r>
        <w:rPr>
          <w:rFonts w:ascii="Times New Roman" w:cs="Times New Roman" w:eastAsia="楷体_GB2312" w:hAnsi="Times New Roman" w:hint="eastAsia"/>
          <w:b/>
          <w:bCs/>
          <w:sz w:val="20"/>
          <w:szCs w:val="20"/>
          <w:highlight w:val="none"/>
        </w:rPr>
        <w:t>在协商或仲裁期间，对于理财产品合同不涉及争议部分的条款，双方仍须履行。</w:t>
      </w:r>
    </w:p>
    <w:p w14:paraId="7F9BE105">
      <w:pPr>
        <w:spacing w:line="300" w:lineRule="exact"/>
        <w:ind w:firstLine="428" w:firstLineChars="214" w:left="-2" w:right="36" w:rightChars="15"/>
        <w:rPr>
          <w:rFonts w:ascii="楷体_GB2312" w:eastAsia="楷体_GB2312"/>
          <w:color w:themeColor="text1" w:val="000000"/>
          <w:sz w:val="20"/>
          <w:szCs w:val="20"/>
          <w:highlight w:val="none"/>
          <w14:textFill>
            <w14:solidFill>
              <w14:schemeClr w14:val="tx1"/>
            </w14:solidFill>
          </w14:textFill>
        </w:rPr>
      </w:pPr>
    </w:p>
    <w:p w14:paraId="7438E816">
      <w:pPr>
        <w:spacing w:line="300" w:lineRule="exact"/>
        <w:ind w:hanging="400" w:hangingChars="200" w:left="400" w:right="29" w:rightChars="12"/>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hint="eastAsia"/>
          <w:color w:themeColor="text1" w:val="000000"/>
          <w:sz w:val="20"/>
          <w:szCs w:val="20"/>
          <w:highlight w:val="none"/>
          <w14:textFill>
            <w14:solidFill>
              <w14:schemeClr w14:val="tx1"/>
            </w14:solidFill>
          </w14:textFill>
        </w:rPr>
        <w:t>（以下无正文）</w:t>
      </w:r>
    </w:p>
    <w:p w14:paraId="02C242E4">
      <w:pPr>
        <w:rPr>
          <w:rFonts w:ascii="黑体" w:cs="黑体" w:eastAsia="黑体" w:hAnsi="Times New Roman"/>
          <w:color w:themeColor="text1" w:val="000000"/>
          <w:sz w:val="20"/>
          <w:szCs w:val="20"/>
          <w:highlight w:val="none"/>
          <w14:textFill>
            <w14:solidFill>
              <w14:schemeClr w14:val="tx1"/>
            </w14:solidFill>
          </w14:textFill>
        </w:rPr>
      </w:pPr>
      <w:r>
        <w:rPr>
          <w:rFonts w:ascii="黑体" w:cs="黑体" w:eastAsia="黑体" w:hAnsi="Times New Roman"/>
          <w:color w:themeColor="text1" w:val="000000"/>
          <w:sz w:val="20"/>
          <w:szCs w:val="20"/>
          <w:highlight w:val="none"/>
          <w14:textFill>
            <w14:solidFill>
              <w14:schemeClr w14:val="tx1"/>
            </w14:solidFill>
          </w14:textFill>
        </w:rPr>
        <w:br w:type="page"/>
      </w:r>
    </w:p>
    <w:p w14:paraId="6A77407E">
      <w:pPr>
        <w:spacing w:after="100" w:afterAutospacing="1" w:before="100" w:beforeAutospacing="1"/>
        <w:rPr>
          <w:rFonts w:ascii="楷体_GB2312" w:eastAsia="楷体_GB2312"/>
          <w:color w:themeColor="text1" w:val="000000"/>
          <w:sz w:val="20"/>
          <w:szCs w:val="20"/>
          <w:highlight w:val="none"/>
          <w14:textFill>
            <w14:solidFill>
              <w14:schemeClr w14:val="tx1"/>
            </w14:solidFill>
          </w14:textFill>
        </w:rPr>
      </w:pPr>
      <w:r>
        <w:rPr>
          <w:rFonts w:ascii="楷体_GB2312" w:eastAsia="楷体_GB2312"/>
          <w:color w:themeColor="text1" w:val="000000"/>
          <w:sz w:val="20"/>
          <w:szCs w:val="20"/>
          <w:highlight w:val="none"/>
          <w:u w:val="single"/>
          <w14:textFill>
            <w14:solidFill>
              <w14:schemeClr w14:val="tx1"/>
            </w14:solidFill>
          </w14:textFill>
        </w:rPr>
        <w:t>                                       </w:t>
      </w:r>
    </w:p>
    <w:p w14:paraId="59071E3C">
      <w:pPr>
        <w:rPr>
          <w:rFonts w:ascii="黑体" w:eastAsia="黑体"/>
          <w:b/>
          <w:bCs/>
          <w:color w:val="000000"/>
          <w:highlight w:val="none"/>
        </w:rPr>
      </w:pPr>
      <w:r>
        <w:rPr>
          <w:rFonts w:ascii="黑体" w:eastAsia="黑体" w:hint="eastAsia"/>
          <w:b/>
          <w:bCs/>
          <w:color w:val="000000"/>
          <w:highlight w:val="none"/>
        </w:rPr>
        <w:t>【重要提示：信银理财已提请投资者注意本产品说明书项下免除或限制其责任的条款以及争议解决条款，并已按投资者要求对有关条款予以充分说明。投资者在本产品说明书上签字</w:t>
      </w:r>
      <w:r>
        <w:rPr>
          <w:rFonts w:ascii="黑体" w:eastAsia="黑体"/>
          <w:b/>
          <w:bCs/>
          <w:color w:val="000000"/>
          <w:highlight w:val="none"/>
        </w:rPr>
        <w:t>/盖章或在线</w:t>
      </w:r>
      <w:r>
        <w:rPr>
          <w:rFonts w:ascii="黑体" w:eastAsia="黑体" w:hint="eastAsia"/>
          <w:b/>
          <w:bCs/>
          <w:color w:val="000000"/>
          <w:highlight w:val="none"/>
        </w:rPr>
        <w:t>点击</w:t>
      </w:r>
      <w:r>
        <w:rPr>
          <w:rFonts w:ascii="黑体" w:eastAsia="黑体"/>
          <w:b/>
          <w:bCs/>
          <w:color w:val="000000"/>
          <w:highlight w:val="none"/>
        </w:rPr>
        <w:t>确认</w:t>
      </w:r>
      <w:r>
        <w:rPr>
          <w:rFonts w:ascii="黑体" w:eastAsia="黑体" w:hint="eastAsia"/>
          <w:b/>
          <w:bCs/>
          <w:color w:val="000000"/>
          <w:highlight w:val="none"/>
        </w:rPr>
        <w:t>即表示已知晓并同意本产品说明书的全部</w:t>
      </w:r>
      <w:r>
        <w:rPr>
          <w:rFonts w:ascii="黑体" w:eastAsia="黑体"/>
          <w:b/>
          <w:bCs/>
          <w:color w:val="000000"/>
          <w:highlight w:val="none"/>
        </w:rPr>
        <w:t>内容</w:t>
      </w:r>
      <w:r>
        <w:rPr>
          <w:rFonts w:ascii="黑体" w:eastAsia="黑体" w:hint="eastAsia"/>
          <w:b/>
          <w:bCs/>
          <w:color w:val="000000"/>
          <w:highlight w:val="none"/>
        </w:rPr>
        <w:t>，因此请您务必仔细阅读后再签署本产品说明书。】</w:t>
      </w:r>
    </w:p>
    <w:p w14:paraId="1CBB1673">
      <w:pPr>
        <w:spacing w:line="300" w:lineRule="exact"/>
        <w:ind w:left="-2" w:leftChars="-1" w:right="36" w:rightChars="15"/>
        <w:rPr>
          <w:rFonts w:ascii="黑体" w:eastAsia="黑体" w:hAnsi="Times New Roman"/>
          <w:color w:themeColor="text1" w:val="000000"/>
          <w:highlight w:val="none"/>
          <w14:textFill>
            <w14:solidFill>
              <w14:schemeClr w14:val="tx1"/>
            </w14:solidFill>
          </w14:textFill>
        </w:rPr>
      </w:pPr>
    </w:p>
    <w:p w14:paraId="36531B80">
      <w:pPr>
        <w:spacing w:line="300" w:lineRule="exact"/>
        <w:ind w:left="-2" w:leftChars="-1" w:right="36" w:rightChars="15"/>
        <w:rPr>
          <w:color w:themeColor="text1" w:val="000000"/>
          <w:highlight w:val="none"/>
          <w14:textFill>
            <w14:solidFill>
              <w14:schemeClr w14:val="tx1"/>
            </w14:solidFill>
          </w14:textFill>
        </w:rPr>
      </w:pPr>
      <w:r>
        <w:rPr>
          <w:rFonts w:ascii="黑体" w:eastAsia="黑体" w:hAnsi="Times New Roman" w:hint="eastAsia"/>
          <w:color w:themeColor="text1" w:val="000000"/>
          <w:highlight w:val="none"/>
          <w14:textFill>
            <w14:solidFill>
              <w14:schemeClr w14:val="tx1"/>
            </w14:solidFill>
          </w14:textFill>
        </w:rPr>
        <w:t>个人客户（签字）：</w:t>
      </w:r>
      <w:r>
        <w:rPr>
          <w:rFonts w:ascii="黑体" w:eastAsia="黑体" w:hAnsi="Times New Roman"/>
          <w:color w:themeColor="text1" w:val="000000"/>
          <w:highlight w:val="none"/>
          <w14:textFill>
            <w14:solidFill>
              <w14:schemeClr w14:val="tx1"/>
            </w14:solidFill>
          </w14:textFill>
        </w:rPr>
        <w:t xml:space="preserve">            </w:t>
      </w:r>
    </w:p>
    <w:p w14:paraId="12D9C461">
      <w:pPr>
        <w:ind w:right="440"/>
        <w:rPr>
          <w:rFonts w:ascii="Arial" w:cs="Arial" w:hAnsi="Arial"/>
          <w:color w:themeColor="text1" w:val="000000"/>
          <w:sz w:val="15"/>
          <w:szCs w:val="15"/>
          <w:highlight w:val="none"/>
          <w14:textFill>
            <w14:solidFill>
              <w14:schemeClr w14:val="tx1"/>
            </w14:solidFill>
          </w14:textFill>
        </w:rPr>
      </w:pPr>
      <w:r>
        <w:rPr>
          <w:rFonts w:ascii="黑体" w:cs="Arial" w:eastAsia="黑体" w:hAnsi="Times New Roman"/>
          <w:color w:themeColor="text1" w:val="000000"/>
          <w:highlight w:val="none"/>
          <w14:textFill>
            <w14:solidFill>
              <w14:schemeClr w14:val="tx1"/>
            </w14:solidFill>
          </w14:textFill>
        </w:rPr>
        <w:t xml:space="preserve">                                  </w:t>
      </w:r>
    </w:p>
    <w:p w14:paraId="590A09A4">
      <w:pPr>
        <w:ind w:hanging="4440" w:hangingChars="1850" w:left="4440" w:right="440"/>
        <w:rPr>
          <w:rFonts w:ascii="Arial" w:cs="Arial" w:hAnsi="Arial"/>
          <w:color w:themeColor="text1" w:val="000000"/>
          <w:sz w:val="15"/>
          <w:szCs w:val="15"/>
          <w:highlight w:val="none"/>
          <w14:textFill>
            <w14:solidFill>
              <w14:schemeClr w14:val="tx1"/>
            </w14:solidFill>
          </w14:textFill>
        </w:rPr>
      </w:pPr>
      <w:r>
        <w:rPr>
          <w:rFonts w:ascii="黑体" w:cs="Arial" w:eastAsia="黑体" w:hAnsi="Times New Roman" w:hint="eastAsia"/>
          <w:color w:themeColor="text1" w:val="000000"/>
          <w:highlight w:val="none"/>
          <w14:textFill>
            <w14:solidFill>
              <w14:schemeClr w14:val="tx1"/>
            </w14:solidFill>
          </w14:textFill>
        </w:rPr>
        <w:t xml:space="preserve">日期：年 月 日                      </w:t>
      </w:r>
      <w:r>
        <w:rPr>
          <w:rFonts w:ascii="黑体" w:cs="Arial" w:eastAsia="黑体" w:hAnsi="Times New Roman"/>
          <w:color w:themeColor="text1" w:val="000000"/>
          <w:highlight w:val="none"/>
          <w14:textFill>
            <w14:solidFill>
              <w14:schemeClr w14:val="tx1"/>
            </w14:solidFill>
          </w14:textFill>
        </w:rPr>
        <w:t xml:space="preserve"> </w:t>
      </w:r>
    </w:p>
    <w:p w14:paraId="77FB3896">
      <w:pPr>
        <w:ind w:right="-902" w:rightChars="-376"/>
        <w:rPr>
          <w:color w:themeColor="text1" w:val="000000"/>
          <w:highlight w:val="none"/>
          <w14:textFill>
            <w14:solidFill>
              <w14:schemeClr w14:val="tx1"/>
            </w14:solidFill>
          </w14:textFill>
        </w:rPr>
      </w:pPr>
      <w:r>
        <w:rPr>
          <w:rFonts w:ascii="黑体" w:eastAsia="黑体" w:hAnsi="Times New Roman"/>
          <w:color w:themeColor="text1" w:val="000000"/>
          <w:highlight w:val="none"/>
          <w14:textFill>
            <w14:solidFill>
              <w14:schemeClr w14:val="tx1"/>
            </w14:solidFill>
          </w14:textFill>
        </w:rPr>
        <w:t> </w:t>
      </w:r>
    </w:p>
    <w:p w14:paraId="7DF61205">
      <w:pPr>
        <w:ind w:right="-902" w:rightChars="-376"/>
        <w:rPr>
          <w:rFonts w:ascii="黑体" w:eastAsia="黑体" w:hAnsi="Times New Roman"/>
          <w:color w:themeColor="text1" w:val="000000"/>
          <w:highlight w:val="none"/>
          <w14:textFill>
            <w14:solidFill>
              <w14:schemeClr w14:val="tx1"/>
            </w14:solidFill>
          </w14:textFill>
        </w:rPr>
      </w:pPr>
    </w:p>
    <w:p w14:paraId="268B66FA">
      <w:pPr>
        <w:ind w:right="-902" w:rightChars="-376"/>
        <w:rPr>
          <w:color w:themeColor="text1" w:val="000000"/>
          <w:highlight w:val="none"/>
          <w14:textFill>
            <w14:solidFill>
              <w14:schemeClr w14:val="tx1"/>
            </w14:solidFill>
          </w14:textFill>
        </w:rPr>
      </w:pPr>
      <w:r>
        <w:rPr>
          <w:rFonts w:ascii="黑体" w:eastAsia="黑体" w:hAnsi="Times New Roman" w:hint="eastAsia"/>
          <w:color w:themeColor="text1" w:val="000000"/>
          <w:highlight w:val="none"/>
          <w14:textFill>
            <w14:solidFill>
              <w14:schemeClr w14:val="tx1"/>
            </w14:solidFill>
          </w14:textFill>
        </w:rPr>
        <w:t>机构客户（</w:t>
      </w:r>
      <w:r>
        <w:rPr>
          <w:rFonts w:ascii="黑体" w:eastAsia="黑体" w:hAnsi="Times New Roman" w:hint="eastAsia"/>
          <w:color w:themeColor="text1" w:val="000000"/>
          <w:highlight w:val="none"/>
          <w:lang w:eastAsia="zh-CN" w:val="en-US"/>
          <w14:textFill>
            <w14:solidFill>
              <w14:schemeClr w14:val="tx1"/>
            </w14:solidFill>
          </w14:textFill>
        </w:rPr>
        <w:t>盖章</w:t>
      </w:r>
      <w:r>
        <w:rPr>
          <w:rFonts w:ascii="黑体" w:eastAsia="黑体" w:hAnsi="Times New Roman" w:hint="eastAsia"/>
          <w:color w:themeColor="text1" w:val="000000"/>
          <w:highlight w:val="none"/>
          <w14:textFill>
            <w14:solidFill>
              <w14:schemeClr w14:val="tx1"/>
            </w14:solidFill>
          </w14:textFill>
        </w:rPr>
        <w:t>）：</w:t>
      </w:r>
      <w:r>
        <w:rPr>
          <w:rFonts w:ascii="黑体" w:eastAsia="黑体" w:hAnsi="Times New Roman"/>
          <w:color w:themeColor="text1" w:val="000000"/>
          <w:highlight w:val="none"/>
          <w14:textFill>
            <w14:solidFill>
              <w14:schemeClr w14:val="tx1"/>
            </w14:solidFill>
          </w14:textFill>
        </w:rPr>
        <w:t xml:space="preserve">                    </w:t>
      </w:r>
    </w:p>
    <w:p w14:paraId="7BC033DC">
      <w:pPr>
        <w:ind w:right="-902" w:rightChars="-376"/>
        <w:rPr>
          <w:color w:themeColor="text1" w:val="000000"/>
          <w:highlight w:val="none"/>
          <w14:textFill>
            <w14:solidFill>
              <w14:schemeClr w14:val="tx1"/>
            </w14:solidFill>
          </w14:textFill>
        </w:rPr>
      </w:pPr>
      <w:r>
        <w:rPr>
          <w:rFonts w:ascii="黑体" w:eastAsia="黑体" w:hAnsi="Times New Roman"/>
          <w:color w:themeColor="text1" w:val="000000"/>
          <w:highlight w:val="none"/>
          <w14:textFill>
            <w14:solidFill>
              <w14:schemeClr w14:val="tx1"/>
            </w14:solidFill>
          </w14:textFill>
        </w:rPr>
        <w:t> </w:t>
      </w:r>
    </w:p>
    <w:p w14:paraId="0771BA6F">
      <w:pPr>
        <w:ind w:right="-902" w:rightChars="-376"/>
        <w:rPr>
          <w:color w:themeColor="text1" w:val="000000"/>
          <w:highlight w:val="none"/>
          <w14:textFill>
            <w14:solidFill>
              <w14:schemeClr w14:val="tx1"/>
            </w14:solidFill>
          </w14:textFill>
        </w:rPr>
      </w:pPr>
      <w:r>
        <w:rPr>
          <w:rFonts w:ascii="黑体" w:eastAsia="黑体" w:hAnsi="Times New Roman" w:hint="eastAsia"/>
          <w:color w:themeColor="text1" w:val="000000"/>
          <w:highlight w:val="none"/>
          <w14:textFill>
            <w14:solidFill>
              <w14:schemeClr w14:val="tx1"/>
            </w14:solidFill>
          </w14:textFill>
        </w:rPr>
        <w:t>法定代表人或负责人（签字或签章）：</w:t>
      </w:r>
    </w:p>
    <w:p w14:paraId="58BC0A8A">
      <w:pPr>
        <w:ind w:right="-902" w:rightChars="-376"/>
        <w:rPr>
          <w:color w:themeColor="text1" w:val="000000"/>
          <w:highlight w:val="none"/>
          <w14:textFill>
            <w14:solidFill>
              <w14:schemeClr w14:val="tx1"/>
            </w14:solidFill>
          </w14:textFill>
        </w:rPr>
      </w:pPr>
      <w:r>
        <w:rPr>
          <w:rFonts w:ascii="黑体" w:eastAsia="黑体" w:hAnsi="Times New Roman"/>
          <w:color w:themeColor="text1" w:val="000000"/>
          <w:highlight w:val="none"/>
          <w14:textFill>
            <w14:solidFill>
              <w14:schemeClr w14:val="tx1"/>
            </w14:solidFill>
          </w14:textFill>
        </w:rPr>
        <w:t> </w:t>
      </w:r>
    </w:p>
    <w:p w14:paraId="7CB3F808">
      <w:pPr>
        <w:ind w:right="-902" w:rightChars="-376"/>
        <w:rPr>
          <w:color w:themeColor="text1" w:val="000000"/>
          <w:highlight w:val="none"/>
          <w14:textFill>
            <w14:solidFill>
              <w14:schemeClr w14:val="tx1"/>
            </w14:solidFill>
          </w14:textFill>
        </w:rPr>
      </w:pPr>
      <w:r>
        <w:rPr>
          <w:rFonts w:ascii="黑体" w:eastAsia="黑体" w:hAnsi="Times New Roman" w:hint="eastAsia"/>
          <w:color w:themeColor="text1" w:val="000000"/>
          <w:highlight w:val="none"/>
          <w14:textFill>
            <w14:solidFill>
              <w14:schemeClr w14:val="tx1"/>
            </w14:solidFill>
          </w14:textFill>
        </w:rPr>
        <w:t>日期：年</w:t>
      </w:r>
      <w:r>
        <w:rPr>
          <w:rFonts w:ascii="黑体" w:eastAsia="黑体" w:hAnsi="Times New Roman"/>
          <w:color w:themeColor="text1" w:val="000000"/>
          <w:highlight w:val="none"/>
          <w14:textFill>
            <w14:solidFill>
              <w14:schemeClr w14:val="tx1"/>
            </w14:solidFill>
          </w14:textFill>
        </w:rPr>
        <w:t xml:space="preserve"> </w:t>
      </w:r>
      <w:r>
        <w:rPr>
          <w:rFonts w:ascii="黑体" w:eastAsia="黑体" w:hAnsi="Times New Roman" w:hint="eastAsia"/>
          <w:color w:themeColor="text1" w:val="000000"/>
          <w:highlight w:val="none"/>
          <w14:textFill>
            <w14:solidFill>
              <w14:schemeClr w14:val="tx1"/>
            </w14:solidFill>
          </w14:textFill>
        </w:rPr>
        <w:t>月</w:t>
      </w:r>
      <w:r>
        <w:rPr>
          <w:rFonts w:ascii="黑体" w:eastAsia="黑体" w:hAnsi="Times New Roman"/>
          <w:color w:themeColor="text1" w:val="000000"/>
          <w:highlight w:val="none"/>
          <w14:textFill>
            <w14:solidFill>
              <w14:schemeClr w14:val="tx1"/>
            </w14:solidFill>
          </w14:textFill>
        </w:rPr>
        <w:t xml:space="preserve"> </w:t>
      </w:r>
      <w:r>
        <w:rPr>
          <w:rFonts w:ascii="黑体" w:eastAsia="黑体" w:hAnsi="Times New Roman" w:hint="eastAsia"/>
          <w:color w:themeColor="text1" w:val="000000"/>
          <w:highlight w:val="none"/>
          <w14:textFill>
            <w14:solidFill>
              <w14:schemeClr w14:val="tx1"/>
            </w14:solidFill>
          </w14:textFill>
        </w:rPr>
        <w:t>日</w:t>
      </w:r>
    </w:p>
    <w:p w14:paraId="615BD310">
      <w:pPr>
        <w:snapToGrid w:val="0"/>
        <w:ind w:right="53" w:rightChars="22"/>
        <w:outlineLvl w:val="0"/>
        <w:rPr>
          <w:highlight w:val="none"/>
        </w:rPr>
      </w:pPr>
    </w:p>
    <w:p w14:paraId="453C017E">
      <w:pPr>
        <w:snapToGrid w:val="0"/>
        <w:ind w:right="53" w:rightChars="22"/>
        <w:outlineLvl w:val="0"/>
        <w:rPr>
          <w:highlight w:val="none"/>
        </w:rPr>
      </w:pPr>
    </w:p>
    <w:p w14:paraId="18F5FA32">
      <w:pPr>
        <w:snapToGrid w:val="0"/>
        <w:ind w:right="53" w:rightChars="22"/>
        <w:outlineLvl w:val="0"/>
        <w:rPr>
          <w:highlight w:val="none"/>
        </w:rPr>
      </w:pPr>
    </w:p>
    <w:sectPr>
      <w:headerReference r:id="rId3" w:type="default"/>
      <w:footerReference r:id="rId4" w:type="default"/>
      <w:pgSz w:h="16838" w:w="11906"/>
      <w:pgMar w:bottom="1440" w:footer="992" w:gutter="0" w:header="850" w:left="1797" w:right="1797" w:top="1440"/>
      <w:pgNumType w:start="1"/>
      <w:cols w:num="1" w:space="720"/>
      <w:docGrid w:charSpace="0"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6BD59B7B">
    <w:pPr>
      <w:pStyle w:val="4"/>
      <w:jc w:val="center"/>
      <w:rPr>
        <w:color w:themeColor="text1" w:val="000000"/>
        <w14:textFill>
          <w14:solidFill>
            <w14:schemeClr w14:val="tx1"/>
          </w14:solidFill>
        </w14:textFill>
      </w:rPr>
    </w:pPr>
    <w:r>
      <w:rPr>
        <w:rFonts w:hint="eastAsia"/>
        <w:color w:themeColor="text1" w:val="000000"/>
        <w:lang w:val="zh-CN"/>
        <w14:textFill>
          <w14:solidFill>
            <w14:schemeClr w14:val="tx1"/>
          </w14:solidFill>
        </w14:textFill>
      </w:rPr>
      <w:t>第</w:t>
    </w:r>
    <w:r>
      <w:rPr>
        <w:color w:themeColor="text1" w:val="000000"/>
        <w:lang w:val="zh-CN"/>
        <w14:textFill>
          <w14:solidFill>
            <w14:schemeClr w14:val="tx1"/>
          </w14:solidFill>
        </w14:textFill>
      </w:rPr>
      <w:t xml:space="preserve"> </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PAGE  \* Arabic  \* MERGEFORMAT</w:instrText>
    </w:r>
    <w:r>
      <w:rPr>
        <w:color w:themeColor="text1" w:val="000000"/>
        <w14:textFill>
          <w14:solidFill>
            <w14:schemeClr w14:val="tx1"/>
          </w14:solidFill>
        </w14:textFill>
      </w:rPr>
      <w:fldChar w:fldCharType="separate"/>
    </w:r>
    <w:r>
      <w:rPr>
        <w:color w:themeColor="text1" w:val="000000"/>
        <w:lang w:val="zh-CN"/>
        <w14:textFill>
          <w14:solidFill>
            <w14:schemeClr w14:val="tx1"/>
          </w14:solidFill>
        </w14:textFill>
      </w:rPr>
      <w:t>16</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r>
      <w:rPr>
        <w:color w:themeColor="text1" w:val="000000"/>
        <w:lang w:val="zh-CN"/>
        <w14:textFill>
          <w14:solidFill>
            <w14:schemeClr w14:val="tx1"/>
          </w14:solidFill>
        </w14:textFill>
      </w:rPr>
      <w:t xml:space="preserve"> </w:t>
    </w:r>
    <w:r>
      <w:rPr>
        <w:rFonts w:hint="eastAsia"/>
        <w:color w:themeColor="text1" w:val="000000"/>
        <w:lang w:val="zh-CN"/>
        <w14:textFill>
          <w14:solidFill>
            <w14:schemeClr w14:val="tx1"/>
          </w14:solidFill>
        </w14:textFill>
      </w:rPr>
      <w:t>，共</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 SECTIONPAGES \* MERGEFORMAT </w:instrText>
    </w:r>
    <w:r>
      <w:rPr>
        <w:color w:themeColor="text1" w:val="000000"/>
        <w14:textFill>
          <w14:solidFill>
            <w14:schemeClr w14:val="tx1"/>
          </w14:solidFill>
        </w14:textFill>
      </w:rPr>
      <w:fldChar w:fldCharType="separate"/>
    </w:r>
    <w:r>
      <w:rPr>
        <w:color w:themeColor="text1" w:val="000000"/>
        <w14:textFill>
          <w14:solidFill>
            <w14:schemeClr w14:val="tx1"/>
          </w14:solidFill>
        </w14:textFill>
      </w:rPr>
      <w:t>18</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p>
  <w:p w14:paraId="4F3E38C0">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0E2B2CE3">
    <w:pPr>
      <w:pStyle w:val="5"/>
    </w:pPr>
    <w:r>
      <w:rPr>
        <w:rFonts w:hint="eastAsia"/>
      </w:rPr>
      <w:t>本产品风险评级为【PR2】</w:t>
    </w:r>
    <w:r>
      <w:t xml:space="preserve">                    理财非存款、产品有风险、投资须谨慎</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C6896928"/>
    <w:multiLevelType w:val="singleLevel"/>
    <w:tmpl w:val="C6896928"/>
    <w:lvl w:ilvl="0" w:tentative="0">
      <w:start w:val="1"/>
      <w:numFmt w:val="decimal"/>
      <w:lvlText w:val="%1."/>
      <w:lvlJc w:val="left"/>
      <w:pPr>
        <w:ind w:hanging="425" w:left="425"/>
      </w:pPr>
      <w:rPr>
        <w:rFonts w:hint="default"/>
      </w:rPr>
    </w:lvl>
  </w:abstractNum>
  <w:abstractNum w:abstractNumId="1">
    <w:nsid w:val="1B8E6008"/>
    <w:multiLevelType w:val="multilevel"/>
    <w:tmpl w:val="1B8E6008"/>
    <w:lvl w:ilvl="0" w:tentative="0">
      <w:start w:val="2"/>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2">
    <w:nsid w:val="2D33B429"/>
    <w:multiLevelType w:val="singleLevel"/>
    <w:tmpl w:val="2D33B429"/>
    <w:lvl w:ilvl="0" w:tentative="0">
      <w:start w:val="2"/>
      <w:numFmt w:val="decimal"/>
      <w:suff w:val="space"/>
      <w:lvlText w:val="%1."/>
      <w:lvlJc w:val="left"/>
    </w:lvl>
  </w:abstractNum>
  <w:abstractNum w:abstractNumId="3">
    <w:nsid w:val="320240BE"/>
    <w:multiLevelType w:val="multilevel"/>
    <w:tmpl w:val="320240BE"/>
    <w:lvl w:ilvl="0" w:tentative="0">
      <w:start w:val="1"/>
      <w:numFmt w:val="decimal"/>
      <w:lvlText w:val="%1."/>
      <w:lvlJc w:val="left"/>
      <w:pPr>
        <w:ind w:hanging="360" w:left="358"/>
      </w:pPr>
      <w:rPr>
        <w:rFonts w:hint="default"/>
      </w:rPr>
    </w:lvl>
    <w:lvl w:ilvl="1" w:tentative="0">
      <w:start w:val="1"/>
      <w:numFmt w:val="lowerLetter"/>
      <w:lvlText w:val="%2)"/>
      <w:lvlJc w:val="left"/>
      <w:pPr>
        <w:ind w:hanging="420" w:left="838"/>
      </w:pPr>
    </w:lvl>
    <w:lvl w:ilvl="2" w:tentative="0">
      <w:start w:val="1"/>
      <w:numFmt w:val="lowerRoman"/>
      <w:lvlText w:val="%3."/>
      <w:lvlJc w:val="right"/>
      <w:pPr>
        <w:ind w:hanging="420" w:left="1258"/>
      </w:pPr>
    </w:lvl>
    <w:lvl w:ilvl="3" w:tentative="0">
      <w:start w:val="1"/>
      <w:numFmt w:val="decimal"/>
      <w:lvlText w:val="%4."/>
      <w:lvlJc w:val="left"/>
      <w:pPr>
        <w:ind w:hanging="420" w:left="1678"/>
      </w:pPr>
    </w:lvl>
    <w:lvl w:ilvl="4" w:tentative="0">
      <w:start w:val="1"/>
      <w:numFmt w:val="lowerLetter"/>
      <w:lvlText w:val="%5)"/>
      <w:lvlJc w:val="left"/>
      <w:pPr>
        <w:ind w:hanging="420" w:left="2098"/>
      </w:pPr>
    </w:lvl>
    <w:lvl w:ilvl="5" w:tentative="0">
      <w:start w:val="1"/>
      <w:numFmt w:val="lowerRoman"/>
      <w:lvlText w:val="%6."/>
      <w:lvlJc w:val="right"/>
      <w:pPr>
        <w:ind w:hanging="420" w:left="2518"/>
      </w:pPr>
    </w:lvl>
    <w:lvl w:ilvl="6" w:tentative="0">
      <w:start w:val="1"/>
      <w:numFmt w:val="decimal"/>
      <w:lvlText w:val="%7."/>
      <w:lvlJc w:val="left"/>
      <w:pPr>
        <w:ind w:hanging="420" w:left="2938"/>
      </w:pPr>
    </w:lvl>
    <w:lvl w:ilvl="7" w:tentative="0">
      <w:start w:val="1"/>
      <w:numFmt w:val="lowerLetter"/>
      <w:lvlText w:val="%8)"/>
      <w:lvlJc w:val="left"/>
      <w:pPr>
        <w:ind w:hanging="420" w:left="3358"/>
      </w:pPr>
    </w:lvl>
    <w:lvl w:ilvl="8" w:tentative="0">
      <w:start w:val="1"/>
      <w:numFmt w:val="lowerRoman"/>
      <w:lvlText w:val="%9."/>
      <w:lvlJc w:val="right"/>
      <w:pPr>
        <w:ind w:hanging="420" w:left="3778"/>
      </w:pPr>
    </w:lvl>
  </w:abstractNum>
  <w:abstractNum w:abstractNumId="4">
    <w:nsid w:val="377E1DBC"/>
    <w:multiLevelType w:val="multilevel"/>
    <w:tmpl w:val="377E1DBC"/>
    <w:lvl w:ilvl="0" w:tentative="0">
      <w:start w:val="1"/>
      <w:numFmt w:val="lowerLetter"/>
      <w:lvlText w:val="%1."/>
      <w:lvlJc w:val="left"/>
      <w:pPr>
        <w:ind w:hanging="360" w:left="358"/>
      </w:pPr>
      <w:rPr>
        <w:rFonts w:hint="default"/>
      </w:rPr>
    </w:lvl>
    <w:lvl w:ilvl="1" w:tentative="0">
      <w:start w:val="1"/>
      <w:numFmt w:val="lowerLetter"/>
      <w:lvlText w:val="%2)"/>
      <w:lvlJc w:val="left"/>
      <w:pPr>
        <w:ind w:hanging="420" w:left="838"/>
      </w:pPr>
    </w:lvl>
    <w:lvl w:ilvl="2" w:tentative="0">
      <w:start w:val="1"/>
      <w:numFmt w:val="lowerRoman"/>
      <w:lvlText w:val="%3."/>
      <w:lvlJc w:val="right"/>
      <w:pPr>
        <w:ind w:hanging="420" w:left="1258"/>
      </w:pPr>
    </w:lvl>
    <w:lvl w:ilvl="3" w:tentative="0">
      <w:start w:val="1"/>
      <w:numFmt w:val="decimal"/>
      <w:lvlText w:val="%4."/>
      <w:lvlJc w:val="left"/>
      <w:pPr>
        <w:ind w:hanging="420" w:left="1678"/>
      </w:pPr>
    </w:lvl>
    <w:lvl w:ilvl="4" w:tentative="0">
      <w:start w:val="1"/>
      <w:numFmt w:val="lowerLetter"/>
      <w:lvlText w:val="%5)"/>
      <w:lvlJc w:val="left"/>
      <w:pPr>
        <w:ind w:hanging="420" w:left="2098"/>
      </w:pPr>
    </w:lvl>
    <w:lvl w:ilvl="5" w:tentative="0">
      <w:start w:val="1"/>
      <w:numFmt w:val="lowerRoman"/>
      <w:lvlText w:val="%6."/>
      <w:lvlJc w:val="right"/>
      <w:pPr>
        <w:ind w:hanging="420" w:left="2518"/>
      </w:pPr>
    </w:lvl>
    <w:lvl w:ilvl="6" w:tentative="0">
      <w:start w:val="1"/>
      <w:numFmt w:val="decimal"/>
      <w:lvlText w:val="%7."/>
      <w:lvlJc w:val="left"/>
      <w:pPr>
        <w:ind w:hanging="420" w:left="2938"/>
      </w:pPr>
    </w:lvl>
    <w:lvl w:ilvl="7" w:tentative="0">
      <w:start w:val="1"/>
      <w:numFmt w:val="lowerLetter"/>
      <w:lvlText w:val="%8)"/>
      <w:lvlJc w:val="left"/>
      <w:pPr>
        <w:ind w:hanging="420" w:left="3358"/>
      </w:pPr>
    </w:lvl>
    <w:lvl w:ilvl="8" w:tentative="0">
      <w:start w:val="1"/>
      <w:numFmt w:val="lowerRoman"/>
      <w:lvlText w:val="%9."/>
      <w:lvlJc w:val="right"/>
      <w:pPr>
        <w:ind w:hanging="420" w:left="3778"/>
      </w:pPr>
    </w:lvl>
  </w:abstractNum>
  <w:abstractNum w:abstractNumId="5">
    <w:nsid w:val="37877AB9"/>
    <w:multiLevelType w:val="multilevel"/>
    <w:tmpl w:val="37877AB9"/>
    <w:lvl w:ilvl="0" w:tentative="0">
      <w:start w:val="1"/>
      <w:numFmt w:val="decimal"/>
      <w:lvlText w:val="%1."/>
      <w:lvlJc w:val="left"/>
      <w:pPr>
        <w:ind w:hanging="360" w:left="358"/>
      </w:pPr>
      <w:rPr>
        <w:rFonts w:ascii="楷体_GB2312" w:cs="楷体_GB2312" w:hAnsi="宋体" w:hint="default"/>
      </w:rPr>
    </w:lvl>
    <w:lvl w:ilvl="1" w:tentative="0">
      <w:start w:val="1"/>
      <w:numFmt w:val="lowerLetter"/>
      <w:lvlText w:val="%2)"/>
      <w:lvlJc w:val="left"/>
      <w:pPr>
        <w:ind w:hanging="420" w:left="838"/>
      </w:pPr>
    </w:lvl>
    <w:lvl w:ilvl="2" w:tentative="0">
      <w:start w:val="1"/>
      <w:numFmt w:val="lowerRoman"/>
      <w:lvlText w:val="%3."/>
      <w:lvlJc w:val="right"/>
      <w:pPr>
        <w:ind w:hanging="420" w:left="1258"/>
      </w:pPr>
    </w:lvl>
    <w:lvl w:ilvl="3" w:tentative="0">
      <w:start w:val="1"/>
      <w:numFmt w:val="decimal"/>
      <w:lvlText w:val="%4."/>
      <w:lvlJc w:val="left"/>
      <w:pPr>
        <w:ind w:hanging="420" w:left="1678"/>
      </w:pPr>
    </w:lvl>
    <w:lvl w:ilvl="4" w:tentative="0">
      <w:start w:val="1"/>
      <w:numFmt w:val="lowerLetter"/>
      <w:lvlText w:val="%5)"/>
      <w:lvlJc w:val="left"/>
      <w:pPr>
        <w:ind w:hanging="420" w:left="2098"/>
      </w:pPr>
    </w:lvl>
    <w:lvl w:ilvl="5" w:tentative="0">
      <w:start w:val="1"/>
      <w:numFmt w:val="lowerRoman"/>
      <w:lvlText w:val="%6."/>
      <w:lvlJc w:val="right"/>
      <w:pPr>
        <w:ind w:hanging="420" w:left="2518"/>
      </w:pPr>
    </w:lvl>
    <w:lvl w:ilvl="6" w:tentative="0">
      <w:start w:val="1"/>
      <w:numFmt w:val="decimal"/>
      <w:lvlText w:val="%7."/>
      <w:lvlJc w:val="left"/>
      <w:pPr>
        <w:ind w:hanging="420" w:left="2938"/>
      </w:pPr>
    </w:lvl>
    <w:lvl w:ilvl="7" w:tentative="0">
      <w:start w:val="1"/>
      <w:numFmt w:val="lowerLetter"/>
      <w:lvlText w:val="%8)"/>
      <w:lvlJc w:val="left"/>
      <w:pPr>
        <w:ind w:hanging="420" w:left="3358"/>
      </w:pPr>
    </w:lvl>
    <w:lvl w:ilvl="8" w:tentative="0">
      <w:start w:val="1"/>
      <w:numFmt w:val="lowerRoman"/>
      <w:lvlText w:val="%9."/>
      <w:lvlJc w:val="right"/>
      <w:pPr>
        <w:ind w:hanging="420" w:left="3778"/>
      </w:pPr>
    </w:lvl>
  </w:abstractNum>
  <w:abstractNum w:abstractNumId="6">
    <w:nsid w:val="41837C58"/>
    <w:multiLevelType w:val="multilevel"/>
    <w:tmpl w:val="41837C58"/>
    <w:lvl w:ilvl="0" w:tentative="0">
      <w:start w:val="7"/>
      <w:numFmt w:val="japaneseCounting"/>
      <w:lvlText w:val="%1、"/>
      <w:lvlJc w:val="left"/>
      <w:pPr>
        <w:ind w:hanging="390" w:left="390"/>
      </w:pPr>
      <w:rPr>
        <w:rFonts w:hint="default"/>
      </w:rPr>
    </w:lvl>
    <w:lvl w:ilvl="1" w:tentative="0">
      <w:start w:val="2"/>
      <w:numFmt w:val="japaneseCounting"/>
      <w:lvlText w:val="（%2）"/>
      <w:lvlJc w:val="left"/>
      <w:pPr>
        <w:ind w:hanging="720" w:left="1140"/>
      </w:pPr>
      <w:rPr>
        <w:rFonts w:ascii="黑体" w:cs="黑体" w:eastAsia="黑体" w:hAnsi="Times New Roman" w:hint="default"/>
        <w:sz w:val="20"/>
      </w:r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7">
    <w:nsid w:val="62360528"/>
    <w:multiLevelType w:val="multilevel"/>
    <w:tmpl w:val="62360528"/>
    <w:lvl w:ilvl="0" w:tentative="0">
      <w:start w:val="1"/>
      <w:numFmt w:val="decimal"/>
      <w:lvlText w:val="%1."/>
      <w:lvlJc w:val="left"/>
      <w:pPr>
        <w:ind w:hanging="360" w:left="358"/>
      </w:pPr>
      <w:rPr>
        <w:rFonts w:ascii="楷体_GB2312" w:cs="楷体_GB2312" w:hAnsi="宋体" w:hint="default"/>
      </w:rPr>
    </w:lvl>
    <w:lvl w:ilvl="1" w:tentative="0">
      <w:start w:val="1"/>
      <w:numFmt w:val="lowerLetter"/>
      <w:lvlText w:val="%2)"/>
      <w:lvlJc w:val="left"/>
      <w:pPr>
        <w:ind w:hanging="420" w:left="838"/>
      </w:pPr>
    </w:lvl>
    <w:lvl w:ilvl="2" w:tentative="0">
      <w:start w:val="1"/>
      <w:numFmt w:val="lowerRoman"/>
      <w:lvlText w:val="%3."/>
      <w:lvlJc w:val="right"/>
      <w:pPr>
        <w:ind w:hanging="420" w:left="1258"/>
      </w:pPr>
    </w:lvl>
    <w:lvl w:ilvl="3" w:tentative="0">
      <w:start w:val="1"/>
      <w:numFmt w:val="decimal"/>
      <w:lvlText w:val="%4."/>
      <w:lvlJc w:val="left"/>
      <w:pPr>
        <w:ind w:hanging="420" w:left="1678"/>
      </w:pPr>
    </w:lvl>
    <w:lvl w:ilvl="4" w:tentative="0">
      <w:start w:val="1"/>
      <w:numFmt w:val="lowerLetter"/>
      <w:lvlText w:val="%5)"/>
      <w:lvlJc w:val="left"/>
      <w:pPr>
        <w:ind w:hanging="420" w:left="2098"/>
      </w:pPr>
    </w:lvl>
    <w:lvl w:ilvl="5" w:tentative="0">
      <w:start w:val="1"/>
      <w:numFmt w:val="lowerRoman"/>
      <w:lvlText w:val="%6."/>
      <w:lvlJc w:val="right"/>
      <w:pPr>
        <w:ind w:hanging="420" w:left="2518"/>
      </w:pPr>
    </w:lvl>
    <w:lvl w:ilvl="6" w:tentative="0">
      <w:start w:val="1"/>
      <w:numFmt w:val="decimal"/>
      <w:lvlText w:val="%7."/>
      <w:lvlJc w:val="left"/>
      <w:pPr>
        <w:ind w:hanging="420" w:left="2938"/>
      </w:pPr>
    </w:lvl>
    <w:lvl w:ilvl="7" w:tentative="0">
      <w:start w:val="1"/>
      <w:numFmt w:val="lowerLetter"/>
      <w:lvlText w:val="%8)"/>
      <w:lvlJc w:val="left"/>
      <w:pPr>
        <w:ind w:hanging="420" w:left="3358"/>
      </w:pPr>
    </w:lvl>
    <w:lvl w:ilvl="8" w:tentative="0">
      <w:start w:val="1"/>
      <w:numFmt w:val="lowerRoman"/>
      <w:lvlText w:val="%9."/>
      <w:lvlJc w:val="right"/>
      <w:pPr>
        <w:ind w:hanging="420" w:left="3778"/>
      </w:pPr>
    </w:lvl>
  </w:abstractNum>
  <w:abstractNum w:abstractNumId="8">
    <w:nsid w:val="70C8692D"/>
    <w:multiLevelType w:val="multilevel"/>
    <w:tmpl w:val="70C8692D"/>
    <w:lvl w:ilvl="0" w:tentative="0">
      <w:start w:val="1"/>
      <w:numFmt w:val="decimal"/>
      <w:lvlText w:val="%1."/>
      <w:lvlJc w:val="left"/>
      <w:pPr>
        <w:ind w:hanging="360" w:left="358"/>
      </w:pPr>
      <w:rPr>
        <w:rFonts w:ascii="楷体_GB2312" w:cs="楷体_GB2312" w:eastAsia="楷体_GB2312" w:hAnsi="宋体"/>
      </w:rPr>
    </w:lvl>
    <w:lvl w:ilvl="1" w:tentative="0">
      <w:start w:val="1"/>
      <w:numFmt w:val="lowerLetter"/>
      <w:lvlText w:val="%2."/>
      <w:lvlJc w:val="left"/>
      <w:pPr>
        <w:ind w:hanging="360" w:left="1078"/>
      </w:pPr>
    </w:lvl>
    <w:lvl w:ilvl="2" w:tentative="0">
      <w:start w:val="1"/>
      <w:numFmt w:val="lowerRoman"/>
      <w:lvlText w:val="%3."/>
      <w:lvlJc w:val="right"/>
      <w:pPr>
        <w:ind w:hanging="180" w:left="1798"/>
      </w:pPr>
    </w:lvl>
    <w:lvl w:ilvl="3" w:tentative="0">
      <w:start w:val="1"/>
      <w:numFmt w:val="decimal"/>
      <w:lvlText w:val="%4."/>
      <w:lvlJc w:val="left"/>
      <w:pPr>
        <w:ind w:hanging="360" w:left="2518"/>
      </w:pPr>
    </w:lvl>
    <w:lvl w:ilvl="4" w:tentative="0">
      <w:start w:val="1"/>
      <w:numFmt w:val="lowerLetter"/>
      <w:lvlText w:val="%5."/>
      <w:lvlJc w:val="left"/>
      <w:pPr>
        <w:ind w:hanging="360" w:left="3238"/>
      </w:pPr>
    </w:lvl>
    <w:lvl w:ilvl="5" w:tentative="0">
      <w:start w:val="1"/>
      <w:numFmt w:val="lowerRoman"/>
      <w:lvlText w:val="%6."/>
      <w:lvlJc w:val="right"/>
      <w:pPr>
        <w:ind w:hanging="180" w:left="3958"/>
      </w:pPr>
    </w:lvl>
    <w:lvl w:ilvl="6" w:tentative="0">
      <w:start w:val="1"/>
      <w:numFmt w:val="decimal"/>
      <w:lvlText w:val="%7."/>
      <w:lvlJc w:val="left"/>
      <w:pPr>
        <w:ind w:hanging="360" w:left="4678"/>
      </w:pPr>
    </w:lvl>
    <w:lvl w:ilvl="7" w:tentative="0">
      <w:start w:val="1"/>
      <w:numFmt w:val="lowerLetter"/>
      <w:lvlText w:val="%8."/>
      <w:lvlJc w:val="left"/>
      <w:pPr>
        <w:ind w:hanging="360" w:left="5398"/>
      </w:pPr>
    </w:lvl>
    <w:lvl w:ilvl="8" w:tentative="0">
      <w:start w:val="1"/>
      <w:numFmt w:val="lowerRoman"/>
      <w:lvlText w:val="%9."/>
      <w:lvlJc w:val="right"/>
      <w:pPr>
        <w:ind w:hanging="180" w:left="6118"/>
      </w:pPr>
    </w:lvl>
  </w:abstractNum>
  <w:num w:numId="1">
    <w:abstractNumId w:val="7"/>
  </w:num>
  <w:num w:numId="2">
    <w:abstractNumId w:val="4"/>
  </w:num>
  <w:num w:numId="3">
    <w:abstractNumId w:val="0"/>
  </w:num>
  <w:num w:numId="4">
    <w:abstractNumId w:val="3"/>
  </w:num>
  <w:num w:numId="5">
    <w:abstractNumId w:val="8"/>
  </w:num>
  <w:num w:numId="6">
    <w:abstractNumId w:val="1"/>
  </w:num>
  <w:num w:numId="7">
    <w:abstractNumId w:val="5"/>
  </w:num>
  <w:num w:numId="8">
    <w:abstractNumId w:val="6"/>
  </w:num>
  <w:num w:numId="9">
    <w:abstractNumId w:val="2"/>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20"/>
  <w:bordersDoNotSurroundHeader w:val="0"/>
  <w:bordersDoNotSurroundFooter w:val="0"/>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al="3F01" w:visibleStyles="0"/>
  <w:documentProtection w:edit="trackedChanges" w:enforcement="0"/>
  <w:defaultTabStop w:val="420"/>
  <w:drawingGridHorizontalSpacing w:val="0"/>
  <w:drawingGridVerticalSpacing w:val="0"/>
  <w:displayHorizontalDrawingGridEvery w:val="1"/>
  <w:displayVerticalDrawingGridEvery w:val="1"/>
  <w:noPunctuationKerning w:val="1"/>
  <w:characterSpacingControl w:val="doNotCompress"/>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2NzgzNTQ3YjE0ZWMyZmZiODIyZWQ2YTc3NzhhNGIifQ=="/>
  </w:docVars>
  <w:rsids>
    <w:rsidRoot w:val="00172A27"/>
    <w:rsid w:val="000006C6"/>
    <w:rsid w:val="00001DC5"/>
    <w:rsid w:val="00001F37"/>
    <w:rsid w:val="00003EA4"/>
    <w:rsid w:val="00005611"/>
    <w:rsid w:val="00005AAC"/>
    <w:rsid w:val="00007813"/>
    <w:rsid w:val="00007E67"/>
    <w:rsid w:val="00010675"/>
    <w:rsid w:val="000126B2"/>
    <w:rsid w:val="00012DB3"/>
    <w:rsid w:val="0001372D"/>
    <w:rsid w:val="00013F5B"/>
    <w:rsid w:val="000147D6"/>
    <w:rsid w:val="00014B73"/>
    <w:rsid w:val="0001549F"/>
    <w:rsid w:val="000160B3"/>
    <w:rsid w:val="000205B3"/>
    <w:rsid w:val="00020AB8"/>
    <w:rsid w:val="00021FBC"/>
    <w:rsid w:val="00022383"/>
    <w:rsid w:val="00023770"/>
    <w:rsid w:val="0002390F"/>
    <w:rsid w:val="0002493B"/>
    <w:rsid w:val="00025F4F"/>
    <w:rsid w:val="0002679A"/>
    <w:rsid w:val="00027D07"/>
    <w:rsid w:val="00032181"/>
    <w:rsid w:val="00032E11"/>
    <w:rsid w:val="00034184"/>
    <w:rsid w:val="0003593E"/>
    <w:rsid w:val="00035D4E"/>
    <w:rsid w:val="00036164"/>
    <w:rsid w:val="000363A0"/>
    <w:rsid w:val="00036A9C"/>
    <w:rsid w:val="00037270"/>
    <w:rsid w:val="00037C31"/>
    <w:rsid w:val="00041092"/>
    <w:rsid w:val="00041EA7"/>
    <w:rsid w:val="000426F9"/>
    <w:rsid w:val="000432B2"/>
    <w:rsid w:val="00043AA8"/>
    <w:rsid w:val="00044D26"/>
    <w:rsid w:val="00046C52"/>
    <w:rsid w:val="00046D16"/>
    <w:rsid w:val="00047F09"/>
    <w:rsid w:val="000509D8"/>
    <w:rsid w:val="00051D6A"/>
    <w:rsid w:val="00053031"/>
    <w:rsid w:val="000548A7"/>
    <w:rsid w:val="00055799"/>
    <w:rsid w:val="00055B2C"/>
    <w:rsid w:val="00057627"/>
    <w:rsid w:val="00057AF1"/>
    <w:rsid w:val="00060175"/>
    <w:rsid w:val="00060380"/>
    <w:rsid w:val="0006039E"/>
    <w:rsid w:val="00060C45"/>
    <w:rsid w:val="00060CF8"/>
    <w:rsid w:val="000627EE"/>
    <w:rsid w:val="00062C0F"/>
    <w:rsid w:val="00063F74"/>
    <w:rsid w:val="000642FF"/>
    <w:rsid w:val="00064EC6"/>
    <w:rsid w:val="000656EC"/>
    <w:rsid w:val="00070B5F"/>
    <w:rsid w:val="00071B6D"/>
    <w:rsid w:val="0007222D"/>
    <w:rsid w:val="000728B5"/>
    <w:rsid w:val="0007322A"/>
    <w:rsid w:val="000737DF"/>
    <w:rsid w:val="0007491E"/>
    <w:rsid w:val="00074951"/>
    <w:rsid w:val="000757CB"/>
    <w:rsid w:val="000810BD"/>
    <w:rsid w:val="00083705"/>
    <w:rsid w:val="0008387A"/>
    <w:rsid w:val="00084A58"/>
    <w:rsid w:val="00084DE7"/>
    <w:rsid w:val="00085A4A"/>
    <w:rsid w:val="00085E70"/>
    <w:rsid w:val="0008615C"/>
    <w:rsid w:val="0008737E"/>
    <w:rsid w:val="00090367"/>
    <w:rsid w:val="00090A15"/>
    <w:rsid w:val="00090A7C"/>
    <w:rsid w:val="00090B6A"/>
    <w:rsid w:val="000912BC"/>
    <w:rsid w:val="00091490"/>
    <w:rsid w:val="0009250D"/>
    <w:rsid w:val="00093A85"/>
    <w:rsid w:val="00093E3E"/>
    <w:rsid w:val="00094744"/>
    <w:rsid w:val="00096806"/>
    <w:rsid w:val="000A044F"/>
    <w:rsid w:val="000A09D8"/>
    <w:rsid w:val="000A0BFB"/>
    <w:rsid w:val="000A0C47"/>
    <w:rsid w:val="000A5437"/>
    <w:rsid w:val="000A544A"/>
    <w:rsid w:val="000A5B13"/>
    <w:rsid w:val="000A5C95"/>
    <w:rsid w:val="000A5E90"/>
    <w:rsid w:val="000B0124"/>
    <w:rsid w:val="000B0A2B"/>
    <w:rsid w:val="000B1394"/>
    <w:rsid w:val="000B5D44"/>
    <w:rsid w:val="000B6427"/>
    <w:rsid w:val="000B7A00"/>
    <w:rsid w:val="000C04B7"/>
    <w:rsid w:val="000C0E92"/>
    <w:rsid w:val="000C19F3"/>
    <w:rsid w:val="000C2361"/>
    <w:rsid w:val="000C2603"/>
    <w:rsid w:val="000C283C"/>
    <w:rsid w:val="000C3099"/>
    <w:rsid w:val="000C32BE"/>
    <w:rsid w:val="000C33FA"/>
    <w:rsid w:val="000C3AF8"/>
    <w:rsid w:val="000C3D71"/>
    <w:rsid w:val="000C4C04"/>
    <w:rsid w:val="000D0148"/>
    <w:rsid w:val="000D0828"/>
    <w:rsid w:val="000D0FBD"/>
    <w:rsid w:val="000D3A95"/>
    <w:rsid w:val="000D3D90"/>
    <w:rsid w:val="000D4953"/>
    <w:rsid w:val="000D4C7B"/>
    <w:rsid w:val="000D56E3"/>
    <w:rsid w:val="000D672E"/>
    <w:rsid w:val="000D7E38"/>
    <w:rsid w:val="000E0E9C"/>
    <w:rsid w:val="000E10B6"/>
    <w:rsid w:val="000E1AC2"/>
    <w:rsid w:val="000E3008"/>
    <w:rsid w:val="000E4FA1"/>
    <w:rsid w:val="000E51AE"/>
    <w:rsid w:val="000E6792"/>
    <w:rsid w:val="000E6FAB"/>
    <w:rsid w:val="000E7674"/>
    <w:rsid w:val="000F26F4"/>
    <w:rsid w:val="000F32C6"/>
    <w:rsid w:val="000F3ADF"/>
    <w:rsid w:val="000F3D2A"/>
    <w:rsid w:val="000F599D"/>
    <w:rsid w:val="000F798A"/>
    <w:rsid w:val="001010C4"/>
    <w:rsid w:val="0010147F"/>
    <w:rsid w:val="00103F63"/>
    <w:rsid w:val="0010611B"/>
    <w:rsid w:val="00110BCF"/>
    <w:rsid w:val="001110CC"/>
    <w:rsid w:val="00111E93"/>
    <w:rsid w:val="0011483E"/>
    <w:rsid w:val="00115683"/>
    <w:rsid w:val="00115D73"/>
    <w:rsid w:val="00116099"/>
    <w:rsid w:val="0011687B"/>
    <w:rsid w:val="00116B6A"/>
    <w:rsid w:val="001201C9"/>
    <w:rsid w:val="0012037B"/>
    <w:rsid w:val="001204B0"/>
    <w:rsid w:val="00121AA3"/>
    <w:rsid w:val="0012222E"/>
    <w:rsid w:val="0012362E"/>
    <w:rsid w:val="00123C90"/>
    <w:rsid w:val="001247D4"/>
    <w:rsid w:val="00124FBD"/>
    <w:rsid w:val="001260B9"/>
    <w:rsid w:val="00126352"/>
    <w:rsid w:val="001266EA"/>
    <w:rsid w:val="00126DB3"/>
    <w:rsid w:val="00127F0D"/>
    <w:rsid w:val="00130901"/>
    <w:rsid w:val="0013218D"/>
    <w:rsid w:val="00132E82"/>
    <w:rsid w:val="00132F12"/>
    <w:rsid w:val="0013467D"/>
    <w:rsid w:val="00134F4C"/>
    <w:rsid w:val="00135255"/>
    <w:rsid w:val="001353DA"/>
    <w:rsid w:val="00135621"/>
    <w:rsid w:val="00135B6F"/>
    <w:rsid w:val="00136105"/>
    <w:rsid w:val="001370DF"/>
    <w:rsid w:val="0014090C"/>
    <w:rsid w:val="00141A88"/>
    <w:rsid w:val="00141F8B"/>
    <w:rsid w:val="00142811"/>
    <w:rsid w:val="00142826"/>
    <w:rsid w:val="00143200"/>
    <w:rsid w:val="00143DF2"/>
    <w:rsid w:val="001452EC"/>
    <w:rsid w:val="00150914"/>
    <w:rsid w:val="00151D12"/>
    <w:rsid w:val="001521EB"/>
    <w:rsid w:val="00153F81"/>
    <w:rsid w:val="001549C8"/>
    <w:rsid w:val="00155560"/>
    <w:rsid w:val="00157BEF"/>
    <w:rsid w:val="0016135B"/>
    <w:rsid w:val="001615E1"/>
    <w:rsid w:val="00161B84"/>
    <w:rsid w:val="00163B22"/>
    <w:rsid w:val="001641D5"/>
    <w:rsid w:val="00164277"/>
    <w:rsid w:val="00164713"/>
    <w:rsid w:val="001649F3"/>
    <w:rsid w:val="00164B28"/>
    <w:rsid w:val="001652F0"/>
    <w:rsid w:val="001654B6"/>
    <w:rsid w:val="00171231"/>
    <w:rsid w:val="001726CF"/>
    <w:rsid w:val="00172A27"/>
    <w:rsid w:val="001769A8"/>
    <w:rsid w:val="001803F8"/>
    <w:rsid w:val="0018075C"/>
    <w:rsid w:val="0018086A"/>
    <w:rsid w:val="00180F21"/>
    <w:rsid w:val="00181072"/>
    <w:rsid w:val="00182FBF"/>
    <w:rsid w:val="0018374A"/>
    <w:rsid w:val="00184D24"/>
    <w:rsid w:val="00185832"/>
    <w:rsid w:val="001858BE"/>
    <w:rsid w:val="00190A62"/>
    <w:rsid w:val="00190E64"/>
    <w:rsid w:val="00191496"/>
    <w:rsid w:val="00191D0B"/>
    <w:rsid w:val="001930F7"/>
    <w:rsid w:val="00193302"/>
    <w:rsid w:val="001934AA"/>
    <w:rsid w:val="00194DE7"/>
    <w:rsid w:val="0019567E"/>
    <w:rsid w:val="001963EE"/>
    <w:rsid w:val="00196F2E"/>
    <w:rsid w:val="00197081"/>
    <w:rsid w:val="00197D4A"/>
    <w:rsid w:val="001A0F33"/>
    <w:rsid w:val="001A0FD7"/>
    <w:rsid w:val="001A19CD"/>
    <w:rsid w:val="001A1EF1"/>
    <w:rsid w:val="001A218A"/>
    <w:rsid w:val="001A2FFC"/>
    <w:rsid w:val="001A30BE"/>
    <w:rsid w:val="001A345F"/>
    <w:rsid w:val="001A3B81"/>
    <w:rsid w:val="001A45DD"/>
    <w:rsid w:val="001A5BD9"/>
    <w:rsid w:val="001A6999"/>
    <w:rsid w:val="001A720A"/>
    <w:rsid w:val="001A7B69"/>
    <w:rsid w:val="001A7BE3"/>
    <w:rsid w:val="001B01FF"/>
    <w:rsid w:val="001B046B"/>
    <w:rsid w:val="001B3184"/>
    <w:rsid w:val="001B35C0"/>
    <w:rsid w:val="001B4ACF"/>
    <w:rsid w:val="001B6460"/>
    <w:rsid w:val="001B6719"/>
    <w:rsid w:val="001B785F"/>
    <w:rsid w:val="001C0F22"/>
    <w:rsid w:val="001C19C0"/>
    <w:rsid w:val="001C2A78"/>
    <w:rsid w:val="001C3D71"/>
    <w:rsid w:val="001C4A13"/>
    <w:rsid w:val="001C4A22"/>
    <w:rsid w:val="001C4BC2"/>
    <w:rsid w:val="001C4FAF"/>
    <w:rsid w:val="001C5015"/>
    <w:rsid w:val="001C5131"/>
    <w:rsid w:val="001C5D78"/>
    <w:rsid w:val="001C72BC"/>
    <w:rsid w:val="001C7B49"/>
    <w:rsid w:val="001C7B7E"/>
    <w:rsid w:val="001C7BB1"/>
    <w:rsid w:val="001D0705"/>
    <w:rsid w:val="001D2684"/>
    <w:rsid w:val="001D4C4E"/>
    <w:rsid w:val="001D4C72"/>
    <w:rsid w:val="001D69CD"/>
    <w:rsid w:val="001D6A97"/>
    <w:rsid w:val="001D7587"/>
    <w:rsid w:val="001D77C8"/>
    <w:rsid w:val="001E133A"/>
    <w:rsid w:val="001E1C60"/>
    <w:rsid w:val="001E1F10"/>
    <w:rsid w:val="001E54F3"/>
    <w:rsid w:val="001E62E2"/>
    <w:rsid w:val="001E6503"/>
    <w:rsid w:val="001E79BB"/>
    <w:rsid w:val="001F1C65"/>
    <w:rsid w:val="001F6640"/>
    <w:rsid w:val="001F6AE8"/>
    <w:rsid w:val="001F746B"/>
    <w:rsid w:val="001F7597"/>
    <w:rsid w:val="001F7E97"/>
    <w:rsid w:val="0020078B"/>
    <w:rsid w:val="00201B50"/>
    <w:rsid w:val="00202368"/>
    <w:rsid w:val="00202745"/>
    <w:rsid w:val="0020290B"/>
    <w:rsid w:val="00203755"/>
    <w:rsid w:val="00203983"/>
    <w:rsid w:val="00203EAD"/>
    <w:rsid w:val="0020493D"/>
    <w:rsid w:val="00204B9B"/>
    <w:rsid w:val="00204BEC"/>
    <w:rsid w:val="002068C1"/>
    <w:rsid w:val="00206FC4"/>
    <w:rsid w:val="00210890"/>
    <w:rsid w:val="00211F58"/>
    <w:rsid w:val="0021444C"/>
    <w:rsid w:val="002156E9"/>
    <w:rsid w:val="00216B6D"/>
    <w:rsid w:val="00217786"/>
    <w:rsid w:val="00217805"/>
    <w:rsid w:val="0021788B"/>
    <w:rsid w:val="00217F67"/>
    <w:rsid w:val="0022225E"/>
    <w:rsid w:val="002238C9"/>
    <w:rsid w:val="00223C84"/>
    <w:rsid w:val="00224526"/>
    <w:rsid w:val="002255EE"/>
    <w:rsid w:val="00225C4A"/>
    <w:rsid w:val="002263A2"/>
    <w:rsid w:val="00226CD2"/>
    <w:rsid w:val="00226ED1"/>
    <w:rsid w:val="002270F3"/>
    <w:rsid w:val="00227275"/>
    <w:rsid w:val="00227B02"/>
    <w:rsid w:val="00231806"/>
    <w:rsid w:val="00233296"/>
    <w:rsid w:val="0023366D"/>
    <w:rsid w:val="00233A76"/>
    <w:rsid w:val="00233AC8"/>
    <w:rsid w:val="002353DC"/>
    <w:rsid w:val="00236616"/>
    <w:rsid w:val="00236C74"/>
    <w:rsid w:val="002370EE"/>
    <w:rsid w:val="00237C09"/>
    <w:rsid w:val="00241375"/>
    <w:rsid w:val="00241C9E"/>
    <w:rsid w:val="002420E3"/>
    <w:rsid w:val="00244056"/>
    <w:rsid w:val="0024436C"/>
    <w:rsid w:val="00245331"/>
    <w:rsid w:val="002456FB"/>
    <w:rsid w:val="002465F7"/>
    <w:rsid w:val="00247153"/>
    <w:rsid w:val="00251071"/>
    <w:rsid w:val="002513B5"/>
    <w:rsid w:val="002523B9"/>
    <w:rsid w:val="00252623"/>
    <w:rsid w:val="00252C23"/>
    <w:rsid w:val="00253360"/>
    <w:rsid w:val="0025354B"/>
    <w:rsid w:val="00254AA0"/>
    <w:rsid w:val="002555C0"/>
    <w:rsid w:val="00255F6F"/>
    <w:rsid w:val="00260981"/>
    <w:rsid w:val="00261E5A"/>
    <w:rsid w:val="00263626"/>
    <w:rsid w:val="00263AB2"/>
    <w:rsid w:val="00266F6D"/>
    <w:rsid w:val="00271618"/>
    <w:rsid w:val="00271B56"/>
    <w:rsid w:val="00272FFA"/>
    <w:rsid w:val="002730E6"/>
    <w:rsid w:val="00274DDE"/>
    <w:rsid w:val="002752F4"/>
    <w:rsid w:val="002754B9"/>
    <w:rsid w:val="0027618C"/>
    <w:rsid w:val="002761EB"/>
    <w:rsid w:val="00276815"/>
    <w:rsid w:val="00276B2E"/>
    <w:rsid w:val="00277A1B"/>
    <w:rsid w:val="002808D0"/>
    <w:rsid w:val="0028095D"/>
    <w:rsid w:val="00282D2E"/>
    <w:rsid w:val="00283C2A"/>
    <w:rsid w:val="00284F06"/>
    <w:rsid w:val="00286291"/>
    <w:rsid w:val="00287256"/>
    <w:rsid w:val="00290ECD"/>
    <w:rsid w:val="002911B6"/>
    <w:rsid w:val="00291320"/>
    <w:rsid w:val="00291DBD"/>
    <w:rsid w:val="00292667"/>
    <w:rsid w:val="00292C00"/>
    <w:rsid w:val="002947A4"/>
    <w:rsid w:val="00294941"/>
    <w:rsid w:val="00295A54"/>
    <w:rsid w:val="00296760"/>
    <w:rsid w:val="00296927"/>
    <w:rsid w:val="002A0B7C"/>
    <w:rsid w:val="002A101B"/>
    <w:rsid w:val="002A118E"/>
    <w:rsid w:val="002A1446"/>
    <w:rsid w:val="002A1BEB"/>
    <w:rsid w:val="002A284E"/>
    <w:rsid w:val="002A37AD"/>
    <w:rsid w:val="002A3B24"/>
    <w:rsid w:val="002A4085"/>
    <w:rsid w:val="002A448B"/>
    <w:rsid w:val="002A4556"/>
    <w:rsid w:val="002A5D84"/>
    <w:rsid w:val="002A5E24"/>
    <w:rsid w:val="002A6FFD"/>
    <w:rsid w:val="002B09FE"/>
    <w:rsid w:val="002B17C0"/>
    <w:rsid w:val="002B195C"/>
    <w:rsid w:val="002B313A"/>
    <w:rsid w:val="002B3B17"/>
    <w:rsid w:val="002B3B55"/>
    <w:rsid w:val="002B53E3"/>
    <w:rsid w:val="002B5834"/>
    <w:rsid w:val="002B5FA9"/>
    <w:rsid w:val="002B68A0"/>
    <w:rsid w:val="002B7859"/>
    <w:rsid w:val="002B7874"/>
    <w:rsid w:val="002B7A91"/>
    <w:rsid w:val="002B7D86"/>
    <w:rsid w:val="002C0457"/>
    <w:rsid w:val="002C07C8"/>
    <w:rsid w:val="002C26F5"/>
    <w:rsid w:val="002C48EE"/>
    <w:rsid w:val="002C5AC6"/>
    <w:rsid w:val="002C5D60"/>
    <w:rsid w:val="002C7E8A"/>
    <w:rsid w:val="002D1482"/>
    <w:rsid w:val="002D35B7"/>
    <w:rsid w:val="002D3636"/>
    <w:rsid w:val="002D38B7"/>
    <w:rsid w:val="002D5C78"/>
    <w:rsid w:val="002D6DF8"/>
    <w:rsid w:val="002D6E0E"/>
    <w:rsid w:val="002D7249"/>
    <w:rsid w:val="002E03CA"/>
    <w:rsid w:val="002E04B5"/>
    <w:rsid w:val="002E12AB"/>
    <w:rsid w:val="002E2882"/>
    <w:rsid w:val="002E4189"/>
    <w:rsid w:val="002E45B5"/>
    <w:rsid w:val="002E4E91"/>
    <w:rsid w:val="002E4E9E"/>
    <w:rsid w:val="002E53AD"/>
    <w:rsid w:val="002E5746"/>
    <w:rsid w:val="002E6205"/>
    <w:rsid w:val="002E6374"/>
    <w:rsid w:val="002E64C4"/>
    <w:rsid w:val="002E7E65"/>
    <w:rsid w:val="002F036E"/>
    <w:rsid w:val="002F05EE"/>
    <w:rsid w:val="002F0ABF"/>
    <w:rsid w:val="002F0E3A"/>
    <w:rsid w:val="002F0F28"/>
    <w:rsid w:val="002F14A9"/>
    <w:rsid w:val="002F265B"/>
    <w:rsid w:val="002F37E4"/>
    <w:rsid w:val="002F388D"/>
    <w:rsid w:val="002F3A2B"/>
    <w:rsid w:val="002F6310"/>
    <w:rsid w:val="002F66D9"/>
    <w:rsid w:val="003001C7"/>
    <w:rsid w:val="0030261C"/>
    <w:rsid w:val="003044B1"/>
    <w:rsid w:val="00306F28"/>
    <w:rsid w:val="0030752F"/>
    <w:rsid w:val="00310EC2"/>
    <w:rsid w:val="0031174F"/>
    <w:rsid w:val="00311784"/>
    <w:rsid w:val="0031190E"/>
    <w:rsid w:val="00311D04"/>
    <w:rsid w:val="0031212B"/>
    <w:rsid w:val="00312710"/>
    <w:rsid w:val="00312A2B"/>
    <w:rsid w:val="00313278"/>
    <w:rsid w:val="003133C9"/>
    <w:rsid w:val="003151FF"/>
    <w:rsid w:val="0031563D"/>
    <w:rsid w:val="0031689B"/>
    <w:rsid w:val="00316DEC"/>
    <w:rsid w:val="003175C8"/>
    <w:rsid w:val="00321CAD"/>
    <w:rsid w:val="00322984"/>
    <w:rsid w:val="00322E21"/>
    <w:rsid w:val="003230ED"/>
    <w:rsid w:val="00323E03"/>
    <w:rsid w:val="0032545F"/>
    <w:rsid w:val="0032639F"/>
    <w:rsid w:val="00326CE4"/>
    <w:rsid w:val="0032743B"/>
    <w:rsid w:val="003313E2"/>
    <w:rsid w:val="00332093"/>
    <w:rsid w:val="0033218E"/>
    <w:rsid w:val="003328F9"/>
    <w:rsid w:val="00332EB9"/>
    <w:rsid w:val="00333439"/>
    <w:rsid w:val="003349E7"/>
    <w:rsid w:val="003354AE"/>
    <w:rsid w:val="003356EC"/>
    <w:rsid w:val="0033582E"/>
    <w:rsid w:val="00335B1F"/>
    <w:rsid w:val="00335FE3"/>
    <w:rsid w:val="003361AE"/>
    <w:rsid w:val="00340E3C"/>
    <w:rsid w:val="003413CC"/>
    <w:rsid w:val="0034169C"/>
    <w:rsid w:val="003419F9"/>
    <w:rsid w:val="00342C5C"/>
    <w:rsid w:val="00343953"/>
    <w:rsid w:val="00344DEE"/>
    <w:rsid w:val="003452C4"/>
    <w:rsid w:val="00345530"/>
    <w:rsid w:val="00346433"/>
    <w:rsid w:val="00350BE3"/>
    <w:rsid w:val="00350FE6"/>
    <w:rsid w:val="00353137"/>
    <w:rsid w:val="003576A4"/>
    <w:rsid w:val="003576A9"/>
    <w:rsid w:val="00357EF2"/>
    <w:rsid w:val="003600CB"/>
    <w:rsid w:val="003618F4"/>
    <w:rsid w:val="00362735"/>
    <w:rsid w:val="00362933"/>
    <w:rsid w:val="003633B2"/>
    <w:rsid w:val="003652A5"/>
    <w:rsid w:val="0036563E"/>
    <w:rsid w:val="0036565F"/>
    <w:rsid w:val="00365828"/>
    <w:rsid w:val="00366351"/>
    <w:rsid w:val="00366963"/>
    <w:rsid w:val="00366D41"/>
    <w:rsid w:val="0037020E"/>
    <w:rsid w:val="00370A06"/>
    <w:rsid w:val="00370AD9"/>
    <w:rsid w:val="00370BE5"/>
    <w:rsid w:val="00371667"/>
    <w:rsid w:val="003722EF"/>
    <w:rsid w:val="003725AC"/>
    <w:rsid w:val="00372863"/>
    <w:rsid w:val="00373013"/>
    <w:rsid w:val="00377004"/>
    <w:rsid w:val="0037708C"/>
    <w:rsid w:val="00377271"/>
    <w:rsid w:val="00380170"/>
    <w:rsid w:val="00380548"/>
    <w:rsid w:val="00381BBC"/>
    <w:rsid w:val="00382F22"/>
    <w:rsid w:val="0038563B"/>
    <w:rsid w:val="00385A31"/>
    <w:rsid w:val="003903BF"/>
    <w:rsid w:val="0039091A"/>
    <w:rsid w:val="00390CFD"/>
    <w:rsid w:val="00390FE7"/>
    <w:rsid w:val="00392188"/>
    <w:rsid w:val="0039371E"/>
    <w:rsid w:val="00394D2F"/>
    <w:rsid w:val="0039559D"/>
    <w:rsid w:val="0039566D"/>
    <w:rsid w:val="00395A7C"/>
    <w:rsid w:val="0039692E"/>
    <w:rsid w:val="003971DB"/>
    <w:rsid w:val="00397A1C"/>
    <w:rsid w:val="00397E61"/>
    <w:rsid w:val="00397F8D"/>
    <w:rsid w:val="003A0843"/>
    <w:rsid w:val="003A1A30"/>
    <w:rsid w:val="003A1BD8"/>
    <w:rsid w:val="003A44D1"/>
    <w:rsid w:val="003A4B48"/>
    <w:rsid w:val="003A4FA1"/>
    <w:rsid w:val="003A712C"/>
    <w:rsid w:val="003B0A33"/>
    <w:rsid w:val="003B0D78"/>
    <w:rsid w:val="003B1732"/>
    <w:rsid w:val="003B3842"/>
    <w:rsid w:val="003B4073"/>
    <w:rsid w:val="003B4081"/>
    <w:rsid w:val="003B4574"/>
    <w:rsid w:val="003B4719"/>
    <w:rsid w:val="003B4DB7"/>
    <w:rsid w:val="003B683D"/>
    <w:rsid w:val="003B756C"/>
    <w:rsid w:val="003B7CAE"/>
    <w:rsid w:val="003C1648"/>
    <w:rsid w:val="003C2960"/>
    <w:rsid w:val="003C61BE"/>
    <w:rsid w:val="003C6339"/>
    <w:rsid w:val="003C727B"/>
    <w:rsid w:val="003C74E8"/>
    <w:rsid w:val="003C7574"/>
    <w:rsid w:val="003C77EF"/>
    <w:rsid w:val="003C7AEF"/>
    <w:rsid w:val="003C7EA4"/>
    <w:rsid w:val="003D0CD1"/>
    <w:rsid w:val="003D1B3B"/>
    <w:rsid w:val="003D222B"/>
    <w:rsid w:val="003D2E25"/>
    <w:rsid w:val="003D3910"/>
    <w:rsid w:val="003D400B"/>
    <w:rsid w:val="003D47E4"/>
    <w:rsid w:val="003D526D"/>
    <w:rsid w:val="003D5980"/>
    <w:rsid w:val="003D6E7F"/>
    <w:rsid w:val="003E231B"/>
    <w:rsid w:val="003E2901"/>
    <w:rsid w:val="003E2E0B"/>
    <w:rsid w:val="003E3345"/>
    <w:rsid w:val="003E4A15"/>
    <w:rsid w:val="003E53B4"/>
    <w:rsid w:val="003E547A"/>
    <w:rsid w:val="003E6901"/>
    <w:rsid w:val="003E7C03"/>
    <w:rsid w:val="003F2084"/>
    <w:rsid w:val="003F22E4"/>
    <w:rsid w:val="003F3C37"/>
    <w:rsid w:val="003F5A11"/>
    <w:rsid w:val="003F5CC9"/>
    <w:rsid w:val="003F7807"/>
    <w:rsid w:val="003F7F7C"/>
    <w:rsid w:val="004038ED"/>
    <w:rsid w:val="0040426A"/>
    <w:rsid w:val="00404732"/>
    <w:rsid w:val="004047D1"/>
    <w:rsid w:val="004057B9"/>
    <w:rsid w:val="0040695D"/>
    <w:rsid w:val="004074C2"/>
    <w:rsid w:val="00410409"/>
    <w:rsid w:val="00411C10"/>
    <w:rsid w:val="0041223C"/>
    <w:rsid w:val="0041226A"/>
    <w:rsid w:val="00412371"/>
    <w:rsid w:val="00413B11"/>
    <w:rsid w:val="0041446D"/>
    <w:rsid w:val="0041523E"/>
    <w:rsid w:val="00415393"/>
    <w:rsid w:val="00415D0E"/>
    <w:rsid w:val="00415DFF"/>
    <w:rsid w:val="00416DEA"/>
    <w:rsid w:val="00420285"/>
    <w:rsid w:val="004202B4"/>
    <w:rsid w:val="004205C0"/>
    <w:rsid w:val="004210C6"/>
    <w:rsid w:val="00421C63"/>
    <w:rsid w:val="00423C5A"/>
    <w:rsid w:val="004243EB"/>
    <w:rsid w:val="00425BD5"/>
    <w:rsid w:val="00425BD9"/>
    <w:rsid w:val="00426C15"/>
    <w:rsid w:val="00426ED5"/>
    <w:rsid w:val="00426FE7"/>
    <w:rsid w:val="00430A19"/>
    <w:rsid w:val="00432646"/>
    <w:rsid w:val="00433028"/>
    <w:rsid w:val="00435F2C"/>
    <w:rsid w:val="00436006"/>
    <w:rsid w:val="00436EE0"/>
    <w:rsid w:val="00441E3A"/>
    <w:rsid w:val="00442B27"/>
    <w:rsid w:val="0044420E"/>
    <w:rsid w:val="004468BE"/>
    <w:rsid w:val="00447345"/>
    <w:rsid w:val="00447A92"/>
    <w:rsid w:val="0045068F"/>
    <w:rsid w:val="00450A36"/>
    <w:rsid w:val="004517BC"/>
    <w:rsid w:val="00454324"/>
    <w:rsid w:val="0045444C"/>
    <w:rsid w:val="00454708"/>
    <w:rsid w:val="00454977"/>
    <w:rsid w:val="0045695C"/>
    <w:rsid w:val="004600AE"/>
    <w:rsid w:val="00463F1F"/>
    <w:rsid w:val="00464C78"/>
    <w:rsid w:val="00465DE6"/>
    <w:rsid w:val="00466412"/>
    <w:rsid w:val="0046759B"/>
    <w:rsid w:val="0047057B"/>
    <w:rsid w:val="00470FB6"/>
    <w:rsid w:val="0047117F"/>
    <w:rsid w:val="0047199F"/>
    <w:rsid w:val="00473091"/>
    <w:rsid w:val="0047482C"/>
    <w:rsid w:val="00474BF6"/>
    <w:rsid w:val="004755EA"/>
    <w:rsid w:val="00475662"/>
    <w:rsid w:val="00475C7B"/>
    <w:rsid w:val="004761A7"/>
    <w:rsid w:val="004801D7"/>
    <w:rsid w:val="00480C2E"/>
    <w:rsid w:val="00480DD5"/>
    <w:rsid w:val="00480E84"/>
    <w:rsid w:val="0048246F"/>
    <w:rsid w:val="00483BC1"/>
    <w:rsid w:val="00484A29"/>
    <w:rsid w:val="004860D6"/>
    <w:rsid w:val="00487810"/>
    <w:rsid w:val="004919C6"/>
    <w:rsid w:val="00491CAE"/>
    <w:rsid w:val="004920AA"/>
    <w:rsid w:val="00492260"/>
    <w:rsid w:val="00492847"/>
    <w:rsid w:val="004933E0"/>
    <w:rsid w:val="00493FBA"/>
    <w:rsid w:val="00494AB2"/>
    <w:rsid w:val="0049560E"/>
    <w:rsid w:val="00495B31"/>
    <w:rsid w:val="00495FB0"/>
    <w:rsid w:val="004963E8"/>
    <w:rsid w:val="0049652D"/>
    <w:rsid w:val="0049690F"/>
    <w:rsid w:val="004973D1"/>
    <w:rsid w:val="00497A0F"/>
    <w:rsid w:val="004A0105"/>
    <w:rsid w:val="004A2E25"/>
    <w:rsid w:val="004A583D"/>
    <w:rsid w:val="004A6349"/>
    <w:rsid w:val="004A7220"/>
    <w:rsid w:val="004A73A9"/>
    <w:rsid w:val="004A7708"/>
    <w:rsid w:val="004A7C82"/>
    <w:rsid w:val="004B0F38"/>
    <w:rsid w:val="004B3E7F"/>
    <w:rsid w:val="004B4881"/>
    <w:rsid w:val="004B4E0C"/>
    <w:rsid w:val="004B6C35"/>
    <w:rsid w:val="004B757A"/>
    <w:rsid w:val="004B7645"/>
    <w:rsid w:val="004B77ED"/>
    <w:rsid w:val="004B7AB4"/>
    <w:rsid w:val="004C0143"/>
    <w:rsid w:val="004C2F4B"/>
    <w:rsid w:val="004C3474"/>
    <w:rsid w:val="004C351D"/>
    <w:rsid w:val="004C46A4"/>
    <w:rsid w:val="004C49DC"/>
    <w:rsid w:val="004C64B5"/>
    <w:rsid w:val="004D1573"/>
    <w:rsid w:val="004D1B31"/>
    <w:rsid w:val="004D2BBA"/>
    <w:rsid w:val="004D3168"/>
    <w:rsid w:val="004D3982"/>
    <w:rsid w:val="004D3994"/>
    <w:rsid w:val="004D440D"/>
    <w:rsid w:val="004D4C24"/>
    <w:rsid w:val="004D4DE6"/>
    <w:rsid w:val="004D51DA"/>
    <w:rsid w:val="004D6204"/>
    <w:rsid w:val="004E0A90"/>
    <w:rsid w:val="004E0E7C"/>
    <w:rsid w:val="004E2000"/>
    <w:rsid w:val="004E2B94"/>
    <w:rsid w:val="004E2BD5"/>
    <w:rsid w:val="004E3690"/>
    <w:rsid w:val="004E3FA9"/>
    <w:rsid w:val="004E462F"/>
    <w:rsid w:val="004E4B7E"/>
    <w:rsid w:val="004E5085"/>
    <w:rsid w:val="004E7622"/>
    <w:rsid w:val="004E7B20"/>
    <w:rsid w:val="004E7E59"/>
    <w:rsid w:val="004F1681"/>
    <w:rsid w:val="004F1A24"/>
    <w:rsid w:val="004F2DFE"/>
    <w:rsid w:val="004F3D62"/>
    <w:rsid w:val="004F4242"/>
    <w:rsid w:val="004F47CE"/>
    <w:rsid w:val="004F4FA9"/>
    <w:rsid w:val="004F5845"/>
    <w:rsid w:val="004F6A80"/>
    <w:rsid w:val="00500AAB"/>
    <w:rsid w:val="005058C5"/>
    <w:rsid w:val="0050603A"/>
    <w:rsid w:val="0050607E"/>
    <w:rsid w:val="00506276"/>
    <w:rsid w:val="005069E4"/>
    <w:rsid w:val="00510B6F"/>
    <w:rsid w:val="005127D4"/>
    <w:rsid w:val="00514CB7"/>
    <w:rsid w:val="00517930"/>
    <w:rsid w:val="0052031D"/>
    <w:rsid w:val="005204CE"/>
    <w:rsid w:val="00520C02"/>
    <w:rsid w:val="005221AA"/>
    <w:rsid w:val="005237D3"/>
    <w:rsid w:val="005251A7"/>
    <w:rsid w:val="00525CB4"/>
    <w:rsid w:val="00527BAE"/>
    <w:rsid w:val="005300C9"/>
    <w:rsid w:val="005308F4"/>
    <w:rsid w:val="00532FFB"/>
    <w:rsid w:val="0053467A"/>
    <w:rsid w:val="005349F7"/>
    <w:rsid w:val="0053769F"/>
    <w:rsid w:val="005377C4"/>
    <w:rsid w:val="0054002A"/>
    <w:rsid w:val="005411D5"/>
    <w:rsid w:val="00542AFB"/>
    <w:rsid w:val="00542BD1"/>
    <w:rsid w:val="0054435B"/>
    <w:rsid w:val="0054504E"/>
    <w:rsid w:val="00545208"/>
    <w:rsid w:val="0054528F"/>
    <w:rsid w:val="00546441"/>
    <w:rsid w:val="00546BB0"/>
    <w:rsid w:val="0055027C"/>
    <w:rsid w:val="00552E84"/>
    <w:rsid w:val="00556322"/>
    <w:rsid w:val="00556B8C"/>
    <w:rsid w:val="00557038"/>
    <w:rsid w:val="00557981"/>
    <w:rsid w:val="00562B52"/>
    <w:rsid w:val="00562B8F"/>
    <w:rsid w:val="00564357"/>
    <w:rsid w:val="005645C5"/>
    <w:rsid w:val="00565255"/>
    <w:rsid w:val="00566105"/>
    <w:rsid w:val="00566897"/>
    <w:rsid w:val="0056753D"/>
    <w:rsid w:val="00567B10"/>
    <w:rsid w:val="005728B6"/>
    <w:rsid w:val="005743F9"/>
    <w:rsid w:val="005744F2"/>
    <w:rsid w:val="005755E0"/>
    <w:rsid w:val="005769C1"/>
    <w:rsid w:val="00580CAC"/>
    <w:rsid w:val="00582D53"/>
    <w:rsid w:val="00583F36"/>
    <w:rsid w:val="005844AB"/>
    <w:rsid w:val="005865C3"/>
    <w:rsid w:val="00587E1F"/>
    <w:rsid w:val="00592F42"/>
    <w:rsid w:val="0059646B"/>
    <w:rsid w:val="0059788F"/>
    <w:rsid w:val="00597DBA"/>
    <w:rsid w:val="005A099D"/>
    <w:rsid w:val="005A10DB"/>
    <w:rsid w:val="005A1668"/>
    <w:rsid w:val="005A20DA"/>
    <w:rsid w:val="005A356F"/>
    <w:rsid w:val="005A3C8F"/>
    <w:rsid w:val="005A5733"/>
    <w:rsid w:val="005A5EC0"/>
    <w:rsid w:val="005A5F0F"/>
    <w:rsid w:val="005B0BE3"/>
    <w:rsid w:val="005B26C0"/>
    <w:rsid w:val="005B2BD9"/>
    <w:rsid w:val="005B2FCA"/>
    <w:rsid w:val="005B3731"/>
    <w:rsid w:val="005B4B89"/>
    <w:rsid w:val="005B4D6F"/>
    <w:rsid w:val="005C1012"/>
    <w:rsid w:val="005C26A1"/>
    <w:rsid w:val="005C2BE9"/>
    <w:rsid w:val="005C2F1B"/>
    <w:rsid w:val="005C739D"/>
    <w:rsid w:val="005C758E"/>
    <w:rsid w:val="005C7C39"/>
    <w:rsid w:val="005D2357"/>
    <w:rsid w:val="005D25FF"/>
    <w:rsid w:val="005D267F"/>
    <w:rsid w:val="005D2920"/>
    <w:rsid w:val="005D45A1"/>
    <w:rsid w:val="005D58BE"/>
    <w:rsid w:val="005D795D"/>
    <w:rsid w:val="005D7B9B"/>
    <w:rsid w:val="005E01B3"/>
    <w:rsid w:val="005E08D0"/>
    <w:rsid w:val="005E0A11"/>
    <w:rsid w:val="005E1765"/>
    <w:rsid w:val="005E1B40"/>
    <w:rsid w:val="005E4210"/>
    <w:rsid w:val="005E4D56"/>
    <w:rsid w:val="005E528C"/>
    <w:rsid w:val="005E6010"/>
    <w:rsid w:val="005F076E"/>
    <w:rsid w:val="005F16A2"/>
    <w:rsid w:val="005F24E9"/>
    <w:rsid w:val="005F3283"/>
    <w:rsid w:val="005F369A"/>
    <w:rsid w:val="005F443D"/>
    <w:rsid w:val="005F5A10"/>
    <w:rsid w:val="005F5CFB"/>
    <w:rsid w:val="005F5F1C"/>
    <w:rsid w:val="005F5F85"/>
    <w:rsid w:val="0060503A"/>
    <w:rsid w:val="00606F08"/>
    <w:rsid w:val="00607679"/>
    <w:rsid w:val="006105B2"/>
    <w:rsid w:val="00611B92"/>
    <w:rsid w:val="00611DA2"/>
    <w:rsid w:val="00611DB4"/>
    <w:rsid w:val="00612981"/>
    <w:rsid w:val="00613023"/>
    <w:rsid w:val="0061310D"/>
    <w:rsid w:val="0061324D"/>
    <w:rsid w:val="00613B01"/>
    <w:rsid w:val="00613B4A"/>
    <w:rsid w:val="00614825"/>
    <w:rsid w:val="0061792E"/>
    <w:rsid w:val="006223DC"/>
    <w:rsid w:val="006229A2"/>
    <w:rsid w:val="00622B39"/>
    <w:rsid w:val="0062630B"/>
    <w:rsid w:val="00626BED"/>
    <w:rsid w:val="006316F8"/>
    <w:rsid w:val="006320C1"/>
    <w:rsid w:val="0063231F"/>
    <w:rsid w:val="006329FC"/>
    <w:rsid w:val="00634DA2"/>
    <w:rsid w:val="006357F1"/>
    <w:rsid w:val="00635DC5"/>
    <w:rsid w:val="006368D3"/>
    <w:rsid w:val="00637451"/>
    <w:rsid w:val="00637A0A"/>
    <w:rsid w:val="00640235"/>
    <w:rsid w:val="006402C3"/>
    <w:rsid w:val="00641240"/>
    <w:rsid w:val="00641566"/>
    <w:rsid w:val="00643B4D"/>
    <w:rsid w:val="00645222"/>
    <w:rsid w:val="00647C44"/>
    <w:rsid w:val="00647F44"/>
    <w:rsid w:val="006509E5"/>
    <w:rsid w:val="00650A3F"/>
    <w:rsid w:val="00651DB2"/>
    <w:rsid w:val="00653654"/>
    <w:rsid w:val="00653916"/>
    <w:rsid w:val="00654190"/>
    <w:rsid w:val="0065475E"/>
    <w:rsid w:val="0065533B"/>
    <w:rsid w:val="0065544C"/>
    <w:rsid w:val="00656A56"/>
    <w:rsid w:val="0065724F"/>
    <w:rsid w:val="0066017F"/>
    <w:rsid w:val="00660236"/>
    <w:rsid w:val="00661CF7"/>
    <w:rsid w:val="006627C0"/>
    <w:rsid w:val="0066536D"/>
    <w:rsid w:val="00665606"/>
    <w:rsid w:val="00666C5E"/>
    <w:rsid w:val="0067241F"/>
    <w:rsid w:val="006745BC"/>
    <w:rsid w:val="00676EB5"/>
    <w:rsid w:val="0067780B"/>
    <w:rsid w:val="00680248"/>
    <w:rsid w:val="006804CB"/>
    <w:rsid w:val="00680BF4"/>
    <w:rsid w:val="00680E28"/>
    <w:rsid w:val="006815CC"/>
    <w:rsid w:val="00682617"/>
    <w:rsid w:val="00682858"/>
    <w:rsid w:val="0068393D"/>
    <w:rsid w:val="00683ADB"/>
    <w:rsid w:val="00683B14"/>
    <w:rsid w:val="00683B23"/>
    <w:rsid w:val="00684BB5"/>
    <w:rsid w:val="00684C0B"/>
    <w:rsid w:val="00686834"/>
    <w:rsid w:val="006872CC"/>
    <w:rsid w:val="00687EA8"/>
    <w:rsid w:val="0069072F"/>
    <w:rsid w:val="006908EE"/>
    <w:rsid w:val="00690A73"/>
    <w:rsid w:val="0069257C"/>
    <w:rsid w:val="00692C48"/>
    <w:rsid w:val="00693746"/>
    <w:rsid w:val="006937C2"/>
    <w:rsid w:val="00693E49"/>
    <w:rsid w:val="00694D2F"/>
    <w:rsid w:val="006967C7"/>
    <w:rsid w:val="0069708B"/>
    <w:rsid w:val="006975BC"/>
    <w:rsid w:val="006976C9"/>
    <w:rsid w:val="006A041A"/>
    <w:rsid w:val="006A0C97"/>
    <w:rsid w:val="006A19F9"/>
    <w:rsid w:val="006A1BF2"/>
    <w:rsid w:val="006A3FF4"/>
    <w:rsid w:val="006A4091"/>
    <w:rsid w:val="006A5164"/>
    <w:rsid w:val="006A599F"/>
    <w:rsid w:val="006A5B67"/>
    <w:rsid w:val="006A7B62"/>
    <w:rsid w:val="006B0816"/>
    <w:rsid w:val="006B66BC"/>
    <w:rsid w:val="006B73C5"/>
    <w:rsid w:val="006B7B00"/>
    <w:rsid w:val="006C0090"/>
    <w:rsid w:val="006C093B"/>
    <w:rsid w:val="006C284C"/>
    <w:rsid w:val="006C4FBC"/>
    <w:rsid w:val="006C5D6D"/>
    <w:rsid w:val="006C601F"/>
    <w:rsid w:val="006D0C5F"/>
    <w:rsid w:val="006D0DEA"/>
    <w:rsid w:val="006D0F16"/>
    <w:rsid w:val="006D2C12"/>
    <w:rsid w:val="006D2C7C"/>
    <w:rsid w:val="006D380D"/>
    <w:rsid w:val="006D4480"/>
    <w:rsid w:val="006D621E"/>
    <w:rsid w:val="006D6DF1"/>
    <w:rsid w:val="006D6E33"/>
    <w:rsid w:val="006D7DF5"/>
    <w:rsid w:val="006E0460"/>
    <w:rsid w:val="006E0C09"/>
    <w:rsid w:val="006E0F1E"/>
    <w:rsid w:val="006E10CF"/>
    <w:rsid w:val="006E15D2"/>
    <w:rsid w:val="006E1BEF"/>
    <w:rsid w:val="006E308C"/>
    <w:rsid w:val="006E30F2"/>
    <w:rsid w:val="006E3116"/>
    <w:rsid w:val="006E4D63"/>
    <w:rsid w:val="006E4D8B"/>
    <w:rsid w:val="006F0103"/>
    <w:rsid w:val="006F04C3"/>
    <w:rsid w:val="006F166D"/>
    <w:rsid w:val="006F24E9"/>
    <w:rsid w:val="006F6203"/>
    <w:rsid w:val="006F7210"/>
    <w:rsid w:val="007006E7"/>
    <w:rsid w:val="00701C15"/>
    <w:rsid w:val="0070208D"/>
    <w:rsid w:val="0070245B"/>
    <w:rsid w:val="00702766"/>
    <w:rsid w:val="0070415D"/>
    <w:rsid w:val="007072E0"/>
    <w:rsid w:val="00707AF3"/>
    <w:rsid w:val="007104B0"/>
    <w:rsid w:val="007104E4"/>
    <w:rsid w:val="00712F22"/>
    <w:rsid w:val="0071377E"/>
    <w:rsid w:val="00714057"/>
    <w:rsid w:val="007146CC"/>
    <w:rsid w:val="007160F3"/>
    <w:rsid w:val="00716F0D"/>
    <w:rsid w:val="00720264"/>
    <w:rsid w:val="00720525"/>
    <w:rsid w:val="00721C29"/>
    <w:rsid w:val="0072328E"/>
    <w:rsid w:val="00724409"/>
    <w:rsid w:val="007244B9"/>
    <w:rsid w:val="0072458B"/>
    <w:rsid w:val="00725E51"/>
    <w:rsid w:val="00726156"/>
    <w:rsid w:val="0072721F"/>
    <w:rsid w:val="007277A7"/>
    <w:rsid w:val="0073120A"/>
    <w:rsid w:val="00733214"/>
    <w:rsid w:val="00733CAE"/>
    <w:rsid w:val="007341D7"/>
    <w:rsid w:val="00736325"/>
    <w:rsid w:val="00736790"/>
    <w:rsid w:val="00742D4B"/>
    <w:rsid w:val="007431A2"/>
    <w:rsid w:val="007439E8"/>
    <w:rsid w:val="00744840"/>
    <w:rsid w:val="00745A82"/>
    <w:rsid w:val="00745BB0"/>
    <w:rsid w:val="00746115"/>
    <w:rsid w:val="00750011"/>
    <w:rsid w:val="007500A6"/>
    <w:rsid w:val="00753114"/>
    <w:rsid w:val="007535A2"/>
    <w:rsid w:val="007546F6"/>
    <w:rsid w:val="007557DB"/>
    <w:rsid w:val="00755AF4"/>
    <w:rsid w:val="00755E0B"/>
    <w:rsid w:val="007567CA"/>
    <w:rsid w:val="0075710D"/>
    <w:rsid w:val="00760E7D"/>
    <w:rsid w:val="007621EB"/>
    <w:rsid w:val="00762C33"/>
    <w:rsid w:val="00762E9A"/>
    <w:rsid w:val="00762FB1"/>
    <w:rsid w:val="007634F9"/>
    <w:rsid w:val="00763D31"/>
    <w:rsid w:val="00764613"/>
    <w:rsid w:val="0076492D"/>
    <w:rsid w:val="00766ABF"/>
    <w:rsid w:val="007670BE"/>
    <w:rsid w:val="00767749"/>
    <w:rsid w:val="00770483"/>
    <w:rsid w:val="007708FA"/>
    <w:rsid w:val="0077104A"/>
    <w:rsid w:val="0077131D"/>
    <w:rsid w:val="0077204B"/>
    <w:rsid w:val="00772F06"/>
    <w:rsid w:val="007734A1"/>
    <w:rsid w:val="00773EF6"/>
    <w:rsid w:val="00774455"/>
    <w:rsid w:val="00774627"/>
    <w:rsid w:val="00775A2D"/>
    <w:rsid w:val="00775F17"/>
    <w:rsid w:val="007767C3"/>
    <w:rsid w:val="00777068"/>
    <w:rsid w:val="00777DB7"/>
    <w:rsid w:val="007808F5"/>
    <w:rsid w:val="00781EEE"/>
    <w:rsid w:val="00782961"/>
    <w:rsid w:val="00783654"/>
    <w:rsid w:val="0078380F"/>
    <w:rsid w:val="00785CB6"/>
    <w:rsid w:val="00785D7F"/>
    <w:rsid w:val="00790EDE"/>
    <w:rsid w:val="0079118B"/>
    <w:rsid w:val="0079138E"/>
    <w:rsid w:val="007925C7"/>
    <w:rsid w:val="007929F7"/>
    <w:rsid w:val="00794E71"/>
    <w:rsid w:val="00795C0A"/>
    <w:rsid w:val="00796795"/>
    <w:rsid w:val="007A064E"/>
    <w:rsid w:val="007A0C5D"/>
    <w:rsid w:val="007A1863"/>
    <w:rsid w:val="007A23D9"/>
    <w:rsid w:val="007A2971"/>
    <w:rsid w:val="007A325B"/>
    <w:rsid w:val="007A3AB7"/>
    <w:rsid w:val="007A4008"/>
    <w:rsid w:val="007A45C2"/>
    <w:rsid w:val="007A4EE1"/>
    <w:rsid w:val="007A6DBE"/>
    <w:rsid w:val="007A7B2D"/>
    <w:rsid w:val="007B0FB2"/>
    <w:rsid w:val="007B110E"/>
    <w:rsid w:val="007B16F7"/>
    <w:rsid w:val="007B3F5E"/>
    <w:rsid w:val="007B508C"/>
    <w:rsid w:val="007B60D4"/>
    <w:rsid w:val="007B682C"/>
    <w:rsid w:val="007B7903"/>
    <w:rsid w:val="007B7D9D"/>
    <w:rsid w:val="007C1FD4"/>
    <w:rsid w:val="007C2C0B"/>
    <w:rsid w:val="007C2FC3"/>
    <w:rsid w:val="007C3B98"/>
    <w:rsid w:val="007C638C"/>
    <w:rsid w:val="007C6783"/>
    <w:rsid w:val="007C6E05"/>
    <w:rsid w:val="007C710A"/>
    <w:rsid w:val="007C7112"/>
    <w:rsid w:val="007C778E"/>
    <w:rsid w:val="007C78E3"/>
    <w:rsid w:val="007D0D21"/>
    <w:rsid w:val="007D1602"/>
    <w:rsid w:val="007D2424"/>
    <w:rsid w:val="007D2AF2"/>
    <w:rsid w:val="007D3041"/>
    <w:rsid w:val="007D40F8"/>
    <w:rsid w:val="007D50D2"/>
    <w:rsid w:val="007D7593"/>
    <w:rsid w:val="007E0655"/>
    <w:rsid w:val="007E0A7C"/>
    <w:rsid w:val="007E0CA6"/>
    <w:rsid w:val="007E1CAA"/>
    <w:rsid w:val="007E250D"/>
    <w:rsid w:val="007E2CC2"/>
    <w:rsid w:val="007E2E71"/>
    <w:rsid w:val="007E2ED5"/>
    <w:rsid w:val="007E55DD"/>
    <w:rsid w:val="007E6917"/>
    <w:rsid w:val="007F08EA"/>
    <w:rsid w:val="007F1871"/>
    <w:rsid w:val="007F52AA"/>
    <w:rsid w:val="007F5A6B"/>
    <w:rsid w:val="007F649C"/>
    <w:rsid w:val="007F6BA1"/>
    <w:rsid w:val="0080173E"/>
    <w:rsid w:val="00801AA5"/>
    <w:rsid w:val="00802BF9"/>
    <w:rsid w:val="00803588"/>
    <w:rsid w:val="00803B53"/>
    <w:rsid w:val="00805756"/>
    <w:rsid w:val="008069CD"/>
    <w:rsid w:val="00807588"/>
    <w:rsid w:val="00807F30"/>
    <w:rsid w:val="00810BD4"/>
    <w:rsid w:val="00814CA0"/>
    <w:rsid w:val="00815762"/>
    <w:rsid w:val="00815CD7"/>
    <w:rsid w:val="00816052"/>
    <w:rsid w:val="0081647F"/>
    <w:rsid w:val="00816DF3"/>
    <w:rsid w:val="00821110"/>
    <w:rsid w:val="00821D3B"/>
    <w:rsid w:val="00822EB0"/>
    <w:rsid w:val="0082485C"/>
    <w:rsid w:val="008273FB"/>
    <w:rsid w:val="008276D5"/>
    <w:rsid w:val="00827EBC"/>
    <w:rsid w:val="0083053C"/>
    <w:rsid w:val="0083405F"/>
    <w:rsid w:val="008342FE"/>
    <w:rsid w:val="0083530F"/>
    <w:rsid w:val="008357D1"/>
    <w:rsid w:val="00836406"/>
    <w:rsid w:val="00836425"/>
    <w:rsid w:val="00836DE1"/>
    <w:rsid w:val="00840829"/>
    <w:rsid w:val="008421D1"/>
    <w:rsid w:val="00842263"/>
    <w:rsid w:val="008423FA"/>
    <w:rsid w:val="00842495"/>
    <w:rsid w:val="00845006"/>
    <w:rsid w:val="008477EE"/>
    <w:rsid w:val="00850703"/>
    <w:rsid w:val="00851AFB"/>
    <w:rsid w:val="008522DC"/>
    <w:rsid w:val="0085303E"/>
    <w:rsid w:val="0085365F"/>
    <w:rsid w:val="00854172"/>
    <w:rsid w:val="008548FE"/>
    <w:rsid w:val="00855B10"/>
    <w:rsid w:val="00855DD2"/>
    <w:rsid w:val="00860EDD"/>
    <w:rsid w:val="008619AD"/>
    <w:rsid w:val="00863ADD"/>
    <w:rsid w:val="0086454D"/>
    <w:rsid w:val="008651E5"/>
    <w:rsid w:val="0086720D"/>
    <w:rsid w:val="0087016A"/>
    <w:rsid w:val="008726B7"/>
    <w:rsid w:val="008734E7"/>
    <w:rsid w:val="00874D95"/>
    <w:rsid w:val="008759EF"/>
    <w:rsid w:val="008806B4"/>
    <w:rsid w:val="008809C9"/>
    <w:rsid w:val="00880F64"/>
    <w:rsid w:val="008820BE"/>
    <w:rsid w:val="008826E6"/>
    <w:rsid w:val="00882FCC"/>
    <w:rsid w:val="008831B8"/>
    <w:rsid w:val="00883966"/>
    <w:rsid w:val="008846FD"/>
    <w:rsid w:val="00885404"/>
    <w:rsid w:val="0088574C"/>
    <w:rsid w:val="008859E1"/>
    <w:rsid w:val="008859E3"/>
    <w:rsid w:val="00887A5D"/>
    <w:rsid w:val="00890816"/>
    <w:rsid w:val="00890895"/>
    <w:rsid w:val="0089154C"/>
    <w:rsid w:val="0089174F"/>
    <w:rsid w:val="00892C70"/>
    <w:rsid w:val="0089426E"/>
    <w:rsid w:val="00896E61"/>
    <w:rsid w:val="008973D6"/>
    <w:rsid w:val="008A106B"/>
    <w:rsid w:val="008A4116"/>
    <w:rsid w:val="008A411C"/>
    <w:rsid w:val="008A69A3"/>
    <w:rsid w:val="008B1E5A"/>
    <w:rsid w:val="008B2747"/>
    <w:rsid w:val="008B2B80"/>
    <w:rsid w:val="008B4408"/>
    <w:rsid w:val="008B4870"/>
    <w:rsid w:val="008B48FE"/>
    <w:rsid w:val="008B51BB"/>
    <w:rsid w:val="008B52FB"/>
    <w:rsid w:val="008B7EAB"/>
    <w:rsid w:val="008C007D"/>
    <w:rsid w:val="008C0E98"/>
    <w:rsid w:val="008C2BE9"/>
    <w:rsid w:val="008C55D6"/>
    <w:rsid w:val="008C6EB3"/>
    <w:rsid w:val="008D0FFD"/>
    <w:rsid w:val="008D1147"/>
    <w:rsid w:val="008D13DB"/>
    <w:rsid w:val="008D290E"/>
    <w:rsid w:val="008D5B9D"/>
    <w:rsid w:val="008D64AC"/>
    <w:rsid w:val="008E01EC"/>
    <w:rsid w:val="008E1515"/>
    <w:rsid w:val="008E1722"/>
    <w:rsid w:val="008E2351"/>
    <w:rsid w:val="008E2C2D"/>
    <w:rsid w:val="008E472F"/>
    <w:rsid w:val="008E5DEE"/>
    <w:rsid w:val="008E5E61"/>
    <w:rsid w:val="008E6DF1"/>
    <w:rsid w:val="008F0BD8"/>
    <w:rsid w:val="008F1D1A"/>
    <w:rsid w:val="008F1E60"/>
    <w:rsid w:val="008F20AB"/>
    <w:rsid w:val="008F4070"/>
    <w:rsid w:val="008F5554"/>
    <w:rsid w:val="008F6227"/>
    <w:rsid w:val="008F656A"/>
    <w:rsid w:val="008F79C3"/>
    <w:rsid w:val="00902206"/>
    <w:rsid w:val="009037F1"/>
    <w:rsid w:val="00903D64"/>
    <w:rsid w:val="0090431C"/>
    <w:rsid w:val="00904891"/>
    <w:rsid w:val="009105DF"/>
    <w:rsid w:val="00911283"/>
    <w:rsid w:val="009112DC"/>
    <w:rsid w:val="0091145B"/>
    <w:rsid w:val="00913225"/>
    <w:rsid w:val="009132EA"/>
    <w:rsid w:val="00915BA0"/>
    <w:rsid w:val="009166FF"/>
    <w:rsid w:val="00916769"/>
    <w:rsid w:val="00917B57"/>
    <w:rsid w:val="00920794"/>
    <w:rsid w:val="0092123E"/>
    <w:rsid w:val="00921DDC"/>
    <w:rsid w:val="009238E1"/>
    <w:rsid w:val="009241E2"/>
    <w:rsid w:val="00924BD9"/>
    <w:rsid w:val="00925A45"/>
    <w:rsid w:val="00925ABF"/>
    <w:rsid w:val="00933451"/>
    <w:rsid w:val="00933E62"/>
    <w:rsid w:val="00934481"/>
    <w:rsid w:val="00934714"/>
    <w:rsid w:val="00934D2E"/>
    <w:rsid w:val="00936726"/>
    <w:rsid w:val="00940B4D"/>
    <w:rsid w:val="009421CA"/>
    <w:rsid w:val="00943306"/>
    <w:rsid w:val="009437CB"/>
    <w:rsid w:val="00945072"/>
    <w:rsid w:val="0094593C"/>
    <w:rsid w:val="0094612F"/>
    <w:rsid w:val="0094794A"/>
    <w:rsid w:val="009503E5"/>
    <w:rsid w:val="00951827"/>
    <w:rsid w:val="009522C8"/>
    <w:rsid w:val="00954565"/>
    <w:rsid w:val="009561B3"/>
    <w:rsid w:val="009614F6"/>
    <w:rsid w:val="00961CF0"/>
    <w:rsid w:val="009623EA"/>
    <w:rsid w:val="00962D06"/>
    <w:rsid w:val="009647FC"/>
    <w:rsid w:val="00964D87"/>
    <w:rsid w:val="0096557E"/>
    <w:rsid w:val="0096558D"/>
    <w:rsid w:val="0096574A"/>
    <w:rsid w:val="009659A9"/>
    <w:rsid w:val="00966295"/>
    <w:rsid w:val="0096682F"/>
    <w:rsid w:val="009669C7"/>
    <w:rsid w:val="00966A09"/>
    <w:rsid w:val="0097118F"/>
    <w:rsid w:val="00971962"/>
    <w:rsid w:val="00973756"/>
    <w:rsid w:val="00974963"/>
    <w:rsid w:val="009756ED"/>
    <w:rsid w:val="00976AFC"/>
    <w:rsid w:val="00977FB9"/>
    <w:rsid w:val="0098430C"/>
    <w:rsid w:val="00985402"/>
    <w:rsid w:val="0098571A"/>
    <w:rsid w:val="00986603"/>
    <w:rsid w:val="00986EBC"/>
    <w:rsid w:val="00986EC6"/>
    <w:rsid w:val="00990A77"/>
    <w:rsid w:val="009911E0"/>
    <w:rsid w:val="00991685"/>
    <w:rsid w:val="0099172E"/>
    <w:rsid w:val="009935B3"/>
    <w:rsid w:val="00993BB4"/>
    <w:rsid w:val="00994FCB"/>
    <w:rsid w:val="009969A6"/>
    <w:rsid w:val="009A18DB"/>
    <w:rsid w:val="009A303C"/>
    <w:rsid w:val="009A50D8"/>
    <w:rsid w:val="009A7E29"/>
    <w:rsid w:val="009B12F4"/>
    <w:rsid w:val="009B14F2"/>
    <w:rsid w:val="009B1DE1"/>
    <w:rsid w:val="009B32DD"/>
    <w:rsid w:val="009B5271"/>
    <w:rsid w:val="009B56EF"/>
    <w:rsid w:val="009B58EC"/>
    <w:rsid w:val="009B6D89"/>
    <w:rsid w:val="009B7209"/>
    <w:rsid w:val="009B7656"/>
    <w:rsid w:val="009C0C53"/>
    <w:rsid w:val="009C1DC1"/>
    <w:rsid w:val="009C2F37"/>
    <w:rsid w:val="009C3F9B"/>
    <w:rsid w:val="009C4150"/>
    <w:rsid w:val="009C61F2"/>
    <w:rsid w:val="009C699A"/>
    <w:rsid w:val="009C6E8C"/>
    <w:rsid w:val="009C7A67"/>
    <w:rsid w:val="009D0F3C"/>
    <w:rsid w:val="009D153E"/>
    <w:rsid w:val="009D1DDE"/>
    <w:rsid w:val="009D3197"/>
    <w:rsid w:val="009D3650"/>
    <w:rsid w:val="009D6E3C"/>
    <w:rsid w:val="009D7593"/>
    <w:rsid w:val="009E1AB1"/>
    <w:rsid w:val="009E2368"/>
    <w:rsid w:val="009E415F"/>
    <w:rsid w:val="009E423D"/>
    <w:rsid w:val="009E4BEB"/>
    <w:rsid w:val="009E5854"/>
    <w:rsid w:val="009E6C2C"/>
    <w:rsid w:val="009E6F2E"/>
    <w:rsid w:val="009F01A6"/>
    <w:rsid w:val="009F0233"/>
    <w:rsid w:val="009F04F7"/>
    <w:rsid w:val="009F3797"/>
    <w:rsid w:val="009F5D29"/>
    <w:rsid w:val="009F640A"/>
    <w:rsid w:val="009F7D23"/>
    <w:rsid w:val="009F7E21"/>
    <w:rsid w:val="00A006F2"/>
    <w:rsid w:val="00A00B65"/>
    <w:rsid w:val="00A04383"/>
    <w:rsid w:val="00A05548"/>
    <w:rsid w:val="00A06DA3"/>
    <w:rsid w:val="00A071F0"/>
    <w:rsid w:val="00A074C5"/>
    <w:rsid w:val="00A109AE"/>
    <w:rsid w:val="00A11464"/>
    <w:rsid w:val="00A118DE"/>
    <w:rsid w:val="00A123E3"/>
    <w:rsid w:val="00A13F92"/>
    <w:rsid w:val="00A141BA"/>
    <w:rsid w:val="00A14A9A"/>
    <w:rsid w:val="00A14C36"/>
    <w:rsid w:val="00A1651C"/>
    <w:rsid w:val="00A16A1E"/>
    <w:rsid w:val="00A16C79"/>
    <w:rsid w:val="00A175D3"/>
    <w:rsid w:val="00A21691"/>
    <w:rsid w:val="00A216CD"/>
    <w:rsid w:val="00A21D3A"/>
    <w:rsid w:val="00A22514"/>
    <w:rsid w:val="00A251B5"/>
    <w:rsid w:val="00A25672"/>
    <w:rsid w:val="00A2672F"/>
    <w:rsid w:val="00A26EBE"/>
    <w:rsid w:val="00A33821"/>
    <w:rsid w:val="00A33A98"/>
    <w:rsid w:val="00A34E6B"/>
    <w:rsid w:val="00A350B9"/>
    <w:rsid w:val="00A3557B"/>
    <w:rsid w:val="00A36DA2"/>
    <w:rsid w:val="00A407CC"/>
    <w:rsid w:val="00A408EB"/>
    <w:rsid w:val="00A40F80"/>
    <w:rsid w:val="00A4272A"/>
    <w:rsid w:val="00A442D5"/>
    <w:rsid w:val="00A45B60"/>
    <w:rsid w:val="00A46540"/>
    <w:rsid w:val="00A47071"/>
    <w:rsid w:val="00A47A65"/>
    <w:rsid w:val="00A5071B"/>
    <w:rsid w:val="00A511F1"/>
    <w:rsid w:val="00A51E5D"/>
    <w:rsid w:val="00A52506"/>
    <w:rsid w:val="00A53B68"/>
    <w:rsid w:val="00A54399"/>
    <w:rsid w:val="00A55630"/>
    <w:rsid w:val="00A563B4"/>
    <w:rsid w:val="00A56C74"/>
    <w:rsid w:val="00A56EAD"/>
    <w:rsid w:val="00A603DC"/>
    <w:rsid w:val="00A60DE6"/>
    <w:rsid w:val="00A61C27"/>
    <w:rsid w:val="00A62F85"/>
    <w:rsid w:val="00A632C2"/>
    <w:rsid w:val="00A6362A"/>
    <w:rsid w:val="00A63934"/>
    <w:rsid w:val="00A63964"/>
    <w:rsid w:val="00A63BB6"/>
    <w:rsid w:val="00A64B37"/>
    <w:rsid w:val="00A678CD"/>
    <w:rsid w:val="00A7040A"/>
    <w:rsid w:val="00A71613"/>
    <w:rsid w:val="00A72DD3"/>
    <w:rsid w:val="00A74E45"/>
    <w:rsid w:val="00A7596B"/>
    <w:rsid w:val="00A7690D"/>
    <w:rsid w:val="00A7741A"/>
    <w:rsid w:val="00A779F4"/>
    <w:rsid w:val="00A77DDA"/>
    <w:rsid w:val="00A837D4"/>
    <w:rsid w:val="00A84324"/>
    <w:rsid w:val="00A84707"/>
    <w:rsid w:val="00A84AFC"/>
    <w:rsid w:val="00A8593D"/>
    <w:rsid w:val="00A85FB7"/>
    <w:rsid w:val="00A90F6A"/>
    <w:rsid w:val="00A9276D"/>
    <w:rsid w:val="00A939E8"/>
    <w:rsid w:val="00A93BF6"/>
    <w:rsid w:val="00A94983"/>
    <w:rsid w:val="00AA1C4C"/>
    <w:rsid w:val="00AA2414"/>
    <w:rsid w:val="00AA2E32"/>
    <w:rsid w:val="00AA3BFD"/>
    <w:rsid w:val="00AA4FA5"/>
    <w:rsid w:val="00AA5CB2"/>
    <w:rsid w:val="00AA6493"/>
    <w:rsid w:val="00AA6522"/>
    <w:rsid w:val="00AB38EF"/>
    <w:rsid w:val="00AB3DDE"/>
    <w:rsid w:val="00AB4C0B"/>
    <w:rsid w:val="00AB6207"/>
    <w:rsid w:val="00AC2BE4"/>
    <w:rsid w:val="00AC6333"/>
    <w:rsid w:val="00AC6572"/>
    <w:rsid w:val="00AD1E28"/>
    <w:rsid w:val="00AD1E95"/>
    <w:rsid w:val="00AD4AC8"/>
    <w:rsid w:val="00AD5099"/>
    <w:rsid w:val="00AD5527"/>
    <w:rsid w:val="00AD5938"/>
    <w:rsid w:val="00AD61FF"/>
    <w:rsid w:val="00AD6650"/>
    <w:rsid w:val="00AE0486"/>
    <w:rsid w:val="00AE158D"/>
    <w:rsid w:val="00AE161C"/>
    <w:rsid w:val="00AE1A21"/>
    <w:rsid w:val="00AE22BA"/>
    <w:rsid w:val="00AE3747"/>
    <w:rsid w:val="00AE47AD"/>
    <w:rsid w:val="00AE4B2E"/>
    <w:rsid w:val="00AE4D55"/>
    <w:rsid w:val="00AE5205"/>
    <w:rsid w:val="00AE52E8"/>
    <w:rsid w:val="00AE6352"/>
    <w:rsid w:val="00AE6808"/>
    <w:rsid w:val="00AE79D6"/>
    <w:rsid w:val="00AF07A6"/>
    <w:rsid w:val="00AF0C5C"/>
    <w:rsid w:val="00AF15D6"/>
    <w:rsid w:val="00AF2C00"/>
    <w:rsid w:val="00AF3ABD"/>
    <w:rsid w:val="00AF602A"/>
    <w:rsid w:val="00AF7872"/>
    <w:rsid w:val="00AF7B29"/>
    <w:rsid w:val="00B00D7F"/>
    <w:rsid w:val="00B01CB0"/>
    <w:rsid w:val="00B020D7"/>
    <w:rsid w:val="00B04910"/>
    <w:rsid w:val="00B04D83"/>
    <w:rsid w:val="00B068D6"/>
    <w:rsid w:val="00B06D90"/>
    <w:rsid w:val="00B071D0"/>
    <w:rsid w:val="00B07607"/>
    <w:rsid w:val="00B07DE9"/>
    <w:rsid w:val="00B105F7"/>
    <w:rsid w:val="00B13E82"/>
    <w:rsid w:val="00B177A2"/>
    <w:rsid w:val="00B17FC5"/>
    <w:rsid w:val="00B20218"/>
    <w:rsid w:val="00B21B9E"/>
    <w:rsid w:val="00B223F7"/>
    <w:rsid w:val="00B230BA"/>
    <w:rsid w:val="00B2334A"/>
    <w:rsid w:val="00B23F4C"/>
    <w:rsid w:val="00B2420E"/>
    <w:rsid w:val="00B245CE"/>
    <w:rsid w:val="00B2555E"/>
    <w:rsid w:val="00B260D1"/>
    <w:rsid w:val="00B3283C"/>
    <w:rsid w:val="00B3313B"/>
    <w:rsid w:val="00B331C0"/>
    <w:rsid w:val="00B33CEF"/>
    <w:rsid w:val="00B3407C"/>
    <w:rsid w:val="00B3472C"/>
    <w:rsid w:val="00B34A65"/>
    <w:rsid w:val="00B35851"/>
    <w:rsid w:val="00B35CED"/>
    <w:rsid w:val="00B37591"/>
    <w:rsid w:val="00B37B06"/>
    <w:rsid w:val="00B37F4F"/>
    <w:rsid w:val="00B40725"/>
    <w:rsid w:val="00B41274"/>
    <w:rsid w:val="00B41994"/>
    <w:rsid w:val="00B41B36"/>
    <w:rsid w:val="00B41D1A"/>
    <w:rsid w:val="00B43DDD"/>
    <w:rsid w:val="00B445DA"/>
    <w:rsid w:val="00B45671"/>
    <w:rsid w:val="00B457B0"/>
    <w:rsid w:val="00B457F6"/>
    <w:rsid w:val="00B4600D"/>
    <w:rsid w:val="00B50114"/>
    <w:rsid w:val="00B507C3"/>
    <w:rsid w:val="00B50E30"/>
    <w:rsid w:val="00B50FE2"/>
    <w:rsid w:val="00B51166"/>
    <w:rsid w:val="00B51D8B"/>
    <w:rsid w:val="00B53179"/>
    <w:rsid w:val="00B556AE"/>
    <w:rsid w:val="00B55E40"/>
    <w:rsid w:val="00B6170E"/>
    <w:rsid w:val="00B63D23"/>
    <w:rsid w:val="00B6406E"/>
    <w:rsid w:val="00B7025F"/>
    <w:rsid w:val="00B72C4F"/>
    <w:rsid w:val="00B73C76"/>
    <w:rsid w:val="00B76268"/>
    <w:rsid w:val="00B76899"/>
    <w:rsid w:val="00B77488"/>
    <w:rsid w:val="00B77E4F"/>
    <w:rsid w:val="00B80717"/>
    <w:rsid w:val="00B83072"/>
    <w:rsid w:val="00B83367"/>
    <w:rsid w:val="00B840E3"/>
    <w:rsid w:val="00B8483F"/>
    <w:rsid w:val="00B90F39"/>
    <w:rsid w:val="00B91B53"/>
    <w:rsid w:val="00B9379E"/>
    <w:rsid w:val="00B95A27"/>
    <w:rsid w:val="00B971F0"/>
    <w:rsid w:val="00B972AD"/>
    <w:rsid w:val="00B975E8"/>
    <w:rsid w:val="00BA031B"/>
    <w:rsid w:val="00BA03A6"/>
    <w:rsid w:val="00BA0872"/>
    <w:rsid w:val="00BA09A9"/>
    <w:rsid w:val="00BA3E66"/>
    <w:rsid w:val="00BA445B"/>
    <w:rsid w:val="00BA4FDA"/>
    <w:rsid w:val="00BA707B"/>
    <w:rsid w:val="00BA75ED"/>
    <w:rsid w:val="00BA7688"/>
    <w:rsid w:val="00BB0C5E"/>
    <w:rsid w:val="00BB2459"/>
    <w:rsid w:val="00BB3171"/>
    <w:rsid w:val="00BB31C6"/>
    <w:rsid w:val="00BB3AC1"/>
    <w:rsid w:val="00BB7026"/>
    <w:rsid w:val="00BB78FE"/>
    <w:rsid w:val="00BC0FAC"/>
    <w:rsid w:val="00BC1B6A"/>
    <w:rsid w:val="00BC29BE"/>
    <w:rsid w:val="00BC2E76"/>
    <w:rsid w:val="00BC3197"/>
    <w:rsid w:val="00BC3524"/>
    <w:rsid w:val="00BC4F45"/>
    <w:rsid w:val="00BC641A"/>
    <w:rsid w:val="00BC6AD9"/>
    <w:rsid w:val="00BC7731"/>
    <w:rsid w:val="00BC78F3"/>
    <w:rsid w:val="00BD0151"/>
    <w:rsid w:val="00BD07CD"/>
    <w:rsid w:val="00BD1B90"/>
    <w:rsid w:val="00BD1EF1"/>
    <w:rsid w:val="00BD60FE"/>
    <w:rsid w:val="00BD707C"/>
    <w:rsid w:val="00BD79B7"/>
    <w:rsid w:val="00BE0C23"/>
    <w:rsid w:val="00BE3245"/>
    <w:rsid w:val="00BE3A47"/>
    <w:rsid w:val="00BE51CC"/>
    <w:rsid w:val="00BE66C7"/>
    <w:rsid w:val="00BE7582"/>
    <w:rsid w:val="00BF1BF1"/>
    <w:rsid w:val="00BF23C0"/>
    <w:rsid w:val="00BF26BF"/>
    <w:rsid w:val="00BF2FC4"/>
    <w:rsid w:val="00BF3B9B"/>
    <w:rsid w:val="00BF4A93"/>
    <w:rsid w:val="00BF560D"/>
    <w:rsid w:val="00BF7E48"/>
    <w:rsid w:val="00C0010B"/>
    <w:rsid w:val="00C005A4"/>
    <w:rsid w:val="00C02A0B"/>
    <w:rsid w:val="00C03CF5"/>
    <w:rsid w:val="00C04640"/>
    <w:rsid w:val="00C04919"/>
    <w:rsid w:val="00C04EEC"/>
    <w:rsid w:val="00C05C2D"/>
    <w:rsid w:val="00C06FE1"/>
    <w:rsid w:val="00C10448"/>
    <w:rsid w:val="00C10AA1"/>
    <w:rsid w:val="00C10C7B"/>
    <w:rsid w:val="00C12694"/>
    <w:rsid w:val="00C12AF8"/>
    <w:rsid w:val="00C136D5"/>
    <w:rsid w:val="00C143B6"/>
    <w:rsid w:val="00C145A4"/>
    <w:rsid w:val="00C14A77"/>
    <w:rsid w:val="00C1507A"/>
    <w:rsid w:val="00C162E3"/>
    <w:rsid w:val="00C169CF"/>
    <w:rsid w:val="00C20864"/>
    <w:rsid w:val="00C21093"/>
    <w:rsid w:val="00C232B8"/>
    <w:rsid w:val="00C2349F"/>
    <w:rsid w:val="00C247ED"/>
    <w:rsid w:val="00C24BE4"/>
    <w:rsid w:val="00C24C46"/>
    <w:rsid w:val="00C250C7"/>
    <w:rsid w:val="00C25E2C"/>
    <w:rsid w:val="00C25E4B"/>
    <w:rsid w:val="00C25FB5"/>
    <w:rsid w:val="00C26F36"/>
    <w:rsid w:val="00C27CD0"/>
    <w:rsid w:val="00C31AA6"/>
    <w:rsid w:val="00C3280F"/>
    <w:rsid w:val="00C34AE5"/>
    <w:rsid w:val="00C3596A"/>
    <w:rsid w:val="00C359DF"/>
    <w:rsid w:val="00C42069"/>
    <w:rsid w:val="00C4253D"/>
    <w:rsid w:val="00C43848"/>
    <w:rsid w:val="00C43E89"/>
    <w:rsid w:val="00C4504B"/>
    <w:rsid w:val="00C4736D"/>
    <w:rsid w:val="00C476AD"/>
    <w:rsid w:val="00C53262"/>
    <w:rsid w:val="00C54066"/>
    <w:rsid w:val="00C54629"/>
    <w:rsid w:val="00C55421"/>
    <w:rsid w:val="00C56BBE"/>
    <w:rsid w:val="00C63B71"/>
    <w:rsid w:val="00C65322"/>
    <w:rsid w:val="00C65C3A"/>
    <w:rsid w:val="00C66210"/>
    <w:rsid w:val="00C67C43"/>
    <w:rsid w:val="00C67E4E"/>
    <w:rsid w:val="00C710C7"/>
    <w:rsid w:val="00C72E49"/>
    <w:rsid w:val="00C74ACD"/>
    <w:rsid w:val="00C74F30"/>
    <w:rsid w:val="00C76FCE"/>
    <w:rsid w:val="00C81458"/>
    <w:rsid w:val="00C81682"/>
    <w:rsid w:val="00C82C08"/>
    <w:rsid w:val="00C8316E"/>
    <w:rsid w:val="00C8466B"/>
    <w:rsid w:val="00C912EE"/>
    <w:rsid w:val="00C92B5D"/>
    <w:rsid w:val="00C92F79"/>
    <w:rsid w:val="00C93B24"/>
    <w:rsid w:val="00C93CF2"/>
    <w:rsid w:val="00C94B77"/>
    <w:rsid w:val="00C94EA8"/>
    <w:rsid w:val="00C96CFD"/>
    <w:rsid w:val="00C9716B"/>
    <w:rsid w:val="00CA0DF5"/>
    <w:rsid w:val="00CA189C"/>
    <w:rsid w:val="00CA18E6"/>
    <w:rsid w:val="00CA1A94"/>
    <w:rsid w:val="00CA2217"/>
    <w:rsid w:val="00CA320F"/>
    <w:rsid w:val="00CA34E2"/>
    <w:rsid w:val="00CA3DA5"/>
    <w:rsid w:val="00CA57A1"/>
    <w:rsid w:val="00CA5E6A"/>
    <w:rsid w:val="00CA660F"/>
    <w:rsid w:val="00CA6FFE"/>
    <w:rsid w:val="00CB0E27"/>
    <w:rsid w:val="00CB1955"/>
    <w:rsid w:val="00CB3E45"/>
    <w:rsid w:val="00CB4E16"/>
    <w:rsid w:val="00CB71A8"/>
    <w:rsid w:val="00CC0210"/>
    <w:rsid w:val="00CC0614"/>
    <w:rsid w:val="00CC2D86"/>
    <w:rsid w:val="00CC317B"/>
    <w:rsid w:val="00CC39D9"/>
    <w:rsid w:val="00CC3A96"/>
    <w:rsid w:val="00CC544F"/>
    <w:rsid w:val="00CC5941"/>
    <w:rsid w:val="00CC5FA0"/>
    <w:rsid w:val="00CD02BF"/>
    <w:rsid w:val="00CD15DD"/>
    <w:rsid w:val="00CD2E7A"/>
    <w:rsid w:val="00CD2F87"/>
    <w:rsid w:val="00CD3E47"/>
    <w:rsid w:val="00CD523A"/>
    <w:rsid w:val="00CD538D"/>
    <w:rsid w:val="00CD5E5A"/>
    <w:rsid w:val="00CD6F7F"/>
    <w:rsid w:val="00CD76B5"/>
    <w:rsid w:val="00CE1412"/>
    <w:rsid w:val="00CE1F49"/>
    <w:rsid w:val="00CE32C8"/>
    <w:rsid w:val="00CE3DC3"/>
    <w:rsid w:val="00CE4AAE"/>
    <w:rsid w:val="00CE52D2"/>
    <w:rsid w:val="00CE7DD2"/>
    <w:rsid w:val="00CE7E75"/>
    <w:rsid w:val="00CF0A7F"/>
    <w:rsid w:val="00CF3B5D"/>
    <w:rsid w:val="00CF473D"/>
    <w:rsid w:val="00CF5583"/>
    <w:rsid w:val="00CF55D2"/>
    <w:rsid w:val="00CF77C4"/>
    <w:rsid w:val="00D00728"/>
    <w:rsid w:val="00D014F6"/>
    <w:rsid w:val="00D01C4E"/>
    <w:rsid w:val="00D03ADC"/>
    <w:rsid w:val="00D0459C"/>
    <w:rsid w:val="00D04BE9"/>
    <w:rsid w:val="00D05335"/>
    <w:rsid w:val="00D05811"/>
    <w:rsid w:val="00D06466"/>
    <w:rsid w:val="00D072CD"/>
    <w:rsid w:val="00D07CBB"/>
    <w:rsid w:val="00D14158"/>
    <w:rsid w:val="00D15DF6"/>
    <w:rsid w:val="00D16BA4"/>
    <w:rsid w:val="00D17DC8"/>
    <w:rsid w:val="00D200C6"/>
    <w:rsid w:val="00D20828"/>
    <w:rsid w:val="00D20CEC"/>
    <w:rsid w:val="00D20E53"/>
    <w:rsid w:val="00D2169E"/>
    <w:rsid w:val="00D2219A"/>
    <w:rsid w:val="00D22770"/>
    <w:rsid w:val="00D2351A"/>
    <w:rsid w:val="00D24464"/>
    <w:rsid w:val="00D26585"/>
    <w:rsid w:val="00D27FAD"/>
    <w:rsid w:val="00D30A2E"/>
    <w:rsid w:val="00D30B0D"/>
    <w:rsid w:val="00D31DCA"/>
    <w:rsid w:val="00D32EB7"/>
    <w:rsid w:val="00D33F1A"/>
    <w:rsid w:val="00D34CD6"/>
    <w:rsid w:val="00D364A4"/>
    <w:rsid w:val="00D3668B"/>
    <w:rsid w:val="00D37112"/>
    <w:rsid w:val="00D371A7"/>
    <w:rsid w:val="00D374F7"/>
    <w:rsid w:val="00D40829"/>
    <w:rsid w:val="00D421FE"/>
    <w:rsid w:val="00D42DAB"/>
    <w:rsid w:val="00D4437D"/>
    <w:rsid w:val="00D44465"/>
    <w:rsid w:val="00D4487C"/>
    <w:rsid w:val="00D45014"/>
    <w:rsid w:val="00D45050"/>
    <w:rsid w:val="00D465AF"/>
    <w:rsid w:val="00D505D6"/>
    <w:rsid w:val="00D50A1F"/>
    <w:rsid w:val="00D51402"/>
    <w:rsid w:val="00D52357"/>
    <w:rsid w:val="00D5357C"/>
    <w:rsid w:val="00D54FA9"/>
    <w:rsid w:val="00D5587A"/>
    <w:rsid w:val="00D55B00"/>
    <w:rsid w:val="00D55D57"/>
    <w:rsid w:val="00D56ECD"/>
    <w:rsid w:val="00D604D3"/>
    <w:rsid w:val="00D6110E"/>
    <w:rsid w:val="00D6141C"/>
    <w:rsid w:val="00D61F02"/>
    <w:rsid w:val="00D63339"/>
    <w:rsid w:val="00D647AC"/>
    <w:rsid w:val="00D671C9"/>
    <w:rsid w:val="00D6722E"/>
    <w:rsid w:val="00D70920"/>
    <w:rsid w:val="00D71335"/>
    <w:rsid w:val="00D73B6B"/>
    <w:rsid w:val="00D74ACC"/>
    <w:rsid w:val="00D75B7E"/>
    <w:rsid w:val="00D762AE"/>
    <w:rsid w:val="00D76389"/>
    <w:rsid w:val="00D76AF3"/>
    <w:rsid w:val="00D807F8"/>
    <w:rsid w:val="00D80951"/>
    <w:rsid w:val="00D80F92"/>
    <w:rsid w:val="00D80F93"/>
    <w:rsid w:val="00D815F7"/>
    <w:rsid w:val="00D82D25"/>
    <w:rsid w:val="00D83A67"/>
    <w:rsid w:val="00D83CBE"/>
    <w:rsid w:val="00D84403"/>
    <w:rsid w:val="00D844A0"/>
    <w:rsid w:val="00D851C5"/>
    <w:rsid w:val="00D854DF"/>
    <w:rsid w:val="00D859A0"/>
    <w:rsid w:val="00D90431"/>
    <w:rsid w:val="00D904BD"/>
    <w:rsid w:val="00D91398"/>
    <w:rsid w:val="00D91595"/>
    <w:rsid w:val="00D92B29"/>
    <w:rsid w:val="00D935A1"/>
    <w:rsid w:val="00D9391A"/>
    <w:rsid w:val="00D94E7D"/>
    <w:rsid w:val="00D95999"/>
    <w:rsid w:val="00D96E6B"/>
    <w:rsid w:val="00D97D81"/>
    <w:rsid w:val="00DA008D"/>
    <w:rsid w:val="00DA04DC"/>
    <w:rsid w:val="00DA1D20"/>
    <w:rsid w:val="00DA2A7E"/>
    <w:rsid w:val="00DA2B56"/>
    <w:rsid w:val="00DA428A"/>
    <w:rsid w:val="00DA51D0"/>
    <w:rsid w:val="00DA525D"/>
    <w:rsid w:val="00DA5E1A"/>
    <w:rsid w:val="00DA6080"/>
    <w:rsid w:val="00DA7BC2"/>
    <w:rsid w:val="00DA7EED"/>
    <w:rsid w:val="00DB0756"/>
    <w:rsid w:val="00DB108A"/>
    <w:rsid w:val="00DB3870"/>
    <w:rsid w:val="00DB4736"/>
    <w:rsid w:val="00DB47F8"/>
    <w:rsid w:val="00DC12DB"/>
    <w:rsid w:val="00DC1A06"/>
    <w:rsid w:val="00DC1D1B"/>
    <w:rsid w:val="00DC2073"/>
    <w:rsid w:val="00DC3342"/>
    <w:rsid w:val="00DC45FC"/>
    <w:rsid w:val="00DC5646"/>
    <w:rsid w:val="00DC61EB"/>
    <w:rsid w:val="00DC7038"/>
    <w:rsid w:val="00DC7217"/>
    <w:rsid w:val="00DC75DB"/>
    <w:rsid w:val="00DD12F9"/>
    <w:rsid w:val="00DD3433"/>
    <w:rsid w:val="00DD351D"/>
    <w:rsid w:val="00DD36EA"/>
    <w:rsid w:val="00DE0389"/>
    <w:rsid w:val="00DE0C9A"/>
    <w:rsid w:val="00DE15FB"/>
    <w:rsid w:val="00DE16EF"/>
    <w:rsid w:val="00DE1CED"/>
    <w:rsid w:val="00DE30E5"/>
    <w:rsid w:val="00DE3D64"/>
    <w:rsid w:val="00DE6648"/>
    <w:rsid w:val="00DE6A2E"/>
    <w:rsid w:val="00DE7071"/>
    <w:rsid w:val="00DE70A7"/>
    <w:rsid w:val="00DE72AB"/>
    <w:rsid w:val="00DE72C5"/>
    <w:rsid w:val="00DF314E"/>
    <w:rsid w:val="00DF37E6"/>
    <w:rsid w:val="00DF4228"/>
    <w:rsid w:val="00DF48A4"/>
    <w:rsid w:val="00DF52D2"/>
    <w:rsid w:val="00DF617F"/>
    <w:rsid w:val="00DF7764"/>
    <w:rsid w:val="00E00C46"/>
    <w:rsid w:val="00E00E4D"/>
    <w:rsid w:val="00E0607A"/>
    <w:rsid w:val="00E068CF"/>
    <w:rsid w:val="00E07958"/>
    <w:rsid w:val="00E07F89"/>
    <w:rsid w:val="00E104EA"/>
    <w:rsid w:val="00E12EF0"/>
    <w:rsid w:val="00E15FCF"/>
    <w:rsid w:val="00E16EF9"/>
    <w:rsid w:val="00E20339"/>
    <w:rsid w:val="00E20EB1"/>
    <w:rsid w:val="00E21EC7"/>
    <w:rsid w:val="00E223DA"/>
    <w:rsid w:val="00E227B8"/>
    <w:rsid w:val="00E23D71"/>
    <w:rsid w:val="00E25FD5"/>
    <w:rsid w:val="00E30099"/>
    <w:rsid w:val="00E3031A"/>
    <w:rsid w:val="00E310B1"/>
    <w:rsid w:val="00E31AB8"/>
    <w:rsid w:val="00E33422"/>
    <w:rsid w:val="00E3372C"/>
    <w:rsid w:val="00E34C24"/>
    <w:rsid w:val="00E35975"/>
    <w:rsid w:val="00E3618F"/>
    <w:rsid w:val="00E37FD7"/>
    <w:rsid w:val="00E400BB"/>
    <w:rsid w:val="00E40AC8"/>
    <w:rsid w:val="00E412D5"/>
    <w:rsid w:val="00E41642"/>
    <w:rsid w:val="00E42897"/>
    <w:rsid w:val="00E4339B"/>
    <w:rsid w:val="00E4351A"/>
    <w:rsid w:val="00E44F25"/>
    <w:rsid w:val="00E45500"/>
    <w:rsid w:val="00E46498"/>
    <w:rsid w:val="00E46DCE"/>
    <w:rsid w:val="00E47DD0"/>
    <w:rsid w:val="00E508C0"/>
    <w:rsid w:val="00E51271"/>
    <w:rsid w:val="00E5289E"/>
    <w:rsid w:val="00E529DA"/>
    <w:rsid w:val="00E54BD2"/>
    <w:rsid w:val="00E54C68"/>
    <w:rsid w:val="00E55B1D"/>
    <w:rsid w:val="00E5614E"/>
    <w:rsid w:val="00E56E41"/>
    <w:rsid w:val="00E61337"/>
    <w:rsid w:val="00E619B8"/>
    <w:rsid w:val="00E62002"/>
    <w:rsid w:val="00E6237A"/>
    <w:rsid w:val="00E64324"/>
    <w:rsid w:val="00E6557D"/>
    <w:rsid w:val="00E656F1"/>
    <w:rsid w:val="00E65D86"/>
    <w:rsid w:val="00E662C5"/>
    <w:rsid w:val="00E672F6"/>
    <w:rsid w:val="00E678C3"/>
    <w:rsid w:val="00E7002C"/>
    <w:rsid w:val="00E72B0E"/>
    <w:rsid w:val="00E76532"/>
    <w:rsid w:val="00E76EB6"/>
    <w:rsid w:val="00E7780E"/>
    <w:rsid w:val="00E8014D"/>
    <w:rsid w:val="00E81189"/>
    <w:rsid w:val="00E81EAE"/>
    <w:rsid w:val="00E81F4B"/>
    <w:rsid w:val="00E84389"/>
    <w:rsid w:val="00E84C7E"/>
    <w:rsid w:val="00E862C6"/>
    <w:rsid w:val="00E86BE5"/>
    <w:rsid w:val="00E87647"/>
    <w:rsid w:val="00E91774"/>
    <w:rsid w:val="00E91E6F"/>
    <w:rsid w:val="00E92364"/>
    <w:rsid w:val="00E924A1"/>
    <w:rsid w:val="00E9272C"/>
    <w:rsid w:val="00E92830"/>
    <w:rsid w:val="00E92BFD"/>
    <w:rsid w:val="00E933AB"/>
    <w:rsid w:val="00E9579F"/>
    <w:rsid w:val="00E9785B"/>
    <w:rsid w:val="00E97E88"/>
    <w:rsid w:val="00EA08F7"/>
    <w:rsid w:val="00EA0F35"/>
    <w:rsid w:val="00EA11D5"/>
    <w:rsid w:val="00EA3989"/>
    <w:rsid w:val="00EA4793"/>
    <w:rsid w:val="00EA47D9"/>
    <w:rsid w:val="00EA4A90"/>
    <w:rsid w:val="00EA63D7"/>
    <w:rsid w:val="00EA7408"/>
    <w:rsid w:val="00EB2069"/>
    <w:rsid w:val="00EB3280"/>
    <w:rsid w:val="00EB38A1"/>
    <w:rsid w:val="00EB4524"/>
    <w:rsid w:val="00EB6FB8"/>
    <w:rsid w:val="00EB7989"/>
    <w:rsid w:val="00EC1664"/>
    <w:rsid w:val="00EC3345"/>
    <w:rsid w:val="00EC45CE"/>
    <w:rsid w:val="00EC7B98"/>
    <w:rsid w:val="00ED13CF"/>
    <w:rsid w:val="00ED15AD"/>
    <w:rsid w:val="00ED297F"/>
    <w:rsid w:val="00ED3902"/>
    <w:rsid w:val="00ED43F2"/>
    <w:rsid w:val="00ED494B"/>
    <w:rsid w:val="00ED4D85"/>
    <w:rsid w:val="00ED526A"/>
    <w:rsid w:val="00ED5A10"/>
    <w:rsid w:val="00ED6E9A"/>
    <w:rsid w:val="00EE0668"/>
    <w:rsid w:val="00EE22A3"/>
    <w:rsid w:val="00EE271B"/>
    <w:rsid w:val="00EE2D68"/>
    <w:rsid w:val="00EE308F"/>
    <w:rsid w:val="00EE4039"/>
    <w:rsid w:val="00EE4391"/>
    <w:rsid w:val="00EE44BF"/>
    <w:rsid w:val="00EE52BD"/>
    <w:rsid w:val="00EE6E63"/>
    <w:rsid w:val="00EF0B75"/>
    <w:rsid w:val="00EF1E5F"/>
    <w:rsid w:val="00EF1E83"/>
    <w:rsid w:val="00EF2E96"/>
    <w:rsid w:val="00EF35B6"/>
    <w:rsid w:val="00EF3E36"/>
    <w:rsid w:val="00EF410B"/>
    <w:rsid w:val="00EF446D"/>
    <w:rsid w:val="00EF4EEA"/>
    <w:rsid w:val="00EF6332"/>
    <w:rsid w:val="00EF6729"/>
    <w:rsid w:val="00F05863"/>
    <w:rsid w:val="00F05E33"/>
    <w:rsid w:val="00F070D0"/>
    <w:rsid w:val="00F074B1"/>
    <w:rsid w:val="00F07BCD"/>
    <w:rsid w:val="00F104BD"/>
    <w:rsid w:val="00F1082E"/>
    <w:rsid w:val="00F10AA0"/>
    <w:rsid w:val="00F112B5"/>
    <w:rsid w:val="00F13747"/>
    <w:rsid w:val="00F137D6"/>
    <w:rsid w:val="00F140EB"/>
    <w:rsid w:val="00F1439C"/>
    <w:rsid w:val="00F156B8"/>
    <w:rsid w:val="00F17933"/>
    <w:rsid w:val="00F17B00"/>
    <w:rsid w:val="00F20B6B"/>
    <w:rsid w:val="00F21E43"/>
    <w:rsid w:val="00F21EAE"/>
    <w:rsid w:val="00F23937"/>
    <w:rsid w:val="00F27A08"/>
    <w:rsid w:val="00F31019"/>
    <w:rsid w:val="00F31BB4"/>
    <w:rsid w:val="00F31BC7"/>
    <w:rsid w:val="00F32AF8"/>
    <w:rsid w:val="00F330C5"/>
    <w:rsid w:val="00F330D4"/>
    <w:rsid w:val="00F34075"/>
    <w:rsid w:val="00F34E02"/>
    <w:rsid w:val="00F363C6"/>
    <w:rsid w:val="00F3679B"/>
    <w:rsid w:val="00F41E02"/>
    <w:rsid w:val="00F4437C"/>
    <w:rsid w:val="00F451FD"/>
    <w:rsid w:val="00F50C08"/>
    <w:rsid w:val="00F50C99"/>
    <w:rsid w:val="00F53675"/>
    <w:rsid w:val="00F538E7"/>
    <w:rsid w:val="00F544B7"/>
    <w:rsid w:val="00F54E85"/>
    <w:rsid w:val="00F5568E"/>
    <w:rsid w:val="00F5753A"/>
    <w:rsid w:val="00F57DCD"/>
    <w:rsid w:val="00F604CB"/>
    <w:rsid w:val="00F62318"/>
    <w:rsid w:val="00F62474"/>
    <w:rsid w:val="00F63043"/>
    <w:rsid w:val="00F636DC"/>
    <w:rsid w:val="00F639F3"/>
    <w:rsid w:val="00F65DC9"/>
    <w:rsid w:val="00F6687A"/>
    <w:rsid w:val="00F66A5A"/>
    <w:rsid w:val="00F6798E"/>
    <w:rsid w:val="00F7016A"/>
    <w:rsid w:val="00F70DB2"/>
    <w:rsid w:val="00F71528"/>
    <w:rsid w:val="00F71D41"/>
    <w:rsid w:val="00F72E9B"/>
    <w:rsid w:val="00F74FC8"/>
    <w:rsid w:val="00F8147B"/>
    <w:rsid w:val="00F81E91"/>
    <w:rsid w:val="00F82496"/>
    <w:rsid w:val="00F8346C"/>
    <w:rsid w:val="00F87C2B"/>
    <w:rsid w:val="00F87E6E"/>
    <w:rsid w:val="00F932A7"/>
    <w:rsid w:val="00F937E3"/>
    <w:rsid w:val="00F94060"/>
    <w:rsid w:val="00F9417B"/>
    <w:rsid w:val="00F942CD"/>
    <w:rsid w:val="00F94CEA"/>
    <w:rsid w:val="00F94DE4"/>
    <w:rsid w:val="00F94EF1"/>
    <w:rsid w:val="00F94F7E"/>
    <w:rsid w:val="00F95194"/>
    <w:rsid w:val="00FA1753"/>
    <w:rsid w:val="00FA1E22"/>
    <w:rsid w:val="00FA2588"/>
    <w:rsid w:val="00FA2890"/>
    <w:rsid w:val="00FA28B3"/>
    <w:rsid w:val="00FA4047"/>
    <w:rsid w:val="00FA55C8"/>
    <w:rsid w:val="00FA6113"/>
    <w:rsid w:val="00FA753E"/>
    <w:rsid w:val="00FB1065"/>
    <w:rsid w:val="00FB24CE"/>
    <w:rsid w:val="00FB3F45"/>
    <w:rsid w:val="00FB4508"/>
    <w:rsid w:val="00FB5887"/>
    <w:rsid w:val="00FB73A8"/>
    <w:rsid w:val="00FC25C0"/>
    <w:rsid w:val="00FC2613"/>
    <w:rsid w:val="00FC3BA6"/>
    <w:rsid w:val="00FC44AA"/>
    <w:rsid w:val="00FC5DE9"/>
    <w:rsid w:val="00FC71EE"/>
    <w:rsid w:val="00FD04D0"/>
    <w:rsid w:val="00FD08BA"/>
    <w:rsid w:val="00FD11D6"/>
    <w:rsid w:val="00FD1FC1"/>
    <w:rsid w:val="00FD26E4"/>
    <w:rsid w:val="00FD38AD"/>
    <w:rsid w:val="00FD44F7"/>
    <w:rsid w:val="00FD5555"/>
    <w:rsid w:val="00FD5F00"/>
    <w:rsid w:val="00FD72FC"/>
    <w:rsid w:val="00FD77AD"/>
    <w:rsid w:val="00FE0E02"/>
    <w:rsid w:val="00FE1144"/>
    <w:rsid w:val="00FE260C"/>
    <w:rsid w:val="00FE26CF"/>
    <w:rsid w:val="00FE3291"/>
    <w:rsid w:val="00FE5129"/>
    <w:rsid w:val="00FE6EA8"/>
    <w:rsid w:val="00FE7414"/>
    <w:rsid w:val="00FE7AAB"/>
    <w:rsid w:val="00FF0B48"/>
    <w:rsid w:val="00FF44A3"/>
    <w:rsid w:val="00FF4F3F"/>
    <w:rsid w:val="00FF5072"/>
    <w:rsid w:val="00FF5563"/>
    <w:rsid w:val="00FF5D51"/>
    <w:rsid w:val="00FF7808"/>
    <w:rsid w:val="00FF793C"/>
    <w:rsid w:val="01995BAA"/>
    <w:rsid w:val="01A43975"/>
    <w:rsid w:val="0220367C"/>
    <w:rsid w:val="03143B68"/>
    <w:rsid w:val="03970A41"/>
    <w:rsid w:val="054079CD"/>
    <w:rsid w:val="08C532FF"/>
    <w:rsid w:val="08DB70AE"/>
    <w:rsid w:val="09210786"/>
    <w:rsid w:val="09F150BA"/>
    <w:rsid w:val="0ADF54C9"/>
    <w:rsid w:val="0B105014"/>
    <w:rsid w:val="0B4E0A4C"/>
    <w:rsid w:val="0BB53545"/>
    <w:rsid w:val="0C2D1644"/>
    <w:rsid w:val="0E9D4E90"/>
    <w:rsid w:val="0F2F8C68"/>
    <w:rsid w:val="10677BCC"/>
    <w:rsid w:val="117E7AC5"/>
    <w:rsid w:val="11B053C2"/>
    <w:rsid w:val="11D82D43"/>
    <w:rsid w:val="12167265"/>
    <w:rsid w:val="12BB5C75"/>
    <w:rsid w:val="139F52BA"/>
    <w:rsid w:val="13B2264B"/>
    <w:rsid w:val="146D79C6"/>
    <w:rsid w:val="14997D01"/>
    <w:rsid w:val="14B77C9C"/>
    <w:rsid w:val="151747CA"/>
    <w:rsid w:val="15B61DFB"/>
    <w:rsid w:val="15FF007F"/>
    <w:rsid w:val="16766474"/>
    <w:rsid w:val="16770389"/>
    <w:rsid w:val="16E83247"/>
    <w:rsid w:val="16F31B30"/>
    <w:rsid w:val="17191F74"/>
    <w:rsid w:val="17F265A3"/>
    <w:rsid w:val="186A770A"/>
    <w:rsid w:val="19B72BED"/>
    <w:rsid w:val="1A2F46F6"/>
    <w:rsid w:val="1AE2440D"/>
    <w:rsid w:val="1AEF2CC8"/>
    <w:rsid w:val="1C4D7CF1"/>
    <w:rsid w:val="1C5419A7"/>
    <w:rsid w:val="1DD80D8F"/>
    <w:rsid w:val="1E0C1986"/>
    <w:rsid w:val="1F3F8CBE"/>
    <w:rsid w:val="1F982DDB"/>
    <w:rsid w:val="20827A42"/>
    <w:rsid w:val="226A5BFE"/>
    <w:rsid w:val="240A6D6E"/>
    <w:rsid w:val="241271C7"/>
    <w:rsid w:val="242E740A"/>
    <w:rsid w:val="247A61D9"/>
    <w:rsid w:val="24CB4573"/>
    <w:rsid w:val="24CF715A"/>
    <w:rsid w:val="25AA53EB"/>
    <w:rsid w:val="25AE1EB1"/>
    <w:rsid w:val="25C7594C"/>
    <w:rsid w:val="263756C1"/>
    <w:rsid w:val="27A74A6B"/>
    <w:rsid w:val="27DB7970"/>
    <w:rsid w:val="287A48D0"/>
    <w:rsid w:val="28BA18FC"/>
    <w:rsid w:val="293945CA"/>
    <w:rsid w:val="29E40E7E"/>
    <w:rsid w:val="2B3A538C"/>
    <w:rsid w:val="2B407F1D"/>
    <w:rsid w:val="2B5271AC"/>
    <w:rsid w:val="2B8E7BE2"/>
    <w:rsid w:val="2BAA041B"/>
    <w:rsid w:val="2C7F7D5B"/>
    <w:rsid w:val="2C7FFEAE"/>
    <w:rsid w:val="2CA62F2E"/>
    <w:rsid w:val="2DB57BEF"/>
    <w:rsid w:val="2DCC054E"/>
    <w:rsid w:val="2E7D6897"/>
    <w:rsid w:val="2F9F3A70"/>
    <w:rsid w:val="30F71865"/>
    <w:rsid w:val="31527EED"/>
    <w:rsid w:val="319655C1"/>
    <w:rsid w:val="34F2646C"/>
    <w:rsid w:val="3555547B"/>
    <w:rsid w:val="36200A61"/>
    <w:rsid w:val="36C344B8"/>
    <w:rsid w:val="36DB7058"/>
    <w:rsid w:val="37085D5E"/>
    <w:rsid w:val="375E0BAF"/>
    <w:rsid w:val="37BD6F93"/>
    <w:rsid w:val="37FE7E9E"/>
    <w:rsid w:val="380F5E9F"/>
    <w:rsid w:val="38AA320E"/>
    <w:rsid w:val="391D0E7F"/>
    <w:rsid w:val="395F0A57"/>
    <w:rsid w:val="39C36502"/>
    <w:rsid w:val="3A7A5E93"/>
    <w:rsid w:val="3A887993"/>
    <w:rsid w:val="3AD774B7"/>
    <w:rsid w:val="3B1712B4"/>
    <w:rsid w:val="3B5A0EDF"/>
    <w:rsid w:val="3C9712EE"/>
    <w:rsid w:val="3D0B5ABA"/>
    <w:rsid w:val="3EBB37EE"/>
    <w:rsid w:val="3ED41958"/>
    <w:rsid w:val="3EF8134F"/>
    <w:rsid w:val="3FEB0958"/>
    <w:rsid w:val="405F7FBB"/>
    <w:rsid w:val="409D4A0F"/>
    <w:rsid w:val="42062E57"/>
    <w:rsid w:val="42E6709F"/>
    <w:rsid w:val="43086D20"/>
    <w:rsid w:val="439542F5"/>
    <w:rsid w:val="43BF748C"/>
    <w:rsid w:val="44193E1A"/>
    <w:rsid w:val="44A01663"/>
    <w:rsid w:val="44ED01E6"/>
    <w:rsid w:val="453B2D86"/>
    <w:rsid w:val="46896EAF"/>
    <w:rsid w:val="46897ABA"/>
    <w:rsid w:val="477E1AE8"/>
    <w:rsid w:val="489E5622"/>
    <w:rsid w:val="49DE3E7C"/>
    <w:rsid w:val="4A097F8F"/>
    <w:rsid w:val="4A221927"/>
    <w:rsid w:val="4AE35A16"/>
    <w:rsid w:val="4B7F0E9E"/>
    <w:rsid w:val="4C23623C"/>
    <w:rsid w:val="4D814196"/>
    <w:rsid w:val="4DED180A"/>
    <w:rsid w:val="4E075C2D"/>
    <w:rsid w:val="507F5DBE"/>
    <w:rsid w:val="50A5550E"/>
    <w:rsid w:val="51FB2806"/>
    <w:rsid w:val="52437047"/>
    <w:rsid w:val="52B264A3"/>
    <w:rsid w:val="538769CF"/>
    <w:rsid w:val="53B12AA9"/>
    <w:rsid w:val="53C13B11"/>
    <w:rsid w:val="54263576"/>
    <w:rsid w:val="54C04F94"/>
    <w:rsid w:val="54F974BE"/>
    <w:rsid w:val="55057D15"/>
    <w:rsid w:val="55894139"/>
    <w:rsid w:val="55921646"/>
    <w:rsid w:val="56A647BB"/>
    <w:rsid w:val="57ED7804"/>
    <w:rsid w:val="57EFD92C"/>
    <w:rsid w:val="57F65EF0"/>
    <w:rsid w:val="587641EB"/>
    <w:rsid w:val="59195D2E"/>
    <w:rsid w:val="59452184"/>
    <w:rsid w:val="598A78EB"/>
    <w:rsid w:val="59DC240D"/>
    <w:rsid w:val="5A032C9A"/>
    <w:rsid w:val="5A380F0B"/>
    <w:rsid w:val="5AA2167E"/>
    <w:rsid w:val="5BB90387"/>
    <w:rsid w:val="5BD50C7F"/>
    <w:rsid w:val="5D7B3274"/>
    <w:rsid w:val="5E3D3174"/>
    <w:rsid w:val="5ED46F62"/>
    <w:rsid w:val="5FCE55EF"/>
    <w:rsid w:val="5FE40CB2"/>
    <w:rsid w:val="5FF5EC4B"/>
    <w:rsid w:val="5FFE2F80"/>
    <w:rsid w:val="60884B3D"/>
    <w:rsid w:val="60977546"/>
    <w:rsid w:val="61D91592"/>
    <w:rsid w:val="625F3EC5"/>
    <w:rsid w:val="62A76B75"/>
    <w:rsid w:val="6332049C"/>
    <w:rsid w:val="6499029E"/>
    <w:rsid w:val="650B63FE"/>
    <w:rsid w:val="65E43670"/>
    <w:rsid w:val="66181C02"/>
    <w:rsid w:val="665E09D9"/>
    <w:rsid w:val="66AC290C"/>
    <w:rsid w:val="675B2810"/>
    <w:rsid w:val="67A2A190"/>
    <w:rsid w:val="67B71C35"/>
    <w:rsid w:val="67B71E97"/>
    <w:rsid w:val="69A97060"/>
    <w:rsid w:val="69B2727C"/>
    <w:rsid w:val="69CB1261"/>
    <w:rsid w:val="6AFF2139"/>
    <w:rsid w:val="6B6527DF"/>
    <w:rsid w:val="6B6F1AEA"/>
    <w:rsid w:val="6B7D0AFE"/>
    <w:rsid w:val="6B8231D2"/>
    <w:rsid w:val="6B926AD2"/>
    <w:rsid w:val="6C222BCE"/>
    <w:rsid w:val="6C782A5A"/>
    <w:rsid w:val="6C7D060B"/>
    <w:rsid w:val="6CD12293"/>
    <w:rsid w:val="6D295EAA"/>
    <w:rsid w:val="6DD74B9D"/>
    <w:rsid w:val="6DFBCD08"/>
    <w:rsid w:val="6E1A30C8"/>
    <w:rsid w:val="6E2D1084"/>
    <w:rsid w:val="6E7D0E15"/>
    <w:rsid w:val="6F671600"/>
    <w:rsid w:val="6FDD7827"/>
    <w:rsid w:val="71465F3F"/>
    <w:rsid w:val="71D4D2A0"/>
    <w:rsid w:val="720A1363"/>
    <w:rsid w:val="72464878"/>
    <w:rsid w:val="724C264F"/>
    <w:rsid w:val="735B065C"/>
    <w:rsid w:val="73C23875"/>
    <w:rsid w:val="74961FA3"/>
    <w:rsid w:val="74BA691F"/>
    <w:rsid w:val="74D8B0F8"/>
    <w:rsid w:val="753938CD"/>
    <w:rsid w:val="7549B4D9"/>
    <w:rsid w:val="75BF1D13"/>
    <w:rsid w:val="75FDA540"/>
    <w:rsid w:val="75FF2F86"/>
    <w:rsid w:val="76214222"/>
    <w:rsid w:val="777B120C"/>
    <w:rsid w:val="77E91850"/>
    <w:rsid w:val="794859DE"/>
    <w:rsid w:val="797F4172"/>
    <w:rsid w:val="79E101FA"/>
    <w:rsid w:val="7A010931"/>
    <w:rsid w:val="7B76468C"/>
    <w:rsid w:val="7BBD5FB8"/>
    <w:rsid w:val="7BD427A0"/>
    <w:rsid w:val="7C804BBD"/>
    <w:rsid w:val="7D1B69A1"/>
    <w:rsid w:val="7D79C22C"/>
    <w:rsid w:val="7D9A67A9"/>
    <w:rsid w:val="7F3E5D45"/>
    <w:rsid w:val="7F3F3E67"/>
    <w:rsid w:val="7F6D1472"/>
    <w:rsid w:val="7F7E0C4C"/>
    <w:rsid w:val="7FAF10F5"/>
    <w:rsid w:val="7FBBF40B"/>
    <w:rsid w:val="7FD19487"/>
    <w:rsid w:val="7FDF1373"/>
    <w:rsid w:val="8F3F0887"/>
    <w:rsid w:val="BB679970"/>
    <w:rsid w:val="BFDBDDC5"/>
    <w:rsid w:val="C0FE06E5"/>
    <w:rsid w:val="C9BAD826"/>
    <w:rsid w:val="D7F158F3"/>
    <w:rsid w:val="D9FE61D2"/>
    <w:rsid w:val="DBDF0DDE"/>
    <w:rsid w:val="DCEB56D0"/>
    <w:rsid w:val="DDFFF139"/>
    <w:rsid w:val="E33D528A"/>
    <w:rsid w:val="E3A39137"/>
    <w:rsid w:val="EF7D5941"/>
    <w:rsid w:val="F43BF78F"/>
    <w:rsid w:val="F677018C"/>
    <w:rsid w:val="F7EF9084"/>
    <w:rsid w:val="F7EF923B"/>
    <w:rsid w:val="F97618F3"/>
    <w:rsid w:val="FBBFF20A"/>
    <w:rsid w:val="FBF7BC10"/>
    <w:rsid w:val="FD9D91B4"/>
    <w:rsid w:val="FDA376F8"/>
    <w:rsid w:val="FDDD1930"/>
    <w:rsid w:val="FDF7C689"/>
    <w:rsid w:val="FDFFAFE4"/>
    <w:rsid w:val="FEF61A32"/>
    <w:rsid w:val="FEFF1C33"/>
    <w:rsid w:val="FF734807"/>
    <w:rsid w:val="FF7F289D"/>
    <w:rsid w:val="FF7F6D39"/>
    <w:rsid w:val="FFF69954"/>
    <w:rsid w:val="FFFC6546"/>
    <w:rsid w:val="FFFFF12C"/>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qFormat="1" w:semiHidden="0" w:uiPriority="99"/>
    <w:lsdException w:name="header" w:qFormat="1" w:semiHidden="0" w:uiPriority="99"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qFormat="1"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0" w:unhideWhenUsed="0"/>
    <w:lsdException w:name="Closing" w:uiPriority="0"/>
    <w:lsdException w:name="Signature" w:uiPriority="0"/>
    <w:lsdException w:name="Default Paragraph Font" w:qFormat="1"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semiHidden="0"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qFormat="1"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uiPriority="0"/>
    <w:lsdException w:name="HTML Sample" w:uiPriority="0"/>
    <w:lsdException w:name="HTML Typewriter" w:uiPriority="0"/>
    <w:lsdException w:name="HTML Variable" w:uiPriority="0"/>
    <w:lsdException w:name="Normal Table" w:qFormat="1" w:uiPriority="99"/>
    <w:lsdException w:name="annotation subject" w:qFormat="1"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qFormat="1" w:semiHidden="0" w:uiPriority="34"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rPr>
      <w:rFonts w:ascii="宋体" w:cs="宋体" w:eastAsia="宋体" w:hAnsi="宋体"/>
      <w:sz w:val="24"/>
      <w:szCs w:val="24"/>
      <w:lang w:bidi="ar-SA" w:eastAsia="zh-CN" w:val="en-US"/>
    </w:rPr>
  </w:style>
  <w:style w:default="1" w:styleId="11" w:type="character">
    <w:name w:val="Default Paragraph Font"/>
    <w:semiHidden/>
    <w:unhideWhenUsed/>
    <w:qFormat/>
    <w:uiPriority w:val="1"/>
  </w:style>
  <w:style w:default="1" w:styleId="9" w:type="table">
    <w:name w:val="Normal Table"/>
    <w:semiHidden/>
    <w:unhideWhenUsed/>
    <w:qFormat/>
    <w:uiPriority w:val="99"/>
    <w:tblPr>
      <w:tblCellMar>
        <w:top w:type="dxa" w:w="0"/>
        <w:left w:type="dxa" w:w="108"/>
        <w:bottom w:type="dxa" w:w="0"/>
        <w:right w:type="dxa" w:w="108"/>
      </w:tblCellMar>
    </w:tblPr>
  </w:style>
  <w:style w:styleId="2" w:type="paragraph">
    <w:name w:val="annotation text"/>
    <w:basedOn w:val="1"/>
    <w:link w:val="18"/>
    <w:unhideWhenUsed/>
    <w:qFormat/>
    <w:uiPriority w:val="99"/>
  </w:style>
  <w:style w:styleId="3" w:type="paragraph">
    <w:name w:val="Balloon Text"/>
    <w:basedOn w:val="1"/>
    <w:link w:val="16"/>
    <w:qFormat/>
    <w:uiPriority w:val="0"/>
    <w:rPr>
      <w:sz w:val="18"/>
      <w:szCs w:val="18"/>
    </w:rPr>
  </w:style>
  <w:style w:styleId="4" w:type="paragraph">
    <w:name w:val="footer"/>
    <w:basedOn w:val="1"/>
    <w:link w:val="15"/>
    <w:qFormat/>
    <w:uiPriority w:val="99"/>
    <w:pPr>
      <w:tabs>
        <w:tab w:pos="4153" w:val="center"/>
        <w:tab w:pos="8306" w:val="right"/>
      </w:tabs>
      <w:snapToGrid w:val="0"/>
    </w:pPr>
    <w:rPr>
      <w:sz w:val="18"/>
      <w:szCs w:val="18"/>
    </w:rPr>
  </w:style>
  <w:style w:styleId="5" w:type="paragraph">
    <w:name w:val="header"/>
    <w:basedOn w:val="1"/>
    <w:link w:val="14"/>
    <w:qFormat/>
    <w:uiPriority w:val="99"/>
    <w:pPr>
      <w:pBdr>
        <w:bottom w:color="auto" w:space="1" w:sz="6" w:val="single"/>
      </w:pBdr>
      <w:tabs>
        <w:tab w:pos="4153" w:val="center"/>
        <w:tab w:pos="8306" w:val="right"/>
      </w:tabs>
      <w:snapToGrid w:val="0"/>
      <w:jc w:val="center"/>
    </w:pPr>
    <w:rPr>
      <w:sz w:val="18"/>
      <w:szCs w:val="18"/>
    </w:rPr>
  </w:style>
  <w:style w:styleId="6" w:type="paragraph">
    <w:name w:val="HTML Preformatted"/>
    <w:basedOn w:val="1"/>
    <w:semiHidden/>
    <w:unhideWhenUsed/>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7" w:type="paragraph">
    <w:name w:val="Normal (Web)"/>
    <w:basedOn w:val="1"/>
    <w:semiHidden/>
    <w:unhideWhenUsed/>
    <w:qFormat/>
    <w:uiPriority w:val="0"/>
    <w:pPr>
      <w:spacing w:afterAutospacing="1" w:beforeAutospacing="1"/>
    </w:pPr>
    <w:rPr>
      <w:rFonts w:cs="Times New Roman"/>
    </w:rPr>
  </w:style>
  <w:style w:styleId="8" w:type="paragraph">
    <w:name w:val="annotation subject"/>
    <w:basedOn w:val="2"/>
    <w:next w:val="2"/>
    <w:link w:val="19"/>
    <w:semiHidden/>
    <w:unhideWhenUsed/>
    <w:qFormat/>
    <w:uiPriority w:val="0"/>
    <w:rPr>
      <w:b/>
      <w:bCs/>
    </w:rPr>
  </w:style>
  <w:style w:styleId="10" w:type="table">
    <w:name w:val="Table Grid"/>
    <w:basedOn w:val="9"/>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2" w:type="character">
    <w:name w:val="Hyperlink"/>
    <w:basedOn w:val="11"/>
    <w:unhideWhenUsed/>
    <w:qFormat/>
    <w:uiPriority w:val="0"/>
    <w:rPr>
      <w:color w:themeColor="hyperlink" w:val="0000FF"/>
      <w:u w:val="single"/>
      <w14:textFill>
        <w14:solidFill>
          <w14:schemeClr w14:val="hlink"/>
        </w14:solidFill>
      </w14:textFill>
    </w:rPr>
  </w:style>
  <w:style w:styleId="13" w:type="character">
    <w:name w:val="annotation reference"/>
    <w:basedOn w:val="11"/>
    <w:semiHidden/>
    <w:unhideWhenUsed/>
    <w:qFormat/>
    <w:uiPriority w:val="0"/>
    <w:rPr>
      <w:sz w:val="21"/>
      <w:szCs w:val="21"/>
    </w:rPr>
  </w:style>
  <w:style w:customStyle="1" w:styleId="14" w:type="character">
    <w:name w:val="页眉 Char"/>
    <w:link w:val="5"/>
    <w:qFormat/>
    <w:uiPriority w:val="99"/>
    <w:rPr>
      <w:rFonts w:ascii="宋体" w:cs="宋体" w:eastAsia="宋体" w:hAnsi="宋体"/>
      <w:sz w:val="18"/>
      <w:szCs w:val="18"/>
    </w:rPr>
  </w:style>
  <w:style w:customStyle="1" w:styleId="15" w:type="character">
    <w:name w:val="页脚 Char"/>
    <w:link w:val="4"/>
    <w:qFormat/>
    <w:uiPriority w:val="99"/>
    <w:rPr>
      <w:rFonts w:ascii="宋体" w:cs="宋体" w:eastAsia="宋体" w:hAnsi="宋体"/>
      <w:sz w:val="18"/>
      <w:szCs w:val="18"/>
    </w:rPr>
  </w:style>
  <w:style w:customStyle="1" w:styleId="16" w:type="character">
    <w:name w:val="批注框文本 Char"/>
    <w:link w:val="3"/>
    <w:qFormat/>
    <w:uiPriority w:val="0"/>
    <w:rPr>
      <w:rFonts w:ascii="宋体" w:cs="宋体" w:eastAsia="宋体" w:hAnsi="宋体"/>
      <w:sz w:val="18"/>
      <w:szCs w:val="18"/>
    </w:rPr>
  </w:style>
  <w:style w:customStyle="1" w:styleId="17" w:type="paragraph">
    <w:name w:val="普通(网站)1"/>
    <w:basedOn w:val="1"/>
    <w:qFormat/>
    <w:uiPriority w:val="0"/>
    <w:pPr>
      <w:spacing w:after="100" w:afterAutospacing="1" w:before="100" w:beforeAutospacing="1"/>
    </w:pPr>
  </w:style>
  <w:style w:customStyle="1" w:styleId="18" w:type="character">
    <w:name w:val="批注文字 Char"/>
    <w:basedOn w:val="11"/>
    <w:link w:val="2"/>
    <w:qFormat/>
    <w:uiPriority w:val="99"/>
    <w:rPr>
      <w:rFonts w:ascii="宋体" w:cs="宋体" w:hAnsi="宋体"/>
      <w:sz w:val="24"/>
      <w:szCs w:val="24"/>
    </w:rPr>
  </w:style>
  <w:style w:customStyle="1" w:styleId="19" w:type="character">
    <w:name w:val="批注主题 Char"/>
    <w:basedOn w:val="18"/>
    <w:link w:val="8"/>
    <w:semiHidden/>
    <w:qFormat/>
    <w:uiPriority w:val="0"/>
    <w:rPr>
      <w:rFonts w:ascii="宋体" w:cs="宋体" w:hAnsi="宋体"/>
      <w:b/>
      <w:bCs/>
      <w:sz w:val="24"/>
      <w:szCs w:val="24"/>
    </w:rPr>
  </w:style>
  <w:style w:styleId="20" w:type="paragraph">
    <w:name w:val="List Paragraph"/>
    <w:basedOn w:val="1"/>
    <w:qFormat/>
    <w:uiPriority w:val="34"/>
    <w:pPr>
      <w:ind w:firstLine="420" w:firstLineChars="200"/>
    </w:pPr>
  </w:style>
  <w:style w:customStyle="1" w:styleId="21" w:type="paragraph">
    <w:name w:val="修订1"/>
    <w:hidden/>
    <w:semiHidden/>
    <w:qFormat/>
    <w:uiPriority w:val="99"/>
    <w:rPr>
      <w:rFonts w:ascii="宋体" w:cs="宋体" w:eastAsia="宋体" w:hAnsi="宋体"/>
      <w:sz w:val="24"/>
      <w:szCs w:val="24"/>
      <w:lang w:bidi="ar-SA" w:eastAsia="zh-CN" w:val="en-US"/>
    </w:rPr>
  </w:style>
  <w:style w:customStyle="1" w:styleId="22" w:type="paragraph">
    <w:name w:val="修订2"/>
    <w:hidden/>
    <w:semiHidden/>
    <w:qFormat/>
    <w:uiPriority w:val="99"/>
    <w:rPr>
      <w:rFonts w:ascii="宋体" w:cs="宋体" w:eastAsia="宋体" w:hAnsi="宋体"/>
      <w:sz w:val="24"/>
      <w:szCs w:val="24"/>
      <w:lang w:bidi="ar-SA" w:eastAsia="zh-CN" w:val="en-US"/>
    </w:rPr>
  </w:style>
  <w:style w:customStyle="1" w:styleId="23" w:type="paragraph">
    <w:name w:val="Char Char"/>
    <w:basedOn w:val="1"/>
    <w:qFormat/>
    <w:uiPriority w:val="0"/>
    <w:pPr>
      <w:widowControl w:val="0"/>
      <w:jc w:val="both"/>
    </w:pPr>
    <w:rPr>
      <w:rFonts w:ascii="Times New Roman" w:cs="Times New Roman" w:hAnsi="Times New Roman"/>
      <w:kern w:val="2"/>
      <w:sz w:val="21"/>
      <w:szCs w:val="20"/>
    </w:rPr>
  </w:style>
  <w:style w:customStyle="1" w:styleId="24" w:type="paragraph">
    <w:name w:val="正文 New New New New New New New New New New New New New"/>
    <w:qFormat/>
    <w:uiPriority w:val="0"/>
    <w:pPr>
      <w:widowControl w:val="0"/>
      <w:jc w:val="both"/>
    </w:pPr>
    <w:rPr>
      <w:rFonts w:ascii="Times New Roman" w:cs="Times New Roman" w:eastAsia="仿宋_GB2312" w:hAnsi="Times New Roman"/>
      <w:kern w:val="2"/>
      <w:sz w:val="32"/>
      <w:szCs w:val="32"/>
      <w:lang w:bidi="ar-SA" w:eastAsia="zh-CN" w:val="en-US"/>
    </w:rPr>
  </w:style>
  <w:style w:customStyle="1" w:styleId="25" w:type="paragraph">
    <w:name w:val="正文 New New New New New New New New New New New"/>
    <w:qFormat/>
    <w:uiPriority w:val="0"/>
    <w:pPr>
      <w:autoSpaceDE w:val="0"/>
      <w:autoSpaceDN w:val="0"/>
      <w:adjustRightInd w:val="0"/>
    </w:pPr>
    <w:rPr>
      <w:rFonts w:ascii="宋体" w:cs="Times New Roman" w:eastAsia="宋体" w:hAnsi="Times New Roman"/>
      <w:lang w:bidi="ar-SA" w:eastAsia="zh-CN" w:val="en-US"/>
    </w:rPr>
  </w:style>
  <w:style w:customStyle="1" w:styleId="26" w:type="paragraph">
    <w:name w:val="修订3"/>
    <w:hidden/>
    <w:semiHidden/>
    <w:qFormat/>
    <w:uiPriority w:val="99"/>
    <w:rPr>
      <w:rFonts w:ascii="宋体" w:cs="宋体" w:eastAsia="宋体" w:hAnsi="宋体"/>
      <w:sz w:val="24"/>
      <w:szCs w:val="24"/>
      <w:lang w:bidi="ar-SA" w:eastAsia="zh-CN" w:val="en-US"/>
    </w:rPr>
  </w:style>
  <w:style w:customStyle="1" w:styleId="27" w:type="character">
    <w:name w:val="bjh-strong"/>
    <w:basedOn w:val="11"/>
    <w:qFormat/>
    <w:uiPriority w:val="0"/>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header1.xml" Type="http://schemas.openxmlformats.org/officeDocument/2006/relationships/header"/>
<Relationship Id="rId4" Target="footer1.xml" Type="http://schemas.openxmlformats.org/officeDocument/2006/relationships/footer"/>
<Relationship Id="rId5" Target="theme/theme1.xml" Type="http://schemas.openxmlformats.org/officeDocument/2006/relationships/theme"/>
<Relationship Id="rId6" Target="numbering.xml" Type="http://schemas.openxmlformats.org/officeDocument/2006/relationships/numbering"/>
<Relationship Id="rId7" Target="fontTable.xml" Type="http://schemas.openxmlformats.org/officeDocument/2006/relationships/fontTabl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citicbank</Company>
  <Pages>22</Pages>
  <Words>4237</Words>
  <Characters>24152</Characters>
  <Lines>201</Lines>
  <Paragraphs>56</Paragraphs>
  <TotalTime>0</TotalTime>
  <ScaleCrop>false</ScaleCrop>
  <LinksUpToDate>false</LinksUpToDate>
  <CharactersWithSpaces>28333</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2024-05-29T00:10:00Z</dcterms:created>
  <dc:creator>王晓明</dc:creator>
  <cp:lastModifiedBy>huangqikai</cp:lastModifiedBy>
  <cp:lastPrinted>2024-06-08T01:24:00Z</cp:lastPrinted>
  <dcterms:modified xsi:type="dcterms:W3CDTF">2026-09-07T01:58:17Z</dcterms:modified>
  <cp:revision>68</cp:revision>
  <dc:title>产品说明书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2052-12.8.2.20793</vt:lpwstr>
  </property>
  <property fmtid="{D5CDD505-2E9C-101B-9397-08002B2CF9AE}" name="ICV" pid="3">
    <vt:lpwstr>8BF2B1701AE2498E5DCE0F67A2B84A9C_43</vt:lpwstr>
  </property>
</Properties>
</file>