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苏银理财恒源封闭债权399期优选2年（中秋专享）</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产品登记编码：Z7003126000450</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苏银理财恒源封闭债权399期优选2年（中秋专享）</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Z7003126000450</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苏银理财恒源封闭债权399期优选2年（中秋专享）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sz w:val="20"/>
                <w:szCs w:val="20"/>
                <w:highlight w:val="none"/>
                <w:lang w:val="en-US" w:eastAsia="zh-CN"/>
              </w:rPr>
              <w:t>A份额：J29826（销售名称：苏银理财恒源封闭债权399期优选2年A（财富节专享））</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B份额：J29808（销售名称：苏银理财恒源封闭债权399期优选2年（中秋专享）B）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C份额：J29809（销售名称：苏银理财恒源封闭债权399期优选2年C（财富节专享））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D份额：J29810（销售名称：苏银理财恒源封闭债权399期优选2年（中秋专享）D）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E份额：J29811（销售名称：苏银理财恒源封闭债权399期优选2年E（财富节专享））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F份额：J29812（销售名称：苏银理财恒源封闭债权399期优选2年（中秋专享）F）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H份额：J29813（销售名称：苏银理财恒源封闭债权399期优选2年（中秋专享）H）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J份额：J29814（销售名称：苏银理财恒源封闭债权399期优选2年（中秋专享）J）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K份额：J29815（销售名称：苏银理财恒源封闭债权399期优选2年（中秋专享）K）</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L份额：J29816（销售名称：苏银理财恒源封闭债权399期优选2年（中秋专享）L）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N份额：J29817（销售名称：苏银理财恒源封闭债权399期优选2年（中秋专享）N）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P份额：J29818（销售名称：苏银理财恒源封闭债权399期优选2年（中秋专享）P）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JS份额：J29819（销售名称：苏银理财恒源封闭债权399期优选2年（中秋专享）JS鑫福款）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G份额：J29820（销售名称：苏银理财恒源封闭债权399期优选2年（中秋专享）G（童程筑梦））</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I份额：J29821（销售名称：苏银理财恒源封闭债权399期优选2年（中秋专享）I）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M份额：J29822（销售名称：苏银理财恒源封闭债权399期优选2年（中秋专享）M）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桂银优选份额：J29823（销售名称：苏银理财恒源封闭债权399期优选2年（中秋专享）桂银优选）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桂银臻选份额：J29824（销售名称：苏银理财恒源封闭债权399期优选2年（中秋专享）桂银臻选）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（4）甘肃银行股份有限公司：F份额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（5）广东华润银行股份有限公司：F份额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（6）广州农村商业银行股份有限公司：L份额、P份额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（7）杭州联合农村商业银行股份有限公司：J份额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（8）湖北银行股份有限公司：L份额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（9）湖州吴兴农村商业银行股份有限公司：J份额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（10）吉林银行股份有限公司：M份额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（11）嘉兴银行股份有限公司：F份额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（12）江门农村商业银行股份有限公司：P份额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（13）江苏宝应农村商业银行股份有限公司：JS份额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（14）江苏滨海农村商业银行股份有限公司：JS份额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（15）江苏常熟农村商业银行股份有限公司：E份额、L份额、JS份额、A份额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（22）江苏高淳农村商业银行股份有限公司：JS份额、A份额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（29）江苏姜堰农村商业银行股份有限公司：JS份额、A份额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（31）江苏江南农村商业银行股份有限公司：JS份额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（40）江苏射阳农村商业银行股份有限公司：JS份额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（41）江苏苏州农村商业银行股份有限公司：L份额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（43）江苏太仓农村商业银行股份有限公司：JS份额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（50）江苏宜兴农村商业银行股份有限公司：JS份额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（51）江苏银行股份有限公司：C份额、E份额、A份额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（61）晋商银行股份有限公司：F份额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（62）九江银行股份有限公司：L份额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（63）莱商银行股份有限公司：F份额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（66）宁波通商银行股份有限公司：D份额、E份额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（67）宁夏银行股份有限公司：F份额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（68）齐鲁银行股份有限公司：F份额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（69）秦皇岛银行股份有限公司：F份额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（70）青岛银行股份有限公司：F份额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（71）山西银行股份有限公司：P份额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（72）上海银行股份有限公司：B份额、F份额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（73）苏银理财有限责任公司：N份额、G份额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（74）威海银行股份有限公司：F份额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（75）武汉农村商业银行股份有限公司：M份额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（76）兴业银行股份有限公司：I份额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（78）浙江淳安农村商业银行股份有限公司：J份额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（79）浙江德清农村商业银行股份有限公司：J份额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（80）浙江海宁农村商业银行股份有限公司：K份额、N份额、G份额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（81）浙江海盐农村商业银行股份有限公司：K份额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（82）浙江杭州余杭农村商业银行股份有限公司：J份额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（83）浙江禾城农村商业银行股份有限公司：J份额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（84）浙江嘉善农村商业银行股份有限公司：J份额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（85）浙江江山农村商业银行股份有限公司：J份额、K份额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（86）浙江兰溪农村商业银行股份有限公司：J份额、K份额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（87）浙江乐清农村商业银行股份有限公司：J份额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（88）浙江龙游农村商业银行股份有限公司：K份额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（89）浙江平湖农村商业银行股份有限公司：J份额、K份额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（90）浙江浦江农村商业银行股份有限公司：K份额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（91）浙江青田农村商业银行股份有限公司：J份额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（92）浙江瑞安农村商业银行股份有限公司：N份额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（93）浙江上虞农村商业银行股份有限公司：J份额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（94）浙江绍兴恒信农村商业银行股份有限公司：K份额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（95）浙江绍兴瑞丰农村商业银行股份有限公司：J份额、K份额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（96）浙江松阳农村商业银行股份有限公司：J份额、N份额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（97）浙江台州黄岩农村商业银行股份有限公司：J份额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（98）浙江桐庐农村商业银行股份有限公司：J份额、K份额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（99）浙江桐乡农村商业银行股份有限公司：J份额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（100）浙江温岭农村商业银行股份有限公司：N份额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（101）浙江温州龙湾农村商业银行股份有限公司：J份额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（102）浙江温州鹿城农村商业银行股份有限公司：J份额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（103）浙江温州瓯海农村商业银行股份有限公司：J份额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（104）浙江文成农村商业银行股份有限公司：J份额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（105）浙江武义农村商业银行股份有限公司：K份额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（106）浙江萧山农村商业银行股份有限公司：J份额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（107）浙江新昌农村商业银行股份有限公司：K份额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（108）浙江永嘉农村商业银行股份有限公司：J份额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（109）浙江永康农村商业银行股份有限公司：J份额、K份额、N份额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（110）浙江舟山定海海洋农村商业银行股份有限公司：J份额、K份额、N份额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（111）浙江舟山普陀农村商业银行股份有限公司：J份额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（112）浙江岱山农村商业银行股份有限公司：J份额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（113）浙江衢州柯城农村商业银行股份有限公司：K份额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（114）郑州银行股份有限公司：I份额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（115）重庆农村商业银行股份有限公司：H份额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（116）徽商银行股份有限公司：B份额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（117）上海农村商业银行股份有限公司：L份额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（118）兰州银行股份有限公司：F份额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（119）桂林银行股份有限公司：桂银优选份额、桂银臻选份额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江苏银行股份有限公司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sz w:val="20"/>
                <w:szCs w:val="20"/>
                <w:highlight w:val="none"/>
                <w:lang w:val="en-US" w:eastAsia="zh-CN"/>
              </w:rPr>
              <w:t>A份额：个人、机构；</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个人、机构，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H份额：个人；</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桂银优选份额：个人、机构；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桂银臻选份额：个人、机构。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桂银臻选份额：100,000元。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w:t>
            </w:r>
            <w:bookmarkStart w:id="1" w:name="_GoBack"/>
            <w:bookmarkEnd w:id="1"/>
            <w:r>
              <w:rPr>
                <w:rFonts w:hint="eastAsia" w:ascii="楷体" w:hAnsi="楷体" w:eastAsia="楷体" w:cs="楷体"/>
                <w:bCs/>
                <w:color w:val="000000" w:themeColor="text1"/>
                <w:sz w:val="20"/>
                <w:szCs w:val="20"/>
                <w:highlight w:val="none"/>
                <w:lang w:val="en-US" w:eastAsia="zh-CN"/>
                <w14:textFill>
                  <w14:solidFill>
                    <w14:schemeClr w14:val="tx1"/>
                  </w14:solidFill>
                </w14:textFill>
              </w:rPr>
              <w:t>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桂银臻选份额：1元。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2028年10月25日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762</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sz w:val="20"/>
                <w:szCs w:val="20"/>
                <w:highlight w:val="none"/>
                <w:lang w:eastAsia="zh-CN"/>
              </w:rPr>
              <w:t>A份额：0.20%；</w:t>
            </w:r>
            <w:r>
              <w:rPr>
                <w:rFonts w:hint="eastAsia" w:ascii="楷体" w:hAnsi="楷体" w:eastAsia="楷体" w:cs="楷体"/>
                <w:bCs/>
                <w:color w:val="000000" w:themeColor="text1"/>
                <w:sz w:val="20"/>
                <w:szCs w:val="20"/>
                <w:highlight w:val="none"/>
                <w:lang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eastAsia="zh-CN"/>
                <w14:textFill>
                  <w14:solidFill>
                    <w14:schemeClr w14:val="tx1"/>
                  </w14:solidFill>
                </w14:textFill>
              </w:rPr>
              <w:t>B份额：0.20%；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E份额：0.20%；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F份额：0.20%；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H份额：0.35%；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K份额：0.20%；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L份额：0.30%；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N份额：0.05%；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P份额：0.30%；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I份额：0.25%；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M份额：0.20%；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桂银优选份额：0.35%；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桂银臻选份额：0.30%。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sz w:val="20"/>
                <w:szCs w:val="20"/>
                <w:highlight w:val="none"/>
                <w:lang w:val="en-US" w:eastAsia="zh-CN"/>
              </w:rPr>
              <w:t>A份额：0.10%；</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C份额：0.05%；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D份额：0.05%；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E份额：0.05%；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H份额：0.05%；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K份额：0.10%；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L份额：0.05%；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N份额：0.10%；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P份额：0.05%；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JS份额：0.10%；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G份额：0.10%；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I份额：0.05%；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M份额：0.05%；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桂银优选份额：0.05%；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桂银臻选份额：0.05%。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sz w:val="20"/>
                <w:szCs w:val="20"/>
                <w:highlight w:val="none"/>
                <w:u w:val="none"/>
                <w:lang w:val="en-US" w:eastAsia="zh-CN"/>
              </w:rPr>
              <w:t>A份额：以前一自然日资产净值为基数，每日计提模式；</w:t>
            </w: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br w:type="textWrapping"/>
            </w: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L份额：以前一自然日资产净值为基数，每日计提模式；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桂银优选份额：以前一自然日资产净值为基数，每日计提模式；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桂银臻选份额：以前一自然日资产净值为基数，每日计提模式。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lang w:val="en-US" w:eastAsia="zh-CN"/>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rPr>
                <w:rFonts w:hint="eastAsia"/>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当期的超额收益=理财产品份额×期初单位净值×（当期年化收益率-业绩比较基准下限）×计提比例×当期运作天数÷365。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A份额：2.60%-3.00%（年化）；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E份额：2.65%-3.05%（年化）；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F份额：2.65%-3.05%（年化）；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H份额：2.50%-2.90%（年化）；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K份额：2.60%-3.00%（年化）；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L份额：2.55%-2.95%（年化）；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N份额：2.75%-3.15%（年化）；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P份额：2.55%-2.95%（年化）；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JS份额：2.60%-3.00%（年化）；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G份额：2.75%-3.15%（年化）；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I份额：2.60%-3.00%（年化）；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M份额：2.65%-3.05%（年化）；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桂银优选份额：2.50%-2.90%（年化）；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桂银臻选份额：2.55%-2.95%（年化）。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运作、期限适配、收益增厚的投资理念，统筹平衡风险、流动性与收益三者关系，把握中长久期固收市场的投资机会，持续夯实组合收益水平。产品密切跟踪宏观经济走势、财政货币政策节奏、市场利率波动及信用环境变化，以中期利率走势和信用基本面为核心研判依据，动态优化组合资产配置结构。投资标的以高等级标准化固收资产为主，结合封闭期特征灵活运用久期配置、杠杆增厚、票息策略、持有到期及精细化仓位管理等多元化投资策略，在严控组合波动和信用风险的基础上，努力增厚组合投资收益，实现产品净值长期稳健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本产品托管人为江苏银行股份有限公司，地址为江苏省南京市中华路26号，联系电话为025-58588155。</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（1）机构全称：北京农村商业银行股份有限公司，地址为北京市西城区月坛南街1号院2号楼，联系电话为010-96198/400-889-6198；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（2）机构全称：东营银行股份有限公司，地址为山东省东营市东营区府前大街87-1号，联系电话为4006296588；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（3）机构全称：东莞农村商业银行股份有限公司，地址为广东省东莞市东城街道鸿福东路2号，联系电话为0769-961122；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（4）机构全称：甘肃银行股份有限公司，地址为甘肃省兰州市城关区东岗西路525-1号，联系电话为400-869-6666；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（5）机构全称：广东华润银行股份有限公司，地址为广东省珠海市高新区北城东三路88号1栋，联系电话为96588；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（6）机构全称：广州农村商业银行股份有限公司，地址为中国广州市黄埔区映日路9号，联系电话为95313；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（7）机构全称：杭州联合农村商业银行股份有限公司，地址为浙江省杭州市上城区建国中路99号，联系电话为0571-96596；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（8）机构全称：湖北银行股份有限公司，地址为湖北省武汉市武昌区水果湖街中北路86号汉街总部国际8栋，联系电话为400-85-96599；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（9）机构全称：湖州吴兴农村商业银行股份有限公司，地址为浙江省湖州市东街55号，联系电话为96596；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（10）机构全称：吉林银行股份有限公司，地址为吉林省长春市南关区人民大街10666号，联系电话为400-889-6666；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（11）机构全称：嘉兴银行股份有限公司，地址为浙江省嘉兴市昌盛南路1001号，联系电话为0573-96528；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（12）机构全称：江门农村商业银行股份有限公司，地址为江门市新会区会城启超大道68号，联系电话为0750-96138；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（13）机构全称：江苏宝应农村商业银行股份有限公司，地址为江苏省宝应县文津路1号，联系电话为96008；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（14）机构全称：江苏滨海农村商业银行股份有限公司，地址为滨海县城迎宾中路1号，联系电话为96008；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（15）机构全称：江苏常熟农村商业银行股份有限公司，地址为江苏省常熟市新世纪大道58号，联系电话为956020；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（16）机构全称：江苏大丰农村商业银行股份有限公司，地址为江苏省盐城市大丰区常新中路9号，联系电话为96008；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（17）机构全称：江苏东海农村商业银行股份有限公司，地址为连云港市东海县牛山镇海陵东路8号，联系电话为96008；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（18）机构全称：江苏东台农村商业银行股份有限公司，地址为江苏省东台市东城大道10号，联系电话为96008；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（19）机构全称：江苏丰县农村商业银行股份有限公司，地址为江苏省丰县人民中路9号，联系电话为96008；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（20）机构全称：江苏阜宁农村商业银行股份有限公司，地址为江苏省阜宁县城南新区上海路459号，联系电话为96008；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（21）机构全称：江苏赣榆农村商业银行股份有限公司，地址为连云港市赣榆区黄海东路304号，联系电话为96008；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（22）机构全称：江苏高淳农村商业银行股份有限公司，地址为江苏省南京市高淳区淳溪镇宝塔路123号，联系电话为96008；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（23）机构全称：江苏高邮农村商业银行股份有限公司，地址为高邮市文游中路28号，联系电话为96008；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（24）机构全称：江苏灌南农村商业银行股份有限公司，地址为江苏省连云港市灌南县人民路29号，联系电话为96008；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（25）机构全称：江苏灌云农村商业银行股份有限公司，地址为江苏省灌云县伊山镇水利路东侧(人民路与水利路交汇处)，联系电话为96008；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（26）机构全称：江苏海安农村商业银行股份有限公司，地址为江苏省海安市长江中路88号(东楼)，联系电话为96008；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（27）机构全称：江苏海门农村商业银行股份有限公司，地址为江苏省南通市海门区解放中路137号，联系电话为96008；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（28）机构全称：江苏建湖农村商业银行股份有限公司，地址为江苏省建湖县湖中南路958号，联系电话为96008；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（29）机构全称：江苏姜堰农村商业银行股份有限公司，地址为泰州市姜堰区姜堰大道128号，联系电话为96008；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（30）机构全称：江苏江都农村商业银行股份有限公司，地址为扬州市江都区龙城路21号，联系电话为96008；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（31）机构全称：江苏江南农村商业银行股份有限公司，地址为江苏省常州市武进区延政中路9号，联系电话为0519-96005；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（32）机构全称：江苏金湖农村商业银行股份有限公司，地址为江苏省金湖县黎城街道神华大道299号，联系电话为96008；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（33）机构全称：江苏靖江农村商业银行股份有限公司，地址为江苏省靖江市南环西路12号，联系电话为96008；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（34）机构全称：江苏句容农村商业银行股份有限公司，地址为江苏省句容市福地东路66号，联系电话为96008；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（35）机构全称：江苏民丰农村商业银行股份有限公司，地址为江苏省宿迁市宿城区高宝湖路1号，联系电话为96008；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（36）机构全称：江苏沛县农村商业银行股份有限公司，地址为江苏省沛县汤沐路中段11号，联系电话为96008；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（37）机构全称：江苏启东农村商业银行股份有限公司，地址为江苏省启东市汇龙镇金沙江路1688号，联系电话为96008；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（38）机构全称：江苏如东农村商业银行股份有限公司，地址为江苏省如东县掘港镇钟山路66号，联系电话为96008；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（39）机构全称：江苏如皋农村商业银行股份有限公司，地址为江苏省南通市如皋市如城街道海阳南路999号，联系电话为96008；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（40）机构全称：江苏射阳农村商业银行股份有限公司，地址为射阳县合德镇解放路385号，联系电话为96008；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（41）机构全称：江苏苏州农村商业银行股份有限公司，地址为江苏省苏州市吴江区中山南路1777号，联系电话为956111；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（42）机构全称：江苏泰兴农村商业银行股份有限公司，地址为泰兴市济川街道国庆东路166号，联系电话为96008；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（43）机构全称：江苏太仓农村商业银行股份有限公司，地址为太仓市娄东街道上海东路198号，联系电话为40018-40060；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（44）机构全称：江苏响水农村商业银行股份有限公司，地址为江苏省响水县双园东路北侧，联系电话为96008；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（45）机构全称：江苏新沂农村商业银行股份有限公司，地址为江苏省新沂市钟吾路163号，联系电话为96008；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（46）机构全称：江苏盐城农村商业银行股份有限公司，地址为盐城市盐南高新区新都西路8号，联系电话为0515-88880000；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（47）机构全称：江苏扬中农村商业银行股份有限公司，地址为扬中市扬子西路79号，联系电话为96008；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（48）机构全称：江苏扬州农村商业银行股份有限公司，地址为江苏省扬州市同泰路107号，联系电话为96008；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（49）机构全称：江苏仪征农村商业银行股份有限公司，地址为江苏省仪征市真州镇解放东路818号金融集聚区1座801-811，901-911，1001-1011，2座101，联系电话为96008；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（50）机构全称：江苏宜兴农村商业银行股份有限公司，地址为江苏省宜兴市宜城街道解放东路579号，联系电话为96008；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（51）机构全称：江苏银行股份有限公司，地址为江苏省南京市中华路26号，联系电话为95319；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（52）机构全称：江苏张家港农村商业银行股份有限公司，地址为江苏省苏州市张家港市杨舍镇人民中路66号，联系电话为96065；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（53）机构全称：江苏镇江农村商业银行股份有限公司，地址为江苏省镇江市润州区长江路97号，联系电话为96008；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（54）机构全称：江苏紫金农村商业银行股份有限公司，地址为江苏省南京市建邺区江东中路381号，联系电话为96008；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（55）机构全称：江苏邳州农村商业银行股份有限公司，地址为江苏省邳州市建设中路16号，联系电话为96008；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（56）机构全称：江苏沭阳农村商业银行股份有限公司，地址为江苏省沭阳县沭城镇苏州东路与台州南路交汇处，联系电话为96008；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（57）机构全称：江苏泗洪农村商业银行股份有限公司，地址为江苏省宿迁市泗洪县长江东路17号，联系电话为96008；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（58）机构全称：江苏泗阳农村商业银行股份有限公司，地址为宿迁市泗阳县众兴镇北京中路21号，联系电话为96008；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（59）机构全称：江苏溧水农村商业银行股份有限公司，地址为江苏省南京市溧水县永阳镇中山路22号，联系电话为96008；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（60）机构全称：江苏睢宁农村商业银行股份有限公司，地址为江苏省睢宁县元府东街99号，联系电话为96008；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（61）机构全称：晋商银行股份有限公司，地址为山西省太原市小店区长风街59号，联系电话为9510-5588；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（62）机构全称：九江银行股份有限公司，地址为江西省九江市濂溪区长虹大道619号，联系电话为95316；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（63）机构全称：莱商银行股份有限公司，地址为山东省济南市历下区洪山路1号，联系电话为40066-96629；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（64）机构全称：连云港东方农村商业银行股份有限公司，地址为江苏省连云港市海州区郁洲南路10号，联系电话为96008；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（65）机构全称：宁波东海银行股份有限公司，地址为浙江省宁波高新区新晖南路113-127号（单号），扬帆路515号2-10层，高新宝龙商业广场13-19号、22号、29号，联系电话为400-8866-345；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（66）机构全称：宁波通商银行股份有限公司，地址为浙江省宁波市鄞州区民安东路337号，联系电话为400-916-6666；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（67）机构全称：宁夏银行股份有限公司，地址为宁夏回族自治区银川市金凤区北京中路157号，联系电话为400-809-6558/0951-96558；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（68）机构全称：齐鲁银行股份有限公司，地址为山东省济南市历下区经十路10817号，联系电话为400-609-6588；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（69）机构全称：秦皇岛银行股份有限公司，地址为河北省秦皇岛市海港区河北大街西段560号，联系电话为0335-96336/400-105-7366；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（70）机构全称：青岛银行股份有限公司，地址为山东省青岛市崂山区秦岭路6号3号楼，联系电话为96588/400-665-7058；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（71）机构全称：山西银行股份有限公司，地址为山西转型综合改革示范区学府产业园高新街15号，联系电话为0351-96588；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（72）机构全称：上海银行股份有限公司，地址为上海市黄浦区中山南路688号，联系电话为95594；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（73）机构全称：苏银理财有限责任公司，地址为南京市建邺区江山大街70号国际博览中心三期B幢11-13层，联系电话为95319-8-2；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（74）机构全称：威海银行股份有限公司，地址为山东省威海市青岛北路137A号，联系电话为400-009-6636/0631-96636；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（75）机构全称：武汉农村商业银行股份有限公司，地址为武汉市江岸区建设大道618号，联系电话为95367；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（76）机构全称：兴业银行股份有限公司，地址为中国福建省福州市台江区江滨中大道398号兴业银行大厦，联系电话为95561；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（77）机构全称：徐州农村商业银行股份有限公司，地址为徐州市铜山区北京南路26号，联系电话为96008；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（78）机构全称：浙江淳安农村商业银行股份有限公司，地址为浙江省杭州市淳安县千岛湖镇阳光路960号，联系电话为96596；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（79）机构全称：浙江德清农村商业银行股份有限公司，地址为浙江省德清县武康街道沈长圩街50号，联系电话为96596；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（80）机构全称：浙江海宁农村商业银行股份有限公司，地址为浙江省海宁市海洲街道钱江西路278号，联系电话为96596；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（81）机构全称：浙江海盐农村商业银行股份有限公司，地址为浙江省嘉兴市海盐县武原街道盐北东路1177号，联系电话为96596；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（82）机构全称：浙江杭州余杭农村商业银行股份有限公司，地址为浙江省杭州市临平区南苑街道南大街72号，联系电话为96596；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（83）机构全称：浙江禾城农村商业银行股份有限公司，地址为浙江省嘉兴市经济技术开发区文昌路1229号，联系电话为96596；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（84）机构全称：浙江嘉善农村商业银行股份有限公司，地址为浙江省嘉兴市嘉善县罗星街道车站南路999号，联系电话为96596；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（85）机构全称：浙江江山农村商业银行股份有限公司，地址为浙江省衢州市江山市双塔街道江滨路188号，联系电话为96596；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（86）机构全称：浙江兰溪农村商业银行股份有限公司，地址为浙江省兰溪市兰江街道丹溪大道18号，联系电话为96596；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（87）机构全称：浙江乐清农村商业银行股份有限公司，地址为浙江省乐清市城南街道伯乐西路99号，联系电话为96596；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（88）机构全称：浙江龙游农村商业银行股份有限公司，地址为浙江省衢州市龙游县龙洲街道荣昌大道683、685、687号，联系电话为96596；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（89）机构全称：浙江平湖农村商业银行股份有限公司，地址为浙江省平湖市当湖街道胜利路518号，联系电话为96596；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（90）机构全称：浙江浦江农村商业银行股份有限公司，地址为浙江省浦江县人民东路90号，联系电话为96596；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（91）机构全称：浙江青田农村商业银行股份有限公司，地址为浙江省青田县鹤城街道鹤城东路180号，联系电话为96596；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（92）机构全称：浙江瑞安农村商业银行股份有限公司，地址为浙江省温州市瑞安市莘塍街道万松东路1700-1708、1718号，联系电话为96596；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（93）机构全称：浙江上虞农村商业银行股份有限公司，地址为浙江省绍兴市上虞区百官街道德盛路55号，联系电话为96596；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（94）机构全称：浙江绍兴恒信农村商业银行股份有限公司，地址为浙江省绍兴市中兴中路159号，联系电话为96596；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（95）机构全称：浙江绍兴瑞丰农村商业银行股份有限公司，地址为浙江省绍兴市柯桥区柯桥笛扬路1363号，联系电话为96596；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（96）机构全称：浙江松阳农村商业银行股份有限公司，地址为浙江省丽水市松阳县水南街道要津南路71号，联系电话为96596；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（97）机构全称：浙江台州黄岩农村商业银行股份有限公司，地址为浙江省台州市黄岩区洞天路88号，联系电话为96596；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（98）机构全称：浙江桐庐农村商业银行股份有限公司，地址为浙江省杭州市桐庐县桐君街道迎春南路278号，联系电话为96596；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（99）机构全称：浙江桐乡农村商业银行股份有限公司，地址为浙江省梧桐街道校场东路59号，联系电话为96596；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（100）机构全称：浙江温岭农村商业银行股份有限公司，地址为浙江省台州市温岭市城东街道下保路100号，联系电话为96596；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（101）机构全称：浙江温州龙湾农村商业银行股份有限公司，地址为浙江省温州市龙湾区永中街道永宁西路555号，联系电话为96596；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（102）机构全称：浙江温州鹿城农村商业银行股份有限公司，地址为浙江省温州市鹿城区会展路1500号富银大厦，联系电话为96596；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（103）机构全称：浙江温州瓯海农村商业银行股份有限公司，地址为浙江省温州市瓯海区瓯海大道989号，联系电话为96596；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（104）机构全称：浙江文成农村商业银行股份有限公司，地址为浙江省温州市文成县大峃镇体育场路509-520号，联系电话为96596；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（105）机构全称：浙江武义农村商业银行股份有限公司，地址为浙江省武义县武阳中路37号，联系电话为96596；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（106）机构全称：浙江萧山农村商业银行股份有限公司，地址为浙江省杭州市萧山区盈丰街道鸿宁路2288号，联系电话为96596；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（107）机构全称：浙江新昌农村商业银行股份有限公司，地址为浙江省新昌县七星街道七星路18号，联系电话为96596；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（108）机构全称：浙江永嘉农村商业银行股份有限公司，地址为浙江省温州市永嘉县瓯北街道阳光大道3918号，联系电话为96596；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（109）机构全称：浙江永康农村商业银行股份有限公司，地址为浙江省金华市永康市九铃东路3259号，联系电话为96596；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（110）机构全称：浙江舟山定海海洋农村商业银行股份有限公司，地址为浙江省舟山市定海区环城东路81号，联系电话为96596；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（111）机构全称：浙江舟山普陀农村商业银行股份有限公司，地址为浙江省舟山市普陀区东港街道麒麟街225号(自贸试验区内)，联系电话为96596；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（112）机构全称：浙江岱山农村商业银行股份有限公司，地址为浙江省舟山市岱山县高亭镇衢山大道1009号(自主申报)，联系电话为96596；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（113）机构全称：浙江衢州柯城农村商业银行股份有限公司，地址为浙江省衢州市柯城区上街92号，联系电话为96596；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（114）机构全称：郑州银行股份有限公司，地址为河南省郑州市郑东新区商务外环路22号，联系电话为95097；</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（115）机构全称：重庆农村商业银行股份有限公司，地址为重庆市两江新区金沙门路36号，联系电话为95389；</w:t>
      </w:r>
      <w:r>
        <w:rPr>
          <w:rFonts w:hint="eastAsia" w:ascii="楷体" w:hAnsi="楷体" w:eastAsia="楷体" w:cs="楷体"/>
          <w:b w:val="0"/>
          <w:bCs w:val="0"/>
          <w:sz w:val="21"/>
          <w:szCs w:val="21"/>
          <w:highlight w:val="none"/>
          <w:u w:val="none"/>
          <w:lang w:val="en-US" w:eastAsia="zh-CN"/>
        </w:rPr>
        <w:br w:type="textWrapping"/>
      </w:r>
      <w:r>
        <w:rPr>
          <w:rFonts w:hint="eastAsia" w:ascii="楷体" w:hAnsi="楷体" w:eastAsia="楷体" w:cs="楷体"/>
          <w:b w:val="0"/>
          <w:bCs w:val="0"/>
          <w:sz w:val="21"/>
          <w:szCs w:val="21"/>
          <w:highlight w:val="none"/>
          <w:u w:val="none"/>
          <w:lang w:val="en-US" w:eastAsia="zh-CN"/>
        </w:rPr>
        <w:tab/>
      </w:r>
      <w:r>
        <w:rPr>
          <w:rFonts w:hint="eastAsia" w:ascii="楷体" w:hAnsi="楷体" w:eastAsia="楷体" w:cs="楷体"/>
          <w:b w:val="0"/>
          <w:bCs w:val="0"/>
          <w:sz w:val="21"/>
          <w:szCs w:val="21"/>
          <w:highlight w:val="none"/>
          <w:u w:val="none"/>
          <w:lang w:val="en-US" w:eastAsia="zh-CN"/>
        </w:rPr>
        <w:t>（116）机构全称：徽商银行股份有限公司，地址为安徽省合肥市云谷路1699号徽银大厦，联系电话为400-889-6588；</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（117）机构全称：上海农村商业银行股份有限公司，地址为上海市黄浦区中山东二路70号，联系电话为962999/400-696-2999；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（118）机构全称：兰州银行股份有限公司，地址为甘肃省兰州市城关区酒泉路211号，联系电话为400-88-96799；</w:t>
      </w:r>
      <w:r>
        <w:rPr>
          <w:rFonts w:hint="eastAsia" w:ascii="楷体" w:hAnsi="楷体" w:eastAsia="楷体" w:cs="楷体"/>
          <w:b w:val="0"/>
          <w:bCs w:val="0"/>
          <w:sz w:val="21"/>
          <w:szCs w:val="21"/>
          <w:highlight w:val="none"/>
          <w:u w:val="none"/>
          <w:lang w:val="en-US" w:eastAsia="zh-CN"/>
        </w:rPr>
        <w:br w:type="textWrapping"/>
      </w:r>
      <w:r>
        <w:rPr>
          <w:rFonts w:hint="eastAsia" w:ascii="楷体" w:hAnsi="楷体" w:eastAsia="楷体" w:cs="楷体"/>
          <w:b w:val="0"/>
          <w:bCs w:val="0"/>
          <w:sz w:val="21"/>
          <w:szCs w:val="21"/>
          <w:highlight w:val="none"/>
          <w:u w:val="none"/>
          <w:lang w:val="en-US" w:eastAsia="zh-CN"/>
        </w:rPr>
        <w:tab/>
      </w:r>
      <w:r>
        <w:rPr>
          <w:rFonts w:hint="eastAsia" w:ascii="楷体" w:hAnsi="楷体" w:eastAsia="楷体" w:cs="楷体"/>
          <w:b w:val="0"/>
          <w:bCs w:val="0"/>
          <w:sz w:val="21"/>
          <w:szCs w:val="21"/>
          <w:highlight w:val="none"/>
          <w:u w:val="none"/>
          <w:lang w:val="en-US" w:eastAsia="zh-CN"/>
        </w:rPr>
        <w:t>（119）机构全称：桂林银行股份有限公司，地址为桂林市临桂区公园北路8号，联系电话为400-86-96299。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 xml:space="preserve">（1）收益凭证：融资人为财通证券股份有限公司。融资人经营正常，是依法设立的持牌金融机构，主要股东为浙江省创新投资集团有限公司、浙江省财开集团有限公司、台州市金融投资集团有限公司，实际控制人为浙江省财政厅。 （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（5）收益凭证：融资人为东海证券股份有限公司。融资人经营正常，是依法设立的持牌金融机构，主要股东为常州投资集团有限公司、山东金控资本管理有限公司，实际控制人为常州投资集团有限公司。 （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9）收益凭证：融资人为广发证券股份有限公司。融资人经营正常，是依法设立的持牌金融机构，主要股东为香港中央结算（代理人）有限公司、吉林敖东药业集团股份有限公司、辽宁成大股份有限公司，无实际控制人。 （10）收益凭证：融资人为国都证券股份有限公司。融资人经营正常，是依法设立的持牌金融机构，主要股东为浙商证券股份有限公司、中诚信托有限责任公司、北京国际信托有限公司，实际控制人为浙江省交通投资集团有限公司。 （11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12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（13）收益凭证：融资人为国投证券股份有限公司。融资人经营正常，是依法设立的国有公司，主要股东为国投资本股份有限公司、上海毅胜投资有限公司，实际控制人为国家开发投资集团有限公司。 （14）收益凭证：融资人为华泰证券股份有限公司。融资人经营正常，是依法设立的国有公司，主要股东为江苏省国信集团有限公司、香港中央结算（代理人）有限公司、江苏交通控股有限公司，无实际控制人。 （15）收益凭证：融资人为华鑫证券有限责任公司。融资人经营正常，是依法设立的持牌金融机构，主要股东为上海华鑫股份有限公司，实际控制人为上海市国有资产监督管理委员会。 （16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17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18）收益凭证：融资人为山西证券股份有限公司。融资人经营正常，是依法设立的持牌金融机构，主要股东为山西金融投资控股集团有限公司、太原钢铁（集团）有限公司、山西国际电力集团有限公司，实际控制人为山西省财政厅。 （19）收益凭证：融资人为申万宏源证券有限公司。融资人经营正常，是依法设立的国有公司，主要股东为申万宏源集团股份有限公司，实际控制人为中央汇金投资有限责任公司。 （20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21）收益凭证：融资人为兴业证券股份有限公司。融资人经营正常，是依法设立的持牌金融机构，主要股东为福建省财政厅、福建省投资开发集团有限责任公司、上海申新（集团）有限公司，实际控制人为福建省财政厅。 （22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23）收益凭证：融资人为浙商证券股份有限公司。融资人经营正常，是依法设立的国有公司，主要股东为浙江上三高速公路有限公司、台州市金融投资集团有限公司，实际控制人为浙江省交通投资集团有限公司。 （24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25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（26）收益凭证：融资人为中国中金财富证券有限公司。融资人经营正常，是依法设立的持牌金融机构，主要股东为中国国际金融股份有限公司，实际控制人为中央汇金投资有限责任公司。 （27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28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29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30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31）同业借款：融资人为中国东方资产管理股份有限公司。融资人经营正常，是依法成立的国有公司，主要股东为中央汇金投资有限责任公司、全国社会保障基金理事会、中国电信集团有限公司，实际控制人为国务院。 （32）同业借款：融资人为中国信达资产管理股份有限公司。融资人经营正常，是依法成立的国有公司，主要股东为中央汇金投资有限责任公司，实际控制人为国务院。 （33）同业借款：融资人为中国中信金融资产管理股份有限公司。融资人经营正常，是依法成立的国有公司，主要股东为中国中信集团有限公司、财政局、中国融信私募基金有限公司，实际控制人为财政部。 </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79"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77"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80"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0053208E"/>
    <w:multiLevelType w:val="multilevel"/>
    <w:tmpl w:val="0053208E"/>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6">
    <w:nsid w:val="0248C179"/>
    <w:multiLevelType w:val="multilevel"/>
    <w:tmpl w:val="0248C17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3D62ECE"/>
    <w:multiLevelType w:val="multilevel"/>
    <w:tmpl w:val="03D62ECE"/>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8">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9ADCABA"/>
    <w:multiLevelType w:val="multilevel"/>
    <w:tmpl w:val="59ADCABA"/>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241D34"/>
    <w:multiLevelType w:val="multilevel"/>
    <w:tmpl w:val="5A241D3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6339FB"/>
    <w:rsid w:val="1C416EC0"/>
    <w:rsid w:val="27136BD0"/>
    <w:rsid w:val="48B21DB2"/>
    <w:rsid w:val="4B690AEC"/>
    <w:rsid w:val="4C7A2B59"/>
    <w:rsid w:val="5CBE3CE5"/>
    <w:rsid w:val="6F101EED"/>
    <w:rsid w:val="72C152A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5">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6"/>
    <w:qFormat/>
    <w:uiPriority w:val="1"/>
    <w:pPr>
      <w:spacing w:before="34"/>
      <w:ind w:left="120"/>
      <w:jc w:val="left"/>
      <w:outlineLvl w:val="2"/>
    </w:pPr>
    <w:rPr>
      <w:rFonts w:ascii="宋体"/>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213"/>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semiHidden/>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5">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30"/>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4"/>
    <w:qFormat/>
    <w:uiPriority w:val="1"/>
    <w:rPr>
      <w:rFonts w:ascii="黑体" w:hAnsi="Times New Roman" w:eastAsia="黑体" w:cs="黑体"/>
      <w:b/>
      <w:bCs/>
      <w:sz w:val="36"/>
      <w:szCs w:val="36"/>
    </w:rPr>
  </w:style>
  <w:style w:type="character" w:customStyle="1" w:styleId="205">
    <w:name w:val="标题 2 字符1"/>
    <w:link w:val="5"/>
    <w:qFormat/>
    <w:uiPriority w:val="9"/>
    <w:rPr>
      <w:rFonts w:ascii="Cambria" w:hAnsi="Cambria" w:eastAsia="宋体" w:cs="Times New Roman"/>
      <w:b/>
      <w:bCs/>
      <w:sz w:val="32"/>
      <w:szCs w:val="32"/>
    </w:rPr>
  </w:style>
  <w:style w:type="character" w:customStyle="1" w:styleId="206">
    <w:name w:val="标题 3 字符1"/>
    <w:link w:val="6"/>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30"/>
    <w:semiHidden/>
    <w:qFormat/>
    <w:uiPriority w:val="99"/>
    <w:rPr>
      <w:rFonts w:ascii="Times New Roman" w:hAnsi="Times New Roman" w:eastAsia="宋体" w:cs="Times New Roman"/>
    </w:rPr>
  </w:style>
  <w:style w:type="character" w:customStyle="1" w:styleId="210">
    <w:name w:val="批注框文本 字符1"/>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link w:val="27"/>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dcterms:modified xsi:type="dcterms:W3CDTF">2026-09-09T03:39:53Z</dcterms:modified>
  <cp:revision>62</cp:revision>
</cp:coreProperties>
</file>

<file path=customXml/item3.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Office_11.8.2.11734_F1E327BC-269C-435d-A152-05C5408002CA</Application>
  <DocSecurity>0</DocSecuri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6203cb-0452-4e32-a241-c094e28d8931}">
  <ds:schemaRefs/>
</ds:datastoreItem>
</file>

<file path=customXml/itemProps3.xml><?xml version="1.0" encoding="utf-8"?>
<ds:datastoreItem xmlns:ds="http://schemas.openxmlformats.org/officeDocument/2006/customXml" ds:itemID="{7625d8c0-4241-4c0e-ae33-2a8fd6a9a9ec}">
  <ds:schemaRefs/>
</ds:datastoreItem>
</file>

<file path=customXml/itemProps4.xml><?xml version="1.0" encoding="utf-8"?>
<ds:datastoreItem xmlns:ds="http://schemas.openxmlformats.org/officeDocument/2006/customXml" ds:itemID="{7ff09d9f-ff7e-470d-9866-93ad308b45b2}">
  <ds:schemaRefs/>
</ds:datastoreItem>
</file>

<file path=docProps/app.xml><?xml version="1.0" encoding="utf-8"?>
<Properties xmlns="http://schemas.openxmlformats.org/officeDocument/2006/extended-properties" xmlns:vt="http://schemas.openxmlformats.org/officeDocument/2006/docPropsVTypes">
  <Template>Normal</Template>
  <Pages>26</Pages>
  <Words>31539</Words>
  <Characters>33774</Characters>
  <TotalTime>1</TotalTime>
  <ScaleCrop>false</ScaleCrop>
  <LinksUpToDate>false</LinksUpToDate>
  <CharactersWithSpaces>33811</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dcterms:modified xsi:type="dcterms:W3CDTF">2026-09-11T08:29:08Z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