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苏银理财恒源封闭债权399期优选2年（中秋专享）</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12"/>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银理财有限责任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1.非标准化债权的特殊风险：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2.股票投资的特殊风险：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3.黄金、黄金主题股票、黄金ETF基金等黄金类资产的特殊风险：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4.结构性存款的特殊风险：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5.债券投资的特殊风险：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6.资产管理计划或基金产品的特殊风险：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762天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12"/>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12"/>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苏银理财恒源封闭债权399期优选2年（中秋专享）</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12"/>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产品登记编码：Z7003126000450</w:t>
      </w:r>
    </w:p>
    <w:p>
      <w:pPr>
        <w:pStyle w:val="15"/>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苏银理财恒源封闭债权399期优选2年（中秋专享）</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Z7003126000450</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苏银理财恒源封闭债权399期优选2年（中秋专享）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sz w:val="20"/>
                <w:szCs w:val="20"/>
                <w:highlight w:val="none"/>
                <w:lang w:val="en-US" w:eastAsia="zh-CN"/>
              </w:rPr>
              <w:t>A份额：J29826（销售名称：苏银理财恒源封闭债权399期优选2年A（财富节专享））</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B份额：J29808（销售名称：苏银理财恒源封闭债权399期优选2年（中秋专享）B）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C份额：J29809（销售名称：苏银理财恒源封闭债权399期优选2年C（财富节专享））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D份额：J29810（销售名称：苏银理财恒源封闭债权399期优选2年（中秋专享）D）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E份额：J29811（销售名称：苏银理财恒源封闭债权399期优选2年E（财富节专享））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F份额：J29812（销售名称：苏银理财恒源封闭债权399期优选2年（中秋专享）F）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H份额：J29813（销售名称：苏银理财恒源封闭债权399期优选2年（中秋专享）H）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J份额：J29814（销售名称：苏银理财恒源封闭债权399期优选2年（中秋专享）J）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K份额：J29815（销售名称：苏银理财恒源封闭债权399期优选2年（中秋专享）K）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L份额：J29816（销售名称：苏银理财恒源封闭债权399期优选2年（中秋专享）L）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N份额：J29817（销售名称：苏银理财恒源封闭债权399期优选2年（中秋专享）N）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P份额：J29818（销售名称：苏银理财恒源封闭债权399期优选2年（中秋专享）P）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JS份额：J29819（销售名称：苏银理财恒源封闭债权399期优选2年（中秋专享）JS鑫福款）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G份额：J29820（销售名称：苏银理财恒源封闭债权399期优选2年（中秋专享）G（童程筑梦））</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I份额：J29821（销售名称：苏银理财恒源封闭债权399期优选2年（中秋专享）I）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M份额：J29822（销售名称：苏银理财恒源封闭债权399期优选2年（中秋专享）M）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桂银优选份额：J29823（销售名称：苏银理财恒源封闭债权399期优选2年（中秋专享）桂银优选）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桂银臻选份额：J29824（销售名称：苏银理财恒源封闭债权399期优选2年（中秋专享）桂银臻选）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（4）甘肃银行股份有限公司：F份额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（5）广东华润银行股份有限公司：F份额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（6）广州农村商业银行股份有限公司：L份额、P份额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（7）杭州联合农村商业银行股份有限公司：J份额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（8）湖北银行股份有限公司：L份额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（9）湖州吴兴农村商业银行股份有限公司：J份额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（10）吉林银行股份有限公司：M份额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（11）嘉兴银行股份有限公司：F份额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（12）江门农村商业银行股份有限公司：P份额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（13）江苏宝应农村商业银行股份有限公司：JS份额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（14）江苏滨海农村商业银行股份有限公司：JS份额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（15）江苏常熟农村商业银行股份有限公司：E份额、L份额、JS份额、A份额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（22）江苏高淳农村商业银行股份有限公司：JS份额、A份额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（29）江苏姜堰农村商业银行股份有限公司：JS份额、A份额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（31）江苏江南农村商业银行股份有限公司：JS份额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（40）江苏射阳农村商业银行股份有限公司：JS份额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（41）江苏苏州农村商业银行股份有限公司：L份额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（50）江苏宜兴农村商业银行股份有限公司：JS份额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（51）江苏银行股份有限公司：C份额、E份额、A份额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（61）晋商银行股份有限公司：F份额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（62）九江银行股份有限公司：L份额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（63）莱商银行股份有限公司：F份额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（66）宁波通商银行股份有限公司：D份额、E份额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（68）齐鲁银行股份有限公司：F份额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（69）秦皇岛银行股份有限公司：F份额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（70）青岛银行股份有限公司：F份额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（71）山西银行股份有限公司：P份额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（72）上海银行股份有限公司：B份额、F份额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（73）苏银理财有限责任公司：N份额、G份额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（74）威海银行股份有限公司：F份额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（75）武汉农村商业银行股份有限公司：M份额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（76）兴业银行股份有限公司：I份额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（78）浙江淳安农村商业银行股份有限公司：J份额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（79）浙江德清农村商业银行股份有限公司：J份额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（80）浙江海宁农村商业银行股份有限公司：K份额、N份额、G份额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（81）浙江海盐农村商业银行股份有限公司：K份额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（82）浙江杭州余杭农村商业银行股份有限公司：J份额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（83）浙江禾城农村商业银行股份有限公司：J份额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（84）浙江嘉善农村商业银行股份有限公司：J份额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（85）浙江江山农村商业银行股份有限公司：J份额、K份额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（86）浙江兰溪农村商业银行股份有限公司：J份额、K份额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（87）浙江乐清农村商业银行股份有限公司：J份额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（88）浙江龙游农村商业银行股份有限公司：K份额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（89）浙江平湖农村商业银行股份有限公司：J份额、K份额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（90）浙江浦江农村商业银行股份有限公司：K份额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（91）浙江青田农村商业银行股份有限公司：J份额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（92）浙江瑞安农村商业银行股份有限公司：N份额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（93）浙江上虞农村商业银行股份有限公司：J份额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（94）浙江绍兴恒信农村商业银行股份有限公司：K份额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（95）浙江绍兴瑞丰农村商业银行股份有限公司：J份额、K份额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（96）浙江松阳农村商业银行股份有限公司：J份额、N份额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（97）浙江台州黄岩农村商业银行股份有限公司：J份额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（98）浙江桐庐农村商业银行股份有限公司：J份额、K份额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（99）浙江桐乡农村商业银行股份有限公司：J份额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（100）浙江温岭农村商业银行股份有限公司：N份额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（101）浙江温州龙湾农村商业银行股份有限公司：J份额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（102）浙江温州鹿城农村商业银行股份有限公司：J份额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（103）浙江温州瓯海农村商业银行股份有限公司：J份额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（104）浙江文成农村商业银行股份有限公司：J份额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（105）浙江武义农村商业银行股份有限公司：K份额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（106）浙江萧山农村商业银行股份有限公司：J份额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（107）浙江新昌农村商业银行股份有限公司：K份额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（108）浙江永嘉农村商业银行股份有限公司：J份额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（109）浙江永康农村商业银行股份有限公司：J份额、K份额、N份额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（110）浙江舟山定海海洋农村商业银行股份有限公司：J份额、K份额、N份额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（111）浙江舟山普陀农村商业银行股份有限公司：J份额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（112）浙江岱山农村商业银行股份有限公司：J份额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（113）浙江衢州柯城农村商业银行股份有限公司：K份额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（114）郑州银行股份有限公司：I份额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（116）徽商银行股份有限公司：B份额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（117）上海农村商业银行股份有限公司：L份额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（118）兰州银行股份有限公司：F份额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（119）桂林银行股份有限公司：桂银优选份额、桂银臻选份额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sz w:val="20"/>
                <w:szCs w:val="20"/>
                <w:highlight w:val="none"/>
                <w:lang w:val="en-US" w:eastAsia="zh-CN"/>
              </w:rPr>
              <w:t>A份额：个人、机构；</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个人、机构，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H份额：个人；</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桂银优选份额：个人、机构；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桂银臻选份额：个人、机构。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桂银臻选份额：100,000元。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H份额：10,000元；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桂银臻选份额：1元。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15"/>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2028年10月25日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762</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sz w:val="20"/>
                <w:szCs w:val="20"/>
                <w:highlight w:val="none"/>
                <w:lang w:eastAsia="zh-CN"/>
              </w:rPr>
              <w:t>A份额：0.20%；</w:t>
            </w:r>
            <w:r>
              <w:rPr>
                <w:rFonts w:hint="eastAsia" w:ascii="楷体" w:hAnsi="楷体" w:eastAsia="楷体" w:cs="楷体"/>
                <w:bCs/>
                <w:color w:val="000000" w:themeColor="text1"/>
                <w:sz w:val="20"/>
                <w:szCs w:val="20"/>
                <w:highlight w:val="none"/>
                <w:lang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eastAsia="zh-CN"/>
                <w14:textFill>
                  <w14:solidFill>
                    <w14:schemeClr w14:val="tx1"/>
                  </w14:solidFill>
                </w14:textFill>
              </w:rPr>
              <w:t>B份额：0.20%；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JS份额：0.20%；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桂银优选份额：0.35%；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桂银臻选份额：0.30%。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sz w:val="20"/>
                <w:szCs w:val="20"/>
                <w:highlight w:val="none"/>
                <w:lang w:val="en-US" w:eastAsia="zh-CN"/>
              </w:rPr>
              <w:t>A份额：0.10%；</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E份额：0.05%；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JS份额：0.10%；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桂银优选份额：0.05%；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桂银臻选份额：0.05%。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sz w:val="20"/>
                <w:szCs w:val="20"/>
                <w:highlight w:val="none"/>
                <w:u w:val="none"/>
                <w:lang w:val="en-US" w:eastAsia="zh-CN"/>
              </w:rPr>
              <w:t>A份额：以前一自然日资产净值为基数，每日计提模式；</w:t>
            </w: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br w:type="textWrapping"/>
            </w: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桂银优选份额：以前一自然日资产净值为基数，每日计提模式；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桂银臻选份额：以前一自然日资产净值为基数，每日计提模式。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lang w:val="en-US" w:eastAsia="zh-CN"/>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rPr>
                <w:rFonts w:hint="eastAsia"/>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若产品各份额实际投资收益在扣除托管费、销售服务费、投资管理费、信息技术服务费等费用后超过各份额业绩比较基准下限，产品管理人将按照超出部分的50%收取超额业绩报酬。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当期的超额收益=理财产品份额×期初单位净值×（当期年化收益率-业绩比较基准下限）×计提比例×当期运作天数÷365。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A份额：2.60%-3.00%（年化）；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N份额：2.75%-3.15%（年化）；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P份额：2.55%-2.95%（年化）；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JS份额：2.60%-3.00%（年化）；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G份额：2.75%-3.15%（年化）；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I份额：2.60%-3.00%（年化）；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M份额：2.65%-3.05%（年化）；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桂银优选份额：2.50%-2.90%（年化）；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桂银臻选份额：2.55%-2.95%（年化）。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运作、期限适配、收益增厚的投资理念，统筹平衡风险、流动性与收益三者关系，把握中长久期固收市场的投资机会，持续夯实组合收益水平。产品密切跟踪宏观经济走势、财政货币政策节奏、市场利率波动及信用环境变化，以中期利率走势和信用基本面为核心研判依据，动态优化组合资产配置结构。投资标的以高等级标准化固收资产为主，结合封闭期特征灵活运用久期配置、杠杆增厚、票息策略、持有到期及精细化仓位管理等多元化投资策略，在严控组合波动和信用风险的基础上，努力增厚组合投资收益，实现产品净值长期稳健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本产品托管人为江苏银行股份有限公司，地址为江苏省南京市中华路26号，联系电话为025-58588155。</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（1）机构全称：北京农村商业银行股份有限公司，地址为北京市西城区月坛南街1号院2号楼，联系电话为010-96198/400-889-6198；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（2）机构全称：东营银行股份有限公司，地址为山东省东营市东营区府前大街87-1号，联系电话为4006296588；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（3）机构全称：东莞农村商业银行股份有限公司，地址为广东省东莞市东城街道鸿福东路2号，联系电话为0769-961122；</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（4）机构全称：甘肃银行股份有限公司，地址为甘肃省兰州市城关区东岗西路525-1号，联系电话为400-869-6666；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（5）机构全称：广东华润银行股份有限公司，地址为广东省珠海市高新区北城东三路88号1栋，联系电话为96588；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（6）机构全称：广州农村商业银行股份有限公司，地址为中国广州市黄埔区映日路9号，联系电话为95313；</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（7）机构全称：杭州联合农村商业银行股份有限公司，地址为浙江省杭州市上城区建国中路99号，联系电话为0571-96596；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（8）机构全称：湖北银行股份有限公司，地址为湖北省武汉市武昌区水果湖街中北路86号汉街总部国际8栋，联系电话为400-85-96599；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（9）机构全称：湖州吴兴农村商业银行股份有限公司，地址为浙江省湖州市东街55号，联系电话为96596；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（10）机构全称：吉林银行股份有限公司，地址为吉林省长春市南关区人民大街10666号，联系电话为400-889-6666；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（11）机构全称：嘉兴银行股份有限公司，地址为浙江省嘉兴市昌盛南路1001号，联系电话为0573-96528；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（12）机构全称：江门农村商业银行股份有限公司，地址为江门市新会区会城启超大道68号，联系电话为0750-96138；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（13）机构全称：江苏宝应农村商业银行股份有限公司，地址为江苏省宝应县文津路1号，联系电话为96008；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（14）机构全称：江苏滨海农村商业银行股份有限公司，地址为滨海县城迎宾中路1号，联系电话为96008；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（15）机构全称：江苏常熟农村商业银行股份有限公司，地址为江苏省常熟市新世纪大道58号，联系电话为956020；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（16）机构全称：江苏大丰农村商业银行股份有限公司，地址为江苏省盐城市大丰区常新中路9号，联系电话为96008；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（17）机构全称：江苏东海农村商业银行股份有限公司，地址为连云港市东海县牛山镇海陵东路8号，联系电话为96008；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（18）机构全称：江苏东台农村商业银行股份有限公司，地址为江苏省东台市东城大道10号，联系电话为96008；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（19）机构全称：江苏丰县农村商业银行股份有限公司，地址为江苏省丰县人民中路9号，联系电话为96008；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（20）机构全称：江苏阜宁农村商业银行股份有限公司，地址为江苏省阜宁县城南新区上海路459号，联系电话为96008；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（21）机构全称：江苏赣榆农村商业银行股份有限公司，地址为连云港市赣榆区黄海东路304号，联系电话为96008；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（22）机构全称：江苏高淳农村商业银行股份有限公司，地址为江苏省南京市高淳区淳溪镇宝塔路123号，联系电话为96008；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（23）机构全称：江苏高邮农村商业银行股份有限公司，地址为高邮市文游中路28号，联系电话为96008；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（24）机构全称：江苏灌南农村商业银行股份有限公司，地址为江苏省连云港市灌南县人民路29号，联系电话为96008；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（25）机构全称：江苏灌云农村商业银行股份有限公司，地址为江苏省灌云县伊山镇水利路东侧(人民路与水利路交汇处)，联系电话为96008；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（26）机构全称：江苏海安农村商业银行股份有限公司，地址为江苏省海安市长江中路88号(东楼)，联系电话为96008；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（27）机构全称：江苏海门农村商业银行股份有限公司，地址为江苏省南通市海门区解放中路137号，联系电话为96008；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（28）机构全称：江苏建湖农村商业银行股份有限公司，地址为江苏省建湖县湖中南路958号，联系电话为96008；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（29）机构全称：江苏姜堰农村商业银行股份有限公司，地址为泰州市姜堰区姜堰大道128号，联系电话为96008；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（30）机构全称：江苏江都农村商业银行股份有限公司，地址为扬州市江都区龙城路21号，联系电话为96008；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（31）机构全称：江苏江南农村商业银行股份有限公司，地址为江苏省常州市武进区延政中路9号，联系电话为0519-96005；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（32）机构全称：江苏金湖农村商业银行股份有限公司，地址为江苏省金湖县黎城街道神华大道299号，联系电话为96008；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（33）机构全称：江苏靖江农村商业银行股份有限公司，地址为江苏省靖江市南环西路12号，联系电话为96008；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（34）机构全称：江苏句容农村商业银行股份有限公司，地址为江苏省句容市福地东路66号，联系电话为96008；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（35）机构全称：江苏民丰农村商业银行股份有限公司，地址为江苏省宿迁市宿城区高宝湖路1号，联系电话为96008；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（36）机构全称：江苏沛县农村商业银行股份有限公司，地址为江苏省沛县汤沐路中段11号，联系电话为96008；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（37）机构全称：江苏启东农村商业银行股份有限公司，地址为江苏省启东市汇龙镇金沙江路1688号，联系电话为96008；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（38）机构全称：江苏如东农村商业银行股份有限公司，地址为江苏省如东县掘港镇钟山路66号，联系电话为96008；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（39）机构全称：江苏如皋农村商业银行股份有限公司，地址为江苏省南通市如皋市如城街道海阳南路999号，联系电话为96008；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（40）机构全称：江苏射阳农村商业银行股份有限公司，地址为射阳县合德镇解放路385号，联系电话为96008；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（41）机构全称：江苏苏州农村商业银行股份有限公司，地址为江苏省苏州市吴江区中山南路1777号，联系电话为956111；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（42）机构全称：江苏泰兴农村商业银行股份有限公司，地址为泰兴市济川街道国庆东路166号，联系电话为96008；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（43）机构全称：江苏太仓农村商业银行股份有限公司，地址为太仓市娄东街道上海东路198号，联系电话为40018-40060；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（44）机构全称：江苏响水农村商业银行股份有限公司，地址为江苏省响水县双园东路北侧，联系电话为96008；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（45）机构全称：江苏新沂农村商业银行股份有限公司，地址为江苏省新沂市钟吾路163号，联系电话为96008；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（46）机构全称：江苏盐城农村商业银行股份有限公司，地址为盐城市盐南高新区新都西路8号，联系电话为0515-88880000；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（47）机构全称：江苏扬中农村商业银行股份有限公司，地址为扬中市扬子西路79号，联系电话为96008；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（48）机构全称：江苏扬州农村商业银行股份有限公司，地址为江苏省扬州市同泰路107号，联系电话为96008；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（49）机构全称：江苏仪征农村商业银行股份有限公司，地址为江苏省仪征市真州镇解放东路818号金融集聚区1座801-811，901-911，1001-1011，2座101，联系电话为96008；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（50）机构全称：江苏宜兴农村商业银行股份有限公司，地址为江苏省宜兴市宜城街道解放东路579号，联系电话为96008；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（51）机构全称：江苏银行股份有限公司，地址为江苏省南京市中华路26号，联系电话为95319；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（52）机构全称：江苏张家港农村商业银行股份有限公司，地址为江苏省苏州市张家港市杨舍镇人民中路66号，联系电话为96065；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（53）机构全称：江苏镇江农村商业银行股份有限公司，地址为江苏省镇江市润州区长江路97号，联系电话为96008；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（54）机构全称：江苏紫金农村商业银行股份有限公司，地址为江苏省南京市建邺区江东中路381号，联系电话为96008；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（55）机构全称：江苏邳州农村商业银行股份有限公司，地址为江苏省邳州市建设中路16号，联系电话为96008；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（56）机构全称：江苏沭阳农村商业银行股份有限公司，地址为江苏省沭阳县沭城镇苏州东路与台州南路交汇处，联系电话为96008；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（57）机构全称：江苏泗洪农村商业银行股份有限公司，地址为江苏省宿迁市泗洪县长江东路17号，联系电话为96008；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（58）机构全称：江苏泗阳农村商业银行股份有限公司，地址为宿迁市泗阳县众兴镇北京中路21号，联系电话为96008；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（59）机构全称：江苏溧水农村商业银行股份有限公司，地址为江苏省南京市溧水县永阳镇中山路22号，联系电话为96008；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（60）机构全称：江苏睢宁农村商业银行股份有限公司，地址为江苏省睢宁县元府东街99号，联系电话为96008；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（61）机构全称：晋商银行股份有限公司，地址为山西省太原市小店区长风街59号，联系电话为9510-5588；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（62）机构全称：九江银行股份有限公司，地址为江西省九江市濂溪区长虹大道619号，联系电话为95316；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（63）机构全称：莱商银行股份有限公司，地址为山东省济南市历下区洪山路1号，联系电话为40066-96629；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（64）机构全称：连云港东方农村商业银行股份有限公司，地址为江苏省连云港市海州区郁洲南路10号，联系电话为96008；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（65）机构全称：宁波东海银行股份有限公司，地址为浙江省宁波高新区新晖南路113-127号（单号），扬帆路515号2-10层，高新宝龙商业广场13-19号、22号、29号，联系电话为400-8866-345；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（66）机构全称：宁波通商银行股份有限公司，地址为浙江省宁波市鄞州区民安东路337号，联系电话为400-916-6666；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（67）机构全称：宁夏银行股份有限公司，地址为宁夏回族自治区银川市金凤区北京中路157号，联系电话为400-809-6558/0951-96558；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（68）机构全称：齐鲁银行股份有限公司，地址为山东省济南市历下区经十路10817号，联系电话为400-609-6588；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（69）机构全称：秦皇岛银行股份有限公司，地址为河北省秦皇岛市海港区河北大街西段560号，联系电话为0335-96336/400-105-7366；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（70）机构全称：青岛银行股份有限公司，地址为山东省青岛市崂山区秦岭路6号3号楼，联系电话为96588/400-665-7058；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（71）机构全称：山西银行股份有限公司，地址为山西转型综合改革示范区学府产业园高新街15号，联系电话为0351-96588；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（72）机构全称：上海银行股份有限公司，地址为上海市黄浦区中山南路688号，联系电话为95594；</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（73）机构全称：苏银理财有限责任公司，地址为南京市建邺区江山大街70号国际博览中心三期B幢11-13层，联系电话为95319-8-2；</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（74）机构全称：威海银行股份有限公司，地址为山东省威海市青岛北路137A号，联系电话为400-009-6636/0631-96636；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（75）机构全称：武汉农村商业银行股份有限公司，地址为武汉市江岸区建设大道618号，联系电话为95367；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（76）机构全称：兴业银行股份有限公司，地址为中国福建省福州市台江区江滨中大道398号兴业银行大厦，联系电话为95561；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（77）机构全称：徐州农村商业银行股份有限公司，地址为徐州市铜山区北京南路26号，联系电话为96008；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（78）机构全称：浙江淳安农村商业银行股份有限公司，地址为浙江省杭州市淳安县千岛湖镇阳光路960号，联系电话为96596；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（79）机构全称：浙江德清农村商业银行股份有限公司，地址为浙江省德清县武康街道沈长圩街50号，联系电话为96596；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（80）机构全称：浙江海宁农村商业银行股份有限公司，地址为浙江省海宁市海洲街道钱江西路278号，联系电话为96596；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（81）机构全称：浙江海盐农村商业银行股份有限公司，地址为浙江省嘉兴市海盐县武原街道盐北东路1177号，联系电话为96596；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（82）机构全称：浙江杭州余杭农村商业银行股份有限公司，地址为浙江省杭州市临平区南苑街道南大街72号，联系电话为96596；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（83）机构全称：浙江禾城农村商业银行股份有限公司，地址为浙江省嘉兴市经济技术开发区文昌路1229号，联系电话为96596；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（84）机构全称：浙江嘉善农村商业银行股份有限公司，地址为浙江省嘉兴市嘉善县罗星街道车站南路999号，联系电话为96596；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（85）机构全称：浙江江山农村商业银行股份有限公司，地址为浙江省衢州市江山市双塔街道江滨路188号，联系电话为96596；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（86）机构全称：浙江兰溪农村商业银行股份有限公司，地址为浙江省兰溪市兰江街道丹溪大道18号，联系电话为96596；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（87）机构全称：浙江乐清农村商业银行股份有限公司，地址为浙江省乐清市城南街道伯乐西路99号，联系电话为96596；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（88）机构全称：浙江龙游农村商业银行股份有限公司，地址为浙江省衢州市龙游县龙洲街道荣昌大道683、685、687号，联系电话为96596；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（89）机构全称：浙江平湖农村商业银行股份有限公司，地址为浙江省平湖市当湖街道胜利路518号，联系电话为96596；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（90）机构全称：浙江浦江农村商业银行股份有限公司，地址为浙江省浦江县人民东路90号，联系电话为96596；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（91）机构全称：浙江青田农村商业银行股份有限公司，地址为浙江省青田县鹤城街道鹤城东路180号，联系电话为96596；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（92）机构全称：浙江瑞安农村商业银行股份有限公司，地址为浙江省温州市瑞安市莘塍街道万松东路1700-1708、1718号，联系电话为96596；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（93）机构全称：浙江上虞农村商业银行股份有限公司，地址为浙江省绍兴市上虞区百官街道德盛路55号，联系电话为96596；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（94）机构全称：浙江绍兴恒信农村商业银行股份有限公司，地址为浙江省绍兴市中兴中路159号，联系电话为96596；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（95）机构全称：浙江绍兴瑞丰农村商业银行股份有限公司，地址为浙江省绍兴市柯桥区柯桥笛扬路1363号，联系电话为96596；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（96）机构全称：浙江松阳农村商业银行股份有限公司，地址为浙江省丽水市松阳县水南街道要津南路71号，联系电话为96596；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（97）机构全称：浙江台州黄岩农村商业银行股份有限公司，地址为浙江省台州市黄岩区洞天路88号，联系电话为96596；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（98）机构全称：浙江桐庐农村商业银行股份有限公司，地址为浙江省杭州市桐庐县桐君街道迎春南路278号，联系电话为96596；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（99）机构全称：浙江桐乡农村商业银行股份有限公司，地址为浙江省梧桐街道校场东路59号，联系电话为96596；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（100）机构全称：浙江温岭农村商业银行股份有限公司，地址为浙江省台州市温岭市城东街道下保路100号，联系电话为96596；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（101）机构全称：浙江温州龙湾农村商业银行股份有限公司，地址为浙江省温州市龙湾区永中街道永宁西路555号，联系电话为96596；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（102）机构全称：浙江温州鹿城农村商业银行股份有限公司，地址为浙江省温州市鹿城区会展路1500号富银大厦，联系电话为96596；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（103）机构全称：浙江温州瓯海农村商业银行股份有限公司，地址为浙江省温州市瓯海区瓯海大道989号，联系电话为96596；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（104）机构全称：浙江文成农村商业银行股份有限公司，地址为浙江省温州市文成县大峃镇体育场路509-520号，联系电话为96596；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（105）机构全称：浙江武义农村商业银行股份有限公司，地址为浙江省武义县武阳中路37号，联系电话为96596；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（106）机构全称：浙江萧山农村商业银行股份有限公司，地址为浙江省杭州市萧山区盈丰街道鸿宁路2288号，联系电话为96596；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（107）机构全称：浙江新昌农村商业银行股份有限公司，地址为浙江省新昌县七星街道七星路18号，联系电话为96596；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（108）机构全称：浙江永嘉农村商业银行股份有限公司，地址为浙江省温州市永嘉县瓯北街道阳光大道3918号，联系电话为96596；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（109）机构全称：浙江永康农村商业银行股份有限公司，地址为浙江省金华市永康市九铃东路3259号，联系电话为96596；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（110）机构全称：浙江舟山定海海洋农村商业银行股份有限公司，地址为浙江省舟山市定海区环城东路81号，联系电话为96596；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（111）机构全称：浙江舟山普陀农村商业银行股份有限公司，地址为浙江省舟山市普陀区东港街道麒麟街225号(自贸试验区内)，联系电话为96596；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（112）机构全称：浙江岱山农村商业银行股份有限公司，地址为浙江省舟山市岱山县高亭镇衢山大道1009号(自主申报)，联系电话为96596；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（113）机构全称：浙江衢州柯城农村商业银行股份有限公司，地址为浙江省衢州市柯城区上街92号，联系电话为96596；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（114）机构全称：郑州银行股份有限公司，地址为河南省郑州市郑东新区商务外环路22号，联系电话为95097；</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（115）机构全称：重庆农村商业银行股份有限公司，地址为重庆市两江新区金沙门路36号，联系电话为95389；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（116）机构全称：徽商银行股份有限公司，地址为安徽省合肥市云谷路1699号徽银大厦，联系电话为400-889-6588；</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（117）机构全称：上海农村商业银行股份有限公司，地址为上海市黄浦区中山东二路70号，联系电话为962999/400-696-2999；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（118）机构全称：兰州银行股份有限公司，地址为甘肃省兰州市城关区酒泉路211号，联系电话为400-88-96799；</w:t>
      </w:r>
      <w:r>
        <w:rPr>
          <w:rFonts w:hint="eastAsia" w:ascii="楷体" w:hAnsi="楷体" w:eastAsia="楷体" w:cs="楷体"/>
          <w:b w:val="0"/>
          <w:bCs w:val="0"/>
          <w:sz w:val="21"/>
          <w:szCs w:val="21"/>
          <w:highlight w:val="none"/>
          <w:u w:val="none"/>
          <w:lang w:val="en-US" w:eastAsia="zh-CN"/>
        </w:rPr>
        <w:br w:type="textWrapping"/>
      </w:r>
      <w:r>
        <w:rPr>
          <w:rFonts w:hint="eastAsia" w:ascii="楷体" w:hAnsi="楷体" w:eastAsia="楷体" w:cs="楷体"/>
          <w:b w:val="0"/>
          <w:bCs w:val="0"/>
          <w:sz w:val="21"/>
          <w:szCs w:val="21"/>
          <w:highlight w:val="none"/>
          <w:u w:val="none"/>
          <w:lang w:val="en-US" w:eastAsia="zh-CN"/>
        </w:rPr>
        <w:tab/>
      </w:r>
      <w:r>
        <w:rPr>
          <w:rFonts w:hint="eastAsia" w:ascii="楷体" w:hAnsi="楷体" w:eastAsia="楷体" w:cs="楷体"/>
          <w:b w:val="0"/>
          <w:bCs w:val="0"/>
          <w:sz w:val="21"/>
          <w:szCs w:val="21"/>
          <w:highlight w:val="none"/>
          <w:u w:val="none"/>
          <w:lang w:val="en-US" w:eastAsia="zh-CN"/>
        </w:rPr>
        <w:t>（119）机构全称：桂林银行股份有限公司，地址为桂林市临桂区公园北路8号，联系电话为400-86-96299。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15"/>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 xml:space="preserve">（1）收益凭证：融资人为财通证券股份有限公司。融资人经营正常，是依法设立的持牌金融机构，主要股东为浙江省创新投资集团有限公司、浙江省财开集团有限公司、台州市金融投资集团有限公司，实际控制人为浙江省财政厅。 （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（5）收益凭证：融资人为东海证券股份有限公司。融资人经营正常，是依法设立的持牌金融机构，主要股东为常州投资集团有限公司、山东金控资本管理有限公司，实际控制人为常州投资集团有限公司。 （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9）收益凭证：融资人为广发证券股份有限公司。融资人经营正常，是依法设立的持牌金融机构，主要股东为香港中央结算（代理人）有限公司、吉林敖东药业集团股份有限公司、辽宁成大股份有限公司，无实际控制人。 （10）收益凭证：融资人为国都证券股份有限公司。融资人经营正常，是依法设立的持牌金融机构，主要股东为浙商证券股份有限公司、中诚信托有限责任公司、北京国际信托有限公司，实际控制人为浙江省交通投资集团有限公司。 （11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12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（13）收益凭证：融资人为国投证券股份有限公司。融资人经营正常，是依法设立的国有公司，主要股东为国投资本股份有限公司、上海毅胜投资有限公司，实际控制人为国家开发投资集团有限公司。 （14）收益凭证：融资人为华泰证券股份有限公司。融资人经营正常，是依法设立的国有公司，主要股东为江苏省国信集团有限公司、香港中央结算（代理人）有限公司、江苏交通控股有限公司，无实际控制人。 （15）收益凭证：融资人为华鑫证券有限责任公司。融资人经营正常，是依法设立的持牌金融机构，主要股东为上海华鑫股份有限公司，实际控制人为上海市国有资产监督管理委员会。 （16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17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18）收益凭证：融资人为山西证券股份有限公司。融资人经营正常，是依法设立的持牌金融机构，主要股东为山西金融投资控股集团有限公司、太原钢铁（集团）有限公司、山西国际电力集团有限公司，实际控制人为山西省财政厅。 （19）收益凭证：融资人为申万宏源证券有限公司。融资人经营正常，是依法设立的国有公司，主要股东为申万宏源集团股份有限公司，实际控制人为中央汇金投资有限责任公司。 （20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21）收益凭证：融资人为兴业证券股份有限公司。融资人经营正常，是依法设立的持牌金融机构，主要股东为福建省财政厅、福建省投资开发集团有限责任公司、上海申新（集团）有限公司，实际控制人为福建省财政厅。 （22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23）收益凭证：融资人为浙商证券股份有限公司。融资人经营正常，是依法设立的国有公司，主要股东为浙江上三高速公路有限公司、台州市金融投资集团有限公司，实际控制人为浙江省交通投资集团有限公司。 （24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25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（26）收益凭证：融资人为中国中金财富证券有限公司。融资人经营正常，是依法设立的持牌金融机构，主要股东为中国国际金融股份有限公司，实际控制人为中央汇金投资有限责任公司。 （27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28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29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30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31）同业借款：融资人为中国东方资产管理股份有限公司。融资人经营正常，是依法成立的国有公司，主要股东为中央汇金投资有限责任公司、全国社会保障基金理事会、中国电信集团有限公司，实际控制人为国务院。 （32）同业借款：融资人为中国信达资产管理股份有限公司。融资人经营正常，是依法成立的国有公司，主要股东为中央汇金投资有限责任公司，实际控制人为国务院。 （33）同业借款：融资人为中国中信金融资产管理股份有限公司。融资人经营正常，是依法成立的国有公司，主要股东为中国中信集团有限公司、财政局、中国融信私募基金有限公司，实际控制人为财政部。 </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keepNext w:val="0"/>
        <w:keepLines w:val="0"/>
        <w:pageBreakBefore w:val="0"/>
        <w:bidi w:val="0"/>
        <w:spacing w:line="240" w:lineRule="auto"/>
        <w:ind w:firstLine="420"/>
        <w:jc w:val="left"/>
        <w:rPr>
          <w:rFonts w:hint="eastAsia" w:ascii="楷体" w:hAnsi="楷体" w:eastAsia="楷体" w:cs="楷体"/>
          <w:highlight w:val="none"/>
        </w:rPr>
      </w:pPr>
      <w:bookmarkStart w:id="1" w:name="_GoBack"/>
      <w:bookmarkEnd w:id="1"/>
    </w:p>
    <w:p>
      <w:pPr>
        <w:keepNext w:val="0"/>
        <w:keepLines w:val="0"/>
        <w:pageBreakBefore w:val="0"/>
        <w:bidi w:val="0"/>
        <w:spacing w:line="240" w:lineRule="auto"/>
        <w:ind w:firstLine="420"/>
        <w:jc w:val="left"/>
        <w:rPr>
          <w:rFonts w:hint="eastAsia" w:ascii="楷体" w:hAnsi="楷体" w:eastAsia="楷体" w:cs="楷体"/>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Cs w:val="28"/>
        </w:rPr>
        <w:t>苏银理财有限责任公司理财产品投资协议书</w:t>
      </w:r>
    </w:p>
    <w:p>
      <w:pPr>
        <w:keepNext w:val="0"/>
        <w:keepLines w:val="0"/>
        <w:pageBreakBefore w:val="0"/>
        <w:kinsoku/>
        <w:wordWrap/>
        <w:overflowPunct/>
        <w:topLinePunct w:val="0"/>
        <w:autoSpaceDE/>
        <w:autoSpaceDN/>
        <w:bidi w:val="0"/>
        <w:adjustRightInd/>
        <w:snapToGrid/>
        <w:spacing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 w:val="24"/>
          <w:szCs w:val="24"/>
        </w:rPr>
        <w:t>理财非存款、产品有风险、投资须谨慎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经甲方（投资者）与乙方（苏银理财有限责任公司，以下简称“苏银理财”）协商一致，就甲方向乙方购买理财产品，达成协议如下：</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一、重要声明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b/>
          <w:kern w:val="2"/>
          <w:sz w:val="21"/>
          <w:szCs w:val="21"/>
          <w:u w:val="single"/>
        </w:rPr>
      </w:pPr>
      <w:r>
        <w:rPr>
          <w:rFonts w:hint="eastAsia" w:ascii="楷体" w:hAnsi="楷体" w:eastAsia="楷体"/>
          <w:kern w:val="2"/>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2"/>
          <w:sz w:val="21"/>
          <w:szCs w:val="21"/>
          <w:u w:val="single"/>
        </w:rPr>
        <w:t>本理财产品不保证本金和收益。受各种市场波动因素影响，本理财产品可能存在包括但不限于政策风险、信用风险、市场风险、流动性风险、管理风险、操作风险、理财产品不成立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二、甲方的权利义务</w:t>
      </w:r>
    </w:p>
    <w:p>
      <w:pPr>
        <w:keepNext w:val="0"/>
        <w:keepLines w:val="0"/>
        <w:pageBreakBefore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（一）甲方的权利：</w:t>
      </w:r>
      <w:r>
        <w:rPr>
          <w:rFonts w:hint="eastAsia" w:ascii="楷体" w:hAnsi="楷体" w:eastAsia="楷体" w:cs="Times New Roman"/>
          <w:kern w:val="2"/>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（二）甲方的义务：</w:t>
      </w:r>
      <w:r>
        <w:rPr>
          <w:rFonts w:hint="eastAsia" w:ascii="楷体" w:hAnsi="楷体" w:eastAsia="楷体" w:cs="Times New Roman"/>
          <w:kern w:val="2"/>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三、乙方的权利义务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（一）乙方的权利：</w:t>
      </w:r>
      <w:r>
        <w:rPr>
          <w:rFonts w:hint="eastAsia" w:ascii="楷体" w:hAnsi="楷体" w:eastAsia="楷体"/>
          <w:kern w:val="2"/>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jc w:val="left"/>
        <w:textAlignment w:val="auto"/>
        <w:rPr>
          <w:rFonts w:ascii="楷体" w:hAnsi="楷体" w:eastAsia="楷体"/>
          <w:kern w:val="2"/>
          <w:sz w:val="21"/>
          <w:szCs w:val="21"/>
        </w:rPr>
      </w:pPr>
      <w:r>
        <w:rPr>
          <w:rFonts w:hint="eastAsia" w:ascii="楷体" w:hAnsi="楷体" w:eastAsia="楷体"/>
          <w:b/>
          <w:kern w:val="2"/>
          <w:sz w:val="21"/>
          <w:szCs w:val="21"/>
        </w:rPr>
        <w:t>（二）乙方的义务：</w:t>
      </w:r>
      <w:r>
        <w:rPr>
          <w:rFonts w:hint="eastAsia" w:ascii="楷体" w:hAnsi="楷体" w:eastAsia="楷体"/>
          <w:kern w:val="2"/>
          <w:sz w:val="21"/>
          <w:szCs w:val="21"/>
        </w:rPr>
        <w:t>遵守法律法规和理财产品合同的约定；</w:t>
      </w:r>
      <w:r>
        <w:rPr>
          <w:rFonts w:hint="eastAsia" w:ascii="楷体" w:hAnsi="楷体" w:eastAsia="楷体" w:cs="Times New Roman"/>
          <w:kern w:val="2"/>
          <w:sz w:val="21"/>
          <w:szCs w:val="21"/>
        </w:rPr>
        <w:t>恪尽职守，依照诚实信用、勤勉尽责的原则，谨慎、有效管理和运用理财资产；</w:t>
      </w:r>
      <w:r>
        <w:rPr>
          <w:rFonts w:hint="eastAsia" w:ascii="楷体" w:hAnsi="楷体" w:eastAsia="楷体"/>
          <w:kern w:val="2"/>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2"/>
          <w:sz w:val="21"/>
          <w:szCs w:val="21"/>
        </w:rPr>
        <w:t>约定</w:t>
      </w:r>
      <w:r>
        <w:rPr>
          <w:rFonts w:hint="eastAsia" w:ascii="楷体" w:hAnsi="楷体" w:eastAsia="楷体"/>
          <w:kern w:val="2"/>
          <w:sz w:val="21"/>
          <w:szCs w:val="21"/>
        </w:rPr>
        <w:t>制订理财收益分配方案并向本理财产品的理财份额持有人分配理财收益</w:t>
      </w:r>
      <w:r>
        <w:rPr>
          <w:rFonts w:hint="eastAsia" w:ascii="楷体" w:hAnsi="楷体" w:eastAsia="楷体" w:cs="Times New Roman"/>
          <w:kern w:val="2"/>
          <w:sz w:val="21"/>
          <w:szCs w:val="21"/>
        </w:rPr>
        <w:t>（如有）</w:t>
      </w:r>
      <w:r>
        <w:rPr>
          <w:rFonts w:hint="eastAsia" w:ascii="楷体" w:hAnsi="楷体" w:eastAsia="楷体"/>
          <w:kern w:val="2"/>
          <w:sz w:val="21"/>
          <w:szCs w:val="21"/>
        </w:rPr>
        <w:t>；不从事任何有损本理财产品其他当事人合法权益的活动；法律法规、理财产品合同规定的其它义务。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ascii="楷体" w:hAnsi="楷体" w:eastAsia="楷体"/>
          <w:b/>
          <w:kern w:val="2"/>
          <w:sz w:val="21"/>
          <w:szCs w:val="21"/>
        </w:rPr>
      </w:pPr>
      <w:r>
        <w:rPr>
          <w:rFonts w:hint="eastAsia" w:ascii="楷体" w:hAnsi="楷体" w:eastAsia="楷体"/>
          <w:b/>
          <w:kern w:val="2"/>
          <w:sz w:val="21"/>
          <w:szCs w:val="21"/>
        </w:rPr>
        <w:t>四、</w:t>
      </w:r>
      <w:r>
        <w:rPr>
          <w:rFonts w:ascii="楷体" w:hAnsi="楷体" w:eastAsia="楷体"/>
          <w:b/>
          <w:kern w:val="2"/>
          <w:sz w:val="21"/>
          <w:szCs w:val="21"/>
        </w:rPr>
        <w:t>违约责任</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2. 双方同意，发生下列情况造成损失时，按以下约定承担责任</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kinsoku/>
        <w:wordWrap/>
        <w:overflowPunct/>
        <w:topLinePunct w:val="0"/>
        <w:bidi w:val="0"/>
        <w:snapToGrid/>
        <w:spacing w:line="310" w:lineRule="exact"/>
        <w:ind w:firstLine="420" w:firstLineChars="200"/>
        <w:textAlignment w:val="auto"/>
        <w:rPr>
          <w:rFonts w:ascii="楷体" w:hAnsi="楷体" w:eastAsia="楷体"/>
          <w:kern w:val="2"/>
          <w:sz w:val="21"/>
          <w:szCs w:val="21"/>
        </w:rPr>
      </w:pPr>
      <w:r>
        <w:rPr>
          <w:rFonts w:hint="eastAsia" w:ascii="楷体" w:hAnsi="楷体" w:eastAsia="楷体"/>
          <w:kern w:val="2"/>
          <w:sz w:val="21"/>
          <w:szCs w:val="21"/>
        </w:rPr>
        <w:t>（2）</w:t>
      </w:r>
      <w:r>
        <w:rPr>
          <w:rFonts w:hint="eastAsia" w:ascii="楷体" w:hAnsi="楷体" w:eastAsia="楷体"/>
          <w:b/>
          <w:kern w:val="2"/>
          <w:sz w:val="21"/>
          <w:szCs w:val="21"/>
        </w:rPr>
        <w:t>如甲方违反本协议约定，或本产品甲方所涉及的资金被有权机关全部或部分冻结或者扣划</w:t>
      </w:r>
      <w:r>
        <w:rPr>
          <w:rFonts w:hint="eastAsia" w:ascii="楷体" w:hAnsi="楷体" w:eastAsia="楷体" w:cs="Times New Roman"/>
          <w:b/>
          <w:kern w:val="2"/>
          <w:sz w:val="21"/>
          <w:szCs w:val="21"/>
        </w:rPr>
        <w:t>，或乙方发现或有合理理由怀疑甲方或其资金存在洗钱、恐怖融资、逃税等嫌疑，乙方有权</w:t>
      </w:r>
      <w:r>
        <w:rPr>
          <w:rFonts w:hint="eastAsia" w:ascii="楷体" w:hAnsi="楷体" w:eastAsia="楷体"/>
          <w:b/>
          <w:kern w:val="2"/>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五、免责条款</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2. 由于国家的有关法律、法规、规章、政策的改变、紧急措施的出台而导致的风险，乙方不承担责任。</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3. 乙方依照恪尽职守、诚实信用、谨慎勤勉的原则管理和运用理财产品财产，</w:t>
      </w:r>
      <w:r>
        <w:rPr>
          <w:rFonts w:hint="eastAsia" w:ascii="楷体" w:hAnsi="楷体" w:eastAsia="楷体"/>
          <w:b/>
          <w:bCs/>
          <w:kern w:val="2"/>
          <w:sz w:val="21"/>
          <w:szCs w:val="21"/>
        </w:rPr>
        <w:t>但不保证理财产品财产中的认（申）购资金本金不受损失，也不保证一定盈利及最低收益。</w:t>
      </w:r>
      <w:r>
        <w:rPr>
          <w:rFonts w:hint="eastAsia" w:ascii="楷体" w:hAnsi="楷体" w:eastAsia="楷体"/>
          <w:kern w:val="2"/>
          <w:sz w:val="21"/>
          <w:szCs w:val="21"/>
        </w:rPr>
        <w:t>本理财产品运作过程中，乙方依据产品合同约定管理和运用理财产品财产所产生的风险，由理财产品财产及甲方承担。</w:t>
      </w:r>
      <w:r>
        <w:rPr>
          <w:rFonts w:hint="eastAsia" w:ascii="楷体" w:hAnsi="楷体" w:eastAsia="楷体"/>
          <w:b/>
          <w:bCs/>
          <w:kern w:val="2"/>
          <w:sz w:val="21"/>
          <w:szCs w:val="21"/>
        </w:rPr>
        <w:t>甲方应充分知晓投资运营的相关风险，具体风险详见风险揭示书及理财产品说明书的具体约定，其风险应由甲方自担</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六、协议的生效、变更及终止</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kern w:val="2"/>
          <w:sz w:val="21"/>
          <w:szCs w:val="21"/>
        </w:rPr>
        <w:t>1.</w:t>
      </w:r>
      <w:r>
        <w:rPr>
          <w:rFonts w:hint="eastAsia" w:ascii="楷体" w:hAnsi="楷体" w:eastAsia="楷体" w:cs="Times New Roman"/>
          <w:kern w:val="2"/>
          <w:sz w:val="21"/>
          <w:szCs w:val="21"/>
        </w:rPr>
        <w:t>本协议自</w:t>
      </w:r>
      <w:r>
        <w:rPr>
          <w:rFonts w:hint="eastAsia" w:ascii="楷体" w:hAnsi="楷体" w:eastAsia="楷体"/>
          <w:kern w:val="2"/>
          <w:sz w:val="21"/>
          <w:szCs w:val="21"/>
        </w:rPr>
        <w:t>甲方</w:t>
      </w:r>
      <w:r>
        <w:rPr>
          <w:rFonts w:hint="eastAsia" w:ascii="楷体" w:hAnsi="楷体" w:eastAsia="楷体" w:cs="Times New Roman"/>
          <w:kern w:val="2"/>
          <w:sz w:val="21"/>
          <w:szCs w:val="21"/>
        </w:rPr>
        <w:t>成功缴纳全额认（申）购资金并经</w:t>
      </w:r>
      <w:r>
        <w:rPr>
          <w:rFonts w:hint="eastAsia" w:ascii="楷体" w:hAnsi="楷体" w:eastAsia="楷体"/>
          <w:kern w:val="2"/>
          <w:sz w:val="21"/>
          <w:szCs w:val="21"/>
        </w:rPr>
        <w:t>苏银</w:t>
      </w:r>
      <w:r>
        <w:rPr>
          <w:rFonts w:hint="eastAsia" w:ascii="楷体" w:hAnsi="楷体" w:eastAsia="楷体" w:cs="Times New Roman"/>
          <w:kern w:val="2"/>
          <w:sz w:val="21"/>
          <w:szCs w:val="21"/>
        </w:rPr>
        <w:t>理财系统确认购买份额后成立并生效。投资者在办理理财产品认（申）购交易后，需通过销售机构查询</w:t>
      </w:r>
      <w:r>
        <w:rPr>
          <w:rFonts w:hint="eastAsia" w:ascii="楷体" w:hAnsi="楷体" w:eastAsia="楷体"/>
          <w:kern w:val="2"/>
          <w:sz w:val="21"/>
          <w:szCs w:val="21"/>
        </w:rPr>
        <w:t>份额确认情况</w:t>
      </w:r>
      <w:r>
        <w:rPr>
          <w:rFonts w:hint="eastAsia" w:ascii="楷体" w:hAnsi="楷体" w:eastAsia="楷体" w:cs="Times New Roman"/>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2.本协议及理财产品合同项下各方权利义务履行完毕之日，本协议自动终止。</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七、本合同的订立、生效、履行、解释、修改和终止等事项均适用中华人民共和国（不包括香港特别行政区、澳门特别行政区和台湾地区）法律。</w:t>
      </w:r>
    </w:p>
    <w:p>
      <w:pPr>
        <w:keepNext w:val="0"/>
        <w:keepLines w:val="0"/>
        <w:pageBreakBefore w:val="0"/>
        <w:kinsoku/>
        <w:wordWrap/>
        <w:overflowPunct/>
        <w:topLinePunct w:val="0"/>
        <w:bidi w:val="0"/>
        <w:snapToGrid/>
        <w:spacing w:line="310" w:lineRule="exact"/>
        <w:ind w:left="0" w:leftChars="0"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kinsoku/>
        <w:wordWrap/>
        <w:overflowPunct/>
        <w:topLinePunct w:val="0"/>
        <w:bidi w:val="0"/>
        <w:snapToGrid/>
        <w:spacing w:line="310" w:lineRule="exact"/>
        <w:ind w:left="0" w:firstLine="420" w:firstLineChars="200"/>
        <w:textAlignment w:val="auto"/>
        <w:rPr>
          <w:rFonts w:hint="eastAsia" w:ascii="楷体" w:hAnsi="楷体" w:eastAsia="楷体"/>
          <w:kern w:val="2"/>
          <w:sz w:val="21"/>
          <w:szCs w:val="21"/>
        </w:rPr>
      </w:pPr>
      <w:r>
        <w:rPr>
          <w:rFonts w:ascii="楷体" w:hAnsi="楷体" w:eastAsia="楷体"/>
          <w:kern w:val="2"/>
          <w:sz w:val="21"/>
          <w:szCs w:val="21"/>
        </w:rPr>
        <w:t>甲方</w:t>
      </w:r>
      <w:r>
        <w:rPr>
          <w:rFonts w:hint="eastAsia" w:ascii="楷体" w:hAnsi="楷体" w:eastAsia="楷体"/>
          <w:kern w:val="2"/>
          <w:sz w:val="21"/>
          <w:szCs w:val="21"/>
        </w:rPr>
        <w:t xml:space="preserve">（个人客户签字）：      </w:t>
      </w:r>
      <w:r>
        <w:rPr>
          <w:rFonts w:ascii="楷体" w:hAnsi="楷体" w:eastAsia="楷体"/>
          <w:kern w:val="2"/>
          <w:sz w:val="21"/>
          <w:szCs w:val="21"/>
        </w:rPr>
        <w:t>甲方</w:t>
      </w:r>
      <w:r>
        <w:rPr>
          <w:rFonts w:hint="eastAsia" w:ascii="楷体" w:hAnsi="楷体" w:eastAsia="楷体"/>
          <w:kern w:val="2"/>
          <w:sz w:val="21"/>
          <w:szCs w:val="21"/>
        </w:rPr>
        <w:t>（机构客户盖章）：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r>
        <w:rPr>
          <w:rFonts w:hint="eastAsia" w:ascii="楷体" w:hAnsi="楷体" w:eastAsia="楷体"/>
          <w:kern w:val="2"/>
          <w:szCs w:val="21"/>
        </w:rPr>
        <w:t xml:space="preserve">                                    </w:t>
      </w:r>
      <w:r>
        <w:rPr>
          <w:rFonts w:hint="eastAsia" w:ascii="楷体" w:hAnsi="楷体" w:eastAsia="楷体"/>
          <w:kern w:val="2"/>
          <w:sz w:val="21"/>
          <w:szCs w:val="21"/>
        </w:rPr>
        <w:t>机构客户法定代表人或授权代表（签字或盖章）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kern w:val="2"/>
          <w:sz w:val="21"/>
          <w:szCs w:val="21"/>
        </w:rPr>
      </w:pPr>
      <w:r>
        <w:rPr>
          <w:rFonts w:ascii="楷体" w:hAnsi="楷体" w:eastAsia="楷体"/>
          <w:kern w:val="2"/>
          <w:sz w:val="21"/>
          <w:szCs w:val="21"/>
        </w:rPr>
        <w:t>签署日期：</w:t>
      </w:r>
      <w:r>
        <w:rPr>
          <w:rFonts w:hint="eastAsia" w:ascii="楷体" w:hAnsi="楷体" w:eastAsia="楷体"/>
          <w:kern w:val="2"/>
          <w:sz w:val="21"/>
          <w:szCs w:val="21"/>
        </w:rPr>
        <w:t xml:space="preserve">      </w:t>
      </w:r>
      <w:r>
        <w:rPr>
          <w:rFonts w:ascii="楷体" w:hAnsi="楷体" w:eastAsia="楷体"/>
          <w:kern w:val="2"/>
          <w:sz w:val="21"/>
          <w:szCs w:val="21"/>
        </w:rPr>
        <w:t>年</w:t>
      </w:r>
      <w:r>
        <w:rPr>
          <w:rFonts w:hint="eastAsia" w:ascii="楷体" w:hAnsi="楷体" w:eastAsia="楷体"/>
          <w:kern w:val="2"/>
          <w:sz w:val="21"/>
          <w:szCs w:val="21"/>
        </w:rPr>
        <w:t xml:space="preserve">      </w:t>
      </w:r>
      <w:r>
        <w:rPr>
          <w:rFonts w:ascii="楷体" w:hAnsi="楷体" w:eastAsia="楷体"/>
          <w:kern w:val="2"/>
          <w:sz w:val="21"/>
          <w:szCs w:val="21"/>
        </w:rPr>
        <w:t>月</w:t>
      </w:r>
      <w:r>
        <w:rPr>
          <w:rFonts w:hint="eastAsia" w:ascii="楷体" w:hAnsi="楷体" w:eastAsia="楷体"/>
          <w:kern w:val="2"/>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34"/>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86"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87"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14444345" cy="10958195"/>
          <wp:effectExtent l="0" t="0" r="0" b="0"/>
          <wp:wrapNone/>
          <wp:docPr id="85"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14444345" cy="10958195"/>
          <wp:effectExtent l="0" t="0" r="0" b="0"/>
          <wp:wrapNone/>
          <wp:docPr id="88"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drawing>
        <wp:anchor distT="0" distB="0" distL="114300" distR="114300" simplePos="0" relativeHeight="251660288"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6432"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79"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77"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9504" behindDoc="1" locked="0" layoutInCell="0" allowOverlap="1">
          <wp:simplePos x="0" y="0"/>
          <wp:positionH relativeFrom="margin">
            <wp:align>center</wp:align>
          </wp:positionH>
          <wp:positionV relativeFrom="margin">
            <wp:align>center</wp:align>
          </wp:positionV>
          <wp:extent cx="14444345" cy="10958195"/>
          <wp:effectExtent l="0" t="0" r="0" b="0"/>
          <wp:wrapNone/>
          <wp:docPr id="80"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82"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83"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81"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84"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053208E"/>
    <w:multiLevelType w:val="multilevel"/>
    <w:tmpl w:val="0053208E"/>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6">
    <w:nsid w:val="0248C179"/>
    <w:multiLevelType w:val="multilevel"/>
    <w:tmpl w:val="0248C17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D62ECE"/>
    <w:multiLevelType w:val="multilevel"/>
    <w:tmpl w:val="03D62E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ADCABA"/>
    <w:multiLevelType w:val="multilevel"/>
    <w:tmpl w:val="59ADCABA"/>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77518CC"/>
    <w:rsid w:val="5A6F6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character" w:default="1" w:styleId="17">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spacing w:before="162"/>
      <w:ind w:left="120"/>
      <w:jc w:val="left"/>
    </w:pPr>
    <w:rPr>
      <w:rFonts w:ascii="宋体" w:hAnsi="Times New Roman"/>
      <w:sz w:val="20"/>
      <w:szCs w:val="21"/>
    </w:rPr>
  </w:style>
  <w:style w:type="paragraph" w:styleId="6">
    <w:name w:val="Date"/>
    <w:basedOn w:val="1"/>
    <w:next w:val="1"/>
    <w:unhideWhenUsed/>
    <w:qFormat/>
    <w:uiPriority w:val="99"/>
    <w:pPr>
      <w:ind w:left="100"/>
    </w:pPr>
  </w:style>
  <w:style w:type="paragraph" w:styleId="7">
    <w:name w:val="Balloon Text"/>
    <w:basedOn w:val="1"/>
    <w:unhideWhenUsed/>
    <w:qFormat/>
    <w:uiPriority w:val="99"/>
    <w:rPr>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1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14">
    <w:name w:val="annotation subject"/>
    <w:basedOn w:val="4"/>
    <w:next w:val="4"/>
    <w:unhideWhenUsed/>
    <w:qFormat/>
    <w:uiPriority w:val="99"/>
    <w:rPr>
      <w:b/>
      <w:bCs/>
    </w:rPr>
  </w:style>
  <w:style w:type="paragraph" w:styleId="15">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16">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18">
    <w:name w:val="Strong"/>
    <w:qFormat/>
    <w:uiPriority w:val="22"/>
    <w:rPr>
      <w:rFonts w:ascii="Times New Roman" w:hAnsi="Times New Roman" w:eastAsia="宋体" w:cs="Times New Roman"/>
      <w:b/>
      <w:bCs/>
    </w:rPr>
  </w:style>
  <w:style w:type="character" w:styleId="19">
    <w:name w:val="FollowedHyperlink"/>
    <w:basedOn w:val="17"/>
    <w:semiHidden/>
    <w:unhideWhenUsed/>
    <w:qFormat/>
    <w:uiPriority w:val="99"/>
    <w:rPr>
      <w:color w:val="954F72"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unhideWhenUsed/>
    <w:qFormat/>
    <w:uiPriority w:val="99"/>
    <w:rPr>
      <w:rFonts w:ascii="Times New Roman" w:hAnsi="Times New Roman" w:eastAsia="宋体" w:cs="Times New Roman"/>
      <w:color w:val="0000FF"/>
      <w:u w:val="single"/>
    </w:rPr>
  </w:style>
  <w:style w:type="character" w:styleId="22">
    <w:name w:val="annotation reference"/>
    <w:unhideWhenUsed/>
    <w:qFormat/>
    <w:uiPriority w:val="99"/>
    <w:rPr>
      <w:rFonts w:ascii="Times New Roman" w:hAnsi="Times New Roman" w:eastAsia="宋体" w:cs="Times New Roman"/>
      <w:sz w:val="21"/>
      <w:szCs w:val="21"/>
    </w:rPr>
  </w:style>
  <w:style w:type="paragraph" w:customStyle="1" w:styleId="23">
    <w:name w:val="Heading 1"/>
    <w:basedOn w:val="1"/>
    <w:next w:val="1"/>
    <w:link w:val="195"/>
    <w:qFormat/>
    <w:uiPriority w:val="1"/>
    <w:pPr>
      <w:spacing w:before="17"/>
      <w:ind w:left="1144"/>
      <w:jc w:val="left"/>
      <w:outlineLvl w:val="0"/>
    </w:pPr>
    <w:rPr>
      <w:rFonts w:ascii="黑体" w:hAnsi="Times New Roman" w:eastAsia="黑体"/>
      <w:b/>
      <w:bCs/>
      <w:sz w:val="36"/>
      <w:szCs w:val="36"/>
    </w:rPr>
  </w:style>
  <w:style w:type="paragraph" w:customStyle="1" w:styleId="24">
    <w:name w:val="Heading 2"/>
    <w:basedOn w:val="1"/>
    <w:next w:val="1"/>
    <w:link w:val="200"/>
    <w:qFormat/>
    <w:uiPriority w:val="9"/>
    <w:pPr>
      <w:keepNext/>
      <w:keepLines/>
      <w:spacing w:before="260" w:after="260" w:line="416" w:lineRule="auto"/>
      <w:outlineLvl w:val="1"/>
    </w:pPr>
    <w:rPr>
      <w:rFonts w:ascii="Cambria" w:hAnsi="Cambria"/>
      <w:b/>
      <w:bCs/>
      <w:sz w:val="32"/>
      <w:szCs w:val="32"/>
    </w:rPr>
  </w:style>
  <w:style w:type="paragraph" w:customStyle="1" w:styleId="25">
    <w:name w:val="Heading 3"/>
    <w:basedOn w:val="1"/>
    <w:next w:val="1"/>
    <w:link w:val="204"/>
    <w:qFormat/>
    <w:uiPriority w:val="1"/>
    <w:pPr>
      <w:spacing w:before="34"/>
      <w:ind w:left="120"/>
      <w:jc w:val="left"/>
      <w:outlineLvl w:val="2"/>
    </w:pPr>
    <w:rPr>
      <w:rFonts w:ascii="宋体" w:hAnsi="Times New Roman"/>
      <w:b/>
      <w:bCs/>
      <w:sz w:val="20"/>
      <w:szCs w:val="21"/>
    </w:rPr>
  </w:style>
  <w:style w:type="paragraph" w:customStyle="1" w:styleId="26">
    <w:name w:val="Heading 4"/>
    <w:basedOn w:val="1"/>
    <w:next w:val="1"/>
    <w:link w:val="167"/>
    <w:unhideWhenUsed/>
    <w:qFormat/>
    <w:uiPriority w:val="9"/>
    <w:pPr>
      <w:keepNext/>
      <w:keepLines/>
      <w:spacing w:before="80" w:after="40"/>
      <w:outlineLvl w:val="3"/>
    </w:pPr>
    <w:rPr>
      <w:rFonts w:ascii="Arial" w:hAnsi="Arial" w:eastAsia="Arial" w:cs="Arial"/>
      <w:i/>
      <w:iCs/>
      <w:color w:val="2E75B6" w:themeColor="accent1" w:themeShade="BF"/>
    </w:rPr>
  </w:style>
  <w:style w:type="paragraph" w:customStyle="1" w:styleId="27">
    <w:name w:val="Heading 5"/>
    <w:basedOn w:val="1"/>
    <w:next w:val="1"/>
    <w:link w:val="168"/>
    <w:unhideWhenUsed/>
    <w:qFormat/>
    <w:uiPriority w:val="9"/>
    <w:pPr>
      <w:keepNext/>
      <w:keepLines/>
      <w:spacing w:before="80" w:after="40"/>
      <w:outlineLvl w:val="4"/>
    </w:pPr>
    <w:rPr>
      <w:rFonts w:ascii="Arial" w:hAnsi="Arial" w:eastAsia="Arial" w:cs="Arial"/>
      <w:color w:val="2E75B6" w:themeColor="accent1" w:themeShade="BF"/>
    </w:rPr>
  </w:style>
  <w:style w:type="paragraph" w:customStyle="1" w:styleId="28">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customStyle="1" w:styleId="29">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customStyle="1" w:styleId="30">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1">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2">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customStyle="1" w:styleId="33">
    <w:name w:val="Endnote Text"/>
    <w:basedOn w:val="1"/>
    <w:semiHidden/>
    <w:unhideWhenUsed/>
    <w:qFormat/>
    <w:uiPriority w:val="99"/>
    <w:pPr>
      <w:spacing w:after="0" w:line="240" w:lineRule="auto"/>
    </w:pPr>
    <w:rPr>
      <w:sz w:val="20"/>
      <w:szCs w:val="20"/>
    </w:rPr>
  </w:style>
  <w:style w:type="paragraph" w:customStyle="1" w:styleId="34">
    <w:name w:val="Footer"/>
    <w:basedOn w:val="1"/>
    <w:unhideWhenUsed/>
    <w:qFormat/>
    <w:uiPriority w:val="99"/>
    <w:pPr>
      <w:tabs>
        <w:tab w:val="center" w:pos="4153"/>
        <w:tab w:val="right" w:pos="8306"/>
      </w:tabs>
      <w:jc w:val="left"/>
    </w:pPr>
    <w:rPr>
      <w:sz w:val="18"/>
      <w:szCs w:val="18"/>
    </w:rPr>
  </w:style>
  <w:style w:type="paragraph" w:customStyle="1" w:styleId="35">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6">
    <w:name w:val="Footnote Text"/>
    <w:basedOn w:val="1"/>
    <w:unhideWhenUsed/>
    <w:qFormat/>
    <w:uiPriority w:val="99"/>
    <w:pPr>
      <w:jc w:val="left"/>
    </w:pPr>
    <w:rPr>
      <w:sz w:val="18"/>
      <w:szCs w:val="18"/>
    </w:rPr>
  </w:style>
  <w:style w:type="paragraph" w:customStyle="1" w:styleId="37">
    <w:name w:val="Table of Figures"/>
    <w:basedOn w:val="1"/>
    <w:next w:val="1"/>
    <w:unhideWhenUsed/>
    <w:qFormat/>
    <w:uiPriority w:val="99"/>
    <w:pPr>
      <w:spacing w:after="0" w:afterAutospacing="0"/>
    </w:pPr>
  </w:style>
  <w:style w:type="character" w:customStyle="1" w:styleId="38">
    <w:name w:val="Endnote Reference"/>
    <w:basedOn w:val="17"/>
    <w:semiHidden/>
    <w:unhideWhenUsed/>
    <w:qFormat/>
    <w:uiPriority w:val="99"/>
    <w:rPr>
      <w:vertAlign w:val="superscript"/>
    </w:rPr>
  </w:style>
  <w:style w:type="character" w:customStyle="1" w:styleId="39">
    <w:name w:val="Footnote Reference"/>
    <w:unhideWhenUsed/>
    <w:qFormat/>
    <w:uiPriority w:val="99"/>
    <w:rPr>
      <w:rFonts w:ascii="Times New Roman" w:hAnsi="Times New Roman" w:eastAsia="宋体" w:cs="Times New Roman"/>
      <w:vertAlign w:val="superscript"/>
    </w:rPr>
  </w:style>
  <w:style w:type="table" w:customStyle="1" w:styleId="40">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2">
    <w:name w:val="Plain Table 2"/>
    <w:basedOn w:val="3"/>
    <w:qFormat/>
    <w:uiPriority w:val="59"/>
    <w:pPr>
      <w:spacing w:after="0" w:line="240" w:lineRule="auto"/>
    </w:p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5">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6">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4">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5">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6">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7">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8">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9">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0">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1">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2">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3">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4">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5">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6">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7">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8">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9">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70">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71">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2">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3">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4">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5">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6">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7">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8">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9">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80">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3">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4">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5">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6">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7">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8">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0">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1">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2">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3">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4">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5">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6">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7">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8">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9">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100">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101">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2">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3">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4">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5">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6">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7">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8">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9">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10">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11">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2">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3">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4">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5">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6">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7">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8">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9">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20">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21">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2">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3">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4">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5">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6">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7">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8">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9">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0">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1">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2">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6">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7">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8">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9">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3">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4">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5">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6">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7">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8">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9">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0">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51">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2">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3">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4">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5">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6">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7">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8">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9">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60">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61">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2">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3">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4">
    <w:name w:val="Heading 1 Char"/>
    <w:basedOn w:val="17"/>
    <w:qFormat/>
    <w:uiPriority w:val="9"/>
    <w:rPr>
      <w:rFonts w:ascii="Arial" w:hAnsi="Arial" w:eastAsia="Arial" w:cs="Arial"/>
      <w:color w:val="2E75B6" w:themeColor="accent1" w:themeShade="BF"/>
      <w:sz w:val="40"/>
      <w:szCs w:val="40"/>
    </w:rPr>
  </w:style>
  <w:style w:type="character" w:customStyle="1" w:styleId="165">
    <w:name w:val="Heading 2 Char"/>
    <w:basedOn w:val="17"/>
    <w:qFormat/>
    <w:uiPriority w:val="9"/>
    <w:rPr>
      <w:rFonts w:ascii="Arial" w:hAnsi="Arial" w:eastAsia="Arial" w:cs="Arial"/>
      <w:color w:val="2E75B6" w:themeColor="accent1" w:themeShade="BF"/>
      <w:sz w:val="32"/>
      <w:szCs w:val="32"/>
    </w:rPr>
  </w:style>
  <w:style w:type="character" w:customStyle="1" w:styleId="166">
    <w:name w:val="Heading 3 Char"/>
    <w:basedOn w:val="17"/>
    <w:qFormat/>
    <w:uiPriority w:val="9"/>
    <w:rPr>
      <w:rFonts w:ascii="Arial" w:hAnsi="Arial" w:eastAsia="Arial" w:cs="Arial"/>
      <w:color w:val="2E75B6" w:themeColor="accent1" w:themeShade="BF"/>
      <w:sz w:val="28"/>
      <w:szCs w:val="28"/>
    </w:rPr>
  </w:style>
  <w:style w:type="character" w:customStyle="1" w:styleId="167">
    <w:name w:val="Heading 4 Char"/>
    <w:basedOn w:val="17"/>
    <w:link w:val="26"/>
    <w:qFormat/>
    <w:uiPriority w:val="9"/>
    <w:rPr>
      <w:rFonts w:ascii="Arial" w:hAnsi="Arial" w:eastAsia="Arial" w:cs="Arial"/>
      <w:i/>
      <w:iCs/>
      <w:color w:val="2E75B6" w:themeColor="accent1" w:themeShade="BF"/>
    </w:rPr>
  </w:style>
  <w:style w:type="character" w:customStyle="1" w:styleId="168">
    <w:name w:val="Heading 5 Char"/>
    <w:basedOn w:val="17"/>
    <w:link w:val="27"/>
    <w:qFormat/>
    <w:uiPriority w:val="9"/>
    <w:rPr>
      <w:rFonts w:ascii="Arial" w:hAnsi="Arial" w:eastAsia="Arial" w:cs="Arial"/>
      <w:color w:val="2E75B6" w:themeColor="accent1" w:themeShade="BF"/>
    </w:rPr>
  </w:style>
  <w:style w:type="character" w:customStyle="1" w:styleId="169">
    <w:name w:val="Heading 6 Char"/>
    <w:basedOn w:val="17"/>
    <w:link w:val="2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17"/>
    <w:link w:val="2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17"/>
    <w:link w:val="3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17"/>
    <w:link w:val="3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17"/>
    <w:qFormat/>
    <w:uiPriority w:val="10"/>
    <w:rPr>
      <w:rFonts w:ascii="Arial" w:hAnsi="Arial" w:eastAsia="Arial" w:cs="Arial"/>
      <w:spacing w:val="-10"/>
      <w:sz w:val="56"/>
      <w:szCs w:val="56"/>
    </w:rPr>
  </w:style>
  <w:style w:type="character" w:customStyle="1" w:styleId="174">
    <w:name w:val="Subtitle Char"/>
    <w:basedOn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17"/>
    <w:qFormat/>
    <w:uiPriority w:val="29"/>
    <w:rPr>
      <w:i/>
      <w:iCs/>
      <w:color w:val="404040" w:themeColor="text1" w:themeTint="BF"/>
      <w14:textFill>
        <w14:solidFill>
          <w14:schemeClr w14:val="tx1">
            <w14:lumMod w14:val="75000"/>
            <w14:lumOff w14:val="25000"/>
          </w14:schemeClr>
        </w14:solidFill>
      </w14:textFill>
    </w:rPr>
  </w:style>
  <w:style w:type="character" w:customStyle="1" w:styleId="177">
    <w:name w:val="Intense Emphasis"/>
    <w:basedOn w:val="17"/>
    <w:qFormat/>
    <w:uiPriority w:val="21"/>
    <w:rPr>
      <w:i/>
      <w:iCs/>
      <w:color w:val="2E75B6" w:themeColor="accent1" w:themeShade="BF"/>
    </w:rPr>
  </w:style>
  <w:style w:type="paragraph" w:styleId="178">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9">
    <w:name w:val="Intense Quote Char"/>
    <w:basedOn w:val="17"/>
    <w:qFormat/>
    <w:uiPriority w:val="30"/>
    <w:rPr>
      <w:i/>
      <w:iCs/>
      <w:color w:val="2E75B6" w:themeColor="accent1" w:themeShade="BF"/>
    </w:rPr>
  </w:style>
  <w:style w:type="character" w:customStyle="1" w:styleId="180">
    <w:name w:val="Intense Reference"/>
    <w:basedOn w:val="17"/>
    <w:qFormat/>
    <w:uiPriority w:val="32"/>
    <w:rPr>
      <w:b/>
      <w:bCs/>
      <w:smallCaps/>
      <w:color w:val="2E75B6" w:themeColor="accent1" w:themeShade="BF"/>
      <w:spacing w:val="5"/>
    </w:rPr>
  </w:style>
  <w:style w:type="paragraph" w:styleId="181">
    <w:name w:val="No Spacing"/>
    <w:basedOn w:val="1"/>
    <w:link w:val="199"/>
    <w:qFormat/>
    <w:uiPriority w:val="1"/>
    <w:pPr>
      <w:spacing w:after="0" w:line="240" w:lineRule="auto"/>
    </w:pPr>
  </w:style>
  <w:style w:type="character" w:customStyle="1" w:styleId="182">
    <w:name w:val="Subtle Emphasis"/>
    <w:basedOn w:val="17"/>
    <w:qFormat/>
    <w:uiPriority w:val="19"/>
    <w:rPr>
      <w:i/>
      <w:iCs/>
      <w:color w:val="404040" w:themeColor="text1" w:themeTint="BF"/>
      <w14:textFill>
        <w14:solidFill>
          <w14:schemeClr w14:val="tx1">
            <w14:lumMod w14:val="75000"/>
            <w14:lumOff w14:val="25000"/>
          </w14:schemeClr>
        </w14:solidFill>
      </w14:textFill>
    </w:rPr>
  </w:style>
  <w:style w:type="character" w:customStyle="1" w:styleId="183">
    <w:name w:val="Subtle Reference"/>
    <w:basedOn w:val="1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4">
    <w:name w:val="Book Title"/>
    <w:basedOn w:val="17"/>
    <w:qFormat/>
    <w:uiPriority w:val="33"/>
    <w:rPr>
      <w:b/>
      <w:bCs/>
      <w:i/>
      <w:iCs/>
      <w:spacing w:val="5"/>
    </w:rPr>
  </w:style>
  <w:style w:type="character" w:customStyle="1" w:styleId="185">
    <w:name w:val="Header Char"/>
    <w:basedOn w:val="17"/>
    <w:qFormat/>
    <w:uiPriority w:val="99"/>
  </w:style>
  <w:style w:type="character" w:customStyle="1" w:styleId="186">
    <w:name w:val="Footer Char"/>
    <w:basedOn w:val="17"/>
    <w:qFormat/>
    <w:uiPriority w:val="99"/>
  </w:style>
  <w:style w:type="character" w:customStyle="1" w:styleId="187">
    <w:name w:val="Footnote Text Char"/>
    <w:basedOn w:val="17"/>
    <w:semiHidden/>
    <w:qFormat/>
    <w:uiPriority w:val="99"/>
    <w:rPr>
      <w:sz w:val="20"/>
      <w:szCs w:val="20"/>
    </w:rPr>
  </w:style>
  <w:style w:type="character" w:customStyle="1" w:styleId="188">
    <w:name w:val="Endnote Text Char"/>
    <w:basedOn w:val="17"/>
    <w:semiHidden/>
    <w:qFormat/>
    <w:uiPriority w:val="99"/>
    <w:rPr>
      <w:sz w:val="20"/>
      <w:szCs w:val="20"/>
    </w:rPr>
  </w:style>
  <w:style w:type="paragraph" w:customStyle="1" w:styleId="189">
    <w:name w:val="TOC Heading"/>
    <w:unhideWhenUsed/>
    <w:qFormat/>
    <w:uiPriority w:val="39"/>
    <w:rPr>
      <w:rFonts w:hint="default" w:ascii="Times New Roman" w:hAnsi="Times New Roman" w:eastAsia="宋体" w:cs="Times New Roman"/>
      <w:lang w:val="en-US" w:eastAsia="en-US" w:bidi="ar-SA"/>
    </w:rPr>
  </w:style>
  <w:style w:type="paragraph" w:customStyle="1" w:styleId="190">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91">
    <w:name w:val="Table Paragraph"/>
    <w:basedOn w:val="1"/>
    <w:qFormat/>
    <w:uiPriority w:val="1"/>
    <w:pPr>
      <w:jc w:val="left"/>
    </w:pPr>
    <w:rPr>
      <w:rFonts w:ascii="Times New Roman" w:hAnsi="Times New Roman" w:cs="Times New Roman"/>
      <w:sz w:val="24"/>
      <w:szCs w:val="24"/>
    </w:rPr>
  </w:style>
  <w:style w:type="paragraph" w:styleId="192">
    <w:name w:val="List Paragraph"/>
    <w:basedOn w:val="1"/>
    <w:qFormat/>
    <w:uiPriority w:val="72"/>
    <w:pPr>
      <w:ind w:firstLine="420"/>
    </w:pPr>
  </w:style>
  <w:style w:type="paragraph" w:customStyle="1" w:styleId="193">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4">
    <w:name w:val="页眉 Char"/>
    <w:qFormat/>
    <w:uiPriority w:val="99"/>
    <w:rPr>
      <w:rFonts w:ascii="Times New Roman" w:hAnsi="Times New Roman" w:eastAsia="宋体" w:cs="Times New Roman"/>
      <w:sz w:val="18"/>
      <w:szCs w:val="18"/>
    </w:rPr>
  </w:style>
  <w:style w:type="character" w:customStyle="1" w:styleId="195">
    <w:name w:val="标题 1 Char"/>
    <w:link w:val="23"/>
    <w:qFormat/>
    <w:uiPriority w:val="1"/>
    <w:rPr>
      <w:rFonts w:ascii="黑体" w:hAnsi="Times New Roman" w:eastAsia="黑体" w:cs="黑体"/>
      <w:b/>
      <w:bCs/>
      <w:sz w:val="36"/>
      <w:szCs w:val="36"/>
    </w:rPr>
  </w:style>
  <w:style w:type="character" w:customStyle="1" w:styleId="196">
    <w:name w:val="批注文字 Char"/>
    <w:qFormat/>
    <w:uiPriority w:val="99"/>
    <w:rPr>
      <w:rFonts w:ascii="Times New Roman" w:hAnsi="Times New Roman" w:eastAsia="宋体" w:cs="Times New Roman"/>
      <w:sz w:val="21"/>
      <w:szCs w:val="22"/>
    </w:rPr>
  </w:style>
  <w:style w:type="character" w:customStyle="1" w:styleId="197">
    <w:name w:val="脚注文本 Char"/>
    <w:semiHidden/>
    <w:qFormat/>
    <w:uiPriority w:val="99"/>
    <w:rPr>
      <w:rFonts w:ascii="Times New Roman" w:hAnsi="Times New Roman" w:eastAsia="宋体" w:cs="Times New Roman"/>
      <w:sz w:val="18"/>
      <w:szCs w:val="18"/>
    </w:rPr>
  </w:style>
  <w:style w:type="character" w:customStyle="1" w:styleId="198">
    <w:name w:val="页脚 Char"/>
    <w:qFormat/>
    <w:uiPriority w:val="99"/>
    <w:rPr>
      <w:rFonts w:ascii="Times New Roman" w:hAnsi="Times New Roman" w:eastAsia="宋体" w:cs="Times New Roman"/>
      <w:sz w:val="18"/>
      <w:szCs w:val="18"/>
    </w:rPr>
  </w:style>
  <w:style w:type="character" w:customStyle="1" w:styleId="199">
    <w:name w:val="批注框文本 Char"/>
    <w:link w:val="181"/>
    <w:semiHidden/>
    <w:qFormat/>
    <w:uiPriority w:val="99"/>
    <w:rPr>
      <w:rFonts w:ascii="Times New Roman" w:hAnsi="Times New Roman" w:eastAsia="宋体" w:cs="Times New Roman"/>
      <w:sz w:val="18"/>
      <w:szCs w:val="18"/>
    </w:rPr>
  </w:style>
  <w:style w:type="character" w:customStyle="1" w:styleId="200">
    <w:name w:val="标题 2 Char"/>
    <w:link w:val="24"/>
    <w:qFormat/>
    <w:uiPriority w:val="9"/>
    <w:rPr>
      <w:rFonts w:ascii="Cambria" w:hAnsi="Cambria" w:eastAsia="宋体" w:cs="Times New Roman"/>
      <w:b/>
      <w:bCs/>
      <w:sz w:val="32"/>
      <w:szCs w:val="32"/>
    </w:rPr>
  </w:style>
  <w:style w:type="character" w:customStyle="1" w:styleId="201">
    <w:name w:val="日期 Char"/>
    <w:basedOn w:val="17"/>
    <w:semiHidden/>
    <w:qFormat/>
    <w:uiPriority w:val="99"/>
    <w:rPr>
      <w:rFonts w:ascii="Times New Roman" w:hAnsi="Times New Roman" w:eastAsia="宋体" w:cs="Times New Roman"/>
    </w:rPr>
  </w:style>
  <w:style w:type="character" w:customStyle="1" w:styleId="202">
    <w:name w:val="脚注文本 字符"/>
    <w:semiHidden/>
    <w:qFormat/>
    <w:uiPriority w:val="99"/>
    <w:rPr>
      <w:rFonts w:ascii="Times New Roman" w:hAnsi="Times New Roman" w:eastAsia="宋体" w:cs="Times New Roman"/>
      <w:sz w:val="18"/>
      <w:szCs w:val="18"/>
    </w:rPr>
  </w:style>
  <w:style w:type="character" w:customStyle="1" w:styleId="203">
    <w:name w:val="批注主题 Char"/>
    <w:semiHidden/>
    <w:qFormat/>
    <w:uiPriority w:val="99"/>
    <w:rPr>
      <w:rFonts w:ascii="Times New Roman" w:hAnsi="Times New Roman" w:eastAsia="宋体" w:cs="Times New Roman"/>
      <w:b/>
      <w:bCs/>
      <w:sz w:val="21"/>
      <w:szCs w:val="22"/>
    </w:rPr>
  </w:style>
  <w:style w:type="character" w:customStyle="1" w:styleId="204">
    <w:name w:val="标题 3 Char"/>
    <w:link w:val="25"/>
    <w:qFormat/>
    <w:uiPriority w:val="1"/>
    <w:rPr>
      <w:rFonts w:ascii="宋体" w:hAnsi="Times New Roman" w:eastAsia="宋体" w:cs="宋体"/>
      <w:b/>
      <w:bCs/>
      <w:szCs w:val="21"/>
    </w:rPr>
  </w:style>
  <w:style w:type="character" w:customStyle="1" w:styleId="205">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7.xml"/><Relationship Id="rId22" Type="http://schemas.openxmlformats.org/officeDocument/2006/relationships/customXml" Target="../customXml/item6.xml"/><Relationship Id="rId21" Type="http://schemas.openxmlformats.org/officeDocument/2006/relationships/customXml" Target="../customXml/item5.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6.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7.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cc0fe-461e-4424-b4b8-3541073202c9}">
  <ds:schemaRefs/>
</ds:datastoreItem>
</file>

<file path=customXml/itemProps3.xml><?xml version="1.0" encoding="utf-8"?>
<ds:datastoreItem xmlns:ds="http://schemas.openxmlformats.org/officeDocument/2006/customXml" ds:itemID="{0a0901e2-dcb3-4dad-b664-518569e01004}">
  <ds:schemaRefs/>
</ds:datastoreItem>
</file>

<file path=customXml/itemProps4.xml><?xml version="1.0" encoding="utf-8"?>
<ds:datastoreItem xmlns:ds="http://schemas.openxmlformats.org/officeDocument/2006/customXml" ds:itemID="{7dbb3b6b-a938-4708-ae67-4a44c9e2ee04}">
  <ds:schemaRefs/>
</ds:datastoreItem>
</file>

<file path=customXml/itemProps5.xml><?xml version="1.0" encoding="utf-8"?>
<ds:datastoreItem xmlns:ds="http://schemas.openxmlformats.org/officeDocument/2006/customXml" ds:itemID="{D27390BD-7426-4027-9FC0-E8D34A2B4CAC}">
  <ds:schemaRefs/>
</ds:datastoreItem>
</file>

<file path=customXml/itemProps6.xml><?xml version="1.0" encoding="utf-8"?>
<ds:datastoreItem xmlns:ds="http://schemas.openxmlformats.org/officeDocument/2006/customXml" ds:itemID="{B4CA3D73-F516-4AFA-B4B8-D6BB46C8E545}">
  <ds:schemaRefs/>
</ds:datastoreItem>
</file>

<file path=customXml/itemProps7.xml><?xml version="1.0" encoding="utf-8"?>
<ds:datastoreItem xmlns:ds="http://schemas.openxmlformats.org/officeDocument/2006/customXml" ds:itemID="{EF1B1EE3-10EF-4AF2-946A-673B99C1B38C}">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2026-09-11T08:36:32Z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