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苏银理财恒源封闭债权371期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5"/>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产品登记编码：Z7003126000426</w:t>
      </w:r>
    </w:p>
    <w:p>
      <w:pPr>
        <w:pStyle w:val="28"/>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苏银理财恒源封闭债权371期</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Z7003126000426</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苏银理财恒源封闭债权371期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A份额：J29214（销售名称：苏银理财恒源封闭债权371期13月A）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B份额：J29215（销售名称：苏银理财恒源封闭债权371期13月B）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C份额：J29216（销售名称：苏银理财恒源封闭债权371期13月C）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D份额：J29217（销售名称：苏银理财恒源封闭债权371期13月D）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E份额：J29218（销售名称：苏银理财恒源封闭债权371期13月E）</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G份额：J29219（销售名称：苏银理财恒源封闭债权371期13月G）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I份额：J29220（销售名称：苏银理财恒源封闭债权371期13月I）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K份额：J29221（销售名称：苏银理财恒源封闭债权371期13月K（新客专属））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M份额：J29222（销售名称：苏银理财恒源封闭债权371期13月M）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N份额：J29223（销售名称：苏银理财恒源封闭债权371期13月N）</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O份额：J29224（销售名称：苏银理财恒源封闭债权371期13月O）</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P份额：J29225（销售名称：苏银理财恒源封闭债权371期13月P）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Q份额：J29226（销售名称：苏银理财恒源封闭债权371期13月Q）</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R份额：J29227（销售名称：苏银理财恒源封闭债权371期13月R）</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S份额：J29228（销售名称：苏银理财恒源封闭债权371期13月S）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U份额：J29229（销售名称：苏银理财恒源封闭债权371期13月U）</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JS份额：J29230（销售名称：苏银理财恒源封闭债权371期13月JS鑫福款）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LS份额：J29231（销售名称：苏银理财恒源封闭债权371期13月LS）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WF份额：J29233（销售名称：苏银理财恒源封闭债权371期13月WF）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F份额：J29234（销售名称：苏银理财恒源封闭债权371期13月F）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H份额：J29235（销售名称：苏银理财恒源封闭债权371期13月H）</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T份额：J29236（销售名称：苏银理财恒源封闭债权371期13月T（儒衢增益·衢州专享））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芙蓉锦程·优选份额：J29237（销售名称：苏银理财恒源封闭债权371期13月(芙蓉锦程·优选)）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芙蓉锦程·优选-尊享款份额：J29238（销售名称：苏银理财恒源封闭债权371期13月(芙蓉锦程·优选-尊享款)）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B1份额：J29239（销售名称：苏银理财恒源封闭债权371期13月B1（大同专享））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X份额：J29240（销售名称：苏银理财恒源封闭债权371期13月X（恒盈财富专属））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（2）东营银行股份有限公司：P份额、F份额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（3）东莞农村商业银行股份有限公司：B份额、O份额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（4）广东华润银行股份有限公司：F份额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（5）广西北部湾银行股份有限公司：Q份额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（7）杭州联合农村商业银行股份有限公司：I份额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（8）河北银行股份有限公司：LS份额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（9）湖北银行股份有限公司：O份额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（10）湖州吴兴农村商业银行股份有限公司：Q份额、S份额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（11）吉林银行股份有限公司：H份额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（12）嘉兴银行股份有限公司：U份额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（13）江苏常熟农村商业银行股份有限公司：A份额、E份额、G份额、JS份额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（14）江苏大丰农村商业银行股份有限公司：JS份额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（15）江苏东海农村商业银行股份有限公司：JS份额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（16）江苏东台农村商业银行股份有限公司：JS份额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（17）江苏丰县农村商业银行股份有限公司：JS份额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（18）江苏阜宁农村商业银行股份有限公司：JS份额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（19）江苏赣榆农村商业银行股份有限公司：JS份额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（20）江苏高淳农村商业银行股份有限公司：A份额、JS份额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（21）江苏高邮农村商业银行股份有限公司：JS份额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（22）江苏灌南农村商业银行股份有限公司：JS份额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（23）江苏灌云农村商业银行股份有限公司：JS份额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（24）江苏海安农村商业银行股份有限公司：JS份额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（25）江苏海门农村商业银行股份有限公司：JS份额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（26）江苏淮安农村商业银行股份有限公司：JS份额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（27）江苏建湖农村商业银行股份有限公司：JS份额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（28）江苏姜堰农村商业银行股份有限公司：A份额、JS份额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（29）江苏江都农村商业银行股份有限公司：JS份额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（30）江苏金湖农村商业银行股份有限公司：JS份额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（31）江苏靖江农村商业银行股份有限公司：JS份额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（32）江苏句容农村商业银行股份有限公司：JS份额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（33）江苏民丰农村商业银行股份有限公司：JS份额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（34）江苏沛县农村商业银行股份有限公司：JS份额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（35）江苏启东农村商业银行股份有限公司：JS份额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（36）江苏如东农村商业银行股份有限公司：JS份额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（37）江苏如皋农村商业银行股份有限公司：JS份额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（38）江苏射阳农村商业银行股份有限公司：JS份额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（39）江苏苏州农村商业银行股份有限公司：G份额、F份额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（40）江苏泰兴农村商业银行股份有限公司：JS份额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（41）江苏响水农村商业银行股份有限公司：JS份额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（42）江苏新沂农村商业银行股份有限公司：JS份额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（43）江苏盐城农村商业银行股份有限公司：JS份额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（44）江苏扬中农村商业银行股份有限公司：JS份额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（45）江苏扬州农村商业银行股份有限公司：JS份额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（46）江苏仪征农村商业银行股份有限公司：JS份额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（47）江苏宜兴农村商业银行股份有限公司：E份额、JS份额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（48）江苏银行股份有限公司：A份额、C份额、E份额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（49）江苏张家港农村商业银行股份有限公司：JS份额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（50）江苏镇江农村商业银行股份有限公司：JS份额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（51）江苏紫金农村商业银行股份有限公司：JS份额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（52）江苏邳州农村商业银行股份有限公司：JS份额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（53）江苏沭阳农村商业银行股份有限公司：JS份额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（54）江苏泗洪农村商业银行股份有限公司：JS份额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（55）江苏泗阳农村商业银行股份有限公司：JS份额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（56）江苏溧水农村商业银行股份有限公司：JS份额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（57）江苏睢宁农村商业银行股份有限公司：JS份额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（58）晋商银行股份有限公司：B份额、B1份额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（59）九江银行股份有限公司：O份额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（60）莱商银行股份有限公司：Q份额、LS份额、F份额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（61）连云港东方农村商业银行股份有限公司：JS份额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（62）宁波慈溪农村商业银行股份有限公司：I份额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（63）宁波东海银行股份有限公司：D份额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（64）宁波宁海农村商业银行股份有限公司：I份额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（65）宁波余姚农村商业银行股份有限公司：I份额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（66）宁波镇海农村商业银行股份有限公司：I份额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（67）宁波鄞州农村商业银行股份有限公司：I份额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（68）宁波甬城农村商业银行股份有限公司：I份额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（69）宁夏银行股份有限公司：C份额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（70）齐鲁银行股份有限公司：B份额、D份额、Q份额、R份额、F份额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（71）秦皇岛银行股份有限公司：F份额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（72）青岛银行股份有限公司：G份额、N份额、Q份额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（73）日照银行股份有限公司：Q份额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（74）山西银行股份有限公司：G份额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（75）上海银行股份有限公司：N份额、F份额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（76）苏银理财有限责任公司：Q份额、X份额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（77）泰安银行股份有限公司：Q份额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（78）潍坊银行股份有限公司：WF份额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（79）武汉农村商业银行股份有限公司：D份额、K份额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（80）兴业银行股份有限公司：N份额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（81）徐州农村商业银行股份有限公司：JS份额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（82）浙江安吉农村商业银行股份有限公司：D份额、Q份额、S份额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（83）浙江苍南农村商业银行股份有限公司：Q份额、S份额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（84）浙江长兴农村商业银行股份有限公司：Q份额、S份额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（85）浙江淳安农村商业银行股份有限公司：Q份额、R份额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（86）浙江德清农村商业银行股份有限公司：D份额、Q份额、S份额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（87）浙江东阳农村商业银行股份有限公司：D份额、Q份额、R份额、S份额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（88）浙江富阳农村商业银行股份有限公司：I份额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（89）浙江海宁农村商业银行股份有限公司：Q份额、R份额、S份额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（90）浙江海盐农村商业银行股份有限公司：Q份额、R份额、S份额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（91）浙江杭州余杭农村商业银行股份有限公司：I份额、P份额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（92）浙江禾城农村商业银行股份有限公司：D份额、Q份额、S份额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（93）浙江嘉善农村商业银行股份有限公司：D份额、Q份额、R份额、S份额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（94）浙江建德农村商业银行股份有限公司：I份额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（95）浙江江山农村商业银行股份有限公司：D份额、Q份额、S份额、T份额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（96）浙江金华成泰农村商业银行股份有限公司：Q份额、S份额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（97）浙江开化农村商业银行股份有限公司：Q份额、S份额、T份额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（98）浙江兰溪农村商业银行股份有限公司：Q份额、S份额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（99）浙江乐清农村商业银行股份有限公司：Q份额、S份额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（100）浙江临安农村商业银行股份有限公司：I份额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（101）浙江临海农村商业银行股份有限公司：Q份额、S份额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（102）浙江龙泉农村商业银行股份有限公司：Q份额、S份额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（103）浙江龙游农村商业银行股份有限公司：Q份额、S份额、T份额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（104）浙江南浔农村商业银行股份有限公司：D份额、Q份额、S份额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（105）浙江平湖农村商业银行股份有限公司：D份额、Q份额、S份额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（106）浙江浦江农村商业银行股份有限公司：Q份额、S份额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（107）浙江青田农村商业银行股份有限公司：D份额、Q份额、R份额、S份额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（108）浙江瑞安农村商业银行股份有限公司：Q份额、R份额、S份额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（109）浙江上虞农村商业银行股份有限公司：Q份额、S份额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（110）浙江绍兴恒信农村商业银行股份有限公司：D份额、Q份额、S份额、X份额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（111）浙江绍兴瑞丰农村商业银行股份有限公司：D份额、Q份额、R份额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（112）浙江松阳农村商业银行股份有限公司：D份额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（113）浙江遂昌农村商业银行股份有限公司：Q份额、S份额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（114）浙江台州黄岩农村商业银行股份有限公司：Q份额、S份额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（115）浙江台州路桥农村商业银行股份有限公司：Q份额、S份额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（116）浙江泰顺农村商业银行股份有限公司：Q份额、S份额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（117）浙江天台农村商业银行股份有限公司：Q份额、S份额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（118）浙江桐庐农村商业银行股份有限公司：I份额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（119）浙江桐乡农村商业银行股份有限公司：D份额、Q份额、S份额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（120）浙江温岭农村商业银行股份有限公司：Q份额、S份额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（121）浙江温州龙湾农村商业银行股份有限公司：Q份额、S份额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（122）浙江温州鹿城农村商业银行股份有限公司：Q份额、S份额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（123）浙江温州瓯海农村商业银行股份有限公司：D份额、Q份额、S份额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（124）浙江文成农村商业银行股份有限公司：Q份额、S份额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（125）浙江武义农村商业银行股份有限公司：Q份额、S份额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（126）浙江仙居农村商业银行股份有限公司：Q份额、S份额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（127）浙江萧山农村商业银行股份有限公司：I份额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（128）浙江新昌农村商业银行股份有限公司：Q份额、S份额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（129）浙江义乌农村商业银行股份有限公司：D份额、Q份额、S份额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（130）浙江永嘉农村商业银行股份有限公司：Q份额、S份额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（131）浙江永康农村商业银行股份有限公司：Q份额、R份额、S份额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（132）浙江舟山定海海洋农村商业银行股份有限公司：D份额、Q份额、S份额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（133）浙江舟山普陀农村商业银行股份有限公司：Q份额、S份额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（134）浙江诸暨农村商业银行股份有限公司：D份额、Q份额、S份额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（135）浙江岱山农村商业银行股份有限公司：D份额、Q份额、R份额、S份额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（136）浙江嵊州农村商业银行股份有限公司：Q份额、S份额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（137）浙江衢州柯城农村商业银行股份有限公司：D份额、Q份额、S份额、T份额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（138）浙江衢州衢江农村商业银行股份有限公司：Q份额、S份额、T份额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（139）浙江缙云农村商业银行股份有限公司：Q份额、S份额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（140）郑州银行股份有限公司：N份额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（141）重庆农村商业银行股份有限公司：D份额、M份额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（142）成都银行股份有限公司：</w:t>
            </w:r>
            <w:r>
              <w:rPr>
                <w:rFonts w:hint="eastAsia" w:ascii="楷体" w:hAnsi="楷体" w:eastAsia="楷体" w:cs="楷体"/>
                <w:bCs/>
                <w:color w:val="000000"/>
                <w:sz w:val="20"/>
                <w:szCs w:val="20"/>
                <w:highlight w:val="none"/>
                <w:lang w:val="en-US" w:eastAsia="zh-CN"/>
              </w:rPr>
              <w:t>芙蓉锦程·优选</w:t>
            </w:r>
            <w:r>
              <w:rPr>
                <w:rFonts w:hint="eastAsia" w:ascii="楷体" w:hAnsi="楷体" w:eastAsia="楷体" w:cs="楷体"/>
                <w:color w:val="000000"/>
                <w:sz w:val="20"/>
                <w:szCs w:val="20"/>
                <w:highlight w:val="none"/>
                <w:lang w:val="en-US" w:eastAsia="zh-CN"/>
              </w:rPr>
              <w:t>份额、</w:t>
            </w:r>
            <w:r>
              <w:rPr>
                <w:rFonts w:hint="eastAsia" w:ascii="楷体" w:hAnsi="楷体" w:eastAsia="楷体" w:cs="楷体"/>
                <w:bCs/>
                <w:color w:val="000000"/>
                <w:sz w:val="20"/>
                <w:szCs w:val="20"/>
                <w:highlight w:val="none"/>
                <w:lang w:val="en-US" w:eastAsia="zh-CN"/>
              </w:rPr>
              <w:t>芙蓉锦程·优选-尊享款</w:t>
            </w:r>
            <w:r>
              <w:rPr>
                <w:rFonts w:hint="eastAsia" w:ascii="楷体" w:hAnsi="楷体" w:eastAsia="楷体" w:cs="楷体"/>
                <w:color w:val="000000"/>
                <w:sz w:val="20"/>
                <w:szCs w:val="20"/>
                <w:highlight w:val="none"/>
                <w:lang w:val="en-US" w:eastAsia="zh-CN"/>
              </w:rPr>
              <w:t>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（143）徽商银行股份有限公司：A份额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（144）上海农村商业银行股份有限公司：B份额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个人、机构，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E份额：个人、机构，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I份额：个人、机构；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K份额：个人、机构；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M份额：个人、机构；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N份额：个人、机构；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O份额：个人、机构；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R份额：个人、机构；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U份额：个人、机构；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WF份额：个人、机构；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H份额：个人、机构；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T份额：个人、机构；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芙蓉锦程·优选-尊享款份额：个人、机构；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X份额：个人、机构。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T份额：1元；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B1份额：1元；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T份额：1元；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B1份额：1元；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8"/>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2026年9月22日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2027年10月26日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398</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B份额：0.30%；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C份额：0.20%；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D份额：0.20%；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E份额：0.20%；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G份额：0.30%；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I份额：0.15%；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K份额：0.10%；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M份额：0.35%；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N份额：0.25%；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O份额：0.30%；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P份额：0.15%；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Q份额：0.10%；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R份额：0.05%；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S份额：0.15%；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U份额：0.20%；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JS份额：0.20%；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LS份额：0.15%；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WF份额：0.05%；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F份额：0.20%；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H份额：0.20%；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T份额：0.01%；</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芙蓉锦程·优选份额：0.15%；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芙蓉锦程·优选-尊享款份额：0.05%；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B1份额：0.15%；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X份额：0.05%。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B份额：0.10%；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C份额：0.15%；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D份额：0.10%；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E份额：0.10%；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G份额：0.15%；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I份额：0.25%；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K份额：0.10%；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M份额：0.15%；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N份额：0.15%；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O份额：0.08%；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P份额：0.15%；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Q份额：0.10%；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R份额：0.10%；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S份额：0.20%；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U份额：0.05%；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JS份额：0.20%；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LS份额：0.10%；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WF份额：0.05%；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F份额：0.15%；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H份额：0.05%；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T份额：0.10%；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芙蓉锦程·优选份额：0.05%；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芙蓉锦程·优选-尊享款份额：0.05%；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B1份额：0.10%；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X份额：0.10%。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若产品各份额实际投资收益在扣除托管费、销售服务费、投资管理费、信息技术服务费等费用后超过各份额业绩比较基准下限，产品管理人将按照超出部分的50%收取超额业绩报酬。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numPr>
                <w:ilvl w:val="0"/>
                <w:numId w:val="0"/>
              </w:numPr>
              <w:bidi w:val="0"/>
              <w:spacing w:line="240" w:lineRule="auto"/>
              <w:jc w:val="both"/>
              <w:rPr>
                <w:rFonts w:hint="eastAsia" w:ascii="楷体" w:hAnsi="楷体" w:eastAsia="楷体" w:cs="楷体"/>
                <w:b w:val="0"/>
                <w:bCs w:val="0"/>
                <w:color w:val="000000" w:themeColor="text1"/>
                <w:sz w:val="20"/>
                <w:szCs w:val="20"/>
                <w:highlight w:val="none"/>
                <w:u w:val="none"/>
                <w14:textFill>
                  <w14:solidFill>
                    <w14:schemeClr w14:val="tx1"/>
                  </w14:solidFill>
                </w14:textFill>
              </w:rPr>
            </w:pP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D份额：以前一自然日资产净值为基数，一次性计提模式；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K份额：以前一自然日资产净值为基数，一次性计提模式；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M份额：以前一自然日资产净值为基数，一次性计提模式；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O份额：以前一自然日资产净值为基数，每日计提模式；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Q份额：以前一自然日资产净值为基数，每日计提模式；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R份额：以前一自然日资产净值为基数，每日计提模式；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U份额：以前一自然日资产净值为基数，每日计提模式；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LS份额：以前一自然日资产净值为基数，每日计提模式；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WF份额：以前一自然日资产净值为基数，每日计提模式；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H份额：以前一自然日资产净值为基数，一次性计提模式；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T份额：以前一自然日资产净值为基数，每日计提模式；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芙蓉锦程·优选份额：以前一自然日资产净值为基数，每日计提模式；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芙蓉锦程·优选-尊享款份额：以前一自然日资产净值为基数，每日计提模式；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B1份额：以前一自然日资产净值为基数，每日计提模式；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X份额：以前一自然日资产净值为基数，每日计提模式。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lang w:val="en-US" w:eastAsia="zh-CN"/>
              </w:rPr>
            </w:pPr>
            <w:r>
              <w:rPr>
                <w:rFonts w:hint="eastAsia" w:ascii="楷体" w:hAnsi="楷体" w:eastAsia="楷体" w:cs="楷体"/>
                <w:b w:val="0"/>
                <w:bCs w:val="0"/>
                <w:color w:val="auto"/>
                <w:sz w:val="20"/>
                <w:szCs w:val="20"/>
                <w:highlight w:val="none"/>
                <w:lang w:val="en-US" w:eastAsia="zh-CN"/>
              </w:rPr>
              <w:t>每日计提模式：每日计提，定期支付，每日应计提的固定管理费＝计提基数×固定管理费率÷365。</w:t>
            </w:r>
          </w:p>
          <w:p>
            <w:pPr>
              <w:rPr>
                <w:rFonts w:hint="eastAsia"/>
              </w:rPr>
            </w:pPr>
          </w:p>
          <w:p>
            <w:pPr>
              <w:rPr>
                <w:rFonts w:hint="eastAsia"/>
                <w:b/>
                <w:bCs w:val="0"/>
                <w:u w:val="single"/>
                <w:lang w:val="en-US" w:eastAsia="zh-CN"/>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1"/>
                <w:szCs w:val="21"/>
                <w:highlight w:val="none"/>
                <w:lang w:val="en-US" w:eastAsia="zh-CN"/>
                <w14:textFill>
                  <w14:solidFill>
                    <w14:schemeClr w14:val="tx1"/>
                  </w14:solidFill>
                </w14:textFill>
              </w:rPr>
              <w:t>指理财产品因使用银行业理财登记托管中心有限公司提供的数据交换服务所收取的费用。</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default"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若产品各份额实际投资收益在扣除托管费、销售服务费、投资管理费、信息技术服务费等费用后超过各份额业绩比较基准下限，产品管理人将按照超出部分的50%收取超额业绩报酬。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产品存续期内理财产品将每日暂估超额业绩报酬，仅用于理财产品会计核算，并将扣除“暂估超额业绩报酬”后的理财产品份额净值按照说明书约定向投资者进行披露。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当期的超额收益=理财产品份额×期初单位净值×（当期年化收益率-业绩比较基准下限）×计提比例×当期运作天数÷365。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其中，当期年化收益率=（计提日累计单位净值-期初累计单位净值）÷期初单位净值×365÷当期运作天数。如期初为产品成立日，则期初累计单位净值与期初单位净值为产品份额面值。</w:t>
            </w:r>
          </w:p>
          <w:p>
            <w:pPr>
              <w:keepNext w:val="0"/>
              <w:keepLines w:val="0"/>
              <w:pageBreakBefore w:val="0"/>
              <w:widowControl/>
              <w:bidi w:val="0"/>
              <w:spacing w:line="240" w:lineRule="auto"/>
              <w:jc w:val="both"/>
              <w:rPr>
                <w:rFonts w:hint="eastAsia" w:eastAsia="楷体"/>
                <w:b w:val="0"/>
                <w:bCs w:val="0"/>
                <w:sz w:val="20"/>
                <w:szCs w:val="20"/>
                <w:highlight w:val="none"/>
              </w:rPr>
            </w:pPr>
            <w:r>
              <w:rPr>
                <w:rFonts w:hint="eastAsia" w:ascii="楷体" w:hAnsi="楷体" w:eastAsia="楷体" w:cs="楷体"/>
                <w:b/>
                <w:bCs/>
                <w:color w:val="000000" w:themeColor="text1"/>
                <w:sz w:val="20"/>
                <w:szCs w:val="20"/>
                <w:highlight w:val="none"/>
                <w14:textFill>
                  <w14:solidFill>
                    <w14:schemeClr w14:val="tx1"/>
                  </w14:solidFill>
                </w14:textFill>
              </w:rPr>
              <w:t>理财产品实际收取的超额业绩报酬以</w:t>
            </w: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到期日</w:t>
            </w:r>
            <w:r>
              <w:rPr>
                <w:rFonts w:hint="eastAsia" w:ascii="楷体" w:hAnsi="楷体" w:eastAsia="楷体" w:cs="楷体"/>
                <w:b/>
                <w:bCs/>
                <w:color w:val="000000" w:themeColor="text1"/>
                <w:sz w:val="20"/>
                <w:szCs w:val="20"/>
                <w:highlight w:val="none"/>
                <w14:textFill>
                  <w14:solidFill>
                    <w14:schemeClr w14:val="tx1"/>
                  </w14:solidFill>
                </w14:textFill>
              </w:rPr>
              <w:t>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B份额：2.35%-2.75%（年化）；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C份额：2.40%-2.80%（年化）；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D份额：2.45%-2.85%（年化）；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E份额：2.45%-2.85%（年化）；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G份额：2.30%-2.70%（年化）；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I份额：2.35%-2.75%（年化）；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K份额：2.55%-2.95%（年化）；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M份额：2.25%-2.65%（年化）；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N份额：2.35%-2.75%（年化）；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O份额：2.37%-2.77%（年化）；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P份额：2.45%-2.85%（年化）；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Q份额：2.55%-2.95%（年化）；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R份额：2.60%-3.00%（年化）；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S份额：2.40%-2.80%（年化）；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U份额：2.50%-2.90%（年化）；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JS份额：2.35%-2.75%（年化）；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LS份额：2.50%-2.90%（年化）；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WF份额：2.65%-3.05%（年化）；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F份额：2.40%-2.80%（年化）；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H份额：2.50%-2.90%（年化）；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T份额：2.64%-3.04%（年化）；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芙蓉锦程·优选-尊享款份额：2.65%-3.05%（年化）；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B1份额：2.50%-2.90%（年化）；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X份额：2.60%-3.00%（年化）。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债券、非标准化债权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4.历次业绩比较基准调整情况（2026年9月1日之后）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秉持稳健运作、期限适配、收益增厚的投资理念，统筹平衡风险、流动性与收益三者关系，把握中长久期固收市场的投资机会，持续夯实组合收益水平。产品密切跟踪宏观经济走势、财政货币政策节奏、市场利率波动及信用环境变化，以中期利率走势和信用基本面为核心研判依据，动态优化组合资产配置结构。投资标的以高等级标准化固收资产为主，结合封闭期特征灵活运用久期配置、杠杆增厚、票息策略、持有到期及精细化仓位管理等多元化投资策略，在严控组合波动和信用风险的基础上，努力增厚组合投资收益，实现产品净值长期稳健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（1）北京农村商业银行股份有限公司：地址为北京市西城区月坛南街1号院2号楼，联系电话为010-96198/400-889-6198；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（2）东营银行股份有限公司：地址为山东省东营市东营区府前大街87-1号，联系电话为4006296588；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（3）东莞农村商业银行股份有限公司：地址为广东省东莞市东城街道鸿福东路2号，联系电话为0769-961122；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（4）广东华润银行股份有限公司：地址为广东省珠海市高新区北城东三路88号1栋，联系电话为96588；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（5）广西北部湾银行股份有限公司：地址为广西壮族自治区南宁市良庆区云英路8号五象总部大厦，联系电话为40000-96288；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（6）广州银行股份有限公司：地址为广东省广州市天河区珠江东路30号，联系电话为020-96699/400-839-6699；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（7）杭州联合农村商业银行股份有限公司：地址为浙江省杭州市上城区建国中路99号，联系电话为0571-96596；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（8）河北银行股份有限公司：地址为河北省石家庄市平安北大街28号，联系电话为400-612-9999；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（9）湖北银行股份有限公司：地址为湖北省武汉市武昌区水果湖街中北路86号汉街总部国际8栋，联系电话为400-85-96599；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（10）湖州吴兴农村商业银行股份有限公司：地址为浙江省湖州市东街55号，联系电话为96596；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（11）吉林银行股份有限公司：地址为吉林省长春市南关区人民大街10666号，联系电话为400-889-6666；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（12）嘉兴银行股份有限公司：地址为浙江省嘉兴市昌盛南路1001号，联系电话为0573-96528；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（13）江苏常熟农村商业银行股份有限公司：地址为江苏省常熟市新世纪大道58号，联系电话为956020；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（14）江苏大丰农村商业银行股份有限公司：地址为江苏省盐城市大丰区常新中路9号，联系电话为96008；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（15）江苏东海农村商业银行股份有限公司：地址为连云港市东海县牛山镇海陵东路8号，联系电话为96008；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（16）江苏东台农村商业银行股份有限公司：地址为江苏省东台市东城大道10号，联系电话为96008；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（17）江苏丰县农村商业银行股份有限公司：地址为江苏省丰县人民中路9号，联系电话为96008；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（18）江苏阜宁农村商业银行股份有限公司：地址为江苏省阜宁县城南新区上海路459号，联系电话为96008；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（19）江苏赣榆农村商业银行股份有限公司：地址为连云港市赣榆区黄海东路304号，联系电话为96008；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（20）江苏高淳农村商业银行股份有限公司：地址为江苏省南京市高淳区淳溪镇宝塔路123号，联系电话为96008；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（21）江苏高邮农村商业银行股份有限公司：地址为高邮市文游中路28号，联系电话为96008；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（22）江苏灌南农村商业银行股份有限公司：地址为江苏省连云港市灌南县人民路29号，联系电话为96008；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（23）江苏灌云农村商业银行股份有限公司：地址为江苏省灌云县伊山镇水利路东侧(人民路与水利路交汇处)，联系电话为96008；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（24）江苏海安农村商业银行股份有限公司：地址为江苏省海安市长江中路88号(东楼)，联系电话为96008；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（25）江苏海门农村商业银行股份有限公司：地址为江苏省南通市海门区解放中路137号，联系电话为96008；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（26）江苏淮安农村商业银行股份有限公司：地址为江苏省淮安市清江浦区水渡口大道20号金融中心B1号楼，联系电话为96008；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（27）江苏建湖农村商业银行股份有限公司：地址为江苏省建湖县湖中南路958号，联系电话为96008；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（28）江苏姜堰农村商业银行股份有限公司：地址为泰州市姜堰区姜堰大道128号，联系电话为96008；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（29）江苏江都农村商业银行股份有限公司：地址为扬州市江都区龙城路21号，联系电话为96008；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（30）江苏金湖农村商业银行股份有限公司：地址为江苏省金湖县黎城街道神华大道299号，联系电话为96008；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（31）江苏靖江农村商业银行股份有限公司：地址为江苏省靖江市南环西路12号，联系电话为96008；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（32）江苏句容农村商业银行股份有限公司：地址为江苏省句容市福地东路66号，联系电话为96008；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（33）江苏民丰农村商业银行股份有限公司：地址为江苏省宿迁市宿城区高宝湖路1号，联系电话为96008；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（34）江苏沛县农村商业银行股份有限公司：地址为江苏省沛县汤沐路中段11号，联系电话为96008；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（35）江苏启东农村商业银行股份有限公司：地址为江苏省启东市汇龙镇金沙江路1688号，联系电话为96008；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（36）江苏如东农村商业银行股份有限公司：地址为江苏省如东县掘港镇钟山路66号，联系电话为96008；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（37）江苏如皋农村商业银行股份有限公司：地址为江苏省南通市如皋市如城街道海阳南路999号，联系电话为96008；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（38）江苏射阳农村商业银行股份有限公司：地址为射阳县合德镇解放路385号，联系电话为96008；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（39）江苏苏州农村商业银行股份有限公司：地址为江苏省苏州市吴江区中山南路1777号，联系电话为956111；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（40）江苏泰兴农村商业银行股份有限公司：地址为泰兴市济川街道国庆东路166号，联系电话为96008；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（41）江苏响水农村商业银行股份有限公司：地址为江苏省响水县双园东路北侧，联系电话为96008；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（42）江苏新沂农村商业银行股份有限公司：地址为江苏省新沂市钟吾路163号，联系电话为96008；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（43）江苏盐城农村商业银行股份有限公司：地址为盐城市盐南高新区新都西路8号，联系电话为0515-88880000；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（44）江苏扬中农村商业银行股份有限公司：地址为扬中市扬子西路79号，联系电话为96008；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（45）江苏扬州农村商业银行股份有限公司：地址为江苏省扬州市同泰路107号，联系电话为96008；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（46）江苏仪征农村商业银行股份有限公司：地址为江苏省仪征市真州镇解放东路818号金融集聚区1座801-811，901-911，1001-1011，2座101，联系电话为96008；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（47）江苏宜兴农村商业银行股份有限公司：地址为江苏省宜兴市宜城街道解放东路579号，联系电话为96008；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（48）江苏银行股份有限公司：地址为江苏省南京市中华路26号，联系电话为95319；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（49）江苏张家港农村商业银行股份有限公司：地址为江苏省苏州市张家港市杨舍镇人民中路66号，联系电话为96065；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（50）江苏镇江农村商业银行股份有限公司：地址为江苏省镇江市润州区长江路97号，联系电话为96008；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（51）江苏紫金农村商业银行股份有限公司：地址为江苏省南京市建邺区江东中路381号，联系电话为96008；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（52）江苏邳州农村商业银行股份有限公司：地址为江苏省邳州市建设中路16号，联系电话为96008；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（53）江苏沭阳农村商业银行股份有限公司：地址为江苏省沭阳县沭城镇苏州东路与台州南路交汇处，联系电话为96008；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（54）江苏泗洪农村商业银行股份有限公司：地址为江苏省宿迁市泗洪县长江东路17号，联系电话为96008；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（55）江苏泗阳农村商业银行股份有限公司：地址为宿迁市泗阳县众兴镇北京中路21号，联系电话为96008；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（56）江苏溧水农村商业银行股份有限公司：地址为江苏省南京市溧水县永阳镇中山路22号，联系电话为96008；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（57）江苏睢宁农村商业银行股份有限公司：地址为江苏省睢宁县元府东街99号，联系电话为96008；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（58）晋商银行股份有限公司：地址为山西省太原市小店区长风街59号，联系电话为9510-5588；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（59）九江银行股份有限公司：地址为江西省九江市濂溪区长虹大道619号，联系电话为95316；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（60）莱商银行股份有限公司：地址为山东省济南市历下区洪山路1号，联系电话为40066-96629；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（61）连云港东方农村商业银行股份有限公司：地址为江苏省连云港市海州区郁洲南路10号，联系电话为96008；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（62）宁波慈溪农村商业银行股份有限公司：地址为浙江省慈溪市浒山街道南城路25号、59号5-6层，联系电话为96596；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（63）宁波东海银行股份有限公司：地址为浙江省宁波高新区新晖南路113-127号（单号），扬帆路515号2-10层，高新宝龙商业广场13-19号、22号、29号，联系电话为400-8866-345；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（64）宁波宁海农村商业银行股份有限公司：地址为浙江省宁海县跃龙街道学勉路1号(金融中心)，联系电话为96596；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（65）宁波余姚农村商业银行股份有限公司：地址为余姚市新建路69号，联系电话为96596；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（66）宁波镇海农村商业银行股份有限公司：地址为宁波市镇海区骆驼街道镇海大道中段788号，联系电话为96596；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（67）宁波鄞州农村商业银行股份有限公司：地址为浙江省宁波市鄞州区民惠西路88号，联系电话为96596；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（68）宁波甬城农村商业银行股份有限公司：地址为浙江省宁波市江北区育才路15、17号，联系电话为96596；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（69）宁夏银行股份有限公司：地址为宁夏回族自治区银川市金凤区北京中路157号，联系电话为400-809-6558/0951-96558；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（70）齐鲁银行股份有限公司：地址为山东省济南市历下区经十路10817号，联系电话为400-609-6588；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（71）秦皇岛银行股份有限公司：地址为河北省秦皇岛市海港区河北大街西段560号，联系电话为0335-96336/400-105-7366；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（72）青岛银行股份有限公司：地址为山东省青岛市崂山区秦岭路6号3号楼，联系电话为96588/400-665-7058；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（73）日照银行股份有限公司：地址为山东省日照市烟台路197号，联系电话为400-68-96588；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（74）山西银行股份有限公司：地址为山西转型综合改革示范区学府产业园高新街15号，联系电话为0351-96588；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（75）上海银行股份有限公司：地址为上海市黄浦区中山南路688号，联系电话为95594；</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（76）苏银理财有限责任公司：地址为南京市建邺区江山大街70号国际博览中心三期B幢11-13层，联系电话为95319-8-2；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（77）泰安银行股份有限公司：地址为山东省泰安市长城路3号圣地大厦，联系电话为4006586588；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（78）潍坊银行股份有限公司：地址为潍坊市奎文区胜利东街5139号，联系电话为400-61-96588；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（79）武汉农村商业银行股份有限公司：地址为武汉市江岸区建设大道618号，联系电话为95367；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（80）兴业银行股份有限公司：地址为中国福建省福州市台江区江滨中大道398号兴业银行大厦，联系电话为95561；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（81）徐州农村商业银行股份有限公司：地址为徐州市铜山区北京南路26号，联系电话为96008；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（82）浙江安吉农村商业银行股份有限公司：地址为浙江省湖州市安吉县昌硕街道昌硕东路1号(自主申报)，联系电话为96596；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（83）浙江苍南农村商业银行股份有限公司：地址为浙江省苍南县灵溪镇人民大道425号，联系电话为96596；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（84）浙江长兴农村商业银行股份有限公司：地址为浙江省湖州市长兴县太湖街道明珠路1298号，联系电话为96596；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（85）浙江淳安农村商业银行股份有限公司：地址为浙江省杭州市淳安县千岛湖镇阳光路960号，联系电话为96596；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（86）浙江德清农村商业银行股份有限公司：地址为浙江省德清县武康街道沈长圩街50号，联系电话为96596；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（87）浙江东阳农村商业银行股份有限公司：地址为浙江省东阳市双岘路18号，联系电话为96596；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（88）浙江富阳农村商业银行股份有限公司：地址为浙江省杭州市富阳区鹿山街道依江路501号第1幢，联系电话为96596；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（89）浙江海宁农村商业银行股份有限公司：地址为浙江省海宁市海洲街道钱江西路278号，联系电话为96596；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（90）浙江海盐农村商业银行股份有限公司：地址为浙江省嘉兴市海盐县武原街道盐北东路1177号，联系电话为96596；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（91）浙江杭州余杭农村商业银行股份有限公司：地址为浙江省杭州市临平区南苑街道南大街72号，联系电话为96596；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（92）浙江禾城农村商业银行股份有限公司：地址为浙江省嘉兴市经济技术开发区文昌路1229号，联系电话为96596；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（93）浙江嘉善农村商业银行股份有限公司：地址为浙江省嘉兴市嘉善县罗星街道车站南路999号，联系电话为96596；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（94）浙江建德农村商业银行股份有限公司：地址为浙江省建德市新安江街道江滨中路176号，联系电话为96596；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（95）浙江江山农村商业银行股份有限公司：地址为浙江省衢州市江山市双塔街道江滨路188号，联系电话为96596；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（96）浙江金华成泰农村商业银行股份有限公司：地址为浙江省金华市八一南街123号，联系电话为96596；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（97）浙江开化农村商业银行股份有限公司：地址为浙江省衢州市开化县华埠镇永吉二路8号，联系电话为96596；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（98）浙江兰溪农村商业银行股份有限公司：地址为浙江省兰溪市兰江街道丹溪大道18号，联系电话为96596；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（99）浙江乐清农村商业银行股份有限公司：地址为浙江省乐清市城南街道伯乐西路99号，联系电话为96596；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（100）浙江临安农村商业银行股份有限公司：地址为浙江省杭州市临安区锦城街道钱王街58号，联系电话为96596；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（101）浙江临海农村商业银行股份有限公司：地址为浙江省台州市临海市大洋街道河阳路299号，联系电话为96596；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（102）浙江龙泉农村商业银行股份有限公司：地址为浙江省丽水市龙泉市龙渊街道中山东路101号，联系电话为96596；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（103）浙江龙游农村商业银行股份有限公司：地址为浙江省衢州市龙游县龙洲街道荣昌大道683、685、687号，联系电话为96596；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（104）浙江南浔农村商业银行股份有限公司：地址为浙江省湖州市南浔区南浔镇人瑞路1188号，联系电话为96596；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（105）浙江平湖农村商业银行股份有限公司：地址为浙江省平湖市当湖街道胜利路518号，联系电话为96596；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（106）浙江浦江农村商业银行股份有限公司：地址为浙江省浦江县人民东路90号，联系电话为96596；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（107）浙江青田农村商业银行股份有限公司：地址为浙江省青田县鹤城街道鹤城东路180号，联系电话为96596；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（108）浙江瑞安农村商业银行股份有限公司：地址为浙江省温州市瑞安市莘塍街道万松东路1700-1708、1718号，联系电话为96596；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（109）浙江上虞农村商业银行股份有限公司：地址为浙江省绍兴市上虞区百官街道德盛路55号，联系电话为96596；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（110）浙江绍兴恒信农村商业银行股份有限公司：地址为浙江省绍兴市中兴中路159号，联系电话为96596；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（111）浙江绍兴瑞丰农村商业银行股份有限公司：地址为浙江省绍兴市柯桥区柯桥笛扬路1363号，联系电话为96596；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（112）浙江松阳农村商业银行股份有限公司：地址为浙江省丽水市松阳县水南街道要津南路71号，联系电话为96596；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（113）浙江遂昌农村商业银行股份有限公司：地址为浙江省丽水市遂昌县妙高街道溪边路100号，联系电话为96596；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（114）浙江台州黄岩农村商业银行股份有限公司：地址为浙江省台州市黄岩区洞天路88号，联系电话为96596；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（115）浙江台州路桥农村商业银行股份有限公司：地址为浙江省台州市路桥区路北街道中心大道5789号，联系电话为96596；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（116）浙江泰顺农村商业银行股份有限公司：地址为浙江省温州市泰顺县罗阳镇新城区文祥大道181号，联系电话为96596；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（117）浙江天台农村商业银行股份有限公司：地址为浙江省台州市天台县始丰街道唐兴大道10号，联系电话为96596；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（118）浙江桐庐农村商业银行股份有限公司：地址为浙江省杭州市桐庐县桐君街道迎春南路278号，联系电话为96596；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（119）浙江桐乡农村商业银行股份有限公司：地址为浙江省梧桐街道校场东路59号，联系电话为96596；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（120）浙江温岭农村商业银行股份有限公司：地址为浙江省台州市温岭市城东街道下保路100号，联系电话为96596；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（121）浙江温州龙湾农村商业银行股份有限公司：地址为浙江省温州市龙湾区永中街道永宁西路555号，联系电话为96596；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（122）浙江温州鹿城农村商业银行股份有限公司：地址为浙江省温州市鹿城区会展路1500号富银大厦，联系电话为96596；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（123）浙江温州瓯海农村商业银行股份有限公司：地址为浙江省温州市瓯海区瓯海大道989号，联系电话为96596；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（124）浙江文成农村商业银行股份有限公司：地址为浙江省温州市文成县大峃镇体育场路509-520号，联系电话为96596；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（125）浙江武义农村商业银行股份有限公司：地址为浙江省武义县武阳中路37号，联系电话为96596；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（126）浙江仙居农村商业银行股份有限公司：地址为浙江省台州市仙居县南峰街道庆丰南街113号，联系电话为96596；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（127）浙江萧山农村商业银行股份有限公司：地址为浙江省杭州市萧山区盈丰街道鸿宁路2288号，联系电话为96596；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（128）浙江新昌农村商业银行股份有限公司：地址为浙江省新昌县七星街道七星路18号，联系电话为96596；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（129）浙江义乌农村商业银行股份有限公司：地址为浙江省义乌市福田街道城北路677号，联系电话为96596；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（130）浙江永嘉农村商业银行股份有限公司：地址为浙江省温州市永嘉县瓯北街道阳光大道3918号，联系电话为96596；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（131）浙江永康农村商业银行股份有限公司：地址为浙江省金华市永康市九铃东路3259号，联系电话为96596；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（132）浙江舟山定海海洋农村商业银行股份有限公司：地址为浙江省舟山市定海区环城东路81号，联系电话为96596；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（133）浙江舟山普陀农村商业银行股份有限公司：地址为浙江省舟山市普陀区东港街道麒麟街225号(自贸试验区内)，联系电话为96596；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（134）浙江诸暨农村商业银行股份有限公司：地址为浙江省诸暨市暨阳街道大桥东路2号，联系电话为96596；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（135）浙江岱山农村商业银行股份有限公司：地址为浙江省舟山市岱山县高亭镇衢山大道1009号(自主申报)，联系电话为96596；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（136）浙江嵊州农村商业银行股份有限公司：地址为浙江省嵊州市剡湖街道官河路398号，联系电话为96596；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（137）浙江衢州柯城农村商业银行股份有限公司：地址为浙江省衢州市柯城区上街92号，联系电话为96596；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（138）浙江衢州衢江农村商业银行股份有限公司：地址为浙江省衢州市衢江区樟潭街道信安东路37号，联系电话为96596；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（139）浙江缙云农村商业银行股份有限公司：地址为浙江省丽水市缙云县五云镇新区仙都路68号，联系电话为96596；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（140）郑州银行股份有限公司：地址为河南省郑州市郑东新区商务外环路22号，联系电话为95097；</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（141）重庆农村商业银行股份有限公司：地址为重庆市两江新区金沙门路36号，联系电话为95389；</w:t>
      </w:r>
      <w:r>
        <w:rPr>
          <w:rFonts w:hint="eastAsia" w:ascii="楷体" w:hAnsi="楷体" w:eastAsia="楷体" w:cs="楷体"/>
          <w:b w:val="0"/>
          <w:bCs w:val="0"/>
          <w:sz w:val="21"/>
          <w:szCs w:val="21"/>
          <w:highlight w:val="none"/>
          <w:u w:val="none"/>
          <w:lang w:val="en-US" w:eastAsia="zh-CN"/>
        </w:rPr>
        <w:br w:type="textWrapping"/>
      </w:r>
      <w:r>
        <w:rPr>
          <w:rFonts w:hint="eastAsia" w:ascii="楷体" w:hAnsi="楷体" w:eastAsia="楷体" w:cs="楷体"/>
          <w:b w:val="0"/>
          <w:bCs w:val="0"/>
          <w:sz w:val="21"/>
          <w:szCs w:val="21"/>
          <w:highlight w:val="none"/>
          <w:u w:val="none"/>
          <w:lang w:val="en-US" w:eastAsia="zh-CN"/>
        </w:rPr>
        <w:tab/>
      </w:r>
      <w:r>
        <w:rPr>
          <w:rFonts w:hint="eastAsia" w:ascii="楷体" w:hAnsi="楷体" w:eastAsia="楷体" w:cs="楷体"/>
          <w:b w:val="0"/>
          <w:bCs w:val="0"/>
          <w:sz w:val="21"/>
          <w:szCs w:val="21"/>
          <w:highlight w:val="none"/>
          <w:u w:val="none"/>
          <w:lang w:val="en-US" w:eastAsia="zh-CN"/>
        </w:rPr>
        <w:t>（142）成都银行股份有限公司：地址为四川省成都市西御街16号，联系电话为95507；</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（143）徽商银行股份有限公司：地址为安徽省合肥市云谷路1699号徽银大厦，联系电话为400-889-6588；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（144）上海农村商业银行股份有限公司：地址为上海市黄浦区中山东二路70号，联系电话为962999/400-696-2999；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8"/>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拟投资</w:t>
      </w:r>
      <w:r>
        <w:rPr>
          <w:rFonts w:hint="eastAsia" w:ascii="楷体" w:hAnsi="楷体" w:eastAsia="楷体" w:cs="楷体"/>
          <w:b w:val="0"/>
          <w:bCs w:val="0"/>
          <w:color w:val="auto"/>
          <w:sz w:val="21"/>
          <w:szCs w:val="21"/>
          <w:highlight w:val="none"/>
          <w:u w:val="none"/>
        </w:rPr>
        <w:t>非标准化债权类资产</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 xml:space="preserve">（1）收益凭证：融资人为财通证券股份有限公司。融资人经营正常，是依法设立的持牌金融机构，主要股东为浙江省创新投资集团有限公司、浙江省财开集团有限公司、台州市金融投资集团有限公司，实际控制人为浙江省财政厅。 （2）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3）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4）收益凭证：融资人为东方证券股份有限公司。融资人经营正常，是依法设立的国有公司，主要股东为申能（集团）有限公司、香港中央结算（代理人）有限公司、上海海烟投资管理有限公司，实际控制人为上海市国有资产监督管理委员会。 （5）收益凭证：融资人为东海证券股份有限公司。融资人经营正常，是依法设立的持牌金融机构，主要股东为常州投资集团有限公司、山东金控资本管理有限公司，实际控制人为常州投资集团有限公司。 （6）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7）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8）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9）收益凭证：融资人为广发证券股份有限公司。融资人经营正常，是依法设立的持牌金融机构，主要股东为香港中央结算（代理人）有限公司、吉林敖东药业集团股份有限公司、辽宁成大股份有限公司，无实际控制人。 （10）收益凭证：融资人为国都证券股份有限公司。融资人经营正常，是依法设立的持牌金融机构，主要股东为浙商证券股份有限公司、中诚信托有限责任公司、北京国际信托有限公司，实际控制人为浙江省交通投资集团有限公司。 （11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12）收益凭证：融资人为国泰海通证券股份有限公司。融资人经营正常，是依法设立的国有公司，主要股东为香港中央结算（代理人）有限公司、上海国有资产经营有限公司、上海国际集团有限公司，实际控制人为上海市国有资产监督管理委员会。 （13）收益凭证：融资人为国投证券股份有限公司。融资人经营正常，是依法设立的国有公司，主要股东为国投资本股份有限公司、上海毅胜投资有限公司，实际控制人为国家开发投资集团有限公司。 （14）收益凭证：融资人为华泰证券股份有限公司。融资人经营正常，是依法设立的国有公司，主要股东为江苏省国信集团有限公司、香港中央结算（代理人）有限公司、江苏交通控股有限公司，无实际控制人。 （15）收益凭证：融资人为华鑫证券有限责任公司。融资人经营正常，是依法设立的持牌金融机构，主要股东为上海华鑫股份有限公司，实际控制人为上海市国有资产监督管理委员会。 （16）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17）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18）收益凭证：融资人为山西证券股份有限公司。融资人经营正常，是依法设立的持牌金融机构，主要股东为山西金融投资控股集团有限公司、太原钢铁（集团）有限公司、山西国际电力集团有限公司，实际控制人为山西省财政厅。 （19）收益凭证：融资人为申万宏源证券有限公司。融资人经营正常，是依法设立的国有公司，主要股东为申万宏源集团股份有限公司，实际控制人为中央汇金投资有限责任公司。 （20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21）收益凭证：融资人为兴业证券股份有限公司。融资人经营正常，是依法设立的持牌金融机构，主要股东为福建省财政厅、福建省投资开发集团有限责任公司、上海申新（集团）有限公司，实际控制人为福建省财政厅。 （22）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 （23）收益凭证：融资人为浙商证券股份有限公司。融资人经营正常，是依法设立的国有公司，主要股东为浙江上三高速公路有限公司、台州市金融投资集团有限公司，实际控制人为浙江省交通投资集团有限公司。 （24）收益凭证：融资人为中国国际金融股份有限公司。融资人经营正常，是依法设立的国有公司，主要股东为中央汇金投资有限责任公司、香港中央结算（代理人）有限公司、香港中央结算有限公司，实际控制人中央汇金投资有限责任公司。 （25）收益凭证：融资人为中国银河证券股份有限公司。融资人经营正常，是依法设立的国有公司，主要股东为中国银河金融控股有限责任公司、香港中央结算（代理人）有限公司、香港中央结算有限公司，实际控制人为中央汇金投资有限责任公司。 （26）收益凭证：融资人为中国中金财富证券有限公司。融资人经营正常，是依法设立的持牌金融机构，主要股东为中国国际金融股份有限公司，实际控制人为中央汇金投资有限责任公司。 （27）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28）收益凭证：融资人为中信建投证券股份有限公司。融资人经营正常，是依法设立的国有公司，主要股东为北京金融控股集团有限公司、中央汇金投资有限责任公司、香港中央结算（代理人）有限公司，实际控制人为中央汇金投资有限责任公司。 （29）收益凭证：融资人为中信证券股份有限公司。融资人经营正常，是依法设立的国有公司，主要股东为中国中信金融控股有限公司、香港中央结算（代理人）有限公司、广州越秀资本控股集团有限公司，实际控制人为中国中信集团有限公司。 （30）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31）同业借款：融资人为中国东方资产管理股份有限公司。融资人经营正常，是依法成立的国有公司，主要股东为中央汇金投资有限责任公司、全国社会保障基金理事会、中国电信集团有限公司，实际控制人为国务院。 （32）同业借款：融资人为中国信达资产管理股份有限公司。融资人经营正常，是依法成立的国有公司，主要股东为中央汇金投资有限责任公司，实际控制人为国务院。 （33）同业借款：融资人为中国中信金融资产管理股份有限公司。融资人经营正常，是依法成立的国有公司，主要股东为中国中信集团有限公司、财政局、中国融信私募基金有限公司，实际控制人为财政部。 </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收益凭证类资产到期日不超过开放式理财产品投资周期终止日或封闭式理财产品终止日，到期一次性还本付息。</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同业借款类资产到期日不超过开放式理财产品投资周期终止日或封闭式理财产品终止日，定期付息、到期一次性还本。</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①</w:t>
      </w:r>
      <w:r>
        <w:rPr>
          <w:rFonts w:ascii="楷体" w:hAnsi="楷体" w:eastAsia="楷体" w:cs="楷体"/>
          <w:color w:val="000000"/>
          <w:sz w:val="22"/>
        </w:rPr>
        <w:t>江苏省国际信托有限责任公司：江苏省国际信托有限责任公司是经江苏省人民政府和中国银行业监督管理委员会批准设立的非银行金融机构，是江苏省国信集团的主要成员企业之一，专业从事金融信托业务。</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②</w:t>
      </w:r>
      <w:r>
        <w:rPr>
          <w:rFonts w:ascii="楷体" w:hAnsi="楷体" w:eastAsia="楷体" w:cs="楷体"/>
          <w:color w:val="000000"/>
          <w:sz w:val="22"/>
        </w:rPr>
        <w:t>创金合信基金管理有限公司：创金合信基金管理有限公司成立于</w:t>
      </w:r>
      <w:r>
        <w:rPr>
          <w:rFonts w:ascii="楷体" w:hAnsi="楷体" w:eastAsia="楷体" w:cs="楷体"/>
          <w:color w:val="000000"/>
          <w:sz w:val="21"/>
        </w:rPr>
        <w:t>2014年7月9日，由第一创业证券股份有限公司、深圳市金合信投资合伙企业（有限合伙）共同发起设立，注册地为深圳。</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③</w:t>
      </w:r>
      <w:r>
        <w:rPr>
          <w:rFonts w:ascii="楷体" w:hAnsi="楷体" w:eastAsia="楷体" w:cs="楷体"/>
          <w:color w:val="000000"/>
          <w:sz w:val="22"/>
        </w:rPr>
        <w:t>华鑫国际信托有限公司：华鑫国际信托有限公司于2010年2月获得中国银行业监督管理委员会批准重新登记，并于同年3月正式挂牌开业，实际控制人为中国华电集团有限公司，注册资本73.95亿元。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④</w:t>
      </w:r>
      <w:r>
        <w:rPr>
          <w:rFonts w:ascii="楷体" w:hAnsi="楷体" w:eastAsia="楷体" w:cs="楷体"/>
          <w:color w:val="000000"/>
          <w:sz w:val="22"/>
        </w:rPr>
        <w:t>中国国际金融股份有限公司：中国国际金融股份有限公司于1995年7月31日成立，实际控制人为中央汇金投资有限责任公司，注册资本4,827,256,868元。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⑤</w:t>
      </w:r>
      <w:r>
        <w:rPr>
          <w:rFonts w:ascii="楷体" w:hAnsi="楷体" w:eastAsia="楷体" w:cs="楷体"/>
          <w:color w:val="000000"/>
          <w:sz w:val="22"/>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⑥</w:t>
      </w:r>
      <w:r>
        <w:rPr>
          <w:rFonts w:ascii="楷体" w:hAnsi="楷体" w:eastAsia="楷体" w:cs="楷体"/>
          <w:color w:val="000000"/>
          <w:sz w:val="22"/>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⑦</w:t>
      </w:r>
      <w:r>
        <w:rPr>
          <w:rFonts w:ascii="楷体" w:hAnsi="楷体" w:eastAsia="楷体" w:cs="楷体"/>
          <w:color w:val="000000"/>
          <w:sz w:val="22"/>
        </w:rPr>
        <w:t>南方资本管理有限公司：南方资本管理有限公司成立于</w:t>
      </w:r>
      <w:r>
        <w:rPr>
          <w:rFonts w:ascii="楷体" w:hAnsi="楷体" w:eastAsia="楷体" w:cs="楷体"/>
          <w:color w:val="000000"/>
          <w:sz w:val="21"/>
        </w:rPr>
        <w:t>2013年11月14日，注册资本5.42亿元人民币，注册地为深圳前海。经中国证监会核准，南方资本业务范围为特定客户资产管理业务以及中国证监会许可的其他业务。公司股东为南方基金管理股份有限公司（100%）。</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ascii="楷体" w:hAnsi="楷体" w:eastAsia="楷体" w:cs="楷体"/>
          <w:color w:val="000000"/>
          <w:sz w:val="22"/>
          <w:szCs w:val="22"/>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1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五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w:t>
      </w:r>
      <w:r>
        <w:rPr>
          <w:rFonts w:hint="eastAsia" w:ascii="楷体" w:hAnsi="楷体" w:eastAsia="楷体" w:cs="楷体"/>
          <w:color w:val="auto"/>
          <w:sz w:val="21"/>
          <w:szCs w:val="21"/>
          <w:highlight w:val="none"/>
          <w:lang w:val="en-US" w:eastAsia="zh-CN"/>
        </w:rPr>
        <w:t>信息披露方式详见下文“信息披露-到期公告”。</w:t>
      </w:r>
      <w:r>
        <w:rPr>
          <w:rFonts w:hint="eastAsia" w:ascii="楷体" w:hAnsi="楷体" w:eastAsia="楷体" w:cs="楷体"/>
          <w:color w:val="auto"/>
          <w:sz w:val="21"/>
          <w:szCs w:val="21"/>
          <w:highlight w:val="none"/>
        </w:rPr>
        <w:t>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r>
        <w:rPr>
          <w:rFonts w:hint="eastAsia" w:ascii="楷体" w:hAnsi="楷体" w:eastAsia="楷体" w:cs="楷体"/>
          <w:color w:val="auto"/>
          <w:sz w:val="21"/>
          <w:szCs w:val="21"/>
          <w:highlight w:val="none"/>
          <w:lang w:val="en-US" w:eastAsia="zh-CN"/>
        </w:rPr>
        <w:t>信息披露方式详见下文“信息披露-临时性信息”。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不编制当期的季度、半年和年度报告；产品期限超过九十个自然日的理财产品将在存续期内至少披露一次定期报告；内容包括理财产品的存续规模、收益表现，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事前临时性信息披露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（2）增设份额类别。</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（4）法律法规、监管规定及管理人认为需要向投资者事前披露的其他临时事项。</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事后临时性信息披露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default"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bookmarkStart w:id="1" w:name="_GoBack"/>
      <w:bookmarkEnd w:id="1"/>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320" w:lineRule="exact"/>
      <w:ind w:left="20"/>
      <w:jc w:val="both"/>
      <w:rPr>
        <w:rFonts w:ascii="楷体" w:hAnsi="楷体" w:eastAsia="楷体" w:cs="黑体"/>
        <w:b/>
        <w:spacing w:val="-2"/>
        <w:sz w:val="24"/>
        <w:szCs w:val="24"/>
      </w:rPr>
    </w:pPr>
    <w:r>
      <w:drawing>
        <wp:anchor distT="0" distB="0" distL="114300" distR="114300" simplePos="0" relativeHeight="251659264"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6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0288"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692"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90"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93"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5B5372"/>
    <w:multiLevelType w:val="multilevel"/>
    <w:tmpl w:val="845B5372"/>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8CAEB125"/>
    <w:multiLevelType w:val="multilevel"/>
    <w:tmpl w:val="8CAEB12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91995D4F"/>
    <w:multiLevelType w:val="multilevel"/>
    <w:tmpl w:val="91995D4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B8CEF35B"/>
    <w:multiLevelType w:val="multilevel"/>
    <w:tmpl w:val="B8CEF35B"/>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BB64CFA9"/>
    <w:multiLevelType w:val="multilevel"/>
    <w:tmpl w:val="BB64CFA9"/>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1ACDE60F"/>
    <w:multiLevelType w:val="multilevel"/>
    <w:tmpl w:val="1ACDE60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22D85CA"/>
    <w:multiLevelType w:val="multilevel"/>
    <w:tmpl w:val="322D85C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C3D7A74"/>
    <w:multiLevelType w:val="multilevel"/>
    <w:tmpl w:val="4C3D7A7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E29AB5A"/>
    <w:multiLevelType w:val="multilevel"/>
    <w:tmpl w:val="5E29AB5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FFFB1A7"/>
    <w:multiLevelType w:val="multilevel"/>
    <w:tmpl w:val="5FFFB1A7"/>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5CD0074"/>
    <w:multiLevelType w:val="multilevel"/>
    <w:tmpl w:val="65CD007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4C28B35"/>
    <w:multiLevelType w:val="multilevel"/>
    <w:tmpl w:val="74C28B3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9AA4FA4"/>
    <w:multiLevelType w:val="multilevel"/>
    <w:tmpl w:val="79AA4FA4"/>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num w:numId="1">
    <w:abstractNumId w:val="12"/>
  </w:num>
  <w:num w:numId="2">
    <w:abstractNumId w:val="4"/>
  </w:num>
  <w:num w:numId="3">
    <w:abstractNumId w:val="2"/>
  </w:num>
  <w:num w:numId="4">
    <w:abstractNumId w:val="3"/>
  </w:num>
  <w:num w:numId="5">
    <w:abstractNumId w:val="8"/>
  </w:num>
  <w:num w:numId="6">
    <w:abstractNumId w:val="0"/>
  </w:num>
  <w:num w:numId="7">
    <w:abstractNumId w:val="5"/>
  </w:num>
  <w:num w:numId="8">
    <w:abstractNumId w:val="1"/>
  </w:num>
  <w:num w:numId="9">
    <w:abstractNumId w:val="9"/>
  </w:num>
  <w:num w:numId="10">
    <w:abstractNumId w:val="11"/>
  </w:num>
  <w:num w:numId="11">
    <w:abstractNumId w:val="7"/>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841E40"/>
    <w:rsid w:val="73D3637D"/>
    <w:rsid w:val="73E77168"/>
    <w:rsid w:val="769C0A17"/>
    <w:rsid w:val="7EF25C9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204"/>
    <w:qFormat/>
    <w:uiPriority w:val="1"/>
    <w:pPr>
      <w:spacing w:before="17"/>
      <w:ind w:left="1144"/>
      <w:jc w:val="left"/>
      <w:outlineLvl w:val="0"/>
    </w:pPr>
    <w:rPr>
      <w:rFonts w:ascii="黑体" w:eastAsia="黑体"/>
      <w:b/>
      <w:bCs/>
      <w:sz w:val="36"/>
      <w:szCs w:val="36"/>
    </w:rPr>
  </w:style>
  <w:style w:type="paragraph" w:styleId="5">
    <w:name w:val="heading 2"/>
    <w:basedOn w:val="1"/>
    <w:next w:val="1"/>
    <w:link w:val="205"/>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6"/>
    <w:qFormat/>
    <w:uiPriority w:val="1"/>
    <w:pPr>
      <w:spacing w:before="34"/>
      <w:ind w:left="120"/>
      <w:jc w:val="left"/>
      <w:outlineLvl w:val="2"/>
    </w:pPr>
    <w:rPr>
      <w:rFonts w:ascii="宋体"/>
      <w:b/>
      <w:bCs/>
      <w:sz w:val="20"/>
      <w:szCs w:val="21"/>
    </w:rPr>
  </w:style>
  <w:style w:type="paragraph" w:styleId="7">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25">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link w:val="213"/>
    <w:unhideWhenUsed/>
    <w:qFormat/>
    <w:uiPriority w:val="99"/>
    <w:rPr>
      <w:b/>
      <w:bCs/>
    </w:rPr>
  </w:style>
  <w:style w:type="paragraph" w:styleId="28">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9">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qFormat/>
    <w:uiPriority w:val="22"/>
    <w:rPr>
      <w:rFonts w:ascii="Times New Roman" w:hAnsi="Times New Roman" w:eastAsia="宋体" w:cs="Times New Roman"/>
      <w:b/>
      <w:bCs/>
    </w:rPr>
  </w:style>
  <w:style w:type="character" w:styleId="32">
    <w:name w:val="endnote reference"/>
    <w:basedOn w:val="30"/>
    <w:semiHidden/>
    <w:unhideWhenUsed/>
    <w:qFormat/>
    <w:uiPriority w:val="99"/>
    <w:rPr>
      <w:vertAlign w:val="superscript"/>
    </w:rPr>
  </w:style>
  <w:style w:type="character" w:styleId="33">
    <w:name w:val="FollowedHyperlink"/>
    <w:basedOn w:val="30"/>
    <w:semiHidden/>
    <w:unhideWhenUsed/>
    <w:qFormat/>
    <w:uiPriority w:val="99"/>
    <w:rPr>
      <w:color w:val="954F72"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unhideWhenUsed/>
    <w:qFormat/>
    <w:uiPriority w:val="99"/>
    <w:rPr>
      <w:rFonts w:ascii="Times New Roman" w:hAnsi="Times New Roman" w:eastAsia="宋体" w:cs="Times New Roman"/>
      <w:color w:val="0000FF"/>
      <w:u w:val="single"/>
    </w:rPr>
  </w:style>
  <w:style w:type="character" w:styleId="36">
    <w:name w:val="annotation reference"/>
    <w:unhideWhenUsed/>
    <w:qFormat/>
    <w:uiPriority w:val="99"/>
    <w:rPr>
      <w:rFonts w:ascii="Times New Roman" w:hAnsi="Times New Roman" w:eastAsia="宋体" w:cs="Times New Roman"/>
      <w:sz w:val="21"/>
      <w:szCs w:val="21"/>
    </w:rPr>
  </w:style>
  <w:style w:type="character" w:styleId="37">
    <w:name w:val="footnote reference"/>
    <w:semiHidden/>
    <w:unhideWhenUsed/>
    <w:qFormat/>
    <w:uiPriority w:val="99"/>
    <w:rPr>
      <w:rFonts w:ascii="Times New Roman" w:hAnsi="Times New Roman" w:eastAsia="宋体" w:cs="Times New Roman"/>
      <w:vertAlign w:val="superscript"/>
    </w:rPr>
  </w:style>
  <w:style w:type="table" w:customStyle="1" w:styleId="38">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9">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40">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1">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2">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3">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4">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5">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6">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7">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8">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9">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0">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1">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2">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3">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54">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55">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56">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57">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58">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9">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60">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1">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2">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3">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4">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65">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table" w:customStyle="1" w:styleId="66">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7">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8">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9">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70">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71">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72">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2Vert"/>
    <w:tblStylePr w:type="band1Horz">
      <w:tcPr>
        <w:shd w:val="clear" w:color="B3D1EB" w:fill="B3D1EB"/>
      </w:tcPr>
    </w:tblStylePr>
    <w:tblStylePr w:type="band2Horz"/>
    <w:tblStylePr w:type="neCell"/>
    <w:tblStylePr w:type="nwCell"/>
    <w:tblStylePr w:type="seCell"/>
    <w:tblStylePr w:type="swCell"/>
  </w:style>
  <w:style w:type="table" w:customStyle="1" w:styleId="73">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2Vert"/>
    <w:tblStylePr w:type="band1Horz">
      <w:tcPr>
        <w:shd w:val="clear" w:color="F6C3A0" w:fill="F6C3A0"/>
      </w:tcPr>
    </w:tblStylePr>
    <w:tblStylePr w:type="band2Horz"/>
    <w:tblStylePr w:type="neCell"/>
    <w:tblStylePr w:type="nwCell"/>
    <w:tblStylePr w:type="seCell"/>
    <w:tblStylePr w:type="swCell"/>
  </w:style>
  <w:style w:type="table" w:customStyle="1" w:styleId="74">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2Vert"/>
    <w:tblStylePr w:type="band1Horz">
      <w:tcPr>
        <w:shd w:val="clear" w:color="D5D5D5" w:fill="D5D5D5"/>
      </w:tcPr>
    </w:tblStylePr>
    <w:tblStylePr w:type="band2Horz"/>
    <w:tblStylePr w:type="neCell"/>
    <w:tblStylePr w:type="nwCell"/>
    <w:tblStylePr w:type="seCell"/>
    <w:tblStylePr w:type="swCell"/>
  </w:style>
  <w:style w:type="table" w:customStyle="1" w:styleId="75">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2Vert"/>
    <w:tblStylePr w:type="band1Horz">
      <w:tcPr>
        <w:shd w:val="clear" w:color="FEE289" w:fill="FEE289"/>
      </w:tcPr>
    </w:tblStylePr>
    <w:tblStylePr w:type="band2Horz"/>
    <w:tblStylePr w:type="neCell"/>
    <w:tblStylePr w:type="nwCell"/>
    <w:tblStylePr w:type="seCell"/>
    <w:tblStylePr w:type="swCell"/>
  </w:style>
  <w:style w:type="table" w:customStyle="1" w:styleId="76">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2Vert"/>
    <w:tblStylePr w:type="band1Horz">
      <w:tcPr>
        <w:shd w:val="clear" w:color="A9BEE3" w:fill="A9BEE3"/>
      </w:tcPr>
    </w:tblStylePr>
    <w:tblStylePr w:type="band2Horz"/>
    <w:tblStylePr w:type="neCell"/>
    <w:tblStylePr w:type="nwCell"/>
    <w:tblStylePr w:type="seCell"/>
    <w:tblStylePr w:type="swCell"/>
  </w:style>
  <w:style w:type="table" w:customStyle="1" w:styleId="77">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2Vert"/>
    <w:tblStylePr w:type="band1Horz">
      <w:tcPr>
        <w:shd w:val="clear" w:color="BCDBA8" w:fill="BCDBA8"/>
      </w:tcPr>
    </w:tblStylePr>
    <w:tblStylePr w:type="band2Horz"/>
    <w:tblStylePr w:type="neCell"/>
    <w:tblStylePr w:type="nwCell"/>
    <w:tblStylePr w:type="seCell"/>
    <w:tblStylePr w:type="swCell"/>
  </w:style>
  <w:style w:type="table" w:customStyle="1" w:styleId="78">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fill="E1EFD8"/>
      </w:tcPr>
    </w:tblStylePr>
    <w:tblStylePr w:type="band2Vert"/>
    <w:tblStylePr w:type="band1Horz">
      <w:rPr>
        <w:rFonts w:ascii="Arial" w:hAnsi="Arial"/>
        <w:color w:val="254174" w:themeColor="accent5" w:themeShade="94"/>
        <w:sz w:val="22"/>
      </w:rPr>
      <w:tcPr>
        <w:shd w:val="clear" w:color="E1EFD8" w:fill="E1EFD8"/>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fill="E1EFD8"/>
      </w:tcPr>
    </w:tblStylePr>
    <w:tblStylePr w:type="band2Vert"/>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93">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2Vert"/>
    <w:tblStylePr w:type="band1Horz">
      <w:tcPr>
        <w:shd w:val="clear" w:color="D5E5F4" w:fill="D5E5F4"/>
      </w:tcPr>
    </w:tblStylePr>
    <w:tblStylePr w:type="band2Horz"/>
    <w:tblStylePr w:type="neCell"/>
    <w:tblStylePr w:type="nwCell"/>
    <w:tblStylePr w:type="seCell"/>
    <w:tblStylePr w:type="swCell"/>
  </w:style>
  <w:style w:type="table" w:customStyle="1" w:styleId="94">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2Vert"/>
    <w:tblStylePr w:type="band1Horz">
      <w:tcPr>
        <w:shd w:val="clear" w:color="FADECB" w:fill="FADECB"/>
      </w:tcPr>
    </w:tblStylePr>
    <w:tblStylePr w:type="band2Horz"/>
    <w:tblStylePr w:type="neCell"/>
    <w:tblStylePr w:type="nwCell"/>
    <w:tblStylePr w:type="seCell"/>
    <w:tblStylePr w:type="swCell"/>
  </w:style>
  <w:style w:type="table" w:customStyle="1" w:styleId="95">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2Vert"/>
    <w:tblStylePr w:type="band1Horz">
      <w:tcPr>
        <w:shd w:val="clear" w:color="E8E8E8" w:fill="E8E8E8"/>
      </w:tcPr>
    </w:tblStylePr>
    <w:tblStylePr w:type="band2Horz"/>
    <w:tblStylePr w:type="neCell"/>
    <w:tblStylePr w:type="nwCell"/>
    <w:tblStylePr w:type="seCell"/>
    <w:tblStylePr w:type="swCell"/>
  </w:style>
  <w:style w:type="table" w:customStyle="1" w:styleId="96">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2Vert"/>
    <w:tblStylePr w:type="band1Horz">
      <w:tcPr>
        <w:shd w:val="clear" w:color="FFEFBE" w:fill="FFEFBE"/>
      </w:tcPr>
    </w:tblStylePr>
    <w:tblStylePr w:type="band2Horz"/>
    <w:tblStylePr w:type="neCell"/>
    <w:tblStylePr w:type="nwCell"/>
    <w:tblStylePr w:type="seCell"/>
    <w:tblStylePr w:type="swCell"/>
  </w:style>
  <w:style w:type="table" w:customStyle="1" w:styleId="97">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2Vert"/>
    <w:tblStylePr w:type="band1Horz">
      <w:tcPr>
        <w:shd w:val="clear" w:color="D0DBF0" w:fill="D0DBF0"/>
      </w:tcPr>
    </w:tblStylePr>
    <w:tblStylePr w:type="band2Horz"/>
    <w:tblStylePr w:type="neCell"/>
    <w:tblStylePr w:type="nwCell"/>
    <w:tblStylePr w:type="seCell"/>
    <w:tblStylePr w:type="swCell"/>
  </w:style>
  <w:style w:type="table" w:customStyle="1" w:styleId="98">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2Vert"/>
    <w:tblStylePr w:type="band1Horz">
      <w:tcPr>
        <w:shd w:val="clear" w:color="DAEBCF" w:fill="DAEBCF"/>
      </w:tcPr>
    </w:tblStylePr>
    <w:tblStylePr w:type="band2Horz"/>
    <w:tblStylePr w:type="neCell"/>
    <w:tblStylePr w:type="nwCell"/>
    <w:tblStylePr w:type="seCell"/>
    <w:tblStylePr w:type="swCell"/>
  </w:style>
  <w:style w:type="table" w:customStyle="1" w:styleId="99">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00">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01">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02">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03">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04">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05">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06">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14">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15">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16">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17">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18">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19">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20">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tblStylePr w:type="neCell"/>
    <w:tblStylePr w:type="nwCell"/>
    <w:tblStylePr w:type="seCell"/>
    <w:tblStylePr w:type="swCell"/>
  </w:style>
  <w:style w:type="table" w:customStyle="1" w:styleId="121">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fill="5B9BD5"/>
      </w:tcPr>
    </w:tblStylePr>
    <w:tblStylePr w:type="band2Horz">
      <w:tcPr>
        <w:tcBorders>
          <w:top w:val="single" w:color="FFFFFF" w:themeColor="light1" w:sz="4" w:space="0"/>
          <w:bottom w:val="single" w:color="FFFFFF" w:themeColor="light1" w:sz="4" w:space="0"/>
        </w:tcBorders>
        <w:shd w:val="clear" w:color="5B9BD5" w:fill="5B9BD5"/>
      </w:tcPr>
    </w:tblStylePr>
    <w:tblStylePr w:type="neCell"/>
    <w:tblStylePr w:type="nwCell"/>
    <w:tblStylePr w:type="seCell"/>
    <w:tblStylePr w:type="swCell"/>
  </w:style>
  <w:style w:type="table" w:customStyle="1" w:styleId="122">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tblStylePr w:type="neCell"/>
    <w:tblStylePr w:type="nwCell"/>
    <w:tblStylePr w:type="seCell"/>
    <w:tblStylePr w:type="swCell"/>
  </w:style>
  <w:style w:type="table" w:customStyle="1" w:styleId="123">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tblStylePr w:type="neCell"/>
    <w:tblStylePr w:type="nwCell"/>
    <w:tblStylePr w:type="seCell"/>
    <w:tblStylePr w:type="swCell"/>
  </w:style>
  <w:style w:type="table" w:customStyle="1" w:styleId="124">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tblStylePr w:type="neCell"/>
    <w:tblStylePr w:type="nwCell"/>
    <w:tblStylePr w:type="seCell"/>
    <w:tblStylePr w:type="swCell"/>
  </w:style>
  <w:style w:type="table" w:customStyle="1" w:styleId="125">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fill="8EA9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fill="8EA9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fill="8EA9DB"/>
      </w:tcPr>
    </w:tblStylePr>
    <w:tblStylePr w:type="band2Horz">
      <w:tcPr>
        <w:tcBorders>
          <w:top w:val="single" w:color="FFFFFF" w:themeColor="light1" w:sz="4" w:space="0"/>
          <w:bottom w:val="single" w:color="FFFFFF" w:themeColor="light1" w:sz="4" w:space="0"/>
        </w:tcBorders>
        <w:shd w:val="clear" w:color="8EA9DB" w:fill="8EA9DB"/>
      </w:tcPr>
    </w:tblStylePr>
    <w:tblStylePr w:type="neCell"/>
    <w:tblStylePr w:type="nwCell"/>
    <w:tblStylePr w:type="seCell"/>
    <w:tblStylePr w:type="swCell"/>
  </w:style>
  <w:style w:type="table" w:customStyle="1" w:styleId="126">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tblStylePr w:type="neCell"/>
    <w:tblStylePr w:type="nwCell"/>
    <w:tblStylePr w:type="seCell"/>
    <w:tblStylePr w:type="swCell"/>
  </w:style>
  <w:style w:type="table" w:customStyle="1" w:styleId="127">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2Vert"/>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2">
    <w:name w:val="Lined - Accent 1"/>
    <w:basedOn w:val="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3">
    <w:name w:val="Lined - Accent 2"/>
    <w:basedOn w:val="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44">
    <w:name w:val="Lined - Accent 3"/>
    <w:basedOn w:val="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45">
    <w:name w:val="Lined - Accent 4"/>
    <w:basedOn w:val="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46">
    <w:name w:val="Lined - Accent 5"/>
    <w:basedOn w:val="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47">
    <w:name w:val="Lined - Accent 6"/>
    <w:basedOn w:val="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48">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9">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50">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51">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52">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53">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54">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55">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30"/>
    <w:qFormat/>
    <w:uiPriority w:val="9"/>
    <w:rPr>
      <w:rFonts w:ascii="Arial" w:hAnsi="Arial" w:eastAsia="Arial" w:cs="Arial"/>
      <w:color w:val="2E75B6" w:themeColor="accent1" w:themeShade="BF"/>
      <w:sz w:val="40"/>
      <w:szCs w:val="40"/>
    </w:rPr>
  </w:style>
  <w:style w:type="character" w:customStyle="1" w:styleId="163">
    <w:name w:val="Heading 2 Char"/>
    <w:basedOn w:val="30"/>
    <w:qFormat/>
    <w:uiPriority w:val="9"/>
    <w:rPr>
      <w:rFonts w:ascii="Arial" w:hAnsi="Arial" w:eastAsia="Arial" w:cs="Arial"/>
      <w:color w:val="2E75B6" w:themeColor="accent1" w:themeShade="BF"/>
      <w:sz w:val="32"/>
      <w:szCs w:val="32"/>
    </w:rPr>
  </w:style>
  <w:style w:type="character" w:customStyle="1" w:styleId="164">
    <w:name w:val="Heading 3 Char"/>
    <w:basedOn w:val="30"/>
    <w:qFormat/>
    <w:uiPriority w:val="9"/>
    <w:rPr>
      <w:rFonts w:ascii="Arial" w:hAnsi="Arial" w:eastAsia="Arial" w:cs="Arial"/>
      <w:color w:val="2E75B6" w:themeColor="accent1" w:themeShade="BF"/>
      <w:sz w:val="28"/>
      <w:szCs w:val="28"/>
    </w:rPr>
  </w:style>
  <w:style w:type="character" w:customStyle="1" w:styleId="165">
    <w:name w:val="Heading 4 Char"/>
    <w:basedOn w:val="30"/>
    <w:link w:val="7"/>
    <w:qFormat/>
    <w:uiPriority w:val="9"/>
    <w:rPr>
      <w:rFonts w:ascii="Arial" w:hAnsi="Arial" w:eastAsia="Arial" w:cs="Arial"/>
      <w:i/>
      <w:iCs/>
      <w:color w:val="2E75B6" w:themeColor="accent1" w:themeShade="BF"/>
    </w:rPr>
  </w:style>
  <w:style w:type="character" w:customStyle="1" w:styleId="166">
    <w:name w:val="Heading 5 Char"/>
    <w:basedOn w:val="30"/>
    <w:link w:val="8"/>
    <w:qFormat/>
    <w:uiPriority w:val="9"/>
    <w:rPr>
      <w:rFonts w:ascii="Arial" w:hAnsi="Arial" w:eastAsia="Arial" w:cs="Arial"/>
      <w:color w:val="2E75B6" w:themeColor="accent1" w:themeShade="BF"/>
    </w:rPr>
  </w:style>
  <w:style w:type="character" w:customStyle="1" w:styleId="167">
    <w:name w:val="Heading 6 Char"/>
    <w:basedOn w:val="30"/>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qFormat/>
    <w:uiPriority w:val="10"/>
    <w:rPr>
      <w:rFonts w:ascii="Arial" w:hAnsi="Arial" w:eastAsia="Arial" w:cs="Arial"/>
      <w:spacing w:val="-10"/>
      <w:sz w:val="56"/>
      <w:szCs w:val="56"/>
    </w:rPr>
  </w:style>
  <w:style w:type="character" w:customStyle="1" w:styleId="172">
    <w:name w:val="Subtitle Char"/>
    <w:basedOn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30"/>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30"/>
    <w:qFormat/>
    <w:uiPriority w:val="30"/>
    <w:rPr>
      <w:i/>
      <w:iCs/>
      <w:color w:val="2E75B6" w:themeColor="accent1" w:themeShade="BF"/>
    </w:rPr>
  </w:style>
  <w:style w:type="character" w:customStyle="1" w:styleId="178">
    <w:name w:val="Intense Reference"/>
    <w:basedOn w:val="30"/>
    <w:qFormat/>
    <w:uiPriority w:val="32"/>
    <w:rPr>
      <w:b/>
      <w:bCs/>
      <w:smallCaps/>
      <w:color w:val="2E75B6" w:themeColor="accent1" w:themeShade="BF"/>
      <w:spacing w:val="5"/>
    </w:rPr>
  </w:style>
  <w:style w:type="paragraph" w:styleId="179">
    <w:name w:val="No Spacing"/>
    <w:basedOn w:val="1"/>
    <w:qFormat/>
    <w:uiPriority w:val="1"/>
    <w:pPr>
      <w:spacing w:after="0" w:line="240" w:lineRule="auto"/>
    </w:pPr>
  </w:style>
  <w:style w:type="character" w:customStyle="1" w:styleId="180">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30"/>
    <w:qFormat/>
    <w:uiPriority w:val="33"/>
    <w:rPr>
      <w:b/>
      <w:bCs/>
      <w:i/>
      <w:iCs/>
      <w:spacing w:val="5"/>
    </w:rPr>
  </w:style>
  <w:style w:type="character" w:customStyle="1" w:styleId="183">
    <w:name w:val="Header Char"/>
    <w:basedOn w:val="30"/>
    <w:qFormat/>
    <w:uiPriority w:val="99"/>
  </w:style>
  <w:style w:type="character" w:customStyle="1" w:styleId="184">
    <w:name w:val="Footer Char"/>
    <w:basedOn w:val="30"/>
    <w:qFormat/>
    <w:uiPriority w:val="99"/>
  </w:style>
  <w:style w:type="character" w:customStyle="1" w:styleId="185">
    <w:name w:val="Footnote Text Char"/>
    <w:basedOn w:val="30"/>
    <w:semiHidden/>
    <w:qFormat/>
    <w:uiPriority w:val="99"/>
    <w:rPr>
      <w:sz w:val="20"/>
      <w:szCs w:val="20"/>
    </w:rPr>
  </w:style>
  <w:style w:type="character" w:customStyle="1" w:styleId="186">
    <w:name w:val="Endnote Text Char"/>
    <w:basedOn w:val="30"/>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character" w:customStyle="1" w:styleId="188">
    <w:name w:val="批注文字 字符"/>
    <w:qFormat/>
    <w:uiPriority w:val="99"/>
    <w:rPr>
      <w:rFonts w:ascii="Times New Roman" w:hAnsi="Times New Roman" w:eastAsia="宋体" w:cs="Times New Roman"/>
    </w:rPr>
  </w:style>
  <w:style w:type="character" w:customStyle="1" w:styleId="189">
    <w:name w:val="标题 3 字符"/>
    <w:qFormat/>
    <w:uiPriority w:val="1"/>
    <w:rPr>
      <w:rFonts w:ascii="宋体" w:hAnsi="Times New Roman" w:eastAsia="宋体" w:cs="Times New Roman"/>
      <w:b/>
      <w:bCs/>
      <w:sz w:val="20"/>
      <w:szCs w:val="21"/>
    </w:rPr>
  </w:style>
  <w:style w:type="character" w:customStyle="1" w:styleId="190">
    <w:name w:val="脚注文本 字符1"/>
    <w:semiHidden/>
    <w:qFormat/>
    <w:uiPriority w:val="99"/>
    <w:rPr>
      <w:rFonts w:ascii="Times New Roman" w:hAnsi="Times New Roman" w:eastAsia="宋体" w:cs="Times New Roman"/>
      <w:sz w:val="18"/>
      <w:szCs w:val="18"/>
    </w:rPr>
  </w:style>
  <w:style w:type="character" w:customStyle="1" w:styleId="191">
    <w:name w:val="标题 2 字符"/>
    <w:qFormat/>
    <w:uiPriority w:val="9"/>
    <w:rPr>
      <w:rFonts w:ascii="Cambria" w:hAnsi="Cambria" w:eastAsia="宋体" w:cs="Times New Roman"/>
      <w:b/>
      <w:bCs/>
      <w:sz w:val="32"/>
      <w:szCs w:val="32"/>
    </w:rPr>
  </w:style>
  <w:style w:type="character" w:customStyle="1" w:styleId="192">
    <w:name w:val="正文文本 字符"/>
    <w:qFormat/>
    <w:uiPriority w:val="1"/>
    <w:rPr>
      <w:rFonts w:ascii="宋体" w:hAnsi="Times New Roman" w:eastAsia="宋体" w:cs="Times New Roman"/>
      <w:sz w:val="20"/>
      <w:szCs w:val="21"/>
    </w:rPr>
  </w:style>
  <w:style w:type="character" w:customStyle="1" w:styleId="193">
    <w:name w:val="脚注文本 字符"/>
    <w:semiHidden/>
    <w:qFormat/>
    <w:uiPriority w:val="99"/>
    <w:rPr>
      <w:rFonts w:ascii="Times New Roman" w:hAnsi="Times New Roman" w:eastAsia="宋体" w:cs="Times New Roman"/>
      <w:sz w:val="18"/>
      <w:szCs w:val="18"/>
    </w:rPr>
  </w:style>
  <w:style w:type="character" w:customStyle="1" w:styleId="194">
    <w:name w:val="批注主题 字符"/>
    <w:semiHidden/>
    <w:qFormat/>
    <w:uiPriority w:val="99"/>
    <w:rPr>
      <w:rFonts w:ascii="Times New Roman" w:hAnsi="Times New Roman" w:eastAsia="宋体" w:cs="Times New Roman"/>
      <w:b/>
      <w:bCs/>
    </w:rPr>
  </w:style>
  <w:style w:type="character" w:customStyle="1" w:styleId="195">
    <w:name w:val="日期 字符"/>
    <w:basedOn w:val="30"/>
    <w:semiHidden/>
    <w:qFormat/>
    <w:uiPriority w:val="99"/>
    <w:rPr>
      <w:rFonts w:ascii="Times New Roman" w:hAnsi="Times New Roman" w:eastAsia="宋体" w:cs="Times New Roman"/>
    </w:rPr>
  </w:style>
  <w:style w:type="character" w:customStyle="1" w:styleId="196">
    <w:name w:val="标题 1 字符"/>
    <w:qFormat/>
    <w:uiPriority w:val="1"/>
    <w:rPr>
      <w:rFonts w:ascii="黑体" w:hAnsi="Times New Roman" w:eastAsia="黑体" w:cs="Times New Roman"/>
      <w:b/>
      <w:bCs/>
      <w:sz w:val="36"/>
      <w:szCs w:val="36"/>
    </w:rPr>
  </w:style>
  <w:style w:type="character" w:customStyle="1" w:styleId="197">
    <w:name w:val="页脚 字符"/>
    <w:qFormat/>
    <w:uiPriority w:val="99"/>
    <w:rPr>
      <w:rFonts w:ascii="Times New Roman" w:hAnsi="Times New Roman" w:eastAsia="宋体" w:cs="Times New Roman"/>
      <w:sz w:val="18"/>
      <w:szCs w:val="18"/>
    </w:rPr>
  </w:style>
  <w:style w:type="character" w:customStyle="1" w:styleId="198">
    <w:name w:val="页眉 字符"/>
    <w:qFormat/>
    <w:uiPriority w:val="99"/>
    <w:rPr>
      <w:rFonts w:ascii="Times New Roman" w:hAnsi="Times New Roman" w:eastAsia="宋体" w:cs="Times New Roman"/>
      <w:sz w:val="18"/>
      <w:szCs w:val="18"/>
    </w:rPr>
  </w:style>
  <w:style w:type="character" w:customStyle="1" w:styleId="199">
    <w:name w:val="批注框文本 字符"/>
    <w:semiHidden/>
    <w:qFormat/>
    <w:uiPriority w:val="99"/>
    <w:rPr>
      <w:rFonts w:ascii="Times New Roman" w:hAnsi="Times New Roman" w:eastAsia="宋体" w:cs="Times New Roman"/>
      <w:sz w:val="18"/>
      <w:szCs w:val="18"/>
    </w:rPr>
  </w:style>
  <w:style w:type="paragraph" w:customStyle="1" w:styleId="200">
    <w:name w:val="Table Paragraph"/>
    <w:basedOn w:val="1"/>
    <w:qFormat/>
    <w:uiPriority w:val="1"/>
    <w:pPr>
      <w:jc w:val="left"/>
    </w:pPr>
    <w:rPr>
      <w:sz w:val="24"/>
      <w:szCs w:val="24"/>
    </w:rPr>
  </w:style>
  <w:style w:type="paragraph" w:customStyle="1" w:styleId="201">
    <w:name w:val="Default"/>
    <w:qFormat/>
    <w:uiPriority w:val="0"/>
    <w:pPr>
      <w:widowControl w:val="0"/>
    </w:pPr>
    <w:rPr>
      <w:rFonts w:hint="default" w:ascii="宋体" w:hAnsi="宋体" w:eastAsia="宋体" w:cs="宋体"/>
      <w:color w:val="000000"/>
      <w:sz w:val="24"/>
      <w:szCs w:val="24"/>
      <w:lang w:val="en-US" w:eastAsia="zh-CN" w:bidi="ar-SA"/>
    </w:rPr>
  </w:style>
  <w:style w:type="paragraph" w:styleId="202">
    <w:name w:val="List Paragraph"/>
    <w:basedOn w:val="1"/>
    <w:qFormat/>
    <w:uiPriority w:val="72"/>
    <w:pPr>
      <w:ind w:firstLine="420"/>
    </w:pPr>
  </w:style>
  <w:style w:type="paragraph" w:customStyle="1" w:styleId="203">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04">
    <w:name w:val="标题 1 字符1"/>
    <w:link w:val="4"/>
    <w:qFormat/>
    <w:uiPriority w:val="1"/>
    <w:rPr>
      <w:rFonts w:ascii="黑体" w:hAnsi="Times New Roman" w:eastAsia="黑体" w:cs="黑体"/>
      <w:b/>
      <w:bCs/>
      <w:sz w:val="36"/>
      <w:szCs w:val="36"/>
    </w:rPr>
  </w:style>
  <w:style w:type="character" w:customStyle="1" w:styleId="205">
    <w:name w:val="标题 2 字符1"/>
    <w:link w:val="5"/>
    <w:qFormat/>
    <w:uiPriority w:val="9"/>
    <w:rPr>
      <w:rFonts w:ascii="Cambria" w:hAnsi="Cambria" w:eastAsia="宋体" w:cs="Times New Roman"/>
      <w:b/>
      <w:bCs/>
      <w:sz w:val="32"/>
      <w:szCs w:val="32"/>
    </w:rPr>
  </w:style>
  <w:style w:type="character" w:customStyle="1" w:styleId="206">
    <w:name w:val="标题 3 字符1"/>
    <w:link w:val="6"/>
    <w:qFormat/>
    <w:uiPriority w:val="1"/>
    <w:rPr>
      <w:rFonts w:ascii="宋体" w:hAnsi="Times New Roman" w:eastAsia="宋体" w:cs="宋体"/>
      <w:b/>
      <w:bCs/>
      <w:szCs w:val="21"/>
    </w:rPr>
  </w:style>
  <w:style w:type="character" w:customStyle="1" w:styleId="207">
    <w:name w:val="批注文字 字符1"/>
    <w:qFormat/>
    <w:uiPriority w:val="99"/>
    <w:rPr>
      <w:rFonts w:ascii="Times New Roman" w:hAnsi="Times New Roman" w:eastAsia="宋体" w:cs="Times New Roman"/>
      <w:sz w:val="21"/>
      <w:szCs w:val="22"/>
    </w:rPr>
  </w:style>
  <w:style w:type="character" w:customStyle="1" w:styleId="208">
    <w:name w:val="正文文本 字符1"/>
    <w:qFormat/>
    <w:uiPriority w:val="1"/>
    <w:rPr>
      <w:rFonts w:ascii="宋体" w:hAnsi="Times New Roman" w:eastAsia="宋体" w:cs="宋体"/>
      <w:szCs w:val="21"/>
    </w:rPr>
  </w:style>
  <w:style w:type="character" w:customStyle="1" w:styleId="209">
    <w:name w:val="日期 字符1"/>
    <w:basedOn w:val="30"/>
    <w:semiHidden/>
    <w:qFormat/>
    <w:uiPriority w:val="99"/>
    <w:rPr>
      <w:rFonts w:ascii="Times New Roman" w:hAnsi="Times New Roman" w:eastAsia="宋体" w:cs="Times New Roman"/>
    </w:rPr>
  </w:style>
  <w:style w:type="character" w:customStyle="1" w:styleId="210">
    <w:name w:val="批注框文本 字符1"/>
    <w:semiHidden/>
    <w:qFormat/>
    <w:uiPriority w:val="99"/>
    <w:rPr>
      <w:rFonts w:ascii="Times New Roman" w:hAnsi="Times New Roman" w:eastAsia="宋体" w:cs="Times New Roman"/>
      <w:sz w:val="18"/>
      <w:szCs w:val="18"/>
    </w:rPr>
  </w:style>
  <w:style w:type="character" w:customStyle="1" w:styleId="211">
    <w:name w:val="页脚 字符1"/>
    <w:qFormat/>
    <w:uiPriority w:val="99"/>
    <w:rPr>
      <w:rFonts w:ascii="Times New Roman" w:hAnsi="Times New Roman" w:eastAsia="宋体" w:cs="Times New Roman"/>
      <w:sz w:val="18"/>
      <w:szCs w:val="18"/>
    </w:rPr>
  </w:style>
  <w:style w:type="character" w:customStyle="1" w:styleId="212">
    <w:name w:val="页眉 字符1"/>
    <w:qFormat/>
    <w:uiPriority w:val="99"/>
    <w:rPr>
      <w:rFonts w:ascii="Times New Roman" w:hAnsi="Times New Roman" w:eastAsia="宋体" w:cs="Times New Roman"/>
      <w:sz w:val="18"/>
      <w:szCs w:val="18"/>
    </w:rPr>
  </w:style>
  <w:style w:type="character" w:customStyle="1" w:styleId="213">
    <w:name w:val="脚注文本 字符2"/>
    <w:link w:val="27"/>
    <w:semiHidden/>
    <w:qFormat/>
    <w:uiPriority w:val="99"/>
    <w:rPr>
      <w:rFonts w:ascii="Times New Roman" w:hAnsi="Times New Roman" w:eastAsia="宋体" w:cs="Times New Roman"/>
      <w:sz w:val="18"/>
      <w:szCs w:val="18"/>
    </w:rPr>
  </w:style>
  <w:style w:type="character" w:customStyle="1" w:styleId="214">
    <w:name w:val="批注主题 字符1"/>
    <w:semiHidden/>
    <w:qFormat/>
    <w:uiPriority w:val="99"/>
    <w:rPr>
      <w:rFonts w:ascii="Times New Roman" w:hAnsi="Times New Roman" w:eastAsia="宋体" w:cs="Times New Roman"/>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dcterms:modified xsi:type="dcterms:W3CDTF">2026-09-09T03:39:53Z</dcterms:modified>
  <cp:revision>62</cp:revision>
</cp:coreProperties>
</file>

<file path=customXml/item3.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Office_11.8.2.11734_F1E327BC-269C-435d-A152-05C5408002CA</Application>
  <DocSecurity>0</DocSecuri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545be7-1be3-48e6-8d83-ec0a95839588}">
  <ds:schemaRefs/>
</ds:datastoreItem>
</file>

<file path=customXml/itemProps3.xml><?xml version="1.0" encoding="utf-8"?>
<ds:datastoreItem xmlns:ds="http://schemas.openxmlformats.org/officeDocument/2006/customXml" ds:itemID="{7e07d01f-e63a-4302-a7b6-29fc1a6b90a4}">
  <ds:schemaRefs/>
</ds:datastoreItem>
</file>

<file path=customXml/itemProps4.xml><?xml version="1.0" encoding="utf-8"?>
<ds:datastoreItem xmlns:ds="http://schemas.openxmlformats.org/officeDocument/2006/customXml" ds:itemID="{be232b02-5321-4362-a916-cf59f66b2b04}">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jsyh</cp:lastModifiedBy>
  <dcterms:modified xsi:type="dcterms:W3CDTF">2026-09-10T01:17:07Z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