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bidi w:val="0"/>
        <w:spacing w:line="240" w:lineRule="auto"/>
        <w:jc w:val="center"/>
        <w:outlineLvl w:val="0"/>
        <w:rPr>
          <w:rFonts w:hint="eastAsia" w:ascii="楷体" w:hAnsi="楷体" w:eastAsia="楷体" w:cs="楷体"/>
          <w:b/>
          <w:color w:val="auto"/>
          <w:sz w:val="28"/>
          <w:szCs w:val="28"/>
          <w:highlight w:val="none"/>
          <w:lang w:eastAsia="zh-CN"/>
        </w:rPr>
      </w:pPr>
      <w:bookmarkStart w:id="0" w:name="_Hlk168577216"/>
      <w:r>
        <w:rPr>
          <w:rFonts w:hint="eastAsia" w:ascii="楷体" w:hAnsi="楷体" w:eastAsia="楷体" w:cs="楷体"/>
          <w:b/>
          <w:color w:val="auto"/>
          <w:sz w:val="28"/>
          <w:szCs w:val="28"/>
          <w:highlight w:val="none"/>
        </w:rPr>
        <w:t>“</w:t>
      </w:r>
      <w:r>
        <w:rPr>
          <w:rFonts w:hint="eastAsia" w:ascii="楷体" w:hAnsi="楷体" w:eastAsia="楷体" w:cs="楷体"/>
          <w:b/>
          <w:color w:val="auto"/>
          <w:sz w:val="28"/>
          <w:szCs w:val="28"/>
          <w:highlight w:val="none"/>
          <w:lang w:val="en-US" w:eastAsia="zh-CN"/>
        </w:rPr>
        <w:t>苏银理财恒源封闭纯债390期</w:t>
      </w:r>
      <w:r>
        <w:rPr>
          <w:rFonts w:hint="eastAsia" w:ascii="楷体" w:hAnsi="楷体" w:eastAsia="楷体" w:cs="楷体"/>
          <w:b/>
          <w:color w:val="auto"/>
          <w:sz w:val="28"/>
          <w:szCs w:val="28"/>
          <w:highlight w:val="none"/>
        </w:rPr>
        <w:t>”理财产品</w:t>
      </w:r>
      <w:r>
        <w:rPr>
          <w:rFonts w:hint="eastAsia" w:ascii="楷体" w:hAnsi="楷体" w:eastAsia="楷体" w:cs="楷体"/>
          <w:b/>
          <w:color w:val="auto"/>
          <w:sz w:val="28"/>
          <w:szCs w:val="28"/>
          <w:highlight w:val="none"/>
          <w:lang w:val="en-US" w:eastAsia="zh-CN"/>
        </w:rPr>
        <w:t>说明书</w:t>
      </w:r>
    </w:p>
    <w:p>
      <w:pPr>
        <w:pStyle w:val="25"/>
        <w:keepNext w:val="0"/>
        <w:keepLines w:val="0"/>
        <w:pageBreakBefore w:val="0"/>
        <w:bidi w:val="0"/>
        <w:spacing w:before="0" w:beforeAutospacing="0" w:after="0" w:afterAutospacing="0" w:line="310" w:lineRule="exact"/>
        <w:jc w:val="center"/>
        <w:rPr>
          <w:rFonts w:hint="eastAsia" w:ascii="楷体" w:hAnsi="楷体" w:eastAsia="楷体" w:cs="宋体"/>
          <w:b/>
          <w:color w:val="auto"/>
          <w:sz w:val="24"/>
          <w:szCs w:val="24"/>
          <w:highlight w:val="none"/>
        </w:rPr>
      </w:pPr>
      <w:r>
        <w:rPr>
          <w:rFonts w:hint="eastAsia" w:ascii="楷体" w:hAnsi="楷体" w:eastAsia="楷体" w:cs="Times New Roman"/>
          <w:sz w:val="21"/>
          <w:szCs w:val="21"/>
          <w:highlight w:val="none"/>
          <w:lang w:val="en-US" w:eastAsia="zh-CN" w:bidi="ar-SA"/>
        </w:rPr>
        <w:t>（</w:t>
      </w:r>
      <w:r>
        <w:rPr>
          <w:rFonts w:hint="eastAsia" w:ascii="楷体" w:hAnsi="楷体" w:eastAsia="楷体" w:cs="Times New Roman"/>
          <w:b w:val="0"/>
          <w:bCs w:val="0"/>
          <w:sz w:val="21"/>
          <w:szCs w:val="21"/>
          <w:highlight w:val="none"/>
          <w:lang w:val="en-US" w:eastAsia="zh-CN" w:bidi="ar-SA"/>
        </w:rPr>
        <w:t>2026年9月版</w:t>
      </w:r>
      <w:r>
        <w:rPr>
          <w:rFonts w:hint="eastAsia" w:ascii="楷体" w:hAnsi="楷体" w:eastAsia="楷体" w:cs="Times New Roman"/>
          <w:sz w:val="21"/>
          <w:szCs w:val="21"/>
          <w:highlight w:val="none"/>
          <w:lang w:val="en-US" w:eastAsia="zh-CN" w:bidi="ar-SA"/>
        </w:rPr>
        <w:t>）</w:t>
      </w:r>
    </w:p>
    <w:p>
      <w:pPr>
        <w:keepNext w:val="0"/>
        <w:keepLines w:val="0"/>
        <w:pageBreakBefore w:val="0"/>
        <w:bidi w:val="0"/>
        <w:spacing w:line="240" w:lineRule="auto"/>
        <w:jc w:val="center"/>
        <w:rPr>
          <w:rFonts w:hint="eastAsia" w:ascii="楷体" w:hAnsi="楷体" w:eastAsia="楷体" w:cs="楷体"/>
          <w:b/>
          <w:color w:val="auto"/>
          <w:sz w:val="24"/>
          <w:szCs w:val="24"/>
          <w:highlight w:val="none"/>
        </w:rPr>
      </w:pPr>
      <w:r>
        <w:rPr>
          <w:rFonts w:hint="eastAsia" w:ascii="楷体" w:hAnsi="楷体" w:eastAsia="楷体" w:cs="楷体"/>
          <w:b/>
          <w:color w:val="auto"/>
          <w:sz w:val="24"/>
          <w:szCs w:val="24"/>
          <w:highlight w:val="none"/>
        </w:rPr>
        <w:t>理财非存款、产品有风险、投资须谨慎</w:t>
      </w:r>
    </w:p>
    <w:p>
      <w:pPr>
        <w:keepNext w:val="0"/>
        <w:keepLines w:val="0"/>
        <w:pageBreakBefore w:val="0"/>
        <w:widowControl w:val="0"/>
        <w:bidi w:val="0"/>
        <w:spacing w:before="157" w:line="240" w:lineRule="auto"/>
        <w:jc w:val="center"/>
        <w:rPr>
          <w:rFonts w:hint="eastAsia" w:ascii="楷体" w:hAnsi="楷体" w:eastAsia="楷体" w:cs="楷体"/>
          <w:b/>
          <w:color w:val="auto"/>
          <w:sz w:val="24"/>
          <w:szCs w:val="24"/>
          <w:highlight w:val="none"/>
          <w:lang w:val="en-US" w:eastAsia="zh-CN"/>
        </w:rPr>
      </w:pPr>
      <w:r>
        <w:rPr>
          <w:rFonts w:hint="eastAsia" w:ascii="楷体" w:hAnsi="楷体" w:eastAsia="楷体" w:cs="楷体"/>
          <w:b/>
          <w:color w:val="auto"/>
          <w:sz w:val="24"/>
          <w:szCs w:val="24"/>
          <w:highlight w:val="none"/>
          <w:lang w:val="en-US" w:eastAsia="zh-CN"/>
        </w:rPr>
        <w:t>产品登记编码：Z7003126000431</w:t>
      </w:r>
    </w:p>
    <w:p>
      <w:pPr>
        <w:pStyle w:val="28"/>
        <w:keepNext w:val="0"/>
        <w:keepLines w:val="0"/>
        <w:pageBreakBefore w:val="0"/>
        <w:bidi w:val="0"/>
        <w:spacing w:line="240" w:lineRule="auto"/>
        <w:ind w:left="0" w:firstLine="0"/>
        <w:jc w:val="center"/>
        <w:rPr>
          <w:rFonts w:hint="default" w:ascii="楷体" w:hAnsi="楷体" w:eastAsia="楷体" w:cs="楷体"/>
          <w:b/>
          <w:color w:val="auto"/>
          <w:sz w:val="24"/>
          <w:szCs w:val="24"/>
          <w:highlight w:val="none"/>
          <w:lang w:val="en-US" w:eastAsia="zh-CN" w:bidi="ar-SA"/>
        </w:rPr>
      </w:pPr>
      <w:r>
        <w:rPr>
          <w:rFonts w:hint="eastAsia" w:ascii="楷体" w:hAnsi="楷体" w:eastAsia="楷体" w:cs="楷体"/>
          <w:b/>
          <w:color w:val="auto"/>
          <w:sz w:val="24"/>
          <w:szCs w:val="24"/>
          <w:highlight w:val="none"/>
          <w:lang w:val="en-US" w:eastAsia="zh-CN" w:bidi="ar-SA"/>
        </w:rPr>
        <w:t>(投资者可依据该登记编码在中国理财网www.chinawealth.com.cn查询产品信息）</w:t>
      </w:r>
    </w:p>
    <w:p>
      <w:pPr>
        <w:keepNext w:val="0"/>
        <w:keepLines w:val="0"/>
        <w:pageBreakBefore w:val="0"/>
        <w:bidi w:val="0"/>
        <w:spacing w:line="240" w:lineRule="auto"/>
        <w:rPr>
          <w:rFonts w:hint="eastAsia" w:ascii="楷体" w:hAnsi="楷体" w:eastAsia="楷体" w:cs="楷体"/>
          <w:b/>
          <w:color w:val="auto"/>
          <w:sz w:val="21"/>
          <w:szCs w:val="21"/>
          <w:highlight w:val="none"/>
        </w:rPr>
      </w:pPr>
    </w:p>
    <w:p>
      <w:pPr>
        <w:keepNext w:val="0"/>
        <w:keepLines w:val="0"/>
        <w:pageBreakBefore w:val="0"/>
        <w:bidi w:val="0"/>
        <w:spacing w:line="240" w:lineRule="auto"/>
        <w:outlineLvl w:val="1"/>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rPr>
        <w:t>重要须知</w:t>
      </w:r>
    </w:p>
    <w:p>
      <w:pPr>
        <w:numPr>
          <w:ilvl w:val="0"/>
          <w:numId w:val="1"/>
        </w:numPr>
        <w:ind w:left="420" w:hanging="420"/>
        <w:rPr>
          <w:rFonts w:hint="eastAsia" w:ascii="楷体" w:hAnsi="楷体" w:eastAsia="楷体"/>
          <w:sz w:val="21"/>
          <w:szCs w:val="21"/>
          <w:highlight w:val="none"/>
        </w:rPr>
      </w:pPr>
      <w:r>
        <w:rPr>
          <w:rFonts w:hint="eastAsia" w:ascii="楷体" w:hAnsi="楷体" w:eastAsia="楷体"/>
          <w:sz w:val="21"/>
          <w:szCs w:val="21"/>
          <w:highlight w:val="none"/>
        </w:rPr>
        <w:t>在购买本理财产品前，投资者应确保自己完全理解该项投资的性质和所涉及的风险，详细了解和审慎评估该理财产品的投资范围、风险类型等基本情况，在慎重考虑后自行决定购买与自身风险承受能力和资产管理需求匹配的理财产品。</w:t>
      </w:r>
    </w:p>
    <w:p>
      <w:pPr>
        <w:numPr>
          <w:ilvl w:val="0"/>
          <w:numId w:val="1"/>
        </w:numPr>
        <w:ind w:left="420" w:hanging="420"/>
        <w:rPr>
          <w:rFonts w:hint="eastAsia" w:ascii="楷体" w:hAnsi="楷体" w:eastAsia="楷体"/>
          <w:b/>
          <w:sz w:val="21"/>
          <w:szCs w:val="21"/>
          <w:highlight w:val="none"/>
          <w:u w:val="single"/>
        </w:rPr>
      </w:pPr>
      <w:r>
        <w:rPr>
          <w:rFonts w:hint="eastAsia" w:ascii="楷体" w:hAnsi="楷体" w:eastAsia="楷体"/>
          <w:b/>
          <w:sz w:val="21"/>
          <w:szCs w:val="21"/>
          <w:highlight w:val="none"/>
          <w:u w:val="single"/>
        </w:rPr>
        <w:t>本理财产品不保证本金及收益，您的本金可能因市场变动或者交易违约等事项而蒙受相应损失，投资者应充分认识投资风险，谨慎投资。</w:t>
      </w:r>
    </w:p>
    <w:p>
      <w:pPr>
        <w:numPr>
          <w:ilvl w:val="0"/>
          <w:numId w:val="1"/>
        </w:numPr>
        <w:ind w:left="420" w:hanging="420"/>
        <w:rPr>
          <w:rFonts w:hint="eastAsia" w:ascii="楷体" w:hAnsi="楷体" w:eastAsia="楷体"/>
          <w:b/>
          <w:sz w:val="21"/>
          <w:szCs w:val="21"/>
          <w:highlight w:val="none"/>
          <w:u w:val="single"/>
        </w:rPr>
      </w:pPr>
      <w:r>
        <w:rPr>
          <w:rFonts w:hint="eastAsia" w:ascii="楷体" w:hAnsi="楷体" w:eastAsia="楷体"/>
          <w:b/>
          <w:sz w:val="21"/>
          <w:szCs w:val="21"/>
          <w:highlight w:val="none"/>
          <w:u w:val="single"/>
        </w:rPr>
        <w:t>本理财产品过往业绩不代表其未来表现，不等于理财产品实际收益，投资须谨慎；理财非存款、产品有风险、投资须谨慎。</w:t>
      </w:r>
    </w:p>
    <w:p>
      <w:pPr>
        <w:numPr>
          <w:ilvl w:val="0"/>
          <w:numId w:val="1"/>
        </w:numPr>
        <w:ind w:left="420" w:hanging="420"/>
        <w:rPr>
          <w:rFonts w:hint="eastAsia" w:ascii="楷体" w:hAnsi="楷体" w:eastAsia="楷体"/>
          <w:b/>
          <w:sz w:val="21"/>
          <w:szCs w:val="21"/>
          <w:highlight w:val="none"/>
          <w:u w:val="single"/>
        </w:rPr>
      </w:pPr>
      <w:r>
        <w:rPr>
          <w:rFonts w:hint="eastAsia" w:ascii="楷体" w:hAnsi="楷体" w:eastAsia="楷体"/>
          <w:b/>
          <w:sz w:val="21"/>
          <w:szCs w:val="21"/>
          <w:highlight w:val="none"/>
          <w:u w:val="single"/>
        </w:rPr>
        <w:t>本理财产品任何业绩比较基准及类似表述均属不具有法律约束力的用语。业绩比较基准为管理人基于产品性质、投资策略、过往经验等因素对产品设定的投资目标。业绩比较基准不是预期收益率，不代表产品的未来表现和实际收益，不构成对产品收益的承诺。</w:t>
      </w:r>
    </w:p>
    <w:p>
      <w:pPr>
        <w:numPr>
          <w:ilvl w:val="0"/>
          <w:numId w:val="1"/>
        </w:numPr>
        <w:ind w:left="420" w:hanging="420"/>
        <w:rPr>
          <w:rFonts w:hint="eastAsia" w:ascii="楷体" w:hAnsi="楷体" w:eastAsia="楷体"/>
          <w:sz w:val="21"/>
          <w:szCs w:val="21"/>
          <w:highlight w:val="none"/>
        </w:rPr>
      </w:pPr>
      <w:r>
        <w:rPr>
          <w:rFonts w:hint="eastAsia" w:ascii="楷体" w:hAnsi="楷体" w:eastAsia="楷体"/>
          <w:sz w:val="21"/>
          <w:szCs w:val="21"/>
          <w:highlight w:val="none"/>
        </w:rPr>
        <w:t>《风险揭示书》、《理财产品说明书》、《理财产品投资协议书》、《投资者权益须知》、《理财产品（代理）销售协议书》共同构成本理财产品完整的不可分割的理财产品合同。</w:t>
      </w:r>
    </w:p>
    <w:p>
      <w:pPr>
        <w:numPr>
          <w:ilvl w:val="0"/>
          <w:numId w:val="1"/>
        </w:numPr>
        <w:ind w:left="420" w:hanging="420"/>
        <w:rPr>
          <w:rFonts w:hint="eastAsia" w:ascii="楷体" w:hAnsi="楷体" w:eastAsia="楷体"/>
          <w:sz w:val="21"/>
          <w:szCs w:val="21"/>
          <w:highlight w:val="none"/>
        </w:rPr>
      </w:pPr>
      <w:r>
        <w:rPr>
          <w:rFonts w:hint="eastAsia" w:ascii="楷体" w:hAnsi="楷体" w:eastAsia="楷体"/>
          <w:sz w:val="21"/>
          <w:szCs w:val="21"/>
          <w:highlight w:val="none"/>
        </w:rPr>
        <w:t>本理财产品涉及的主要风险包括政策风险、信用风险、市场风险、流动性风险、管理风险、操作风险、</w:t>
      </w:r>
      <w:r>
        <w:rPr>
          <w:rFonts w:hint="eastAsia" w:ascii="楷体" w:hAnsi="楷体" w:eastAsia="楷体"/>
          <w:sz w:val="21"/>
          <w:szCs w:val="21"/>
          <w:highlight w:val="none"/>
          <w:lang w:val="en-US" w:eastAsia="zh-CN"/>
        </w:rPr>
        <w:t>理财产品不成立风险、</w:t>
      </w:r>
      <w:r>
        <w:rPr>
          <w:rFonts w:hint="eastAsia" w:ascii="楷体" w:hAnsi="楷体" w:eastAsia="楷体"/>
          <w:sz w:val="21"/>
          <w:szCs w:val="21"/>
          <w:highlight w:val="none"/>
        </w:rPr>
        <w:t>延期兑付风险、提前终止风险、信息传递风险、代销风险（如有）、不可抗力风险、关联关系及关联交易风险、特定投资标的风险等。请仔细阅读《“</w:t>
      </w:r>
      <w:r>
        <w:rPr>
          <w:rFonts w:hint="eastAsia" w:ascii="楷体" w:hAnsi="楷体" w:eastAsia="楷体"/>
          <w:sz w:val="21"/>
          <w:szCs w:val="21"/>
          <w:highlight w:val="none"/>
          <w:lang w:val="en-US" w:eastAsia="zh-CN"/>
        </w:rPr>
        <w:t>苏银理财恒源封闭纯债390期</w:t>
      </w:r>
      <w:r>
        <w:rPr>
          <w:rFonts w:hint="eastAsia" w:ascii="楷体" w:hAnsi="楷体" w:eastAsia="楷体"/>
          <w:sz w:val="21"/>
          <w:szCs w:val="21"/>
          <w:highlight w:val="none"/>
        </w:rPr>
        <w:t>”理财产品风险揭示书》的“风险揭示”部分。</w:t>
      </w:r>
    </w:p>
    <w:p>
      <w:pPr>
        <w:numPr>
          <w:ilvl w:val="0"/>
          <w:numId w:val="1"/>
        </w:numPr>
        <w:ind w:left="420" w:hanging="420"/>
        <w:rPr>
          <w:rFonts w:hint="eastAsia" w:ascii="楷体" w:hAnsi="楷体" w:eastAsia="楷体"/>
          <w:b/>
          <w:sz w:val="21"/>
          <w:szCs w:val="21"/>
          <w:highlight w:val="none"/>
          <w:u w:val="single"/>
        </w:rPr>
      </w:pPr>
      <w:r>
        <w:rPr>
          <w:rFonts w:hint="eastAsia" w:ascii="楷体" w:hAnsi="楷体" w:eastAsia="楷体" w:cs="楷体"/>
          <w:b/>
          <w:sz w:val="21"/>
          <w:szCs w:val="21"/>
          <w:highlight w:val="none"/>
          <w:u w:val="single"/>
        </w:rPr>
        <w:t>本产品可设置多类份额，各类份额可能设置不同的销售对象、销售起点、业绩比较基准等，各类份额实际收取的销售服务费率、</w:t>
      </w:r>
      <w:r>
        <w:rPr>
          <w:rFonts w:hint="eastAsia" w:ascii="楷体" w:hAnsi="楷体" w:eastAsia="楷体" w:cs="楷体"/>
          <w:b/>
          <w:sz w:val="21"/>
          <w:szCs w:val="21"/>
          <w:highlight w:val="none"/>
          <w:u w:val="single"/>
          <w:lang w:val="en-US" w:eastAsia="zh-CN"/>
        </w:rPr>
        <w:t>固定</w:t>
      </w:r>
      <w:r>
        <w:rPr>
          <w:rFonts w:hint="eastAsia" w:ascii="楷体" w:hAnsi="楷体" w:eastAsia="楷体" w:cs="楷体"/>
          <w:b/>
          <w:sz w:val="21"/>
          <w:szCs w:val="21"/>
          <w:highlight w:val="none"/>
          <w:u w:val="single"/>
        </w:rPr>
        <w:t>管理费率、</w:t>
      </w:r>
      <w:r>
        <w:rPr>
          <w:rFonts w:hint="eastAsia" w:ascii="楷体" w:hAnsi="楷体" w:eastAsia="楷体" w:cs="楷体"/>
          <w:b/>
          <w:sz w:val="21"/>
          <w:szCs w:val="21"/>
          <w:highlight w:val="none"/>
          <w:u w:val="single"/>
          <w:lang w:val="en-US" w:eastAsia="zh-CN"/>
        </w:rPr>
        <w:t>浮动管理费</w:t>
      </w:r>
      <w:r>
        <w:rPr>
          <w:rFonts w:hint="eastAsia" w:ascii="楷体" w:hAnsi="楷体" w:eastAsia="楷体" w:cs="楷体"/>
          <w:b/>
          <w:sz w:val="21"/>
          <w:szCs w:val="21"/>
          <w:highlight w:val="none"/>
          <w:u w:val="single"/>
        </w:rPr>
        <w:t>（如有）等可能存在差异，投资者应根据实际情况自主选择购买。</w:t>
      </w:r>
    </w:p>
    <w:p>
      <w:pPr>
        <w:numPr>
          <w:ilvl w:val="0"/>
          <w:numId w:val="1"/>
        </w:numPr>
        <w:ind w:left="420" w:hanging="420"/>
        <w:rPr>
          <w:rFonts w:hint="eastAsia" w:ascii="楷体" w:hAnsi="楷体" w:eastAsia="楷体" w:cs="楷体"/>
          <w:sz w:val="21"/>
          <w:szCs w:val="21"/>
          <w:highlight w:val="none"/>
        </w:rPr>
      </w:pPr>
      <w:r>
        <w:rPr>
          <w:rFonts w:hint="eastAsia" w:ascii="楷体" w:hAnsi="楷体" w:eastAsia="楷体"/>
          <w:b/>
          <w:sz w:val="21"/>
          <w:szCs w:val="21"/>
          <w:highlight w:val="none"/>
          <w:u w:val="single"/>
        </w:rPr>
        <w:t>投资者不得使用贷款、发行债券等筹集的非自有资金投资本理财产品。</w:t>
      </w:r>
    </w:p>
    <w:p>
      <w:pPr>
        <w:numPr>
          <w:ilvl w:val="0"/>
          <w:numId w:val="1"/>
        </w:numPr>
        <w:ind w:left="420" w:hanging="420"/>
        <w:rPr>
          <w:rFonts w:hint="eastAsia" w:ascii="楷体" w:hAnsi="楷体" w:eastAsia="楷体"/>
          <w:sz w:val="21"/>
          <w:szCs w:val="21"/>
          <w:highlight w:val="none"/>
        </w:rPr>
      </w:pPr>
      <w:r>
        <w:rPr>
          <w:rFonts w:hint="eastAsia" w:ascii="楷体" w:hAnsi="楷体" w:eastAsia="楷体"/>
          <w:sz w:val="21"/>
          <w:szCs w:val="21"/>
          <w:highlight w:val="none"/>
        </w:rPr>
        <w:t>在本产品存续期内，如因监管政策或法律法规发生变化，在不损害投资者利益的前提下，苏银理财有权单方对本产品条款进行修订，并按本理财产品说明书约定的信息披露方式予以披露。</w:t>
      </w:r>
    </w:p>
    <w:p>
      <w:pPr>
        <w:keepNext w:val="0"/>
        <w:keepLines w:val="0"/>
        <w:pageBreakBefore w:val="0"/>
        <w:numPr>
          <w:ilvl w:val="0"/>
          <w:numId w:val="2"/>
        </w:numPr>
        <w:tabs>
          <w:tab w:val="left" w:pos="1134"/>
        </w:tabs>
        <w:bidi w:val="0"/>
        <w:spacing w:line="240" w:lineRule="auto"/>
        <w:ind w:left="0" w:firstLine="422"/>
        <w:outlineLvl w:val="1"/>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lang w:val="en-US" w:eastAsia="zh-CN"/>
        </w:rPr>
        <w:t>关键</w:t>
      </w:r>
      <w:r>
        <w:rPr>
          <w:rFonts w:hint="eastAsia" w:ascii="楷体" w:hAnsi="楷体" w:eastAsia="楷体" w:cs="楷体"/>
          <w:b/>
          <w:color w:val="auto"/>
          <w:sz w:val="21"/>
          <w:szCs w:val="21"/>
          <w:highlight w:val="none"/>
        </w:rPr>
        <w:t>要素</w:t>
      </w:r>
    </w:p>
    <w:tbl>
      <w:tblPr>
        <w:tblStyle w:val="3"/>
        <w:tblW w:w="965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78"/>
        <w:gridCol w:w="74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jc w:val="center"/>
        </w:trPr>
        <w:tc>
          <w:tcPr>
            <w:tcW w:w="9656" w:type="dxa"/>
            <w:gridSpan w:val="2"/>
            <w:noWrap w:val="0"/>
            <w:vAlign w:val="center"/>
          </w:tcPr>
          <w:p>
            <w:pPr>
              <w:keepNext w:val="0"/>
              <w:keepLines w:val="0"/>
              <w:pageBreakBefore w:val="0"/>
              <w:widowControl/>
              <w:bidi w:val="0"/>
              <w:spacing w:line="240" w:lineRule="auto"/>
              <w:jc w:val="center"/>
              <w:rPr>
                <w:rFonts w:hint="eastAsia" w:ascii="楷体" w:hAnsi="楷体" w:eastAsia="楷体" w:cs="楷体"/>
                <w:color w:val="000000"/>
                <w:sz w:val="20"/>
                <w:szCs w:val="20"/>
                <w:highlight w:val="none"/>
              </w:rPr>
            </w:pPr>
            <w:r>
              <w:rPr>
                <w:rFonts w:hint="eastAsia" w:ascii="楷体" w:hAnsi="楷体" w:eastAsia="楷体" w:cs="楷体"/>
                <w:color w:val="000000"/>
                <w:sz w:val="20"/>
                <w:szCs w:val="20"/>
                <w:highlight w:val="none"/>
              </w:rPr>
              <w:t>本表格提供本理财产品的重要信息，是理财产品说明书的一部分。</w:t>
            </w:r>
            <w:r>
              <w:rPr>
                <w:rFonts w:hint="eastAsia" w:ascii="楷体" w:hAnsi="楷体" w:eastAsia="楷体" w:cs="楷体"/>
                <w:color w:val="000000"/>
                <w:sz w:val="20"/>
                <w:szCs w:val="20"/>
                <w:highlight w:val="none"/>
              </w:rPr>
              <w:br w:type="textWrapping"/>
            </w:r>
            <w:r>
              <w:rPr>
                <w:rFonts w:hint="eastAsia" w:ascii="楷体" w:hAnsi="楷体" w:eastAsia="楷体" w:cs="楷体"/>
                <w:color w:val="000000"/>
                <w:sz w:val="20"/>
                <w:szCs w:val="20"/>
                <w:highlight w:val="none"/>
              </w:rPr>
              <w:t>作出投资决定前，请阅读完整的理财产品说明书等销售文件。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jc w:val="center"/>
        </w:trPr>
        <w:tc>
          <w:tcPr>
            <w:tcW w:w="9656" w:type="dxa"/>
            <w:gridSpan w:val="2"/>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sz w:val="20"/>
                <w:szCs w:val="20"/>
                <w:highlight w:val="none"/>
              </w:rPr>
            </w:pPr>
            <w:r>
              <w:rPr>
                <w:rFonts w:hint="eastAsia" w:ascii="楷体" w:hAnsi="楷体" w:eastAsia="楷体" w:cs="楷体"/>
                <w:b/>
                <w:bCs/>
                <w:color w:val="000000"/>
                <w:sz w:val="20"/>
                <w:szCs w:val="20"/>
                <w:highlight w:val="none"/>
              </w:rPr>
              <w:t>（一）理财产品基本信息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产品登记编码</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color w:val="000000" w:themeColor="text1"/>
                <w:sz w:val="20"/>
                <w:szCs w:val="20"/>
                <w:highlight w:val="none"/>
                <w:lang w:val="en-US" w:eastAsia="zh-CN"/>
                <w14:textFill>
                  <w14:solidFill>
                    <w14:schemeClr w14:val="tx1"/>
                  </w14:solidFill>
                </w14:textFill>
              </w:rPr>
            </w:pPr>
            <w:r>
              <w:rPr>
                <w:rFonts w:hint="eastAsia" w:ascii="楷体" w:hAnsi="楷体" w:eastAsia="楷体" w:cs="楷体"/>
                <w:color w:val="000000" w:themeColor="text1"/>
                <w:sz w:val="20"/>
                <w:szCs w:val="20"/>
                <w:highlight w:val="none"/>
                <w:lang w:val="en-US" w:eastAsia="zh-CN"/>
                <w14:textFill>
                  <w14:solidFill>
                    <w14:schemeClr w14:val="tx1"/>
                  </w14:solidFill>
                </w14:textFill>
              </w:rPr>
              <w:t>Z7003126000431</w:t>
            </w:r>
          </w:p>
          <w:p>
            <w:pPr>
              <w:keepNext w:val="0"/>
              <w:keepLines w:val="0"/>
              <w:pageBreakBefore w:val="0"/>
              <w:widowControl/>
              <w:bidi w:val="0"/>
              <w:spacing w:line="240" w:lineRule="auto"/>
              <w:jc w:val="both"/>
              <w:rPr>
                <w:rFonts w:hint="eastAsia" w:ascii="楷体" w:hAnsi="楷体" w:eastAsia="楷体" w:cs="楷体"/>
                <w:color w:val="000000" w:themeColor="text1"/>
                <w:sz w:val="20"/>
                <w:szCs w:val="20"/>
                <w:highlight w:val="none"/>
                <w14:textFill>
                  <w14:solidFill>
                    <w14:schemeClr w14:val="tx1"/>
                  </w14:solidFill>
                </w14:textFill>
              </w:rPr>
            </w:pPr>
            <w:r>
              <w:rPr>
                <w:rFonts w:hint="eastAsia" w:ascii="楷体" w:hAnsi="楷体" w:eastAsia="楷体" w:cs="楷体"/>
                <w:color w:val="000000" w:themeColor="text1"/>
                <w:sz w:val="20"/>
                <w:szCs w:val="20"/>
                <w:highlight w:val="none"/>
                <w14:textFill>
                  <w14:solidFill>
                    <w14:schemeClr w14:val="tx1"/>
                  </w14:solidFill>
                </w14:textFill>
              </w:rPr>
              <w:t>（重要提示：可在中国理财网www.chinawealth.com.cn查询产品信息）</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产品名称</w:t>
            </w:r>
          </w:p>
        </w:tc>
        <w:tc>
          <w:tcPr>
            <w:tcW w:w="7478" w:type="dxa"/>
            <w:noWrap w:val="0"/>
            <w:vAlign w:val="center"/>
          </w:tcPr>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苏银理财恒源封闭纯债390期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份额代码</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A份额：J29204（销售名称：苏银理财恒源封闭纯债390期9月A）</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B份额：J29205（销售名称：苏银理财恒源封闭纯债390期9月B）</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C份额：J29206（销售名称：苏银理财恒源封闭纯债390期9月C）</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D份额：J29207（销售名称：苏银理财恒源封闭纯债390期9月D）</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E份额：J29208（销售名称：苏银理财恒源封闭纯债390期9月E）</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G份额：J29209（销售名称：苏银理财恒源封闭纯债390期9月G）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发行机构名称</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val="0"/>
                <w:bCs w:val="0"/>
                <w:color w:val="auto"/>
                <w:sz w:val="20"/>
                <w:szCs w:val="20"/>
                <w:highlight w:val="none"/>
                <w:u w:val="none"/>
              </w:rPr>
              <w:t>苏银理财有限责任公司（以下简称“苏银理财”）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销售机构名称</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themeColor="text1"/>
                <w:sz w:val="20"/>
                <w:szCs w:val="20"/>
                <w:highlight w:val="none"/>
                <w:lang w:val="en-US" w:eastAsia="zh-CN"/>
                <w14:textFill>
                  <w14:solidFill>
                    <w14:schemeClr w14:val="tx1"/>
                  </w14:solidFill>
                </w14:textFill>
              </w:rPr>
              <w:t>（1）北京农村商业银行股份有限公司：D份额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（2）东营银行股份有限公司：B份额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（3）福建海峡银行股份有限公司：D份额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（4）广东华润银行股份有限公司：A份额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（5）华夏银行股份有限公司：G份额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（6）江苏常熟农村商业银行股份有限公司：D份额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（7）江苏高淳农村商业银行股份有限公司：B份额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（8）江苏灌南农村商业银行股份有限公司：A份额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（9）江苏灌云农村商业银行股份有限公司：A份额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（10）江苏海安农村商业银行股份有限公司：A份额、E份额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（11）江苏洪泽农村商业银行股份有限公司：A份额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（12）江苏淮安农村商业银行股份有限公司：B份额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（13）江苏金湖农村商业银行股份有限公司：B份额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（14）江苏句容农村商业银行股份有限公司：A份额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（15）江苏昆山农村商业银行股份有限公司：C份额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（16）江苏民丰农村商业银行股份有限公司：A份额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（17）江苏太仓农村商业银行股份有限公司：B份额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（18）江苏扬中农村商业银行股份有限公司：C份额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（19）江苏仪征农村商业银行股份有限公司：A份额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（20）江苏银行股份有限公司：C份额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（21）江苏邳州农村商业银行股份有限公司：E份额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（22）江苏沭阳农村商业银行股份有限公司：D份额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（23）江苏泗洪农村商业银行股份有限公司：A份额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（24）江苏溧水农村商业银行股份有限公司：E份额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（25）江苏盱眙农村商业银行股份有限公司：A份额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（26）宁波通商银行股份有限公司：A份额、B份额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（27）齐鲁银行股份有限公司：D份额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（28）石嘴山银行股份有限公司：D份额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（29）苏州银行股份有限公司：C份额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（30）泰安银行股份有限公司：C份额</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（31）潍坊银行股份有限公司：C份额</w:t>
            </w:r>
          </w:p>
          <w:p>
            <w:pPr>
              <w:keepNext w:val="0"/>
              <w:keepLines w:val="0"/>
              <w:pageBreakBefore w:val="0"/>
              <w:widowControl/>
              <w:bidi w:val="0"/>
              <w:spacing w:line="240" w:lineRule="auto"/>
              <w:jc w:val="both"/>
              <w:rPr>
                <w:rFonts w:hint="default" w:ascii="楷体" w:hAnsi="楷体" w:eastAsia="楷体" w:cs="楷体"/>
                <w:sz w:val="20"/>
                <w:szCs w:val="20"/>
                <w:highlight w:val="none"/>
                <w:lang w:val="en-US" w:eastAsia="zh-CN"/>
              </w:rPr>
            </w:pPr>
            <w:r>
              <w:rPr>
                <w:rFonts w:hint="eastAsia" w:ascii="楷体" w:hAnsi="楷体" w:eastAsia="楷体" w:cs="楷体"/>
                <w:color w:val="000000"/>
                <w:sz w:val="20"/>
                <w:szCs w:val="20"/>
                <w:highlight w:val="none"/>
                <w:lang w:val="en-US" w:eastAsia="zh-CN"/>
              </w:rPr>
              <w:t>（32）新疆银行股份有限公司：B份额</w:t>
            </w:r>
            <w:r>
              <w:rPr>
                <w:rFonts w:hint="eastAsia" w:ascii="楷体" w:hAnsi="楷体" w:eastAsia="楷体" w:cs="楷体"/>
                <w:color w:val="000000"/>
                <w:sz w:val="20"/>
                <w:szCs w:val="20"/>
                <w:highlight w:val="none"/>
                <w:lang w:val="en-US" w:eastAsia="zh-CN"/>
              </w:rPr>
              <w:br w:type="textWrapping"/>
            </w:r>
            <w:r>
              <w:rPr>
                <w:rFonts w:hint="eastAsia" w:ascii="楷体" w:hAnsi="楷体" w:eastAsia="楷体" w:cs="楷体"/>
                <w:color w:val="000000"/>
                <w:sz w:val="20"/>
                <w:szCs w:val="20"/>
                <w:highlight w:val="none"/>
                <w:lang w:val="en-US" w:eastAsia="zh-CN"/>
              </w:rPr>
              <w:t>（33）汉口银行股份有限公司：B份额、C份额</w:t>
            </w:r>
            <w:r>
              <w:rPr>
                <w:rFonts w:hint="eastAsia" w:ascii="楷体" w:hAnsi="楷体" w:eastAsia="楷体" w:cs="楷体"/>
                <w:color w:val="000000"/>
                <w:sz w:val="20"/>
                <w:szCs w:val="20"/>
                <w:highlight w:val="none"/>
                <w:lang w:val="en-US" w:eastAsia="zh-CN"/>
              </w:rPr>
              <w:br w:type="textWrapping"/>
            </w:r>
            <w:r>
              <w:rPr>
                <w:rFonts w:hint="eastAsia" w:ascii="楷体" w:hAnsi="楷体" w:eastAsia="楷体" w:cs="楷体"/>
                <w:color w:val="000000"/>
                <w:sz w:val="20"/>
                <w:szCs w:val="20"/>
                <w:highlight w:val="none"/>
                <w:lang w:val="en-US" w:eastAsia="zh-CN"/>
              </w:rPr>
              <w:t>（34）徽商银行股份有限公司：B份额</w:t>
            </w:r>
            <w:r>
              <w:rPr>
                <w:rFonts w:hint="eastAsia" w:ascii="楷体" w:hAnsi="楷体" w:eastAsia="楷体" w:cs="楷体"/>
                <w:color w:val="000000"/>
                <w:sz w:val="20"/>
                <w:szCs w:val="20"/>
                <w:highlight w:val="none"/>
                <w:lang w:val="en-US" w:eastAsia="zh-CN"/>
              </w:rPr>
              <w:br w:type="textWrapping"/>
            </w:r>
            <w:r>
              <w:rPr>
                <w:rFonts w:hint="eastAsia" w:ascii="楷体" w:hAnsi="楷体" w:eastAsia="楷体" w:cs="楷体"/>
                <w:color w:val="000000"/>
                <w:sz w:val="20"/>
                <w:szCs w:val="20"/>
                <w:highlight w:val="none"/>
                <w:lang w:val="en-US" w:eastAsia="zh-CN"/>
              </w:rPr>
              <w:t>（35）徐州农村商业银行股份有限公司：E份额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境内托管机构名称</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中国工商银行股份有限公司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境外托管机构名称</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销售对象</w:t>
            </w:r>
          </w:p>
        </w:tc>
        <w:tc>
          <w:tcPr>
            <w:tcW w:w="7478" w:type="dxa"/>
            <w:noWrap w:val="0"/>
            <w:vAlign w:val="center"/>
          </w:tcPr>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个人、机构。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56" w:type="dxa"/>
            <w:gridSpan w:val="2"/>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（二）交易规则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募集币种</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人民币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起点销售金额</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1元。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追加递增金额</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1元。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计划募集金额</w:t>
            </w:r>
          </w:p>
        </w:tc>
        <w:tc>
          <w:tcPr>
            <w:tcW w:w="7478" w:type="dxa"/>
            <w:noWrap w:val="0"/>
            <w:vAlign w:val="center"/>
          </w:tcPr>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10亿元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认购、申购、赎回安排</w:t>
            </w:r>
          </w:p>
        </w:tc>
        <w:tc>
          <w:tcPr>
            <w:tcW w:w="7478" w:type="dxa"/>
            <w:noWrap w:val="0"/>
            <w:vAlign w:val="center"/>
          </w:tcPr>
          <w:p>
            <w:pPr>
              <w:keepNext w:val="0"/>
              <w:keepLines w:val="0"/>
              <w:pageBreakBefore w:val="0"/>
              <w:widowControl/>
              <w:bidi w:val="0"/>
              <w:spacing w:line="240" w:lineRule="auto"/>
              <w:jc w:val="both"/>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1.</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认购</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安排</w:t>
            </w:r>
          </w:p>
          <w:p>
            <w:pPr>
              <w:keepNext w:val="0"/>
              <w:keepLines w:val="0"/>
              <w:pageBreakBefore w:val="0"/>
              <w:widowControl/>
              <w:bidi w:val="0"/>
              <w:spacing w:line="240" w:lineRule="auto"/>
              <w:jc w:val="both"/>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认购</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指在理财产品的募集期内，投资者申请购买理财产品份额的行为</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本理财产品可在各销售机构指定渠道进行认购，投资者按规定提交认购申请，管理人在份额登记日对投资者的认购申请成功登记后并收到投资者全额交付的款项，视为投资者的认购申请生效。投资者应在理财产品成立后及时查询最终的成交情况。因投资者资金账户余额不足、司法冻结、不可抗力因素或其他不可归责于管理人和销售机构的事由出现，造成认购申请未被确认的，管理人和销售机构不承担任何责任。</w:t>
            </w:r>
          </w:p>
          <w:p>
            <w:pPr>
              <w:keepNext w:val="0"/>
              <w:keepLines w:val="0"/>
              <w:pageBreakBefore w:val="0"/>
              <w:widowControl/>
              <w:bidi w:val="0"/>
              <w:spacing w:line="240" w:lineRule="auto"/>
              <w:jc w:val="both"/>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pP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本理财产品采取金额</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认购的</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方式</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，认购时以产品份额面值为基准进行份额确认</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。认购份额=认购金额/产品份额面值，认购份额以四舍五入的方法保留到小数点后两位，份额面值为1元/份。</w:t>
            </w:r>
          </w:p>
          <w:p>
            <w:pPr>
              <w:keepNext w:val="0"/>
              <w:keepLines w:val="0"/>
              <w:pageBreakBefore w:val="0"/>
              <w:widowControl/>
              <w:bidi w:val="0"/>
              <w:spacing w:line="240" w:lineRule="auto"/>
              <w:jc w:val="both"/>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本产品最低发行规模：1000万元</w:t>
            </w:r>
          </w:p>
          <w:p>
            <w:pPr>
              <w:keepNext w:val="0"/>
              <w:keepLines w:val="0"/>
              <w:pageBreakBefore w:val="0"/>
              <w:widowControl/>
              <w:bidi w:val="0"/>
              <w:spacing w:line="240" w:lineRule="auto"/>
              <w:jc w:val="both"/>
              <w:rPr>
                <w:rFonts w:hint="default"/>
                <w:sz w:val="20"/>
                <w:szCs w:val="20"/>
                <w:highlight w:val="none"/>
                <w:lang w:val="en-US" w:eastAsia="zh-CN"/>
              </w:rPr>
            </w:pPr>
          </w:p>
          <w:p>
            <w:pPr>
              <w:keepNext w:val="0"/>
              <w:keepLines w:val="0"/>
              <w:pageBreakBefore w:val="0"/>
              <w:widowControl/>
              <w:bidi w:val="0"/>
              <w:spacing w:line="240" w:lineRule="auto"/>
              <w:jc w:val="both"/>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2.</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申购</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w:t>
            </w: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赎回</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安排</w:t>
            </w:r>
          </w:p>
          <w:p>
            <w:pPr>
              <w:keepNext w:val="0"/>
              <w:keepLines w:val="0"/>
              <w:pageBreakBefore w:val="0"/>
              <w:widowControl/>
              <w:bidi w:val="0"/>
              <w:spacing w:line="240" w:lineRule="auto"/>
              <w:jc w:val="both"/>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pPr>
            <w:r>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t>申购/赎回指在理财产品的开放期内，投资者申请购买或卖出理财产品份额的行为</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w:t>
            </w:r>
            <w:r>
              <w:rPr>
                <w:rFonts w:hint="default" w:ascii="楷体" w:hAnsi="楷体" w:eastAsia="楷体" w:cs="楷体"/>
                <w:b/>
                <w:bCs w:val="0"/>
                <w:color w:val="000000" w:themeColor="text1"/>
                <w:sz w:val="20"/>
                <w:szCs w:val="20"/>
                <w:highlight w:val="none"/>
                <w:u w:val="single"/>
                <w:lang w:val="en-US" w:eastAsia="zh-CN"/>
                <w14:textFill>
                  <w14:solidFill>
                    <w14:schemeClr w14:val="tx1"/>
                  </w14:solidFill>
                </w14:textFill>
              </w:rPr>
              <w:t>本理财产品在存续期内不开放申购和赎回，本产品说明书</w:t>
            </w:r>
            <w:r>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t>约定的</w:t>
            </w:r>
            <w:r>
              <w:rPr>
                <w:rFonts w:hint="default" w:ascii="楷体" w:hAnsi="楷体" w:eastAsia="楷体" w:cs="楷体"/>
                <w:b/>
                <w:bCs w:val="0"/>
                <w:color w:val="000000" w:themeColor="text1"/>
                <w:sz w:val="20"/>
                <w:szCs w:val="20"/>
                <w:highlight w:val="none"/>
                <w:u w:val="single"/>
                <w:lang w:val="en-US" w:eastAsia="zh-CN"/>
                <w14:textFill>
                  <w14:solidFill>
                    <w14:schemeClr w14:val="tx1"/>
                  </w14:solidFill>
                </w14:textFill>
              </w:rPr>
              <w:t>特定情形除外。</w:t>
            </w:r>
          </w:p>
          <w:p>
            <w:pPr>
              <w:keepNext w:val="0"/>
              <w:keepLines w:val="0"/>
              <w:pageBreakBefore w:val="0"/>
              <w:widowControl/>
              <w:bidi w:val="0"/>
              <w:spacing w:line="240" w:lineRule="auto"/>
              <w:jc w:val="both"/>
              <w:rPr>
                <w:rFonts w:hint="default" w:ascii="楷体" w:hAnsi="楷体" w:eastAsia="楷体" w:cs="楷体"/>
                <w:b w:val="0"/>
                <w:bCs/>
                <w:color w:val="000000" w:themeColor="text1"/>
                <w:sz w:val="20"/>
                <w:szCs w:val="20"/>
                <w:highlight w:val="none"/>
                <w:lang w:val="en-US" w:eastAsia="zh-CN"/>
                <w14:textFill>
                  <w14:solidFill>
                    <w14:schemeClr w14:val="tx1"/>
                  </w14:solidFill>
                </w14:textFill>
              </w:rPr>
            </w:pPr>
          </w:p>
          <w:p>
            <w:pPr>
              <w:keepNext w:val="0"/>
              <w:keepLines w:val="0"/>
              <w:pageBreakBefore w:val="0"/>
              <w:widowControl/>
              <w:numPr>
                <w:ilvl w:val="0"/>
                <w:numId w:val="0"/>
              </w:numPr>
              <w:bidi w:val="0"/>
              <w:spacing w:line="240" w:lineRule="auto"/>
              <w:jc w:val="both"/>
              <w:rPr>
                <w:rFonts w:hint="default" w:ascii="楷体" w:hAnsi="楷体" w:eastAsia="楷体" w:cs="楷体"/>
                <w:b w:val="0"/>
                <w:bCs/>
                <w:color w:val="000000" w:themeColor="text1"/>
                <w:sz w:val="20"/>
                <w:szCs w:val="20"/>
                <w:highlight w:val="none"/>
                <w:lang w:val="en-US"/>
                <w14:textFill>
                  <w14:solidFill>
                    <w14:schemeClr w14:val="tx1"/>
                  </w14:solidFill>
                </w14:textFill>
              </w:rPr>
            </w:pPr>
            <w:r>
              <w:rPr>
                <w:rFonts w:hint="default" w:ascii="楷体" w:hAnsi="楷体" w:eastAsia="楷体" w:cs="楷体"/>
                <w:b w:val="0"/>
                <w:bCs/>
                <w:color w:val="000000" w:themeColor="text1"/>
                <w:sz w:val="20"/>
                <w:szCs w:val="20"/>
                <w:highlight w:val="none"/>
                <w:lang w:val="en-US"/>
                <w14:textFill>
                  <w14:solidFill>
                    <w14:schemeClr w14:val="tx1"/>
                  </w14:solidFill>
                </w14:textFill>
              </w:rPr>
              <w:t>3.其他约定</w:t>
            </w:r>
          </w:p>
          <w:p>
            <w:pPr>
              <w:keepNext w:val="0"/>
              <w:keepLines w:val="0"/>
              <w:pageBreakBefore w:val="0"/>
              <w:widowControl/>
              <w:numPr>
                <w:ilvl w:val="0"/>
                <w:numId w:val="0"/>
              </w:numPr>
              <w:bidi w:val="0"/>
              <w:spacing w:line="240" w:lineRule="auto"/>
              <w:jc w:val="both"/>
              <w:rPr>
                <w:rFonts w:hint="default" w:ascii="楷体" w:hAnsi="楷体" w:eastAsia="楷体" w:cs="楷体"/>
                <w:b w:val="0"/>
                <w:bCs/>
                <w:color w:val="000000" w:themeColor="text1"/>
                <w:sz w:val="20"/>
                <w:szCs w:val="20"/>
                <w:highlight w:val="none"/>
                <w:lang w:val="en-US"/>
                <w14:textFill>
                  <w14:solidFill>
                    <w14:schemeClr w14:val="tx1"/>
                  </w14:solidFill>
                </w14:textFill>
              </w:rPr>
            </w:pPr>
            <w:r>
              <w:rPr>
                <w:rFonts w:hint="default" w:ascii="楷体" w:hAnsi="楷体" w:eastAsia="楷体" w:cs="楷体"/>
                <w:b w:val="0"/>
                <w:bCs/>
                <w:color w:val="000000" w:themeColor="text1"/>
                <w:sz w:val="20"/>
                <w:szCs w:val="20"/>
                <w:highlight w:val="none"/>
                <w:lang w:val="en-US"/>
                <w14:textFill>
                  <w14:solidFill>
                    <w14:schemeClr w14:val="tx1"/>
                  </w14:solidFill>
                </w14:textFill>
              </w:rPr>
              <w:t>（1）单个投资者持有</w:t>
            </w:r>
            <w:r>
              <w:rPr>
                <w:rFonts w:hint="eastAsia" w:ascii="楷体" w:hAnsi="楷体" w:eastAsia="楷体" w:cs="楷体"/>
                <w:b w:val="0"/>
                <w:bCs/>
                <w:color w:val="000000" w:themeColor="text1"/>
                <w:sz w:val="20"/>
                <w:szCs w:val="20"/>
                <w:highlight w:val="none"/>
                <w:lang w:val="en-US" w:eastAsia="zh-CN"/>
                <w14:textFill>
                  <w14:solidFill>
                    <w14:schemeClr w14:val="tx1"/>
                  </w14:solidFill>
                </w14:textFill>
              </w:rPr>
              <w:t>份额</w:t>
            </w:r>
            <w:r>
              <w:rPr>
                <w:rFonts w:hint="default" w:ascii="楷体" w:hAnsi="楷体" w:eastAsia="楷体" w:cs="楷体"/>
                <w:b w:val="0"/>
                <w:bCs/>
                <w:color w:val="000000" w:themeColor="text1"/>
                <w:sz w:val="20"/>
                <w:szCs w:val="20"/>
                <w:highlight w:val="none"/>
                <w:lang w:val="en-US"/>
                <w14:textFill>
                  <w14:solidFill>
                    <w14:schemeClr w14:val="tx1"/>
                  </w14:solidFill>
                </w14:textFill>
              </w:rPr>
              <w:t>上限：单一投资者持有份额不得超过总份额50%；非因主观因素导致突破前款规定比例限制的，在单一投资者持有份额占理财产品总份额比例降至50%以下之前，不再接受该单一投资者对理财产品的购买申请。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巨额赎回</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收益分配方式</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1.收益构成</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本理财产品的收益包括期间收益分配（如有）与终止收益分配（如有）。</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（1）期间分配</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本产品无分红机制，投资运作情况体现为产品净值变化。产品投资运作到期，投资收益扣除相关费用后，全部分配给投资者。</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（2）终止分配</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产品投资运作到期，投资收益扣除相关费用后，全部分配给投资者。产品管理人将按“产品终止”中的相关约定向投资者分配理财利益（如有）。</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2.收益分配原则</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（1）收益分配采用现金分配方式；</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（2）每一产品同一份额享有同等分配权。</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3.收益分配的披露</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如本产品进行收益分配，或产品存续期内收益分配方案发生变更，管理人将按“信息披露”约定的方式向投资者进行披露。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56" w:type="dxa"/>
            <w:gridSpan w:val="2"/>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（三）产品性质与类型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产品募集方式</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公募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产品投资性质</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固定收益类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产品运作模式</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封闭式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产品运作模式（二级）</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产品风险等级</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二级</w:t>
            </w:r>
          </w:p>
          <w:p>
            <w:pPr>
              <w:pStyle w:val="28"/>
              <w:keepNext w:val="0"/>
              <w:keepLines w:val="0"/>
              <w:pageBreakBefore w:val="0"/>
              <w:widowControl w:val="0"/>
              <w:bidi w:val="0"/>
              <w:spacing w:line="240" w:lineRule="auto"/>
              <w:ind w:left="0" w:firstLine="0"/>
              <w:rPr>
                <w:rFonts w:hint="eastAsia" w:ascii="楷体" w:hAnsi="楷体" w:eastAsia="楷体" w:cs="楷体"/>
                <w:color w:val="auto"/>
                <w:sz w:val="20"/>
                <w:szCs w:val="20"/>
                <w:highlight w:val="none"/>
                <w:lang w:val="en-US" w:eastAsia="zh-CN" w:bidi="ar-SA"/>
              </w:rPr>
            </w:pPr>
            <w:r>
              <w:rPr>
                <w:rFonts w:hint="eastAsia" w:ascii="楷体" w:hAnsi="楷体" w:eastAsia="楷体" w:cs="楷体"/>
                <w:color w:val="auto"/>
                <w:sz w:val="20"/>
                <w:szCs w:val="20"/>
                <w:highlight w:val="none"/>
                <w:lang w:val="en-US" w:eastAsia="zh-CN" w:bidi="ar-SA"/>
              </w:rPr>
              <w:t>（重要提示：该等级为理财产品发行机构评定结果，该产品通过代理销售机构渠道销售的，理财产品评级应当以代理销售机构最终披露的评级结果为准。）</w:t>
            </w:r>
          </w:p>
          <w:p>
            <w:pPr>
              <w:keepNext w:val="0"/>
              <w:keepLines w:val="0"/>
              <w:pageBreakBefore w:val="0"/>
              <w:numPr>
                <w:ilvl w:val="0"/>
                <w:numId w:val="0"/>
              </w:numPr>
              <w:bidi w:val="0"/>
              <w:spacing w:line="240" w:lineRule="auto"/>
              <w:ind w:left="0" w:right="0" w:firstLine="0"/>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lang w:val="en-US" w:eastAsia="zh-CN"/>
              </w:rPr>
              <w:t>1.</w:t>
            </w:r>
            <w:r>
              <w:rPr>
                <w:rFonts w:hint="eastAsia" w:ascii="楷体" w:hAnsi="楷体" w:eastAsia="楷体" w:cs="楷体"/>
                <w:color w:val="auto"/>
                <w:sz w:val="20"/>
                <w:szCs w:val="20"/>
                <w:highlight w:val="none"/>
              </w:rPr>
              <w:t>本理财产品经苏银理财内部风险评级为</w:t>
            </w:r>
            <w:r>
              <w:rPr>
                <w:rFonts w:hint="eastAsia" w:ascii="楷体" w:hAnsi="楷体" w:eastAsia="楷体" w:cs="楷体"/>
                <w:b/>
                <w:color w:val="auto"/>
                <w:sz w:val="20"/>
                <w:szCs w:val="20"/>
                <w:highlight w:val="none"/>
                <w:u w:val="single"/>
                <w:lang w:val="en-US" w:eastAsia="zh-CN"/>
              </w:rPr>
              <w:t>★★二级，适合中低风险型投资者，适合投资策略为稳健发展的投资者</w:t>
            </w:r>
            <w:r>
              <w:rPr>
                <w:rFonts w:hint="eastAsia" w:ascii="楷体" w:hAnsi="楷体" w:eastAsia="楷体" w:cs="楷体"/>
                <w:color w:val="auto"/>
                <w:sz w:val="20"/>
                <w:szCs w:val="20"/>
                <w:highlight w:val="none"/>
              </w:rPr>
              <w:t>。本评级为管理人内部评级，由管理人根据理财产品的投资组合、同类产品过往业绩和风险状况等因素，对理财产品进行评级，仅供投资者参考。理财产品存续期间，若市场环境等因素发生变化，在符合监管政策要求的前提下管理人可对产品风险评级进行调整，并及时将调整情况向投资者披露。</w:t>
            </w:r>
          </w:p>
          <w:tbl>
            <w:tblPr>
              <w:tblStyle w:val="3"/>
              <w:tblW w:w="67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58"/>
              <w:gridCol w:w="1439"/>
              <w:gridCol w:w="2040"/>
              <w:gridCol w:w="16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58"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风险星级</w:t>
                  </w:r>
                </w:p>
              </w:tc>
              <w:tc>
                <w:tcPr>
                  <w:tcW w:w="1439"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风险级别</w:t>
                  </w:r>
                </w:p>
              </w:tc>
              <w:tc>
                <w:tcPr>
                  <w:tcW w:w="204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适合的投资者类别</w:t>
                  </w:r>
                </w:p>
              </w:tc>
              <w:tc>
                <w:tcPr>
                  <w:tcW w:w="168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适合投资策略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58" w:type="dxa"/>
                  <w:tcBorders>
                    <w:bottom w:val="single" w:color="auto" w:sz="4" w:space="0"/>
                  </w:tcBorders>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w:t>
                  </w:r>
                </w:p>
              </w:tc>
              <w:tc>
                <w:tcPr>
                  <w:tcW w:w="1439" w:type="dxa"/>
                  <w:tcBorders>
                    <w:bottom w:val="single" w:color="auto" w:sz="4" w:space="0"/>
                  </w:tcBorders>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一级（PR1）</w:t>
                  </w:r>
                </w:p>
              </w:tc>
              <w:tc>
                <w:tcPr>
                  <w:tcW w:w="2040" w:type="dxa"/>
                  <w:tcBorders>
                    <w:bottom w:val="single" w:color="auto" w:sz="4" w:space="0"/>
                  </w:tcBorders>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低风险型</w:t>
                  </w:r>
                </w:p>
              </w:tc>
              <w:tc>
                <w:tcPr>
                  <w:tcW w:w="1680" w:type="dxa"/>
                  <w:tcBorders>
                    <w:bottom w:val="single" w:color="auto" w:sz="4" w:space="0"/>
                  </w:tcBorders>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风险控制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58"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b w:val="0"/>
                      <w:bCs/>
                      <w:color w:val="auto"/>
                      <w:sz w:val="20"/>
                      <w:szCs w:val="20"/>
                      <w:highlight w:val="none"/>
                    </w:rPr>
                  </w:pPr>
                  <w:r>
                    <w:rPr>
                      <w:rFonts w:hint="eastAsia" w:ascii="楷体" w:hAnsi="楷体" w:eastAsia="楷体" w:cs="楷体"/>
                      <w:b w:val="0"/>
                      <w:bCs/>
                      <w:color w:val="auto"/>
                      <w:sz w:val="20"/>
                      <w:szCs w:val="20"/>
                      <w:highlight w:val="none"/>
                    </w:rPr>
                    <w:t>★★</w:t>
                  </w:r>
                </w:p>
              </w:tc>
              <w:tc>
                <w:tcPr>
                  <w:tcW w:w="1439"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b w:val="0"/>
                      <w:bCs/>
                      <w:color w:val="auto"/>
                      <w:sz w:val="20"/>
                      <w:szCs w:val="20"/>
                      <w:highlight w:val="none"/>
                    </w:rPr>
                  </w:pPr>
                  <w:r>
                    <w:rPr>
                      <w:rFonts w:hint="eastAsia" w:ascii="楷体" w:hAnsi="楷体" w:eastAsia="楷体" w:cs="楷体"/>
                      <w:b w:val="0"/>
                      <w:bCs/>
                      <w:color w:val="auto"/>
                      <w:sz w:val="20"/>
                      <w:szCs w:val="20"/>
                      <w:highlight w:val="none"/>
                    </w:rPr>
                    <w:t>二级（PR2）</w:t>
                  </w:r>
                </w:p>
              </w:tc>
              <w:tc>
                <w:tcPr>
                  <w:tcW w:w="204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b w:val="0"/>
                      <w:bCs/>
                      <w:color w:val="auto"/>
                      <w:sz w:val="20"/>
                      <w:szCs w:val="20"/>
                      <w:highlight w:val="none"/>
                    </w:rPr>
                  </w:pPr>
                  <w:r>
                    <w:rPr>
                      <w:rFonts w:hint="eastAsia" w:ascii="楷体" w:hAnsi="楷体" w:eastAsia="楷体" w:cs="楷体"/>
                      <w:b w:val="0"/>
                      <w:bCs/>
                      <w:color w:val="auto"/>
                      <w:sz w:val="20"/>
                      <w:szCs w:val="20"/>
                      <w:highlight w:val="none"/>
                    </w:rPr>
                    <w:t>中低风险型</w:t>
                  </w:r>
                </w:p>
              </w:tc>
              <w:tc>
                <w:tcPr>
                  <w:tcW w:w="168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b w:val="0"/>
                      <w:bCs/>
                      <w:color w:val="auto"/>
                      <w:sz w:val="20"/>
                      <w:szCs w:val="20"/>
                      <w:highlight w:val="none"/>
                    </w:rPr>
                  </w:pPr>
                  <w:r>
                    <w:rPr>
                      <w:rFonts w:hint="eastAsia" w:ascii="楷体" w:hAnsi="楷体" w:eastAsia="楷体" w:cs="楷体"/>
                      <w:b w:val="0"/>
                      <w:bCs/>
                      <w:color w:val="auto"/>
                      <w:sz w:val="20"/>
                      <w:szCs w:val="20"/>
                      <w:highlight w:val="none"/>
                    </w:rPr>
                    <w:t>稳健发展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58"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w:t>
                  </w:r>
                </w:p>
              </w:tc>
              <w:tc>
                <w:tcPr>
                  <w:tcW w:w="1439"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三级（PR3）</w:t>
                  </w:r>
                </w:p>
              </w:tc>
              <w:tc>
                <w:tcPr>
                  <w:tcW w:w="204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中风险型</w:t>
                  </w:r>
                </w:p>
              </w:tc>
              <w:tc>
                <w:tcPr>
                  <w:tcW w:w="168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均衡发展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58"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w:t>
                  </w:r>
                </w:p>
              </w:tc>
              <w:tc>
                <w:tcPr>
                  <w:tcW w:w="1439"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四级（PR4）</w:t>
                  </w:r>
                </w:p>
              </w:tc>
              <w:tc>
                <w:tcPr>
                  <w:tcW w:w="204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中高风险型</w:t>
                  </w:r>
                </w:p>
              </w:tc>
              <w:tc>
                <w:tcPr>
                  <w:tcW w:w="168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积极成长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1558"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w:t>
                  </w:r>
                </w:p>
              </w:tc>
              <w:tc>
                <w:tcPr>
                  <w:tcW w:w="1439"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五级（PR5）</w:t>
                  </w:r>
                </w:p>
              </w:tc>
              <w:tc>
                <w:tcPr>
                  <w:tcW w:w="204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高风险型</w:t>
                  </w:r>
                </w:p>
              </w:tc>
              <w:tc>
                <w:tcPr>
                  <w:tcW w:w="1680" w:type="dxa"/>
                  <w:noWrap w:val="0"/>
                  <w:vAlign w:val="center"/>
                </w:tcPr>
                <w:p>
                  <w:pPr>
                    <w:keepNext w:val="0"/>
                    <w:keepLines w:val="0"/>
                    <w:pageBreakBefore w:val="0"/>
                    <w:bidi w:val="0"/>
                    <w:spacing w:line="240" w:lineRule="auto"/>
                    <w:ind w:left="0" w:right="0" w:firstLine="0"/>
                    <w:jc w:val="center"/>
                    <w:rPr>
                      <w:rFonts w:hint="eastAsia" w:ascii="楷体" w:hAnsi="楷体" w:eastAsia="楷体" w:cs="楷体"/>
                      <w:color w:val="auto"/>
                      <w:sz w:val="20"/>
                      <w:szCs w:val="20"/>
                      <w:highlight w:val="none"/>
                    </w:rPr>
                  </w:pPr>
                  <w:r>
                    <w:rPr>
                      <w:rFonts w:hint="eastAsia" w:ascii="楷体" w:hAnsi="楷体" w:eastAsia="楷体" w:cs="楷体"/>
                      <w:color w:val="auto"/>
                      <w:sz w:val="20"/>
                      <w:szCs w:val="20"/>
                      <w:highlight w:val="none"/>
                    </w:rPr>
                    <w:t>风险承受</w:t>
                  </w:r>
                </w:p>
              </w:tc>
            </w:tr>
          </w:tbl>
          <w:p>
            <w:pPr>
              <w:keepNext w:val="0"/>
              <w:keepLines w:val="0"/>
              <w:pageBreakBefore w:val="0"/>
              <w:numPr>
                <w:ilvl w:val="0"/>
                <w:numId w:val="0"/>
              </w:numPr>
              <w:bidi w:val="0"/>
              <w:spacing w:line="240" w:lineRule="auto"/>
              <w:ind w:left="0" w:right="0" w:firstLine="0"/>
              <w:rPr>
                <w:rFonts w:hint="eastAsia" w:ascii="楷体" w:hAnsi="楷体" w:eastAsia="楷体" w:cs="楷体"/>
                <w:b/>
                <w:sz w:val="20"/>
                <w:szCs w:val="20"/>
                <w:highlight w:val="none"/>
                <w:u w:val="single"/>
              </w:rPr>
            </w:pPr>
            <w:r>
              <w:rPr>
                <w:rFonts w:hint="eastAsia" w:ascii="楷体" w:hAnsi="楷体" w:eastAsia="楷体" w:cs="楷体"/>
                <w:sz w:val="20"/>
                <w:szCs w:val="20"/>
                <w:highlight w:val="none"/>
                <w:lang w:val="en-US" w:eastAsia="zh-CN"/>
              </w:rPr>
              <w:t>2.</w:t>
            </w:r>
            <w:r>
              <w:rPr>
                <w:rFonts w:hint="eastAsia" w:ascii="楷体" w:hAnsi="楷体" w:eastAsia="楷体" w:cs="楷体"/>
                <w:sz w:val="20"/>
                <w:szCs w:val="20"/>
                <w:highlight w:val="none"/>
              </w:rPr>
              <w:t>如本产品通过代理销售机构渠道销售，代理销售机构应当根据本机构的方式和方法，依据理财产品的投资组合、同类产品过往业绩和风险状况等因素，独立、审慎地对代理销售的理财产品进行销售评级，并向苏银理财及时、准确提供本机构销售评级结果等信息。销售评级与苏银理财产品评级结果不一致的，代理销售机构应当采用对应较高风险等级的评级结果并予以披露。</w:t>
            </w:r>
          </w:p>
          <w:p>
            <w:pPr>
              <w:keepNext w:val="0"/>
              <w:keepLines w:val="0"/>
              <w:pageBreakBefore w:val="0"/>
              <w:widowControl/>
              <w:bidi w:val="0"/>
              <w:spacing w:line="240" w:lineRule="auto"/>
              <w:ind w:left="0" w:right="0"/>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3.</w:t>
            </w:r>
            <w:r>
              <w:rPr>
                <w:rFonts w:hint="eastAsia" w:ascii="楷体" w:hAnsi="楷体" w:eastAsia="楷体" w:cs="楷体"/>
                <w:bCs/>
                <w:color w:val="000000" w:themeColor="text1"/>
                <w:sz w:val="20"/>
                <w:szCs w:val="20"/>
                <w:highlight w:val="none"/>
                <w14:textFill>
                  <w14:solidFill>
                    <w14:schemeClr w14:val="tx1"/>
                  </w14:solidFill>
                </w14:textFill>
              </w:rPr>
              <w:t>销售机构负责完成投资者风险承受能力评估，并在遵循投资者适当性原则的前提下进行本理财产品的销售活动。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是否为现金管理类产品</w:t>
            </w:r>
          </w:p>
        </w:tc>
        <w:tc>
          <w:tcPr>
            <w:tcW w:w="7478" w:type="dxa"/>
            <w:noWrap w:val="0"/>
            <w:vAlign w:val="center"/>
          </w:tcPr>
          <w:p>
            <w:pPr>
              <w:keepNext w:val="0"/>
              <w:keepLines w:val="0"/>
              <w:pageBreakBefore w:val="0"/>
              <w:widowControl/>
              <w:bidi w:val="0"/>
              <w:spacing w:line="240" w:lineRule="auto"/>
              <w:jc w:val="left"/>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56" w:type="dxa"/>
            <w:gridSpan w:val="2"/>
            <w:noWrap w:val="0"/>
            <w:vAlign w:val="center"/>
          </w:tcPr>
          <w:p>
            <w:pPr>
              <w:keepNext w:val="0"/>
              <w:keepLines w:val="0"/>
              <w:pageBreakBefore w:val="0"/>
              <w:widowControl/>
              <w:bidi w:val="0"/>
              <w:spacing w:line="240" w:lineRule="auto"/>
              <w:jc w:val="center"/>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
                <w:color w:val="000000" w:themeColor="text1"/>
                <w:sz w:val="20"/>
                <w:szCs w:val="20"/>
                <w:highlight w:val="none"/>
                <w14:textFill>
                  <w14:solidFill>
                    <w14:schemeClr w14:val="tx1"/>
                  </w14:solidFill>
                </w14:textFill>
              </w:rPr>
              <w:t>（四）产品期限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募集起始日期</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2026年9月17日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募集结束日期</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2026年9月23日</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投资者可于募集结束日交易闭市前撤销认购申请，该时点后不得撤销。</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产品成立日期</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2026年9月24日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产品终止日期</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2027年7月1日</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如遇节假日，顺延至下一工作日。产品</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t>终止</w:t>
            </w:r>
            <w:r>
              <w:rPr>
                <w:rFonts w:hint="eastAsia" w:ascii="楷体" w:hAnsi="楷体" w:eastAsia="楷体" w:cs="楷体"/>
                <w:bCs/>
                <w:color w:val="000000" w:themeColor="text1"/>
                <w:sz w:val="20"/>
                <w:szCs w:val="20"/>
                <w:highlight w:val="none"/>
                <w14:textFill>
                  <w14:solidFill>
                    <w14:schemeClr w14:val="tx1"/>
                  </w14:solidFill>
                </w14:textFill>
              </w:rPr>
              <w:t>日受制于提前终止、延期终止条款。详见下文“产品终止”。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资金到账日</w:t>
            </w:r>
          </w:p>
        </w:tc>
        <w:tc>
          <w:tcPr>
            <w:tcW w:w="7478" w:type="dxa"/>
            <w:noWrap w:val="0"/>
            <w:vAlign w:val="center"/>
          </w:tcPr>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default" w:ascii="楷体" w:hAnsi="楷体" w:eastAsia="楷体" w:cs="楷体"/>
                <w:bCs/>
                <w:color w:val="000000" w:themeColor="text1"/>
                <w:sz w:val="20"/>
                <w:szCs w:val="20"/>
                <w:highlight w:val="none"/>
                <w:lang w:val="en-US" w:eastAsia="zh-CN"/>
                <w14:textFill>
                  <w14:solidFill>
                    <w14:schemeClr w14:val="tx1"/>
                  </w14:solidFill>
                </w14:textFill>
              </w:rPr>
              <w:t>T+5（此处T指产品实际终止日，5指5个工作日）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最短持有期限</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定期开放周期</w:t>
            </w:r>
          </w:p>
        </w:tc>
        <w:tc>
          <w:tcPr>
            <w:tcW w:w="7478" w:type="dxa"/>
            <w:noWrap w:val="0"/>
            <w:vAlign w:val="center"/>
          </w:tcPr>
          <w:p>
            <w:pPr>
              <w:keepNext w:val="0"/>
              <w:keepLines w:val="0"/>
              <w:pageBreakBefore w:val="0"/>
              <w:widowControl/>
              <w:bidi w:val="0"/>
              <w:spacing w:line="240" w:lineRule="auto"/>
              <w:jc w:val="both"/>
              <w:rPr>
                <w:rFonts w:hint="default"/>
                <w:sz w:val="20"/>
                <w:szCs w:val="20"/>
                <w:highlight w:val="none"/>
                <w:lang w:val="en-US" w:eastAsia="zh-CN"/>
              </w:rPr>
            </w:pPr>
            <w:r>
              <w:rPr>
                <w:rFonts w:hint="eastAsia" w:ascii="楷体" w:hAnsi="楷体" w:eastAsia="楷体" w:cs="楷体"/>
                <w:color w:val="000000" w:themeColor="text1"/>
                <w:sz w:val="20"/>
                <w:szCs w:val="20"/>
                <w:highlight w:val="none"/>
                <w:lang w:val="en-US" w:eastAsia="zh-CN"/>
                <w14:textFill>
                  <w14:solidFill>
                    <w14:schemeClr w14:val="tx1"/>
                  </w14:solidFill>
                </w14:textFill>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投资周期</w:t>
            </w:r>
          </w:p>
        </w:tc>
        <w:tc>
          <w:tcPr>
            <w:tcW w:w="7478" w:type="dxa"/>
            <w:noWrap w:val="0"/>
            <w:vAlign w:val="center"/>
          </w:tcPr>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default" w:ascii="楷体" w:hAnsi="楷体" w:eastAsia="楷体" w:cs="楷体"/>
                <w:bCs/>
                <w:color w:val="000000" w:themeColor="text1"/>
                <w:sz w:val="20"/>
                <w:szCs w:val="20"/>
                <w:highlight w:val="none"/>
                <w:lang w:val="en-US" w:eastAsia="zh-CN"/>
                <w14:textFill>
                  <w14:solidFill>
                    <w14:schemeClr w14:val="tx1"/>
                  </w14:solidFill>
                </w14:textFill>
              </w:rPr>
              <w:t>280</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t>天</w:t>
            </w:r>
          </w:p>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default" w:ascii="楷体" w:hAnsi="楷体" w:eastAsia="楷体" w:cs="楷体"/>
                <w:bCs/>
                <w:color w:val="000000" w:themeColor="text1"/>
                <w:sz w:val="20"/>
                <w:szCs w:val="20"/>
                <w:highlight w:val="none"/>
                <w:lang w:val="en-US" w:eastAsia="zh-CN"/>
                <w14:textFill>
                  <w14:solidFill>
                    <w14:schemeClr w14:val="tx1"/>
                  </w14:solidFill>
                </w14:textFill>
              </w:rPr>
              <w:t>如遇节假日，顺延至下一工作日，以理财产品实际存续天数为准。</w:t>
            </w:r>
            <w:r>
              <w:rPr>
                <w:rFonts w:hint="default" w:ascii="楷体" w:hAnsi="楷体" w:eastAsia="楷体" w:cs="楷体"/>
                <w:b/>
                <w:bCs w:val="0"/>
                <w:color w:val="000000" w:themeColor="text1"/>
                <w:sz w:val="20"/>
                <w:szCs w:val="20"/>
                <w:highlight w:val="none"/>
                <w:u w:val="single"/>
                <w:lang w:val="en-US" w:eastAsia="zh-CN"/>
                <w14:textFill>
                  <w14:solidFill>
                    <w14:schemeClr w14:val="tx1"/>
                  </w14:solidFill>
                </w14:textFill>
              </w:rPr>
              <w:t>本产品运行期间，不开放申购、赎回。</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56" w:type="dxa"/>
            <w:gridSpan w:val="2"/>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（五）产品费用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销售服务费率（年化）</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eastAsia="zh-CN"/>
                <w14:textFill>
                  <w14:solidFill>
                    <w14:schemeClr w14:val="tx1"/>
                  </w14:solidFill>
                </w14:textFill>
              </w:rPr>
              <w:t>A份额：0.10%；</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eastAsia="zh-CN"/>
              </w:rPr>
              <w:t>B份额：0.20%；</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eastAsia="zh-CN"/>
              </w:rPr>
              <w:t>C份额：0.05%；</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eastAsia="zh-CN"/>
              </w:rPr>
              <w:t>D份额：0.30%；</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eastAsia="zh-CN"/>
              </w:rPr>
              <w:t>E份额：0.15%；</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rPr>
            </w:pPr>
            <w:r>
              <w:rPr>
                <w:rFonts w:hint="eastAsia" w:ascii="楷体" w:hAnsi="楷体" w:eastAsia="楷体" w:cs="楷体"/>
                <w:bCs/>
                <w:color w:val="000000"/>
                <w:sz w:val="20"/>
                <w:szCs w:val="20"/>
                <w:highlight w:val="none"/>
                <w:lang w:eastAsia="zh-CN"/>
              </w:rPr>
              <w:t>G份额：0.20%。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托管费率（年化）</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0.02%。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固定管理费率（年化）</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0.08%。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浮动管理费</w:t>
            </w:r>
          </w:p>
        </w:tc>
        <w:tc>
          <w:tcPr>
            <w:tcW w:w="7478" w:type="dxa"/>
            <w:noWrap w:val="0"/>
            <w:vAlign w:val="center"/>
          </w:tcPr>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若产品各份额实际投资收益在扣除托管费、销售服务费、投资管理费、信息技术服务费等费用后超过各份额业绩比较基准，产品管理人将按照超出部分的50%收取超额业绩报酬。</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认购费率</w:t>
            </w:r>
          </w:p>
        </w:tc>
        <w:tc>
          <w:tcPr>
            <w:tcW w:w="7478" w:type="dxa"/>
            <w:noWrap w:val="0"/>
            <w:vAlign w:val="center"/>
          </w:tcPr>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申购费率</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赎回费率</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其他费用说明</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（一）收费项目</w:t>
            </w:r>
          </w:p>
          <w:p>
            <w:pPr>
              <w:keepNext w:val="0"/>
              <w:keepLines w:val="0"/>
              <w:pageBreakBefore w:val="0"/>
              <w:widowControl/>
              <w:bidi w:val="0"/>
              <w:spacing w:line="240" w:lineRule="auto"/>
              <w:jc w:val="both"/>
              <w:rPr>
                <w:rFonts w:hint="eastAsia" w:ascii="楷体" w:hAnsi="楷体" w:eastAsia="楷体" w:cs="楷体"/>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本产品费用包括托管费、销售服务费、固定管理费、信息技术服务费、浮动管理费（如有）以及产品运作和清算中产生的其他费用等。</w:t>
            </w:r>
          </w:p>
          <w:p>
            <w:pPr>
              <w:keepNext w:val="0"/>
              <w:keepLines w:val="0"/>
              <w:pageBreakBefore w:val="0"/>
              <w:widowControl/>
              <w:bidi w:val="0"/>
              <w:spacing w:line="240" w:lineRule="auto"/>
              <w:jc w:val="both"/>
              <w:rPr>
                <w:rFonts w:hint="eastAsia" w:ascii="楷体" w:hAnsi="楷体" w:eastAsia="楷体" w:cs="楷体"/>
                <w:color w:val="000000" w:themeColor="text1"/>
                <w:sz w:val="20"/>
                <w:szCs w:val="20"/>
                <w:highlight w:val="none"/>
                <w:lang w:val="en-US" w:eastAsia="zh-CN"/>
                <w14:textFill>
                  <w14:solidFill>
                    <w14:schemeClr w14:val="tx1"/>
                  </w14:solidFill>
                </w14:textFill>
              </w:rPr>
            </w:pPr>
          </w:p>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（二）收费条件、收费标准和收费方式</w:t>
            </w:r>
          </w:p>
          <w:p>
            <w:pPr>
              <w:keepNext w:val="0"/>
              <w:keepLines w:val="0"/>
              <w:pageBreakBefore w:val="0"/>
              <w:widowControl/>
              <w:bidi w:val="0"/>
              <w:spacing w:line="240" w:lineRule="auto"/>
              <w:jc w:val="both"/>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pPr>
            <w:r>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t>销售服务费</w:t>
            </w:r>
          </w:p>
          <w:p>
            <w:pPr>
              <w:keepNext w:val="0"/>
              <w:keepLines w:val="0"/>
              <w:pageBreakBefore w:val="0"/>
              <w:widowControl/>
              <w:numPr>
                <w:ilvl w:val="0"/>
                <w:numId w:val="0"/>
              </w:numPr>
              <w:bidi w:val="0"/>
              <w:spacing w:line="240" w:lineRule="auto"/>
              <w:jc w:val="both"/>
              <w:rPr>
                <w:rFonts w:hint="eastAsia" w:ascii="楷体" w:hAnsi="楷体" w:eastAsia="楷体" w:cs="楷体"/>
                <w:b w:val="0"/>
                <w:bCs w:val="0"/>
                <w:color w:val="000000" w:themeColor="text1"/>
                <w:sz w:val="20"/>
                <w:szCs w:val="20"/>
                <w:highlight w:val="none"/>
                <w:u w:val="none"/>
                <w14:textFill>
                  <w14:solidFill>
                    <w14:schemeClr w14:val="tx1"/>
                  </w14:solidFill>
                </w14:textFill>
              </w:rPr>
            </w:pPr>
            <w:r>
              <w:rPr>
                <w:rFonts w:hint="eastAsia" w:ascii="楷体" w:hAnsi="楷体" w:eastAsia="楷体" w:cs="楷体"/>
                <w:b w:val="0"/>
                <w:bCs w:val="0"/>
                <w:color w:val="000000" w:themeColor="text1"/>
                <w:sz w:val="20"/>
                <w:szCs w:val="20"/>
                <w:highlight w:val="none"/>
                <w:u w:val="none"/>
                <w:lang w:val="en-US" w:eastAsia="zh-CN"/>
                <w14:textFill>
                  <w14:solidFill>
                    <w14:schemeClr w14:val="tx1"/>
                  </w14:solidFill>
                </w14:textFill>
              </w:rPr>
              <w:t>A份额：以前一自然日资产净值为基数，每日计提模式；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 w:val="0"/>
                <w:bCs w:val="0"/>
                <w:color w:val="000000"/>
                <w:sz w:val="20"/>
                <w:szCs w:val="20"/>
                <w:highlight w:val="none"/>
                <w:u w:val="none"/>
              </w:rPr>
            </w:pPr>
            <w:r>
              <w:rPr>
                <w:rFonts w:hint="eastAsia" w:ascii="楷体" w:hAnsi="楷体" w:eastAsia="楷体" w:cs="楷体"/>
                <w:b w:val="0"/>
                <w:bCs w:val="0"/>
                <w:color w:val="000000"/>
                <w:sz w:val="20"/>
                <w:szCs w:val="20"/>
                <w:highlight w:val="none"/>
                <w:u w:val="none"/>
                <w:lang w:val="en-US" w:eastAsia="zh-CN"/>
              </w:rPr>
              <w:t>B份额：以前一自然日资产净值为基数，每日计提模式；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 w:val="0"/>
                <w:bCs w:val="0"/>
                <w:color w:val="000000"/>
                <w:sz w:val="20"/>
                <w:szCs w:val="20"/>
                <w:highlight w:val="none"/>
                <w:u w:val="none"/>
              </w:rPr>
            </w:pPr>
            <w:r>
              <w:rPr>
                <w:rFonts w:hint="eastAsia" w:ascii="楷体" w:hAnsi="楷体" w:eastAsia="楷体" w:cs="楷体"/>
                <w:b w:val="0"/>
                <w:bCs w:val="0"/>
                <w:color w:val="000000"/>
                <w:sz w:val="20"/>
                <w:szCs w:val="20"/>
                <w:highlight w:val="none"/>
                <w:u w:val="none"/>
                <w:lang w:val="en-US" w:eastAsia="zh-CN"/>
              </w:rPr>
              <w:t>C份额：以前一自然日资产净值为基数，每日计提模式；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 w:val="0"/>
                <w:bCs w:val="0"/>
                <w:color w:val="000000"/>
                <w:sz w:val="20"/>
                <w:szCs w:val="20"/>
                <w:highlight w:val="none"/>
                <w:u w:val="none"/>
              </w:rPr>
            </w:pPr>
            <w:r>
              <w:rPr>
                <w:rFonts w:hint="eastAsia" w:ascii="楷体" w:hAnsi="楷体" w:eastAsia="楷体" w:cs="楷体"/>
                <w:b w:val="0"/>
                <w:bCs w:val="0"/>
                <w:color w:val="000000"/>
                <w:sz w:val="20"/>
                <w:szCs w:val="20"/>
                <w:highlight w:val="none"/>
                <w:u w:val="none"/>
                <w:lang w:val="en-US" w:eastAsia="zh-CN"/>
              </w:rPr>
              <w:t>D份额：以前一自然日资产净值为基数，每日计提模式；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 w:val="0"/>
                <w:bCs w:val="0"/>
                <w:color w:val="000000"/>
                <w:sz w:val="20"/>
                <w:szCs w:val="20"/>
                <w:highlight w:val="none"/>
                <w:u w:val="none"/>
              </w:rPr>
            </w:pPr>
            <w:r>
              <w:rPr>
                <w:rFonts w:hint="eastAsia" w:ascii="楷体" w:hAnsi="楷体" w:eastAsia="楷体" w:cs="楷体"/>
                <w:b w:val="0"/>
                <w:bCs w:val="0"/>
                <w:color w:val="000000"/>
                <w:sz w:val="20"/>
                <w:szCs w:val="20"/>
                <w:highlight w:val="none"/>
                <w:u w:val="none"/>
                <w:lang w:val="en-US" w:eastAsia="zh-CN"/>
              </w:rPr>
              <w:t>E份额：以前一自然日资产净值为基数，每日计提模式；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 w:val="0"/>
                <w:bCs w:val="0"/>
                <w:color w:val="000000"/>
                <w:sz w:val="20"/>
                <w:szCs w:val="20"/>
                <w:highlight w:val="none"/>
                <w:u w:val="none"/>
              </w:rPr>
            </w:pPr>
            <w:r>
              <w:rPr>
                <w:rFonts w:hint="eastAsia" w:ascii="楷体" w:hAnsi="楷体" w:eastAsia="楷体" w:cs="楷体"/>
                <w:b w:val="0"/>
                <w:bCs w:val="0"/>
                <w:color w:val="000000"/>
                <w:sz w:val="20"/>
                <w:szCs w:val="20"/>
                <w:highlight w:val="none"/>
                <w:u w:val="none"/>
                <w:lang w:val="en-US" w:eastAsia="zh-CN"/>
              </w:rPr>
              <w:t>G份额：以前一自然日资产净值为基数，一次性计提模式。</w:t>
            </w:r>
          </w:p>
          <w:p>
            <w:pPr>
              <w:keepNext w:val="0"/>
              <w:keepLines w:val="0"/>
              <w:pageBreakBefore w:val="0"/>
              <w:widowControl/>
              <w:bidi w:val="0"/>
              <w:spacing w:line="240" w:lineRule="auto"/>
              <w:jc w:val="both"/>
              <w:rPr>
                <w:rFonts w:hint="eastAsia" w:ascii="楷体" w:hAnsi="楷体" w:eastAsia="楷体" w:cs="楷体"/>
                <w:b w:val="0"/>
                <w:bCs w:val="0"/>
                <w:color w:val="000000"/>
                <w:sz w:val="20"/>
                <w:szCs w:val="20"/>
                <w:highlight w:val="none"/>
                <w:u w:val="none"/>
              </w:rPr>
            </w:pPr>
            <w:r>
              <w:rPr>
                <w:rFonts w:hint="eastAsia" w:ascii="楷体" w:hAnsi="楷体" w:eastAsia="楷体" w:cs="楷体"/>
                <w:b w:val="0"/>
                <w:bCs w:val="0"/>
                <w:color w:val="000000"/>
                <w:sz w:val="20"/>
                <w:szCs w:val="20"/>
                <w:highlight w:val="none"/>
                <w:u w:val="none"/>
                <w:lang w:val="en-US" w:eastAsia="zh-CN"/>
              </w:rPr>
              <w:t>公式如下：</w:t>
            </w:r>
          </w:p>
          <w:p>
            <w:pPr>
              <w:keepNext w:val="0"/>
              <w:keepLines w:val="0"/>
              <w:pageBreakBefore w:val="0"/>
              <w:widowControl/>
              <w:bidi w:val="0"/>
              <w:spacing w:line="240" w:lineRule="auto"/>
              <w:jc w:val="both"/>
              <w:rPr>
                <w:rFonts w:hint="eastAsia" w:ascii="楷体" w:hAnsi="楷体" w:eastAsia="楷体" w:cs="楷体"/>
                <w:b w:val="0"/>
                <w:bCs w:val="0"/>
                <w:color w:val="000000"/>
                <w:sz w:val="20"/>
                <w:szCs w:val="20"/>
                <w:highlight w:val="none"/>
                <w:u w:val="none"/>
              </w:rPr>
            </w:pPr>
            <w:r>
              <w:rPr>
                <w:rFonts w:hint="eastAsia" w:ascii="楷体" w:hAnsi="楷体" w:eastAsia="楷体" w:cs="楷体"/>
                <w:b w:val="0"/>
                <w:bCs w:val="0"/>
                <w:color w:val="000000"/>
                <w:sz w:val="20"/>
                <w:szCs w:val="20"/>
                <w:highlight w:val="none"/>
                <w:u w:val="none"/>
                <w:lang w:val="en-US" w:eastAsia="zh-CN"/>
              </w:rPr>
              <w:t>每日计提模式：每日计提，按管理人与销售机构约定的时间支付，每日应计提的销售服务费＝计提基数×销售服务费率÷365。</w:t>
            </w:r>
          </w:p>
          <w:p>
            <w:pPr>
              <w:keepNext w:val="0"/>
              <w:keepLines w:val="0"/>
              <w:pageBreakBefore w:val="0"/>
              <w:widowControl/>
              <w:bidi w:val="0"/>
              <w:spacing w:line="240" w:lineRule="auto"/>
              <w:jc w:val="both"/>
              <w:rPr>
                <w:rFonts w:hint="eastAsia" w:ascii="楷体" w:hAnsi="楷体" w:eastAsia="楷体" w:cs="楷体"/>
                <w:b w:val="0"/>
                <w:bCs w:val="0"/>
                <w:color w:val="000000"/>
                <w:sz w:val="20"/>
                <w:szCs w:val="20"/>
                <w:highlight w:val="none"/>
                <w:u w:val="none"/>
              </w:rPr>
            </w:pPr>
            <w:r>
              <w:rPr>
                <w:rFonts w:hint="eastAsia" w:ascii="楷体" w:hAnsi="楷体" w:eastAsia="楷体" w:cs="楷体"/>
                <w:b w:val="0"/>
                <w:bCs w:val="0"/>
                <w:color w:val="000000"/>
                <w:sz w:val="20"/>
                <w:szCs w:val="20"/>
                <w:highlight w:val="none"/>
                <w:u w:val="none"/>
                <w:lang w:val="en-US" w:eastAsia="zh-CN"/>
              </w:rPr>
              <w:t>一次性提取模式：成立日一次性提取，按管理人与销售机构约定的时间支付，每日摊销，销售服务费＝计提基数×销售服务费率×产品投资期限天数÷365。</w:t>
            </w:r>
          </w:p>
          <w:p>
            <w:pPr>
              <w:keepNext w:val="0"/>
              <w:keepLines w:val="0"/>
              <w:pageBreakBefore w:val="0"/>
              <w:widowControl/>
              <w:numPr>
                <w:ilvl w:val="0"/>
                <w:numId w:val="0"/>
              </w:numPr>
              <w:bidi w:val="0"/>
              <w:spacing w:line="240" w:lineRule="auto"/>
              <w:jc w:val="both"/>
              <w:rPr>
                <w:rFonts w:hint="eastAsia" w:ascii="楷体" w:hAnsi="楷体" w:eastAsia="楷体" w:cs="楷体"/>
                <w:b/>
                <w:bCs/>
                <w:color w:val="000000" w:themeColor="text1"/>
                <w:sz w:val="20"/>
                <w:szCs w:val="20"/>
                <w:highlight w:val="none"/>
                <w:u w:val="single"/>
                <w:lang w:val="en-US" w:eastAsia="zh-CN"/>
                <w14:textFill>
                  <w14:solidFill>
                    <w14:schemeClr w14:val="tx1"/>
                  </w14:solidFill>
                </w14:textFill>
              </w:rPr>
            </w:pPr>
          </w:p>
          <w:p>
            <w:pPr>
              <w:keepNext w:val="0"/>
              <w:keepLines w:val="0"/>
              <w:pageBreakBefore w:val="0"/>
              <w:widowControl/>
              <w:numPr>
                <w:ilvl w:val="0"/>
                <w:numId w:val="0"/>
              </w:numPr>
              <w:bidi w:val="0"/>
              <w:spacing w:line="240" w:lineRule="auto"/>
              <w:jc w:val="both"/>
              <w:rPr>
                <w:rFonts w:hint="eastAsia" w:ascii="楷体" w:hAnsi="楷体" w:eastAsia="楷体" w:cs="楷体"/>
                <w:b/>
                <w:bCs/>
                <w:color w:val="000000" w:themeColor="text1"/>
                <w:sz w:val="20"/>
                <w:szCs w:val="20"/>
                <w:highlight w:val="none"/>
                <w:u w:val="single"/>
                <w:lang w:val="en-US" w:eastAsia="zh-CN"/>
                <w14:textFill>
                  <w14:solidFill>
                    <w14:schemeClr w14:val="tx1"/>
                  </w14:solidFill>
                </w14:textFill>
              </w:rPr>
            </w:pPr>
            <w:r>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t>托管费</w:t>
            </w:r>
          </w:p>
          <w:p>
            <w:pPr>
              <w:keepNext w:val="0"/>
              <w:keepLines w:val="0"/>
              <w:pageBreakBefore w:val="0"/>
              <w:widowControl/>
              <w:bidi w:val="0"/>
              <w:spacing w:line="240" w:lineRule="auto"/>
              <w:jc w:val="both"/>
              <w:rPr>
                <w:rFonts w:hint="eastAsia" w:ascii="楷体" w:hAnsi="楷体" w:eastAsia="楷体" w:cs="楷体"/>
                <w:b w:val="0"/>
                <w:bCs w:val="0"/>
                <w:color w:val="auto"/>
                <w:sz w:val="20"/>
                <w:szCs w:val="20"/>
                <w:highlight w:val="none"/>
              </w:rPr>
            </w:pPr>
            <w:r>
              <w:rPr>
                <w:rFonts w:hint="eastAsia" w:ascii="楷体" w:hAnsi="楷体" w:eastAsia="楷体" w:cs="楷体"/>
                <w:b w:val="0"/>
                <w:bCs w:val="0"/>
                <w:color w:val="auto"/>
                <w:sz w:val="20"/>
                <w:szCs w:val="20"/>
                <w:highlight w:val="none"/>
              </w:rPr>
              <w:t>以前一自然日资产净值为基数，每日计提模式。</w:t>
            </w:r>
          </w:p>
          <w:p>
            <w:pPr>
              <w:keepNext w:val="0"/>
              <w:keepLines w:val="0"/>
              <w:pageBreakBefore w:val="0"/>
              <w:widowControl/>
              <w:bidi w:val="0"/>
              <w:spacing w:line="240" w:lineRule="auto"/>
              <w:jc w:val="both"/>
              <w:rPr>
                <w:rFonts w:hint="eastAsia" w:ascii="楷体" w:hAnsi="楷体" w:eastAsia="楷体" w:cs="楷体"/>
                <w:b w:val="0"/>
                <w:bCs w:val="0"/>
                <w:color w:val="auto"/>
                <w:sz w:val="20"/>
                <w:szCs w:val="20"/>
                <w:highlight w:val="none"/>
              </w:rPr>
            </w:pPr>
            <w:r>
              <w:rPr>
                <w:rFonts w:hint="eastAsia" w:ascii="楷体" w:hAnsi="楷体" w:eastAsia="楷体" w:cs="楷体"/>
                <w:b w:val="0"/>
                <w:bCs w:val="0"/>
                <w:color w:val="auto"/>
                <w:sz w:val="20"/>
                <w:szCs w:val="20"/>
                <w:highlight w:val="none"/>
              </w:rPr>
              <w:t>公式如下：</w:t>
            </w:r>
          </w:p>
          <w:p>
            <w:pPr>
              <w:keepNext w:val="0"/>
              <w:keepLines w:val="0"/>
              <w:pageBreakBefore w:val="0"/>
              <w:widowControl/>
              <w:bidi w:val="0"/>
              <w:spacing w:line="240" w:lineRule="auto"/>
              <w:jc w:val="both"/>
              <w:rPr>
                <w:rFonts w:hint="eastAsia" w:ascii="楷体" w:hAnsi="楷体" w:eastAsia="楷体" w:cs="楷体"/>
                <w:b w:val="0"/>
                <w:bCs w:val="0"/>
                <w:color w:val="auto"/>
                <w:sz w:val="20"/>
                <w:szCs w:val="20"/>
                <w:highlight w:val="none"/>
              </w:rPr>
            </w:pPr>
            <w:r>
              <w:rPr>
                <w:rFonts w:hint="eastAsia" w:ascii="楷体" w:hAnsi="楷体" w:eastAsia="楷体" w:cs="楷体"/>
                <w:b w:val="0"/>
                <w:bCs w:val="0"/>
                <w:color w:val="auto"/>
                <w:sz w:val="20"/>
                <w:szCs w:val="20"/>
                <w:highlight w:val="none"/>
              </w:rPr>
              <w:t>每日计提模式：每日计提，按管理人与托管机构约定的时间支付，每日应计提的托管费＝计提基数×托管费率÷365。</w:t>
            </w:r>
          </w:p>
          <w:p>
            <w:pPr>
              <w:keepNext w:val="0"/>
              <w:keepLines w:val="0"/>
              <w:pageBreakBefore w:val="0"/>
              <w:widowControl/>
              <w:numPr>
                <w:ilvl w:val="0"/>
                <w:numId w:val="0"/>
              </w:numPr>
              <w:bidi w:val="0"/>
              <w:spacing w:line="240" w:lineRule="auto"/>
              <w:jc w:val="both"/>
              <w:rPr>
                <w:rFonts w:hint="eastAsia" w:ascii="楷体" w:hAnsi="楷体" w:eastAsia="楷体" w:cs="楷体"/>
                <w:color w:val="auto"/>
                <w:sz w:val="20"/>
                <w:szCs w:val="20"/>
                <w:highlight w:val="none"/>
              </w:rPr>
            </w:pPr>
          </w:p>
          <w:p>
            <w:pPr>
              <w:keepNext w:val="0"/>
              <w:keepLines w:val="0"/>
              <w:pageBreakBefore w:val="0"/>
              <w:widowControl/>
              <w:numPr>
                <w:ilvl w:val="0"/>
                <w:numId w:val="0"/>
              </w:numPr>
              <w:bidi w:val="0"/>
              <w:spacing w:line="240" w:lineRule="auto"/>
              <w:jc w:val="both"/>
              <w:rPr>
                <w:rFonts w:hint="default" w:ascii="楷体" w:hAnsi="楷体" w:eastAsia="楷体" w:cs="楷体"/>
                <w:b/>
                <w:bCs w:val="0"/>
                <w:color w:val="000000" w:themeColor="text1"/>
                <w:sz w:val="20"/>
                <w:szCs w:val="20"/>
                <w:highlight w:val="none"/>
                <w:u w:val="single"/>
                <w:lang w:val="en-US" w:eastAsia="zh-CN"/>
                <w14:textFill>
                  <w14:solidFill>
                    <w14:schemeClr w14:val="tx1"/>
                  </w14:solidFill>
                </w14:textFill>
              </w:rPr>
            </w:pPr>
            <w:r>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t>固定管理费</w:t>
            </w:r>
          </w:p>
          <w:p>
            <w:pPr>
              <w:keepNext w:val="0"/>
              <w:keepLines w:val="0"/>
              <w:pageBreakBefore w:val="0"/>
              <w:widowControl/>
              <w:bidi w:val="0"/>
              <w:spacing w:line="240" w:lineRule="auto"/>
              <w:jc w:val="both"/>
              <w:rPr>
                <w:rFonts w:hint="eastAsia" w:ascii="楷体" w:hAnsi="楷体" w:eastAsia="楷体" w:cs="楷体"/>
                <w:b w:val="0"/>
                <w:bCs w:val="0"/>
                <w:color w:val="auto"/>
                <w:sz w:val="20"/>
                <w:szCs w:val="20"/>
                <w:highlight w:val="none"/>
              </w:rPr>
            </w:pPr>
            <w:r>
              <w:rPr>
                <w:rFonts w:hint="eastAsia" w:ascii="楷体" w:hAnsi="楷体" w:eastAsia="楷体" w:cs="楷体"/>
                <w:b w:val="0"/>
                <w:bCs w:val="0"/>
                <w:color w:val="auto"/>
                <w:sz w:val="20"/>
                <w:szCs w:val="20"/>
                <w:highlight w:val="none"/>
                <w:lang w:val="en-US" w:eastAsia="zh-CN"/>
              </w:rPr>
              <w:t>前一自然日资产净值为基数，每日计提模式。</w:t>
            </w:r>
          </w:p>
          <w:p>
            <w:pPr>
              <w:keepNext w:val="0"/>
              <w:keepLines w:val="0"/>
              <w:pageBreakBefore w:val="0"/>
              <w:widowControl/>
              <w:bidi w:val="0"/>
              <w:spacing w:line="240" w:lineRule="auto"/>
              <w:jc w:val="both"/>
              <w:rPr>
                <w:rFonts w:hint="eastAsia" w:ascii="楷体" w:hAnsi="楷体" w:eastAsia="楷体" w:cs="楷体"/>
                <w:b w:val="0"/>
                <w:bCs w:val="0"/>
                <w:color w:val="auto"/>
                <w:sz w:val="20"/>
                <w:szCs w:val="20"/>
                <w:highlight w:val="none"/>
              </w:rPr>
            </w:pPr>
            <w:r>
              <w:rPr>
                <w:rFonts w:hint="eastAsia" w:ascii="楷体" w:hAnsi="楷体" w:eastAsia="楷体" w:cs="楷体"/>
                <w:b w:val="0"/>
                <w:bCs w:val="0"/>
                <w:color w:val="auto"/>
                <w:sz w:val="20"/>
                <w:szCs w:val="20"/>
                <w:highlight w:val="none"/>
                <w:lang w:val="en-US" w:eastAsia="zh-CN"/>
              </w:rPr>
              <w:t>公式如下：</w:t>
            </w:r>
          </w:p>
          <w:p>
            <w:pPr>
              <w:keepNext w:val="0"/>
              <w:keepLines w:val="0"/>
              <w:pageBreakBefore w:val="0"/>
              <w:widowControl/>
              <w:bidi w:val="0"/>
              <w:spacing w:line="240" w:lineRule="auto"/>
              <w:jc w:val="both"/>
              <w:rPr>
                <w:rFonts w:hint="eastAsia" w:ascii="楷体" w:hAnsi="楷体" w:eastAsia="楷体" w:cs="楷体"/>
                <w:b w:val="0"/>
                <w:bCs w:val="0"/>
                <w:color w:val="auto"/>
                <w:sz w:val="20"/>
                <w:szCs w:val="20"/>
                <w:highlight w:val="none"/>
              </w:rPr>
            </w:pPr>
            <w:r>
              <w:rPr>
                <w:rFonts w:hint="eastAsia" w:ascii="楷体" w:hAnsi="楷体" w:eastAsia="楷体" w:cs="楷体"/>
                <w:b w:val="0"/>
                <w:bCs w:val="0"/>
                <w:color w:val="auto"/>
                <w:sz w:val="20"/>
                <w:szCs w:val="20"/>
                <w:highlight w:val="none"/>
                <w:lang w:val="en-US" w:eastAsia="zh-CN"/>
              </w:rPr>
              <w:t>每日计提模式：每日计提，定期支付，每日应计提的固定管理费＝计提基数×固定管理费率÷365。</w:t>
            </w:r>
          </w:p>
          <w:p>
            <w:pPr>
              <w:keepNext w:val="0"/>
              <w:keepLines w:val="0"/>
              <w:pageBreakBefore w:val="0"/>
              <w:widowControl/>
              <w:numPr>
                <w:ilvl w:val="0"/>
                <w:numId w:val="0"/>
              </w:numPr>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p>
          <w:p>
            <w:pPr>
              <w:rPr>
                <w:rFonts w:hint="eastAsia"/>
                <w:b/>
                <w:bCs w:val="0"/>
                <w:u w:val="single"/>
                <w:lang w:val="en-US" w:eastAsia="zh-CN"/>
              </w:rPr>
            </w:pPr>
            <w:r>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t>信息技术服务费</w:t>
            </w:r>
          </w:p>
          <w:p>
            <w:pPr>
              <w:keepNext w:val="0"/>
              <w:keepLines w:val="0"/>
              <w:pageBreakBefore w:val="0"/>
              <w:widowControl/>
              <w:numPr>
                <w:ilvl w:val="0"/>
                <w:numId w:val="0"/>
              </w:numPr>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1"/>
                <w:szCs w:val="21"/>
                <w:highlight w:val="none"/>
                <w:lang w:val="en-US" w:eastAsia="zh-CN"/>
                <w14:textFill>
                  <w14:solidFill>
                    <w14:schemeClr w14:val="tx1"/>
                  </w14:solidFill>
                </w14:textFill>
              </w:rPr>
              <w:t>指理财产品因使用银行业理财登记托管中心有限公司提供的数据交换服务所收取的费用。</w:t>
            </w:r>
          </w:p>
          <w:p>
            <w:pPr>
              <w:keepNext w:val="0"/>
              <w:keepLines w:val="0"/>
              <w:pageBreakBefore w:val="0"/>
              <w:widowControl/>
              <w:numPr>
                <w:ilvl w:val="0"/>
                <w:numId w:val="0"/>
              </w:numPr>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信息技术服务费率（年化）：0.002%。</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以前一日资产净值为基数，每日计提模式。</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公式如下：</w:t>
            </w:r>
          </w:p>
          <w:p>
            <w:pPr>
              <w:keepNext w:val="0"/>
              <w:keepLines w:val="0"/>
              <w:pageBreakBefore w:val="0"/>
              <w:widowControl/>
              <w:bidi w:val="0"/>
              <w:spacing w:line="240" w:lineRule="auto"/>
              <w:jc w:val="both"/>
              <w:rPr>
                <w:rFonts w:hint="eastAsia" w:ascii="楷体" w:hAnsi="楷体" w:eastAsia="楷体" w:cs="楷体"/>
                <w:bCs/>
                <w:color w:val="000000"/>
                <w:sz w:val="20"/>
                <w:szCs w:val="20"/>
                <w:highlight w:val="none"/>
                <w:lang w:val="en-US" w:eastAsia="zh-CN"/>
              </w:rPr>
            </w:pPr>
            <w:r>
              <w:rPr>
                <w:rFonts w:hint="eastAsia" w:ascii="楷体" w:hAnsi="楷体" w:eastAsia="楷体" w:cs="楷体"/>
                <w:bCs/>
                <w:color w:val="000000"/>
                <w:sz w:val="20"/>
                <w:szCs w:val="20"/>
                <w:highlight w:val="none"/>
                <w:lang w:val="en-US" w:eastAsia="zh-CN"/>
              </w:rPr>
              <w:t>每日计提模式：每日计提，定期支付，每日应计提的信息技术服务费=计提基数×信息技术服务费率÷365。</w:t>
            </w:r>
          </w:p>
          <w:p>
            <w:pPr>
              <w:keepNext w:val="0"/>
              <w:keepLines w:val="0"/>
              <w:pageBreakBefore w:val="0"/>
              <w:widowControl/>
              <w:numPr>
                <w:ilvl w:val="0"/>
                <w:numId w:val="0"/>
              </w:numPr>
              <w:bidi w:val="0"/>
              <w:spacing w:line="240" w:lineRule="auto"/>
              <w:jc w:val="both"/>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pPr>
          </w:p>
          <w:p>
            <w:pPr>
              <w:keepNext w:val="0"/>
              <w:keepLines w:val="0"/>
              <w:pageBreakBefore w:val="0"/>
              <w:widowControl/>
              <w:numPr>
                <w:ilvl w:val="0"/>
                <w:numId w:val="0"/>
              </w:numPr>
              <w:bidi w:val="0"/>
              <w:spacing w:line="240" w:lineRule="auto"/>
              <w:jc w:val="both"/>
              <w:rPr>
                <w:rFonts w:hint="default" w:ascii="楷体" w:hAnsi="楷体" w:eastAsia="楷体" w:cs="楷体"/>
                <w:b/>
                <w:bCs w:val="0"/>
                <w:color w:val="000000" w:themeColor="text1"/>
                <w:sz w:val="20"/>
                <w:szCs w:val="20"/>
                <w:highlight w:val="none"/>
                <w:u w:val="single"/>
                <w:lang w:val="en-US" w:eastAsia="zh-CN"/>
                <w14:textFill>
                  <w14:solidFill>
                    <w14:schemeClr w14:val="tx1"/>
                  </w14:solidFill>
                </w14:textFill>
              </w:rPr>
            </w:pPr>
            <w:r>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t>浮动管理费</w:t>
            </w:r>
          </w:p>
          <w:p>
            <w:pPr>
              <w:keepNext w:val="0"/>
              <w:keepLines w:val="0"/>
              <w:pageBreakBefore w:val="0"/>
              <w:widowControl/>
              <w:bidi w:val="0"/>
              <w:spacing w:line="240" w:lineRule="auto"/>
              <w:jc w:val="both"/>
              <w:rPr>
                <w:rFonts w:hint="default"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lang w:val="en-US" w:eastAsia="zh-CN"/>
                <w14:textFill>
                  <w14:solidFill>
                    <w14:schemeClr w14:val="tx1"/>
                  </w14:solidFill>
                </w14:textFill>
              </w:rPr>
              <w:t>若产品各份额实际投资收益在扣除托管费、销售服务费、投资管理费、信息技术服务费等费用后超过各份额业绩比较基准，产品管理人将按照超出部分的50%收取超额业绩报酬。</w:t>
            </w:r>
          </w:p>
          <w:p>
            <w:pPr>
              <w:keepNext w:val="0"/>
              <w:keepLines w:val="0"/>
              <w:pageBreakBefore w:val="0"/>
              <w:widowControl/>
              <w:bidi w:val="0"/>
              <w:spacing w:line="240" w:lineRule="auto"/>
              <w:jc w:val="both"/>
              <w:rPr>
                <w:rFonts w:hint="eastAsia" w:ascii="楷体" w:hAnsi="楷体" w:eastAsia="楷体" w:cs="楷体"/>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产品存续期内理财产品将每日暂估超额业绩报酬，仅用于理财产品会计核算，并将扣除“暂估超额业绩报酬”后的理财产品份额净值按照说明书约定向投资者进行披露。</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公式如下：</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当期的超额收益=理财产品份额×期初单位净值×（当期年化收益率-业绩比较基准）×计提比例×当期运作天数÷365。</w:t>
            </w:r>
          </w:p>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其中，当期年化收益率=（计提日累计单位净值-期初累计单位净值）÷期初单位净值×365÷当期运作天数。如期初为产品成立日，则期初累计单位净值与期初单位净值为产品份额面值。</w:t>
            </w:r>
          </w:p>
          <w:p>
            <w:pPr>
              <w:keepNext w:val="0"/>
              <w:keepLines w:val="0"/>
              <w:pageBreakBefore w:val="0"/>
              <w:widowControl/>
              <w:bidi w:val="0"/>
              <w:spacing w:line="240" w:lineRule="auto"/>
              <w:jc w:val="both"/>
              <w:rPr>
                <w:rFonts w:hint="eastAsia" w:eastAsia="楷体"/>
                <w:b w:val="0"/>
                <w:bCs w:val="0"/>
                <w:sz w:val="20"/>
                <w:szCs w:val="20"/>
                <w:highlight w:val="none"/>
              </w:rPr>
            </w:pPr>
            <w:r>
              <w:rPr>
                <w:rFonts w:hint="eastAsia" w:ascii="楷体" w:hAnsi="楷体" w:eastAsia="楷体" w:cs="楷体"/>
                <w:b/>
                <w:bCs/>
                <w:color w:val="000000" w:themeColor="text1"/>
                <w:sz w:val="20"/>
                <w:szCs w:val="20"/>
                <w:highlight w:val="none"/>
                <w14:textFill>
                  <w14:solidFill>
                    <w14:schemeClr w14:val="tx1"/>
                  </w14:solidFill>
                </w14:textFill>
              </w:rPr>
              <w:t>理财产品实际收取的超额业绩报酬以</w:t>
            </w:r>
            <w:r>
              <w:rPr>
                <w:rFonts w:hint="eastAsia" w:ascii="楷体" w:hAnsi="楷体" w:eastAsia="楷体" w:cs="楷体"/>
                <w:b/>
                <w:bCs/>
                <w:color w:val="000000" w:themeColor="text1"/>
                <w:sz w:val="20"/>
                <w:szCs w:val="20"/>
                <w:highlight w:val="none"/>
                <w:lang w:val="en-US" w:eastAsia="zh-CN"/>
                <w14:textFill>
                  <w14:solidFill>
                    <w14:schemeClr w14:val="tx1"/>
                  </w14:solidFill>
                </w14:textFill>
              </w:rPr>
              <w:t>到期日</w:t>
            </w:r>
            <w:r>
              <w:rPr>
                <w:rFonts w:hint="eastAsia" w:ascii="楷体" w:hAnsi="楷体" w:eastAsia="楷体" w:cs="楷体"/>
                <w:b/>
                <w:bCs/>
                <w:color w:val="000000" w:themeColor="text1"/>
                <w:sz w:val="20"/>
                <w:szCs w:val="20"/>
                <w:highlight w:val="none"/>
                <w14:textFill>
                  <w14:solidFill>
                    <w14:schemeClr w14:val="tx1"/>
                  </w14:solidFill>
                </w14:textFill>
              </w:rPr>
              <w:t>计提核算的数值为准。计算超额业绩报酬时，1年按365日计算。</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p>
          <w:p>
            <w:pPr>
              <w:keepNext w:val="0"/>
              <w:keepLines w:val="0"/>
              <w:pageBreakBefore w:val="0"/>
              <w:widowControl/>
              <w:numPr>
                <w:ilvl w:val="0"/>
                <w:numId w:val="0"/>
              </w:numPr>
              <w:bidi w:val="0"/>
              <w:spacing w:line="240" w:lineRule="auto"/>
              <w:jc w:val="both"/>
              <w:rPr>
                <w:rFonts w:hint="default" w:ascii="楷体" w:hAnsi="楷体" w:eastAsia="楷体" w:cs="楷体"/>
                <w:b/>
                <w:bCs w:val="0"/>
                <w:color w:val="000000" w:themeColor="text1"/>
                <w:sz w:val="20"/>
                <w:szCs w:val="20"/>
                <w:highlight w:val="none"/>
                <w:u w:val="single"/>
                <w:lang w:val="en-US" w:eastAsia="zh-CN"/>
                <w14:textFill>
                  <w14:solidFill>
                    <w14:schemeClr w14:val="tx1"/>
                  </w14:solidFill>
                </w14:textFill>
              </w:rPr>
            </w:pPr>
            <w:r>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t>其它费用</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color w:val="auto"/>
                <w:sz w:val="20"/>
                <w:szCs w:val="20"/>
                <w:highlight w:val="none"/>
              </w:rPr>
              <w:t>产品运作和清算中产生的交易手续费、注册登记费、账户服务费、审计费及其他应由本产品承担的费用从产品中列支</w:t>
            </w:r>
            <w:r>
              <w:rPr>
                <w:rFonts w:hint="eastAsia" w:ascii="楷体" w:hAnsi="楷体" w:eastAsia="楷体" w:cs="楷体"/>
                <w:color w:val="auto"/>
                <w:sz w:val="20"/>
                <w:szCs w:val="20"/>
                <w:highlight w:val="none"/>
                <w:lang w:eastAsia="zh-CN"/>
              </w:rPr>
              <w:t>。</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p>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（三）其它说明</w:t>
            </w:r>
          </w:p>
          <w:p>
            <w:pPr>
              <w:keepNext w:val="0"/>
              <w:keepLines w:val="0"/>
              <w:pageBreakBefore w:val="0"/>
              <w:widowControl/>
              <w:numPr>
                <w:ilvl w:val="0"/>
                <w:numId w:val="0"/>
              </w:numPr>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1.费用计算四舍五入保留至小数点后两位。</w:t>
            </w:r>
          </w:p>
          <w:p>
            <w:pPr>
              <w:keepNext w:val="0"/>
              <w:keepLines w:val="0"/>
              <w:pageBreakBefore w:val="0"/>
              <w:widowControl/>
              <w:numPr>
                <w:ilvl w:val="0"/>
                <w:numId w:val="0"/>
              </w:numPr>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bCs w:val="0"/>
                <w:color w:val="000000" w:themeColor="text1"/>
                <w:sz w:val="20"/>
                <w:szCs w:val="20"/>
                <w:highlight w:val="none"/>
                <w:u w:val="single"/>
                <w:lang w:val="en-US" w:eastAsia="zh-CN"/>
                <w14:textFill>
                  <w14:solidFill>
                    <w14:schemeClr w14:val="tx1"/>
                  </w14:solidFill>
                </w14:textFill>
              </w:rPr>
              <w:t>2.本产品各类份额实际收取的销售服务费率、固定管理费率等可能存在差异，投资者应根据各类份额收费情况自主选择购买。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9656" w:type="dxa"/>
            <w:gridSpan w:val="2"/>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（六）业绩比较基准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业绩比较基准</w:t>
            </w:r>
          </w:p>
        </w:tc>
        <w:tc>
          <w:tcPr>
            <w:tcW w:w="7478" w:type="dxa"/>
            <w:noWrap w:val="0"/>
            <w:vAlign w:val="center"/>
          </w:tcPr>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A份额：2.05%（年化）；</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bCs/>
                <w:color w:val="000000"/>
                <w:sz w:val="20"/>
                <w:szCs w:val="20"/>
                <w:highlight w:val="none"/>
                <w:lang w:val="en-US" w:eastAsia="zh-CN"/>
              </w:rPr>
              <w:t>B份额：1.95%（年化）；</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bCs/>
                <w:color w:val="000000"/>
                <w:sz w:val="20"/>
                <w:szCs w:val="20"/>
                <w:highlight w:val="none"/>
                <w:lang w:val="en-US" w:eastAsia="zh-CN"/>
              </w:rPr>
              <w:t>C份额：2.10%（年化）；</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bCs/>
                <w:color w:val="000000"/>
                <w:sz w:val="20"/>
                <w:szCs w:val="20"/>
                <w:highlight w:val="none"/>
                <w:lang w:val="en-US" w:eastAsia="zh-CN"/>
              </w:rPr>
              <w:t>D份额：1.85%（年化）；</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bCs/>
                <w:color w:val="000000"/>
                <w:sz w:val="20"/>
                <w:szCs w:val="20"/>
                <w:highlight w:val="none"/>
                <w:lang w:val="en-US" w:eastAsia="zh-CN"/>
              </w:rPr>
              <w:t>E份额：2.00%（年化）；</w:t>
            </w:r>
          </w:p>
          <w:p>
            <w:pPr>
              <w:keepNext w:val="0"/>
              <w:keepLines w:val="0"/>
              <w:pageBreakBefore w:val="0"/>
              <w:widowControl/>
              <w:bidi w:val="0"/>
              <w:spacing w:line="240" w:lineRule="auto"/>
              <w:jc w:val="both"/>
              <w:rPr>
                <w:rFonts w:hint="eastAsia" w:ascii="楷体" w:hAnsi="楷体" w:eastAsia="楷体" w:cs="楷体"/>
                <w:sz w:val="20"/>
                <w:szCs w:val="20"/>
                <w:highlight w:val="none"/>
                <w:lang w:val="en-US" w:eastAsia="zh-CN"/>
              </w:rPr>
            </w:pPr>
            <w:r>
              <w:rPr>
                <w:rFonts w:hint="eastAsia" w:ascii="楷体" w:hAnsi="楷体" w:eastAsia="楷体" w:cs="楷体"/>
                <w:bCs/>
                <w:color w:val="000000"/>
                <w:sz w:val="20"/>
                <w:szCs w:val="20"/>
                <w:highlight w:val="none"/>
                <w:lang w:val="en-US" w:eastAsia="zh-CN"/>
              </w:rPr>
              <w:t>G份额：1.95%（年化）。</w:t>
            </w:r>
          </w:p>
          <w:p>
            <w:pPr>
              <w:keepNext w:val="0"/>
              <w:keepLines w:val="0"/>
              <w:pageBreakBefore w:val="0"/>
              <w:widowControl/>
              <w:numPr>
                <w:ilvl w:val="0"/>
                <w:numId w:val="0"/>
              </w:numPr>
              <w:bidi w:val="0"/>
              <w:spacing w:line="240" w:lineRule="auto"/>
              <w:jc w:val="both"/>
              <w:rPr>
                <w:rFonts w:hint="eastAsia"/>
                <w:sz w:val="20"/>
                <w:szCs w:val="20"/>
                <w:highlight w:val="none"/>
              </w:rPr>
            </w:pPr>
          </w:p>
          <w:p>
            <w:pPr>
              <w:keepNext w:val="0"/>
              <w:keepLines w:val="0"/>
              <w:pageBreakBefore w:val="0"/>
              <w:widowControl/>
              <w:numPr>
                <w:ilvl w:val="0"/>
                <w:numId w:val="0"/>
              </w:numPr>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1.业绩比较基准测算依据：管理人参考过往投资经验，依据近期货币市场工具、银行存款、存单、债券（含永续债）等资产投资收益水平，在产品说明书约定的投资范围和投资比例内，综合考虑各类份额收取的销售服务费和投资管理费等费用情况，模拟测算得出业绩比较基准。业绩比较基准不是预期收益率，不代表产品的未来表现和实际收益，不构成对产品收益的承诺。</w:t>
            </w:r>
          </w:p>
          <w:p>
            <w:pPr>
              <w:keepNext w:val="0"/>
              <w:keepLines w:val="0"/>
              <w:pageBreakBefore w:val="0"/>
              <w:widowControl/>
              <w:bidi w:val="0"/>
              <w:spacing w:line="240" w:lineRule="auto"/>
              <w:jc w:val="both"/>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2.本产品各类份额可能因收取的销售服务费和</w:t>
            </w:r>
            <w:r>
              <w:rPr>
                <w:rFonts w:hint="eastAsia" w:ascii="楷体" w:hAnsi="楷体" w:eastAsia="楷体" w:cs="楷体"/>
                <w:bCs/>
                <w:color w:val="000000" w:themeColor="text1"/>
                <w:sz w:val="20"/>
                <w:szCs w:val="20"/>
                <w:highlight w:val="none"/>
                <w:lang w:val="en-US" w:eastAsia="zh-CN"/>
                <w14:textFill>
                  <w14:solidFill>
                    <w14:schemeClr w14:val="tx1"/>
                  </w14:solidFill>
                </w14:textFill>
              </w:rPr>
              <w:t>固定</w:t>
            </w:r>
            <w:r>
              <w:rPr>
                <w:rFonts w:hint="eastAsia" w:ascii="楷体" w:hAnsi="楷体" w:eastAsia="楷体" w:cs="楷体"/>
                <w:bCs/>
                <w:color w:val="000000" w:themeColor="text1"/>
                <w:sz w:val="20"/>
                <w:szCs w:val="20"/>
                <w:highlight w:val="none"/>
                <w14:textFill>
                  <w14:solidFill>
                    <w14:schemeClr w14:val="tx1"/>
                  </w14:solidFill>
                </w14:textFill>
              </w:rPr>
              <w:t>管理费存在差异，业绩比较基准设置有所不同。</w:t>
            </w:r>
          </w:p>
          <w:p>
            <w:pPr>
              <w:keepNext w:val="0"/>
              <w:keepLines w:val="0"/>
              <w:pageBreakBefore w:val="0"/>
              <w:widowControl/>
              <w:bidi w:val="0"/>
              <w:spacing w:line="240" w:lineRule="auto"/>
              <w:jc w:val="both"/>
              <w:rPr>
                <w:rFonts w:hint="eastAsia" w:ascii="楷体" w:hAnsi="楷体" w:eastAsia="楷体" w:cs="楷体"/>
                <w:b/>
                <w:bCs w:val="0"/>
                <w:color w:val="000000" w:themeColor="text1"/>
                <w:sz w:val="20"/>
                <w:szCs w:val="20"/>
                <w:highlight w:val="none"/>
                <w:u w:val="single"/>
                <w14:textFill>
                  <w14:solidFill>
                    <w14:schemeClr w14:val="tx1"/>
                  </w14:solidFill>
                </w14:textFill>
              </w:rPr>
            </w:pPr>
            <w:r>
              <w:rPr>
                <w:rFonts w:hint="eastAsia" w:ascii="楷体" w:hAnsi="楷体" w:eastAsia="楷体" w:cs="楷体"/>
                <w:b/>
                <w:bCs w:val="0"/>
                <w:color w:val="000000" w:themeColor="text1"/>
                <w:sz w:val="20"/>
                <w:szCs w:val="20"/>
                <w:highlight w:val="none"/>
                <w:u w:val="single"/>
                <w14:textFill>
                  <w14:solidFill>
                    <w14:schemeClr w14:val="tx1"/>
                  </w14:solidFill>
                </w14:textFill>
              </w:rPr>
              <w:t>3.本产品为净值型产品，业绩表现将随市场波动，具有不确定性。业绩比较基准是管理人基于产品性质、投资策略、过往经验等因素对产品设定的投资目标。业绩比较基准不是预期收益率，不代表产品的未来表现和实际收益，不构成对产品收益的承诺。投资者的实际收益由产品净值表现决定。</w:t>
            </w:r>
          </w:p>
          <w:p>
            <w:pPr>
              <w:keepNext w:val="0"/>
              <w:keepLines w:val="0"/>
              <w:pageBreakBefore w:val="0"/>
              <w:widowControl/>
              <w:bidi w:val="0"/>
              <w:spacing w:line="240" w:lineRule="auto"/>
              <w:jc w:val="both"/>
              <w:rPr>
                <w:rFonts w:hint="default" w:ascii="楷体" w:hAnsi="楷体" w:eastAsia="楷体" w:cs="楷体"/>
                <w:b w:val="0"/>
                <w:bCs/>
                <w:color w:val="000000" w:themeColor="text1"/>
                <w:sz w:val="20"/>
                <w:szCs w:val="20"/>
                <w:highlight w:val="none"/>
                <w:u w:val="none"/>
                <w:lang w:val="en-US" w:eastAsia="zh-CN"/>
                <w14:textFill>
                  <w14:solidFill>
                    <w14:schemeClr w14:val="tx1"/>
                  </w14:solidFill>
                </w14:textFill>
              </w:rPr>
            </w:pPr>
            <w:r>
              <w:rPr>
                <w:rFonts w:hint="eastAsia" w:ascii="楷体" w:hAnsi="楷体" w:eastAsia="楷体" w:cs="楷体"/>
                <w:b w:val="0"/>
                <w:bCs/>
                <w:color w:val="000000" w:themeColor="text1"/>
                <w:sz w:val="20"/>
                <w:szCs w:val="20"/>
                <w:highlight w:val="none"/>
                <w:u w:val="none"/>
                <w:lang w:val="en-US" w:eastAsia="zh-CN"/>
                <w14:textFill>
                  <w14:solidFill>
                    <w14:schemeClr w14:val="tx1"/>
                  </w14:solidFill>
                </w14:textFill>
              </w:rPr>
              <w:t>4.历次业绩比较基准调整情况（2026年9月1日之后）</w:t>
            </w:r>
          </w:p>
          <w:p>
            <w:pPr>
              <w:keepNext w:val="0"/>
              <w:keepLines w:val="0"/>
              <w:pageBreakBefore w:val="0"/>
              <w:widowControl/>
              <w:bidi w:val="0"/>
              <w:spacing w:line="240" w:lineRule="auto"/>
              <w:jc w:val="both"/>
              <w:rPr>
                <w:rFonts w:hint="default"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 w:val="0"/>
                <w:bCs/>
                <w:color w:val="000000" w:themeColor="text1"/>
                <w:sz w:val="20"/>
                <w:szCs w:val="20"/>
                <w:highlight w:val="none"/>
                <w:u w:val="none"/>
                <w:lang w:val="en-US" w:eastAsia="zh-CN"/>
                <w14:textFill>
                  <w14:solidFill>
                    <w14:schemeClr w14:val="tx1"/>
                  </w14:solidFill>
                </w14:textFill>
              </w:rPr>
              <w:t>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jc w:val="center"/>
        </w:trPr>
        <w:tc>
          <w:tcPr>
            <w:tcW w:w="9656" w:type="dxa"/>
            <w:gridSpan w:val="2"/>
            <w:noWrap w:val="0"/>
            <w:vAlign w:val="center"/>
          </w:tcPr>
          <w:p>
            <w:pPr>
              <w:keepNext w:val="0"/>
              <w:keepLines w:val="0"/>
              <w:pageBreakBefore w:val="0"/>
              <w:widowControl/>
              <w:bidi w:val="0"/>
              <w:spacing w:line="240" w:lineRule="auto"/>
              <w:jc w:val="center"/>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
                <w:color w:val="000000" w:themeColor="text1"/>
                <w:sz w:val="20"/>
                <w:szCs w:val="20"/>
                <w:highlight w:val="none"/>
                <w14:textFill>
                  <w14:solidFill>
                    <w14:schemeClr w14:val="tx1"/>
                  </w14:solidFill>
                </w14:textFill>
              </w:rPr>
              <w:t>（七）投资范围与策略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投资范围</w:t>
            </w:r>
          </w:p>
        </w:tc>
        <w:tc>
          <w:tcPr>
            <w:tcW w:w="7478" w:type="dxa"/>
            <w:noWrap w:val="0"/>
            <w:vAlign w:val="center"/>
          </w:tcPr>
          <w:p>
            <w:pPr>
              <w:keepNext w:val="0"/>
              <w:keepLines w:val="0"/>
              <w:pageBreakBefore w:val="0"/>
              <w:widowControl/>
              <w:bidi w:val="0"/>
              <w:spacing w:line="240" w:lineRule="auto"/>
              <w:jc w:val="left"/>
              <w:rPr>
                <w:rFonts w:hint="default" w:ascii="楷体" w:hAnsi="楷体" w:eastAsia="楷体" w:cs="楷体"/>
                <w:bCs/>
                <w:color w:val="000000" w:themeColor="text1"/>
                <w:sz w:val="20"/>
                <w:szCs w:val="20"/>
                <w:highlight w:val="none"/>
                <w:lang w:val="en-US"/>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本理财产品直接或间接投资于货币市场工具、银行存款、存单、债券（含永续债）和监管机构允许投资的其他标准化类资产。具体资产投资比例为：货币市场工具、债券等固定收益类资产占产品资产总值比例不低于80%，符合监管要求的其他资产占产品资产总值比例不超过20%。</w:t>
            </w:r>
          </w:p>
          <w:p>
            <w:pPr>
              <w:keepNext w:val="0"/>
              <w:keepLines w:val="0"/>
              <w:pageBreakBefore w:val="0"/>
              <w:widowControl/>
              <w:bidi w:val="0"/>
              <w:spacing w:line="240" w:lineRule="auto"/>
              <w:jc w:val="left"/>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Cs/>
                <w:color w:val="000000" w:themeColor="text1"/>
                <w:sz w:val="20"/>
                <w:szCs w:val="20"/>
                <w:highlight w:val="none"/>
                <w14:textFill>
                  <w14:solidFill>
                    <w14:schemeClr w14:val="tx1"/>
                  </w14:solidFill>
                </w14:textFill>
              </w:rPr>
              <w:t>相关法律法规和监管部门对以上投资范围和配置比例有另行规定的，按照监管最新规定执行。非因管理人主观因素导致突破前述比例限制的，管理人将在流动性受限资产可出售、可转让或者恢复交易的15个交易日内调整至符合相关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b/>
                <w:bCs/>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投资策略</w:t>
            </w:r>
          </w:p>
        </w:tc>
        <w:tc>
          <w:tcPr>
            <w:tcW w:w="7478" w:type="dxa"/>
            <w:noWrap w:val="0"/>
            <w:vAlign w:val="center"/>
          </w:tcPr>
          <w:p>
            <w:pPr>
              <w:keepNext w:val="0"/>
              <w:keepLines w:val="0"/>
              <w:pageBreakBefore w:val="0"/>
              <w:widowControl/>
              <w:bidi w:val="0"/>
              <w:spacing w:line="240" w:lineRule="auto"/>
              <w:jc w:val="left"/>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bCs/>
                <w:color w:val="000000" w:themeColor="text1"/>
                <w:sz w:val="20"/>
                <w:szCs w:val="20"/>
                <w:highlight w:val="none"/>
                <w:lang w:val="en-US" w:eastAsia="zh-CN"/>
                <w14:textFill>
                  <w14:solidFill>
                    <w14:schemeClr w14:val="tx1"/>
                  </w14:solidFill>
                </w14:textFill>
              </w:rPr>
              <w:t xml:space="preserve">本产品利用定性分析和定量分析方法，通过对金融工具的积极投资，在有效控制投资风险和保持流动性的基础上，力争获得高于业绩比较基准的投资回报，主要投资策略包括资产配置策略、利率策略、收益率曲线策略、信用策略和杠杆策略等。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jc w:val="center"/>
        </w:trPr>
        <w:tc>
          <w:tcPr>
            <w:tcW w:w="9656" w:type="dxa"/>
            <w:gridSpan w:val="2"/>
            <w:noWrap w:val="0"/>
            <w:vAlign w:val="center"/>
          </w:tcPr>
          <w:p>
            <w:pPr>
              <w:keepNext w:val="0"/>
              <w:keepLines w:val="0"/>
              <w:pageBreakBefore w:val="0"/>
              <w:widowControl/>
              <w:bidi w:val="0"/>
              <w:spacing w:line="240" w:lineRule="auto"/>
              <w:jc w:val="center"/>
              <w:rPr>
                <w:rFonts w:hint="eastAsia" w:ascii="楷体" w:hAnsi="楷体" w:eastAsia="楷体" w:cs="楷体"/>
                <w:bCs/>
                <w:color w:val="000000" w:themeColor="text1"/>
                <w:sz w:val="20"/>
                <w:szCs w:val="20"/>
                <w:highlight w:val="none"/>
                <w14:textFill>
                  <w14:solidFill>
                    <w14:schemeClr w14:val="tx1"/>
                  </w14:solidFill>
                </w14:textFill>
              </w:rPr>
            </w:pPr>
            <w:r>
              <w:rPr>
                <w:rFonts w:hint="eastAsia" w:ascii="楷体" w:hAnsi="楷体" w:eastAsia="楷体" w:cs="楷体"/>
                <w:b/>
                <w:color w:val="000000" w:themeColor="text1"/>
                <w:sz w:val="20"/>
                <w:szCs w:val="20"/>
                <w:highlight w:val="none"/>
                <w14:textFill>
                  <w14:solidFill>
                    <w14:schemeClr w14:val="tx1"/>
                  </w14:solidFill>
                </w14:textFill>
              </w:rPr>
              <w:t>（八）其他约定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 w:hRule="atLeast"/>
          <w:jc w:val="center"/>
        </w:trPr>
        <w:tc>
          <w:tcPr>
            <w:tcW w:w="2178" w:type="dxa"/>
            <w:noWrap w:val="0"/>
            <w:vAlign w:val="center"/>
          </w:tcPr>
          <w:p>
            <w:pPr>
              <w:keepNext w:val="0"/>
              <w:keepLines w:val="0"/>
              <w:pageBreakBefore w:val="0"/>
              <w:widowControl/>
              <w:bidi w:val="0"/>
              <w:spacing w:line="240" w:lineRule="auto"/>
              <w:jc w:val="center"/>
              <w:rPr>
                <w:rFonts w:hint="eastAsia" w:ascii="楷体" w:hAnsi="楷体" w:eastAsia="楷体" w:cs="楷体"/>
                <w:color w:val="000000" w:themeColor="text1"/>
                <w:sz w:val="20"/>
                <w:szCs w:val="20"/>
                <w:highlight w:val="none"/>
                <w14:textFill>
                  <w14:solidFill>
                    <w14:schemeClr w14:val="tx1"/>
                  </w14:solidFill>
                </w14:textFill>
              </w:rPr>
            </w:pPr>
            <w:r>
              <w:rPr>
                <w:rFonts w:hint="eastAsia" w:ascii="楷体" w:hAnsi="楷体" w:eastAsia="楷体" w:cs="楷体"/>
                <w:b/>
                <w:bCs/>
                <w:color w:val="000000" w:themeColor="text1"/>
                <w:sz w:val="20"/>
                <w:szCs w:val="20"/>
                <w:highlight w:val="none"/>
                <w14:textFill>
                  <w14:solidFill>
                    <w14:schemeClr w14:val="tx1"/>
                  </w14:solidFill>
                </w14:textFill>
              </w:rPr>
              <w:t>其他约定</w:t>
            </w:r>
          </w:p>
        </w:tc>
        <w:tc>
          <w:tcPr>
            <w:tcW w:w="7478" w:type="dxa"/>
            <w:noWrap w:val="0"/>
            <w:vAlign w:val="center"/>
          </w:tcPr>
          <w:p>
            <w:pPr>
              <w:keepNext w:val="0"/>
              <w:keepLines w:val="0"/>
              <w:pageBreakBefore w:val="0"/>
              <w:widowControl/>
              <w:numPr>
                <w:ilvl w:val="0"/>
                <w:numId w:val="0"/>
              </w:numPr>
              <w:bidi w:val="0"/>
              <w:spacing w:line="240" w:lineRule="auto"/>
              <w:jc w:val="both"/>
              <w:rPr>
                <w:rFonts w:hint="eastAsia" w:ascii="楷体" w:hAnsi="楷体" w:eastAsia="楷体" w:cs="楷体"/>
                <w:bCs/>
                <w:color w:val="000000" w:themeColor="text1"/>
                <w:sz w:val="20"/>
                <w:szCs w:val="20"/>
                <w:highlight w:val="none"/>
                <w:lang w:val="en-US" w:eastAsia="zh-CN"/>
                <w14:textFill>
                  <w14:solidFill>
                    <w14:schemeClr w14:val="tx1"/>
                  </w14:solidFill>
                </w14:textFill>
              </w:rPr>
            </w:pPr>
            <w:r>
              <w:rPr>
                <w:rFonts w:hint="eastAsia" w:ascii="楷体" w:hAnsi="楷体" w:eastAsia="楷体" w:cs="楷体"/>
                <w:color w:val="auto"/>
                <w:spacing w:val="-2"/>
                <w:sz w:val="20"/>
                <w:szCs w:val="20"/>
                <w:highlight w:val="none"/>
                <w:lang w:val="en-US" w:eastAsia="zh-CN"/>
              </w:rPr>
              <w:t>1.税款：</w:t>
            </w:r>
            <w:r>
              <w:rPr>
                <w:rFonts w:hint="eastAsia" w:ascii="楷体" w:hAnsi="楷体" w:eastAsia="楷体" w:cs="楷体"/>
                <w:color w:val="auto"/>
                <w:spacing w:val="-2"/>
                <w:sz w:val="20"/>
                <w:szCs w:val="20"/>
                <w:highlight w:val="none"/>
              </w:rPr>
              <w:t>根据中国增值税等税收相关法律法规、税收政策等要求，产品应缴纳的增值税及附加税费（包括但不限于城市维护建设税、教育费附加及地方教育附加等）</w:t>
            </w:r>
            <w:r>
              <w:rPr>
                <w:rFonts w:hint="eastAsia" w:ascii="楷体" w:hAnsi="楷体" w:eastAsia="楷体" w:cs="楷体"/>
                <w:color w:val="auto"/>
                <w:spacing w:val="-2"/>
                <w:sz w:val="20"/>
                <w:szCs w:val="20"/>
                <w:highlight w:val="none"/>
                <w:lang w:eastAsia="zh-CN"/>
              </w:rPr>
              <w:t>、</w:t>
            </w:r>
            <w:r>
              <w:rPr>
                <w:rFonts w:hint="eastAsia" w:ascii="楷体" w:hAnsi="楷体" w:eastAsia="楷体" w:cs="楷体"/>
                <w:color w:val="auto"/>
                <w:spacing w:val="-2"/>
                <w:sz w:val="20"/>
                <w:szCs w:val="20"/>
                <w:highlight w:val="none"/>
                <w:lang w:val="en-US" w:eastAsia="zh-CN"/>
              </w:rPr>
              <w:t>印花税等</w:t>
            </w:r>
            <w:r>
              <w:rPr>
                <w:rFonts w:hint="eastAsia" w:ascii="楷体" w:hAnsi="楷体" w:eastAsia="楷体" w:cs="楷体"/>
                <w:color w:val="auto"/>
                <w:spacing w:val="-2"/>
                <w:sz w:val="20"/>
                <w:szCs w:val="20"/>
                <w:highlight w:val="none"/>
              </w:rPr>
              <w:t>由管理人从理财产品财产中支付，由此可能会使理财产品净值或实际收益降低。</w:t>
            </w:r>
            <w:r>
              <w:rPr>
                <w:rFonts w:hint="eastAsia" w:ascii="楷体" w:hAnsi="楷体" w:eastAsia="楷体" w:cs="楷体"/>
                <w:b/>
                <w:bCs/>
                <w:color w:val="auto"/>
                <w:spacing w:val="-2"/>
                <w:sz w:val="20"/>
                <w:szCs w:val="20"/>
                <w:highlight w:val="none"/>
                <w:u w:val="single"/>
              </w:rPr>
              <w:t>投资者从理财产品取得的收益应缴纳的税款，由投资者自行申报及缴纳。</w:t>
            </w:r>
          </w:p>
        </w:tc>
      </w:tr>
    </w:tbl>
    <w:p>
      <w:pPr>
        <w:keepNext w:val="0"/>
        <w:keepLines w:val="0"/>
        <w:pageBreakBefore w:val="0"/>
        <w:numPr>
          <w:ilvl w:val="0"/>
          <w:numId w:val="2"/>
        </w:numPr>
        <w:tabs>
          <w:tab w:val="left" w:pos="1134"/>
        </w:tabs>
        <w:bidi w:val="0"/>
        <w:spacing w:line="240" w:lineRule="auto"/>
        <w:ind w:left="0" w:firstLine="422"/>
        <w:outlineLvl w:val="1"/>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rPr>
        <w:t>产品管理人</w:t>
      </w:r>
    </w:p>
    <w:p>
      <w:pPr>
        <w:keepNext w:val="0"/>
        <w:keepLines w:val="0"/>
        <w:pageBreakBefore w:val="0"/>
        <w:numPr>
          <w:ilvl w:val="0"/>
          <w:numId w:val="0"/>
        </w:numPr>
        <w:bidi w:val="0"/>
        <w:spacing w:line="240" w:lineRule="auto"/>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（一）主要职责</w:t>
      </w:r>
    </w:p>
    <w:p>
      <w:pPr>
        <w:keepNext w:val="0"/>
        <w:keepLines w:val="0"/>
        <w:pageBreakBefore w:val="0"/>
        <w:numPr>
          <w:ilvl w:val="0"/>
          <w:numId w:val="0"/>
        </w:numPr>
        <w:bidi w:val="0"/>
        <w:spacing w:line="240" w:lineRule="auto"/>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rPr>
        <w:t>按照法律法规、监管规定及理财产品销售文件的约定，发行并管理理财产品；根据理财产品的投资组合、同类产品过往业绩和风险状况等因素，对理财产品进行评级；按照法律法规、监管规定及与投资者约定的信息披露渠道及时披露理财产品相关信息；按照理财产品销售文件约定的投资范围和权限，负责理财产品资金的运用和管理，向投资者进行收益分配；审慎选择理财产品销售机构，切实履行对销售机构的管理责任；根据法律法规、监管规定建立健全投资者权益保护管理体系；国务院银行业监督管理机构规定及本理财产品销售文件中约定的其他职责。</w:t>
      </w:r>
    </w:p>
    <w:p>
      <w:pPr>
        <w:keepNext w:val="0"/>
        <w:keepLines w:val="0"/>
        <w:pageBreakBefore w:val="0"/>
        <w:numPr>
          <w:ilvl w:val="0"/>
          <w:numId w:val="0"/>
        </w:numPr>
        <w:bidi w:val="0"/>
        <w:spacing w:line="240" w:lineRule="auto"/>
        <w:ind w:firstLine="420"/>
        <w:rPr>
          <w:rFonts w:hint="default"/>
          <w:sz w:val="21"/>
          <w:szCs w:val="21"/>
          <w:highlight w:val="none"/>
          <w:lang w:val="en-US" w:eastAsia="zh-CN"/>
        </w:rPr>
      </w:pPr>
      <w:r>
        <w:rPr>
          <w:rFonts w:hint="eastAsia" w:ascii="楷体" w:hAnsi="楷体" w:eastAsia="楷体" w:cs="楷体"/>
          <w:color w:val="auto"/>
          <w:sz w:val="21"/>
          <w:szCs w:val="21"/>
          <w:highlight w:val="none"/>
          <w:lang w:val="en-US" w:eastAsia="zh-CN"/>
        </w:rPr>
        <w:t>（二）基本信息</w:t>
      </w:r>
    </w:p>
    <w:p>
      <w:pPr>
        <w:keepNext w:val="0"/>
        <w:keepLines w:val="0"/>
        <w:pageBreakBefore w:val="0"/>
        <w:numPr>
          <w:ilvl w:val="0"/>
          <w:numId w:val="0"/>
        </w:numPr>
        <w:pBdr>
          <w:top w:val="none" w:color="000000" w:sz="0" w:space="0"/>
          <w:left w:val="none" w:color="000000" w:sz="0" w:space="0"/>
          <w:bottom w:val="none" w:color="000000" w:sz="0" w:space="0"/>
          <w:right w:val="none" w:color="000000" w:sz="0" w:space="0"/>
        </w:pBdr>
        <w:spacing w:line="240" w:lineRule="auto"/>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本产品管理人为</w:t>
      </w:r>
      <w:r>
        <w:rPr>
          <w:rFonts w:hint="eastAsia" w:ascii="楷体" w:hAnsi="楷体" w:eastAsia="楷体" w:cs="楷体"/>
          <w:b/>
          <w:bCs/>
          <w:color w:val="auto"/>
          <w:sz w:val="21"/>
          <w:szCs w:val="21"/>
          <w:highlight w:val="none"/>
          <w:u w:val="single"/>
        </w:rPr>
        <w:t>苏银理财有限责任公司</w:t>
      </w:r>
      <w:r>
        <w:rPr>
          <w:rFonts w:hint="eastAsia" w:ascii="楷体" w:hAnsi="楷体" w:eastAsia="楷体" w:cs="楷体"/>
          <w:color w:val="auto"/>
          <w:sz w:val="21"/>
          <w:szCs w:val="21"/>
          <w:highlight w:val="none"/>
          <w:lang w:val="en-US" w:eastAsia="zh-CN"/>
        </w:rPr>
        <w:t>，地址为</w:t>
      </w:r>
      <w:r>
        <w:rPr>
          <w:rFonts w:hint="eastAsia" w:ascii="楷体" w:hAnsi="楷体" w:eastAsia="楷体" w:cs="楷体"/>
          <w:color w:val="auto"/>
          <w:sz w:val="21"/>
          <w:szCs w:val="21"/>
          <w:highlight w:val="none"/>
        </w:rPr>
        <w:t>南京市建邺区江山大街70号国际博览中心三期B幢11-13层</w:t>
      </w:r>
      <w:r>
        <w:rPr>
          <w:rFonts w:hint="eastAsia" w:ascii="楷体" w:hAnsi="楷体" w:eastAsia="楷体" w:cs="楷体"/>
          <w:color w:val="auto"/>
          <w:sz w:val="21"/>
          <w:szCs w:val="21"/>
          <w:highlight w:val="none"/>
          <w:lang w:val="en-US" w:eastAsia="zh-CN"/>
        </w:rPr>
        <w:t>，联系电话为</w:t>
      </w:r>
      <w:r>
        <w:rPr>
          <w:rFonts w:hint="eastAsia" w:ascii="楷体" w:hAnsi="楷体" w:eastAsia="楷体" w:cs="楷体"/>
          <w:color w:val="auto"/>
          <w:sz w:val="21"/>
          <w:szCs w:val="21"/>
          <w:highlight w:val="none"/>
        </w:rPr>
        <w:t>95319-8-2</w:t>
      </w:r>
      <w:r>
        <w:rPr>
          <w:rFonts w:hint="eastAsia" w:ascii="楷体" w:hAnsi="楷体" w:eastAsia="楷体" w:cs="楷体"/>
          <w:color w:val="auto"/>
          <w:sz w:val="21"/>
          <w:szCs w:val="21"/>
          <w:highlight w:val="none"/>
          <w:lang w:val="en-US" w:eastAsia="zh-CN"/>
        </w:rPr>
        <w:t>。</w:t>
      </w:r>
      <w:r>
        <w:rPr>
          <w:rFonts w:hint="eastAsia" w:ascii="楷体" w:hAnsi="楷体" w:eastAsia="楷体" w:cs="楷体"/>
          <w:color w:val="auto"/>
          <w:sz w:val="21"/>
          <w:szCs w:val="21"/>
          <w:highlight w:val="none"/>
        </w:rPr>
        <w:t>苏银理财系江苏银行股份有限公司全资控股的银行理财子公司。公司主要业务范围：面向不特定社会公众公开发行理财产品，对受托的投资和财产进行投资和管理；面向合格投资者非公开发行理财产品，对受托的投资和财产进行投资和管理；理财顾问和咨询服务；经</w:t>
      </w:r>
      <w:r>
        <w:rPr>
          <w:rFonts w:hint="eastAsia" w:ascii="楷体" w:hAnsi="楷体" w:eastAsia="楷体" w:cs="楷体"/>
          <w:color w:val="auto"/>
          <w:sz w:val="21"/>
          <w:szCs w:val="21"/>
          <w:highlight w:val="none"/>
          <w:lang w:val="en-US" w:eastAsia="zh-CN"/>
        </w:rPr>
        <w:t>监管机构</w:t>
      </w:r>
      <w:r>
        <w:rPr>
          <w:rFonts w:hint="eastAsia" w:ascii="楷体" w:hAnsi="楷体" w:eastAsia="楷体" w:cs="楷体"/>
          <w:color w:val="auto"/>
          <w:sz w:val="21"/>
          <w:szCs w:val="21"/>
          <w:highlight w:val="none"/>
        </w:rPr>
        <w:t>批准的其他业务等。</w:t>
      </w:r>
    </w:p>
    <w:p>
      <w:pPr>
        <w:keepNext w:val="0"/>
        <w:keepLines w:val="0"/>
        <w:pageBreakBefore w:val="0"/>
        <w:numPr>
          <w:ilvl w:val="0"/>
          <w:numId w:val="0"/>
        </w:numPr>
        <w:bidi w:val="0"/>
        <w:spacing w:line="240" w:lineRule="auto"/>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投资者在此授权并同意苏银理财享有以下权利：按照本理财产品合同的约定，管理、运用和处分理财计划资金；按照本理财产品合同的约定，及时、足额获得投资管理费；管理人有权依照法律规定和监管机构的要求将投资者的信息向有权部门或相关机构披露；以理财产品投资管理人的名义，依照法律法规相关规定以及为理财产品的利益，对被投资的各类基金、公司/企业等行使出资人/投资者权利（包括但不限于表决投票的权利）以及行使因理财产品投资于证券类基础资产（含债券）或其他基础资产（包括但不限于债权类资产）所产生的相关权利；以理财产品投资管理人的名义，依照法律法规相关规定以及代表理财产品份额持有人的利益行使代为追索的权利（包括但不限于提起诉讼/仲裁、申请保全/执行的权利）或者实施其他法律行为；法律法规、监管政策和本理财计划文件约定的其他权利。</w:t>
      </w:r>
    </w:p>
    <w:p>
      <w:pPr>
        <w:keepNext w:val="0"/>
        <w:keepLines w:val="0"/>
        <w:pageBreakBefore w:val="0"/>
        <w:numPr>
          <w:ilvl w:val="0"/>
          <w:numId w:val="2"/>
        </w:numPr>
        <w:tabs>
          <w:tab w:val="left" w:pos="1134"/>
        </w:tabs>
        <w:bidi w:val="0"/>
        <w:spacing w:line="240" w:lineRule="auto"/>
        <w:ind w:left="0" w:firstLine="422"/>
        <w:outlineLvl w:val="1"/>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rPr>
        <w:t>产品托管人</w:t>
      </w:r>
    </w:p>
    <w:p>
      <w:pPr>
        <w:keepNext w:val="0"/>
        <w:keepLines w:val="0"/>
        <w:pageBreakBefore w:val="0"/>
        <w:numPr>
          <w:ilvl w:val="0"/>
          <w:numId w:val="0"/>
        </w:numPr>
        <w:bidi w:val="0"/>
        <w:spacing w:line="240" w:lineRule="auto"/>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（一）主要职责</w:t>
      </w:r>
    </w:p>
    <w:p>
      <w:pPr>
        <w:keepNext w:val="0"/>
        <w:keepLines w:val="0"/>
        <w:pageBreakBefore w:val="0"/>
        <w:numPr>
          <w:ilvl w:val="0"/>
          <w:numId w:val="0"/>
        </w:numPr>
        <w:bidi w:val="0"/>
        <w:spacing w:line="240" w:lineRule="auto"/>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安全保管理财产品财产；为理财产品开立银行托管账户、证券账户等；确认与执行理财产品资金划拨指令，办理理财产品资金的收付，核对理财产品资金划拨记录；建立与理财产品管理人的对账机制，复核理财产品资产净值、理财产品份额申购、赎回价格，及时核查投资资金的支付和到账情况；监督理财产品投资运作；办理与理财产品托管业务活动相关的信息披露事项；保存理财产品托管业务活动的记录、账册、报表和其他相关材料；对理财产品投资信息和相关资料承担保密责任；国务院银行业监督管理机构规定的其他职责。</w:t>
      </w:r>
    </w:p>
    <w:p>
      <w:pPr>
        <w:keepNext w:val="0"/>
        <w:keepLines w:val="0"/>
        <w:pageBreakBefore w:val="0"/>
        <w:numPr>
          <w:ilvl w:val="0"/>
          <w:numId w:val="0"/>
        </w:numPr>
        <w:bidi w:val="0"/>
        <w:spacing w:line="240" w:lineRule="auto"/>
        <w:ind w:firstLine="420"/>
        <w:rPr>
          <w:rFonts w:hint="default"/>
          <w:sz w:val="21"/>
          <w:szCs w:val="21"/>
          <w:highlight w:val="none"/>
          <w:lang w:val="en-US" w:eastAsia="zh-CN"/>
        </w:rPr>
      </w:pPr>
      <w:r>
        <w:rPr>
          <w:rFonts w:hint="eastAsia" w:ascii="楷体" w:hAnsi="楷体" w:eastAsia="楷体" w:cs="楷体"/>
          <w:color w:val="auto"/>
          <w:sz w:val="21"/>
          <w:szCs w:val="21"/>
          <w:highlight w:val="none"/>
          <w:lang w:val="en-US" w:eastAsia="zh-CN"/>
        </w:rPr>
        <w:t>（二）基本信息</w:t>
      </w:r>
    </w:p>
    <w:p>
      <w:pPr>
        <w:keepNext w:val="0"/>
        <w:keepLines w:val="0"/>
        <w:pageBreakBefore w:val="0"/>
        <w:numPr>
          <w:ilvl w:val="0"/>
          <w:numId w:val="0"/>
        </w:numPr>
        <w:bidi w:val="0"/>
        <w:spacing w:line="240" w:lineRule="auto"/>
        <w:ind w:firstLine="420"/>
        <w:rPr>
          <w:rFonts w:hint="eastAsia" w:ascii="楷体" w:hAnsi="楷体" w:eastAsia="楷体" w:cs="楷体"/>
          <w:b w:val="0"/>
          <w:bCs w:val="0"/>
          <w:sz w:val="21"/>
          <w:szCs w:val="21"/>
          <w:highlight w:val="none"/>
          <w:u w:val="none"/>
          <w:lang w:val="en-US" w:eastAsia="zh-CN"/>
        </w:rPr>
      </w:pPr>
      <w:r>
        <w:rPr>
          <w:rFonts w:hint="eastAsia" w:ascii="楷体" w:hAnsi="楷体" w:eastAsia="楷体" w:cs="楷体"/>
          <w:color w:val="auto"/>
          <w:sz w:val="21"/>
          <w:szCs w:val="21"/>
          <w:highlight w:val="none"/>
        </w:rPr>
        <w:t>本产品托管人为中国工商银行股份有限公司，地址为北京市西城区复兴门内大街55号，联系电话为010-66105799。</w:t>
      </w:r>
    </w:p>
    <w:p>
      <w:pPr>
        <w:keepNext w:val="0"/>
        <w:keepLines w:val="0"/>
        <w:pageBreakBefore w:val="0"/>
        <w:numPr>
          <w:ilvl w:val="0"/>
          <w:numId w:val="0"/>
        </w:numPr>
        <w:bidi w:val="0"/>
        <w:spacing w:line="240" w:lineRule="auto"/>
        <w:ind w:firstLine="420"/>
        <w:rPr>
          <w:rFonts w:hint="default" w:ascii="楷体" w:hAnsi="楷体" w:eastAsia="楷体" w:cs="楷体"/>
          <w:b w:val="0"/>
          <w:bCs w:val="0"/>
          <w:color w:val="0000FF"/>
          <w:sz w:val="21"/>
          <w:szCs w:val="21"/>
          <w:highlight w:val="none"/>
          <w:u w:val="none"/>
          <w:lang w:val="en-US" w:eastAsia="zh-CN" w:bidi="ar-SA"/>
        </w:rPr>
      </w:pPr>
      <w:r>
        <w:rPr>
          <w:rFonts w:hint="eastAsia" w:ascii="楷体" w:hAnsi="楷体" w:eastAsia="楷体" w:cs="楷体"/>
          <w:color w:val="auto"/>
          <w:sz w:val="21"/>
          <w:szCs w:val="21"/>
          <w:highlight w:val="none"/>
          <w:lang w:val="en-US" w:eastAsia="zh-CN"/>
        </w:rPr>
        <w:t>（三）关联关系情况</w:t>
      </w:r>
    </w:p>
    <w:p>
      <w:pPr>
        <w:keepNext w:val="0"/>
        <w:keepLines w:val="0"/>
        <w:pageBreakBefore w:val="0"/>
        <w:numPr>
          <w:ilvl w:val="0"/>
          <w:numId w:val="0"/>
        </w:numPr>
        <w:bidi w:val="0"/>
        <w:spacing w:line="240" w:lineRule="auto"/>
        <w:ind w:firstLine="422"/>
        <w:rPr>
          <w:rFonts w:hint="default" w:ascii="楷体" w:hAnsi="楷体" w:eastAsia="楷体" w:cs="楷体"/>
          <w:color w:val="auto"/>
          <w:sz w:val="21"/>
          <w:szCs w:val="21"/>
          <w:highlight w:val="none"/>
          <w:lang w:val="en-US" w:eastAsia="zh-CN"/>
        </w:rPr>
      </w:pPr>
      <w:r>
        <w:rPr>
          <w:rFonts w:hint="eastAsia" w:ascii="楷体" w:hAnsi="楷体" w:eastAsia="楷体" w:cs="楷体"/>
          <w:b/>
          <w:bCs/>
          <w:color w:val="auto"/>
          <w:sz w:val="21"/>
          <w:szCs w:val="21"/>
          <w:highlight w:val="none"/>
          <w:u w:val="single"/>
          <w:lang w:val="en-US" w:eastAsia="zh-CN"/>
        </w:rPr>
        <w:t>无。</w:t>
      </w:r>
    </w:p>
    <w:p>
      <w:pPr>
        <w:keepNext w:val="0"/>
        <w:keepLines w:val="0"/>
        <w:pageBreakBefore w:val="0"/>
        <w:numPr>
          <w:ilvl w:val="0"/>
          <w:numId w:val="2"/>
        </w:numPr>
        <w:tabs>
          <w:tab w:val="left" w:pos="1134"/>
        </w:tabs>
        <w:bidi w:val="0"/>
        <w:spacing w:line="240" w:lineRule="auto"/>
        <w:ind w:left="0" w:firstLine="422"/>
        <w:outlineLvl w:val="1"/>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rPr>
        <w:t>销售机构</w:t>
      </w:r>
    </w:p>
    <w:p>
      <w:pPr>
        <w:keepNext w:val="0"/>
        <w:keepLines w:val="0"/>
        <w:pageBreakBefore w:val="0"/>
        <w:numPr>
          <w:ilvl w:val="0"/>
          <w:numId w:val="0"/>
        </w:numPr>
        <w:bidi w:val="0"/>
        <w:spacing w:line="240" w:lineRule="auto"/>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（一）主要职责</w:t>
      </w:r>
    </w:p>
    <w:p>
      <w:pPr>
        <w:keepNext w:val="0"/>
        <w:keepLines w:val="0"/>
        <w:pageBreakBefore w:val="0"/>
        <w:numPr>
          <w:ilvl w:val="0"/>
          <w:numId w:val="0"/>
        </w:numPr>
        <w:tabs>
          <w:tab w:val="left" w:pos="993"/>
        </w:tabs>
        <w:bidi w:val="0"/>
        <w:spacing w:line="240" w:lineRule="auto"/>
        <w:ind w:left="0" w:firstLine="420"/>
        <w:rPr>
          <w:rFonts w:hint="eastAsia" w:ascii="楷体" w:hAnsi="楷体" w:eastAsia="楷体" w:cs="楷体"/>
          <w:b w:val="0"/>
          <w:bCs w:val="0"/>
          <w:sz w:val="21"/>
          <w:szCs w:val="21"/>
          <w:highlight w:val="none"/>
          <w:u w:val="none"/>
        </w:rPr>
      </w:pPr>
      <w:r>
        <w:rPr>
          <w:rFonts w:hint="eastAsia" w:ascii="楷体" w:hAnsi="楷体" w:eastAsia="楷体" w:cs="楷体"/>
          <w:b w:val="0"/>
          <w:bCs w:val="0"/>
          <w:sz w:val="21"/>
          <w:szCs w:val="21"/>
          <w:highlight w:val="none"/>
          <w:u w:val="none"/>
        </w:rPr>
        <w:t>销售机构负责理财产品宣传推广、投资者风险承受能力评估和投资者适当性管理、理财产品投资者身份识别及反洗钱、反恐怖融资及非居民金融账户涉税信息调查、理财产品份额认购/申购/赎回、协助管理人与投资者订立理财产品销售文件、协助投资者与管理人沟通、接受投资者咨询和投资者维护等销售服务工作。销售机构不承担产品的投资和兑付责任，产品的投资和兑付责任由管理人承担。</w:t>
      </w:r>
    </w:p>
    <w:p>
      <w:pPr>
        <w:keepNext w:val="0"/>
        <w:keepLines w:val="0"/>
        <w:pageBreakBefore w:val="0"/>
        <w:numPr>
          <w:ilvl w:val="0"/>
          <w:numId w:val="0"/>
        </w:numPr>
        <w:bidi w:val="0"/>
        <w:spacing w:line="240" w:lineRule="auto"/>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（二）基本信息</w:t>
      </w:r>
    </w:p>
    <w:p>
      <w:pPr>
        <w:keepNext w:val="0"/>
        <w:keepLines w:val="0"/>
        <w:pageBreakBefore w:val="0"/>
        <w:numPr>
          <w:ilvl w:val="0"/>
          <w:numId w:val="0"/>
        </w:numPr>
        <w:tabs>
          <w:tab w:val="left" w:pos="993"/>
        </w:tabs>
        <w:bidi w:val="0"/>
        <w:spacing w:line="240" w:lineRule="auto"/>
        <w:ind w:left="0" w:firstLine="420"/>
        <w:rPr>
          <w:rFonts w:hint="eastAsia"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本产品销售机构基本信息如下：</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（1）北京农村商业银行股份有限公司：地址为北京市西城区月坛南街1号院2号楼，联系电话为010-96198/400-889-6198；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（2）东营银行股份有限公司：地址为山东省东营市东营区府前大街87-1号，联系电话为4006296588；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（3）福建海峡银行股份有限公司：地址为福建省福州市台江区江滨中大道358号海峡银行大厦，联系电话为400-893-9999；</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（4）广东华润银行股份有限公司：地址为广东省珠海市高新区北城东三路88号1栋，联系电话为96588；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（5）华夏银行股份有限公司：地址为北京市东城区建国门内大街22号，联系电话为95577；</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（6）江苏常熟农村商业银行股份有限公司：地址为江苏省常熟市新世纪大道58号，联系电话为956020；</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（7）江苏高淳农村商业银行股份有限公司：地址为江苏省南京市高淳区淳溪镇宝塔路123号，联系电话为96008；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（8）江苏灌南农村商业银行股份有限公司：地址为江苏省连云港市灌南县人民路29号，联系电话为96008；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（9）江苏灌云农村商业银行股份有限公司：地址为江苏省灌云县伊山镇水利路东侧(人民路与水利路交汇处)，联系电话为96008；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（10）江苏海安农村商业银行股份有限公司：地址为江苏省海安市长江中路88号(东楼)，联系电话为96008；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（11）江苏洪泽农村商业银行股份有限公司：地址为江苏省淮安市洪泽区人民路23号，联系电话为96008；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（12）江苏淮安农村商业银行股份有限公司：地址为江苏省淮安市清江浦区水渡口大道20号金融中心B1号楼，联系电话为96008；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（13）江苏金湖农村商业银行股份有限公司：地址为江苏省金湖县黎城街道神华大道299号，联系电话为96008；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（14）江苏句容农村商业银行股份有限公司：地址为江苏省句容市福地东路66号，联系电话为96008；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（15）江苏昆山农村商业银行股份有限公司：地址为江苏省昆山市前进东路828号，联系电话为0512-96079；</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（16）江苏民丰农村商业银行股份有限公司：地址为江苏省宿迁市宿城区高宝湖路1号，联系电话为96008；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（17）江苏太仓农村商业银行股份有限公司：地址为太仓市娄东街道上海东路198号，联系电话为40018-40060；</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（18）江苏扬中农村商业银行股份有限公司：地址为扬中市扬子西路79号，联系电话为96008；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（19）江苏仪征农村商业银行股份有限公司：地址为江苏省仪征市真州镇解放东路818号金融集聚区1座801-811，901-911，1001-1011，2座101，联系电话为96008；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（20）江苏银行股份有限公司：地址为江苏省南京市中华路26号，联系电话为95319；</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（21）江苏邳州农村商业银行股份有限公司：地址为江苏省邳州市建设中路16号，联系电话为96008；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（22）江苏沭阳农村商业银行股份有限公司：地址为江苏省沭阳县沭城镇苏州东路与台州南路交汇处，联系电话为96008；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（23）江苏泗洪农村商业银行股份有限公司：地址为江苏省宿迁市泗洪县长江东路17号，联系电话为96008；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（24）江苏溧水农村商业银行股份有限公司：地址为江苏省南京市溧水县永阳镇中山路22号，联系电话为96008；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（25）江苏盱眙农村商业银行股份有限公司：地址为江苏省盱眙县合欢大道2号，联系电话为96008；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（26）宁波通商银行股份有限公司：地址为浙江省宁波市鄞州区民安东路337号，联系电话为400-916-6666；</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（27）齐鲁银行股份有限公司：地址为山东省济南市历下区经十路10817号，联系电话为400-609-6588；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（28）石嘴山银行股份有限公司：地址为宁夏回族自治区石嘴山市大武口区朝阳西街39号，联系电话为0951-96789；</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（29）苏州银行股份有限公司：地址为江苏省苏州工业园区钟园路728号，联系电话为96067；</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（30）泰安银行股份有限公司：地址为山东省泰安市长城路3号圣地大厦，联系电话为4006586588；</w:t>
      </w:r>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（31）潍坊银行股份有限公司：地址为潍坊市奎文区胜利东街5139号，联系电话为400-61-96588；</w:t>
      </w:r>
    </w:p>
    <w:p>
      <w:pPr>
        <w:pStyle w:val="28"/>
        <w:ind w:left="0" w:firstLine="420"/>
        <w:rPr>
          <w:rFonts w:hint="eastAsia"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（32）新疆银行股份有限公司：地址为新疆乌鲁木齐市天山区新华南路338，联系电话为0991-96559；</w:t>
      </w:r>
    </w:p>
    <w:p>
      <w:pPr>
        <w:pStyle w:val="28"/>
        <w:ind w:left="0" w:firstLine="420"/>
        <w:rPr>
          <w:rFonts w:hint="eastAsia"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（33）机构全称：汉口银行股份有限公司，地址为湖北省武汉市江汉区建设大道933号武汉商业银行大厦，联系电话为400-609-6558；</w:t>
      </w:r>
    </w:p>
    <w:p>
      <w:pPr>
        <w:pStyle w:val="28"/>
        <w:ind w:left="0" w:firstLine="420"/>
        <w:rPr>
          <w:rFonts w:hint="eastAsia"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（34）机构全称：徽商银行股份有限公司，地址为安徽省合肥市云谷路1699号徽银大厦，联系电话为400-889-6588；</w:t>
      </w:r>
      <w:bookmarkStart w:id="1" w:name="_GoBack"/>
      <w:bookmarkEnd w:id="1"/>
    </w:p>
    <w:p>
      <w:pPr>
        <w:pStyle w:val="28"/>
        <w:ind w:left="0" w:firstLine="420"/>
        <w:rPr>
          <w:rFonts w:hint="default" w:ascii="楷体" w:hAnsi="楷体" w:eastAsia="楷体" w:cs="楷体"/>
          <w:b w:val="0"/>
          <w:bCs w:val="0"/>
          <w:sz w:val="21"/>
          <w:szCs w:val="21"/>
          <w:highlight w:val="none"/>
          <w:u w:val="none"/>
          <w:lang w:val="en-US" w:eastAsia="zh-CN"/>
        </w:rPr>
      </w:pPr>
      <w:r>
        <w:rPr>
          <w:rFonts w:hint="eastAsia" w:ascii="楷体" w:hAnsi="楷体" w:eastAsia="楷体" w:cs="楷体"/>
          <w:b w:val="0"/>
          <w:bCs w:val="0"/>
          <w:sz w:val="21"/>
          <w:szCs w:val="21"/>
          <w:highlight w:val="none"/>
          <w:u w:val="none"/>
          <w:lang w:val="en-US" w:eastAsia="zh-CN"/>
        </w:rPr>
        <w:t>（35）机构全称：徐州农村商业银行股份有限公司，地址为徐州市铜山区北京南路26号，联系电话为96008。</w:t>
      </w:r>
    </w:p>
    <w:p>
      <w:pPr>
        <w:keepNext w:val="0"/>
        <w:keepLines w:val="0"/>
        <w:pageBreakBefore w:val="0"/>
        <w:numPr>
          <w:ilvl w:val="0"/>
          <w:numId w:val="0"/>
        </w:numPr>
        <w:bidi w:val="0"/>
        <w:spacing w:line="240" w:lineRule="auto"/>
        <w:ind w:firstLine="420"/>
        <w:rPr>
          <w:rFonts w:hint="default" w:ascii="楷体" w:hAnsi="楷体" w:eastAsia="楷体" w:cs="楷体"/>
          <w:b w:val="0"/>
          <w:bCs w:val="0"/>
          <w:color w:val="0000FF"/>
          <w:sz w:val="21"/>
          <w:szCs w:val="21"/>
          <w:highlight w:val="none"/>
          <w:u w:val="none"/>
          <w:lang w:val="en-US" w:eastAsia="zh-CN" w:bidi="ar-SA"/>
        </w:rPr>
      </w:pPr>
      <w:r>
        <w:rPr>
          <w:rFonts w:hint="eastAsia" w:ascii="楷体" w:hAnsi="楷体" w:eastAsia="楷体" w:cs="楷体"/>
          <w:color w:val="auto"/>
          <w:sz w:val="21"/>
          <w:szCs w:val="21"/>
          <w:highlight w:val="none"/>
          <w:lang w:val="en-US" w:eastAsia="zh-CN"/>
        </w:rPr>
        <w:t>（三）关联关系情况</w:t>
      </w:r>
    </w:p>
    <w:p>
      <w:pPr>
        <w:pStyle w:val="28"/>
        <w:keepNext w:val="0"/>
        <w:keepLines w:val="0"/>
        <w:pageBreakBefore w:val="0"/>
        <w:widowControl w:val="0"/>
        <w:numPr>
          <w:ilvl w:val="0"/>
          <w:numId w:val="0"/>
        </w:numPr>
        <w:bidi w:val="0"/>
        <w:spacing w:line="240" w:lineRule="auto"/>
        <w:ind w:firstLine="422"/>
        <w:rPr>
          <w:rFonts w:hint="default" w:ascii="楷体" w:hAnsi="楷体" w:eastAsia="楷体" w:cs="楷体"/>
          <w:b w:val="0"/>
          <w:bCs w:val="0"/>
          <w:color w:val="0000FF"/>
          <w:sz w:val="21"/>
          <w:szCs w:val="21"/>
          <w:highlight w:val="none"/>
          <w:u w:val="none"/>
          <w:lang w:val="en-US" w:eastAsia="zh-CN" w:bidi="ar-SA"/>
        </w:rPr>
      </w:pPr>
      <w:r>
        <w:rPr>
          <w:rFonts w:hint="eastAsia" w:ascii="楷体" w:hAnsi="楷体" w:eastAsia="楷体" w:cs="楷体"/>
          <w:b/>
          <w:bCs/>
          <w:color w:val="auto"/>
          <w:sz w:val="21"/>
          <w:szCs w:val="21"/>
          <w:highlight w:val="none"/>
          <w:u w:val="single"/>
          <w:lang w:val="en-US" w:eastAsia="zh-CN"/>
        </w:rPr>
        <w:t>产品管理人在此特别披露：销售机构江苏仪征农村商业银行股份有限公司、江苏银行股份有限公司、苏州银行股份有限公司为产品管理人的关联方，产品管理人选择其担任销售机构已履行现行法律法规和监管规定所规定必须履行的程序。</w:t>
      </w:r>
    </w:p>
    <w:p>
      <w:pPr>
        <w:keepNext w:val="0"/>
        <w:keepLines w:val="0"/>
        <w:pageBreakBefore w:val="0"/>
        <w:numPr>
          <w:ilvl w:val="0"/>
          <w:numId w:val="2"/>
        </w:numPr>
        <w:tabs>
          <w:tab w:val="left" w:pos="1134"/>
        </w:tabs>
        <w:bidi w:val="0"/>
        <w:spacing w:line="240" w:lineRule="auto"/>
        <w:ind w:left="0" w:firstLine="422"/>
        <w:outlineLvl w:val="1"/>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lang w:val="en-US" w:eastAsia="zh-CN"/>
        </w:rPr>
        <w:t>名词释义</w:t>
      </w:r>
    </w:p>
    <w:p>
      <w:pPr>
        <w:keepNext w:val="0"/>
        <w:keepLines w:val="0"/>
        <w:pageBreakBefore w:val="0"/>
        <w:bidi w:val="0"/>
        <w:spacing w:line="240" w:lineRule="auto"/>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在本</w:t>
      </w:r>
      <w:r>
        <w:rPr>
          <w:rFonts w:hint="eastAsia" w:ascii="楷体" w:hAnsi="楷体" w:eastAsia="楷体" w:cs="楷体"/>
          <w:color w:val="auto"/>
          <w:sz w:val="21"/>
          <w:szCs w:val="21"/>
          <w:highlight w:val="none"/>
          <w:lang w:val="en-US" w:eastAsia="zh-CN"/>
        </w:rPr>
        <w:t>理财</w:t>
      </w:r>
      <w:r>
        <w:rPr>
          <w:rFonts w:hint="eastAsia" w:ascii="楷体" w:hAnsi="楷体" w:eastAsia="楷体" w:cs="楷体"/>
          <w:color w:val="auto"/>
          <w:sz w:val="21"/>
          <w:szCs w:val="21"/>
          <w:highlight w:val="none"/>
        </w:rPr>
        <w:t>产品说明书中，除非上下文另有明确约定，下列用词将具有如下含义：</w:t>
      </w:r>
    </w:p>
    <w:p>
      <w:pPr>
        <w:keepNext w:val="0"/>
        <w:keepLines w:val="0"/>
        <w:pageBreakBefore w:val="0"/>
        <w:numPr>
          <w:ilvl w:val="0"/>
          <w:numId w:val="0"/>
        </w:numPr>
        <w:bidi w:val="0"/>
        <w:spacing w:line="240" w:lineRule="auto"/>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（一）理财产品用语</w:t>
      </w:r>
    </w:p>
    <w:p>
      <w:pPr>
        <w:keepNext w:val="0"/>
        <w:keepLines w:val="0"/>
        <w:pageBreakBefore w:val="0"/>
        <w:widowControl w:val="0"/>
        <w:numPr>
          <w:ilvl w:val="0"/>
          <w:numId w:val="3"/>
        </w:numPr>
        <w:tabs>
          <w:tab w:val="left" w:pos="851"/>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销售代码：指本理财产品可能设置一类或多类产品份额，管理人在理财产品销售管理过程中对各类份额设置的内部代码。</w:t>
      </w:r>
    </w:p>
    <w:p>
      <w:pPr>
        <w:keepNext w:val="0"/>
        <w:keepLines w:val="0"/>
        <w:pageBreakBefore w:val="0"/>
        <w:widowControl w:val="0"/>
        <w:numPr>
          <w:ilvl w:val="0"/>
          <w:numId w:val="3"/>
        </w:numPr>
        <w:tabs>
          <w:tab w:val="left" w:pos="851"/>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理财产品份额：指投资者持有本理财产品的单位数额。</w:t>
      </w:r>
    </w:p>
    <w:p>
      <w:pPr>
        <w:keepNext w:val="0"/>
        <w:keepLines w:val="0"/>
        <w:pageBreakBefore w:val="0"/>
        <w:widowControl w:val="0"/>
        <w:numPr>
          <w:ilvl w:val="0"/>
          <w:numId w:val="3"/>
        </w:numPr>
        <w:tabs>
          <w:tab w:val="left" w:pos="851"/>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理财产品资产总值：指产品拥有的各类有价证券、银行存款、应收款项及其他资产的价值总和。</w:t>
      </w:r>
    </w:p>
    <w:p>
      <w:pPr>
        <w:keepNext w:val="0"/>
        <w:keepLines w:val="0"/>
        <w:pageBreakBefore w:val="0"/>
        <w:widowControl w:val="0"/>
        <w:numPr>
          <w:ilvl w:val="0"/>
          <w:numId w:val="3"/>
        </w:numPr>
        <w:tabs>
          <w:tab w:val="left" w:pos="851"/>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理财产品负债总值：指产品运作及融资时形成的负债价值总和，包括融资资金本息、应付各项费用（包括托管费、销售服务费、固定管理费、信息技术服务费、浮动管理费、其他费用等）、应付税金及其他应付款项等。</w:t>
      </w:r>
    </w:p>
    <w:p>
      <w:pPr>
        <w:keepNext w:val="0"/>
        <w:keepLines w:val="0"/>
        <w:pageBreakBefore w:val="0"/>
        <w:widowControl w:val="0"/>
        <w:numPr>
          <w:ilvl w:val="0"/>
          <w:numId w:val="3"/>
        </w:numPr>
        <w:tabs>
          <w:tab w:val="left" w:pos="851"/>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理财产品资产净值/净资产：指产品资产总值减去产品负债总值后的价值。</w:t>
      </w:r>
    </w:p>
    <w:p>
      <w:pPr>
        <w:keepNext w:val="0"/>
        <w:keepLines w:val="0"/>
        <w:pageBreakBefore w:val="0"/>
        <w:widowControl w:val="0"/>
        <w:numPr>
          <w:ilvl w:val="0"/>
          <w:numId w:val="3"/>
        </w:numPr>
        <w:tabs>
          <w:tab w:val="left" w:pos="851"/>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理财产品份额单位净值/理财产品单位净值/单位净值：指每1份理财产品份额以人民币计价的价格。理财产品单位净值=资产净值/产品总份额。</w:t>
      </w:r>
    </w:p>
    <w:p>
      <w:pPr>
        <w:keepNext w:val="0"/>
        <w:keepLines w:val="0"/>
        <w:pageBreakBefore w:val="0"/>
        <w:widowControl w:val="0"/>
        <w:numPr>
          <w:ilvl w:val="0"/>
          <w:numId w:val="3"/>
        </w:numPr>
        <w:tabs>
          <w:tab w:val="left" w:pos="851"/>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产品份额累计净值：指理财产品份额的单位净值与理财产品成立后历次累计单位收益分配的总和。</w:t>
      </w:r>
    </w:p>
    <w:p>
      <w:pPr>
        <w:keepNext w:val="0"/>
        <w:keepLines w:val="0"/>
        <w:pageBreakBefore w:val="0"/>
        <w:widowControl w:val="0"/>
        <w:numPr>
          <w:ilvl w:val="0"/>
          <w:numId w:val="3"/>
        </w:numPr>
        <w:tabs>
          <w:tab w:val="left" w:pos="851"/>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流动性受限资产：是指由于法律法规、监管、合同或操作障碍等原因无法以合理价格予以变现的资产，包括到期日在10个交易日以上的逆回购与银行定期存款（含协议约定有条件提前支取的银行存款）、距可赎回日在10个交易日以上的资产管理产品、停牌股票、流通受限的新股及非公开发行股票、资产支持证券（票据），因发行人债务违约无法进行转让或交易的债券和非金融企业债务融资工具，以及其他流动性受限资产。</w:t>
      </w:r>
    </w:p>
    <w:p>
      <w:pPr>
        <w:keepNext w:val="0"/>
        <w:keepLines w:val="0"/>
        <w:pageBreakBefore w:val="0"/>
        <w:widowControl w:val="0"/>
        <w:numPr>
          <w:ilvl w:val="0"/>
          <w:numId w:val="3"/>
        </w:numPr>
        <w:tabs>
          <w:tab w:val="left" w:pos="851"/>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个工作日可变现资产：包括可在交易所、银行间市场正常交易的股票、债券、非金融企业债务融资工具、期货及期权合约以及同业存单，7个工作日内到期或可支取的买入返售、银行存款，7个工作日内能够确认收到的各类应收款项等。</w:t>
      </w:r>
    </w:p>
    <w:p>
      <w:pPr>
        <w:keepNext w:val="0"/>
        <w:keepLines w:val="0"/>
        <w:pageBreakBefore w:val="0"/>
        <w:numPr>
          <w:ilvl w:val="0"/>
          <w:numId w:val="0"/>
        </w:numPr>
        <w:bidi w:val="0"/>
        <w:spacing w:line="240" w:lineRule="auto"/>
        <w:ind w:firstLine="42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（二）期间与日期</w:t>
      </w:r>
    </w:p>
    <w:p>
      <w:pPr>
        <w:keepNext w:val="0"/>
        <w:keepLines w:val="0"/>
        <w:pageBreakBefore w:val="0"/>
        <w:widowControl w:val="0"/>
        <w:numPr>
          <w:ilvl w:val="0"/>
          <w:numId w:val="4"/>
        </w:numPr>
        <w:tabs>
          <w:tab w:val="left" w:pos="728"/>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工作日：指国家法定工作日。</w:t>
      </w:r>
    </w:p>
    <w:p>
      <w:pPr>
        <w:keepNext w:val="0"/>
        <w:keepLines w:val="0"/>
        <w:pageBreakBefore w:val="0"/>
        <w:widowControl w:val="0"/>
        <w:numPr>
          <w:ilvl w:val="0"/>
          <w:numId w:val="4"/>
        </w:numPr>
        <w:tabs>
          <w:tab w:val="left" w:pos="728"/>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交易日：指上海证券交易所和深圳证券交易所的正常开盘交易日。</w:t>
      </w:r>
    </w:p>
    <w:p>
      <w:pPr>
        <w:keepNext w:val="0"/>
        <w:keepLines w:val="0"/>
        <w:pageBreakBefore w:val="0"/>
        <w:widowControl w:val="0"/>
        <w:numPr>
          <w:ilvl w:val="0"/>
          <w:numId w:val="4"/>
        </w:numPr>
        <w:tabs>
          <w:tab w:val="left" w:pos="728"/>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份额登记日/份额确认日：指管理人对投资者提交的</w:t>
      </w:r>
      <w:r>
        <w:rPr>
          <w:rFonts w:hint="eastAsia" w:ascii="楷体" w:hAnsi="楷体" w:eastAsia="楷体" w:cs="楷体"/>
          <w:color w:val="auto"/>
          <w:sz w:val="21"/>
          <w:szCs w:val="21"/>
          <w:highlight w:val="none"/>
          <w:lang w:val="en-US" w:eastAsia="zh-CN"/>
        </w:rPr>
        <w:t>购买</w:t>
      </w:r>
      <w:r>
        <w:rPr>
          <w:rFonts w:hint="eastAsia" w:ascii="楷体" w:hAnsi="楷体" w:eastAsia="楷体" w:cs="楷体"/>
          <w:color w:val="auto"/>
          <w:sz w:val="21"/>
          <w:szCs w:val="21"/>
          <w:highlight w:val="none"/>
        </w:rPr>
        <w:t>申请进行份额登记的日期。</w:t>
      </w:r>
    </w:p>
    <w:p>
      <w:pPr>
        <w:keepNext w:val="0"/>
        <w:keepLines w:val="0"/>
        <w:pageBreakBefore w:val="0"/>
        <w:widowControl w:val="0"/>
        <w:numPr>
          <w:ilvl w:val="0"/>
          <w:numId w:val="4"/>
        </w:numPr>
        <w:tabs>
          <w:tab w:val="left" w:pos="728"/>
          <w:tab w:val="clear" w:pos="420"/>
        </w:tabs>
        <w:bidi w:val="0"/>
        <w:ind w:left="0" w:firstLine="420"/>
        <w:rPr>
          <w:rFonts w:hint="eastAsia" w:ascii="楷体" w:hAnsi="楷体" w:eastAsia="楷体" w:cs="Calibri"/>
          <w:sz w:val="21"/>
          <w:szCs w:val="21"/>
          <w:highlight w:val="none"/>
        </w:rPr>
      </w:pPr>
      <w:r>
        <w:rPr>
          <w:rFonts w:hint="eastAsia" w:ascii="楷体" w:hAnsi="楷体" w:eastAsia="楷体" w:cs="楷体"/>
          <w:color w:val="auto"/>
          <w:sz w:val="21"/>
          <w:szCs w:val="21"/>
          <w:highlight w:val="none"/>
        </w:rPr>
        <w:t>产品存续期：指自理财产品成立日起，至理财产品终止日的期间。</w:t>
      </w:r>
    </w:p>
    <w:p>
      <w:pPr>
        <w:keepNext w:val="0"/>
        <w:keepLines w:val="0"/>
        <w:pageBreakBefore w:val="0"/>
        <w:widowControl w:val="0"/>
        <w:numPr>
          <w:ilvl w:val="0"/>
          <w:numId w:val="4"/>
        </w:numPr>
        <w:tabs>
          <w:tab w:val="left" w:pos="728"/>
          <w:tab w:val="clear" w:pos="420"/>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lang w:val="en-US" w:eastAsia="zh-CN"/>
        </w:rPr>
        <w:t>产品终止日/到期日：指理财产品终止的日期。</w:t>
      </w:r>
    </w:p>
    <w:p>
      <w:pPr>
        <w:keepNext w:val="0"/>
        <w:keepLines w:val="0"/>
        <w:pageBreakBefore w:val="0"/>
        <w:numPr>
          <w:ilvl w:val="0"/>
          <w:numId w:val="2"/>
        </w:numPr>
        <w:tabs>
          <w:tab w:val="left" w:pos="1134"/>
        </w:tabs>
        <w:bidi w:val="0"/>
        <w:spacing w:line="240" w:lineRule="auto"/>
        <w:ind w:left="0" w:firstLine="422"/>
        <w:outlineLvl w:val="1"/>
        <w:rPr>
          <w:rFonts w:hint="eastAsia" w:ascii="楷体" w:hAnsi="楷体" w:eastAsia="楷体" w:cs="楷体"/>
          <w:b/>
          <w:bCs w:val="0"/>
          <w:color w:val="auto"/>
          <w:sz w:val="21"/>
          <w:szCs w:val="21"/>
          <w:highlight w:val="none"/>
        </w:rPr>
      </w:pPr>
      <w:r>
        <w:rPr>
          <w:rFonts w:hint="eastAsia" w:ascii="楷体" w:hAnsi="楷体" w:eastAsia="楷体" w:cs="楷体"/>
          <w:b/>
          <w:bCs w:val="0"/>
          <w:color w:val="auto"/>
          <w:sz w:val="21"/>
          <w:szCs w:val="21"/>
          <w:highlight w:val="none"/>
          <w:lang w:val="en-US" w:eastAsia="zh-CN"/>
        </w:rPr>
        <w:t>投资管理</w:t>
      </w:r>
    </w:p>
    <w:p>
      <w:pPr>
        <w:keepNext w:val="0"/>
        <w:keepLines w:val="0"/>
        <w:pageBreakBefore w:val="0"/>
        <w:numPr>
          <w:ilvl w:val="0"/>
          <w:numId w:val="5"/>
        </w:numPr>
        <w:tabs>
          <w:tab w:val="left" w:pos="993"/>
        </w:tabs>
        <w:bidi w:val="0"/>
        <w:spacing w:line="240" w:lineRule="auto"/>
        <w:ind w:firstLine="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投资合作机构</w:t>
      </w:r>
    </w:p>
    <w:p>
      <w:pPr>
        <w:keepNext w:val="0"/>
        <w:keepLines w:val="0"/>
        <w:pageBreakBefore w:val="0"/>
        <w:numPr>
          <w:ilvl w:val="0"/>
          <w:numId w:val="0"/>
        </w:numPr>
        <w:bidi w:val="0"/>
        <w:spacing w:line="240" w:lineRule="auto"/>
        <w:ind w:firstLine="420"/>
        <w:rPr>
          <w:rFonts w:hint="eastAsia"/>
          <w:highlight w:val="none"/>
        </w:rPr>
      </w:pPr>
      <w:r>
        <w:rPr>
          <w:rFonts w:hint="eastAsia" w:ascii="楷体" w:hAnsi="楷体" w:eastAsia="楷体" w:cs="楷体"/>
          <w:color w:val="auto"/>
          <w:sz w:val="21"/>
          <w:szCs w:val="21"/>
          <w:highlight w:val="none"/>
        </w:rPr>
        <w:t>投资合作机构主要职责是对理财产品受托资金进行投资管理，</w:t>
      </w:r>
      <w:r>
        <w:rPr>
          <w:rFonts w:hint="eastAsia" w:ascii="楷体" w:hAnsi="楷体" w:eastAsia="楷体" w:cs="楷体"/>
          <w:color w:val="auto"/>
          <w:sz w:val="21"/>
          <w:szCs w:val="21"/>
          <w:highlight w:val="none"/>
          <w:lang w:val="en-US" w:eastAsia="zh-CN"/>
        </w:rPr>
        <w:t>管理人</w:t>
      </w:r>
      <w:r>
        <w:rPr>
          <w:rFonts w:hint="eastAsia" w:ascii="楷体" w:hAnsi="楷体" w:eastAsia="楷体" w:cs="楷体"/>
          <w:color w:val="auto"/>
          <w:sz w:val="21"/>
          <w:szCs w:val="21"/>
          <w:highlight w:val="none"/>
        </w:rPr>
        <w:t>已按投资决策流程对投资合作机构进行了准入，并持续开展投资合作机构的存续期管理。本产品投资合作机构包括：</w:t>
      </w:r>
    </w:p>
    <w:p>
      <w:pPr>
        <w:numPr>
          <w:ilvl w:val="0"/>
          <w:numId w:val="0"/>
        </w:numPr>
        <w:ind w:firstLine="420" w:firstLineChars="200"/>
        <w:rPr>
          <w:rFonts w:hint="eastAsia" w:ascii="楷体" w:hAnsi="楷体" w:eastAsia="楷体" w:cs="楷体"/>
          <w:sz w:val="21"/>
          <w:szCs w:val="21"/>
        </w:rPr>
      </w:pPr>
      <w:r>
        <w:rPr>
          <w:rFonts w:hint="eastAsia" w:ascii="楷体" w:hAnsi="楷体" w:eastAsia="楷体" w:cs="楷体"/>
          <w:sz w:val="21"/>
          <w:szCs w:val="21"/>
          <w:lang w:eastAsia="zh-CN"/>
        </w:rPr>
        <w:t>①</w:t>
      </w:r>
      <w:r>
        <w:rPr>
          <w:rFonts w:hint="eastAsia" w:ascii="楷体" w:hAnsi="楷体" w:eastAsia="楷体" w:cs="楷体"/>
          <w:sz w:val="21"/>
          <w:szCs w:val="21"/>
        </w:rPr>
        <w:t>江苏省国际信托有限责任公司</w:t>
      </w:r>
      <w:r>
        <w:rPr>
          <w:rFonts w:hint="eastAsia" w:ascii="楷体" w:hAnsi="楷体" w:eastAsia="楷体" w:cs="楷体"/>
          <w:sz w:val="21"/>
          <w:szCs w:val="21"/>
          <w:lang w:eastAsia="zh-CN"/>
        </w:rPr>
        <w:t>：</w:t>
      </w:r>
      <w:r>
        <w:rPr>
          <w:rFonts w:hint="eastAsia" w:ascii="楷体" w:hAnsi="楷体" w:eastAsia="楷体" w:cs="楷体"/>
          <w:sz w:val="21"/>
          <w:szCs w:val="21"/>
        </w:rPr>
        <w:t>江苏省国际信托有限责任公司是经江苏省人民政府和中国银行业监督管理委员会批准设立的非银行金融机构，是江苏省国信集团的主要成员企业之一，专业从事金融信托业务。</w:t>
      </w:r>
    </w:p>
    <w:p>
      <w:pPr>
        <w:numPr>
          <w:ilvl w:val="0"/>
          <w:numId w:val="0"/>
        </w:numPr>
        <w:ind w:firstLine="420" w:firstLineChars="200"/>
        <w:rPr>
          <w:rFonts w:hint="eastAsia" w:ascii="楷体" w:hAnsi="楷体" w:eastAsia="楷体" w:cs="楷体"/>
          <w:sz w:val="21"/>
          <w:szCs w:val="21"/>
        </w:rPr>
      </w:pPr>
      <w:r>
        <w:rPr>
          <w:rFonts w:hint="eastAsia" w:ascii="楷体" w:hAnsi="楷体" w:eastAsia="楷体" w:cs="楷体"/>
          <w:sz w:val="21"/>
          <w:szCs w:val="21"/>
        </w:rPr>
        <w:t>②创金合信基金管理有限公司</w:t>
      </w:r>
      <w:r>
        <w:rPr>
          <w:rFonts w:hint="eastAsia" w:ascii="楷体" w:hAnsi="楷体" w:eastAsia="楷体" w:cs="楷体"/>
          <w:sz w:val="21"/>
          <w:szCs w:val="21"/>
          <w:lang w:eastAsia="zh-CN"/>
        </w:rPr>
        <w:t>：</w:t>
      </w:r>
      <w:r>
        <w:rPr>
          <w:rFonts w:hint="eastAsia" w:ascii="楷体" w:hAnsi="楷体" w:eastAsia="楷体" w:cs="楷体"/>
          <w:sz w:val="21"/>
          <w:szCs w:val="21"/>
        </w:rPr>
        <w:t>创金合信基金管理有限公司成立于2014年7月9日，由第一创业证券股份有限公司、深圳市金合信投资合伙企业（有限合伙）共同发起设立，注册地为深圳。</w:t>
      </w:r>
    </w:p>
    <w:p>
      <w:pPr>
        <w:numPr>
          <w:ilvl w:val="0"/>
          <w:numId w:val="0"/>
        </w:numPr>
        <w:ind w:firstLine="420" w:firstLineChars="200"/>
        <w:rPr>
          <w:rFonts w:hint="eastAsia" w:ascii="楷体" w:hAnsi="楷体" w:eastAsia="楷体" w:cs="楷体"/>
          <w:sz w:val="21"/>
          <w:szCs w:val="21"/>
        </w:rPr>
      </w:pPr>
      <w:r>
        <w:rPr>
          <w:rFonts w:hint="eastAsia" w:ascii="楷体" w:hAnsi="楷体" w:eastAsia="楷体" w:cs="楷体"/>
          <w:sz w:val="21"/>
          <w:szCs w:val="21"/>
        </w:rPr>
        <w:t>③</w:t>
      </w:r>
      <w:r>
        <w:rPr>
          <w:rFonts w:hint="eastAsia" w:ascii="楷体" w:hAnsi="楷体" w:eastAsia="楷体"/>
          <w:b w:val="0"/>
          <w:bCs w:val="0"/>
          <w:sz w:val="20"/>
          <w:szCs w:val="20"/>
        </w:rPr>
        <w:t>国投泰康信托有限公司</w:t>
      </w:r>
      <w:r>
        <w:rPr>
          <w:rFonts w:hint="eastAsia" w:ascii="楷体" w:hAnsi="楷体" w:eastAsia="楷体"/>
          <w:b w:val="0"/>
          <w:bCs w:val="0"/>
          <w:sz w:val="20"/>
          <w:szCs w:val="20"/>
          <w:lang w:eastAsia="zh-CN"/>
        </w:rPr>
        <w:t>：</w:t>
      </w:r>
      <w:r>
        <w:rPr>
          <w:rFonts w:hint="eastAsia" w:ascii="楷体" w:hAnsi="楷体" w:eastAsia="楷体"/>
          <w:b w:val="0"/>
          <w:bCs w:val="0"/>
          <w:sz w:val="20"/>
          <w:szCs w:val="20"/>
        </w:rPr>
        <w:t>国投泰康信托有限公司是国家开发投资集团有限公司下属的混合所有制非银行金融机构，成立于1986年8月26日，总部位于北京，企业性质为中央国有企业，注册资本为26.71亿元人民币</w:t>
      </w:r>
      <w:r>
        <w:rPr>
          <w:rFonts w:hint="eastAsia" w:ascii="楷体" w:hAnsi="楷体" w:eastAsia="楷体" w:cs="楷体"/>
          <w:sz w:val="21"/>
          <w:szCs w:val="21"/>
        </w:rPr>
        <w:t>。</w:t>
      </w:r>
    </w:p>
    <w:p>
      <w:pPr>
        <w:numPr>
          <w:ilvl w:val="0"/>
          <w:numId w:val="0"/>
        </w:numPr>
        <w:ind w:firstLine="420" w:firstLineChars="200"/>
        <w:rPr>
          <w:rFonts w:hint="eastAsia" w:ascii="楷体" w:hAnsi="楷体" w:eastAsia="楷体" w:cs="楷体"/>
          <w:sz w:val="21"/>
          <w:szCs w:val="21"/>
        </w:rPr>
      </w:pPr>
      <w:r>
        <w:rPr>
          <w:rFonts w:hint="eastAsia" w:ascii="楷体" w:hAnsi="楷体" w:eastAsia="楷体" w:cs="楷体"/>
          <w:sz w:val="21"/>
          <w:szCs w:val="21"/>
        </w:rPr>
        <w:t>④</w:t>
      </w:r>
      <w:r>
        <w:rPr>
          <w:rFonts w:hint="eastAsia" w:ascii="楷体" w:hAnsi="楷体" w:eastAsia="楷体"/>
          <w:b w:val="0"/>
          <w:bCs w:val="0"/>
          <w:sz w:val="20"/>
          <w:szCs w:val="20"/>
        </w:rPr>
        <w:t>国联信托股份有限公司</w:t>
      </w:r>
      <w:r>
        <w:rPr>
          <w:rFonts w:hint="eastAsia" w:ascii="楷体" w:hAnsi="楷体" w:eastAsia="楷体" w:cs="楷体"/>
          <w:sz w:val="21"/>
          <w:szCs w:val="21"/>
          <w:lang w:eastAsia="zh-CN"/>
        </w:rPr>
        <w:t>：</w:t>
      </w:r>
      <w:r>
        <w:rPr>
          <w:rFonts w:hint="eastAsia" w:ascii="楷体" w:hAnsi="楷体" w:eastAsia="楷体"/>
          <w:b w:val="0"/>
          <w:bCs w:val="0"/>
          <w:sz w:val="20"/>
          <w:szCs w:val="20"/>
        </w:rPr>
        <w:t>国联信托股份有限公司是经中国银保监会批准设立的地方国有企业，成立于1987年1月13日，总部位于江苏省无锡市，注册资本为30亿元人民币</w:t>
      </w:r>
      <w:r>
        <w:rPr>
          <w:rFonts w:hint="eastAsia" w:ascii="楷体" w:hAnsi="楷体" w:eastAsia="楷体" w:cs="楷体"/>
          <w:sz w:val="21"/>
          <w:szCs w:val="21"/>
        </w:rPr>
        <w:t>。</w:t>
      </w:r>
    </w:p>
    <w:p>
      <w:pPr>
        <w:numPr>
          <w:ilvl w:val="0"/>
          <w:numId w:val="0"/>
        </w:numPr>
        <w:ind w:firstLine="420" w:firstLineChars="200"/>
        <w:rPr>
          <w:rFonts w:hint="eastAsia" w:ascii="楷体" w:hAnsi="楷体" w:eastAsia="楷体"/>
          <w:b w:val="0"/>
          <w:bCs w:val="0"/>
          <w:sz w:val="20"/>
          <w:szCs w:val="20"/>
        </w:rPr>
      </w:pPr>
      <w:r>
        <w:rPr>
          <w:rFonts w:hint="eastAsia" w:ascii="楷体" w:hAnsi="楷体" w:eastAsia="楷体" w:cs="楷体"/>
          <w:sz w:val="21"/>
          <w:szCs w:val="21"/>
        </w:rPr>
        <w:t>⑤</w:t>
      </w:r>
      <w:r>
        <w:rPr>
          <w:rFonts w:hint="eastAsia" w:ascii="楷体" w:hAnsi="楷体" w:eastAsia="楷体"/>
          <w:b w:val="0"/>
          <w:bCs w:val="0"/>
          <w:sz w:val="20"/>
          <w:szCs w:val="20"/>
        </w:rPr>
        <w:t>国联证券资产管理有限公司</w:t>
      </w:r>
      <w:r>
        <w:rPr>
          <w:rFonts w:hint="eastAsia" w:ascii="楷体" w:hAnsi="楷体" w:eastAsia="楷体"/>
          <w:b w:val="0"/>
          <w:bCs w:val="0"/>
          <w:sz w:val="20"/>
          <w:szCs w:val="20"/>
          <w:lang w:eastAsia="zh-CN"/>
        </w:rPr>
        <w:t>：</w:t>
      </w:r>
      <w:r>
        <w:rPr>
          <w:rFonts w:hint="eastAsia" w:ascii="楷体" w:hAnsi="楷体" w:eastAsia="楷体"/>
          <w:b w:val="0"/>
          <w:bCs w:val="0"/>
          <w:sz w:val="20"/>
          <w:szCs w:val="20"/>
        </w:rPr>
        <w:t>国联证券资产管理有限公司成立于2023年9月20日，注册资本为10亿元人民币，法定代表人为葛小波，注册地址位于山东省青岛市，经营范围包括证券业务及证券财务顾问服务。</w:t>
      </w:r>
    </w:p>
    <w:p>
      <w:pPr>
        <w:pBdr>
          <w:top w:val="none" w:color="000000" w:sz="0" w:space="0"/>
          <w:left w:val="none" w:color="000000" w:sz="0" w:space="0"/>
          <w:bottom w:val="none" w:color="000000" w:sz="0" w:space="0"/>
          <w:right w:val="none" w:color="000000" w:sz="0" w:space="0"/>
        </w:pBdr>
        <w:ind w:left="0" w:right="0" w:firstLine="420"/>
        <w:jc w:val="both"/>
        <w:rPr>
          <w:rFonts w:ascii="Times New Roman" w:hAnsi="Times New Roman" w:eastAsia="Times New Roman" w:cs="Times New Roman"/>
          <w:color w:val="000000"/>
          <w:szCs w:val="22"/>
        </w:rPr>
      </w:pPr>
      <w:r>
        <w:rPr>
          <w:rFonts w:hint="eastAsia" w:ascii="楷体" w:hAnsi="楷体" w:eastAsia="楷体" w:cs="楷体"/>
          <w:sz w:val="21"/>
          <w:szCs w:val="21"/>
        </w:rPr>
        <w:fldChar w:fldCharType="begin"/>
      </w:r>
      <w:r>
        <w:rPr>
          <w:rFonts w:hint="eastAsia" w:ascii="楷体" w:hAnsi="楷体" w:eastAsia="楷体" w:cs="楷体"/>
          <w:sz w:val="21"/>
          <w:szCs w:val="21"/>
        </w:rPr>
        <w:instrText xml:space="preserve"> = 6 \* GB3 \* MERGEFORMAT </w:instrText>
      </w:r>
      <w:r>
        <w:rPr>
          <w:rFonts w:hint="eastAsia" w:ascii="楷体" w:hAnsi="楷体" w:eastAsia="楷体" w:cs="楷体"/>
          <w:sz w:val="21"/>
          <w:szCs w:val="21"/>
        </w:rPr>
        <w:fldChar w:fldCharType="separate"/>
      </w:r>
      <w:r>
        <w:rPr>
          <w:rFonts w:hint="eastAsia" w:ascii="楷体" w:hAnsi="楷体" w:eastAsia="楷体" w:cs="楷体"/>
          <w:sz w:val="21"/>
          <w:szCs w:val="21"/>
        </w:rPr>
        <w:t>⑥</w:t>
      </w:r>
      <w:r>
        <w:rPr>
          <w:rFonts w:hint="eastAsia" w:ascii="楷体" w:hAnsi="楷体" w:eastAsia="楷体" w:cs="楷体"/>
          <w:sz w:val="21"/>
          <w:szCs w:val="21"/>
        </w:rPr>
        <w:fldChar w:fldCharType="end"/>
      </w:r>
      <w:r>
        <w:rPr>
          <w:rFonts w:hint="eastAsia" w:ascii="楷体" w:hAnsi="楷体" w:eastAsia="楷体" w:cs="楷体"/>
          <w:sz w:val="21"/>
          <w:szCs w:val="21"/>
        </w:rPr>
        <w:t>紫金信托有限责任公司</w:t>
      </w:r>
      <w:r>
        <w:rPr>
          <w:rFonts w:hint="eastAsia" w:ascii="楷体" w:hAnsi="楷体" w:eastAsia="楷体" w:cs="楷体"/>
          <w:sz w:val="21"/>
          <w:szCs w:val="21"/>
          <w:lang w:eastAsia="zh-CN"/>
        </w:rPr>
        <w:t>：</w:t>
      </w:r>
      <w:r>
        <w:rPr>
          <w:rFonts w:hint="eastAsia" w:ascii="楷体" w:hAnsi="楷体" w:eastAsia="楷体" w:cs="楷体"/>
          <w:sz w:val="21"/>
          <w:szCs w:val="21"/>
        </w:rPr>
        <w:t>紫金信托有限责任公司是一家经中国银保监会批准设立的信托公司，注册资本为32.71亿元人民币，总部位于南京</w:t>
      </w:r>
      <w:r>
        <w:rPr>
          <w:rFonts w:hint="default" w:ascii="Calibri" w:hAnsi="Calibri" w:eastAsia="楷体" w:cs="Calibri"/>
          <w:b w:val="0"/>
          <w:bCs w:val="0"/>
          <w:sz w:val="21"/>
          <w:szCs w:val="21"/>
        </w:rPr>
        <w:t>。</w:t>
      </w:r>
    </w:p>
    <w:p>
      <w:pPr>
        <w:keepNext w:val="0"/>
        <w:keepLines w:val="0"/>
        <w:pageBreakBefore w:val="0"/>
        <w:numPr>
          <w:ilvl w:val="0"/>
          <w:numId w:val="5"/>
        </w:numPr>
        <w:tabs>
          <w:tab w:val="left" w:pos="993"/>
        </w:tabs>
        <w:bidi w:val="0"/>
        <w:spacing w:line="240" w:lineRule="auto"/>
        <w:ind w:firstLine="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投资限制</w:t>
      </w:r>
    </w:p>
    <w:p>
      <w:pPr>
        <w:keepNext w:val="0"/>
        <w:keepLines w:val="0"/>
        <w:pageBreakBefore w:val="0"/>
        <w:widowControl w:val="0"/>
        <w:numPr>
          <w:ilvl w:val="0"/>
          <w:numId w:val="6"/>
        </w:numPr>
        <w:bidi w:val="0"/>
        <w:ind w:left="0"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本理财产品投资于单只证券或单只公募证券投资基金的市值不超过本产品净资产的10%。</w:t>
      </w:r>
    </w:p>
    <w:p>
      <w:pPr>
        <w:keepNext w:val="0"/>
        <w:keepLines w:val="0"/>
        <w:pageBreakBefore w:val="0"/>
        <w:widowControl w:val="0"/>
        <w:numPr>
          <w:ilvl w:val="0"/>
          <w:numId w:val="6"/>
        </w:numPr>
        <w:bidi w:val="0"/>
        <w:ind w:left="0"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管理人发行的全部公募理财产品投资单只证券或者单只公募证券投资基金的市值不得超过该证券市值或者公募证券投资基金市值的30%。其中，管理人全部开放式公募理财产品投资单一上市公司发行的股票不得超过该上市公司可流通股票的15%。</w:t>
      </w:r>
    </w:p>
    <w:p>
      <w:pPr>
        <w:keepNext w:val="0"/>
        <w:keepLines w:val="0"/>
        <w:pageBreakBefore w:val="0"/>
        <w:widowControl w:val="0"/>
        <w:numPr>
          <w:ilvl w:val="0"/>
          <w:numId w:val="6"/>
        </w:numPr>
        <w:bidi w:val="0"/>
        <w:ind w:left="0"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管理人全部产品持有单一上市公司发行的股票，不得超过该上市公司可流通股票的30%。</w:t>
      </w:r>
    </w:p>
    <w:p>
      <w:pPr>
        <w:keepNext w:val="0"/>
        <w:keepLines w:val="0"/>
        <w:pageBreakBefore w:val="0"/>
        <w:widowControl w:val="0"/>
        <w:bidi w:val="0"/>
        <w:ind w:firstLine="420"/>
        <w:rPr>
          <w:rFonts w:hint="eastAsia"/>
          <w:highlight w:val="none"/>
        </w:rPr>
      </w:pPr>
      <w:r>
        <w:rPr>
          <w:rFonts w:hint="eastAsia" w:ascii="楷体" w:hAnsi="楷体" w:eastAsia="楷体"/>
          <w:color w:val="auto"/>
          <w:sz w:val="21"/>
          <w:szCs w:val="21"/>
          <w:highlight w:val="none"/>
        </w:rPr>
        <w:t>针对上述第1、2</w:t>
      </w:r>
      <w:r>
        <w:rPr>
          <w:rFonts w:hint="eastAsia" w:ascii="楷体" w:hAnsi="楷体" w:eastAsia="楷体"/>
          <w:color w:val="auto"/>
          <w:sz w:val="21"/>
          <w:szCs w:val="21"/>
          <w:highlight w:val="none"/>
          <w:lang w:eastAsia="zh-CN"/>
        </w:rPr>
        <w:t>、</w:t>
      </w:r>
      <w:r>
        <w:rPr>
          <w:rFonts w:hint="eastAsia" w:ascii="楷体" w:hAnsi="楷体" w:eastAsia="楷体"/>
          <w:color w:val="auto"/>
          <w:sz w:val="21"/>
          <w:szCs w:val="21"/>
          <w:highlight w:val="none"/>
        </w:rPr>
        <w:t>3项，非因管理人主观因素致使不符合前述比例限制的，管理人将在流动性受限资产可出售、可转让或者恢复交易的10个交易日内调整至符合相关要求。</w:t>
      </w:r>
    </w:p>
    <w:p>
      <w:pPr>
        <w:keepNext w:val="0"/>
        <w:keepLines w:val="0"/>
        <w:pageBreakBefore w:val="0"/>
        <w:widowControl w:val="0"/>
        <w:numPr>
          <w:ilvl w:val="0"/>
          <w:numId w:val="6"/>
        </w:numPr>
        <w:bidi w:val="0"/>
        <w:ind w:left="0"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本理财产品</w:t>
      </w:r>
      <w:r>
        <w:rPr>
          <w:rFonts w:hint="eastAsia" w:ascii="楷体" w:hAnsi="楷体" w:eastAsia="楷体"/>
          <w:color w:val="auto"/>
          <w:sz w:val="21"/>
          <w:szCs w:val="21"/>
          <w:highlight w:val="none"/>
          <w:lang w:val="en-US" w:eastAsia="zh-CN"/>
        </w:rPr>
        <w:t>杠杆率</w:t>
      </w:r>
      <w:r>
        <w:rPr>
          <w:rFonts w:hint="eastAsia" w:ascii="楷体" w:hAnsi="楷体" w:eastAsia="楷体"/>
          <w:color w:val="auto"/>
          <w:sz w:val="21"/>
          <w:szCs w:val="21"/>
          <w:highlight w:val="none"/>
        </w:rPr>
        <w:t>不超过</w:t>
      </w:r>
      <w:r>
        <w:rPr>
          <w:rFonts w:hint="eastAsia" w:ascii="楷体" w:hAnsi="楷体" w:eastAsia="楷体"/>
          <w:color w:val="auto"/>
          <w:sz w:val="21"/>
          <w:szCs w:val="21"/>
          <w:highlight w:val="none"/>
          <w:lang w:val="en-US" w:eastAsia="zh-CN"/>
        </w:rPr>
        <w:t>200%</w:t>
      </w:r>
      <w:r>
        <w:rPr>
          <w:rFonts w:hint="eastAsia" w:ascii="楷体" w:hAnsi="楷体" w:eastAsia="楷体"/>
          <w:color w:val="auto"/>
          <w:sz w:val="21"/>
          <w:szCs w:val="21"/>
          <w:highlight w:val="none"/>
        </w:rPr>
        <w:t>。</w:t>
      </w:r>
    </w:p>
    <w:p>
      <w:pPr>
        <w:keepNext w:val="0"/>
        <w:keepLines w:val="0"/>
        <w:pageBreakBefore w:val="0"/>
        <w:numPr>
          <w:ilvl w:val="0"/>
          <w:numId w:val="5"/>
        </w:numPr>
        <w:tabs>
          <w:tab w:val="left" w:pos="993"/>
        </w:tabs>
        <w:bidi w:val="0"/>
        <w:spacing w:line="240" w:lineRule="auto"/>
        <w:ind w:firstLine="0"/>
        <w:rPr>
          <w:rFonts w:hint="eastAsia"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lang w:val="en-US" w:eastAsia="zh-CN"/>
        </w:rPr>
        <w:t>投资管理调整</w:t>
      </w:r>
    </w:p>
    <w:p>
      <w:pPr>
        <w:pStyle w:val="15"/>
        <w:keepNext w:val="0"/>
        <w:keepLines w:val="0"/>
        <w:pageBreakBefore w:val="0"/>
        <w:widowControl w:val="0"/>
        <w:bidi w:val="0"/>
        <w:spacing w:before="0"/>
        <w:ind w:left="0" w:firstLine="420"/>
        <w:jc w:val="both"/>
        <w:rPr>
          <w:rFonts w:hint="eastAsia" w:ascii="楷体" w:hAnsi="楷体" w:eastAsia="楷体" w:cs="楷体"/>
          <w:color w:val="auto"/>
          <w:sz w:val="21"/>
          <w:szCs w:val="21"/>
          <w:highlight w:val="none"/>
          <w:lang w:val="en-US" w:eastAsia="zh-CN" w:bidi="ar-SA"/>
        </w:rPr>
      </w:pPr>
      <w:r>
        <w:rPr>
          <w:rFonts w:hint="eastAsia" w:ascii="楷体" w:hAnsi="楷体" w:eastAsia="楷体" w:cs="楷体"/>
          <w:color w:val="auto"/>
          <w:sz w:val="21"/>
          <w:szCs w:val="21"/>
          <w:highlight w:val="none"/>
          <w:lang w:val="en-US" w:eastAsia="zh-CN" w:bidi="ar-SA"/>
        </w:rPr>
        <w:t>若法律法规、国家监管政策或市场情况发生重大变化，管理人在不改变产品类型的情况下，可对本说明书中已约定的投资范围、投资品种、投资比例等事项进行调整，产品管理人将于知晓或应当知晓相关事项后五个工作日内，且不晚于调整事项生效前2个工作日通过短信、苏银理财有限责任公司官方网站（www.suyinwealth.com）、销售机构电子渠道和营业网点等方式进行信息披露。此种情况下产品管理人将开放赎回，具体以届时产品管理人公告为准。若本理财产品的投资者不接受上述调整，可及时通过销售机构赎回本产品（高风险类型的理财产品超出比例范围投资较低风险资产的情况除外）；若本理财产品投资者未在约定的时间内赎回本产品，则视为本理财产品投资者接受相关调整且同意继续持有本理财产品。</w:t>
      </w:r>
    </w:p>
    <w:p>
      <w:pPr>
        <w:pStyle w:val="15"/>
        <w:keepNext w:val="0"/>
        <w:keepLines w:val="0"/>
        <w:pageBreakBefore w:val="0"/>
        <w:widowControl w:val="0"/>
        <w:bidi w:val="0"/>
        <w:spacing w:before="0"/>
        <w:ind w:left="0" w:firstLine="420"/>
        <w:jc w:val="both"/>
        <w:rPr>
          <w:rFonts w:hint="default"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rPr>
        <w:t>如监管有最新规定的，可参照监管规定</w:t>
      </w:r>
      <w:r>
        <w:rPr>
          <w:rFonts w:hint="eastAsia" w:ascii="楷体" w:hAnsi="楷体" w:eastAsia="楷体" w:cs="楷体"/>
          <w:color w:val="auto"/>
          <w:sz w:val="21"/>
          <w:szCs w:val="21"/>
          <w:highlight w:val="none"/>
          <w:lang w:val="en-US" w:eastAsia="zh-CN"/>
        </w:rPr>
        <w:t>执行</w:t>
      </w:r>
      <w:r>
        <w:rPr>
          <w:rFonts w:hint="eastAsia" w:ascii="楷体" w:hAnsi="楷体" w:eastAsia="楷体" w:cs="楷体"/>
          <w:color w:val="auto"/>
          <w:sz w:val="21"/>
          <w:szCs w:val="21"/>
          <w:highlight w:val="none"/>
        </w:rPr>
        <w:t>。</w:t>
      </w:r>
    </w:p>
    <w:p>
      <w:pPr>
        <w:keepNext w:val="0"/>
        <w:keepLines w:val="0"/>
        <w:pageBreakBefore w:val="0"/>
        <w:numPr>
          <w:ilvl w:val="0"/>
          <w:numId w:val="2"/>
        </w:numPr>
        <w:tabs>
          <w:tab w:val="left" w:pos="1134"/>
        </w:tabs>
        <w:bidi w:val="0"/>
        <w:spacing w:line="240" w:lineRule="auto"/>
        <w:ind w:left="0" w:firstLine="422"/>
        <w:outlineLvl w:val="1"/>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rPr>
        <w:t>产品终止</w:t>
      </w:r>
    </w:p>
    <w:p>
      <w:pPr>
        <w:keepNext w:val="0"/>
        <w:keepLines w:val="0"/>
        <w:pageBreakBefore w:val="0"/>
        <w:numPr>
          <w:ilvl w:val="0"/>
          <w:numId w:val="7"/>
        </w:numPr>
        <w:tabs>
          <w:tab w:val="left" w:pos="993"/>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提前终止</w:t>
      </w:r>
    </w:p>
    <w:p>
      <w:pPr>
        <w:numPr>
          <w:ilvl w:val="0"/>
          <w:numId w:val="0"/>
        </w:numPr>
        <w:ind w:left="0" w:firstLine="420"/>
        <w:rPr>
          <w:rFonts w:hint="eastAsia" w:ascii="楷体" w:hAnsi="楷体" w:eastAsia="楷体" w:cs="楷体"/>
          <w:b w:val="0"/>
          <w:bCs w:val="0"/>
          <w:color w:val="auto"/>
          <w:sz w:val="21"/>
          <w:szCs w:val="21"/>
          <w:highlight w:val="none"/>
        </w:rPr>
      </w:pPr>
      <w:r>
        <w:rPr>
          <w:rFonts w:hint="eastAsia" w:ascii="楷体" w:hAnsi="楷体" w:eastAsia="楷体" w:cs="楷体"/>
          <w:b w:val="0"/>
          <w:bCs w:val="0"/>
          <w:color w:val="auto"/>
          <w:sz w:val="21"/>
          <w:szCs w:val="21"/>
          <w:highlight w:val="none"/>
        </w:rPr>
        <w:t>在理财产品投资运作期间内，投资者无权要求提前终止该理财产品。在理财产品投资运作期间内，</w:t>
      </w:r>
      <w:r>
        <w:rPr>
          <w:rFonts w:hint="eastAsia" w:ascii="楷体" w:hAnsi="楷体" w:eastAsia="楷体" w:cs="楷体"/>
          <w:b w:val="0"/>
          <w:bCs w:val="0"/>
          <w:color w:val="auto"/>
          <w:sz w:val="21"/>
          <w:szCs w:val="21"/>
          <w:highlight w:val="none"/>
          <w:lang w:val="en-US" w:eastAsia="zh-CN"/>
        </w:rPr>
        <w:t>包括但不限于</w:t>
      </w:r>
      <w:r>
        <w:rPr>
          <w:rFonts w:hint="eastAsia" w:ascii="楷体" w:hAnsi="楷体" w:eastAsia="楷体" w:cs="楷体"/>
          <w:b w:val="0"/>
          <w:bCs w:val="0"/>
          <w:color w:val="auto"/>
          <w:sz w:val="21"/>
          <w:szCs w:val="21"/>
          <w:highlight w:val="none"/>
        </w:rPr>
        <w:t>出现下列情形时，产品管理人有权提前终止本产品：因不可抗力原因导致理财产品无法继续运作；因法律法规变化或国家金融政策调整。如理财产品管理人提前终止本理财产品，将至少提前2个工作日（含）按说明书约定的信息披露方式予以披露</w:t>
      </w:r>
      <w:r>
        <w:rPr>
          <w:rFonts w:hint="eastAsia" w:ascii="楷体" w:hAnsi="楷体" w:eastAsia="楷体" w:cs="楷体"/>
          <w:b w:val="0"/>
          <w:bCs w:val="0"/>
          <w:color w:val="auto"/>
          <w:sz w:val="21"/>
          <w:szCs w:val="21"/>
          <w:highlight w:val="none"/>
          <w:lang w:eastAsia="zh-CN"/>
        </w:rPr>
        <w:t>，</w:t>
      </w:r>
      <w:r>
        <w:rPr>
          <w:rFonts w:hint="eastAsia" w:ascii="楷体" w:hAnsi="楷体" w:eastAsia="楷体" w:cs="楷体"/>
          <w:b w:val="0"/>
          <w:bCs w:val="0"/>
          <w:color w:val="auto"/>
          <w:sz w:val="21"/>
          <w:szCs w:val="21"/>
          <w:highlight w:val="none"/>
          <w:lang w:val="en-US" w:eastAsia="zh-CN"/>
        </w:rPr>
        <w:t>明确产品终止日</w:t>
      </w:r>
      <w:r>
        <w:rPr>
          <w:rFonts w:hint="eastAsia" w:ascii="楷体" w:hAnsi="楷体" w:eastAsia="楷体" w:cs="楷体"/>
          <w:b w:val="0"/>
          <w:bCs w:val="0"/>
          <w:color w:val="auto"/>
          <w:sz w:val="21"/>
          <w:szCs w:val="21"/>
          <w:highlight w:val="none"/>
        </w:rPr>
        <w:t>。</w:t>
      </w:r>
    </w:p>
    <w:p>
      <w:pPr>
        <w:keepNext w:val="0"/>
        <w:keepLines w:val="0"/>
        <w:pageBreakBefore w:val="0"/>
        <w:numPr>
          <w:ilvl w:val="0"/>
          <w:numId w:val="7"/>
        </w:numPr>
        <w:tabs>
          <w:tab w:val="left" w:pos="993"/>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lang w:val="en-US" w:eastAsia="zh-CN"/>
        </w:rPr>
        <w:t>正常终止</w:t>
      </w:r>
    </w:p>
    <w:p>
      <w:pPr>
        <w:keepNext w:val="0"/>
        <w:keepLines w:val="0"/>
        <w:pageBreakBefore w:val="0"/>
        <w:bidi w:val="0"/>
        <w:spacing w:line="240" w:lineRule="auto"/>
        <w:ind w:firstLine="420"/>
        <w:rPr>
          <w:rFonts w:hint="eastAsia" w:ascii="楷体" w:hAnsi="楷体" w:eastAsia="楷体" w:cs="楷体"/>
          <w:b w:val="0"/>
          <w:bCs w:val="0"/>
          <w:color w:val="auto"/>
          <w:sz w:val="21"/>
          <w:szCs w:val="21"/>
          <w:highlight w:val="none"/>
        </w:rPr>
      </w:pPr>
      <w:r>
        <w:rPr>
          <w:rFonts w:hint="eastAsia" w:ascii="楷体" w:hAnsi="楷体" w:eastAsia="楷体" w:cs="楷体"/>
          <w:b w:val="0"/>
          <w:bCs w:val="0"/>
          <w:color w:val="auto"/>
          <w:sz w:val="21"/>
          <w:szCs w:val="21"/>
          <w:highlight w:val="none"/>
        </w:rPr>
        <w:t>投资者持有本理财产品至产品</w:t>
      </w:r>
      <w:r>
        <w:rPr>
          <w:rFonts w:hint="eastAsia" w:ascii="楷体" w:hAnsi="楷体" w:eastAsia="楷体" w:cs="楷体"/>
          <w:b w:val="0"/>
          <w:bCs w:val="0"/>
          <w:color w:val="auto"/>
          <w:sz w:val="21"/>
          <w:szCs w:val="21"/>
          <w:highlight w:val="none"/>
          <w:lang w:val="en-US" w:eastAsia="zh-CN"/>
        </w:rPr>
        <w:t>到期日</w:t>
      </w:r>
      <w:r>
        <w:rPr>
          <w:rFonts w:hint="eastAsia" w:ascii="楷体" w:hAnsi="楷体" w:eastAsia="楷体" w:cs="楷体"/>
          <w:b w:val="0"/>
          <w:bCs w:val="0"/>
          <w:color w:val="auto"/>
          <w:sz w:val="21"/>
          <w:szCs w:val="21"/>
          <w:highlight w:val="none"/>
        </w:rPr>
        <w:t>，投资者的投资本金和收益（如有）将在产品到期后一次性支付。</w:t>
      </w:r>
    </w:p>
    <w:p>
      <w:pPr>
        <w:keepNext w:val="0"/>
        <w:keepLines w:val="0"/>
        <w:pageBreakBefore w:val="0"/>
        <w:numPr>
          <w:ilvl w:val="0"/>
          <w:numId w:val="7"/>
        </w:numPr>
        <w:tabs>
          <w:tab w:val="left" w:pos="993"/>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延期</w:t>
      </w:r>
      <w:r>
        <w:rPr>
          <w:rFonts w:hint="eastAsia" w:ascii="楷体" w:hAnsi="楷体" w:eastAsia="楷体" w:cs="楷体"/>
          <w:color w:val="auto"/>
          <w:sz w:val="21"/>
          <w:szCs w:val="21"/>
          <w:highlight w:val="none"/>
          <w:lang w:val="en-US" w:eastAsia="zh-CN"/>
        </w:rPr>
        <w:t>终止</w:t>
      </w:r>
    </w:p>
    <w:p>
      <w:pPr>
        <w:ind w:firstLine="420"/>
        <w:rPr>
          <w:rFonts w:hint="eastAsia" w:ascii="楷体" w:hAnsi="楷体" w:eastAsia="楷体" w:cs="Calibri"/>
          <w:color w:val="auto"/>
          <w:sz w:val="21"/>
          <w:szCs w:val="21"/>
          <w:highlight w:val="none"/>
        </w:rPr>
      </w:pPr>
      <w:r>
        <w:rPr>
          <w:rFonts w:hint="eastAsia" w:ascii="楷体" w:hAnsi="楷体" w:eastAsia="楷体" w:cs="Calibri"/>
          <w:color w:val="auto"/>
          <w:sz w:val="21"/>
          <w:szCs w:val="21"/>
          <w:highlight w:val="none"/>
        </w:rPr>
        <w:t>因不可抗力、法律法规规定或监管部门认定的其他情形</w:t>
      </w:r>
      <w:r>
        <w:rPr>
          <w:rFonts w:hint="eastAsia" w:ascii="楷体" w:hAnsi="楷体" w:eastAsia="楷体" w:cs="Calibri"/>
          <w:color w:val="auto"/>
          <w:sz w:val="21"/>
          <w:szCs w:val="21"/>
          <w:highlight w:val="none"/>
          <w:lang w:eastAsia="zh-CN"/>
        </w:rPr>
        <w:t>，</w:t>
      </w:r>
      <w:r>
        <w:rPr>
          <w:rFonts w:hint="eastAsia" w:ascii="楷体" w:hAnsi="楷体" w:eastAsia="楷体" w:cs="Calibri"/>
          <w:color w:val="auto"/>
          <w:sz w:val="21"/>
          <w:szCs w:val="21"/>
          <w:highlight w:val="none"/>
        </w:rPr>
        <w:t>产品管理人有权延长本理财产品的终止日。产品管理人决定延期兑付的，将至少提前2个工作日（含）按说明书约定的信息披露方式予以披露。</w:t>
      </w:r>
    </w:p>
    <w:p>
      <w:pPr>
        <w:keepNext w:val="0"/>
        <w:keepLines w:val="0"/>
        <w:pageBreakBefore w:val="0"/>
        <w:numPr>
          <w:ilvl w:val="0"/>
          <w:numId w:val="7"/>
        </w:numPr>
        <w:tabs>
          <w:tab w:val="left" w:pos="993"/>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投资者可得资金计算</w:t>
      </w:r>
    </w:p>
    <w:p>
      <w:pPr>
        <w:keepNext w:val="0"/>
        <w:keepLines w:val="0"/>
        <w:pageBreakBefore w:val="0"/>
        <w:bidi w:val="0"/>
        <w:spacing w:line="240" w:lineRule="auto"/>
        <w:ind w:firstLine="420"/>
        <w:rPr>
          <w:rFonts w:hint="eastAsia" w:ascii="楷体" w:hAnsi="楷体" w:eastAsia="楷体" w:cs="楷体"/>
          <w:b w:val="0"/>
          <w:bCs w:val="0"/>
          <w:color w:val="auto"/>
          <w:sz w:val="21"/>
          <w:szCs w:val="21"/>
          <w:highlight w:val="none"/>
        </w:rPr>
      </w:pPr>
      <w:r>
        <w:rPr>
          <w:rFonts w:hint="eastAsia" w:ascii="楷体" w:hAnsi="楷体" w:eastAsia="楷体" w:cs="楷体"/>
          <w:b w:val="0"/>
          <w:bCs w:val="0"/>
          <w:color w:val="auto"/>
          <w:sz w:val="21"/>
          <w:szCs w:val="21"/>
          <w:highlight w:val="none"/>
        </w:rPr>
        <w:t>投资者可得资金=投资者持有份额×产品到期</w:t>
      </w:r>
      <w:r>
        <w:rPr>
          <w:rFonts w:hint="eastAsia" w:ascii="楷体" w:hAnsi="楷体" w:eastAsia="楷体" w:cs="楷体"/>
          <w:b w:val="0"/>
          <w:bCs w:val="0"/>
          <w:color w:val="auto"/>
          <w:sz w:val="21"/>
          <w:szCs w:val="21"/>
          <w:highlight w:val="none"/>
          <w:lang w:eastAsia="zh-CN"/>
        </w:rPr>
        <w:t>（</w:t>
      </w:r>
      <w:r>
        <w:rPr>
          <w:rFonts w:hint="eastAsia" w:ascii="楷体" w:hAnsi="楷体" w:eastAsia="楷体" w:cs="楷体"/>
          <w:b w:val="0"/>
          <w:bCs w:val="0"/>
          <w:color w:val="auto"/>
          <w:sz w:val="21"/>
          <w:szCs w:val="21"/>
          <w:highlight w:val="none"/>
          <w:lang w:val="en-US" w:eastAsia="zh-CN"/>
        </w:rPr>
        <w:t>终止）</w:t>
      </w:r>
      <w:r>
        <w:rPr>
          <w:rFonts w:hint="eastAsia" w:ascii="楷体" w:hAnsi="楷体" w:eastAsia="楷体" w:cs="楷体"/>
          <w:b w:val="0"/>
          <w:bCs w:val="0"/>
          <w:color w:val="auto"/>
          <w:sz w:val="21"/>
          <w:szCs w:val="21"/>
          <w:highlight w:val="none"/>
        </w:rPr>
        <w:t>时单位净值</w:t>
      </w:r>
      <w:r>
        <w:rPr>
          <w:rFonts w:hint="eastAsia" w:ascii="楷体" w:hAnsi="楷体" w:eastAsia="楷体" w:cs="楷体"/>
          <w:b w:val="0"/>
          <w:bCs w:val="0"/>
          <w:color w:val="auto"/>
          <w:sz w:val="21"/>
          <w:szCs w:val="21"/>
          <w:highlight w:val="none"/>
          <w:lang w:val="en-US" w:eastAsia="zh-CN"/>
        </w:rPr>
        <w:t>-超额业绩报酬（如有）</w:t>
      </w:r>
      <w:r>
        <w:rPr>
          <w:rFonts w:hint="eastAsia" w:ascii="楷体" w:hAnsi="楷体" w:eastAsia="楷体" w:cs="楷体"/>
          <w:b w:val="0"/>
          <w:bCs w:val="0"/>
          <w:color w:val="auto"/>
          <w:sz w:val="21"/>
          <w:szCs w:val="21"/>
          <w:highlight w:val="none"/>
          <w:lang w:eastAsia="zh-CN"/>
        </w:rPr>
        <w:t>，</w:t>
      </w:r>
      <w:r>
        <w:rPr>
          <w:rFonts w:hint="eastAsia" w:ascii="楷体" w:hAnsi="楷体" w:eastAsia="楷体" w:cs="楷体"/>
          <w:b w:val="0"/>
          <w:bCs w:val="0"/>
          <w:color w:val="auto"/>
          <w:sz w:val="21"/>
          <w:szCs w:val="21"/>
          <w:highlight w:val="none"/>
        </w:rPr>
        <w:t>投资者可得资金以四舍五入的方法保留到小数点后两位。</w:t>
      </w:r>
    </w:p>
    <w:p>
      <w:pPr>
        <w:keepNext w:val="0"/>
        <w:keepLines w:val="0"/>
        <w:pageBreakBefore w:val="0"/>
        <w:numPr>
          <w:ilvl w:val="0"/>
          <w:numId w:val="7"/>
        </w:numPr>
        <w:tabs>
          <w:tab w:val="left" w:pos="993"/>
        </w:tabs>
        <w:bidi w:val="0"/>
        <w:spacing w:line="240" w:lineRule="auto"/>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lang w:val="en-US" w:eastAsia="zh-CN"/>
        </w:rPr>
        <w:t>终止</w:t>
      </w:r>
      <w:r>
        <w:rPr>
          <w:rFonts w:hint="eastAsia" w:ascii="楷体" w:hAnsi="楷体" w:eastAsia="楷体" w:cs="楷体"/>
          <w:color w:val="auto"/>
          <w:sz w:val="21"/>
          <w:szCs w:val="21"/>
          <w:highlight w:val="none"/>
        </w:rPr>
        <w:t>清算</w:t>
      </w:r>
    </w:p>
    <w:p>
      <w:pPr>
        <w:keepNext w:val="0"/>
        <w:keepLines w:val="0"/>
        <w:pageBreakBefore w:val="0"/>
        <w:bidi w:val="0"/>
        <w:spacing w:line="240" w:lineRule="auto"/>
        <w:ind w:firstLine="420"/>
        <w:rPr>
          <w:rFonts w:hint="eastAsia" w:ascii="楷体" w:hAnsi="楷体" w:eastAsia="楷体" w:cs="楷体"/>
          <w:sz w:val="21"/>
          <w:szCs w:val="21"/>
          <w:highlight w:val="none"/>
          <w:lang w:eastAsia="zh-CN"/>
        </w:rPr>
      </w:pPr>
      <w:r>
        <w:rPr>
          <w:rFonts w:hint="eastAsia" w:ascii="楷体" w:hAnsi="楷体" w:eastAsia="楷体" w:cs="楷体"/>
          <w:color w:val="auto"/>
          <w:sz w:val="21"/>
          <w:szCs w:val="21"/>
          <w:highlight w:val="none"/>
        </w:rPr>
        <w:t>投资者的投资本金和收益（如有）将于产品到期日</w:t>
      </w:r>
      <w:r>
        <w:rPr>
          <w:rFonts w:hint="eastAsia" w:ascii="楷体" w:hAnsi="楷体" w:eastAsia="楷体" w:cs="楷体"/>
          <w:color w:val="auto"/>
          <w:sz w:val="21"/>
          <w:szCs w:val="21"/>
          <w:highlight w:val="none"/>
          <w:lang w:eastAsia="zh-CN"/>
        </w:rPr>
        <w:t>（</w:t>
      </w:r>
      <w:r>
        <w:rPr>
          <w:rFonts w:hint="eastAsia" w:ascii="楷体" w:hAnsi="楷体" w:eastAsia="楷体" w:cs="楷体"/>
          <w:color w:val="auto"/>
          <w:sz w:val="21"/>
          <w:szCs w:val="21"/>
          <w:highlight w:val="none"/>
          <w:lang w:val="en-US" w:eastAsia="zh-CN"/>
        </w:rPr>
        <w:t>产品终止日）</w:t>
      </w:r>
      <w:r>
        <w:rPr>
          <w:rFonts w:hint="eastAsia" w:ascii="楷体" w:hAnsi="楷体" w:eastAsia="楷体" w:cs="楷体"/>
          <w:color w:val="auto"/>
          <w:sz w:val="21"/>
          <w:szCs w:val="21"/>
          <w:highlight w:val="none"/>
        </w:rPr>
        <w:t>后5个工作日以内划至投资者指定账户，如遇</w:t>
      </w:r>
      <w:r>
        <w:rPr>
          <w:rFonts w:hint="eastAsia" w:ascii="楷体" w:hAnsi="楷体" w:eastAsia="楷体" w:cs="楷体"/>
          <w:color w:val="auto"/>
          <w:sz w:val="21"/>
          <w:szCs w:val="21"/>
          <w:highlight w:val="none"/>
          <w:lang w:val="en-US" w:eastAsia="zh-CN"/>
        </w:rPr>
        <w:t>非工作日</w:t>
      </w:r>
      <w:r>
        <w:rPr>
          <w:rFonts w:hint="eastAsia" w:ascii="楷体" w:hAnsi="楷体" w:eastAsia="楷体" w:cs="楷体"/>
          <w:color w:val="auto"/>
          <w:sz w:val="21"/>
          <w:szCs w:val="21"/>
          <w:highlight w:val="none"/>
        </w:rPr>
        <w:t>则相应顺延。</w:t>
      </w:r>
      <w:r>
        <w:rPr>
          <w:rFonts w:hint="eastAsia" w:ascii="楷体" w:hAnsi="楷体" w:eastAsia="楷体" w:cs="楷体"/>
          <w:color w:val="auto"/>
          <w:sz w:val="21"/>
          <w:szCs w:val="21"/>
          <w:highlight w:val="none"/>
          <w:lang w:val="en-US" w:eastAsia="zh-CN"/>
        </w:rPr>
        <w:t>信息披露方式详见下文“信息披露-到期公告”。</w:t>
      </w:r>
      <w:r>
        <w:rPr>
          <w:rFonts w:hint="eastAsia" w:ascii="楷体" w:hAnsi="楷体" w:eastAsia="楷体" w:cs="楷体"/>
          <w:color w:val="auto"/>
          <w:sz w:val="21"/>
          <w:szCs w:val="21"/>
          <w:highlight w:val="none"/>
        </w:rPr>
        <w:t>如预期无法</w:t>
      </w:r>
      <w:r>
        <w:rPr>
          <w:rFonts w:hint="eastAsia" w:ascii="楷体" w:hAnsi="楷体" w:eastAsia="楷体" w:cs="楷体"/>
          <w:color w:val="auto"/>
          <w:sz w:val="21"/>
          <w:szCs w:val="21"/>
          <w:highlight w:val="none"/>
          <w:lang w:val="en-US" w:eastAsia="zh-CN"/>
        </w:rPr>
        <w:t>在</w:t>
      </w:r>
      <w:r>
        <w:rPr>
          <w:rFonts w:hint="eastAsia" w:ascii="楷体" w:hAnsi="楷体" w:eastAsia="楷体" w:cs="楷体"/>
          <w:color w:val="auto"/>
          <w:sz w:val="21"/>
          <w:szCs w:val="21"/>
          <w:highlight w:val="none"/>
        </w:rPr>
        <w:t>规定的清算期内完成清算，管理人</w:t>
      </w:r>
      <w:r>
        <w:rPr>
          <w:rFonts w:hint="eastAsia" w:ascii="楷体" w:hAnsi="楷体" w:eastAsia="楷体" w:cs="楷体"/>
          <w:color w:val="auto"/>
          <w:sz w:val="21"/>
          <w:szCs w:val="21"/>
          <w:highlight w:val="none"/>
          <w:lang w:val="en-US" w:eastAsia="zh-CN"/>
        </w:rPr>
        <w:t>将</w:t>
      </w:r>
      <w:r>
        <w:rPr>
          <w:rFonts w:hint="eastAsia" w:ascii="楷体" w:hAnsi="楷体" w:eastAsia="楷体" w:cs="楷体"/>
          <w:color w:val="auto"/>
          <w:sz w:val="21"/>
          <w:szCs w:val="21"/>
          <w:highlight w:val="none"/>
        </w:rPr>
        <w:t>在原清算期结束前向投资者进行披露</w:t>
      </w:r>
      <w:r>
        <w:rPr>
          <w:rFonts w:hint="eastAsia" w:ascii="楷体" w:hAnsi="楷体" w:eastAsia="楷体" w:cs="楷体"/>
          <w:color w:val="auto"/>
          <w:sz w:val="21"/>
          <w:szCs w:val="21"/>
          <w:highlight w:val="none"/>
          <w:lang w:eastAsia="zh-CN"/>
        </w:rPr>
        <w:t>。</w:t>
      </w:r>
      <w:r>
        <w:rPr>
          <w:rFonts w:hint="eastAsia" w:ascii="楷体" w:hAnsi="楷体" w:eastAsia="楷体" w:cs="楷体"/>
          <w:color w:val="auto"/>
          <w:sz w:val="21"/>
          <w:szCs w:val="21"/>
          <w:highlight w:val="none"/>
        </w:rPr>
        <w:t>理财产品终止清算后，因发生无法预期事项</w:t>
      </w:r>
      <w:r>
        <w:rPr>
          <w:rFonts w:hint="eastAsia" w:ascii="楷体" w:hAnsi="楷体" w:eastAsia="楷体" w:cs="楷体"/>
          <w:color w:val="auto"/>
          <w:sz w:val="21"/>
          <w:szCs w:val="21"/>
          <w:highlight w:val="none"/>
          <w:lang w:val="en-US" w:eastAsia="zh-CN"/>
        </w:rPr>
        <w:t>须</w:t>
      </w:r>
      <w:r>
        <w:rPr>
          <w:rFonts w:hint="eastAsia" w:ascii="楷体" w:hAnsi="楷体" w:eastAsia="楷体" w:cs="楷体"/>
          <w:color w:val="auto"/>
          <w:sz w:val="21"/>
          <w:szCs w:val="21"/>
          <w:highlight w:val="none"/>
        </w:rPr>
        <w:t>再次清算的，</w:t>
      </w:r>
      <w:r>
        <w:rPr>
          <w:rFonts w:hint="eastAsia" w:ascii="楷体" w:hAnsi="楷体" w:eastAsia="楷体" w:cs="楷体"/>
          <w:color w:val="auto"/>
          <w:sz w:val="21"/>
          <w:szCs w:val="21"/>
          <w:highlight w:val="none"/>
          <w:lang w:val="en-US" w:eastAsia="zh-CN"/>
        </w:rPr>
        <w:t>管理人将</w:t>
      </w:r>
      <w:r>
        <w:rPr>
          <w:rFonts w:hint="eastAsia" w:ascii="楷体" w:hAnsi="楷体" w:eastAsia="楷体" w:cs="楷体"/>
          <w:color w:val="auto"/>
          <w:sz w:val="21"/>
          <w:szCs w:val="21"/>
          <w:highlight w:val="none"/>
        </w:rPr>
        <w:t>在完成再次清算之日起</w:t>
      </w:r>
      <w:r>
        <w:rPr>
          <w:rFonts w:hint="eastAsia" w:ascii="楷体" w:hAnsi="楷体" w:eastAsia="楷体" w:cs="楷体"/>
          <w:color w:val="auto"/>
          <w:sz w:val="21"/>
          <w:szCs w:val="21"/>
          <w:highlight w:val="none"/>
          <w:lang w:val="en-US" w:eastAsia="zh-CN"/>
        </w:rPr>
        <w:t>2</w:t>
      </w:r>
      <w:r>
        <w:rPr>
          <w:rFonts w:hint="eastAsia" w:ascii="楷体" w:hAnsi="楷体" w:eastAsia="楷体" w:cs="楷体"/>
          <w:color w:val="auto"/>
          <w:sz w:val="21"/>
          <w:szCs w:val="21"/>
          <w:highlight w:val="none"/>
        </w:rPr>
        <w:t>个工作日内，向投资者披露清算资金分配情况等信息。</w:t>
      </w:r>
      <w:r>
        <w:rPr>
          <w:rFonts w:hint="eastAsia" w:ascii="楷体" w:hAnsi="楷体" w:eastAsia="楷体" w:cs="楷体"/>
          <w:color w:val="auto"/>
          <w:sz w:val="21"/>
          <w:szCs w:val="21"/>
          <w:highlight w:val="none"/>
          <w:lang w:val="en-US" w:eastAsia="zh-CN"/>
        </w:rPr>
        <w:t>信息披露方式详见下文“信息披露-临时性信息”。</w:t>
      </w:r>
    </w:p>
    <w:p>
      <w:pPr>
        <w:keepNext w:val="0"/>
        <w:keepLines w:val="0"/>
        <w:pageBreakBefore w:val="0"/>
        <w:numPr>
          <w:ilvl w:val="0"/>
          <w:numId w:val="2"/>
        </w:numPr>
        <w:tabs>
          <w:tab w:val="left" w:pos="1134"/>
        </w:tabs>
        <w:bidi w:val="0"/>
        <w:spacing w:line="240" w:lineRule="auto"/>
        <w:ind w:left="0" w:firstLine="422"/>
        <w:outlineLvl w:val="1"/>
        <w:rPr>
          <w:rFonts w:hint="eastAsia" w:ascii="楷体" w:hAnsi="楷体" w:eastAsia="楷体" w:cs="楷体"/>
          <w:b/>
          <w:color w:val="auto"/>
          <w:sz w:val="21"/>
          <w:szCs w:val="21"/>
          <w:highlight w:val="none"/>
          <w:lang w:val="en-US" w:eastAsia="zh-CN"/>
        </w:rPr>
      </w:pPr>
      <w:r>
        <w:rPr>
          <w:rFonts w:hint="eastAsia" w:ascii="楷体" w:hAnsi="楷体" w:eastAsia="楷体" w:cs="楷体"/>
          <w:b/>
          <w:color w:val="auto"/>
          <w:sz w:val="21"/>
          <w:szCs w:val="21"/>
          <w:highlight w:val="none"/>
          <w:lang w:val="en-US" w:eastAsia="zh-CN"/>
        </w:rPr>
        <w:t>情景示例</w:t>
      </w:r>
    </w:p>
    <w:p>
      <w:pPr>
        <w:ind w:firstLine="422"/>
        <w:rPr>
          <w:rFonts w:hint="eastAsia" w:ascii="楷体" w:hAnsi="楷体" w:eastAsia="楷体"/>
          <w:b/>
          <w:color w:val="auto"/>
          <w:sz w:val="21"/>
          <w:szCs w:val="21"/>
          <w:highlight w:val="none"/>
          <w:u w:val="single"/>
        </w:rPr>
      </w:pPr>
      <w:r>
        <w:rPr>
          <w:rFonts w:hint="eastAsia" w:ascii="楷体" w:hAnsi="楷体" w:eastAsia="楷体"/>
          <w:b/>
          <w:color w:val="auto"/>
          <w:sz w:val="21"/>
          <w:szCs w:val="21"/>
          <w:highlight w:val="none"/>
          <w:u w:val="single"/>
        </w:rPr>
        <w:t>以下示例均为假设情况，不代表本产品实际投资业绩。</w:t>
      </w:r>
    </w:p>
    <w:p>
      <w:pPr>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1.情景一</w:t>
      </w:r>
    </w:p>
    <w:p>
      <w:pPr>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假定投资者</w:t>
      </w:r>
      <w:r>
        <w:rPr>
          <w:rFonts w:hint="eastAsia" w:ascii="楷体" w:hAnsi="楷体" w:eastAsia="楷体"/>
          <w:color w:val="auto"/>
          <w:sz w:val="21"/>
          <w:szCs w:val="21"/>
          <w:highlight w:val="none"/>
          <w:lang w:val="en-US" w:eastAsia="zh-CN"/>
        </w:rPr>
        <w:t>购买</w:t>
      </w:r>
      <w:r>
        <w:rPr>
          <w:rFonts w:hint="eastAsia" w:ascii="楷体" w:hAnsi="楷体" w:eastAsia="楷体"/>
          <w:color w:val="auto"/>
          <w:sz w:val="21"/>
          <w:szCs w:val="21"/>
          <w:highlight w:val="none"/>
        </w:rPr>
        <w:t>本产品，投资金额为10,000.00元，</w:t>
      </w:r>
      <w:r>
        <w:rPr>
          <w:rFonts w:hint="eastAsia" w:ascii="楷体" w:hAnsi="楷体" w:eastAsia="楷体"/>
          <w:color w:val="auto"/>
          <w:sz w:val="21"/>
          <w:szCs w:val="21"/>
          <w:highlight w:val="none"/>
          <w:lang w:val="en-US" w:eastAsia="zh-CN"/>
        </w:rPr>
        <w:t>产品单位净值</w:t>
      </w:r>
      <w:r>
        <w:rPr>
          <w:rFonts w:hint="eastAsia" w:ascii="楷体" w:hAnsi="楷体" w:eastAsia="楷体"/>
          <w:color w:val="auto"/>
          <w:sz w:val="21"/>
          <w:szCs w:val="21"/>
          <w:highlight w:val="none"/>
        </w:rPr>
        <w:t>为1元</w:t>
      </w:r>
      <w:r>
        <w:rPr>
          <w:rFonts w:hint="eastAsia" w:ascii="楷体" w:hAnsi="楷体" w:eastAsia="楷体"/>
          <w:color w:val="auto"/>
          <w:sz w:val="21"/>
          <w:szCs w:val="21"/>
          <w:highlight w:val="none"/>
          <w:lang w:val="en-US" w:eastAsia="zh-CN"/>
        </w:rPr>
        <w:t>/份</w:t>
      </w:r>
      <w:r>
        <w:rPr>
          <w:rFonts w:hint="eastAsia" w:ascii="楷体" w:hAnsi="楷体" w:eastAsia="楷体"/>
          <w:color w:val="auto"/>
          <w:sz w:val="21"/>
          <w:szCs w:val="21"/>
          <w:highlight w:val="none"/>
        </w:rPr>
        <w:t>，折算份额为10,000.00份。</w:t>
      </w:r>
      <w:r>
        <w:rPr>
          <w:rFonts w:hint="eastAsia" w:ascii="楷体" w:hAnsi="楷体" w:eastAsia="楷体"/>
          <w:color w:val="auto"/>
          <w:sz w:val="21"/>
          <w:szCs w:val="21"/>
          <w:highlight w:val="none"/>
          <w:lang w:val="en-US" w:eastAsia="zh-CN"/>
        </w:rPr>
        <w:t>投资者赎回/</w:t>
      </w:r>
      <w:r>
        <w:rPr>
          <w:rFonts w:hint="eastAsia" w:ascii="楷体" w:hAnsi="楷体" w:eastAsia="楷体"/>
          <w:color w:val="auto"/>
          <w:sz w:val="21"/>
          <w:szCs w:val="21"/>
          <w:highlight w:val="none"/>
        </w:rPr>
        <w:t>到期时，产品单位净值为</w:t>
      </w:r>
      <w:r>
        <w:rPr>
          <w:rFonts w:ascii="楷体" w:hAnsi="楷体" w:eastAsia="楷体"/>
          <w:color w:val="auto"/>
          <w:sz w:val="21"/>
          <w:szCs w:val="21"/>
          <w:highlight w:val="none"/>
        </w:rPr>
        <w:t>1.0</w:t>
      </w:r>
      <w:r>
        <w:rPr>
          <w:rFonts w:hint="eastAsia" w:ascii="楷体" w:hAnsi="楷体" w:eastAsia="楷体"/>
          <w:color w:val="auto"/>
          <w:sz w:val="21"/>
          <w:szCs w:val="21"/>
          <w:highlight w:val="none"/>
          <w:lang w:val="en-US" w:eastAsia="zh-CN"/>
        </w:rPr>
        <w:t>25503</w:t>
      </w:r>
      <w:r>
        <w:rPr>
          <w:rFonts w:hint="eastAsia" w:ascii="楷体" w:hAnsi="楷体" w:eastAsia="楷体"/>
          <w:color w:val="auto"/>
          <w:sz w:val="21"/>
          <w:szCs w:val="21"/>
          <w:highlight w:val="none"/>
        </w:rPr>
        <w:t>元。</w:t>
      </w:r>
    </w:p>
    <w:p>
      <w:pPr>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投资者可得资金=10,000.00×</w:t>
      </w:r>
      <w:r>
        <w:rPr>
          <w:rFonts w:ascii="楷体" w:hAnsi="楷体" w:eastAsia="楷体"/>
          <w:color w:val="auto"/>
          <w:sz w:val="21"/>
          <w:szCs w:val="21"/>
          <w:highlight w:val="none"/>
        </w:rPr>
        <w:t>1.0</w:t>
      </w:r>
      <w:r>
        <w:rPr>
          <w:rFonts w:hint="eastAsia" w:ascii="楷体" w:hAnsi="楷体" w:eastAsia="楷体"/>
          <w:color w:val="auto"/>
          <w:sz w:val="21"/>
          <w:szCs w:val="21"/>
          <w:highlight w:val="none"/>
          <w:lang w:val="en-US" w:eastAsia="zh-CN"/>
        </w:rPr>
        <w:t>25503</w:t>
      </w:r>
      <w:r>
        <w:rPr>
          <w:rFonts w:hint="eastAsia" w:ascii="楷体" w:hAnsi="楷体" w:eastAsia="楷体"/>
          <w:color w:val="auto"/>
          <w:sz w:val="21"/>
          <w:szCs w:val="21"/>
          <w:highlight w:val="none"/>
        </w:rPr>
        <w:t>=</w:t>
      </w:r>
      <w:r>
        <w:rPr>
          <w:rFonts w:ascii="楷体" w:hAnsi="楷体" w:eastAsia="楷体"/>
          <w:color w:val="auto"/>
          <w:sz w:val="21"/>
          <w:szCs w:val="21"/>
          <w:highlight w:val="none"/>
        </w:rPr>
        <w:t>10</w:t>
      </w:r>
      <w:r>
        <w:rPr>
          <w:rFonts w:hint="eastAsia" w:ascii="楷体" w:hAnsi="楷体" w:eastAsia="楷体"/>
          <w:color w:val="auto"/>
          <w:sz w:val="21"/>
          <w:szCs w:val="21"/>
          <w:highlight w:val="none"/>
        </w:rPr>
        <w:t>,</w:t>
      </w:r>
      <w:r>
        <w:rPr>
          <w:rFonts w:hint="eastAsia" w:ascii="楷体" w:hAnsi="楷体" w:eastAsia="楷体"/>
          <w:color w:val="auto"/>
          <w:sz w:val="21"/>
          <w:szCs w:val="21"/>
          <w:highlight w:val="none"/>
          <w:lang w:val="en-US" w:eastAsia="zh-CN"/>
        </w:rPr>
        <w:t>255</w:t>
      </w:r>
      <w:r>
        <w:rPr>
          <w:rFonts w:ascii="楷体" w:hAnsi="楷体" w:eastAsia="楷体"/>
          <w:color w:val="auto"/>
          <w:sz w:val="21"/>
          <w:szCs w:val="21"/>
          <w:highlight w:val="none"/>
        </w:rPr>
        <w:t>.</w:t>
      </w:r>
      <w:r>
        <w:rPr>
          <w:rFonts w:hint="eastAsia" w:ascii="楷体" w:hAnsi="楷体" w:eastAsia="楷体"/>
          <w:color w:val="auto"/>
          <w:sz w:val="21"/>
          <w:szCs w:val="21"/>
          <w:highlight w:val="none"/>
          <w:lang w:val="en-US" w:eastAsia="zh-CN"/>
        </w:rPr>
        <w:t>03</w:t>
      </w:r>
      <w:r>
        <w:rPr>
          <w:rFonts w:hint="eastAsia" w:ascii="楷体" w:hAnsi="楷体" w:eastAsia="楷体"/>
          <w:color w:val="auto"/>
          <w:sz w:val="21"/>
          <w:szCs w:val="21"/>
          <w:highlight w:val="none"/>
        </w:rPr>
        <w:t>（元）</w:t>
      </w:r>
    </w:p>
    <w:p>
      <w:pPr>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投资者投资收益=</w:t>
      </w:r>
      <w:r>
        <w:rPr>
          <w:rFonts w:ascii="楷体" w:hAnsi="楷体" w:eastAsia="楷体"/>
          <w:color w:val="auto"/>
          <w:sz w:val="21"/>
          <w:szCs w:val="21"/>
          <w:highlight w:val="none"/>
        </w:rPr>
        <w:t>10</w:t>
      </w:r>
      <w:r>
        <w:rPr>
          <w:rFonts w:hint="eastAsia" w:ascii="楷体" w:hAnsi="楷体" w:eastAsia="楷体"/>
          <w:color w:val="auto"/>
          <w:sz w:val="21"/>
          <w:szCs w:val="21"/>
          <w:highlight w:val="none"/>
        </w:rPr>
        <w:t>,</w:t>
      </w:r>
      <w:r>
        <w:rPr>
          <w:rFonts w:hint="eastAsia" w:ascii="楷体" w:hAnsi="楷体" w:eastAsia="楷体"/>
          <w:color w:val="auto"/>
          <w:sz w:val="21"/>
          <w:szCs w:val="21"/>
          <w:highlight w:val="none"/>
          <w:lang w:val="en-US" w:eastAsia="zh-CN"/>
        </w:rPr>
        <w:t>255</w:t>
      </w:r>
      <w:r>
        <w:rPr>
          <w:rFonts w:ascii="楷体" w:hAnsi="楷体" w:eastAsia="楷体"/>
          <w:color w:val="auto"/>
          <w:sz w:val="21"/>
          <w:szCs w:val="21"/>
          <w:highlight w:val="none"/>
        </w:rPr>
        <w:t>.</w:t>
      </w:r>
      <w:r>
        <w:rPr>
          <w:rFonts w:hint="eastAsia" w:ascii="楷体" w:hAnsi="楷体" w:eastAsia="楷体"/>
          <w:color w:val="auto"/>
          <w:sz w:val="21"/>
          <w:szCs w:val="21"/>
          <w:highlight w:val="none"/>
          <w:lang w:val="en-US" w:eastAsia="zh-CN"/>
        </w:rPr>
        <w:t>03</w:t>
      </w:r>
      <w:r>
        <w:rPr>
          <w:rFonts w:hint="eastAsia" w:ascii="楷体" w:hAnsi="楷体" w:eastAsia="楷体"/>
          <w:color w:val="auto"/>
          <w:sz w:val="21"/>
          <w:szCs w:val="21"/>
          <w:highlight w:val="none"/>
        </w:rPr>
        <w:t>-10,000.00=</w:t>
      </w:r>
      <w:r>
        <w:rPr>
          <w:rFonts w:hint="eastAsia" w:ascii="楷体" w:hAnsi="楷体" w:eastAsia="楷体"/>
          <w:color w:val="auto"/>
          <w:sz w:val="21"/>
          <w:szCs w:val="21"/>
          <w:highlight w:val="none"/>
          <w:lang w:val="en-US" w:eastAsia="zh-CN"/>
        </w:rPr>
        <w:t>255</w:t>
      </w:r>
      <w:r>
        <w:rPr>
          <w:rFonts w:ascii="楷体" w:hAnsi="楷体" w:eastAsia="楷体"/>
          <w:color w:val="auto"/>
          <w:sz w:val="21"/>
          <w:szCs w:val="21"/>
          <w:highlight w:val="none"/>
        </w:rPr>
        <w:t>.</w:t>
      </w:r>
      <w:r>
        <w:rPr>
          <w:rFonts w:hint="eastAsia" w:ascii="楷体" w:hAnsi="楷体" w:eastAsia="楷体"/>
          <w:color w:val="auto"/>
          <w:sz w:val="21"/>
          <w:szCs w:val="21"/>
          <w:highlight w:val="none"/>
          <w:lang w:val="en-US" w:eastAsia="zh-CN"/>
        </w:rPr>
        <w:t>03</w:t>
      </w:r>
      <w:r>
        <w:rPr>
          <w:rFonts w:hint="eastAsia" w:ascii="楷体" w:hAnsi="楷体" w:eastAsia="楷体"/>
          <w:color w:val="auto"/>
          <w:sz w:val="21"/>
          <w:szCs w:val="21"/>
          <w:highlight w:val="none"/>
        </w:rPr>
        <w:t>（元）</w:t>
      </w:r>
    </w:p>
    <w:p>
      <w:pPr>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2.情景二</w:t>
      </w:r>
    </w:p>
    <w:p>
      <w:pPr>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假定投资者</w:t>
      </w:r>
      <w:r>
        <w:rPr>
          <w:rFonts w:hint="eastAsia" w:ascii="楷体" w:hAnsi="楷体" w:eastAsia="楷体"/>
          <w:color w:val="auto"/>
          <w:sz w:val="21"/>
          <w:szCs w:val="21"/>
          <w:highlight w:val="none"/>
          <w:lang w:val="en-US" w:eastAsia="zh-CN"/>
        </w:rPr>
        <w:t>购买</w:t>
      </w:r>
      <w:r>
        <w:rPr>
          <w:rFonts w:hint="eastAsia" w:ascii="楷体" w:hAnsi="楷体" w:eastAsia="楷体"/>
          <w:color w:val="auto"/>
          <w:sz w:val="21"/>
          <w:szCs w:val="21"/>
          <w:highlight w:val="none"/>
        </w:rPr>
        <w:t>本产品，投资金额为10,000.00元，</w:t>
      </w:r>
      <w:r>
        <w:rPr>
          <w:rFonts w:hint="eastAsia" w:ascii="楷体" w:hAnsi="楷体" w:eastAsia="楷体"/>
          <w:color w:val="auto"/>
          <w:sz w:val="21"/>
          <w:szCs w:val="21"/>
          <w:highlight w:val="none"/>
          <w:lang w:val="en-US" w:eastAsia="zh-CN"/>
        </w:rPr>
        <w:t>产品单位净值</w:t>
      </w:r>
      <w:r>
        <w:rPr>
          <w:rFonts w:hint="eastAsia" w:ascii="楷体" w:hAnsi="楷体" w:eastAsia="楷体"/>
          <w:color w:val="auto"/>
          <w:sz w:val="21"/>
          <w:szCs w:val="21"/>
          <w:highlight w:val="none"/>
        </w:rPr>
        <w:t>为1元</w:t>
      </w:r>
      <w:r>
        <w:rPr>
          <w:rFonts w:hint="eastAsia" w:ascii="楷体" w:hAnsi="楷体" w:eastAsia="楷体"/>
          <w:color w:val="auto"/>
          <w:sz w:val="21"/>
          <w:szCs w:val="21"/>
          <w:highlight w:val="none"/>
          <w:lang w:val="en-US" w:eastAsia="zh-CN"/>
        </w:rPr>
        <w:t>/份</w:t>
      </w:r>
      <w:r>
        <w:rPr>
          <w:rFonts w:hint="eastAsia" w:ascii="楷体" w:hAnsi="楷体" w:eastAsia="楷体"/>
          <w:color w:val="auto"/>
          <w:sz w:val="21"/>
          <w:szCs w:val="21"/>
          <w:highlight w:val="none"/>
        </w:rPr>
        <w:t>，折算份额为10,000.00份。</w:t>
      </w:r>
      <w:r>
        <w:rPr>
          <w:rFonts w:hint="eastAsia" w:ascii="楷体" w:hAnsi="楷体" w:eastAsia="楷体"/>
          <w:color w:val="auto"/>
          <w:sz w:val="21"/>
          <w:szCs w:val="21"/>
          <w:highlight w:val="none"/>
          <w:lang w:val="en-US" w:eastAsia="zh-CN"/>
        </w:rPr>
        <w:t>投资者赎回/</w:t>
      </w:r>
      <w:r>
        <w:rPr>
          <w:rFonts w:hint="eastAsia" w:ascii="楷体" w:hAnsi="楷体" w:eastAsia="楷体"/>
          <w:color w:val="auto"/>
          <w:sz w:val="21"/>
          <w:szCs w:val="21"/>
          <w:highlight w:val="none"/>
        </w:rPr>
        <w:t>到期时，产品单位净值为</w:t>
      </w:r>
      <w:r>
        <w:rPr>
          <w:rFonts w:ascii="楷体" w:hAnsi="楷体" w:eastAsia="楷体"/>
          <w:color w:val="auto"/>
          <w:sz w:val="21"/>
          <w:szCs w:val="21"/>
          <w:highlight w:val="none"/>
        </w:rPr>
        <w:t>0.9975</w:t>
      </w:r>
      <w:r>
        <w:rPr>
          <w:rFonts w:hint="eastAsia" w:ascii="楷体" w:hAnsi="楷体" w:eastAsia="楷体"/>
          <w:color w:val="auto"/>
          <w:sz w:val="21"/>
          <w:szCs w:val="21"/>
          <w:highlight w:val="none"/>
          <w:lang w:val="en-US" w:eastAsia="zh-CN"/>
        </w:rPr>
        <w:t>94</w:t>
      </w:r>
      <w:r>
        <w:rPr>
          <w:rFonts w:hint="eastAsia" w:ascii="楷体" w:hAnsi="楷体" w:eastAsia="楷体"/>
          <w:color w:val="auto"/>
          <w:sz w:val="21"/>
          <w:szCs w:val="21"/>
          <w:highlight w:val="none"/>
        </w:rPr>
        <w:t>元。</w:t>
      </w:r>
    </w:p>
    <w:p>
      <w:pPr>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投资者可得资金=10,000.00×0.9975</w:t>
      </w:r>
      <w:r>
        <w:rPr>
          <w:rFonts w:hint="eastAsia" w:ascii="楷体" w:hAnsi="楷体" w:eastAsia="楷体"/>
          <w:color w:val="auto"/>
          <w:sz w:val="21"/>
          <w:szCs w:val="21"/>
          <w:highlight w:val="none"/>
          <w:lang w:val="en-US" w:eastAsia="zh-CN"/>
        </w:rPr>
        <w:t>94</w:t>
      </w:r>
      <w:r>
        <w:rPr>
          <w:rFonts w:hint="eastAsia" w:ascii="楷体" w:hAnsi="楷体" w:eastAsia="楷体"/>
          <w:color w:val="auto"/>
          <w:sz w:val="21"/>
          <w:szCs w:val="21"/>
          <w:highlight w:val="none"/>
        </w:rPr>
        <w:t>=9,975.</w:t>
      </w:r>
      <w:r>
        <w:rPr>
          <w:rFonts w:hint="eastAsia" w:ascii="楷体" w:hAnsi="楷体" w:eastAsia="楷体"/>
          <w:color w:val="auto"/>
          <w:sz w:val="21"/>
          <w:szCs w:val="21"/>
          <w:highlight w:val="none"/>
          <w:lang w:val="en-US" w:eastAsia="zh-CN"/>
        </w:rPr>
        <w:t>94</w:t>
      </w:r>
      <w:r>
        <w:rPr>
          <w:rFonts w:hint="eastAsia" w:ascii="楷体" w:hAnsi="楷体" w:eastAsia="楷体"/>
          <w:color w:val="auto"/>
          <w:sz w:val="21"/>
          <w:szCs w:val="21"/>
          <w:highlight w:val="none"/>
        </w:rPr>
        <w:t>（元）</w:t>
      </w:r>
    </w:p>
    <w:p>
      <w:pPr>
        <w:ind w:firstLine="420"/>
        <w:rPr>
          <w:rFonts w:hint="eastAsia" w:ascii="楷体" w:hAnsi="楷体" w:eastAsia="楷体"/>
          <w:color w:val="auto"/>
          <w:sz w:val="21"/>
          <w:szCs w:val="21"/>
          <w:highlight w:val="none"/>
        </w:rPr>
      </w:pPr>
      <w:r>
        <w:rPr>
          <w:rFonts w:hint="eastAsia" w:ascii="楷体" w:hAnsi="楷体" w:eastAsia="楷体"/>
          <w:color w:val="auto"/>
          <w:sz w:val="21"/>
          <w:szCs w:val="21"/>
          <w:highlight w:val="none"/>
        </w:rPr>
        <w:t>投资者投资收益=9,975.</w:t>
      </w:r>
      <w:r>
        <w:rPr>
          <w:rFonts w:hint="eastAsia" w:ascii="楷体" w:hAnsi="楷体" w:eastAsia="楷体"/>
          <w:color w:val="auto"/>
          <w:sz w:val="21"/>
          <w:szCs w:val="21"/>
          <w:highlight w:val="none"/>
          <w:lang w:val="en-US" w:eastAsia="zh-CN"/>
        </w:rPr>
        <w:t>94</w:t>
      </w:r>
      <w:r>
        <w:rPr>
          <w:rFonts w:hint="eastAsia" w:ascii="楷体" w:hAnsi="楷体" w:eastAsia="楷体"/>
          <w:color w:val="auto"/>
          <w:sz w:val="21"/>
          <w:szCs w:val="21"/>
          <w:highlight w:val="none"/>
        </w:rPr>
        <w:t>-10,000.00=-</w:t>
      </w:r>
      <w:r>
        <w:rPr>
          <w:rFonts w:ascii="楷体" w:hAnsi="楷体" w:eastAsia="楷体"/>
          <w:color w:val="auto"/>
          <w:sz w:val="21"/>
          <w:szCs w:val="21"/>
          <w:highlight w:val="none"/>
        </w:rPr>
        <w:t>2</w:t>
      </w:r>
      <w:r>
        <w:rPr>
          <w:rFonts w:hint="eastAsia" w:ascii="楷体" w:hAnsi="楷体" w:eastAsia="楷体"/>
          <w:color w:val="auto"/>
          <w:sz w:val="21"/>
          <w:szCs w:val="21"/>
          <w:highlight w:val="none"/>
          <w:lang w:val="en-US" w:eastAsia="zh-CN"/>
        </w:rPr>
        <w:t>4</w:t>
      </w:r>
      <w:r>
        <w:rPr>
          <w:rFonts w:hint="eastAsia" w:ascii="楷体" w:hAnsi="楷体" w:eastAsia="楷体"/>
          <w:color w:val="auto"/>
          <w:sz w:val="21"/>
          <w:szCs w:val="21"/>
          <w:highlight w:val="none"/>
        </w:rPr>
        <w:t>.</w:t>
      </w:r>
      <w:r>
        <w:rPr>
          <w:rFonts w:ascii="楷体" w:hAnsi="楷体" w:eastAsia="楷体"/>
          <w:color w:val="auto"/>
          <w:sz w:val="21"/>
          <w:szCs w:val="21"/>
          <w:highlight w:val="none"/>
        </w:rPr>
        <w:t>0</w:t>
      </w:r>
      <w:r>
        <w:rPr>
          <w:rFonts w:hint="eastAsia" w:ascii="楷体" w:hAnsi="楷体" w:eastAsia="楷体"/>
          <w:color w:val="auto"/>
          <w:sz w:val="21"/>
          <w:szCs w:val="21"/>
          <w:highlight w:val="none"/>
          <w:lang w:val="en-US" w:eastAsia="zh-CN"/>
        </w:rPr>
        <w:t>6</w:t>
      </w:r>
      <w:r>
        <w:rPr>
          <w:rFonts w:hint="eastAsia" w:ascii="楷体" w:hAnsi="楷体" w:eastAsia="楷体"/>
          <w:color w:val="auto"/>
          <w:sz w:val="21"/>
          <w:szCs w:val="21"/>
          <w:highlight w:val="none"/>
        </w:rPr>
        <w:t>（元）</w:t>
      </w:r>
    </w:p>
    <w:p>
      <w:pPr>
        <w:ind w:firstLine="422"/>
        <w:rPr>
          <w:rFonts w:hint="eastAsia" w:ascii="楷体" w:hAnsi="楷体" w:eastAsia="楷体"/>
          <w:b/>
          <w:color w:val="auto"/>
          <w:sz w:val="21"/>
          <w:szCs w:val="21"/>
          <w:highlight w:val="none"/>
          <w:u w:val="single"/>
        </w:rPr>
      </w:pPr>
      <w:r>
        <w:rPr>
          <w:rFonts w:hint="eastAsia" w:ascii="楷体" w:hAnsi="楷体" w:eastAsia="楷体"/>
          <w:b/>
          <w:color w:val="auto"/>
          <w:sz w:val="21"/>
          <w:szCs w:val="21"/>
          <w:highlight w:val="none"/>
          <w:u w:val="single"/>
        </w:rPr>
        <w:t>最不利的情形下，投资者可能损失100%本金。</w:t>
      </w:r>
    </w:p>
    <w:p>
      <w:pPr>
        <w:ind w:left="0" w:firstLine="422"/>
        <w:rPr>
          <w:highlight w:val="none"/>
        </w:rPr>
      </w:pPr>
      <w:r>
        <w:rPr>
          <w:rFonts w:hint="eastAsia" w:ascii="楷体" w:hAnsi="楷体" w:eastAsia="楷体"/>
          <w:b/>
          <w:color w:val="auto"/>
          <w:sz w:val="21"/>
          <w:szCs w:val="21"/>
          <w:highlight w:val="none"/>
          <w:u w:val="single"/>
        </w:rPr>
        <w:t>上述情况假设仅用于向投资者示例收益计算方法之用，并不代表管理人对实际投资情况的预期判断，</w:t>
      </w:r>
      <w:r>
        <w:rPr>
          <w:rFonts w:hint="eastAsia" w:ascii="楷体" w:hAnsi="楷体" w:eastAsia="楷体"/>
          <w:b/>
          <w:color w:val="auto"/>
          <w:sz w:val="21"/>
          <w:szCs w:val="21"/>
          <w:highlight w:val="none"/>
          <w:u w:val="single"/>
          <w:lang w:val="en-US" w:eastAsia="zh-CN"/>
        </w:rPr>
        <w:t>也不代表</w:t>
      </w:r>
      <w:r>
        <w:rPr>
          <w:rFonts w:hint="eastAsia" w:ascii="楷体" w:hAnsi="楷体" w:eastAsia="楷体"/>
          <w:b/>
          <w:color w:val="auto"/>
          <w:sz w:val="21"/>
          <w:szCs w:val="21"/>
          <w:highlight w:val="none"/>
          <w:u w:val="single"/>
        </w:rPr>
        <w:t>以上所有情形或某一情形一定会发生，或管理人认为发生的可能性很大。投资者获得的最终收益以产品实际运作表现及管理人实际支付为准。</w:t>
      </w:r>
    </w:p>
    <w:p>
      <w:pPr>
        <w:keepNext w:val="0"/>
        <w:keepLines w:val="0"/>
        <w:pageBreakBefore w:val="0"/>
        <w:numPr>
          <w:ilvl w:val="0"/>
          <w:numId w:val="2"/>
        </w:numPr>
        <w:tabs>
          <w:tab w:val="left" w:pos="1134"/>
        </w:tabs>
        <w:bidi w:val="0"/>
        <w:spacing w:line="240" w:lineRule="auto"/>
        <w:ind w:left="0" w:firstLine="422"/>
        <w:outlineLvl w:val="1"/>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rPr>
        <w:t>产品估值</w:t>
      </w:r>
    </w:p>
    <w:p>
      <w:pPr>
        <w:numPr>
          <w:ilvl w:val="0"/>
          <w:numId w:val="8"/>
        </w:numPr>
        <w:tabs>
          <w:tab w:val="left" w:pos="993"/>
        </w:tabs>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估值对象</w:t>
      </w:r>
    </w:p>
    <w:p>
      <w:pPr>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本产品所拥有的各类证券、银行存款、应收款项及其它资产及负债。</w:t>
      </w:r>
    </w:p>
    <w:p>
      <w:pPr>
        <w:numPr>
          <w:ilvl w:val="0"/>
          <w:numId w:val="8"/>
        </w:numPr>
        <w:tabs>
          <w:tab w:val="left" w:pos="993"/>
        </w:tabs>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lang w:val="en-US" w:eastAsia="zh-CN"/>
        </w:rPr>
        <w:t>估值目的和</w:t>
      </w:r>
      <w:r>
        <w:rPr>
          <w:rFonts w:hint="eastAsia" w:ascii="楷体" w:hAnsi="楷体" w:eastAsia="楷体" w:cs="楷体"/>
          <w:color w:val="auto"/>
          <w:sz w:val="21"/>
          <w:szCs w:val="21"/>
          <w:highlight w:val="none"/>
        </w:rPr>
        <w:t>估值</w:t>
      </w:r>
      <w:r>
        <w:rPr>
          <w:rFonts w:hint="eastAsia" w:ascii="楷体" w:hAnsi="楷体" w:eastAsia="楷体" w:cs="楷体"/>
          <w:color w:val="auto"/>
          <w:sz w:val="21"/>
          <w:szCs w:val="21"/>
          <w:highlight w:val="none"/>
          <w:lang w:val="en-US" w:eastAsia="zh-CN"/>
        </w:rPr>
        <w:t>原则</w:t>
      </w:r>
    </w:p>
    <w:p>
      <w:pPr>
        <w:numPr>
          <w:ilvl w:val="0"/>
          <w:numId w:val="0"/>
        </w:numPr>
        <w:tabs>
          <w:tab w:val="left" w:pos="728"/>
        </w:tabs>
        <w:ind w:left="0" w:firstLine="420"/>
        <w:rPr>
          <w:rFonts w:hint="default" w:ascii="楷体" w:hAnsi="楷体" w:eastAsia="楷体" w:cs="楷体"/>
          <w:color w:val="auto"/>
          <w:sz w:val="21"/>
          <w:szCs w:val="21"/>
          <w:highlight w:val="none"/>
          <w:lang w:val="en-US" w:eastAsia="zh-CN"/>
        </w:rPr>
      </w:pPr>
      <w:r>
        <w:rPr>
          <w:rFonts w:hint="eastAsia" w:ascii="楷体" w:hAnsi="楷体" w:eastAsia="楷体" w:cs="楷体"/>
          <w:color w:val="auto"/>
          <w:sz w:val="21"/>
          <w:szCs w:val="21"/>
          <w:highlight w:val="none"/>
        </w:rPr>
        <w:t>本产品资产估值的</w:t>
      </w:r>
      <w:r>
        <w:rPr>
          <w:rFonts w:hint="eastAsia" w:ascii="楷体" w:hAnsi="楷体" w:eastAsia="楷体" w:cs="楷体"/>
          <w:color w:val="auto"/>
          <w:sz w:val="21"/>
          <w:szCs w:val="21"/>
          <w:highlight w:val="none"/>
          <w:lang w:val="en-US" w:eastAsia="zh-CN"/>
        </w:rPr>
        <w:t>目的</w:t>
      </w:r>
      <w:r>
        <w:rPr>
          <w:rFonts w:hint="eastAsia" w:ascii="楷体" w:hAnsi="楷体" w:eastAsia="楷体" w:cs="楷体"/>
          <w:color w:val="auto"/>
          <w:sz w:val="21"/>
          <w:szCs w:val="21"/>
          <w:highlight w:val="none"/>
        </w:rPr>
        <w:t>是客观、准确</w:t>
      </w:r>
      <w:r>
        <w:rPr>
          <w:rFonts w:hint="eastAsia" w:ascii="楷体" w:hAnsi="楷体" w:eastAsia="楷体" w:cs="楷体"/>
          <w:color w:val="auto"/>
          <w:sz w:val="21"/>
          <w:szCs w:val="21"/>
          <w:highlight w:val="none"/>
          <w:lang w:val="en-US" w:eastAsia="zh-CN"/>
        </w:rPr>
        <w:t>地</w:t>
      </w:r>
      <w:r>
        <w:rPr>
          <w:rFonts w:hint="eastAsia" w:ascii="楷体" w:hAnsi="楷体" w:eastAsia="楷体" w:cs="楷体"/>
          <w:color w:val="auto"/>
          <w:sz w:val="21"/>
          <w:szCs w:val="21"/>
          <w:highlight w:val="none"/>
        </w:rPr>
        <w:t>反映资产净值，确定理财产品资产净值，并为理财产品的</w:t>
      </w:r>
      <w:r>
        <w:rPr>
          <w:rFonts w:hint="eastAsia" w:ascii="楷体" w:hAnsi="楷体" w:eastAsia="楷体" w:cs="楷体"/>
          <w:color w:val="auto"/>
          <w:sz w:val="21"/>
          <w:szCs w:val="21"/>
          <w:highlight w:val="none"/>
          <w:lang w:val="en-US" w:eastAsia="zh-CN"/>
        </w:rPr>
        <w:t>申购、赎回和</w:t>
      </w:r>
      <w:r>
        <w:rPr>
          <w:rFonts w:hint="eastAsia" w:ascii="楷体" w:hAnsi="楷体" w:eastAsia="楷体" w:cs="楷体"/>
          <w:color w:val="auto"/>
          <w:sz w:val="21"/>
          <w:szCs w:val="21"/>
          <w:highlight w:val="none"/>
        </w:rPr>
        <w:t>兑付提供计价依据。</w:t>
      </w:r>
      <w:r>
        <w:rPr>
          <w:rFonts w:hint="eastAsia" w:ascii="楷体" w:hAnsi="楷体" w:eastAsia="楷体" w:cs="楷体"/>
          <w:color w:val="auto"/>
          <w:sz w:val="21"/>
          <w:szCs w:val="21"/>
          <w:highlight w:val="none"/>
          <w:lang w:val="en-US" w:eastAsia="zh-CN"/>
        </w:rPr>
        <w:t>估值中坚持公允价值计量原则。金融资产的公允价值确定方法应与理财产品的类型相匹配。</w:t>
      </w:r>
    </w:p>
    <w:p>
      <w:pPr>
        <w:numPr>
          <w:ilvl w:val="0"/>
          <w:numId w:val="8"/>
        </w:numPr>
        <w:tabs>
          <w:tab w:val="left" w:pos="993"/>
        </w:tabs>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估值方法</w:t>
      </w:r>
    </w:p>
    <w:p>
      <w:pPr>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1.存款类资产、货币市场工具：以本金列示，逐日计提利息。</w:t>
      </w:r>
    </w:p>
    <w:p>
      <w:pPr>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2.货币市场基金：按公允价值进行估值，以估值截止时间点能够取得的最新每万份收益进行估值。</w:t>
      </w:r>
    </w:p>
    <w:p>
      <w:pPr>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3.债券类资产：按公允价值进行估值，采用市价、监管认可的第三方估值机构提供的估值价格进行估值。对于以收取合同现金流量为目的并持有到期的债券，符合企业会计准则及监管规定，分类为“以摊余成本计量的金融资产”的，按摊余成本法进行估值，并按照会计准则采用合理减值计量模型或第三方减值计量结果进行预期信用损失的减值计提。计提减值不等同于金融资产已发生损失，仅为对未来风险的审慎预期。</w:t>
      </w:r>
    </w:p>
    <w:p>
      <w:pPr>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4.债权类资产：按公允价值进行估值。对于以收取合同现金流量为目的并持有到期的债权类资产，金融资产暂不具备活跃交易市场，或者在活跃市场中没有报价，且符合会计准则及监管规定，按摊余成本法进行估值，并按照会计准则采用合理减值计量模型或第三方减值计量结果进行预期信用损失的减值计提。计提减值不等同于金融资产已发生损失，仅为对未来风险的审慎预期。</w:t>
      </w:r>
    </w:p>
    <w:p>
      <w:pPr>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5.权益类资产：按公允价值进行估值，采用市价、监管认可的第三方估值机构提供的估值价格进行估值。</w:t>
      </w:r>
    </w:p>
    <w:p>
      <w:pPr>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6.证券、基金、保险等资产管理计划和信托计划等资产（不含货币市场基金）：按公允价值进行估值，上述各类资管产品关于同一投资品种的估值原则、政策、技术和方法等应与理财产品管理人保持一致，理财产品管理人将按照会计准则要求定期进行评估。</w:t>
      </w:r>
    </w:p>
    <w:p>
      <w:pPr>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7.其他资产：按公允价值进行估值。</w:t>
      </w:r>
    </w:p>
    <w:p>
      <w:pPr>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如有新增事项或变更事项，按国家法律法规及监管最新规定执行。</w:t>
      </w:r>
    </w:p>
    <w:p>
      <w:pPr>
        <w:numPr>
          <w:ilvl w:val="0"/>
          <w:numId w:val="8"/>
        </w:numPr>
        <w:tabs>
          <w:tab w:val="left" w:pos="993"/>
        </w:tabs>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估值错误的处理</w:t>
      </w:r>
    </w:p>
    <w:p>
      <w:pPr>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产品管理人和产品托管人将采取必要、适当合理的措施确保产品资产估值的准确性、及时性。当产品单位净值出现错误时，产品管理人应当立即予以纠正，并采取合理的措施防止损失进一步扩大。由于证券交易所、期货交易所、第三方估值机构、登记机构等发送数据错误等非理财产品管理人和托管人原因，或由于其它不可抗力原因，产品管理人和产品托管人虽然已采取必要、适当、合理的措施进行检查，但是未能发现该错误的，由此造成的产品估值错误，产品管理人和产品托管人免除赔偿责任。但产品管理人和产品托管人应当积极采取必要的措施减轻或消除由此造成的影响。</w:t>
      </w:r>
    </w:p>
    <w:p>
      <w:pPr>
        <w:numPr>
          <w:ilvl w:val="0"/>
          <w:numId w:val="8"/>
        </w:numPr>
        <w:tabs>
          <w:tab w:val="left" w:pos="993"/>
        </w:tabs>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暂停估值</w:t>
      </w:r>
    </w:p>
    <w:p>
      <w:pPr>
        <w:keepNext w:val="0"/>
        <w:keepLines w:val="0"/>
        <w:pageBreakBefore w:val="0"/>
        <w:bidi w:val="0"/>
        <w:spacing w:line="240" w:lineRule="auto"/>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理财产品投资所涉及的证券交易所遇法定节假日或其他原因暂停营业时，或因任何不可抗力致使无法准确评估资产价值时，可暂停估值。但估值条件恢复时，将按规定完成估值工作。</w:t>
      </w:r>
    </w:p>
    <w:p>
      <w:pPr>
        <w:numPr>
          <w:ilvl w:val="0"/>
          <w:numId w:val="8"/>
        </w:numPr>
        <w:tabs>
          <w:tab w:val="left" w:pos="993"/>
        </w:tabs>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lang w:val="en-US" w:eastAsia="zh-CN"/>
        </w:rPr>
        <w:t>产品单位净值的计算</w:t>
      </w:r>
    </w:p>
    <w:p>
      <w:pPr>
        <w:numPr>
          <w:ilvl w:val="0"/>
          <w:numId w:val="0"/>
        </w:numPr>
        <w:tabs>
          <w:tab w:val="left" w:pos="728"/>
        </w:tabs>
        <w:ind w:left="0" w:firstLine="420"/>
        <w:rPr>
          <w:rFonts w:hint="eastAsia" w:ascii="楷体" w:hAnsi="楷体" w:eastAsia="楷体" w:cs="楷体"/>
          <w:b/>
          <w:color w:val="auto"/>
          <w:sz w:val="21"/>
          <w:szCs w:val="21"/>
          <w:highlight w:val="none"/>
        </w:rPr>
      </w:pPr>
      <w:r>
        <w:rPr>
          <w:rFonts w:hint="eastAsia" w:ascii="楷体" w:hAnsi="楷体" w:eastAsia="楷体" w:cs="楷体"/>
          <w:color w:val="auto"/>
          <w:sz w:val="21"/>
          <w:szCs w:val="21"/>
          <w:highlight w:val="none"/>
          <w:lang w:val="en-US" w:eastAsia="zh-CN"/>
        </w:rPr>
        <w:t>产品单位</w:t>
      </w:r>
      <w:r>
        <w:rPr>
          <w:rFonts w:hint="eastAsia" w:ascii="楷体" w:hAnsi="楷体" w:eastAsia="楷体" w:cs="楷体"/>
          <w:color w:val="auto"/>
          <w:sz w:val="21"/>
          <w:szCs w:val="21"/>
          <w:highlight w:val="none"/>
        </w:rPr>
        <w:t>净值为提取相关费用后的理财产品份额净值，投资者按该</w:t>
      </w:r>
      <w:r>
        <w:rPr>
          <w:rFonts w:hint="eastAsia" w:ascii="楷体" w:hAnsi="楷体" w:eastAsia="楷体" w:cs="楷体"/>
          <w:color w:val="auto"/>
          <w:sz w:val="21"/>
          <w:szCs w:val="21"/>
          <w:highlight w:val="none"/>
          <w:lang w:val="en-US" w:eastAsia="zh-CN"/>
        </w:rPr>
        <w:t>单位</w:t>
      </w:r>
      <w:r>
        <w:rPr>
          <w:rFonts w:hint="eastAsia" w:ascii="楷体" w:hAnsi="楷体" w:eastAsia="楷体" w:cs="楷体"/>
          <w:color w:val="auto"/>
          <w:sz w:val="21"/>
          <w:szCs w:val="21"/>
          <w:highlight w:val="none"/>
        </w:rPr>
        <w:t>净值进行申购、赎回和到期/终止时的分配。本产品单位净值精确到小数点后6位，小数点</w:t>
      </w:r>
      <w:r>
        <w:rPr>
          <w:rFonts w:hint="eastAsia" w:ascii="楷体" w:hAnsi="楷体" w:eastAsia="楷体" w:cs="楷体"/>
          <w:color w:val="auto"/>
          <w:sz w:val="21"/>
          <w:szCs w:val="21"/>
          <w:highlight w:val="none"/>
          <w:lang w:val="en-US" w:eastAsia="zh-CN"/>
        </w:rPr>
        <w:t>6</w:t>
      </w:r>
      <w:r>
        <w:rPr>
          <w:rFonts w:hint="eastAsia" w:ascii="楷体" w:hAnsi="楷体" w:eastAsia="楷体" w:cs="楷体"/>
          <w:color w:val="auto"/>
          <w:sz w:val="21"/>
          <w:szCs w:val="21"/>
          <w:highlight w:val="none"/>
        </w:rPr>
        <w:t>位后截位。</w:t>
      </w:r>
    </w:p>
    <w:p>
      <w:pPr>
        <w:keepNext w:val="0"/>
        <w:keepLines w:val="0"/>
        <w:pageBreakBefore w:val="0"/>
        <w:numPr>
          <w:ilvl w:val="0"/>
          <w:numId w:val="2"/>
        </w:numPr>
        <w:tabs>
          <w:tab w:val="left" w:pos="1134"/>
        </w:tabs>
        <w:bidi w:val="0"/>
        <w:spacing w:line="240" w:lineRule="auto"/>
        <w:ind w:left="0" w:firstLine="422"/>
        <w:outlineLvl w:val="1"/>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lang w:val="en-US" w:eastAsia="zh-CN"/>
        </w:rPr>
        <w:t>风险提示</w:t>
      </w:r>
    </w:p>
    <w:p>
      <w:pPr>
        <w:keepNext w:val="0"/>
        <w:keepLines w:val="0"/>
        <w:pageBreakBefore w:val="0"/>
        <w:bidi w:val="0"/>
        <w:spacing w:line="240" w:lineRule="auto"/>
        <w:ind w:firstLine="422"/>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u w:val="single"/>
        </w:rPr>
        <w:t>本理财产品为非保本浮动收益净值型理财产品，根据法律法规及监管要求的有关规定，特向投资者提示如下：与银行存款比较，本理财产品存在投资风险，投资者的本金和收益可能会因市场变动等原因而蒙受损失，投资者应充分认识投资风险，谨慎投资。本理财产品可能面临的风险主要包括</w:t>
      </w:r>
      <w:r>
        <w:rPr>
          <w:rFonts w:hint="eastAsia" w:ascii="楷体" w:hAnsi="楷体" w:eastAsia="楷体" w:cs="楷体"/>
          <w:b/>
          <w:color w:val="auto"/>
          <w:sz w:val="21"/>
          <w:szCs w:val="21"/>
          <w:highlight w:val="none"/>
          <w:u w:val="single"/>
          <w:lang w:eastAsia="zh-CN"/>
        </w:rPr>
        <w:t>但不限于</w:t>
      </w:r>
      <w:r>
        <w:rPr>
          <w:rFonts w:hint="eastAsia" w:ascii="楷体" w:hAnsi="楷体" w:eastAsia="楷体" w:cs="楷体"/>
          <w:b/>
          <w:color w:val="auto"/>
          <w:sz w:val="21"/>
          <w:szCs w:val="21"/>
          <w:highlight w:val="none"/>
          <w:u w:val="single"/>
        </w:rPr>
        <w:t>：</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rPr>
        <w:t>政策风险：</w:t>
      </w:r>
      <w:r>
        <w:rPr>
          <w:rFonts w:hint="eastAsia" w:ascii="楷体" w:hAnsi="楷体" w:eastAsia="楷体"/>
          <w:color w:val="auto"/>
          <w:sz w:val="21"/>
          <w:szCs w:val="21"/>
          <w:highlight w:val="none"/>
        </w:rPr>
        <w:t>本理财产品是根据当前相关法律法规、监管规定和国家政策设计的。如国家宏观政策以及市场相关法律法规、监管规定发生变化，可能影响理财产品的发行、交易、投资、兑付等工作流程的正常进行，从而影响本理财产品的投资运作，则投资者可能面临本金和收益遭受部分甚至全部损失的风险。</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b/>
          <w:color w:val="auto"/>
          <w:sz w:val="21"/>
          <w:szCs w:val="21"/>
          <w:highlight w:val="none"/>
        </w:rPr>
      </w:pPr>
      <w:r>
        <w:rPr>
          <w:rFonts w:hint="eastAsia" w:ascii="楷体" w:hAnsi="楷体" w:eastAsia="楷体"/>
          <w:b/>
          <w:color w:val="auto"/>
          <w:sz w:val="21"/>
          <w:szCs w:val="21"/>
          <w:highlight w:val="none"/>
        </w:rPr>
        <w:t>信用风险：</w:t>
      </w:r>
      <w:r>
        <w:rPr>
          <w:rFonts w:hint="eastAsia" w:ascii="楷体" w:hAnsi="楷体" w:eastAsia="楷体"/>
          <w:color w:val="auto"/>
          <w:sz w:val="21"/>
          <w:szCs w:val="21"/>
          <w:highlight w:val="none"/>
        </w:rPr>
        <w:t>本理财产品</w:t>
      </w:r>
      <w:r>
        <w:rPr>
          <w:rFonts w:hint="eastAsia" w:ascii="楷体" w:hAnsi="楷体" w:eastAsia="楷体"/>
          <w:color w:val="auto"/>
          <w:sz w:val="21"/>
          <w:szCs w:val="21"/>
          <w:highlight w:val="none"/>
          <w:lang w:val="en-US" w:eastAsia="zh-CN"/>
        </w:rPr>
        <w:t>投资于各类金融</w:t>
      </w:r>
      <w:r>
        <w:rPr>
          <w:rFonts w:hint="eastAsia" w:ascii="楷体" w:hAnsi="楷体" w:eastAsia="楷体"/>
          <w:color w:val="auto"/>
          <w:sz w:val="21"/>
          <w:szCs w:val="21"/>
          <w:highlight w:val="none"/>
        </w:rPr>
        <w:t>资产，因此有可能由于发行主体或交易对手信用状况恶化导致交易违约，致使本理财产品到期实际收益不足业绩比较基准，该种情况下，</w:t>
      </w:r>
      <w:r>
        <w:rPr>
          <w:rFonts w:hint="eastAsia" w:ascii="楷体" w:hAnsi="楷体" w:eastAsia="楷体"/>
          <w:color w:val="auto"/>
          <w:sz w:val="21"/>
          <w:szCs w:val="21"/>
          <w:highlight w:val="none"/>
          <w:lang w:val="en-US" w:eastAsia="zh-CN"/>
        </w:rPr>
        <w:t>管理人</w:t>
      </w:r>
      <w:r>
        <w:rPr>
          <w:rFonts w:hint="eastAsia" w:ascii="楷体" w:hAnsi="楷体" w:eastAsia="楷体"/>
          <w:color w:val="auto"/>
          <w:sz w:val="21"/>
          <w:szCs w:val="21"/>
          <w:highlight w:val="none"/>
        </w:rPr>
        <w:t>将按照投资实际收益情况，并以资产变现实际收到的资金为限支付投资</w:t>
      </w:r>
      <w:r>
        <w:rPr>
          <w:rFonts w:hint="eastAsia" w:ascii="楷体" w:hAnsi="楷体" w:eastAsia="楷体"/>
          <w:color w:val="auto"/>
          <w:sz w:val="21"/>
          <w:szCs w:val="21"/>
          <w:highlight w:val="none"/>
          <w:lang w:val="en-US" w:eastAsia="zh-CN"/>
        </w:rPr>
        <w:t>者</w:t>
      </w:r>
      <w:r>
        <w:rPr>
          <w:rFonts w:hint="eastAsia" w:ascii="楷体" w:hAnsi="楷体" w:eastAsia="楷体"/>
          <w:color w:val="auto"/>
          <w:sz w:val="21"/>
          <w:szCs w:val="21"/>
          <w:highlight w:val="none"/>
        </w:rPr>
        <w:t>收益，投资</w:t>
      </w:r>
      <w:r>
        <w:rPr>
          <w:rFonts w:hint="eastAsia" w:ascii="楷体" w:hAnsi="楷体" w:eastAsia="楷体"/>
          <w:color w:val="auto"/>
          <w:sz w:val="21"/>
          <w:szCs w:val="21"/>
          <w:highlight w:val="none"/>
          <w:lang w:val="en-US" w:eastAsia="zh-CN"/>
        </w:rPr>
        <w:t>者</w:t>
      </w:r>
      <w:r>
        <w:rPr>
          <w:rFonts w:hint="eastAsia" w:ascii="楷体" w:hAnsi="楷体" w:eastAsia="楷体"/>
          <w:color w:val="auto"/>
          <w:sz w:val="21"/>
          <w:szCs w:val="21"/>
          <w:highlight w:val="none"/>
        </w:rPr>
        <w:t>将自行承担由此而导致本金和收益遭受部分甚至全部损失的风险。</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rPr>
        <w:t>市场风险：</w:t>
      </w:r>
      <w:r>
        <w:rPr>
          <w:rFonts w:hint="eastAsia" w:ascii="楷体" w:hAnsi="楷体" w:eastAsia="楷体"/>
          <w:color w:val="auto"/>
          <w:sz w:val="21"/>
          <w:szCs w:val="21"/>
          <w:highlight w:val="none"/>
        </w:rPr>
        <w:t>本理财产品投资</w:t>
      </w:r>
      <w:r>
        <w:rPr>
          <w:rFonts w:hint="eastAsia" w:ascii="楷体" w:hAnsi="楷体" w:eastAsia="楷体"/>
          <w:color w:val="auto"/>
          <w:sz w:val="21"/>
          <w:szCs w:val="21"/>
          <w:highlight w:val="none"/>
          <w:lang w:val="en-US" w:eastAsia="zh-CN"/>
        </w:rPr>
        <w:t>的金融</w:t>
      </w:r>
      <w:r>
        <w:rPr>
          <w:rFonts w:hint="eastAsia" w:ascii="楷体" w:hAnsi="楷体" w:eastAsia="楷体"/>
          <w:color w:val="auto"/>
          <w:sz w:val="21"/>
          <w:szCs w:val="21"/>
          <w:highlight w:val="none"/>
        </w:rPr>
        <w:t>资产的价格受到经济因素、政治因素、投资心理和交易制度等各种因素的影响，可能导致本理财产品资产收益水平变化，投资者可能面临本金和收益遭受部分甚至全部损失的风险。</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b/>
          <w:color w:val="auto"/>
          <w:sz w:val="21"/>
          <w:szCs w:val="21"/>
          <w:highlight w:val="none"/>
        </w:rPr>
      </w:pPr>
      <w:r>
        <w:rPr>
          <w:rFonts w:hint="eastAsia" w:ascii="楷体" w:hAnsi="楷体" w:eastAsia="楷体"/>
          <w:b/>
          <w:color w:val="auto"/>
          <w:sz w:val="21"/>
          <w:szCs w:val="21"/>
          <w:highlight w:val="none"/>
        </w:rPr>
        <w:t>流动性风险：</w:t>
      </w:r>
      <w:r>
        <w:rPr>
          <w:rFonts w:hint="eastAsia" w:ascii="楷体" w:hAnsi="楷体" w:eastAsia="楷体"/>
          <w:b w:val="0"/>
          <w:bCs/>
          <w:color w:val="auto"/>
          <w:sz w:val="21"/>
          <w:szCs w:val="21"/>
          <w:highlight w:val="none"/>
        </w:rPr>
        <w:t>在特定市场环境下，理财产品所投资的部分市场或资产可能出现流动性较差的情况，导致理财产品无法通过变现资产等途径以合理成本及时获得充足资金，无法</w:t>
      </w:r>
      <w:r>
        <w:rPr>
          <w:rFonts w:hint="eastAsia" w:ascii="楷体" w:hAnsi="楷体" w:eastAsia="楷体"/>
          <w:b w:val="0"/>
          <w:bCs/>
          <w:color w:val="auto"/>
          <w:sz w:val="21"/>
          <w:szCs w:val="21"/>
          <w:highlight w:val="none"/>
          <w:lang w:val="en-US" w:eastAsia="zh-CN"/>
        </w:rPr>
        <w:t>满足本理财产品履行相关</w:t>
      </w:r>
      <w:r>
        <w:rPr>
          <w:rFonts w:hint="eastAsia" w:ascii="楷体" w:hAnsi="楷体" w:eastAsia="楷体"/>
          <w:b w:val="0"/>
          <w:bCs/>
          <w:color w:val="auto"/>
          <w:sz w:val="21"/>
          <w:szCs w:val="21"/>
          <w:highlight w:val="none"/>
        </w:rPr>
        <w:t>支付义务，带来流动性风险。</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rPr>
        <w:t>管理风险：</w:t>
      </w:r>
      <w:r>
        <w:rPr>
          <w:rFonts w:hint="eastAsia" w:ascii="楷体" w:hAnsi="楷体" w:eastAsia="楷体"/>
          <w:color w:val="auto"/>
          <w:sz w:val="21"/>
          <w:szCs w:val="21"/>
          <w:highlight w:val="none"/>
        </w:rPr>
        <w:t>在本理财产品运作过程中，投资管理各方受经验、技能、执行力等综合因素的限制，可能会对本理财产品的运作和管理造成一定影响，投资者可能面临本金和收益遭受部分甚至全部损失的风险。</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rPr>
        <w:t>操作风险：</w:t>
      </w:r>
      <w:r>
        <w:rPr>
          <w:rFonts w:hint="eastAsia" w:ascii="楷体" w:hAnsi="楷体" w:eastAsia="楷体"/>
          <w:color w:val="auto"/>
          <w:sz w:val="21"/>
          <w:szCs w:val="21"/>
          <w:highlight w:val="none"/>
        </w:rPr>
        <w:t>如本理财产品管理人由于内部作业、人员管理、系统操作及事务处理不当或失误等，则投资者可能面临本金和收益遭受部分甚至全部损失的风险。</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color w:val="auto"/>
          <w:sz w:val="21"/>
          <w:szCs w:val="21"/>
          <w:highlight w:val="none"/>
        </w:rPr>
      </w:pPr>
      <w:r>
        <w:rPr>
          <w:rFonts w:hint="eastAsia" w:ascii="楷体" w:hAnsi="楷体" w:eastAsia="楷体"/>
          <w:b/>
          <w:bCs/>
          <w:color w:val="auto"/>
          <w:sz w:val="21"/>
          <w:szCs w:val="21"/>
          <w:highlight w:val="none"/>
          <w:lang w:val="en-US" w:eastAsia="zh-CN"/>
        </w:rPr>
        <w:t>理财产品不成立风险：</w:t>
      </w:r>
      <w:r>
        <w:rPr>
          <w:rFonts w:hint="eastAsia" w:ascii="楷体" w:hAnsi="楷体" w:eastAsia="楷体"/>
          <w:color w:val="auto"/>
          <w:sz w:val="21"/>
          <w:szCs w:val="21"/>
          <w:highlight w:val="none"/>
          <w:lang w:val="en-US" w:eastAsia="zh-CN"/>
        </w:rPr>
        <w:t>募集期届满时，</w:t>
      </w:r>
      <w:r>
        <w:rPr>
          <w:rFonts w:hint="eastAsia" w:ascii="楷体" w:hAnsi="楷体" w:eastAsia="楷体" w:cs="楷体"/>
          <w:color w:val="auto"/>
          <w:spacing w:val="-2"/>
          <w:sz w:val="21"/>
          <w:szCs w:val="21"/>
          <w:highlight w:val="none"/>
        </w:rPr>
        <w:t>若产品认购规模未达到最低发行规模，或新的法律、法规或监管政策导致本产品无法合法合规运行，或出现其他导致影响产品成立</w:t>
      </w:r>
      <w:r>
        <w:rPr>
          <w:rFonts w:hint="eastAsia" w:ascii="楷体" w:hAnsi="楷体" w:eastAsia="楷体" w:cs="楷体"/>
          <w:color w:val="auto"/>
          <w:spacing w:val="-2"/>
          <w:sz w:val="21"/>
          <w:szCs w:val="21"/>
          <w:highlight w:val="none"/>
          <w:lang w:val="en-US" w:eastAsia="zh-CN"/>
        </w:rPr>
        <w:t>的</w:t>
      </w:r>
      <w:r>
        <w:rPr>
          <w:rFonts w:hint="eastAsia" w:ascii="楷体" w:hAnsi="楷体" w:eastAsia="楷体" w:cs="楷体"/>
          <w:color w:val="auto"/>
          <w:spacing w:val="-2"/>
          <w:sz w:val="21"/>
          <w:szCs w:val="21"/>
          <w:highlight w:val="none"/>
        </w:rPr>
        <w:t>不可抗力因素，</w:t>
      </w:r>
      <w:r>
        <w:rPr>
          <w:rFonts w:hint="eastAsia" w:ascii="楷体" w:hAnsi="楷体" w:eastAsia="楷体"/>
          <w:color w:val="auto"/>
          <w:sz w:val="21"/>
          <w:szCs w:val="21"/>
          <w:highlight w:val="none"/>
          <w:lang w:val="en-US" w:eastAsia="zh-CN"/>
        </w:rPr>
        <w:t>经管理人谨慎合理判断难以按照本理财产品说明书的规定向投资者提供本理财服务的，管理人有权宣布（或通过销售机构通知）理财产品不成立且不承担任何违约责任，投资者将面临再投资风险。</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rPr>
        <w:t>延期兑付风险：</w:t>
      </w:r>
      <w:r>
        <w:rPr>
          <w:rFonts w:hint="eastAsia" w:ascii="楷体" w:hAnsi="楷体" w:eastAsia="楷体"/>
          <w:color w:val="auto"/>
          <w:sz w:val="21"/>
          <w:szCs w:val="21"/>
          <w:highlight w:val="none"/>
        </w:rPr>
        <w:t>因市场成交量不足、资产限制赎回、暂停交易、缺乏意愿交易对手等原因，产品管理人未能及时完成资产变现而导致理财产品不能及时变现、持有期与资金需求日不匹配或不能按时支付清算分配金额，则投资者可能面临产品兑付延期、调整等风险，甚至由此投资者可能面临本金和收益遭受部分甚至全部损失的风险。</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rPr>
        <w:t>提前终止风险：</w:t>
      </w:r>
      <w:r>
        <w:rPr>
          <w:rFonts w:hint="eastAsia" w:ascii="楷体" w:hAnsi="楷体" w:eastAsia="楷体"/>
          <w:color w:val="auto"/>
          <w:sz w:val="21"/>
          <w:szCs w:val="21"/>
          <w:highlight w:val="none"/>
        </w:rPr>
        <w:t>为保护投资者利益，在本理财产品存续期间，产品管理人可根据本理财产品说明书约定的情况提前终止本理财产品。同时，由于不可抗力及/或意外事件导致产品管理人无法继续履行理财</w:t>
      </w:r>
      <w:r>
        <w:rPr>
          <w:rFonts w:hint="eastAsia" w:ascii="楷体" w:hAnsi="楷体" w:eastAsia="楷体"/>
          <w:color w:val="auto"/>
          <w:sz w:val="21"/>
          <w:szCs w:val="21"/>
          <w:highlight w:val="none"/>
          <w:lang w:val="en-US" w:eastAsia="zh-CN"/>
        </w:rPr>
        <w:t>产品销售文件</w:t>
      </w:r>
      <w:r>
        <w:rPr>
          <w:rFonts w:hint="eastAsia" w:ascii="楷体" w:hAnsi="楷体" w:eastAsia="楷体"/>
          <w:color w:val="auto"/>
          <w:sz w:val="21"/>
          <w:szCs w:val="21"/>
          <w:highlight w:val="none"/>
        </w:rPr>
        <w:t>的，产品管理人有权提前终止理财产品</w:t>
      </w:r>
      <w:r>
        <w:rPr>
          <w:rFonts w:hint="eastAsia" w:ascii="楷体" w:hAnsi="楷体" w:eastAsia="楷体"/>
          <w:color w:val="auto"/>
          <w:sz w:val="21"/>
          <w:szCs w:val="21"/>
          <w:highlight w:val="none"/>
          <w:lang w:val="en-US" w:eastAsia="zh-CN"/>
        </w:rPr>
        <w:t>销售文件</w:t>
      </w:r>
      <w:r>
        <w:rPr>
          <w:rFonts w:hint="eastAsia" w:ascii="楷体" w:hAnsi="楷体" w:eastAsia="楷体"/>
          <w:color w:val="auto"/>
          <w:sz w:val="21"/>
          <w:szCs w:val="21"/>
          <w:highlight w:val="none"/>
        </w:rPr>
        <w:t>，并将发生不可抗力及/或意外事件后剩余的投资者应得理财资金划付至投资者清算账户。此外，如国家宏观政策、市场相关法律、行政法规或政策等发生变化，可能导致理财产品提前终止。上述情况下，投资者可能面临产品提前终止后再投资的风险。</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rPr>
        <w:t>信息传递风险：</w:t>
      </w:r>
      <w:r>
        <w:rPr>
          <w:rFonts w:hint="eastAsia" w:ascii="楷体" w:hAnsi="楷体" w:eastAsia="楷体"/>
          <w:color w:val="auto"/>
          <w:sz w:val="21"/>
          <w:szCs w:val="21"/>
          <w:highlight w:val="none"/>
        </w:rPr>
        <w:t>产品管理人将按照本理财产品</w:t>
      </w:r>
      <w:r>
        <w:rPr>
          <w:rFonts w:hint="eastAsia" w:ascii="楷体" w:hAnsi="楷体" w:eastAsia="楷体"/>
          <w:color w:val="auto"/>
          <w:sz w:val="21"/>
          <w:szCs w:val="21"/>
          <w:highlight w:val="none"/>
          <w:lang w:val="en-US" w:eastAsia="zh-CN"/>
        </w:rPr>
        <w:t>销售文件</w:t>
      </w:r>
      <w:r>
        <w:rPr>
          <w:rFonts w:hint="eastAsia" w:ascii="楷体" w:hAnsi="楷体" w:eastAsia="楷体"/>
          <w:color w:val="auto"/>
          <w:sz w:val="21"/>
          <w:szCs w:val="21"/>
          <w:highlight w:val="none"/>
        </w:rPr>
        <w:t>中规定的信息披露方式及披露途径向投资者公示本理财产品的各类信息和重大事件，投资者应及时查询了解。如投资者未及时查询相关信息或由于不可抗力及/或意外事件的影响使得投资者无法及时了解理财产品信息，进而影响投资者的投资决策，因此产生的责任和风险由投资者自行承担。投资者预留的有效联系方式发生变更的，亦应及时通知产品管理人。如投资者未及时告知产品管理人联系方式变更或产品管理人在其认为需要时无法及时联系到投资者的，可能会影响投资者的投资决策，因此产生的责任和风险由投资者自行承担。</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sz w:val="21"/>
          <w:szCs w:val="21"/>
          <w:highlight w:val="none"/>
        </w:rPr>
      </w:pPr>
      <w:r>
        <w:rPr>
          <w:rFonts w:hint="eastAsia" w:ascii="楷体" w:hAnsi="楷体" w:eastAsia="楷体"/>
          <w:b/>
          <w:sz w:val="21"/>
          <w:szCs w:val="21"/>
          <w:highlight w:val="none"/>
        </w:rPr>
        <w:t>代销风险</w:t>
      </w:r>
      <w:r>
        <w:rPr>
          <w:rFonts w:hint="eastAsia" w:ascii="楷体" w:hAnsi="楷体" w:eastAsia="楷体"/>
          <w:b/>
          <w:sz w:val="21"/>
          <w:szCs w:val="21"/>
          <w:highlight w:val="none"/>
          <w:lang w:eastAsia="zh-CN"/>
        </w:rPr>
        <w:t>（</w:t>
      </w:r>
      <w:r>
        <w:rPr>
          <w:rFonts w:hint="eastAsia" w:ascii="楷体" w:hAnsi="楷体" w:eastAsia="楷体"/>
          <w:b/>
          <w:sz w:val="21"/>
          <w:szCs w:val="21"/>
          <w:highlight w:val="none"/>
          <w:lang w:val="en-US" w:eastAsia="zh-CN"/>
        </w:rPr>
        <w:t>如有）</w:t>
      </w:r>
      <w:r>
        <w:rPr>
          <w:rFonts w:hint="eastAsia" w:ascii="楷体" w:hAnsi="楷体" w:eastAsia="楷体"/>
          <w:b/>
          <w:sz w:val="21"/>
          <w:szCs w:val="21"/>
          <w:highlight w:val="none"/>
        </w:rPr>
        <w:t>：</w:t>
      </w:r>
      <w:r>
        <w:rPr>
          <w:rFonts w:hint="eastAsia" w:ascii="楷体" w:hAnsi="楷体" w:eastAsia="楷体"/>
          <w:b w:val="0"/>
          <w:bCs/>
          <w:sz w:val="21"/>
          <w:szCs w:val="21"/>
          <w:highlight w:val="none"/>
          <w:lang w:val="en-US" w:eastAsia="zh-CN"/>
        </w:rPr>
        <w:t>如</w:t>
      </w:r>
      <w:r>
        <w:rPr>
          <w:rFonts w:hint="eastAsia" w:ascii="楷体" w:hAnsi="楷体" w:eastAsia="楷体"/>
          <w:sz w:val="21"/>
          <w:szCs w:val="21"/>
          <w:highlight w:val="none"/>
        </w:rPr>
        <w:t>本产品通过代销渠道（非产品管理人自有渠道）销售，投资者认购</w:t>
      </w:r>
      <w:r>
        <w:rPr>
          <w:rFonts w:hint="eastAsia" w:ascii="楷体" w:hAnsi="楷体" w:eastAsia="楷体"/>
          <w:sz w:val="21"/>
          <w:szCs w:val="21"/>
          <w:highlight w:val="none"/>
          <w:lang w:val="en-US" w:eastAsia="zh-CN"/>
        </w:rPr>
        <w:t>/申购</w:t>
      </w:r>
      <w:r>
        <w:rPr>
          <w:rFonts w:hint="eastAsia" w:ascii="楷体" w:hAnsi="楷体" w:eastAsia="楷体"/>
          <w:sz w:val="21"/>
          <w:szCs w:val="21"/>
          <w:highlight w:val="none"/>
        </w:rPr>
        <w:t>理财产品的资金由代销机构从投资者资金账户扣收；份额赎回时，赎回资金按本理财产品</w:t>
      </w:r>
      <w:r>
        <w:rPr>
          <w:rFonts w:hint="eastAsia" w:ascii="楷体" w:hAnsi="楷体" w:eastAsia="楷体"/>
          <w:color w:val="auto"/>
          <w:sz w:val="21"/>
          <w:szCs w:val="21"/>
          <w:highlight w:val="none"/>
          <w:lang w:val="en-US" w:eastAsia="zh-CN"/>
        </w:rPr>
        <w:t>销售文件</w:t>
      </w:r>
      <w:r>
        <w:rPr>
          <w:rFonts w:hint="eastAsia" w:ascii="楷体" w:hAnsi="楷体" w:eastAsia="楷体"/>
          <w:sz w:val="21"/>
          <w:szCs w:val="21"/>
          <w:highlight w:val="none"/>
        </w:rPr>
        <w:t>约定划付至代销机构清算账户后，由代销机构向投资者划付投资者应得赎回资金。不同代销机构的销售渠道，其认购</w:t>
      </w:r>
      <w:r>
        <w:rPr>
          <w:rFonts w:hint="eastAsia" w:ascii="楷体" w:hAnsi="楷体" w:eastAsia="楷体"/>
          <w:sz w:val="21"/>
          <w:szCs w:val="21"/>
          <w:highlight w:val="none"/>
          <w:lang w:val="en-US" w:eastAsia="zh-CN"/>
        </w:rPr>
        <w:t>/申购</w:t>
      </w:r>
      <w:r>
        <w:rPr>
          <w:rFonts w:hint="eastAsia" w:ascii="楷体" w:hAnsi="楷体" w:eastAsia="楷体"/>
          <w:sz w:val="21"/>
          <w:szCs w:val="21"/>
          <w:highlight w:val="none"/>
        </w:rPr>
        <w:t>/赎回确认时效可能存在差异。如因投资者清算账户余额不足，或代销机构未及时足额划付资金，或代销机构清算账户内资金被依法冻结或扣划，或代销机构清算账户处于被挂失、冻结、注销或其他非正常状态等原因而导致交易失败，对于因上述原因导致的交易失败可能带来的任何损失及预期损失，投资者须自行承担或与代销机构协商解决，前述约定不免除因代销机构过错而依法应由代销机构承担的责任。</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color w:val="auto"/>
          <w:sz w:val="21"/>
          <w:szCs w:val="21"/>
          <w:highlight w:val="none"/>
        </w:rPr>
      </w:pPr>
      <w:r>
        <w:rPr>
          <w:rFonts w:hint="eastAsia" w:ascii="楷体" w:hAnsi="楷体" w:eastAsia="楷体"/>
          <w:b/>
          <w:color w:val="auto"/>
          <w:sz w:val="21"/>
          <w:szCs w:val="21"/>
          <w:highlight w:val="none"/>
        </w:rPr>
        <w:t>不可抗力</w:t>
      </w:r>
      <w:r>
        <w:rPr>
          <w:rFonts w:hint="eastAsia" w:ascii="楷体" w:hAnsi="楷体" w:eastAsia="楷体"/>
          <w:b/>
          <w:color w:val="auto"/>
          <w:sz w:val="21"/>
          <w:szCs w:val="21"/>
          <w:highlight w:val="none"/>
          <w:lang w:val="en-US" w:eastAsia="zh-CN"/>
        </w:rPr>
        <w:t>及意外事件</w:t>
      </w:r>
      <w:r>
        <w:rPr>
          <w:rFonts w:hint="eastAsia" w:ascii="楷体" w:hAnsi="楷体" w:eastAsia="楷体"/>
          <w:b/>
          <w:color w:val="auto"/>
          <w:sz w:val="21"/>
          <w:szCs w:val="21"/>
          <w:highlight w:val="none"/>
        </w:rPr>
        <w:t>风险：</w:t>
      </w:r>
      <w:r>
        <w:rPr>
          <w:rFonts w:hint="eastAsia" w:ascii="楷体" w:hAnsi="楷体" w:eastAsia="楷体"/>
          <w:color w:val="auto"/>
          <w:sz w:val="21"/>
          <w:szCs w:val="21"/>
          <w:highlight w:val="none"/>
        </w:rPr>
        <w:t>自然灾害、</w:t>
      </w:r>
      <w:r>
        <w:rPr>
          <w:rFonts w:hint="eastAsia" w:ascii="楷体" w:hAnsi="楷体" w:eastAsia="楷体"/>
          <w:sz w:val="21"/>
          <w:szCs w:val="21"/>
          <w:highlight w:val="none"/>
        </w:rPr>
        <w:t>疫情、严重传染病</w:t>
      </w:r>
      <w:r>
        <w:rPr>
          <w:rFonts w:hint="eastAsia" w:ascii="楷体" w:hAnsi="楷体" w:eastAsia="楷体"/>
          <w:sz w:val="21"/>
          <w:szCs w:val="21"/>
          <w:highlight w:val="none"/>
          <w:lang w:eastAsia="zh-CN"/>
        </w:rPr>
        <w:t>、</w:t>
      </w:r>
      <w:r>
        <w:rPr>
          <w:rFonts w:hint="eastAsia" w:ascii="楷体" w:hAnsi="楷体" w:eastAsia="楷体"/>
          <w:color w:val="auto"/>
          <w:sz w:val="21"/>
          <w:szCs w:val="21"/>
          <w:highlight w:val="none"/>
        </w:rPr>
        <w:t>金融市场危机、战争等不能预见、不能避免、不能克服的不可抗力因素，及/或系统故障、通讯故障、投资市场停止交易等意外事件非产品管理人所能控制的原因发生，可能对本理财产品的受理、成立、投资运作、资金返还、信息披露、公告通知等造成影响，甚至可能导致投资者的本金和收益可能遭受部分或全部的损失。对于由不可抗力及/或意外事件风险导致的任何损失，投资者须自行承担。</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color w:val="auto"/>
          <w:sz w:val="21"/>
          <w:szCs w:val="21"/>
          <w:highlight w:val="none"/>
        </w:rPr>
      </w:pPr>
      <w:r>
        <w:rPr>
          <w:rFonts w:hint="eastAsia" w:ascii="楷体" w:hAnsi="楷体" w:eastAsia="楷体" w:cs="Times New Roman"/>
          <w:b/>
          <w:bCs/>
          <w:color w:val="auto"/>
          <w:sz w:val="21"/>
          <w:szCs w:val="21"/>
          <w:highlight w:val="none"/>
        </w:rPr>
        <w:t>关联关系及关联交易风险</w:t>
      </w:r>
      <w:r>
        <w:rPr>
          <w:rFonts w:hint="eastAsia" w:ascii="楷体" w:hAnsi="楷体" w:eastAsia="楷体" w:cs="Times New Roman"/>
          <w:color w:val="auto"/>
          <w:sz w:val="21"/>
          <w:szCs w:val="21"/>
          <w:highlight w:val="none"/>
        </w:rPr>
        <w:t>：本理财产品由</w:t>
      </w:r>
      <w:r>
        <w:rPr>
          <w:rFonts w:hint="eastAsia" w:ascii="楷体" w:hAnsi="楷体" w:eastAsia="楷体" w:cs="Times New Roman"/>
          <w:color w:val="auto"/>
          <w:sz w:val="21"/>
          <w:szCs w:val="21"/>
          <w:highlight w:val="none"/>
          <w:lang w:val="en-US" w:eastAsia="zh-CN"/>
        </w:rPr>
        <w:t>苏银</w:t>
      </w:r>
      <w:r>
        <w:rPr>
          <w:rFonts w:hint="eastAsia" w:ascii="楷体" w:hAnsi="楷体" w:eastAsia="楷体" w:cs="Times New Roman"/>
          <w:color w:val="auto"/>
          <w:sz w:val="21"/>
          <w:szCs w:val="21"/>
          <w:highlight w:val="none"/>
        </w:rPr>
        <w:t>理财发行并作为管理人，独立履行产品管理职责，</w:t>
      </w:r>
      <w:r>
        <w:rPr>
          <w:rFonts w:hint="eastAsia" w:ascii="楷体" w:hAnsi="楷体" w:eastAsia="楷体" w:cs="Times New Roman"/>
          <w:b w:val="0"/>
          <w:bCs w:val="0"/>
          <w:color w:val="auto"/>
          <w:sz w:val="21"/>
          <w:szCs w:val="21"/>
          <w:highlight w:val="none"/>
          <w:lang w:val="en-US" w:eastAsia="zh-CN"/>
        </w:rPr>
        <w:t>在运作过程中，可能涉及管理人的关联方担任销售机构、托管机构或投资顾问等，届时苏银理财与关联方之间</w:t>
      </w:r>
      <w:r>
        <w:rPr>
          <w:rFonts w:hint="eastAsia" w:ascii="楷体" w:hAnsi="楷体" w:eastAsia="楷体" w:cs="Times New Roman"/>
          <w:b w:val="0"/>
          <w:bCs w:val="0"/>
          <w:color w:val="auto"/>
          <w:sz w:val="21"/>
          <w:szCs w:val="21"/>
          <w:highlight w:val="none"/>
        </w:rPr>
        <w:t>可能出现关联交易行为。</w:t>
      </w:r>
      <w:r>
        <w:rPr>
          <w:rFonts w:hint="eastAsia" w:ascii="楷体" w:hAnsi="楷体" w:eastAsia="楷体" w:cs="Times New Roman"/>
          <w:color w:val="auto"/>
          <w:sz w:val="21"/>
          <w:szCs w:val="21"/>
          <w:highlight w:val="none"/>
          <w:lang w:val="en-US" w:eastAsia="zh-CN"/>
        </w:rPr>
        <w:t>苏银</w:t>
      </w:r>
      <w:r>
        <w:rPr>
          <w:rFonts w:hint="eastAsia" w:ascii="楷体" w:hAnsi="楷体" w:eastAsia="楷体" w:cs="Times New Roman"/>
          <w:color w:val="auto"/>
          <w:sz w:val="21"/>
          <w:szCs w:val="21"/>
          <w:highlight w:val="none"/>
        </w:rPr>
        <w:t>理财将严格遵守法律、行政法规和金融监督管理部门的规定对关联方进行准确识别，按规定及时进行审批、备案并进行充分披露，不会以本理财产品与关联方进行不正当交易、利益输送等违反相关监管规定的行为，以尽力降低关联交易风险，但仍存在无法完全排除关联交易的可能而导致影响投资者收益的风险。</w:t>
      </w:r>
    </w:p>
    <w:p>
      <w:pPr>
        <w:keepNext w:val="0"/>
        <w:keepLines w:val="0"/>
        <w:pageBreakBefore w:val="0"/>
        <w:numPr>
          <w:ilvl w:val="0"/>
          <w:numId w:val="9"/>
        </w:numPr>
        <w:tabs>
          <w:tab w:val="left" w:pos="993"/>
        </w:tabs>
        <w:bidi w:val="0"/>
        <w:spacing w:line="310" w:lineRule="exact"/>
        <w:ind w:left="0" w:firstLine="422"/>
        <w:rPr>
          <w:rFonts w:hint="eastAsia" w:ascii="楷体" w:hAnsi="楷体" w:eastAsia="楷体"/>
          <w:b/>
          <w:color w:val="auto"/>
          <w:sz w:val="21"/>
          <w:szCs w:val="21"/>
          <w:highlight w:val="none"/>
        </w:rPr>
      </w:pPr>
      <w:r>
        <w:rPr>
          <w:rFonts w:hint="eastAsia" w:ascii="楷体" w:hAnsi="楷体" w:eastAsia="楷体"/>
          <w:b/>
          <w:color w:val="auto"/>
          <w:sz w:val="21"/>
          <w:szCs w:val="21"/>
          <w:highlight w:val="none"/>
        </w:rPr>
        <w:t>特定投资标的风险：</w:t>
      </w:r>
    </w:p>
    <w:p>
      <w:pPr>
        <w:keepNext w:val="0"/>
        <w:keepLines w:val="0"/>
        <w:pageBreakBefore w:val="0"/>
        <w:widowControl w:val="0"/>
        <w:numPr>
          <w:ilvl w:val="0"/>
          <w:numId w:val="0"/>
        </w:numPr>
        <w:tabs>
          <w:tab w:val="left" w:pos="742"/>
        </w:tabs>
        <w:bidi w:val="0"/>
        <w:ind w:left="0" w:firstLine="422"/>
        <w:rPr>
          <w:rFonts w:hint="eastAsia" w:ascii="楷体" w:hAnsi="楷体" w:eastAsia="楷体" w:cs="楷体"/>
          <w:b/>
          <w:bCs/>
          <w:color w:val="auto"/>
          <w:sz w:val="21"/>
          <w:szCs w:val="21"/>
          <w:highlight w:val="none"/>
        </w:rPr>
      </w:pPr>
      <w:r>
        <w:rPr>
          <w:rFonts w:hint="eastAsia" w:ascii="楷体" w:hAnsi="楷体" w:eastAsia="楷体" w:cs="楷体"/>
          <w:color w:val="auto"/>
          <w:sz w:val="21"/>
          <w:szCs w:val="21"/>
          <w:highlight w:val="none"/>
        </w:rPr>
        <w:t>1.债券投资的特殊风险：</w:t>
      </w:r>
    </w:p>
    <w:p>
      <w:pPr>
        <w:keepNext w:val="0"/>
        <w:keepLines w:val="0"/>
        <w:pageBreakBefore w:val="0"/>
        <w:widowControl w:val="0"/>
        <w:tabs>
          <w:tab w:val="left" w:pos="742"/>
        </w:tabs>
        <w:bidi w:val="0"/>
        <w:ind w:left="0" w:firstLine="422"/>
        <w:rPr>
          <w:rFonts w:hint="eastAsia" w:ascii="楷体" w:hAnsi="楷体" w:eastAsia="楷体" w:cs="楷体"/>
          <w:b/>
          <w:bCs/>
          <w:color w:val="auto"/>
          <w:sz w:val="21"/>
          <w:szCs w:val="21"/>
          <w:highlight w:val="none"/>
        </w:rPr>
      </w:pPr>
      <w:r>
        <w:rPr>
          <w:rFonts w:hint="eastAsia" w:ascii="楷体" w:hAnsi="楷体" w:eastAsia="楷体" w:cs="楷体"/>
          <w:color w:val="auto"/>
          <w:sz w:val="21"/>
          <w:szCs w:val="21"/>
          <w:highlight w:val="none"/>
        </w:rPr>
        <w:t>①市场平均利率水平变化导致债券价格变化的风险。②债券市场不同期限、不同类别债券之间的利差变动导致相应期限和类别债券价格变化的风险。③债券的发行人的经营状况受到多种因素影响，如管理能力、财务状况、市场前景、行业竞争能力、技术更新、研究开发、人员素质等，都会导致发行人盈利发生变化，可能导致债券市场价格下跌或无法按时偿付本息，从而影响理财产品收益水平。④债券发行人、担保人出现违约拒绝支付到期本息，或由于债券发行人、担保人信用质量降低导致债券价格下降及无法收回投资收益的风险。⑤与信用等级较高的债券相比，投资于信用等级较低的债券将因为发行主体的偿还债务能力较低、受不利经济环境的影响更大以及违约风险更高等原因而面临更大的投资风险。⑥相对于其他公开发行的债券，非公开定向债务融资工具、非公开发行公司债的流动性较差，其流通和转让均存在一定的限制，因此投资于非公开定向债务融资工具将面临较大的投资风险。</w:t>
      </w:r>
    </w:p>
    <w:p>
      <w:pPr>
        <w:keepNext w:val="0"/>
        <w:keepLines w:val="0"/>
        <w:pageBreakBefore w:val="0"/>
        <w:widowControl w:val="0"/>
        <w:tabs>
          <w:tab w:val="left" w:pos="742"/>
        </w:tabs>
        <w:bidi w:val="0"/>
        <w:ind w:left="0" w:firstLine="422"/>
        <w:rPr>
          <w:rFonts w:hint="eastAsia" w:ascii="楷体" w:hAnsi="楷体" w:eastAsia="楷体" w:cs="楷体"/>
          <w:b/>
          <w:bCs/>
          <w:color w:val="auto"/>
          <w:sz w:val="21"/>
          <w:szCs w:val="21"/>
          <w:highlight w:val="none"/>
        </w:rPr>
      </w:pPr>
      <w:r>
        <w:rPr>
          <w:rFonts w:hint="eastAsia" w:ascii="楷体" w:hAnsi="楷体" w:eastAsia="楷体" w:cs="楷体"/>
          <w:color w:val="auto"/>
          <w:sz w:val="21"/>
          <w:szCs w:val="21"/>
          <w:highlight w:val="none"/>
        </w:rPr>
        <w:t>2.资产管理计划或基金产品的特殊风险：</w:t>
      </w:r>
    </w:p>
    <w:p>
      <w:pPr>
        <w:keepNext w:val="0"/>
        <w:keepLines w:val="0"/>
        <w:pageBreakBefore w:val="0"/>
        <w:widowControl w:val="0"/>
        <w:tabs>
          <w:tab w:val="left" w:pos="742"/>
        </w:tabs>
        <w:bidi w:val="0"/>
        <w:ind w:left="0" w:firstLine="422"/>
        <w:rPr>
          <w:rFonts w:hint="eastAsia" w:ascii="楷体" w:hAnsi="楷体" w:eastAsia="楷体" w:cs="楷体"/>
          <w:b/>
          <w:bCs/>
          <w:color w:val="auto"/>
          <w:sz w:val="21"/>
          <w:szCs w:val="21"/>
          <w:highlight w:val="none"/>
        </w:rPr>
      </w:pPr>
      <w:r>
        <w:rPr>
          <w:rFonts w:hint="eastAsia" w:ascii="楷体" w:hAnsi="楷体" w:eastAsia="楷体" w:cs="楷体"/>
          <w:color w:val="auto"/>
          <w:sz w:val="21"/>
          <w:szCs w:val="21"/>
          <w:highlight w:val="none"/>
        </w:rPr>
        <w:t>①如本理财产品投资于资产管理计划或基金产品，可能因相关资产管理计划或基金的管理人违法违规、未尽资产管理计划或基金的管理人职责或发生其他情形，造成本理财产品所投资的资管计划产品或基金产品的财产损失，进而引起本理财产品的损失。②资产管理计划或基金产品可能出现因为某种原因而被提前终止的情况，由此可能会造成对本理财产品投资收益的影响。③因本理财产品的管理人无法对所投资的资产管理计划或基金产品进行投资决策，或相关资产管理计划或基金产品的管理人可能不执行或不能及时、准确地执行本理财产品管理人的指令，或未经本理财产品同意将本理财产品交付的资金运用于违反相关销售文件约定的投资范围，导致本理财产品项下委托财产的损失等风险。</w:t>
      </w:r>
    </w:p>
    <w:p>
      <w:pPr>
        <w:keepNext w:val="0"/>
        <w:keepLines w:val="0"/>
        <w:pageBreakBefore w:val="0"/>
        <w:widowControl w:val="0"/>
        <w:tabs>
          <w:tab w:val="left" w:pos="742"/>
        </w:tabs>
        <w:bidi w:val="0"/>
        <w:ind w:left="0" w:firstLine="422"/>
        <w:rPr>
          <w:rFonts w:hint="eastAsia" w:ascii="楷体" w:hAnsi="楷体" w:eastAsia="楷体" w:cs="楷体"/>
          <w:b/>
          <w:bCs/>
          <w:color w:val="auto"/>
          <w:sz w:val="21"/>
          <w:szCs w:val="21"/>
          <w:highlight w:val="none"/>
        </w:rPr>
      </w:pPr>
      <w:r>
        <w:rPr>
          <w:rFonts w:hint="eastAsia" w:ascii="楷体" w:hAnsi="楷体" w:eastAsia="楷体"/>
          <w:color w:val="auto"/>
          <w:sz w:val="21"/>
          <w:szCs w:val="21"/>
          <w:highlight w:val="none"/>
          <w:lang w:val="en-US" w:eastAsia="zh-CN"/>
        </w:rPr>
        <w:t>本理财产品风险管理措施：管理人将本着“诚实信用、勤勉尽责”的原则管理和运用理财产品财产。管理人将密切跟踪货币市场、债券市场及其他证券市场走势，在各类资产间灵活配置，设定单类资产的配置比例，降低市场风险。同时，限制理财产品财产的投资范围和比例，严格按投资原则进行投资运作。管理人将对所投资的各类债权类资产的风险承担主体的财务状况、行业背景以及公司治理等进行密切跟踪及分析，并根据内部投资评级的要求，严格控制风险暴露；另外，管理人将基于谨慎性原则，对交易对手的资质进行严格挑选。</w:t>
      </w:r>
    </w:p>
    <w:p>
      <w:pPr>
        <w:keepNext w:val="0"/>
        <w:keepLines w:val="0"/>
        <w:pageBreakBefore w:val="0"/>
        <w:numPr>
          <w:ilvl w:val="0"/>
          <w:numId w:val="2"/>
        </w:numPr>
        <w:tabs>
          <w:tab w:val="left" w:pos="1134"/>
        </w:tabs>
        <w:bidi w:val="0"/>
        <w:spacing w:line="240" w:lineRule="auto"/>
        <w:ind w:left="0" w:firstLine="422"/>
        <w:outlineLvl w:val="1"/>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rPr>
        <w:t>信息披露</w:t>
      </w:r>
      <w:bookmarkEnd w:id="0"/>
    </w:p>
    <w:p>
      <w:pPr>
        <w:numPr>
          <w:ilvl w:val="0"/>
          <w:numId w:val="10"/>
        </w:numPr>
        <w:tabs>
          <w:tab w:val="left" w:pos="993"/>
        </w:tabs>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信息披露</w:t>
      </w:r>
      <w:r>
        <w:rPr>
          <w:rFonts w:hint="eastAsia" w:ascii="楷体" w:hAnsi="楷体" w:eastAsia="楷体" w:cs="楷体"/>
          <w:color w:val="auto"/>
          <w:sz w:val="21"/>
          <w:szCs w:val="21"/>
          <w:highlight w:val="none"/>
          <w:lang w:val="en-US" w:eastAsia="zh-CN"/>
        </w:rPr>
        <w:t>渠道</w:t>
      </w:r>
    </w:p>
    <w:p>
      <w:pPr>
        <w:numPr>
          <w:ilvl w:val="0"/>
          <w:numId w:val="11"/>
        </w:numPr>
        <w:tabs>
          <w:tab w:val="left" w:pos="728"/>
        </w:tabs>
        <w:ind w:left="0" w:firstLine="420"/>
        <w:rPr>
          <w:rFonts w:hint="eastAsia" w:ascii="楷体" w:hAnsi="楷体" w:eastAsia="楷体" w:cs="楷体"/>
          <w:color w:val="auto"/>
          <w:sz w:val="21"/>
          <w:szCs w:val="21"/>
          <w:highlight w:val="none"/>
        </w:rPr>
      </w:pPr>
      <w:r>
        <w:rPr>
          <w:rFonts w:hint="eastAsia" w:ascii="楷体" w:hAnsi="楷体" w:eastAsia="楷体" w:cs="楷体"/>
          <w:sz w:val="21"/>
          <w:szCs w:val="21"/>
          <w:highlight w:val="none"/>
          <w:lang w:val="en-US" w:eastAsia="zh-CN"/>
        </w:rPr>
        <w:t>管理人</w:t>
      </w:r>
      <w:r>
        <w:rPr>
          <w:rFonts w:hint="eastAsia" w:ascii="楷体" w:hAnsi="楷体" w:eastAsia="楷体" w:cs="楷体"/>
          <w:sz w:val="21"/>
          <w:szCs w:val="21"/>
          <w:highlight w:val="none"/>
        </w:rPr>
        <w:t>通过</w:t>
      </w:r>
      <w:r>
        <w:rPr>
          <w:rFonts w:hint="eastAsia" w:ascii="楷体" w:hAnsi="楷体" w:eastAsia="楷体" w:cs="楷体"/>
          <w:sz w:val="21"/>
          <w:szCs w:val="21"/>
          <w:highlight w:val="none"/>
          <w:lang w:val="en-US" w:eastAsia="zh-CN"/>
        </w:rPr>
        <w:t>中国理财网（www.chinawealth.com.cn)、</w:t>
      </w:r>
      <w:r>
        <w:rPr>
          <w:rFonts w:hint="eastAsia" w:ascii="楷体" w:hAnsi="楷体" w:eastAsia="楷体" w:cs="楷体"/>
          <w:sz w:val="21"/>
          <w:szCs w:val="21"/>
          <w:highlight w:val="none"/>
        </w:rPr>
        <w:t>苏银理财有限责任公司官方网站（www</w:t>
      </w:r>
      <w:r>
        <w:rPr>
          <w:rFonts w:hint="eastAsia" w:ascii="楷体" w:hAnsi="楷体" w:eastAsia="楷体" w:cs="楷体"/>
          <w:sz w:val="21"/>
          <w:szCs w:val="21"/>
          <w:highlight w:val="none"/>
          <w:lang w:val="en-US" w:eastAsia="zh-CN"/>
        </w:rPr>
        <w:t>.</w:t>
      </w:r>
      <w:r>
        <w:rPr>
          <w:rFonts w:hint="eastAsia" w:ascii="楷体" w:hAnsi="楷体" w:eastAsia="楷体" w:cs="楷体"/>
          <w:sz w:val="21"/>
          <w:szCs w:val="21"/>
          <w:highlight w:val="none"/>
        </w:rPr>
        <w:t>suyinwealth</w:t>
      </w:r>
      <w:r>
        <w:rPr>
          <w:rFonts w:hint="eastAsia" w:ascii="楷体" w:hAnsi="楷体" w:eastAsia="楷体" w:cs="楷体"/>
          <w:sz w:val="21"/>
          <w:szCs w:val="21"/>
          <w:highlight w:val="none"/>
          <w:lang w:val="en-US" w:eastAsia="zh-CN"/>
        </w:rPr>
        <w:t>.</w:t>
      </w:r>
      <w:r>
        <w:rPr>
          <w:rFonts w:hint="eastAsia" w:ascii="楷体" w:hAnsi="楷体" w:eastAsia="楷体" w:cs="楷体"/>
          <w:sz w:val="21"/>
          <w:szCs w:val="21"/>
          <w:highlight w:val="none"/>
        </w:rPr>
        <w:t>com）进行</w:t>
      </w:r>
      <w:r>
        <w:rPr>
          <w:rFonts w:hint="eastAsia" w:ascii="楷体" w:hAnsi="楷体" w:eastAsia="楷体" w:cs="楷体"/>
          <w:sz w:val="21"/>
          <w:szCs w:val="21"/>
          <w:highlight w:val="none"/>
          <w:lang w:val="en-US" w:eastAsia="zh-CN"/>
        </w:rPr>
        <w:t>公募理财产品</w:t>
      </w:r>
      <w:r>
        <w:rPr>
          <w:rFonts w:hint="eastAsia" w:ascii="楷体" w:hAnsi="楷体" w:eastAsia="楷体" w:cs="楷体"/>
          <w:sz w:val="21"/>
          <w:szCs w:val="21"/>
          <w:highlight w:val="none"/>
        </w:rPr>
        <w:t>信息披露</w:t>
      </w:r>
      <w:r>
        <w:rPr>
          <w:rFonts w:hint="eastAsia" w:ascii="楷体" w:hAnsi="楷体" w:eastAsia="楷体" w:cs="楷体"/>
          <w:sz w:val="21"/>
          <w:szCs w:val="21"/>
          <w:highlight w:val="none"/>
          <w:lang w:eastAsia="zh-CN"/>
        </w:rPr>
        <w:t>；</w:t>
      </w:r>
      <w:r>
        <w:rPr>
          <w:rFonts w:hint="eastAsia" w:ascii="楷体" w:hAnsi="楷体" w:eastAsia="楷体" w:cs="楷体"/>
          <w:sz w:val="21"/>
          <w:szCs w:val="21"/>
          <w:highlight w:val="none"/>
          <w:lang w:val="en-US" w:eastAsia="zh-CN"/>
        </w:rPr>
        <w:t>通过</w:t>
      </w:r>
      <w:r>
        <w:rPr>
          <w:rFonts w:hint="eastAsia" w:ascii="楷体" w:hAnsi="楷体" w:eastAsia="楷体" w:cs="楷体"/>
          <w:sz w:val="21"/>
          <w:szCs w:val="21"/>
          <w:highlight w:val="none"/>
        </w:rPr>
        <w:t>苏银理财有限责任公司官方网站（www</w:t>
      </w:r>
      <w:r>
        <w:rPr>
          <w:rFonts w:hint="eastAsia" w:ascii="楷体" w:hAnsi="楷体" w:eastAsia="楷体" w:cs="楷体"/>
          <w:sz w:val="21"/>
          <w:szCs w:val="21"/>
          <w:highlight w:val="none"/>
          <w:lang w:val="en-US" w:eastAsia="zh-CN"/>
        </w:rPr>
        <w:t>.</w:t>
      </w:r>
      <w:r>
        <w:rPr>
          <w:rFonts w:hint="eastAsia" w:ascii="楷体" w:hAnsi="楷体" w:eastAsia="楷体" w:cs="楷体"/>
          <w:sz w:val="21"/>
          <w:szCs w:val="21"/>
          <w:highlight w:val="none"/>
        </w:rPr>
        <w:t>suyinwealth</w:t>
      </w:r>
      <w:r>
        <w:rPr>
          <w:rFonts w:hint="eastAsia" w:ascii="楷体" w:hAnsi="楷体" w:eastAsia="楷体" w:cs="楷体"/>
          <w:sz w:val="21"/>
          <w:szCs w:val="21"/>
          <w:highlight w:val="none"/>
          <w:lang w:val="en-US" w:eastAsia="zh-CN"/>
        </w:rPr>
        <w:t>.</w:t>
      </w:r>
      <w:r>
        <w:rPr>
          <w:rFonts w:hint="eastAsia" w:ascii="楷体" w:hAnsi="楷体" w:eastAsia="楷体" w:cs="楷体"/>
          <w:sz w:val="21"/>
          <w:szCs w:val="21"/>
          <w:highlight w:val="none"/>
        </w:rPr>
        <w:t>com）进行</w:t>
      </w:r>
      <w:r>
        <w:rPr>
          <w:rFonts w:hint="eastAsia" w:ascii="楷体" w:hAnsi="楷体" w:eastAsia="楷体" w:cs="楷体"/>
          <w:sz w:val="21"/>
          <w:szCs w:val="21"/>
          <w:highlight w:val="none"/>
          <w:lang w:val="en-US" w:eastAsia="zh-CN"/>
        </w:rPr>
        <w:t>私募理财产品</w:t>
      </w:r>
      <w:r>
        <w:rPr>
          <w:rFonts w:hint="eastAsia" w:ascii="楷体" w:hAnsi="楷体" w:eastAsia="楷体" w:cs="楷体"/>
          <w:sz w:val="21"/>
          <w:szCs w:val="21"/>
          <w:highlight w:val="none"/>
        </w:rPr>
        <w:t>信息披露</w:t>
      </w:r>
      <w:r>
        <w:rPr>
          <w:rFonts w:hint="eastAsia" w:ascii="楷体" w:hAnsi="楷体" w:eastAsia="楷体" w:cs="楷体"/>
          <w:sz w:val="21"/>
          <w:szCs w:val="21"/>
          <w:highlight w:val="none"/>
          <w:lang w:eastAsia="zh-CN"/>
        </w:rPr>
        <w:t>。</w:t>
      </w:r>
    </w:p>
    <w:p>
      <w:pPr>
        <w:numPr>
          <w:ilvl w:val="0"/>
          <w:numId w:val="11"/>
        </w:numPr>
        <w:tabs>
          <w:tab w:val="left" w:pos="728"/>
        </w:tabs>
        <w:ind w:left="0" w:firstLine="420"/>
        <w:rPr>
          <w:rFonts w:hint="eastAsia" w:ascii="楷体" w:hAnsi="楷体" w:eastAsia="楷体" w:cs="楷体"/>
          <w:color w:val="auto"/>
          <w:sz w:val="21"/>
          <w:szCs w:val="21"/>
          <w:highlight w:val="none"/>
        </w:rPr>
      </w:pPr>
      <w:r>
        <w:rPr>
          <w:rFonts w:hint="eastAsia" w:ascii="楷体" w:hAnsi="楷体" w:eastAsia="楷体" w:cs="楷体"/>
          <w:sz w:val="21"/>
          <w:szCs w:val="21"/>
          <w:highlight w:val="none"/>
          <w:lang w:val="en-US" w:eastAsia="zh-CN"/>
        </w:rPr>
        <w:t>管理人</w:t>
      </w:r>
      <w:r>
        <w:rPr>
          <w:rFonts w:hint="eastAsia" w:ascii="楷体" w:hAnsi="楷体" w:eastAsia="楷体" w:cs="楷体"/>
          <w:sz w:val="21"/>
          <w:szCs w:val="21"/>
          <w:highlight w:val="none"/>
        </w:rPr>
        <w:t>将信息披露内容发送销售机构，由销售机构通过</w:t>
      </w:r>
      <w:r>
        <w:rPr>
          <w:rFonts w:hint="eastAsia" w:ascii="楷体" w:hAnsi="楷体" w:eastAsia="楷体" w:cs="楷体"/>
          <w:sz w:val="21"/>
          <w:szCs w:val="21"/>
          <w:highlight w:val="none"/>
          <w:lang w:val="en-US" w:eastAsia="zh-CN"/>
        </w:rPr>
        <w:t>短信及</w:t>
      </w:r>
      <w:r>
        <w:rPr>
          <w:rFonts w:hint="eastAsia" w:ascii="楷体" w:hAnsi="楷体" w:eastAsia="楷体" w:cs="楷体"/>
          <w:sz w:val="21"/>
          <w:szCs w:val="21"/>
          <w:highlight w:val="none"/>
        </w:rPr>
        <w:t>销售机构电子渠道和营业网点</w:t>
      </w:r>
      <w:r>
        <w:rPr>
          <w:rFonts w:hint="eastAsia" w:ascii="楷体" w:hAnsi="楷体" w:eastAsia="楷体" w:cs="楷体"/>
          <w:sz w:val="21"/>
          <w:szCs w:val="21"/>
          <w:highlight w:val="none"/>
          <w:lang w:val="en-US" w:eastAsia="zh-CN"/>
        </w:rPr>
        <w:t>等方式</w:t>
      </w:r>
      <w:r>
        <w:rPr>
          <w:rFonts w:hint="eastAsia" w:ascii="楷体" w:hAnsi="楷体" w:eastAsia="楷体" w:cs="楷体"/>
          <w:sz w:val="21"/>
          <w:szCs w:val="21"/>
          <w:highlight w:val="none"/>
        </w:rPr>
        <w:t>进行信息披露。</w:t>
      </w:r>
    </w:p>
    <w:p>
      <w:pPr>
        <w:numPr>
          <w:ilvl w:val="0"/>
          <w:numId w:val="0"/>
        </w:numPr>
        <w:tabs>
          <w:tab w:val="left" w:pos="728"/>
        </w:tabs>
        <w:ind w:firstLine="420"/>
        <w:rPr>
          <w:rFonts w:hint="eastAsia" w:ascii="楷体" w:hAnsi="楷体" w:eastAsia="楷体" w:cs="楷体"/>
          <w:color w:val="auto"/>
          <w:sz w:val="21"/>
          <w:szCs w:val="21"/>
          <w:highlight w:val="none"/>
          <w:lang w:eastAsia="zh-CN"/>
        </w:rPr>
      </w:pPr>
      <w:r>
        <w:rPr>
          <w:rFonts w:hint="eastAsia" w:ascii="楷体" w:hAnsi="楷体" w:eastAsia="楷体" w:cs="楷体"/>
          <w:color w:val="auto"/>
          <w:sz w:val="21"/>
          <w:szCs w:val="21"/>
          <w:highlight w:val="none"/>
          <w:lang w:eastAsia="zh-CN"/>
        </w:rPr>
        <w:t>相关信息在发布或发出之日视为通知已送达投资者并生效，</w:t>
      </w:r>
      <w:r>
        <w:rPr>
          <w:rFonts w:hint="eastAsia" w:ascii="楷体" w:hAnsi="楷体" w:eastAsia="楷体" w:cs="楷体"/>
          <w:color w:val="auto"/>
          <w:sz w:val="21"/>
          <w:szCs w:val="21"/>
          <w:highlight w:val="none"/>
          <w:lang w:val="en-US" w:eastAsia="zh-CN"/>
        </w:rPr>
        <w:t>管理人已完全履行信息披露义务。如因投资者未及时查询，或由于不可抗力、及/或通讯故障、非产品管理人原因的系统故障等意外事件的影响，致使投资者无法及时获取产品信息而产生的全部责任和风险（包括但不限于因未及时获取信息而错过资金使用和再投资的机会等），都由投资者自行承担。因此</w:t>
      </w:r>
      <w:r>
        <w:rPr>
          <w:rFonts w:hint="eastAsia" w:ascii="楷体" w:hAnsi="楷体" w:eastAsia="楷体" w:cs="楷体"/>
          <w:color w:val="auto"/>
          <w:sz w:val="21"/>
          <w:szCs w:val="21"/>
          <w:highlight w:val="none"/>
          <w:lang w:eastAsia="zh-CN"/>
        </w:rPr>
        <w:t>请</w:t>
      </w:r>
      <w:r>
        <w:rPr>
          <w:rFonts w:hint="eastAsia" w:ascii="楷体" w:hAnsi="楷体" w:eastAsia="楷体" w:cs="楷体"/>
          <w:color w:val="auto"/>
          <w:sz w:val="21"/>
          <w:szCs w:val="21"/>
          <w:highlight w:val="none"/>
          <w:lang w:val="en-US" w:eastAsia="zh-CN"/>
        </w:rPr>
        <w:t>投资者</w:t>
      </w:r>
      <w:r>
        <w:rPr>
          <w:rFonts w:hint="eastAsia" w:ascii="楷体" w:hAnsi="楷体" w:eastAsia="楷体" w:cs="楷体"/>
          <w:color w:val="auto"/>
          <w:sz w:val="21"/>
          <w:szCs w:val="21"/>
          <w:highlight w:val="none"/>
          <w:lang w:eastAsia="zh-CN"/>
        </w:rPr>
        <w:t>及时登陆苏银理财有限责任</w:t>
      </w:r>
      <w:r>
        <w:rPr>
          <w:rFonts w:hint="eastAsia" w:ascii="楷体" w:hAnsi="楷体" w:eastAsia="楷体" w:cs="楷体"/>
          <w:color w:val="auto"/>
          <w:sz w:val="21"/>
          <w:szCs w:val="21"/>
          <w:highlight w:val="none"/>
          <w:lang w:val="en-US" w:eastAsia="zh-CN"/>
        </w:rPr>
        <w:t>公司</w:t>
      </w:r>
      <w:r>
        <w:rPr>
          <w:rFonts w:hint="eastAsia" w:ascii="楷体" w:hAnsi="楷体" w:eastAsia="楷体" w:cs="楷体"/>
          <w:color w:val="auto"/>
          <w:sz w:val="21"/>
          <w:szCs w:val="21"/>
          <w:highlight w:val="none"/>
          <w:lang w:eastAsia="zh-CN"/>
        </w:rPr>
        <w:t>官方网站或者向销售机构查询获取披露信息。</w:t>
      </w:r>
    </w:p>
    <w:p>
      <w:pPr>
        <w:numPr>
          <w:ilvl w:val="0"/>
          <w:numId w:val="10"/>
        </w:numPr>
        <w:tabs>
          <w:tab w:val="left" w:pos="993"/>
        </w:tabs>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信息披露</w:t>
      </w:r>
      <w:r>
        <w:rPr>
          <w:rFonts w:hint="eastAsia" w:ascii="楷体" w:hAnsi="楷体" w:eastAsia="楷体" w:cs="楷体"/>
          <w:color w:val="auto"/>
          <w:sz w:val="21"/>
          <w:szCs w:val="21"/>
          <w:highlight w:val="none"/>
          <w:lang w:val="en-US" w:eastAsia="zh-CN"/>
        </w:rPr>
        <w:t>内容及时间</w:t>
      </w:r>
    </w:p>
    <w:p>
      <w:pPr>
        <w:numPr>
          <w:ilvl w:val="0"/>
          <w:numId w:val="12"/>
        </w:numPr>
        <w:tabs>
          <w:tab w:val="left" w:pos="728"/>
        </w:tabs>
        <w:spacing w:line="310" w:lineRule="exact"/>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产品净值：</w:t>
      </w:r>
      <w:r>
        <w:rPr>
          <w:rFonts w:hint="eastAsia" w:ascii="楷体" w:hAnsi="楷体" w:eastAsia="楷体" w:cs="楷体"/>
          <w:color w:val="auto"/>
          <w:sz w:val="21"/>
          <w:szCs w:val="21"/>
          <w:highlight w:val="none"/>
          <w:lang w:val="en-US" w:eastAsia="zh-CN"/>
        </w:rPr>
        <w:t>公募封闭式产品和处于封闭期的定期开放式产品至少</w:t>
      </w:r>
      <w:r>
        <w:rPr>
          <w:rFonts w:hint="eastAsia" w:ascii="楷体" w:hAnsi="楷体" w:eastAsia="楷体" w:cs="楷体"/>
          <w:color w:val="auto"/>
          <w:sz w:val="21"/>
          <w:szCs w:val="21"/>
          <w:highlight w:val="none"/>
        </w:rPr>
        <w:t>每周向投资者披露一次产品的份额净值、份额累计净值</w:t>
      </w:r>
      <w:r>
        <w:rPr>
          <w:rFonts w:hint="eastAsia" w:ascii="楷体" w:hAnsi="楷体" w:eastAsia="楷体" w:cs="楷体"/>
          <w:color w:val="auto"/>
          <w:sz w:val="21"/>
          <w:szCs w:val="21"/>
          <w:highlight w:val="none"/>
          <w:lang w:val="en-US" w:eastAsia="zh-CN"/>
        </w:rPr>
        <w:t>和资产净值；公募开放式产品</w:t>
      </w:r>
      <w:r>
        <w:rPr>
          <w:rFonts w:hint="eastAsia" w:ascii="楷体" w:hAnsi="楷体" w:eastAsia="楷体" w:cs="楷体"/>
          <w:color w:val="auto"/>
          <w:sz w:val="21"/>
          <w:szCs w:val="21"/>
          <w:highlight w:val="none"/>
          <w:lang w:eastAsia="zh-CN"/>
        </w:rPr>
        <w:t>每个开放日结束后两个工作日内，披露开放式公募理财产品在开放日的份额净值、份额累计净值、认（申）购价格和赎回价格</w:t>
      </w:r>
      <w:r>
        <w:rPr>
          <w:rFonts w:hint="eastAsia" w:ascii="楷体" w:hAnsi="楷体" w:eastAsia="楷体" w:cs="楷体"/>
          <w:color w:val="auto"/>
          <w:sz w:val="21"/>
          <w:szCs w:val="21"/>
          <w:highlight w:val="none"/>
          <w:lang w:val="en-US" w:eastAsia="zh-CN"/>
        </w:rPr>
        <w:t>；私募产品至少每季度向投资者披露一次产品的份额净值、份额累计净值、资产净值，以管理人实际披露为准；现金管理类产品在每个开放日披露上一开放日每万份收益和七日年化收益率。</w:t>
      </w:r>
    </w:p>
    <w:p>
      <w:pPr>
        <w:numPr>
          <w:ilvl w:val="0"/>
          <w:numId w:val="12"/>
        </w:numPr>
        <w:tabs>
          <w:tab w:val="left" w:pos="728"/>
        </w:tabs>
        <w:spacing w:line="310" w:lineRule="exact"/>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发行公告：管理人在产品成立后5个工作日内，披露产品成立公告，内容包括理财产品成立日期和募集规模等信息。</w:t>
      </w:r>
    </w:p>
    <w:p>
      <w:pPr>
        <w:numPr>
          <w:ilvl w:val="0"/>
          <w:numId w:val="12"/>
        </w:numPr>
        <w:tabs>
          <w:tab w:val="left" w:pos="728"/>
        </w:tabs>
        <w:spacing w:line="310" w:lineRule="exact"/>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定期公告：管理人在每个季度结束之日起15个工作日内</w:t>
      </w:r>
      <w:r>
        <w:rPr>
          <w:rFonts w:hint="eastAsia" w:ascii="楷体" w:hAnsi="楷体" w:eastAsia="楷体" w:cs="楷体"/>
          <w:color w:val="auto"/>
          <w:sz w:val="21"/>
          <w:szCs w:val="21"/>
          <w:highlight w:val="none"/>
          <w:lang w:val="en-US" w:eastAsia="zh-CN"/>
        </w:rPr>
        <w:t>披露产品的季度报告，每年8月31日前披露产品的半年度报告，每年4月30日前披露产品上一年度的年度报告。</w:t>
      </w:r>
      <w:r>
        <w:rPr>
          <w:rFonts w:hint="eastAsia" w:ascii="楷体" w:hAnsi="楷体" w:eastAsia="楷体" w:cs="楷体"/>
          <w:color w:val="auto"/>
          <w:sz w:val="21"/>
          <w:szCs w:val="21"/>
          <w:highlight w:val="none"/>
        </w:rPr>
        <w:t>产品成立不足90个</w:t>
      </w:r>
      <w:r>
        <w:rPr>
          <w:rFonts w:hint="eastAsia" w:ascii="楷体" w:hAnsi="楷体" w:eastAsia="楷体" w:cs="楷体"/>
          <w:color w:val="auto"/>
          <w:sz w:val="21"/>
          <w:szCs w:val="21"/>
          <w:highlight w:val="none"/>
          <w:lang w:val="en-US" w:eastAsia="zh-CN"/>
        </w:rPr>
        <w:t>自然日</w:t>
      </w:r>
      <w:r>
        <w:rPr>
          <w:rFonts w:hint="eastAsia" w:ascii="楷体" w:hAnsi="楷体" w:eastAsia="楷体" w:cs="楷体"/>
          <w:color w:val="auto"/>
          <w:sz w:val="21"/>
          <w:szCs w:val="21"/>
          <w:highlight w:val="none"/>
        </w:rPr>
        <w:t>的，管理人</w:t>
      </w:r>
      <w:r>
        <w:rPr>
          <w:rFonts w:hint="eastAsia" w:ascii="楷体" w:hAnsi="楷体" w:eastAsia="楷体" w:cs="楷体"/>
          <w:color w:val="auto"/>
          <w:sz w:val="21"/>
          <w:szCs w:val="21"/>
          <w:highlight w:val="none"/>
          <w:lang w:val="en-US" w:eastAsia="zh-CN"/>
        </w:rPr>
        <w:t>可以</w:t>
      </w:r>
      <w:r>
        <w:rPr>
          <w:rFonts w:hint="eastAsia" w:ascii="楷体" w:hAnsi="楷体" w:eastAsia="楷体" w:cs="楷体"/>
          <w:color w:val="auto"/>
          <w:sz w:val="21"/>
          <w:szCs w:val="21"/>
          <w:highlight w:val="none"/>
        </w:rPr>
        <w:t>不编制当期的季度、半年和年度报告；产品期限超过九十个自然日的理财产品将在存续期内至少披露一次定期报告；内容包括理财产品的存续规模、收益表现，</w:t>
      </w:r>
      <w:r>
        <w:rPr>
          <w:rFonts w:hint="eastAsia" w:ascii="楷体" w:hAnsi="楷体" w:eastAsia="楷体" w:cs="楷体"/>
          <w:color w:val="auto"/>
          <w:sz w:val="21"/>
          <w:szCs w:val="21"/>
          <w:highlight w:val="none"/>
          <w:lang w:val="en-US" w:eastAsia="zh-CN"/>
        </w:rPr>
        <w:t>产品主要投资资产情况</w:t>
      </w:r>
      <w:r>
        <w:rPr>
          <w:rFonts w:hint="eastAsia" w:ascii="楷体" w:hAnsi="楷体" w:eastAsia="楷体" w:cs="楷体"/>
          <w:color w:val="auto"/>
          <w:sz w:val="21"/>
          <w:szCs w:val="21"/>
          <w:highlight w:val="none"/>
        </w:rPr>
        <w:t>、投资组合的流动性风险分析，以及前十项资产具体名称、规模和比例等信息。针对现金管理类产品，管理人将在理财产品的半年和年度报告中披露理财产品前10名投资者的类别、持有份额及占总份额的比例等信息。现金管理类产品存续期间，如出现单一投资者持有产品份额达到或者超过该产品总份额20%的情形，为保障其他投资者的权益，管理人将在定期报告中披露该投资者的类别、持有份额及占比、持有份额变化情况及产品风险等信息，监管机构认定的特殊情形除外。私募产品将按照法律法规、监管规定，及时向投资者披露季度或半年、年度报告。</w:t>
      </w:r>
    </w:p>
    <w:p>
      <w:pPr>
        <w:numPr>
          <w:ilvl w:val="0"/>
          <w:numId w:val="12"/>
        </w:numPr>
        <w:tabs>
          <w:tab w:val="left" w:pos="728"/>
        </w:tabs>
        <w:spacing w:line="310" w:lineRule="exact"/>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到期公告：</w:t>
      </w:r>
      <w:r>
        <w:rPr>
          <w:rFonts w:hint="eastAsia" w:ascii="楷体" w:hAnsi="楷体" w:eastAsia="楷体" w:cs="Calibri"/>
          <w:color w:val="auto"/>
          <w:sz w:val="21"/>
          <w:szCs w:val="21"/>
          <w:highlight w:val="none"/>
        </w:rPr>
        <w:t>管理人在产品终止后5个工作日内，披露产品到期公告，内容包括理财产品的存续期限、终止日期、收费情况和收益分配情况等信息。</w:t>
      </w:r>
    </w:p>
    <w:p>
      <w:pPr>
        <w:numPr>
          <w:ilvl w:val="0"/>
          <w:numId w:val="12"/>
        </w:numPr>
        <w:tabs>
          <w:tab w:val="left" w:pos="728"/>
        </w:tabs>
        <w:spacing w:line="310" w:lineRule="exact"/>
        <w:ind w:left="0" w:firstLine="420"/>
        <w:rPr>
          <w:rFonts w:hint="eastAsia" w:ascii="楷体" w:hAnsi="楷体" w:eastAsia="楷体" w:cs="Calibri"/>
          <w:color w:val="auto"/>
          <w:sz w:val="21"/>
          <w:szCs w:val="21"/>
          <w:highlight w:val="none"/>
          <w:lang w:val="en-US" w:eastAsia="zh-CN"/>
        </w:rPr>
      </w:pPr>
      <w:r>
        <w:rPr>
          <w:rFonts w:hint="eastAsia" w:ascii="楷体" w:hAnsi="楷体" w:eastAsia="楷体" w:cs="Calibri"/>
          <w:color w:val="auto"/>
          <w:sz w:val="21"/>
          <w:szCs w:val="21"/>
          <w:highlight w:val="none"/>
          <w:lang w:val="en-US" w:eastAsia="zh-CN"/>
        </w:rPr>
        <w:t>事前临时性信息披露</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Calibri"/>
          <w:color w:val="auto"/>
          <w:sz w:val="21"/>
          <w:szCs w:val="21"/>
          <w:highlight w:val="none"/>
          <w:lang w:val="en-US" w:eastAsia="zh-CN"/>
        </w:rPr>
      </w:pPr>
      <w:r>
        <w:rPr>
          <w:rFonts w:hint="eastAsia" w:ascii="楷体" w:hAnsi="楷体" w:eastAsia="楷体" w:cs="Calibri"/>
          <w:color w:val="auto"/>
          <w:sz w:val="21"/>
          <w:szCs w:val="21"/>
          <w:highlight w:val="none"/>
          <w:lang w:val="en-US" w:eastAsia="zh-CN"/>
        </w:rPr>
        <w:t>在本理财产品存续期间发生的以下事项，管理人将提前2个工作日通过约定的信息披露渠道进行信息披露：</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Calibri"/>
          <w:color w:val="auto"/>
          <w:sz w:val="21"/>
          <w:szCs w:val="21"/>
          <w:highlight w:val="none"/>
          <w:lang w:val="en-US" w:eastAsia="zh-CN"/>
        </w:rPr>
      </w:pPr>
      <w:r>
        <w:rPr>
          <w:rFonts w:hint="eastAsia" w:ascii="楷体" w:hAnsi="楷体" w:eastAsia="楷体" w:cs="Calibri"/>
          <w:color w:val="auto"/>
          <w:sz w:val="21"/>
          <w:szCs w:val="21"/>
          <w:highlight w:val="none"/>
          <w:lang w:val="en-US" w:eastAsia="zh-CN"/>
        </w:rPr>
        <w:t>（1) 变更或调整本理财产品的产品类型、投资范围、风险等级、产品期限、运作方式、认（申）购和赎回安排（包含认购或申购赎回时间、金额上下限等）、估值方法、收益分配安排、收费项目或收费标准。</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Calibri"/>
          <w:color w:val="auto"/>
          <w:sz w:val="21"/>
          <w:szCs w:val="21"/>
          <w:highlight w:val="none"/>
          <w:lang w:val="en-US" w:eastAsia="zh-CN"/>
        </w:rPr>
      </w:pPr>
      <w:r>
        <w:rPr>
          <w:rFonts w:hint="eastAsia" w:ascii="楷体" w:hAnsi="楷体" w:eastAsia="楷体" w:cs="Calibri"/>
          <w:color w:val="auto"/>
          <w:sz w:val="21"/>
          <w:szCs w:val="21"/>
          <w:highlight w:val="none"/>
          <w:lang w:val="en-US" w:eastAsia="zh-CN"/>
        </w:rPr>
        <w:t>（2) 增设份额类别。</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Calibri"/>
          <w:color w:val="auto"/>
          <w:sz w:val="21"/>
          <w:szCs w:val="21"/>
          <w:highlight w:val="none"/>
          <w:lang w:val="en-US" w:eastAsia="zh-CN"/>
        </w:rPr>
      </w:pPr>
      <w:r>
        <w:rPr>
          <w:rFonts w:hint="eastAsia" w:ascii="楷体" w:hAnsi="楷体" w:eastAsia="楷体" w:cs="Calibri"/>
          <w:color w:val="auto"/>
          <w:sz w:val="21"/>
          <w:szCs w:val="21"/>
          <w:highlight w:val="none"/>
          <w:lang w:val="en-US" w:eastAsia="zh-CN"/>
        </w:rPr>
        <w:t>（3) 对已约定的收费项目或收费标准采取优惠措施的。</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Calibri"/>
          <w:color w:val="auto"/>
          <w:sz w:val="21"/>
          <w:szCs w:val="21"/>
          <w:highlight w:val="none"/>
          <w:lang w:val="en-US" w:eastAsia="zh-CN"/>
        </w:rPr>
      </w:pPr>
      <w:r>
        <w:rPr>
          <w:rFonts w:hint="eastAsia" w:ascii="楷体" w:hAnsi="楷体" w:eastAsia="楷体" w:cs="Calibri"/>
          <w:color w:val="auto"/>
          <w:sz w:val="21"/>
          <w:szCs w:val="21"/>
          <w:highlight w:val="none"/>
          <w:lang w:val="en-US" w:eastAsia="zh-CN"/>
        </w:rPr>
        <w:t>（4) 法律法规、监管规定及管理人认为需要向投资者事前披露的其他临时事项。</w:t>
      </w:r>
    </w:p>
    <w:p>
      <w:pPr>
        <w:numPr>
          <w:ilvl w:val="0"/>
          <w:numId w:val="12"/>
        </w:numPr>
        <w:tabs>
          <w:tab w:val="left" w:pos="728"/>
        </w:tabs>
        <w:spacing w:line="310" w:lineRule="exact"/>
        <w:ind w:left="0" w:firstLine="420"/>
        <w:rPr>
          <w:rFonts w:hint="eastAsia" w:ascii="楷体" w:hAnsi="楷体" w:eastAsia="楷体" w:cs="Calibri"/>
          <w:color w:val="auto"/>
          <w:sz w:val="21"/>
          <w:szCs w:val="21"/>
          <w:highlight w:val="none"/>
          <w:lang w:val="en-US" w:eastAsia="zh-CN"/>
        </w:rPr>
      </w:pPr>
      <w:r>
        <w:rPr>
          <w:rFonts w:hint="eastAsia" w:ascii="楷体" w:hAnsi="楷体" w:eastAsia="楷体" w:cs="Calibri"/>
          <w:color w:val="auto"/>
          <w:sz w:val="21"/>
          <w:szCs w:val="21"/>
          <w:highlight w:val="none"/>
          <w:lang w:val="en-US" w:eastAsia="zh-CN"/>
        </w:rPr>
        <w:t>事后临时性信息披露</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Calibri"/>
          <w:color w:val="auto"/>
          <w:sz w:val="21"/>
          <w:szCs w:val="21"/>
          <w:highlight w:val="none"/>
          <w:lang w:val="en-US" w:eastAsia="zh-CN"/>
        </w:rPr>
      </w:pPr>
      <w:r>
        <w:rPr>
          <w:rFonts w:hint="eastAsia" w:ascii="楷体" w:hAnsi="楷体" w:eastAsia="楷体" w:cs="Calibri"/>
          <w:color w:val="auto"/>
          <w:sz w:val="21"/>
          <w:szCs w:val="21"/>
          <w:highlight w:val="none"/>
          <w:lang w:val="en-US" w:eastAsia="zh-CN"/>
        </w:rPr>
        <w:t>在本理财产品存续期间发生的以下事项，管理人将于知晓或应当知晓相关事项后5个工作日内通过约定的信息披露渠道进行信息披露：</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Calibri"/>
          <w:color w:val="auto"/>
          <w:sz w:val="21"/>
          <w:szCs w:val="21"/>
          <w:highlight w:val="none"/>
          <w:lang w:val="en-US" w:eastAsia="zh-CN"/>
        </w:rPr>
      </w:pPr>
      <w:r>
        <w:rPr>
          <w:rFonts w:hint="eastAsia" w:ascii="楷体" w:hAnsi="楷体" w:eastAsia="楷体" w:cs="Calibri"/>
          <w:color w:val="auto"/>
          <w:sz w:val="21"/>
          <w:szCs w:val="21"/>
          <w:highlight w:val="none"/>
          <w:lang w:val="en-US" w:eastAsia="zh-CN"/>
        </w:rPr>
        <w:t>（1）更换理财产品管理人或管理人变更实际控制人，更换托管机构，管理人或托管机构的法定名称、住所发生变更。</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Calibri"/>
          <w:color w:val="auto"/>
          <w:sz w:val="21"/>
          <w:szCs w:val="21"/>
          <w:highlight w:val="none"/>
          <w:lang w:val="en-US" w:eastAsia="zh-CN"/>
        </w:rPr>
      </w:pPr>
      <w:r>
        <w:rPr>
          <w:rFonts w:hint="eastAsia" w:ascii="楷体" w:hAnsi="楷体" w:eastAsia="楷体" w:cs="Calibri"/>
          <w:color w:val="auto"/>
          <w:sz w:val="21"/>
          <w:szCs w:val="21"/>
          <w:highlight w:val="none"/>
          <w:lang w:val="en-US" w:eastAsia="zh-CN"/>
        </w:rPr>
        <w:t>（2）涉及产品穿透后持仓百分之十及以上的单笔资产的诉讼或仲裁，并可能对产品或其投资者权益有重大影响的。</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Calibri"/>
          <w:color w:val="auto"/>
          <w:sz w:val="21"/>
          <w:szCs w:val="21"/>
          <w:highlight w:val="none"/>
          <w:lang w:val="en-US" w:eastAsia="zh-CN"/>
        </w:rPr>
      </w:pPr>
      <w:r>
        <w:rPr>
          <w:rFonts w:hint="eastAsia" w:ascii="楷体" w:hAnsi="楷体" w:eastAsia="楷体" w:cs="Calibri"/>
          <w:color w:val="auto"/>
          <w:sz w:val="21"/>
          <w:szCs w:val="21"/>
          <w:highlight w:val="none"/>
          <w:lang w:val="en-US" w:eastAsia="zh-CN"/>
        </w:rPr>
        <w:t>（3）产品穿透后持仓百分之十及以上的非标准化债权类资产的融资主体、担保主体发生重大行政处罚、重大诉讼或仲裁，或破产、兼并、重组等重大事项，并对其还款能力或担保能力造成重大不利影响；或上述融资主体对其公开市场债务出现不能按时足额还本付息情况的。理财产品投资的非标准化资产本身为不良资产及其收益权的，管理人将不进行临时信息披露，在季度、半年度、年度报告中披露相关情况。</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Calibri"/>
          <w:color w:val="auto"/>
          <w:sz w:val="21"/>
          <w:szCs w:val="21"/>
          <w:highlight w:val="none"/>
          <w:lang w:val="en-US" w:eastAsia="zh-CN"/>
        </w:rPr>
      </w:pPr>
      <w:r>
        <w:rPr>
          <w:rFonts w:hint="eastAsia" w:ascii="楷体" w:hAnsi="楷体" w:eastAsia="楷体" w:cs="Calibri"/>
          <w:color w:val="auto"/>
          <w:sz w:val="21"/>
          <w:szCs w:val="21"/>
          <w:highlight w:val="none"/>
          <w:lang w:val="en-US" w:eastAsia="zh-CN"/>
        </w:rPr>
        <w:t>（4）涉及产品穿透后持仓百分之十及以上的单笔资产的债券违约、股票停牌或退市的。</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Calibri"/>
          <w:color w:val="auto"/>
          <w:sz w:val="21"/>
          <w:szCs w:val="21"/>
          <w:highlight w:val="none"/>
          <w:lang w:val="en-US" w:eastAsia="zh-CN"/>
        </w:rPr>
      </w:pPr>
      <w:r>
        <w:rPr>
          <w:rFonts w:hint="eastAsia" w:ascii="楷体" w:hAnsi="楷体" w:eastAsia="楷体" w:cs="Calibri"/>
          <w:color w:val="auto"/>
          <w:sz w:val="21"/>
          <w:szCs w:val="21"/>
          <w:highlight w:val="none"/>
          <w:lang w:val="en-US" w:eastAsia="zh-CN"/>
        </w:rPr>
        <w:t>（5）本产品单位净值计价错误达单位净值百分之零点五，计算公式为：（错误单位净值-正确单位净值）/正确单位净值。</w:t>
      </w:r>
    </w:p>
    <w:p>
      <w:pPr>
        <w:keepNext w:val="0"/>
        <w:keepLines w:val="0"/>
        <w:pageBreakBefore w:val="0"/>
        <w:widowControl w:val="0"/>
        <w:numPr>
          <w:ilvl w:val="0"/>
          <w:numId w:val="0"/>
        </w:numPr>
        <w:tabs>
          <w:tab w:val="left" w:pos="728"/>
        </w:tabs>
        <w:bidi w:val="0"/>
        <w:spacing w:line="310" w:lineRule="exact"/>
        <w:ind w:firstLine="420"/>
        <w:rPr>
          <w:rFonts w:hint="eastAsia" w:ascii="楷体" w:hAnsi="楷体" w:eastAsia="楷体" w:cs="Calibri"/>
          <w:color w:val="auto"/>
          <w:sz w:val="21"/>
          <w:szCs w:val="21"/>
          <w:highlight w:val="none"/>
          <w:lang w:val="en-US" w:eastAsia="zh-CN"/>
        </w:rPr>
      </w:pPr>
      <w:r>
        <w:rPr>
          <w:rFonts w:hint="eastAsia" w:ascii="楷体" w:hAnsi="楷体" w:eastAsia="楷体" w:cs="Calibri"/>
          <w:color w:val="auto"/>
          <w:sz w:val="21"/>
          <w:szCs w:val="21"/>
          <w:highlight w:val="none"/>
          <w:lang w:val="en-US" w:eastAsia="zh-CN"/>
        </w:rPr>
        <w:t>（6）法律法规以及监管规定的其他内容，或者管理人认为可能对投资者权益产生重大不利影响的其他事项。</w:t>
      </w:r>
    </w:p>
    <w:p>
      <w:pPr>
        <w:keepNext w:val="0"/>
        <w:keepLines w:val="0"/>
        <w:pageBreakBefore w:val="0"/>
        <w:widowControl w:val="0"/>
        <w:numPr>
          <w:ilvl w:val="0"/>
          <w:numId w:val="0"/>
        </w:numPr>
        <w:tabs>
          <w:tab w:val="left" w:pos="728"/>
        </w:tabs>
        <w:bidi w:val="0"/>
        <w:spacing w:line="310" w:lineRule="exact"/>
        <w:ind w:firstLine="420"/>
        <w:rPr>
          <w:rFonts w:hint="default" w:ascii="楷体" w:hAnsi="楷体" w:eastAsia="楷体" w:cs="Calibri"/>
          <w:color w:val="auto"/>
          <w:sz w:val="21"/>
          <w:szCs w:val="21"/>
          <w:highlight w:val="none"/>
          <w:lang w:val="en-US" w:eastAsia="zh-CN"/>
        </w:rPr>
      </w:pPr>
      <w:r>
        <w:rPr>
          <w:rFonts w:hint="eastAsia" w:ascii="楷体" w:hAnsi="楷体" w:eastAsia="楷体" w:cs="Calibri"/>
          <w:color w:val="auto"/>
          <w:sz w:val="21"/>
          <w:szCs w:val="21"/>
          <w:highlight w:val="none"/>
          <w:lang w:val="en-US" w:eastAsia="zh-CN"/>
        </w:rPr>
        <w:t>（7）如管理人决定运用收取短期赎回费（如有）、非全额赎回、摆动定价机制、暂停认/申购（如有）、延期办理巨额赎回申请、暂停接受赎回申请、延缓支付赎回款项、暂停理财产品估值等流动性风险应对措施的，管理人将在运用以上流动性风险应对措施后的3个交易日内通过约定的信息披露渠道进行信息披露。</w:t>
      </w:r>
    </w:p>
    <w:p>
      <w:pPr>
        <w:numPr>
          <w:ilvl w:val="0"/>
          <w:numId w:val="12"/>
        </w:numPr>
        <w:tabs>
          <w:tab w:val="left" w:pos="728"/>
        </w:tabs>
        <w:spacing w:line="310" w:lineRule="exact"/>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半年度整体报告：每半年披露从事理财业务活动的有关信息。</w:t>
      </w:r>
    </w:p>
    <w:p>
      <w:pPr>
        <w:numPr>
          <w:ilvl w:val="0"/>
          <w:numId w:val="12"/>
        </w:numPr>
        <w:tabs>
          <w:tab w:val="left" w:pos="728"/>
        </w:tabs>
        <w:spacing w:line="310" w:lineRule="exact"/>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理财账单：管理人每月向投资者提供其所持有的理财产品账单，账单内容包括但不限于投资者持有的理财产品份额、认购金额、份额</w:t>
      </w:r>
      <w:r>
        <w:rPr>
          <w:rFonts w:hint="eastAsia" w:ascii="楷体" w:hAnsi="楷体" w:eastAsia="楷体" w:cs="楷体"/>
          <w:color w:val="auto"/>
          <w:sz w:val="21"/>
          <w:szCs w:val="21"/>
          <w:highlight w:val="none"/>
          <w:lang w:val="en-US" w:eastAsia="zh-CN"/>
        </w:rPr>
        <w:t>单位</w:t>
      </w:r>
      <w:r>
        <w:rPr>
          <w:rFonts w:hint="eastAsia" w:ascii="楷体" w:hAnsi="楷体" w:eastAsia="楷体" w:cs="楷体"/>
          <w:color w:val="auto"/>
          <w:sz w:val="21"/>
          <w:szCs w:val="21"/>
          <w:highlight w:val="none"/>
        </w:rPr>
        <w:t>净值、份额累计净值、资产净值、收益情况、投资者理财交易账户发生的交易明细记录等信息。</w:t>
      </w:r>
    </w:p>
    <w:p>
      <w:pPr>
        <w:keepNext w:val="0"/>
        <w:keepLines w:val="0"/>
        <w:pageBreakBefore w:val="0"/>
        <w:numPr>
          <w:ilvl w:val="0"/>
          <w:numId w:val="2"/>
        </w:numPr>
        <w:tabs>
          <w:tab w:val="left" w:pos="1134"/>
        </w:tabs>
        <w:bidi w:val="0"/>
        <w:spacing w:line="240" w:lineRule="auto"/>
        <w:ind w:left="0" w:firstLine="422"/>
        <w:rPr>
          <w:rFonts w:hint="eastAsia" w:ascii="楷体" w:hAnsi="楷体" w:eastAsia="楷体" w:cs="楷体"/>
          <w:b/>
          <w:color w:val="auto"/>
          <w:sz w:val="21"/>
          <w:szCs w:val="21"/>
          <w:highlight w:val="none"/>
        </w:rPr>
      </w:pPr>
      <w:r>
        <w:rPr>
          <w:rFonts w:hint="eastAsia" w:ascii="楷体" w:hAnsi="楷体" w:eastAsia="楷体" w:cs="楷体"/>
          <w:b/>
          <w:color w:val="auto"/>
          <w:sz w:val="21"/>
          <w:szCs w:val="21"/>
          <w:highlight w:val="none"/>
        </w:rPr>
        <w:t>其他</w:t>
      </w:r>
    </w:p>
    <w:p>
      <w:pPr>
        <w:numPr>
          <w:ilvl w:val="0"/>
          <w:numId w:val="13"/>
        </w:numPr>
        <w:tabs>
          <w:tab w:val="left" w:pos="993"/>
        </w:tabs>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追索条款</w:t>
      </w:r>
    </w:p>
    <w:p>
      <w:pPr>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若本理财产品所投资的金融资产到期不能全部偿付导致资产减值甚至本金大幅损失，则苏银理财将以管理人名义，代表理财产品投资者利益行使诉讼权利或者实施其他权利救济措施。</w:t>
      </w:r>
    </w:p>
    <w:p>
      <w:pPr>
        <w:numPr>
          <w:ilvl w:val="0"/>
          <w:numId w:val="13"/>
        </w:numPr>
        <w:tabs>
          <w:tab w:val="left" w:pos="993"/>
        </w:tabs>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信息安全</w:t>
      </w:r>
    </w:p>
    <w:p>
      <w:pPr>
        <w:ind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苏银理财及</w:t>
      </w:r>
      <w:r>
        <w:rPr>
          <w:rFonts w:hint="eastAsia" w:ascii="楷体" w:hAnsi="楷体" w:eastAsia="楷体" w:cs="楷体"/>
          <w:color w:val="auto"/>
          <w:sz w:val="21"/>
          <w:szCs w:val="21"/>
          <w:highlight w:val="none"/>
          <w:lang w:val="en-US" w:eastAsia="zh-CN"/>
        </w:rPr>
        <w:t>销售</w:t>
      </w:r>
      <w:r>
        <w:rPr>
          <w:rFonts w:hint="eastAsia" w:ascii="楷体" w:hAnsi="楷体" w:eastAsia="楷体" w:cs="楷体"/>
          <w:color w:val="auto"/>
          <w:sz w:val="21"/>
          <w:szCs w:val="21"/>
          <w:highlight w:val="none"/>
        </w:rPr>
        <w:t>机构将据相关法律、法规严格履行投资者信息保密责任，除监管机构或司法机关等有权机构外，不得对其他第三方提供任何投资者信息。</w:t>
      </w:r>
    </w:p>
    <w:p>
      <w:pPr>
        <w:numPr>
          <w:ilvl w:val="0"/>
          <w:numId w:val="13"/>
        </w:numPr>
        <w:tabs>
          <w:tab w:val="left" w:pos="993"/>
        </w:tabs>
        <w:ind w:left="0" w:firstLine="420"/>
        <w:rPr>
          <w:rFonts w:hint="eastAsia" w:ascii="楷体" w:hAnsi="楷体" w:eastAsia="楷体" w:cs="楷体"/>
          <w:color w:val="auto"/>
          <w:sz w:val="21"/>
          <w:szCs w:val="21"/>
          <w:highlight w:val="none"/>
        </w:rPr>
      </w:pPr>
      <w:r>
        <w:rPr>
          <w:rFonts w:hint="eastAsia" w:ascii="楷体" w:hAnsi="楷体" w:eastAsia="楷体" w:cs="楷体"/>
          <w:color w:val="auto"/>
          <w:sz w:val="21"/>
          <w:szCs w:val="21"/>
          <w:highlight w:val="none"/>
        </w:rPr>
        <w:t>争议解决</w:t>
      </w:r>
    </w:p>
    <w:p>
      <w:pPr>
        <w:keepNext w:val="0"/>
        <w:keepLines w:val="0"/>
        <w:pageBreakBefore w:val="0"/>
        <w:bidi w:val="0"/>
        <w:spacing w:line="240" w:lineRule="auto"/>
        <w:ind w:firstLine="420"/>
        <w:jc w:val="left"/>
        <w:rPr>
          <w:rFonts w:hint="eastAsia" w:ascii="楷体" w:hAnsi="楷体" w:eastAsia="楷体" w:cs="楷体"/>
          <w:highlight w:val="none"/>
        </w:rPr>
      </w:pPr>
      <w:r>
        <w:rPr>
          <w:rFonts w:hint="eastAsia" w:ascii="楷体" w:hAnsi="楷体" w:eastAsia="楷体" w:cs="楷体"/>
          <w:b w:val="0"/>
          <w:bCs w:val="0"/>
          <w:color w:val="auto"/>
          <w:sz w:val="21"/>
          <w:szCs w:val="21"/>
          <w:highlight w:val="none"/>
          <w:lang w:val="en-US" w:eastAsia="zh-CN"/>
        </w:rPr>
        <w:t>本产品说明书</w:t>
      </w:r>
      <w:r>
        <w:rPr>
          <w:rFonts w:hint="eastAsia" w:ascii="楷体" w:hAnsi="楷体" w:eastAsia="楷体" w:cs="楷体"/>
          <w:b w:val="0"/>
          <w:bCs w:val="0"/>
          <w:color w:val="auto"/>
          <w:sz w:val="21"/>
          <w:szCs w:val="21"/>
          <w:highlight w:val="none"/>
        </w:rPr>
        <w:t>的订立、生效、履行、解释、修改和终止等事项均适用中华人民共和国（为本合同目的，不包括香港特别行政区、澳门特别行政区和台湾地区）法律。</w:t>
      </w:r>
      <w:r>
        <w:rPr>
          <w:rFonts w:hint="eastAsia" w:ascii="楷体" w:hAnsi="楷体" w:eastAsia="楷体" w:cs="楷体"/>
          <w:b w:val="0"/>
          <w:bCs w:val="0"/>
          <w:color w:val="auto"/>
          <w:sz w:val="21"/>
          <w:szCs w:val="21"/>
          <w:highlight w:val="none"/>
          <w:lang w:val="en-US" w:eastAsia="zh-CN"/>
        </w:rPr>
        <w:t>因本产品说明书</w:t>
      </w:r>
      <w:r>
        <w:rPr>
          <w:rFonts w:hint="eastAsia" w:ascii="楷体" w:hAnsi="楷体" w:eastAsia="楷体" w:cs="楷体"/>
          <w:b w:val="0"/>
          <w:bCs w:val="0"/>
          <w:color w:val="auto"/>
          <w:sz w:val="21"/>
          <w:szCs w:val="21"/>
          <w:highlight w:val="none"/>
        </w:rPr>
        <w:t>引起的或与</w:t>
      </w:r>
      <w:r>
        <w:rPr>
          <w:rFonts w:hint="eastAsia" w:ascii="楷体" w:hAnsi="楷体" w:eastAsia="楷体" w:cs="楷体"/>
          <w:b w:val="0"/>
          <w:bCs w:val="0"/>
          <w:color w:val="auto"/>
          <w:sz w:val="21"/>
          <w:szCs w:val="21"/>
          <w:highlight w:val="none"/>
          <w:lang w:val="en-US" w:eastAsia="zh-CN"/>
        </w:rPr>
        <w:t>本产品说明书</w:t>
      </w:r>
      <w:r>
        <w:rPr>
          <w:rFonts w:hint="eastAsia" w:ascii="楷体" w:hAnsi="楷体" w:eastAsia="楷体" w:cs="楷体"/>
          <w:b w:val="0"/>
          <w:bCs w:val="0"/>
          <w:color w:val="auto"/>
          <w:sz w:val="21"/>
          <w:szCs w:val="21"/>
          <w:highlight w:val="none"/>
        </w:rPr>
        <w:t>有关的任何争议，应当首先通过双方之间的友好协商解决；协商不成的，双方均有权提交产品管理人住所地有管辖权的人民法院诉讼解决。</w:t>
      </w:r>
    </w:p>
    <w:p>
      <w:pPr>
        <w:rPr>
          <w:rFonts w:hint="eastAsia"/>
        </w:rPr>
      </w:pPr>
    </w:p>
    <w:sectPr>
      <w:headerReference r:id="rId5" w:type="first"/>
      <w:headerReference r:id="rId3" w:type="default"/>
      <w:footerReference r:id="rId6" w:type="default"/>
      <w:headerReference r:id="rId4" w:type="even"/>
      <w:pgSz w:w="11906" w:h="16838"/>
      <w:pgMar w:top="1440" w:right="1134" w:bottom="1440" w:left="1134" w:header="851" w:footer="992" w:gutter="0"/>
      <w:cols w:space="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9"/>
      <w:jc w:val="center"/>
    </w:pPr>
    <w:r>
      <w:rPr>
        <w:lang w:val="zh-CN"/>
      </w:rPr>
      <w:t xml:space="preserve"> </w:t>
    </w:r>
    <w:r>
      <w:rPr>
        <w:b/>
        <w:bCs/>
      </w:rPr>
      <w:fldChar w:fldCharType="begin"/>
    </w:r>
    <w:r>
      <w:rPr>
        <w:b/>
        <w:bCs/>
      </w:rPr>
      <w:instrText xml:space="preserve">PAGE</w:instrText>
    </w:r>
    <w:r>
      <w:rPr>
        <w:b/>
        <w:bCs/>
        <w:sz w:val="24"/>
        <w:szCs w:val="24"/>
      </w:rPr>
      <w:fldChar w:fldCharType="separate"/>
    </w:r>
    <w:r>
      <w:rPr>
        <w:b/>
        <w:bCs/>
      </w:rPr>
      <w:t>8</w:t>
    </w:r>
    <w:r>
      <w:rPr>
        <w:b/>
        <w:bCs/>
        <w:sz w:val="24"/>
        <w:szCs w:val="24"/>
      </w:rPr>
      <w:fldChar w:fldCharType="end"/>
    </w:r>
    <w:r>
      <w:rPr>
        <w:lang w:val="zh-CN"/>
      </w:rPr>
      <w:t xml:space="preserve"> / </w:t>
    </w:r>
    <w:r>
      <w:rPr>
        <w:b/>
        <w:bCs/>
      </w:rPr>
      <w:fldChar w:fldCharType="begin"/>
    </w:r>
    <w:r>
      <w:rPr>
        <w:b/>
        <w:bCs/>
      </w:rPr>
      <w:instrText xml:space="preserve">NUMPAGES</w:instrText>
    </w:r>
    <w:r>
      <w:rPr>
        <w:b/>
        <w:bCs/>
        <w:sz w:val="24"/>
        <w:szCs w:val="24"/>
      </w:rPr>
      <w:fldChar w:fldCharType="separate"/>
    </w:r>
    <w:r>
      <w:rPr>
        <w:b/>
        <w:bCs/>
      </w:rPr>
      <w:t>38</w:t>
    </w:r>
    <w:r>
      <w:rPr>
        <w:b/>
        <w:bCs/>
        <w:sz w:val="24"/>
        <w:szCs w:val="24"/>
      </w:rPr>
      <w:fldChar w:fldCharType="end"/>
    </w:r>
  </w:p>
  <w:p>
    <w:pPr>
      <w:pStyle w:val="19"/>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5"/>
      <w:spacing w:before="0" w:line="320" w:lineRule="exact"/>
      <w:ind w:left="20"/>
      <w:jc w:val="both"/>
      <w:rPr>
        <w:rFonts w:ascii="楷体" w:hAnsi="楷体" w:eastAsia="楷体" w:cs="黑体"/>
        <w:b/>
        <w:spacing w:val="-2"/>
        <w:sz w:val="24"/>
        <w:szCs w:val="24"/>
      </w:rPr>
    </w:pPr>
    <w:r>
      <w:drawing>
        <wp:anchor distT="0" distB="0" distL="114300" distR="114300" simplePos="0" relativeHeight="251659264" behindDoc="0" locked="0" layoutInCell="1" allowOverlap="1">
          <wp:simplePos x="0" y="0"/>
          <wp:positionH relativeFrom="column">
            <wp:posOffset>4965065</wp:posOffset>
          </wp:positionH>
          <wp:positionV relativeFrom="paragraph">
            <wp:posOffset>-94615</wp:posOffset>
          </wp:positionV>
          <wp:extent cx="1325245" cy="424815"/>
          <wp:effectExtent l="0" t="0" r="0" b="0"/>
          <wp:wrapSquare wrapText="bothSides"/>
          <wp:docPr id="66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3" name="图片 1"/>
                  <pic:cNvPicPr>
                    <a:picLocks noChangeAspect="1"/>
                  </pic:cNvPicPr>
                </pic:nvPicPr>
                <pic:blipFill>
                  <a:blip r:embed="rId1"/>
                  <a:stretch>
                    <a:fillRect/>
                  </a:stretch>
                </pic:blipFill>
                <pic:spPr>
                  <a:xfrm>
                    <a:off x="0" y="0"/>
                    <a:ext cx="1325245" cy="424815"/>
                  </a:xfrm>
                  <a:prstGeom prst="rect">
                    <a:avLst/>
                  </a:prstGeom>
                  <a:noFill/>
                  <a:ln>
                    <a:noFill/>
                  </a:ln>
                </pic:spPr>
              </pic:pic>
            </a:graphicData>
          </a:graphic>
        </wp:anchor>
      </w:drawing>
    </w:r>
    <w:r>
      <w:rPr>
        <w:rFonts w:ascii="楷体" w:hAnsi="楷体" w:eastAsia="楷体"/>
        <w:b/>
      </w:rPr>
      <w:drawing>
        <wp:anchor distT="0" distB="0" distL="114300" distR="114300" simplePos="0" relativeHeight="251660288" behindDoc="1" locked="0" layoutInCell="0" allowOverlap="1">
          <wp:simplePos x="0" y="0"/>
          <wp:positionH relativeFrom="margin">
            <wp:posOffset>-4011295</wp:posOffset>
          </wp:positionH>
          <wp:positionV relativeFrom="margin">
            <wp:posOffset>-1028700</wp:posOffset>
          </wp:positionV>
          <wp:extent cx="14449425" cy="10958195"/>
          <wp:effectExtent l="0" t="0" r="0" b="0"/>
          <wp:wrapNone/>
          <wp:docPr id="664" name="WordPictureWatermark3671284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4" name="WordPictureWatermark367128483"/>
                  <pic:cNvPicPr>
                    <a:picLocks noChangeAspect="1"/>
                  </pic:cNvPicPr>
                </pic:nvPicPr>
                <pic:blipFill>
                  <a:blip r:embed="rId2"/>
                  <a:stretch>
                    <a:fillRect/>
                  </a:stretch>
                </pic:blipFill>
                <pic:spPr>
                  <a:xfrm>
                    <a:off x="0" y="0"/>
                    <a:ext cx="14449425" cy="10958195"/>
                  </a:xfrm>
                  <a:prstGeom prst="rect">
                    <a:avLst/>
                  </a:prstGeom>
                  <a:noFill/>
                  <a:ln>
                    <a:noFill/>
                  </a:ln>
                </pic:spPr>
              </pic:pic>
            </a:graphicData>
          </a:graphic>
        </wp:anchor>
      </w:drawing>
    </w:r>
    <w:r>
      <w:rPr>
        <w:rFonts w:hint="eastAsia" w:ascii="楷体" w:hAnsi="楷体" w:eastAsia="楷体" w:cs="黑体"/>
        <w:b/>
        <w:bCs/>
        <w:spacing w:val="-2"/>
        <w:sz w:val="24"/>
        <w:szCs w:val="24"/>
      </w:rPr>
      <w:t>理财非存款、产品有风险、投资须谨慎</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14444345" cy="10958195"/>
          <wp:effectExtent l="0" t="0" r="0" b="0"/>
          <wp:wrapNone/>
          <wp:docPr id="662" name="WordPictureWatermark3671284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2" name="WordPictureWatermark367128482"/>
                  <pic:cNvPicPr>
                    <a:picLocks noChangeAspect="1"/>
                  </pic:cNvPicPr>
                </pic:nvPicPr>
                <pic:blipFill>
                  <a:blip r:embed="rId1"/>
                  <a:stretch>
                    <a:fillRect/>
                  </a:stretch>
                </pic:blipFill>
                <pic:spPr>
                  <a:xfrm>
                    <a:off x="0" y="0"/>
                    <a:ext cx="14444345" cy="1095819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14444345" cy="10958195"/>
          <wp:effectExtent l="0" t="0" r="0" b="0"/>
          <wp:wrapNone/>
          <wp:docPr id="665" name="WordPictureWatermark3671284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5" name="WordPictureWatermark367128481"/>
                  <pic:cNvPicPr>
                    <a:picLocks noChangeAspect="1"/>
                  </pic:cNvPicPr>
                </pic:nvPicPr>
                <pic:blipFill>
                  <a:blip r:embed="rId1"/>
                  <a:stretch>
                    <a:fillRect/>
                  </a:stretch>
                </pic:blipFill>
                <pic:spPr>
                  <a:xfrm>
                    <a:off x="0" y="0"/>
                    <a:ext cx="14444345" cy="109581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C8AC8EF"/>
    <w:multiLevelType w:val="multilevel"/>
    <w:tmpl w:val="9C8AC8EF"/>
    <w:lvl w:ilvl="0" w:tentative="0">
      <w:start w:val="1"/>
      <w:numFmt w:val="decimal"/>
      <w:suff w:val="nothing"/>
      <w:lvlText w:val="%1."/>
      <w:lvlJc w:val="left"/>
      <w:pPr>
        <w:tabs>
          <w:tab w:val="left" w:pos="0"/>
        </w:tabs>
        <w:ind w:left="0" w:firstLine="0"/>
      </w:pPr>
      <w:rPr>
        <w:rFonts w:hint="default"/>
      </w:rPr>
    </w:lvl>
    <w:lvl w:ilvl="1" w:tentative="0">
      <w:start w:val="0"/>
      <w:numFmt w:val="bullet"/>
      <w:lvlText w:val=""/>
      <w:lvlJc w:val="left"/>
    </w:lvl>
    <w:lvl w:ilvl="2" w:tentative="0">
      <w:start w:val="0"/>
      <w:numFmt w:val="bullet"/>
      <w:lvlText w:val=""/>
      <w:lvlJc w:val="left"/>
    </w:lvl>
    <w:lvl w:ilvl="3" w:tentative="0">
      <w:start w:val="0"/>
      <w:numFmt w:val="bullet"/>
      <w:lvlText w:val=""/>
      <w:lvlJc w:val="left"/>
    </w:lvl>
    <w:lvl w:ilvl="4" w:tentative="0">
      <w:start w:val="0"/>
      <w:numFmt w:val="bullet"/>
      <w:lvlText w:val=""/>
      <w:lvlJc w:val="left"/>
    </w:lvl>
    <w:lvl w:ilvl="5" w:tentative="0">
      <w:start w:val="0"/>
      <w:numFmt w:val="bullet"/>
      <w:lvlText w:val=""/>
      <w:lvlJc w:val="left"/>
    </w:lvl>
    <w:lvl w:ilvl="6" w:tentative="0">
      <w:start w:val="0"/>
      <w:numFmt w:val="bullet"/>
      <w:lvlText w:val=""/>
      <w:lvlJc w:val="left"/>
    </w:lvl>
    <w:lvl w:ilvl="7" w:tentative="0">
      <w:start w:val="0"/>
      <w:numFmt w:val="bullet"/>
      <w:lvlText w:val=""/>
      <w:lvlJc w:val="left"/>
    </w:lvl>
    <w:lvl w:ilvl="8" w:tentative="0">
      <w:start w:val="0"/>
      <w:numFmt w:val="bullet"/>
      <w:lvlText w:val=""/>
      <w:lvlJc w:val="left"/>
    </w:lvl>
  </w:abstractNum>
  <w:abstractNum w:abstractNumId="1">
    <w:nsid w:val="B0F1ACD9"/>
    <w:multiLevelType w:val="multilevel"/>
    <w:tmpl w:val="B0F1ACD9"/>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
    <w:nsid w:val="D7F9FE59"/>
    <w:multiLevelType w:val="multilevel"/>
    <w:tmpl w:val="D7F9FE59"/>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DCBA6B53"/>
    <w:multiLevelType w:val="multilevel"/>
    <w:tmpl w:val="DCBA6B53"/>
    <w:lvl w:ilvl="0" w:tentative="0">
      <w:start w:val="1"/>
      <w:numFmt w:val="decimal"/>
      <w:suff w:val="nothing"/>
      <w:lvlText w:val="%1."/>
      <w:lvlJc w:val="left"/>
      <w:pPr>
        <w:tabs>
          <w:tab w:val="left" w:pos="420"/>
        </w:tabs>
        <w:ind w:left="420" w:hanging="420"/>
      </w:pPr>
      <w:rPr>
        <w:rFonts w:hint="default" w:eastAsia="楷体"/>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4">
    <w:nsid w:val="F4B5D9F5"/>
    <w:multiLevelType w:val="multilevel"/>
    <w:tmpl w:val="F4B5D9F5"/>
    <w:lvl w:ilvl="0" w:tentative="0">
      <w:start w:val="1"/>
      <w:numFmt w:val="chineseCountingThousand"/>
      <w:suff w:val="nothing"/>
      <w:lvlText w:val="%1、"/>
      <w:lvlJc w:val="left"/>
      <w:pPr>
        <w:ind w:left="0" w:firstLine="40"/>
      </w:pPr>
      <w:rPr>
        <w:rFonts w:hint="eastAsia"/>
      </w:rPr>
    </w:lvl>
    <w:lvl w:ilvl="1" w:tentative="0">
      <w:start w:val="1"/>
      <w:numFmt w:val="lowerLetter"/>
      <w:lvlText w:val="%2)"/>
      <w:lvlJc w:val="left"/>
      <w:pPr>
        <w:ind w:left="840" w:hanging="420"/>
      </w:pPr>
      <w:rPr>
        <w:rFonts w:hint="eastAsia"/>
      </w:rPr>
    </w:lvl>
    <w:lvl w:ilvl="2" w:tentative="0">
      <w:start w:val="1"/>
      <w:numFmt w:val="lowerRoman"/>
      <w:lvlText w:val="%3."/>
      <w:lvlJc w:val="right"/>
      <w:pPr>
        <w:ind w:left="1260" w:hanging="420"/>
      </w:pPr>
      <w:rPr>
        <w:rFonts w:hint="eastAsia"/>
      </w:rPr>
    </w:lvl>
    <w:lvl w:ilvl="3" w:tentative="0">
      <w:start w:val="1"/>
      <w:numFmt w:val="decimal"/>
      <w:lvlText w:val="%4."/>
      <w:lvlJc w:val="left"/>
      <w:pPr>
        <w:ind w:left="1680" w:hanging="420"/>
      </w:pPr>
      <w:rPr>
        <w:rFonts w:hint="eastAsia"/>
      </w:rPr>
    </w:lvl>
    <w:lvl w:ilvl="4" w:tentative="0">
      <w:start w:val="1"/>
      <w:numFmt w:val="lowerLetter"/>
      <w:lvlText w:val="%5)"/>
      <w:lvlJc w:val="left"/>
      <w:pPr>
        <w:ind w:left="2100" w:hanging="420"/>
      </w:pPr>
      <w:rPr>
        <w:rFonts w:hint="eastAsia"/>
      </w:rPr>
    </w:lvl>
    <w:lvl w:ilvl="5" w:tentative="0">
      <w:start w:val="1"/>
      <w:numFmt w:val="lowerRoman"/>
      <w:lvlText w:val="%6."/>
      <w:lvlJc w:val="right"/>
      <w:pPr>
        <w:ind w:left="2520" w:hanging="420"/>
      </w:pPr>
      <w:rPr>
        <w:rFonts w:hint="eastAsia"/>
      </w:rPr>
    </w:lvl>
    <w:lvl w:ilvl="6" w:tentative="0">
      <w:start w:val="1"/>
      <w:numFmt w:val="decimal"/>
      <w:lvlText w:val="%7."/>
      <w:lvlJc w:val="left"/>
      <w:pPr>
        <w:ind w:left="2940" w:hanging="420"/>
      </w:pPr>
      <w:rPr>
        <w:rFonts w:hint="eastAsia"/>
      </w:rPr>
    </w:lvl>
    <w:lvl w:ilvl="7" w:tentative="0">
      <w:start w:val="1"/>
      <w:numFmt w:val="lowerLetter"/>
      <w:lvlText w:val="%8)"/>
      <w:lvlJc w:val="left"/>
      <w:pPr>
        <w:ind w:left="3360" w:hanging="420"/>
      </w:pPr>
      <w:rPr>
        <w:rFonts w:hint="eastAsia"/>
      </w:rPr>
    </w:lvl>
    <w:lvl w:ilvl="8" w:tentative="0">
      <w:start w:val="1"/>
      <w:numFmt w:val="lowerRoman"/>
      <w:lvlText w:val="%9."/>
      <w:lvlJc w:val="right"/>
      <w:pPr>
        <w:ind w:left="3780" w:hanging="420"/>
      </w:pPr>
      <w:rPr>
        <w:rFonts w:hint="eastAsia"/>
      </w:rPr>
    </w:lvl>
  </w:abstractNum>
  <w:abstractNum w:abstractNumId="5">
    <w:nsid w:val="0E640482"/>
    <w:multiLevelType w:val="multilevel"/>
    <w:tmpl w:val="0E640482"/>
    <w:lvl w:ilvl="0" w:tentative="0">
      <w:start w:val="1"/>
      <w:numFmt w:val="chineseCountingThousand"/>
      <w:lvlText w:val="(%1)"/>
      <w:lvlJc w:val="left"/>
      <w:pPr>
        <w:ind w:left="420" w:hanging="420"/>
      </w:pPr>
      <w:rPr>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6">
    <w:nsid w:val="2470EC97"/>
    <w:multiLevelType w:val="multilevel"/>
    <w:tmpl w:val="2470EC97"/>
    <w:lvl w:ilvl="0" w:tentative="0">
      <w:start w:val="1"/>
      <w:numFmt w:val="decimal"/>
      <w:suff w:val="nothing"/>
      <w:lvlText w:val="%1."/>
      <w:lvlJc w:val="left"/>
      <w:pPr>
        <w:tabs>
          <w:tab w:val="left" w:pos="420"/>
        </w:tabs>
        <w:ind w:left="420" w:hanging="4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7">
    <w:nsid w:val="46A08BB8"/>
    <w:multiLevelType w:val="multilevel"/>
    <w:tmpl w:val="46A08BB8"/>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8">
    <w:nsid w:val="4C1BAE26"/>
    <w:multiLevelType w:val="multilevel"/>
    <w:tmpl w:val="4C1BAE26"/>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9">
    <w:nsid w:val="4D4DC07F"/>
    <w:multiLevelType w:val="multilevel"/>
    <w:tmpl w:val="4D4DC07F"/>
    <w:lvl w:ilvl="0" w:tentative="0">
      <w:start w:val="1"/>
      <w:numFmt w:val="decimalEnclosedCircleChinese"/>
      <w:suff w:val="nothing"/>
      <w:lvlText w:val="%1　"/>
      <w:lvlJc w:val="left"/>
      <w:pPr>
        <w:ind w:left="0" w:firstLine="400"/>
      </w:pPr>
      <w:rPr>
        <w:rFonts w:hint="default"/>
        <w:sz w:val="20"/>
        <w:u w:val="none"/>
      </w:rPr>
    </w:lvl>
    <w:lvl w:ilvl="1" w:tentative="0">
      <w:start w:val="0"/>
      <w:numFmt w:val="bullet"/>
      <w:lvlText w:val=""/>
      <w:lvlJc w:val="left"/>
      <w:rPr>
        <w:rFonts w:hint="default"/>
        <w:u w:val="none"/>
      </w:rPr>
    </w:lvl>
    <w:lvl w:ilvl="2" w:tentative="0">
      <w:start w:val="0"/>
      <w:numFmt w:val="bullet"/>
      <w:lvlText w:val=""/>
      <w:lvlJc w:val="left"/>
      <w:rPr>
        <w:rFonts w:hint="default"/>
        <w:u w:val="none"/>
      </w:rPr>
    </w:lvl>
    <w:lvl w:ilvl="3" w:tentative="0">
      <w:start w:val="0"/>
      <w:numFmt w:val="bullet"/>
      <w:lvlText w:val=""/>
      <w:lvlJc w:val="left"/>
      <w:rPr>
        <w:rFonts w:hint="default"/>
        <w:u w:val="none"/>
      </w:rPr>
    </w:lvl>
    <w:lvl w:ilvl="4" w:tentative="0">
      <w:start w:val="0"/>
      <w:numFmt w:val="bullet"/>
      <w:lvlText w:val=""/>
      <w:lvlJc w:val="left"/>
      <w:rPr>
        <w:rFonts w:hint="default"/>
        <w:u w:val="none"/>
      </w:rPr>
    </w:lvl>
    <w:lvl w:ilvl="5" w:tentative="0">
      <w:start w:val="0"/>
      <w:numFmt w:val="bullet"/>
      <w:lvlText w:val=""/>
      <w:lvlJc w:val="left"/>
      <w:rPr>
        <w:rFonts w:hint="default"/>
        <w:u w:val="none"/>
      </w:rPr>
    </w:lvl>
    <w:lvl w:ilvl="6" w:tentative="0">
      <w:start w:val="0"/>
      <w:numFmt w:val="bullet"/>
      <w:lvlText w:val=""/>
      <w:lvlJc w:val="left"/>
      <w:rPr>
        <w:rFonts w:hint="default"/>
        <w:u w:val="none"/>
      </w:rPr>
    </w:lvl>
    <w:lvl w:ilvl="7" w:tentative="0">
      <w:start w:val="0"/>
      <w:numFmt w:val="bullet"/>
      <w:lvlText w:val=""/>
      <w:lvlJc w:val="left"/>
      <w:rPr>
        <w:rFonts w:hint="default"/>
        <w:u w:val="none"/>
      </w:rPr>
    </w:lvl>
    <w:lvl w:ilvl="8" w:tentative="0">
      <w:start w:val="0"/>
      <w:numFmt w:val="bullet"/>
      <w:lvlText w:val=""/>
      <w:lvlJc w:val="left"/>
      <w:rPr>
        <w:rFonts w:hint="default"/>
        <w:u w:val="none"/>
      </w:rPr>
    </w:lvl>
  </w:abstractNum>
  <w:abstractNum w:abstractNumId="10">
    <w:nsid w:val="60382F6E"/>
    <w:multiLevelType w:val="multilevel"/>
    <w:tmpl w:val="60382F6E"/>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1">
    <w:nsid w:val="77ECEA79"/>
    <w:multiLevelType w:val="multilevel"/>
    <w:tmpl w:val="77ECEA79"/>
    <w:lvl w:ilvl="0" w:tentative="0">
      <w:start w:val="1"/>
      <w:numFmt w:val="chineseCountingThousand"/>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2">
    <w:nsid w:val="7C246926"/>
    <w:multiLevelType w:val="multilevel"/>
    <w:tmpl w:val="7C246926"/>
    <w:lvl w:ilvl="0" w:tentative="0">
      <w:start w:val="1"/>
      <w:numFmt w:val="decimal"/>
      <w:lvlText w:val="%1."/>
      <w:lvlJc w:val="left"/>
      <w:pPr>
        <w:ind w:left="420" w:hanging="42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9"/>
  </w:num>
  <w:num w:numId="2">
    <w:abstractNumId w:val="4"/>
  </w:num>
  <w:num w:numId="3">
    <w:abstractNumId w:val="6"/>
  </w:num>
  <w:num w:numId="4">
    <w:abstractNumId w:val="3"/>
  </w:num>
  <w:num w:numId="5">
    <w:abstractNumId w:val="2"/>
  </w:num>
  <w:num w:numId="6">
    <w:abstractNumId w:val="0"/>
  </w:num>
  <w:num w:numId="7">
    <w:abstractNumId w:val="8"/>
  </w:num>
  <w:num w:numId="8">
    <w:abstractNumId w:val="10"/>
  </w:num>
  <w:num w:numId="9">
    <w:abstractNumId w:val="5"/>
  </w:num>
  <w:num w:numId="10">
    <w:abstractNumId w:val="7"/>
  </w:num>
  <w:num w:numId="11">
    <w:abstractNumId w:val="1"/>
  </w:num>
  <w:num w:numId="12">
    <w:abstractNumId w:val="12"/>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NotTrackMoves/>
  <w:documentProtection w:enforcement="0"/>
  <w:defaultTabStop w:val="420"/>
  <w:characterSpacingControl w:val="doNotCompress"/>
  <w:compat>
    <w:balanceSingleByteDoubleByteWidth/>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D75604D"/>
    <w:rsid w:val="44364939"/>
    <w:rsid w:val="5BD744D8"/>
    <w:rsid w:val="667B4893"/>
    <w:rsid w:val="76F17358"/>
    <w:rsid w:val="78CF0F03"/>
  </w:rsids>
  <m:mathPr>
    <m:mathFont m:val="Cambria Math"/>
    <m:brkBin m:val="before"/>
    <m:brkBinSub m:val="--"/>
    <m:smallFrac m:val="0"/>
    <m:dispDef/>
    <m:lMargin m:val="0"/>
    <m:rMargin m:val="0"/>
    <m:defJc m:val="centerGroup"/>
    <m:preSp m:val="0"/>
    <m:postSp m:val="0"/>
    <m:interSp m:val="0"/>
    <m:intraSp m:val="0"/>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nhideWhenUsed="0" w:uiPriority="9" w:semiHidden="0" w:name="heading 2"/>
    <w:lsdException w:qFormat="1" w:unhideWhenUsed="0" w:uiPriority="1"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semiHidden="0" w:name="caption"/>
    <w:lsdException w:qFormat="1" w:uiPriority="99" w:semiHidden="0" w:name="table of figures"/>
    <w:lsdException w:uiPriority="99" w:name="envelope address"/>
    <w:lsdException w:uiPriority="99" w:name="envelope return"/>
    <w:lsdException w:qFormat="1" w:uiPriority="99" w:name="footnote reference"/>
    <w:lsdException w:qFormat="1" w:uiPriority="99" w:semiHidden="0" w:name="annotation reference"/>
    <w:lsdException w:uiPriority="99" w:name="line number"/>
    <w:lsdException w:uiPriority="99"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qFormat="1" w:unhideWhenUsed="0" w:uiPriority="0" w:semiHidden="0"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name="HTML Preformatted"/>
    <w:lsdException w:uiPriority="99" w:name="HTML Sample"/>
    <w:lsdException w:uiPriority="99" w:name="HTML Typewriter"/>
    <w:lsdException w:uiPriority="99" w:name="HTML Variable"/>
    <w:lsdException w:qFormat="1" w:uiPriority="99"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5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72"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hint="default" w:ascii="宋体" w:hAnsi="宋体" w:eastAsia="宋体" w:cs="宋体"/>
      <w:sz w:val="28"/>
      <w:szCs w:val="22"/>
      <w:lang w:val="en-US" w:eastAsia="zh-CN" w:bidi="ar-SA"/>
    </w:rPr>
  </w:style>
  <w:style w:type="paragraph" w:styleId="4">
    <w:name w:val="heading 1"/>
    <w:basedOn w:val="1"/>
    <w:next w:val="1"/>
    <w:link w:val="204"/>
    <w:qFormat/>
    <w:uiPriority w:val="1"/>
    <w:pPr>
      <w:spacing w:before="17"/>
      <w:ind w:left="1144"/>
      <w:jc w:val="left"/>
      <w:outlineLvl w:val="0"/>
    </w:pPr>
    <w:rPr>
      <w:rFonts w:ascii="黑体" w:eastAsia="黑体"/>
      <w:b/>
      <w:bCs/>
      <w:sz w:val="36"/>
      <w:szCs w:val="36"/>
    </w:rPr>
  </w:style>
  <w:style w:type="paragraph" w:styleId="5">
    <w:name w:val="heading 2"/>
    <w:basedOn w:val="1"/>
    <w:next w:val="1"/>
    <w:link w:val="205"/>
    <w:qFormat/>
    <w:uiPriority w:val="9"/>
    <w:pPr>
      <w:keepNext/>
      <w:keepLines/>
      <w:spacing w:before="260" w:after="260" w:line="416" w:lineRule="auto"/>
      <w:outlineLvl w:val="1"/>
    </w:pPr>
    <w:rPr>
      <w:rFonts w:ascii="Cambria" w:hAnsi="Cambria"/>
      <w:b/>
      <w:bCs/>
      <w:sz w:val="32"/>
      <w:szCs w:val="32"/>
    </w:rPr>
  </w:style>
  <w:style w:type="paragraph" w:styleId="6">
    <w:name w:val="heading 3"/>
    <w:basedOn w:val="1"/>
    <w:next w:val="1"/>
    <w:link w:val="206"/>
    <w:qFormat/>
    <w:uiPriority w:val="1"/>
    <w:pPr>
      <w:spacing w:before="34"/>
      <w:ind w:left="120"/>
      <w:jc w:val="left"/>
      <w:outlineLvl w:val="2"/>
    </w:pPr>
    <w:rPr>
      <w:rFonts w:ascii="宋体"/>
      <w:b/>
      <w:bCs/>
      <w:sz w:val="20"/>
      <w:szCs w:val="21"/>
    </w:rPr>
  </w:style>
  <w:style w:type="paragraph" w:styleId="7">
    <w:name w:val="heading 4"/>
    <w:basedOn w:val="1"/>
    <w:next w:val="1"/>
    <w:link w:val="165"/>
    <w:unhideWhenUsed/>
    <w:qFormat/>
    <w:uiPriority w:val="9"/>
    <w:pPr>
      <w:keepNext/>
      <w:keepLines/>
      <w:spacing w:before="80" w:after="40"/>
      <w:outlineLvl w:val="3"/>
    </w:pPr>
    <w:rPr>
      <w:rFonts w:ascii="Arial" w:hAnsi="Arial" w:eastAsia="Arial" w:cs="Arial"/>
      <w:i/>
      <w:iCs/>
      <w:color w:val="2E75B6" w:themeColor="accent1" w:themeShade="BF"/>
    </w:rPr>
  </w:style>
  <w:style w:type="paragraph" w:styleId="8">
    <w:name w:val="heading 5"/>
    <w:basedOn w:val="1"/>
    <w:next w:val="1"/>
    <w:link w:val="166"/>
    <w:unhideWhenUsed/>
    <w:qFormat/>
    <w:uiPriority w:val="9"/>
    <w:pPr>
      <w:keepNext/>
      <w:keepLines/>
      <w:spacing w:before="80" w:after="40"/>
      <w:outlineLvl w:val="4"/>
    </w:pPr>
    <w:rPr>
      <w:rFonts w:ascii="Arial" w:hAnsi="Arial" w:eastAsia="Arial" w:cs="Arial"/>
      <w:color w:val="2E75B6" w:themeColor="accent1" w:themeShade="BF"/>
    </w:rPr>
  </w:style>
  <w:style w:type="paragraph" w:styleId="9">
    <w:name w:val="heading 6"/>
    <w:basedOn w:val="1"/>
    <w:next w:val="1"/>
    <w:link w:val="167"/>
    <w:unhideWhenUsed/>
    <w:qFormat/>
    <w:uiPriority w:val="9"/>
    <w:pPr>
      <w:keepNext/>
      <w:keepLines/>
      <w:spacing w:before="40" w:after="0"/>
      <w:outlineLvl w:val="5"/>
    </w:pPr>
    <w:rPr>
      <w:rFonts w:ascii="Arial" w:hAnsi="Arial" w:eastAsia="Arial" w:cs="Arial"/>
      <w:i/>
      <w:iCs/>
      <w:color w:val="595959" w:themeColor="text1" w:themeTint="A6"/>
      <w14:textFill>
        <w14:solidFill>
          <w14:schemeClr w14:val="tx1">
            <w14:lumMod w14:val="65000"/>
            <w14:lumOff w14:val="35000"/>
          </w14:schemeClr>
        </w14:solidFill>
      </w14:textFill>
    </w:rPr>
  </w:style>
  <w:style w:type="paragraph" w:styleId="10">
    <w:name w:val="heading 7"/>
    <w:basedOn w:val="1"/>
    <w:next w:val="1"/>
    <w:link w:val="168"/>
    <w:unhideWhenUsed/>
    <w:qFormat/>
    <w:uiPriority w:val="9"/>
    <w:pPr>
      <w:keepNext/>
      <w:keepLines/>
      <w:spacing w:before="40" w:after="0"/>
      <w:outlineLvl w:val="6"/>
    </w:pPr>
    <w:rPr>
      <w:rFonts w:ascii="Arial" w:hAnsi="Arial" w:eastAsia="Arial" w:cs="Arial"/>
      <w:color w:val="595959" w:themeColor="text1" w:themeTint="A6"/>
      <w14:textFill>
        <w14:solidFill>
          <w14:schemeClr w14:val="tx1">
            <w14:lumMod w14:val="65000"/>
            <w14:lumOff w14:val="35000"/>
          </w14:schemeClr>
        </w14:solidFill>
      </w14:textFill>
    </w:rPr>
  </w:style>
  <w:style w:type="paragraph" w:styleId="11">
    <w:name w:val="heading 8"/>
    <w:basedOn w:val="1"/>
    <w:next w:val="1"/>
    <w:link w:val="169"/>
    <w:unhideWhenUsed/>
    <w:qFormat/>
    <w:uiPriority w:val="9"/>
    <w:pPr>
      <w:keepNext/>
      <w:keepLines/>
      <w:spacing w:after="0"/>
      <w:outlineLvl w:val="7"/>
    </w:pPr>
    <w:rPr>
      <w:rFonts w:ascii="Arial" w:hAnsi="Arial" w:eastAsia="Arial" w:cs="Arial"/>
      <w:i/>
      <w:iCs/>
      <w:color w:val="262626" w:themeColor="text1" w:themeTint="D9"/>
      <w14:textFill>
        <w14:solidFill>
          <w14:schemeClr w14:val="tx1">
            <w14:lumMod w14:val="85000"/>
            <w14:lumOff w14:val="15000"/>
          </w14:schemeClr>
        </w14:solidFill>
      </w14:textFill>
    </w:rPr>
  </w:style>
  <w:style w:type="paragraph" w:styleId="12">
    <w:name w:val="heading 9"/>
    <w:basedOn w:val="1"/>
    <w:next w:val="1"/>
    <w:link w:val="170"/>
    <w:unhideWhenUsed/>
    <w:qFormat/>
    <w:uiPriority w:val="9"/>
    <w:pPr>
      <w:keepNext/>
      <w:keepLines/>
      <w:spacing w:after="0"/>
      <w:outlineLvl w:val="8"/>
    </w:pPr>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default="1" w:styleId="30">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table" w:customStyle="1" w:styleId="2">
    <w:name w:val="Grid Table 4"/>
    <w:basedOn w:val="3"/>
    <w:qFormat/>
    <w:uiPriority w:val="59"/>
    <w:pPr>
      <w:spacing w:after="0" w:line="240" w:lineRule="auto"/>
    </w:pPr>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fill="000000"/>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fill="CACACA"/>
      </w:tcPr>
    </w:tblStylePr>
    <w:tblStylePr w:type="band2Vert"/>
    <w:tblStylePr w:type="band1Horz">
      <w:rPr>
        <w:rFonts w:ascii="Arial" w:hAnsi="Arial"/>
        <w:color w:val="404040"/>
        <w:sz w:val="22"/>
      </w:rPr>
      <w:tcPr>
        <w:shd w:val="clear" w:color="CACACA" w:fill="CACACA"/>
      </w:tcPr>
    </w:tblStylePr>
    <w:tblStylePr w:type="band2Horz"/>
    <w:tblStylePr w:type="neCell"/>
    <w:tblStylePr w:type="nwCell"/>
    <w:tblStylePr w:type="seCell"/>
    <w:tblStylePr w:type="swCell"/>
  </w:style>
  <w:style w:type="paragraph" w:styleId="13">
    <w:name w:val="caption"/>
    <w:basedOn w:val="1"/>
    <w:next w:val="1"/>
    <w:unhideWhenUsed/>
    <w:qFormat/>
    <w:uiPriority w:val="35"/>
    <w:pPr>
      <w:spacing w:after="200" w:line="240" w:lineRule="auto"/>
    </w:pPr>
    <w:rPr>
      <w:i/>
      <w:iCs/>
      <w:color w:val="44546A" w:themeColor="text2"/>
      <w:sz w:val="18"/>
      <w:szCs w:val="18"/>
      <w14:textFill>
        <w14:solidFill>
          <w14:schemeClr w14:val="tx2"/>
        </w14:solidFill>
      </w14:textFill>
    </w:rPr>
  </w:style>
  <w:style w:type="paragraph" w:styleId="14">
    <w:name w:val="annotation text"/>
    <w:basedOn w:val="1"/>
    <w:unhideWhenUsed/>
    <w:qFormat/>
    <w:uiPriority w:val="99"/>
    <w:pPr>
      <w:jc w:val="left"/>
    </w:pPr>
  </w:style>
  <w:style w:type="paragraph" w:styleId="15">
    <w:name w:val="Body Text"/>
    <w:basedOn w:val="1"/>
    <w:next w:val="1"/>
    <w:qFormat/>
    <w:uiPriority w:val="1"/>
    <w:pPr>
      <w:spacing w:before="162"/>
      <w:ind w:left="120"/>
      <w:jc w:val="left"/>
    </w:pPr>
    <w:rPr>
      <w:rFonts w:ascii="宋体"/>
      <w:sz w:val="20"/>
      <w:szCs w:val="21"/>
    </w:rPr>
  </w:style>
  <w:style w:type="paragraph" w:styleId="16">
    <w:name w:val="Date"/>
    <w:basedOn w:val="1"/>
    <w:next w:val="1"/>
    <w:unhideWhenUsed/>
    <w:qFormat/>
    <w:uiPriority w:val="99"/>
    <w:pPr>
      <w:ind w:left="100"/>
    </w:pPr>
  </w:style>
  <w:style w:type="paragraph" w:styleId="17">
    <w:name w:val="endnote text"/>
    <w:basedOn w:val="1"/>
    <w:semiHidden/>
    <w:unhideWhenUsed/>
    <w:qFormat/>
    <w:uiPriority w:val="99"/>
    <w:pPr>
      <w:spacing w:after="0" w:line="240" w:lineRule="auto"/>
    </w:pPr>
    <w:rPr>
      <w:sz w:val="20"/>
      <w:szCs w:val="20"/>
    </w:rPr>
  </w:style>
  <w:style w:type="paragraph" w:styleId="18">
    <w:name w:val="Balloon Text"/>
    <w:basedOn w:val="1"/>
    <w:unhideWhenUsed/>
    <w:qFormat/>
    <w:uiPriority w:val="99"/>
    <w:rPr>
      <w:sz w:val="18"/>
      <w:szCs w:val="18"/>
    </w:rPr>
  </w:style>
  <w:style w:type="paragraph" w:styleId="19">
    <w:name w:val="footer"/>
    <w:basedOn w:val="1"/>
    <w:unhideWhenUsed/>
    <w:qFormat/>
    <w:uiPriority w:val="99"/>
    <w:pPr>
      <w:tabs>
        <w:tab w:val="center" w:pos="4153"/>
        <w:tab w:val="right" w:pos="8306"/>
      </w:tabs>
      <w:jc w:val="left"/>
    </w:pPr>
    <w:rPr>
      <w:sz w:val="18"/>
      <w:szCs w:val="18"/>
    </w:rPr>
  </w:style>
  <w:style w:type="paragraph" w:styleId="20">
    <w:name w:val="header"/>
    <w:basedOn w:val="1"/>
    <w:unhideWhenUsed/>
    <w:qFormat/>
    <w:uiPriority w:val="99"/>
    <w:pPr>
      <w:pBdr>
        <w:bottom w:val="single" w:color="000000" w:sz="6" w:space="1"/>
      </w:pBdr>
      <w:tabs>
        <w:tab w:val="center" w:pos="4153"/>
        <w:tab w:val="right" w:pos="8306"/>
      </w:tabs>
      <w:jc w:val="center"/>
    </w:pPr>
    <w:rPr>
      <w:sz w:val="18"/>
      <w:szCs w:val="18"/>
    </w:rPr>
  </w:style>
  <w:style w:type="paragraph" w:styleId="21">
    <w:name w:val="Subtitle"/>
    <w:basedOn w:val="1"/>
    <w:next w:val="1"/>
    <w:qFormat/>
    <w:uiPriority w:val="11"/>
    <w:rPr>
      <w:color w:val="595959" w:themeColor="text1" w:themeTint="A6"/>
      <w:spacing w:val="15"/>
      <w:sz w:val="28"/>
      <w:szCs w:val="28"/>
      <w14:textFill>
        <w14:solidFill>
          <w14:schemeClr w14:val="tx1">
            <w14:lumMod w14:val="65000"/>
            <w14:lumOff w14:val="35000"/>
          </w14:schemeClr>
        </w14:solidFill>
      </w14:textFill>
    </w:rPr>
  </w:style>
  <w:style w:type="paragraph" w:styleId="22">
    <w:name w:val="footnote text"/>
    <w:basedOn w:val="1"/>
    <w:semiHidden/>
    <w:unhideWhenUsed/>
    <w:qFormat/>
    <w:uiPriority w:val="99"/>
    <w:pPr>
      <w:jc w:val="left"/>
    </w:pPr>
    <w:rPr>
      <w:sz w:val="18"/>
      <w:szCs w:val="18"/>
    </w:rPr>
  </w:style>
  <w:style w:type="paragraph" w:styleId="23">
    <w:name w:val="table of figures"/>
    <w:basedOn w:val="1"/>
    <w:next w:val="1"/>
    <w:unhideWhenUsed/>
    <w:qFormat/>
    <w:uiPriority w:val="99"/>
    <w:pPr>
      <w:spacing w:after="0" w:afterAutospacing="0"/>
    </w:pPr>
  </w:style>
  <w:style w:type="paragraph" w:styleId="24">
    <w:name w:val="HTML Preformatted"/>
    <w:basedOn w:val="1"/>
    <w:semiHidden/>
    <w:unhideWhenUsed/>
    <w:qFormat/>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sz w:val="24"/>
      <w:szCs w:val="24"/>
    </w:rPr>
  </w:style>
  <w:style w:type="paragraph" w:styleId="25">
    <w:name w:val="Normal (Web)"/>
    <w:basedOn w:val="1"/>
    <w:unhideWhenUsed/>
    <w:qFormat/>
    <w:uiPriority w:val="99"/>
    <w:pPr>
      <w:widowControl/>
      <w:spacing w:before="100" w:beforeAutospacing="1" w:after="100" w:afterAutospacing="1"/>
      <w:jc w:val="left"/>
    </w:pPr>
    <w:rPr>
      <w:rFonts w:ascii="宋体" w:hAnsi="宋体" w:cs="宋体"/>
      <w:sz w:val="24"/>
      <w:szCs w:val="24"/>
    </w:rPr>
  </w:style>
  <w:style w:type="paragraph" w:styleId="26">
    <w:name w:val="Title"/>
    <w:basedOn w:val="1"/>
    <w:next w:val="1"/>
    <w:qFormat/>
    <w:uiPriority w:val="10"/>
    <w:pPr>
      <w:spacing w:after="80" w:line="240" w:lineRule="auto"/>
      <w:contextualSpacing/>
    </w:pPr>
    <w:rPr>
      <w:rFonts w:ascii="Arial" w:hAnsi="Arial" w:eastAsia="Arial" w:cs="Arial"/>
      <w:spacing w:val="-10"/>
      <w:sz w:val="56"/>
      <w:szCs w:val="56"/>
    </w:rPr>
  </w:style>
  <w:style w:type="paragraph" w:styleId="27">
    <w:name w:val="annotation subject"/>
    <w:basedOn w:val="14"/>
    <w:next w:val="14"/>
    <w:link w:val="213"/>
    <w:unhideWhenUsed/>
    <w:qFormat/>
    <w:uiPriority w:val="99"/>
    <w:rPr>
      <w:b/>
      <w:bCs/>
    </w:rPr>
  </w:style>
  <w:style w:type="paragraph" w:styleId="28">
    <w:name w:val="Body Text First Indent"/>
    <w:qFormat/>
    <w:uiPriority w:val="0"/>
    <w:pPr>
      <w:widowControl w:val="0"/>
      <w:spacing w:line="312" w:lineRule="auto"/>
      <w:ind w:left="860" w:firstLine="420"/>
      <w:jc w:val="both"/>
    </w:pPr>
    <w:rPr>
      <w:rFonts w:hint="default" w:ascii="Times New Roman" w:hAnsi="Times New Roman" w:eastAsia="宋体" w:cs="Times New Roman"/>
      <w:sz w:val="32"/>
      <w:szCs w:val="32"/>
      <w:lang w:val="en-US" w:eastAsia="zh-CN" w:bidi="ar-SA"/>
    </w:rPr>
  </w:style>
  <w:style w:type="table" w:styleId="29">
    <w:name w:val="Table Grid"/>
    <w:basedOn w:val="3"/>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character" w:styleId="31">
    <w:name w:val="Strong"/>
    <w:qFormat/>
    <w:uiPriority w:val="22"/>
    <w:rPr>
      <w:rFonts w:ascii="Times New Roman" w:hAnsi="Times New Roman" w:eastAsia="宋体" w:cs="Times New Roman"/>
      <w:b/>
      <w:bCs/>
    </w:rPr>
  </w:style>
  <w:style w:type="character" w:styleId="32">
    <w:name w:val="endnote reference"/>
    <w:basedOn w:val="30"/>
    <w:semiHidden/>
    <w:unhideWhenUsed/>
    <w:qFormat/>
    <w:uiPriority w:val="99"/>
    <w:rPr>
      <w:vertAlign w:val="superscript"/>
    </w:rPr>
  </w:style>
  <w:style w:type="character" w:styleId="33">
    <w:name w:val="FollowedHyperlink"/>
    <w:basedOn w:val="30"/>
    <w:semiHidden/>
    <w:unhideWhenUsed/>
    <w:qFormat/>
    <w:uiPriority w:val="99"/>
    <w:rPr>
      <w:color w:val="954F72" w:themeColor="followedHyperlink"/>
      <w:u w:val="single"/>
      <w14:textFill>
        <w14:solidFill>
          <w14:schemeClr w14:val="folHlink"/>
        </w14:solidFill>
      </w14:textFill>
    </w:rPr>
  </w:style>
  <w:style w:type="character" w:styleId="34">
    <w:name w:val="Emphasis"/>
    <w:basedOn w:val="30"/>
    <w:qFormat/>
    <w:uiPriority w:val="20"/>
    <w:rPr>
      <w:i/>
      <w:iCs/>
    </w:rPr>
  </w:style>
  <w:style w:type="character" w:styleId="35">
    <w:name w:val="Hyperlink"/>
    <w:unhideWhenUsed/>
    <w:qFormat/>
    <w:uiPriority w:val="99"/>
    <w:rPr>
      <w:rFonts w:ascii="Times New Roman" w:hAnsi="Times New Roman" w:eastAsia="宋体" w:cs="Times New Roman"/>
      <w:color w:val="0000FF"/>
      <w:u w:val="single"/>
    </w:rPr>
  </w:style>
  <w:style w:type="character" w:styleId="36">
    <w:name w:val="annotation reference"/>
    <w:unhideWhenUsed/>
    <w:qFormat/>
    <w:uiPriority w:val="99"/>
    <w:rPr>
      <w:rFonts w:ascii="Times New Roman" w:hAnsi="Times New Roman" w:eastAsia="宋体" w:cs="Times New Roman"/>
      <w:sz w:val="21"/>
      <w:szCs w:val="21"/>
    </w:rPr>
  </w:style>
  <w:style w:type="character" w:styleId="37">
    <w:name w:val="footnote reference"/>
    <w:semiHidden/>
    <w:unhideWhenUsed/>
    <w:qFormat/>
    <w:uiPriority w:val="99"/>
    <w:rPr>
      <w:rFonts w:ascii="Times New Roman" w:hAnsi="Times New Roman" w:eastAsia="宋体" w:cs="Times New Roman"/>
      <w:vertAlign w:val="superscript"/>
    </w:rPr>
  </w:style>
  <w:style w:type="table" w:customStyle="1" w:styleId="38">
    <w:name w:val="Table Grid Light"/>
    <w:basedOn w:val="3"/>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table" w:customStyle="1" w:styleId="39">
    <w:name w:val="Plain Table 1"/>
    <w:basedOn w:val="3"/>
    <w:qFormat/>
    <w:uiPriority w:val="59"/>
    <w:pPr>
      <w:spacing w:after="0" w:line="240" w:lineRule="auto"/>
    </w:pPr>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CellMar>
        <w:top w:w="0" w:type="dxa"/>
        <w:left w:w="108" w:type="dxa"/>
        <w:bottom w:w="0" w:type="dxa"/>
        <w:right w:w="108" w:type="dxa"/>
      </w:tblCellMar>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fill="F1F1F1"/>
      </w:tcPr>
    </w:tblStylePr>
    <w:tblStylePr w:type="band2Vert"/>
    <w:tblStylePr w:type="band1Horz">
      <w:tcPr>
        <w:shd w:val="clear" w:color="F1F1F1" w:fill="F1F1F1"/>
      </w:tcPr>
    </w:tblStylePr>
    <w:tblStylePr w:type="band2Horz"/>
    <w:tblStylePr w:type="neCell"/>
    <w:tblStylePr w:type="nwCell"/>
    <w:tblStylePr w:type="seCell"/>
    <w:tblStylePr w:type="swCell"/>
  </w:style>
  <w:style w:type="table" w:customStyle="1" w:styleId="40">
    <w:name w:val="Plain Table 2"/>
    <w:basedOn w:val="3"/>
    <w:qFormat/>
    <w:uiPriority w:val="59"/>
    <w:pPr>
      <w:spacing w:after="0" w:line="240" w:lineRule="auto"/>
    </w:pPr>
    <w:tblPr>
      <w:tblBorders>
        <w:top w:val="single" w:color="000000" w:themeColor="text1" w:sz="4" w:space="0"/>
        <w:left w:val="none" w:color="000000" w:themeColor="text1" w:sz="0" w:space="0"/>
        <w:bottom w:val="single" w:color="000000" w:themeColor="text1" w:sz="4" w:space="0"/>
        <w:right w:val="none" w:color="000000" w:themeColor="text1" w:sz="0" w:space="0"/>
      </w:tblBorders>
      <w:tblCellMar>
        <w:top w:w="0" w:type="dxa"/>
        <w:left w:w="108" w:type="dxa"/>
        <w:bottom w:w="0" w:type="dxa"/>
        <w:right w:w="108" w:type="dxa"/>
      </w:tblCellMar>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tblStylePr w:type="band2Horz"/>
    <w:tblStylePr w:type="neCell"/>
    <w:tblStylePr w:type="nwCell"/>
    <w:tblStylePr w:type="seCell"/>
    <w:tblStylePr w:type="swCell"/>
  </w:style>
  <w:style w:type="table" w:customStyle="1" w:styleId="41">
    <w:name w:val="Plain Table 3"/>
    <w:basedOn w:val="3"/>
    <w:qFormat/>
    <w:uiPriority w:val="99"/>
    <w:pPr>
      <w:spacing w:after="0" w:line="240" w:lineRule="auto"/>
    </w:pPr>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fill="F1F1F1"/>
      </w:tcPr>
    </w:tblStylePr>
    <w:tblStylePr w:type="band2Vert"/>
    <w:tblStylePr w:type="band1Horz">
      <w:rPr>
        <w:rFonts w:ascii="Arial" w:hAnsi="Arial"/>
        <w:color w:val="404040"/>
        <w:sz w:val="22"/>
      </w:rPr>
      <w:tcPr>
        <w:shd w:val="clear" w:color="F1F1F1" w:fill="F1F1F1"/>
      </w:tcPr>
    </w:tblStylePr>
    <w:tblStylePr w:type="band2Horz"/>
    <w:tblStylePr w:type="neCell"/>
    <w:tblStylePr w:type="nwCell"/>
    <w:tblStylePr w:type="seCell"/>
    <w:tblStylePr w:type="swCell"/>
  </w:style>
  <w:style w:type="table" w:customStyle="1" w:styleId="42">
    <w:name w:val="Plain Table 4"/>
    <w:basedOn w:val="3"/>
    <w:qFormat/>
    <w:uiPriority w:val="99"/>
    <w:pPr>
      <w:spacing w:after="0" w:line="240" w:lineRule="auto"/>
    </w:p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fill="F1F1F1"/>
      </w:tcPr>
    </w:tblStylePr>
    <w:tblStylePr w:type="band2Vert"/>
    <w:tblStylePr w:type="band1Horz">
      <w:rPr>
        <w:rFonts w:ascii="Arial" w:hAnsi="Arial"/>
        <w:color w:val="404040"/>
        <w:sz w:val="22"/>
      </w:rPr>
      <w:tcPr>
        <w:shd w:val="clear" w:color="F1F1F1" w:fill="F1F1F1"/>
      </w:tcPr>
    </w:tblStylePr>
    <w:tblStylePr w:type="band2Horz"/>
    <w:tblStylePr w:type="neCell"/>
    <w:tblStylePr w:type="nwCell"/>
    <w:tblStylePr w:type="seCell"/>
    <w:tblStylePr w:type="swCell"/>
  </w:style>
  <w:style w:type="table" w:customStyle="1" w:styleId="43">
    <w:name w:val="Plain Table 5"/>
    <w:basedOn w:val="3"/>
    <w:qFormat/>
    <w:uiPriority w:val="99"/>
    <w:pPr>
      <w:spacing w:after="0" w:line="240" w:lineRule="auto"/>
    </w:pPr>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fill="F1F1F1"/>
      </w:tcPr>
    </w:tblStylePr>
    <w:tblStylePr w:type="band2Vert"/>
    <w:tblStylePr w:type="band1Horz">
      <w:rPr>
        <w:rFonts w:ascii="Arial" w:hAnsi="Arial"/>
        <w:color w:val="404040"/>
        <w:sz w:val="22"/>
      </w:rPr>
      <w:tcPr>
        <w:shd w:val="clear" w:color="F1F1F1" w:fill="F1F1F1"/>
      </w:tcPr>
    </w:tblStylePr>
    <w:tblStylePr w:type="band2Horz"/>
    <w:tblStylePr w:type="neCell"/>
    <w:tblStylePr w:type="nwCell"/>
    <w:tblStylePr w:type="seCell"/>
    <w:tblStylePr w:type="swCell"/>
  </w:style>
  <w:style w:type="table" w:customStyle="1" w:styleId="44">
    <w:name w:val="Grid Table 1 Light"/>
    <w:basedOn w:val="3"/>
    <w:qFormat/>
    <w:uiPriority w:val="99"/>
    <w:pPr>
      <w:spacing w:after="0" w:line="240" w:lineRule="auto"/>
    </w:pPr>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tblStylePr w:type="band2Horz"/>
    <w:tblStylePr w:type="neCell"/>
    <w:tblStylePr w:type="nwCell"/>
    <w:tblStylePr w:type="seCell"/>
    <w:tblStylePr w:type="swCell"/>
  </w:style>
  <w:style w:type="table" w:customStyle="1" w:styleId="45">
    <w:name w:val="Grid Table 1 Light - Accent 1"/>
    <w:basedOn w:val="3"/>
    <w:qFormat/>
    <w:uiPriority w:val="99"/>
    <w:pPr>
      <w:spacing w:after="0" w:line="240" w:lineRule="auto"/>
    </w:pPr>
    <w:tblPr>
      <w:tbl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insideH w:val="single" w:color="BCD6EE" w:themeColor="accent1" w:themeTint="67" w:sz="4" w:space="0"/>
        <w:insideV w:val="single" w:color="BCD6EE" w:themeColor="accent1" w:themeTint="67" w:sz="4" w:space="0"/>
      </w:tblBorders>
    </w:tblPr>
    <w:tblStylePr w:type="firstRow">
      <w:rPr>
        <w:b/>
        <w:color w:val="404040"/>
      </w:rPr>
      <w:tcPr>
        <w:tcBorders>
          <w:bottom w:val="single" w:color="9FC4E6"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tcBorders>
      </w:tcPr>
    </w:tblStylePr>
    <w:tblStylePr w:type="band2Horz"/>
    <w:tblStylePr w:type="neCell"/>
    <w:tblStylePr w:type="nwCell"/>
    <w:tblStylePr w:type="seCell"/>
    <w:tblStylePr w:type="swCell"/>
  </w:style>
  <w:style w:type="table" w:customStyle="1" w:styleId="46">
    <w:name w:val="Grid Table 1 Light - Accent 2"/>
    <w:basedOn w:val="3"/>
    <w:qFormat/>
    <w:uiPriority w:val="99"/>
    <w:pPr>
      <w:spacing w:after="0" w:line="240" w:lineRule="auto"/>
    </w:pPr>
    <w:tblPr>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firstRow">
      <w:rPr>
        <w:b/>
        <w:color w:val="404040"/>
      </w:rPr>
      <w:tcPr>
        <w:tcBorders>
          <w:bottom w:val="single" w:color="F4B386"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tblStylePr w:type="band2Horz"/>
    <w:tblStylePr w:type="neCell"/>
    <w:tblStylePr w:type="nwCell"/>
    <w:tblStylePr w:type="seCell"/>
    <w:tblStylePr w:type="swCell"/>
  </w:style>
  <w:style w:type="table" w:customStyle="1" w:styleId="47">
    <w:name w:val="Grid Table 1 Light - Accent 3"/>
    <w:basedOn w:val="3"/>
    <w:qFormat/>
    <w:uiPriority w:val="99"/>
    <w:pPr>
      <w:spacing w:after="0" w:line="240" w:lineRule="auto"/>
    </w:pPr>
    <w:tblPr>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firstRow">
      <w:rPr>
        <w:b/>
        <w:color w:val="404040"/>
      </w:rPr>
      <w:tcPr>
        <w:tcBorders>
          <w:bottom w:val="single" w:color="CACACA"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tblStylePr w:type="band2Horz"/>
    <w:tblStylePr w:type="neCell"/>
    <w:tblStylePr w:type="nwCell"/>
    <w:tblStylePr w:type="seCell"/>
    <w:tblStylePr w:type="swCell"/>
  </w:style>
  <w:style w:type="table" w:customStyle="1" w:styleId="48">
    <w:name w:val="Grid Table 1 Light - Accent 4"/>
    <w:basedOn w:val="3"/>
    <w:qFormat/>
    <w:uiPriority w:val="99"/>
    <w:pPr>
      <w:spacing w:after="0" w:line="240" w:lineRule="auto"/>
    </w:pPr>
    <w:tblPr>
      <w:tbl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insideH w:val="single" w:color="FFE597" w:themeColor="accent4" w:themeTint="67" w:sz="4" w:space="0"/>
        <w:insideV w:val="single" w:color="FFE597" w:themeColor="accent4" w:themeTint="67" w:sz="4" w:space="0"/>
      </w:tblBorders>
    </w:tblPr>
    <w:tblStylePr w:type="firstRow">
      <w:rPr>
        <w:b/>
        <w:color w:val="404040"/>
      </w:rPr>
      <w:tcPr>
        <w:tcBorders>
          <w:bottom w:val="single" w:color="FFDA69"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tcBorders>
      </w:tcPr>
    </w:tblStylePr>
    <w:tblStylePr w:type="band2Horz"/>
    <w:tblStylePr w:type="neCell"/>
    <w:tblStylePr w:type="nwCell"/>
    <w:tblStylePr w:type="seCell"/>
    <w:tblStylePr w:type="swCell"/>
  </w:style>
  <w:style w:type="table" w:customStyle="1" w:styleId="49">
    <w:name w:val="Grid Table 1 Light - Accent 5"/>
    <w:basedOn w:val="3"/>
    <w:qFormat/>
    <w:uiPriority w:val="99"/>
    <w:pPr>
      <w:spacing w:after="0" w:line="240" w:lineRule="auto"/>
    </w:pPr>
    <w:tblPr>
      <w:tblBorders>
        <w:top w:val="single" w:color="B3C6E7" w:themeColor="accent5" w:themeTint="67" w:sz="4" w:space="0"/>
        <w:left w:val="single" w:color="B3C6E7" w:themeColor="accent5" w:themeTint="67" w:sz="4" w:space="0"/>
        <w:bottom w:val="single" w:color="B3C6E7" w:themeColor="accent5" w:themeTint="67" w:sz="4" w:space="0"/>
        <w:right w:val="single" w:color="B3C6E7" w:themeColor="accent5" w:themeTint="67" w:sz="4" w:space="0"/>
        <w:insideH w:val="single" w:color="B3C6E7" w:themeColor="accent5" w:themeTint="67" w:sz="4" w:space="0"/>
        <w:insideV w:val="single" w:color="B3C6E7" w:themeColor="accent5" w:themeTint="67" w:sz="4" w:space="0"/>
      </w:tblBorders>
    </w:tblPr>
    <w:tblStylePr w:type="firstRow">
      <w:rPr>
        <w:b/>
        <w:color w:val="404040"/>
      </w:rPr>
      <w:tcPr>
        <w:tcBorders>
          <w:bottom w:val="single" w:color="91ACDC"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B3C6E7" w:themeColor="accent5" w:themeTint="67" w:sz="4" w:space="0"/>
          <w:left w:val="single" w:color="B3C6E7" w:themeColor="accent5" w:themeTint="67" w:sz="4" w:space="0"/>
          <w:bottom w:val="single" w:color="B3C6E7" w:themeColor="accent5" w:themeTint="67" w:sz="4" w:space="0"/>
          <w:right w:val="single" w:color="B3C6E7" w:themeColor="accent5" w:themeTint="67" w:sz="4" w:space="0"/>
        </w:tcBorders>
      </w:tcPr>
    </w:tblStylePr>
    <w:tblStylePr w:type="band2Horz"/>
    <w:tblStylePr w:type="neCell"/>
    <w:tblStylePr w:type="nwCell"/>
    <w:tblStylePr w:type="seCell"/>
    <w:tblStylePr w:type="swCell"/>
  </w:style>
  <w:style w:type="table" w:customStyle="1" w:styleId="50">
    <w:name w:val="Grid Table 1 Light - Accent 6"/>
    <w:basedOn w:val="3"/>
    <w:qFormat/>
    <w:uiPriority w:val="99"/>
    <w:pPr>
      <w:spacing w:after="0" w:line="240" w:lineRule="auto"/>
    </w:pPr>
    <w:tblPr>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firstRow">
      <w:rPr>
        <w:b/>
        <w:color w:val="404040"/>
      </w:rPr>
      <w:tcPr>
        <w:tcBorders>
          <w:bottom w:val="single" w:color="AAD190"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Vert"/>
    <w:tblStylePr w:type="band2Vert"/>
    <w:tblStylePr w:type="band1Horz">
      <w:rPr>
        <w:rFonts w:ascii="Arial" w:hAnsi="Arial"/>
        <w:color w:val="404040"/>
        <w:sz w:val="22"/>
      </w:r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tblStylePr w:type="band2Horz"/>
    <w:tblStylePr w:type="neCell"/>
    <w:tblStylePr w:type="nwCell"/>
    <w:tblStylePr w:type="seCell"/>
    <w:tblStylePr w:type="swCell"/>
  </w:style>
  <w:style w:type="table" w:customStyle="1" w:styleId="51">
    <w:name w:val="Grid Table 2"/>
    <w:basedOn w:val="3"/>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fill="CACACA"/>
      </w:tcPr>
    </w:tblStylePr>
    <w:tblStylePr w:type="band2Vert"/>
    <w:tblStylePr w:type="band1Horz">
      <w:rPr>
        <w:rFonts w:ascii="Arial" w:hAnsi="Arial"/>
        <w:color w:val="404040"/>
        <w:sz w:val="22"/>
      </w:rPr>
      <w:tcPr>
        <w:shd w:val="clear" w:color="CACACA" w:fill="CACACA"/>
      </w:tcPr>
    </w:tblStylePr>
    <w:tblStylePr w:type="band2Horz"/>
    <w:tblStylePr w:type="neCell"/>
    <w:tblStylePr w:type="nwCell"/>
    <w:tblStylePr w:type="seCell"/>
    <w:tblStylePr w:type="swCell"/>
  </w:style>
  <w:style w:type="table" w:customStyle="1" w:styleId="52">
    <w:name w:val="Grid Table 2 - Accent 1"/>
    <w:basedOn w:val="3"/>
    <w:qFormat/>
    <w:uiPriority w:val="99"/>
    <w:pPr>
      <w:spacing w:after="0" w:line="240" w:lineRule="auto"/>
    </w:pPr>
    <w:tblPr>
      <w:tblBorders>
        <w:bottom w:val="single" w:color="68A3D8" w:themeColor="accent1" w:themeTint="EA" w:sz="4" w:space="0"/>
        <w:insideH w:val="single" w:color="68A3D8" w:themeColor="accent1" w:themeTint="EA" w:sz="4" w:space="0"/>
        <w:insideV w:val="single" w:color="68A3D8" w:themeColor="accent1" w:themeTint="EA" w:sz="4" w:space="0"/>
      </w:tblBorders>
    </w:tblPr>
    <w:tblStylePr w:type="firstRow">
      <w:rPr>
        <w:b/>
        <w:color w:val="404040"/>
      </w:rPr>
      <w:tcPr>
        <w:tcBorders>
          <w:top w:val="nil"/>
          <w:left w:val="nil"/>
          <w:bottom w:val="single" w:color="68A3D8" w:themeColor="accent1" w:themeTint="EA" w:sz="12" w:space="0"/>
          <w:right w:val="nil"/>
        </w:tcBorders>
        <w:shd w:val="clear" w:color="FFFFFF" w:fill="auto"/>
      </w:tcPr>
    </w:tblStylePr>
    <w:tblStylePr w:type="lastRow">
      <w:rPr>
        <w:b/>
        <w:color w:val="404040"/>
      </w:rPr>
      <w:tcPr>
        <w:tcBorders>
          <w:top w:val="single" w:color="68A3D8" w:themeColor="accent1" w:themeTint="E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DEAF6" w:fill="DDEAF6"/>
      </w:tcPr>
    </w:tblStylePr>
    <w:tblStylePr w:type="band2Vert"/>
    <w:tblStylePr w:type="band1Horz">
      <w:rPr>
        <w:rFonts w:ascii="Arial" w:hAnsi="Arial"/>
        <w:color w:val="404040"/>
        <w:sz w:val="22"/>
      </w:rPr>
      <w:tcPr>
        <w:shd w:val="clear" w:color="DDEAF6" w:fill="DDEAF6"/>
      </w:tcPr>
    </w:tblStylePr>
    <w:tblStylePr w:type="band2Horz"/>
    <w:tblStylePr w:type="neCell"/>
    <w:tblStylePr w:type="nwCell"/>
    <w:tblStylePr w:type="seCell"/>
    <w:tblStylePr w:type="swCell"/>
  </w:style>
  <w:style w:type="table" w:customStyle="1" w:styleId="53">
    <w:name w:val="Grid Table 2 - Accent 2"/>
    <w:basedOn w:val="3"/>
    <w:qFormat/>
    <w:uiPriority w:val="99"/>
    <w:pPr>
      <w:spacing w:after="0" w:line="240" w:lineRule="auto"/>
    </w:pPr>
    <w:tblPr>
      <w:tblBorders>
        <w:bottom w:val="single" w:color="F4B285" w:themeColor="accent2" w:themeTint="97" w:sz="4" w:space="0"/>
        <w:insideH w:val="single" w:color="F4B285" w:themeColor="accent2" w:themeTint="97" w:sz="4" w:space="0"/>
        <w:insideV w:val="single" w:color="F4B285" w:themeColor="accent2" w:themeTint="97" w:sz="4" w:space="0"/>
      </w:tblBorders>
    </w:tblPr>
    <w:tblStylePr w:type="firstRow">
      <w:rPr>
        <w:b/>
        <w:color w:val="404040"/>
      </w:rPr>
      <w:tcPr>
        <w:tcBorders>
          <w:top w:val="nil"/>
          <w:left w:val="nil"/>
          <w:bottom w:val="single" w:color="F4B285" w:themeColor="accent2" w:themeTint="97" w:sz="12" w:space="0"/>
          <w:right w:val="nil"/>
        </w:tcBorders>
        <w:shd w:val="clear" w:color="FFFFFF" w:fill="auto"/>
      </w:tcPr>
    </w:tblStylePr>
    <w:tblStylePr w:type="lastRow">
      <w:rPr>
        <w:b/>
        <w:color w:val="404040"/>
      </w:rPr>
      <w:tcPr>
        <w:tcBorders>
          <w:top w:val="single" w:color="F4B285" w:themeColor="accent2" w:themeTint="97"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BE5D6" w:fill="FBE5D6"/>
      </w:tcPr>
    </w:tblStylePr>
    <w:tblStylePr w:type="band2Vert"/>
    <w:tblStylePr w:type="band1Horz">
      <w:rPr>
        <w:rFonts w:ascii="Arial" w:hAnsi="Arial"/>
        <w:color w:val="404040"/>
        <w:sz w:val="22"/>
      </w:rPr>
      <w:tcPr>
        <w:shd w:val="clear" w:color="FBE5D6" w:fill="FBE5D6"/>
      </w:tcPr>
    </w:tblStylePr>
    <w:tblStylePr w:type="band2Horz"/>
    <w:tblStylePr w:type="neCell"/>
    <w:tblStylePr w:type="nwCell"/>
    <w:tblStylePr w:type="seCell"/>
    <w:tblStylePr w:type="swCell"/>
  </w:style>
  <w:style w:type="table" w:customStyle="1" w:styleId="54">
    <w:name w:val="Grid Table 2 - Accent 3"/>
    <w:basedOn w:val="3"/>
    <w:qFormat/>
    <w:uiPriority w:val="99"/>
    <w:pPr>
      <w:spacing w:after="0" w:line="240" w:lineRule="auto"/>
    </w:pPr>
    <w:tblPr>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404040"/>
      </w:rPr>
      <w:tcPr>
        <w:tcBorders>
          <w:top w:val="nil"/>
          <w:left w:val="nil"/>
          <w:bottom w:val="single" w:color="A5A5A5" w:themeColor="accent3" w:themeTint="FE" w:sz="12" w:space="0"/>
          <w:right w:val="nil"/>
        </w:tcBorders>
        <w:shd w:val="clear" w:color="FFFFFF" w:fill="auto"/>
      </w:tcPr>
    </w:tblStylePr>
    <w:tblStylePr w:type="lastRow">
      <w:rPr>
        <w:b/>
        <w:color w:val="404040"/>
      </w:rPr>
      <w:tcPr>
        <w:tcBorders>
          <w:top w:val="single" w:color="A5A5A5" w:themeColor="accent3" w:themeTint="FE"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CECEC" w:fill="ECECEC"/>
      </w:tcPr>
    </w:tblStylePr>
    <w:tblStylePr w:type="band2Vert"/>
    <w:tblStylePr w:type="band1Horz">
      <w:rPr>
        <w:rFonts w:ascii="Arial" w:hAnsi="Arial"/>
        <w:color w:val="404040"/>
        <w:sz w:val="22"/>
      </w:rPr>
      <w:tcPr>
        <w:shd w:val="clear" w:color="ECECEC" w:fill="ECECEC"/>
      </w:tcPr>
    </w:tblStylePr>
    <w:tblStylePr w:type="band2Horz"/>
    <w:tblStylePr w:type="neCell"/>
    <w:tblStylePr w:type="nwCell"/>
    <w:tblStylePr w:type="seCell"/>
    <w:tblStylePr w:type="swCell"/>
  </w:style>
  <w:style w:type="table" w:customStyle="1" w:styleId="55">
    <w:name w:val="Grid Table 2 - Accent 4"/>
    <w:basedOn w:val="3"/>
    <w:qFormat/>
    <w:uiPriority w:val="99"/>
    <w:pPr>
      <w:spacing w:after="0" w:line="240" w:lineRule="auto"/>
    </w:pPr>
    <w:tblPr>
      <w:tblBorders>
        <w:bottom w:val="single" w:color="FFD864" w:themeColor="accent4" w:themeTint="9A" w:sz="4" w:space="0"/>
        <w:insideH w:val="single" w:color="FFD864" w:themeColor="accent4" w:themeTint="9A" w:sz="4" w:space="0"/>
        <w:insideV w:val="single" w:color="FFD864" w:themeColor="accent4" w:themeTint="9A" w:sz="4" w:space="0"/>
      </w:tblBorders>
    </w:tblPr>
    <w:tblStylePr w:type="firstRow">
      <w:rPr>
        <w:b/>
        <w:color w:val="404040"/>
      </w:rPr>
      <w:tcPr>
        <w:tcBorders>
          <w:top w:val="nil"/>
          <w:left w:val="nil"/>
          <w:bottom w:val="single" w:color="FFD864" w:themeColor="accent4" w:themeTint="9A" w:sz="12" w:space="0"/>
          <w:right w:val="nil"/>
        </w:tcBorders>
        <w:shd w:val="clear" w:color="FFFFFF" w:fill="auto"/>
      </w:tcPr>
    </w:tblStylePr>
    <w:tblStylePr w:type="lastRow">
      <w:rPr>
        <w:b/>
        <w:color w:val="404040"/>
      </w:rPr>
      <w:tcPr>
        <w:tcBorders>
          <w:top w:val="single" w:color="FFD864" w:themeColor="accent4" w:themeTint="9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EF2CA" w:fill="FEF2CA"/>
      </w:tcPr>
    </w:tblStylePr>
    <w:tblStylePr w:type="band2Vert"/>
    <w:tblStylePr w:type="band1Horz">
      <w:rPr>
        <w:rFonts w:ascii="Arial" w:hAnsi="Arial"/>
        <w:color w:val="404040"/>
        <w:sz w:val="22"/>
      </w:rPr>
      <w:tcPr>
        <w:shd w:val="clear" w:color="FEF2CA" w:fill="FEF2CA"/>
      </w:tcPr>
    </w:tblStylePr>
    <w:tblStylePr w:type="band2Horz"/>
    <w:tblStylePr w:type="neCell"/>
    <w:tblStylePr w:type="nwCell"/>
    <w:tblStylePr w:type="seCell"/>
    <w:tblStylePr w:type="swCell"/>
  </w:style>
  <w:style w:type="table" w:customStyle="1" w:styleId="56">
    <w:name w:val="Grid Table 2 - Accent 5"/>
    <w:basedOn w:val="3"/>
    <w:qFormat/>
    <w:uiPriority w:val="99"/>
    <w:pPr>
      <w:spacing w:after="0" w:line="240" w:lineRule="auto"/>
    </w:pPr>
    <w:tblPr>
      <w:tblBorders>
        <w:bottom w:val="single" w:color="4472C4" w:themeColor="accent5" w:sz="4" w:space="0"/>
        <w:insideH w:val="single" w:color="4472C4" w:themeColor="accent5" w:sz="4" w:space="0"/>
        <w:insideV w:val="single" w:color="4472C4" w:themeColor="accent5" w:sz="4" w:space="0"/>
      </w:tblBorders>
    </w:tblPr>
    <w:tblStylePr w:type="firstRow">
      <w:rPr>
        <w:b/>
        <w:color w:val="404040"/>
      </w:rPr>
      <w:tcPr>
        <w:tcBorders>
          <w:top w:val="nil"/>
          <w:left w:val="nil"/>
          <w:bottom w:val="single" w:color="4472C4" w:themeColor="accent5" w:sz="12" w:space="0"/>
          <w:right w:val="nil"/>
        </w:tcBorders>
        <w:shd w:val="clear" w:color="FFFFFF" w:fill="auto"/>
      </w:tcPr>
    </w:tblStylePr>
    <w:tblStylePr w:type="lastRow">
      <w:rPr>
        <w:b/>
        <w:color w:val="404040"/>
      </w:rPr>
      <w:tcPr>
        <w:tcBorders>
          <w:top w:val="single" w:color="4472C4" w:themeColor="accent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8E2F2" w:fill="D8E2F2"/>
      </w:tcPr>
    </w:tblStylePr>
    <w:tblStylePr w:type="band2Vert"/>
    <w:tblStylePr w:type="band1Horz">
      <w:rPr>
        <w:rFonts w:ascii="Arial" w:hAnsi="Arial"/>
        <w:color w:val="404040"/>
        <w:sz w:val="22"/>
      </w:rPr>
      <w:tcPr>
        <w:shd w:val="clear" w:color="D8E2F2" w:fill="D8E2F2"/>
      </w:tcPr>
    </w:tblStylePr>
    <w:tblStylePr w:type="band2Horz"/>
    <w:tblStylePr w:type="neCell"/>
    <w:tblStylePr w:type="nwCell"/>
    <w:tblStylePr w:type="seCell"/>
    <w:tblStylePr w:type="swCell"/>
  </w:style>
  <w:style w:type="table" w:customStyle="1" w:styleId="57">
    <w:name w:val="Grid Table 2 - Accent 6"/>
    <w:basedOn w:val="3"/>
    <w:qFormat/>
    <w:uiPriority w:val="99"/>
    <w:pPr>
      <w:spacing w:after="0" w:line="240" w:lineRule="auto"/>
    </w:pPr>
    <w:tblPr>
      <w:tblBorders>
        <w:bottom w:val="single" w:color="70AD47" w:themeColor="accent6" w:sz="4" w:space="0"/>
        <w:insideH w:val="single" w:color="70AD47" w:themeColor="accent6" w:sz="4" w:space="0"/>
        <w:insideV w:val="single" w:color="70AD47" w:themeColor="accent6" w:sz="4" w:space="0"/>
      </w:tblBorders>
    </w:tblPr>
    <w:tblStylePr w:type="firstRow">
      <w:rPr>
        <w:b/>
        <w:color w:val="404040"/>
      </w:rPr>
      <w:tcPr>
        <w:tcBorders>
          <w:top w:val="nil"/>
          <w:left w:val="nil"/>
          <w:bottom w:val="single" w:color="70AD47" w:themeColor="accent6" w:sz="12" w:space="0"/>
          <w:right w:val="nil"/>
        </w:tcBorders>
        <w:shd w:val="clear" w:color="FFFFFF" w:fill="auto"/>
      </w:tcPr>
    </w:tblStylePr>
    <w:tblStylePr w:type="lastRow">
      <w:rPr>
        <w:b/>
        <w:color w:val="404040"/>
      </w:rPr>
      <w:tcPr>
        <w:tcBorders>
          <w:top w:val="single" w:color="70AD47" w:themeColor="accent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1EFD8" w:fill="E1EFD8"/>
      </w:tcPr>
    </w:tblStylePr>
    <w:tblStylePr w:type="band2Vert"/>
    <w:tblStylePr w:type="band1Horz">
      <w:rPr>
        <w:rFonts w:ascii="Arial" w:hAnsi="Arial"/>
        <w:color w:val="404040"/>
        <w:sz w:val="22"/>
      </w:rPr>
      <w:tcPr>
        <w:shd w:val="clear" w:color="E1EFD8" w:fill="E1EFD8"/>
      </w:tcPr>
    </w:tblStylePr>
    <w:tblStylePr w:type="band2Horz"/>
    <w:tblStylePr w:type="neCell"/>
    <w:tblStylePr w:type="nwCell"/>
    <w:tblStylePr w:type="seCell"/>
    <w:tblStylePr w:type="swCell"/>
  </w:style>
  <w:style w:type="table" w:customStyle="1" w:styleId="58">
    <w:name w:val="Grid Table 3"/>
    <w:basedOn w:val="3"/>
    <w:qFormat/>
    <w:uiPriority w:val="99"/>
    <w:pPr>
      <w:spacing w:after="0" w:line="240" w:lineRule="auto"/>
    </w:pPr>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fill="CACACA"/>
      </w:tcPr>
    </w:tblStylePr>
    <w:tblStylePr w:type="band2Vert"/>
    <w:tblStylePr w:type="band1Horz">
      <w:rPr>
        <w:rFonts w:ascii="Arial" w:hAnsi="Arial"/>
        <w:color w:val="404040"/>
        <w:sz w:val="22"/>
      </w:rPr>
      <w:tcPr>
        <w:shd w:val="clear" w:color="CACACA" w:fill="CACACA"/>
      </w:tcPr>
    </w:tblStylePr>
    <w:tblStylePr w:type="band2Horz"/>
    <w:tblStylePr w:type="neCell"/>
    <w:tblStylePr w:type="nwCell"/>
    <w:tblStylePr w:type="seCell"/>
    <w:tblStylePr w:type="swCell"/>
  </w:style>
  <w:style w:type="table" w:customStyle="1" w:styleId="59">
    <w:name w:val="Grid Table 3 - Accent 1"/>
    <w:basedOn w:val="3"/>
    <w:qFormat/>
    <w:uiPriority w:val="99"/>
    <w:pPr>
      <w:spacing w:after="0" w:line="240" w:lineRule="auto"/>
    </w:pPr>
    <w:tblPr>
      <w:tblBorders>
        <w:bottom w:val="single" w:color="68A3D8" w:themeColor="accent1" w:themeTint="EA" w:sz="4" w:space="0"/>
        <w:insideH w:val="single" w:color="68A3D8" w:themeColor="accent1" w:themeTint="EA" w:sz="4" w:space="0"/>
        <w:insideV w:val="single" w:color="68A3D8" w:themeColor="accent1" w:themeTint="E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DEAF6" w:fill="DDEAF6"/>
      </w:tcPr>
    </w:tblStylePr>
    <w:tblStylePr w:type="band2Vert"/>
    <w:tblStylePr w:type="band1Horz">
      <w:rPr>
        <w:rFonts w:ascii="Arial" w:hAnsi="Arial"/>
        <w:color w:val="404040"/>
        <w:sz w:val="22"/>
      </w:rPr>
      <w:tcPr>
        <w:shd w:val="clear" w:color="DDEAF6" w:fill="DDEAF6"/>
      </w:tcPr>
    </w:tblStylePr>
    <w:tblStylePr w:type="band2Horz"/>
    <w:tblStylePr w:type="neCell"/>
    <w:tblStylePr w:type="nwCell"/>
    <w:tblStylePr w:type="seCell"/>
    <w:tblStylePr w:type="swCell"/>
  </w:style>
  <w:style w:type="table" w:customStyle="1" w:styleId="60">
    <w:name w:val="Grid Table 3 - Accent 2"/>
    <w:basedOn w:val="3"/>
    <w:qFormat/>
    <w:uiPriority w:val="99"/>
    <w:pPr>
      <w:spacing w:after="0" w:line="240" w:lineRule="auto"/>
    </w:pPr>
    <w:tblPr>
      <w:tblBorders>
        <w:bottom w:val="single" w:color="F4B285" w:themeColor="accent2" w:themeTint="97" w:sz="4" w:space="0"/>
        <w:insideH w:val="single" w:color="F4B285" w:themeColor="accent2" w:themeTint="97" w:sz="4" w:space="0"/>
        <w:insideV w:val="single" w:color="F4B285" w:themeColor="accent2" w:themeTint="97"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BE5D6" w:fill="FBE5D6"/>
      </w:tcPr>
    </w:tblStylePr>
    <w:tblStylePr w:type="band2Vert"/>
    <w:tblStylePr w:type="band1Horz">
      <w:rPr>
        <w:rFonts w:ascii="Arial" w:hAnsi="Arial"/>
        <w:color w:val="404040"/>
        <w:sz w:val="22"/>
      </w:rPr>
      <w:tcPr>
        <w:shd w:val="clear" w:color="FBE5D6" w:fill="FBE5D6"/>
      </w:tcPr>
    </w:tblStylePr>
    <w:tblStylePr w:type="band2Horz"/>
    <w:tblStylePr w:type="neCell"/>
    <w:tblStylePr w:type="nwCell"/>
    <w:tblStylePr w:type="seCell"/>
    <w:tblStylePr w:type="swCell"/>
  </w:style>
  <w:style w:type="table" w:customStyle="1" w:styleId="61">
    <w:name w:val="Grid Table 3 - Accent 3"/>
    <w:basedOn w:val="3"/>
    <w:qFormat/>
    <w:uiPriority w:val="99"/>
    <w:pPr>
      <w:spacing w:after="0" w:line="240" w:lineRule="auto"/>
    </w:pPr>
    <w:tblPr>
      <w:tblBorders>
        <w:bottom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CECEC" w:fill="ECECEC"/>
      </w:tcPr>
    </w:tblStylePr>
    <w:tblStylePr w:type="band2Vert"/>
    <w:tblStylePr w:type="band1Horz">
      <w:rPr>
        <w:rFonts w:ascii="Arial" w:hAnsi="Arial"/>
        <w:color w:val="404040"/>
        <w:sz w:val="22"/>
      </w:rPr>
      <w:tcPr>
        <w:shd w:val="clear" w:color="ECECEC" w:fill="ECECEC"/>
      </w:tcPr>
    </w:tblStylePr>
    <w:tblStylePr w:type="band2Horz"/>
    <w:tblStylePr w:type="neCell"/>
    <w:tblStylePr w:type="nwCell"/>
    <w:tblStylePr w:type="seCell"/>
    <w:tblStylePr w:type="swCell"/>
  </w:style>
  <w:style w:type="table" w:customStyle="1" w:styleId="62">
    <w:name w:val="Grid Table 3 - Accent 4"/>
    <w:basedOn w:val="3"/>
    <w:qFormat/>
    <w:uiPriority w:val="99"/>
    <w:pPr>
      <w:spacing w:after="0" w:line="240" w:lineRule="auto"/>
    </w:pPr>
    <w:tblPr>
      <w:tblBorders>
        <w:bottom w:val="single" w:color="FFD864" w:themeColor="accent4" w:themeTint="9A" w:sz="4" w:space="0"/>
        <w:insideH w:val="single" w:color="FFD864" w:themeColor="accent4" w:themeTint="9A" w:sz="4" w:space="0"/>
        <w:insideV w:val="single" w:color="FFD864" w:themeColor="accent4" w:themeTint="9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EF2CA" w:fill="FEF2CA"/>
      </w:tcPr>
    </w:tblStylePr>
    <w:tblStylePr w:type="band2Vert"/>
    <w:tblStylePr w:type="band1Horz">
      <w:rPr>
        <w:rFonts w:ascii="Arial" w:hAnsi="Arial"/>
        <w:color w:val="404040"/>
        <w:sz w:val="22"/>
      </w:rPr>
      <w:tcPr>
        <w:shd w:val="clear" w:color="FEF2CA" w:fill="FEF2CA"/>
      </w:tcPr>
    </w:tblStylePr>
    <w:tblStylePr w:type="band2Horz"/>
    <w:tblStylePr w:type="neCell"/>
    <w:tblStylePr w:type="nwCell"/>
    <w:tblStylePr w:type="seCell"/>
    <w:tblStylePr w:type="swCell"/>
  </w:style>
  <w:style w:type="table" w:customStyle="1" w:styleId="63">
    <w:name w:val="Grid Table 3 - Accent 5"/>
    <w:basedOn w:val="3"/>
    <w:qFormat/>
    <w:uiPriority w:val="99"/>
    <w:pPr>
      <w:spacing w:after="0" w:line="240" w:lineRule="auto"/>
    </w:pPr>
    <w:tblPr>
      <w:tblBorders>
        <w:bottom w:val="single" w:color="4472C4" w:themeColor="accent5" w:sz="4" w:space="0"/>
        <w:insideH w:val="single" w:color="4472C4" w:themeColor="accent5" w:sz="4" w:space="0"/>
        <w:insideV w:val="single" w:color="4472C4" w:themeColor="accent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8E2F2" w:fill="D8E2F2"/>
      </w:tcPr>
    </w:tblStylePr>
    <w:tblStylePr w:type="band2Vert"/>
    <w:tblStylePr w:type="band1Horz">
      <w:rPr>
        <w:rFonts w:ascii="Arial" w:hAnsi="Arial"/>
        <w:color w:val="404040"/>
        <w:sz w:val="22"/>
      </w:rPr>
      <w:tcPr>
        <w:shd w:val="clear" w:color="D8E2F2" w:fill="D8E2F2"/>
      </w:tcPr>
    </w:tblStylePr>
    <w:tblStylePr w:type="band2Horz"/>
    <w:tblStylePr w:type="neCell"/>
    <w:tblStylePr w:type="nwCell"/>
    <w:tblStylePr w:type="seCell"/>
    <w:tblStylePr w:type="swCell"/>
  </w:style>
  <w:style w:type="table" w:customStyle="1" w:styleId="64">
    <w:name w:val="Grid Table 3 - Accent 6"/>
    <w:basedOn w:val="3"/>
    <w:qFormat/>
    <w:uiPriority w:val="99"/>
    <w:pPr>
      <w:spacing w:after="0" w:line="240" w:lineRule="auto"/>
    </w:pPr>
    <w:tblPr>
      <w:tblBorders>
        <w:bottom w:val="single" w:color="70AD47" w:themeColor="accent6" w:sz="4" w:space="0"/>
        <w:insideH w:val="single" w:color="70AD47" w:themeColor="accent6" w:sz="4" w:space="0"/>
        <w:insideV w:val="single" w:color="70AD47" w:themeColor="accent6"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1EFD8" w:fill="E1EFD8"/>
      </w:tcPr>
    </w:tblStylePr>
    <w:tblStylePr w:type="band2Vert"/>
    <w:tblStylePr w:type="band1Horz">
      <w:rPr>
        <w:rFonts w:ascii="Arial" w:hAnsi="Arial"/>
        <w:color w:val="404040"/>
        <w:sz w:val="22"/>
      </w:rPr>
      <w:tcPr>
        <w:shd w:val="clear" w:color="E1EFD8" w:fill="E1EFD8"/>
      </w:tcPr>
    </w:tblStylePr>
    <w:tblStylePr w:type="band2Horz"/>
    <w:tblStylePr w:type="neCell"/>
    <w:tblStylePr w:type="nwCell"/>
    <w:tblStylePr w:type="seCell"/>
    <w:tblStylePr w:type="swCell"/>
  </w:style>
  <w:style w:type="table" w:customStyle="1" w:styleId="65">
    <w:name w:val="Grid Table 4 - Accent 1"/>
    <w:basedOn w:val="3"/>
    <w:qFormat/>
    <w:uiPriority w:val="59"/>
    <w:pPr>
      <w:spacing w:after="0" w:line="240" w:lineRule="auto"/>
    </w:pPr>
    <w:tblPr>
      <w:tblBorders>
        <w:top w:val="single" w:color="A2C6E7" w:themeColor="accent1" w:themeTint="90" w:sz="4" w:space="0"/>
        <w:left w:val="single" w:color="A2C6E7" w:themeColor="accent1" w:themeTint="90" w:sz="4" w:space="0"/>
        <w:bottom w:val="single" w:color="A2C6E7" w:themeColor="accent1" w:themeTint="90" w:sz="4" w:space="0"/>
        <w:right w:val="single" w:color="A2C6E7" w:themeColor="accent1" w:themeTint="90" w:sz="4" w:space="0"/>
        <w:insideH w:val="single" w:color="A2C6E7" w:themeColor="accent1" w:themeTint="90" w:sz="4" w:space="0"/>
        <w:insideV w:val="single" w:color="A2C6E7" w:themeColor="accent1" w:themeTint="90" w:sz="4" w:space="0"/>
      </w:tblBorders>
    </w:tblPr>
    <w:tblStylePr w:type="firstRow">
      <w:rPr>
        <w:rFonts w:ascii="Arial" w:hAnsi="Arial"/>
        <w:b/>
        <w:color w:val="FFFFFF"/>
        <w:sz w:val="22"/>
      </w:rPr>
      <w:tcPr>
        <w:tcBorders>
          <w:top w:val="single" w:color="68A3D8" w:themeColor="accent1" w:themeTint="EA" w:sz="4" w:space="0"/>
          <w:left w:val="single" w:color="68A3D8" w:themeColor="accent1" w:themeTint="EA" w:sz="4" w:space="0"/>
          <w:bottom w:val="single" w:color="68A3D8" w:themeColor="accent1" w:themeTint="EA" w:sz="4" w:space="0"/>
          <w:right w:val="single" w:color="68A3D8" w:themeColor="accent1" w:themeTint="EA" w:sz="4" w:space="0"/>
        </w:tcBorders>
        <w:shd w:val="clear" w:color="68A3D8" w:fill="68A3D8"/>
      </w:tcPr>
    </w:tblStylePr>
    <w:tblStylePr w:type="lastRow">
      <w:rPr>
        <w:b/>
        <w:color w:val="404040"/>
      </w:rPr>
      <w:tcPr>
        <w:tcBorders>
          <w:top w:val="single" w:color="68A3D8"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EEBF6" w:fill="DEEBF6"/>
      </w:tcPr>
    </w:tblStylePr>
    <w:tblStylePr w:type="band2Vert"/>
    <w:tblStylePr w:type="band1Horz">
      <w:rPr>
        <w:rFonts w:ascii="Arial" w:hAnsi="Arial"/>
        <w:color w:val="404040"/>
        <w:sz w:val="22"/>
      </w:rPr>
      <w:tcPr>
        <w:shd w:val="clear" w:color="DEEBF6" w:fill="DEEBF6"/>
      </w:tcPr>
    </w:tblStylePr>
    <w:tblStylePr w:type="band2Horz"/>
    <w:tblStylePr w:type="neCell"/>
    <w:tblStylePr w:type="nwCell"/>
    <w:tblStylePr w:type="seCell"/>
    <w:tblStylePr w:type="swCell"/>
  </w:style>
  <w:style w:type="table" w:customStyle="1" w:styleId="66">
    <w:name w:val="Grid Table 4 - Accent 2"/>
    <w:basedOn w:val="3"/>
    <w:qFormat/>
    <w:uiPriority w:val="59"/>
    <w:pPr>
      <w:spacing w:after="0" w:line="240" w:lineRule="auto"/>
    </w:pPr>
    <w:tblPr>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insideV w:val="single" w:color="F4B58A" w:themeColor="accent2" w:themeTint="90" w:sz="4" w:space="0"/>
      </w:tblBorders>
    </w:tblPr>
    <w:tblStylePr w:type="firstRow">
      <w:rPr>
        <w:rFonts w:ascii="Arial" w:hAnsi="Arial"/>
        <w:b/>
        <w:color w:val="FFFFFF"/>
        <w:sz w:val="22"/>
      </w:rPr>
      <w:tcPr>
        <w:tc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tcBorders>
        <w:shd w:val="clear" w:color="F4B285" w:fill="F4B285"/>
      </w:tcPr>
    </w:tblStylePr>
    <w:tblStylePr w:type="lastRow">
      <w:rPr>
        <w:b/>
        <w:color w:val="404040"/>
      </w:rPr>
      <w:tcPr>
        <w:tcBorders>
          <w:top w:val="single" w:color="F4B285"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BE5D6" w:fill="FBE5D6"/>
      </w:tcPr>
    </w:tblStylePr>
    <w:tblStylePr w:type="band2Vert"/>
    <w:tblStylePr w:type="band1Horz">
      <w:rPr>
        <w:rFonts w:ascii="Arial" w:hAnsi="Arial"/>
        <w:color w:val="404040"/>
        <w:sz w:val="22"/>
      </w:rPr>
      <w:tcPr>
        <w:shd w:val="clear" w:color="FBE5D6" w:fill="FBE5D6"/>
      </w:tcPr>
    </w:tblStylePr>
    <w:tblStylePr w:type="band2Horz"/>
    <w:tblStylePr w:type="neCell"/>
    <w:tblStylePr w:type="nwCell"/>
    <w:tblStylePr w:type="seCell"/>
    <w:tblStylePr w:type="swCell"/>
  </w:style>
  <w:style w:type="table" w:customStyle="1" w:styleId="67">
    <w:name w:val="Grid Table 4 - Accent 3"/>
    <w:basedOn w:val="3"/>
    <w:qFormat/>
    <w:uiPriority w:val="59"/>
    <w:pPr>
      <w:spacing w:after="0" w:line="240" w:lineRule="auto"/>
    </w:pPr>
    <w:tblPr>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insideV w:val="single" w:color="CCCCCC" w:themeColor="accent3" w:themeTint="90" w:sz="4" w:space="0"/>
      </w:tblBorders>
    </w:tblPr>
    <w:tblStylePr w:type="firstRow">
      <w:rPr>
        <w:rFonts w:ascii="Arial" w:hAnsi="Arial"/>
        <w:b/>
        <w:color w:val="FFFFFF"/>
        <w:sz w:val="22"/>
      </w:rPr>
      <w:tcPr>
        <w:tc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tcBorders>
        <w:shd w:val="clear" w:color="A5A5A5" w:fill="A5A5A5"/>
      </w:tcPr>
    </w:tblStylePr>
    <w:tblStylePr w:type="lastRow">
      <w:rPr>
        <w:b/>
        <w:color w:val="404040"/>
      </w:rPr>
      <w:tcPr>
        <w:tcBorders>
          <w:top w:val="single" w:color="A5A5A5"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CECEC" w:fill="ECECEC"/>
      </w:tcPr>
    </w:tblStylePr>
    <w:tblStylePr w:type="band2Vert"/>
    <w:tblStylePr w:type="band1Horz">
      <w:rPr>
        <w:rFonts w:ascii="Arial" w:hAnsi="Arial"/>
        <w:color w:val="404040"/>
        <w:sz w:val="22"/>
      </w:rPr>
      <w:tcPr>
        <w:shd w:val="clear" w:color="ECECEC" w:fill="ECECEC"/>
      </w:tcPr>
    </w:tblStylePr>
    <w:tblStylePr w:type="band2Horz"/>
    <w:tblStylePr w:type="neCell"/>
    <w:tblStylePr w:type="nwCell"/>
    <w:tblStylePr w:type="seCell"/>
    <w:tblStylePr w:type="swCell"/>
  </w:style>
  <w:style w:type="table" w:customStyle="1" w:styleId="68">
    <w:name w:val="Grid Table 4 - Accent 4"/>
    <w:basedOn w:val="3"/>
    <w:qFormat/>
    <w:uiPriority w:val="59"/>
    <w:pPr>
      <w:spacing w:after="0" w:line="240" w:lineRule="auto"/>
    </w:pPr>
    <w:tblPr>
      <w:tblBorders>
        <w:top w:val="single" w:color="FFDB6E" w:themeColor="accent4" w:themeTint="90" w:sz="4" w:space="0"/>
        <w:left w:val="single" w:color="FFDB6E" w:themeColor="accent4" w:themeTint="90" w:sz="4" w:space="0"/>
        <w:bottom w:val="single" w:color="FFDB6E" w:themeColor="accent4" w:themeTint="90" w:sz="4" w:space="0"/>
        <w:right w:val="single" w:color="FFDB6E" w:themeColor="accent4" w:themeTint="90" w:sz="4" w:space="0"/>
        <w:insideH w:val="single" w:color="FFDB6E" w:themeColor="accent4" w:themeTint="90" w:sz="4" w:space="0"/>
        <w:insideV w:val="single" w:color="FFDB6E" w:themeColor="accent4" w:themeTint="90" w:sz="4" w:space="0"/>
      </w:tblBorders>
    </w:tblPr>
    <w:tblStylePr w:type="firstRow">
      <w:rPr>
        <w:rFonts w:ascii="Arial" w:hAnsi="Arial"/>
        <w:b/>
        <w:color w:val="FFFFFF"/>
        <w:sz w:val="22"/>
      </w:rPr>
      <w:tcPr>
        <w:tc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tcBorders>
        <w:shd w:val="clear" w:color="FFD864" w:fill="FFD864"/>
      </w:tcPr>
    </w:tblStylePr>
    <w:tblStylePr w:type="lastRow">
      <w:rPr>
        <w:b/>
        <w:color w:val="404040"/>
      </w:rPr>
      <w:tcPr>
        <w:tcBorders>
          <w:top w:val="single" w:color="FFD864"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EF2CA" w:fill="FEF2CA"/>
      </w:tcPr>
    </w:tblStylePr>
    <w:tblStylePr w:type="band2Vert"/>
    <w:tblStylePr w:type="band1Horz">
      <w:rPr>
        <w:rFonts w:ascii="Arial" w:hAnsi="Arial"/>
        <w:color w:val="404040"/>
        <w:sz w:val="22"/>
      </w:rPr>
      <w:tcPr>
        <w:shd w:val="clear" w:color="FEF2CA" w:fill="FEF2CA"/>
      </w:tcPr>
    </w:tblStylePr>
    <w:tblStylePr w:type="band2Horz"/>
    <w:tblStylePr w:type="neCell"/>
    <w:tblStylePr w:type="nwCell"/>
    <w:tblStylePr w:type="seCell"/>
    <w:tblStylePr w:type="swCell"/>
  </w:style>
  <w:style w:type="table" w:customStyle="1" w:styleId="69">
    <w:name w:val="Grid Table 4 - Accent 5"/>
    <w:basedOn w:val="3"/>
    <w:qFormat/>
    <w:uiPriority w:val="59"/>
    <w:pPr>
      <w:spacing w:after="0" w:line="240" w:lineRule="auto"/>
    </w:pPr>
    <w:tblPr>
      <w:tblBorders>
        <w:top w:val="single" w:color="95AFDD" w:themeColor="accent5" w:themeTint="90" w:sz="4" w:space="0"/>
        <w:left w:val="single" w:color="95AFDD" w:themeColor="accent5" w:themeTint="90" w:sz="4" w:space="0"/>
        <w:bottom w:val="single" w:color="95AFDD" w:themeColor="accent5" w:themeTint="90" w:sz="4" w:space="0"/>
        <w:right w:val="single" w:color="95AFDD" w:themeColor="accent5" w:themeTint="90" w:sz="4" w:space="0"/>
        <w:insideH w:val="single" w:color="95AFDD" w:themeColor="accent5" w:themeTint="90" w:sz="4" w:space="0"/>
        <w:insideV w:val="single" w:color="95AFDD" w:themeColor="accent5" w:themeTint="90" w:sz="4" w:space="0"/>
      </w:tblBorders>
    </w:tblPr>
    <w:tblStylePr w:type="firstRow">
      <w:rPr>
        <w:rFonts w:ascii="Arial" w:hAnsi="Arial"/>
        <w:b/>
        <w:color w:val="FFFFFF"/>
        <w:sz w:val="22"/>
      </w:rPr>
      <w:tcPr>
        <w:tcBorders>
          <w:top w:val="single" w:color="4472C4" w:themeColor="accent5" w:sz="4" w:space="0"/>
          <w:left w:val="single" w:color="4472C4" w:themeColor="accent5" w:sz="4" w:space="0"/>
          <w:bottom w:val="single" w:color="4472C4" w:themeColor="accent5" w:sz="4" w:space="0"/>
          <w:right w:val="single" w:color="4472C4" w:themeColor="accent5" w:sz="4" w:space="0"/>
        </w:tcBorders>
        <w:shd w:val="clear" w:color="4472C4" w:fill="4472C4"/>
      </w:tcPr>
    </w:tblStylePr>
    <w:tblStylePr w:type="lastRow">
      <w:rPr>
        <w:b/>
        <w:color w:val="404040"/>
      </w:rPr>
      <w:tcPr>
        <w:tcBorders>
          <w:top w:val="single" w:color="4472C4"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8E2F2" w:fill="D8E2F2"/>
      </w:tcPr>
    </w:tblStylePr>
    <w:tblStylePr w:type="band2Vert"/>
    <w:tblStylePr w:type="band1Horz">
      <w:rPr>
        <w:rFonts w:ascii="Arial" w:hAnsi="Arial"/>
        <w:color w:val="404040"/>
        <w:sz w:val="22"/>
      </w:rPr>
      <w:tcPr>
        <w:shd w:val="clear" w:color="D8E2F2" w:fill="D8E2F2"/>
      </w:tcPr>
    </w:tblStylePr>
    <w:tblStylePr w:type="band2Horz"/>
    <w:tblStylePr w:type="neCell"/>
    <w:tblStylePr w:type="nwCell"/>
    <w:tblStylePr w:type="seCell"/>
    <w:tblStylePr w:type="swCell"/>
  </w:style>
  <w:style w:type="table" w:customStyle="1" w:styleId="70">
    <w:name w:val="Grid Table 4 - Accent 6"/>
    <w:basedOn w:val="3"/>
    <w:qFormat/>
    <w:uiPriority w:val="59"/>
    <w:pPr>
      <w:spacing w:after="0" w:line="240" w:lineRule="auto"/>
    </w:pPr>
    <w:tblPr>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firstRow">
      <w:rPr>
        <w:rFonts w:ascii="Arial" w:hAnsi="Arial"/>
        <w:b/>
        <w:color w:val="FFFFFF"/>
        <w:sz w:val="22"/>
      </w:rPr>
      <w:tcPr>
        <w:tcBorders>
          <w:top w:val="single" w:color="70AD47" w:themeColor="accent6" w:sz="4" w:space="0"/>
          <w:left w:val="single" w:color="70AD47" w:themeColor="accent6" w:sz="4" w:space="0"/>
          <w:bottom w:val="single" w:color="70AD47" w:themeColor="accent6" w:sz="4" w:space="0"/>
          <w:right w:val="single" w:color="70AD47" w:themeColor="accent6" w:sz="4" w:space="0"/>
        </w:tcBorders>
        <w:shd w:val="clear" w:color="70AD47" w:fill="70AD47"/>
      </w:tcPr>
    </w:tblStylePr>
    <w:tblStylePr w:type="lastRow">
      <w:rPr>
        <w:b/>
        <w:color w:val="404040"/>
      </w:rPr>
      <w:tcPr>
        <w:tcBorders>
          <w:top w:val="single" w:color="70AD47"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1EFD8" w:fill="E1EFD8"/>
      </w:tcPr>
    </w:tblStylePr>
    <w:tblStylePr w:type="band2Vert"/>
    <w:tblStylePr w:type="band1Horz">
      <w:rPr>
        <w:rFonts w:ascii="Arial" w:hAnsi="Arial"/>
        <w:color w:val="404040"/>
        <w:sz w:val="22"/>
      </w:rPr>
      <w:tcPr>
        <w:shd w:val="clear" w:color="E1EFD8" w:fill="E1EFD8"/>
      </w:tcPr>
    </w:tblStylePr>
    <w:tblStylePr w:type="band2Horz"/>
    <w:tblStylePr w:type="neCell"/>
    <w:tblStylePr w:type="nwCell"/>
    <w:tblStylePr w:type="seCell"/>
    <w:tblStylePr w:type="swCell"/>
  </w:style>
  <w:style w:type="table" w:customStyle="1" w:styleId="71">
    <w:name w:val="Grid Table 5 Dark"/>
    <w:basedOn w:val="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000000" w:fill="000000"/>
      </w:tcPr>
    </w:tblStylePr>
    <w:tblStylePr w:type="lastRow">
      <w:rPr>
        <w:rFonts w:ascii="Arial" w:hAnsi="Arial"/>
        <w:b/>
        <w:color w:val="FFFFFF"/>
        <w:sz w:val="22"/>
      </w:rPr>
      <w:tcPr>
        <w:tcBorders>
          <w:top w:val="single" w:color="FFFFFF" w:themeColor="light1" w:sz="4" w:space="0"/>
        </w:tcBorders>
        <w:shd w:val="clear" w:color="000000" w:fill="000000"/>
      </w:tcPr>
    </w:tblStylePr>
    <w:tblStylePr w:type="firstCol">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band1Vert">
      <w:tcPr>
        <w:shd w:val="clear" w:color="898989" w:fill="898989"/>
      </w:tcPr>
    </w:tblStylePr>
    <w:tblStylePr w:type="band2Vert"/>
    <w:tblStylePr w:type="band1Horz">
      <w:tcPr>
        <w:shd w:val="clear" w:color="898989" w:fill="898989"/>
      </w:tcPr>
    </w:tblStylePr>
    <w:tblStylePr w:type="band2Horz"/>
    <w:tblStylePr w:type="neCell"/>
    <w:tblStylePr w:type="nwCell"/>
    <w:tblStylePr w:type="seCell"/>
    <w:tblStylePr w:type="swCell"/>
  </w:style>
  <w:style w:type="table" w:customStyle="1" w:styleId="72">
    <w:name w:val="Grid Table 5 Dark- Accent 1"/>
    <w:basedOn w:val="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5B9BD5" w:fill="5B9BD5"/>
      </w:tcPr>
    </w:tblStylePr>
    <w:tblStylePr w:type="lastRow">
      <w:rPr>
        <w:rFonts w:ascii="Arial" w:hAnsi="Arial"/>
        <w:b/>
        <w:color w:val="FFFFFF"/>
        <w:sz w:val="22"/>
      </w:rPr>
      <w:tcPr>
        <w:tcBorders>
          <w:top w:val="single" w:color="FFFFFF" w:themeColor="light1" w:sz="4" w:space="0"/>
        </w:tcBorders>
        <w:shd w:val="clear" w:color="5B9BD5" w:fill="5B9BD5"/>
      </w:tcPr>
    </w:tblStylePr>
    <w:tblStylePr w:type="firstCol">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band1Vert">
      <w:tcPr>
        <w:shd w:val="clear" w:color="B3D1EB" w:fill="B3D1EB"/>
      </w:tcPr>
    </w:tblStylePr>
    <w:tblStylePr w:type="band2Vert"/>
    <w:tblStylePr w:type="band1Horz">
      <w:tcPr>
        <w:shd w:val="clear" w:color="B3D1EB" w:fill="B3D1EB"/>
      </w:tcPr>
    </w:tblStylePr>
    <w:tblStylePr w:type="band2Horz"/>
    <w:tblStylePr w:type="neCell"/>
    <w:tblStylePr w:type="nwCell"/>
    <w:tblStylePr w:type="seCell"/>
    <w:tblStylePr w:type="swCell"/>
  </w:style>
  <w:style w:type="table" w:customStyle="1" w:styleId="73">
    <w:name w:val="Grid Table 5 Dark - Accent 2"/>
    <w:basedOn w:val="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ED7D31" w:fill="ED7D31"/>
      </w:tcPr>
    </w:tblStylePr>
    <w:tblStylePr w:type="lastRow">
      <w:rPr>
        <w:rFonts w:ascii="Arial" w:hAnsi="Arial"/>
        <w:b/>
        <w:color w:val="FFFFFF"/>
        <w:sz w:val="22"/>
      </w:rPr>
      <w:tcPr>
        <w:tcBorders>
          <w:top w:val="single" w:color="FFFFFF" w:themeColor="light1" w:sz="4" w:space="0"/>
        </w:tcBorders>
        <w:shd w:val="clear" w:color="ED7D31" w:fill="ED7D31"/>
      </w:tcPr>
    </w:tblStylePr>
    <w:tblStylePr w:type="firstCol">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band1Vert">
      <w:tcPr>
        <w:shd w:val="clear" w:color="F6C3A0" w:fill="F6C3A0"/>
      </w:tcPr>
    </w:tblStylePr>
    <w:tblStylePr w:type="band2Vert"/>
    <w:tblStylePr w:type="band1Horz">
      <w:tcPr>
        <w:shd w:val="clear" w:color="F6C3A0" w:fill="F6C3A0"/>
      </w:tcPr>
    </w:tblStylePr>
    <w:tblStylePr w:type="band2Horz"/>
    <w:tblStylePr w:type="neCell"/>
    <w:tblStylePr w:type="nwCell"/>
    <w:tblStylePr w:type="seCell"/>
    <w:tblStylePr w:type="swCell"/>
  </w:style>
  <w:style w:type="table" w:customStyle="1" w:styleId="74">
    <w:name w:val="Grid Table 5 Dark - Accent 3"/>
    <w:basedOn w:val="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A5A5A5" w:fill="A5A5A5"/>
      </w:tcPr>
    </w:tblStylePr>
    <w:tblStylePr w:type="lastRow">
      <w:rPr>
        <w:rFonts w:ascii="Arial" w:hAnsi="Arial"/>
        <w:b/>
        <w:color w:val="FFFFFF"/>
        <w:sz w:val="22"/>
      </w:rPr>
      <w:tcPr>
        <w:tcBorders>
          <w:top w:val="single" w:color="FFFFFF" w:themeColor="light1" w:sz="4" w:space="0"/>
        </w:tcBorders>
        <w:shd w:val="clear" w:color="A5A5A5" w:fill="A5A5A5"/>
      </w:tcPr>
    </w:tblStylePr>
    <w:tblStylePr w:type="firstCol">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band1Vert">
      <w:tcPr>
        <w:shd w:val="clear" w:color="D5D5D5" w:fill="D5D5D5"/>
      </w:tcPr>
    </w:tblStylePr>
    <w:tblStylePr w:type="band2Vert"/>
    <w:tblStylePr w:type="band1Horz">
      <w:tcPr>
        <w:shd w:val="clear" w:color="D5D5D5" w:fill="D5D5D5"/>
      </w:tcPr>
    </w:tblStylePr>
    <w:tblStylePr w:type="band2Horz"/>
    <w:tblStylePr w:type="neCell"/>
    <w:tblStylePr w:type="nwCell"/>
    <w:tblStylePr w:type="seCell"/>
    <w:tblStylePr w:type="swCell"/>
  </w:style>
  <w:style w:type="table" w:customStyle="1" w:styleId="75">
    <w:name w:val="Grid Table 5 Dark- Accent 4"/>
    <w:basedOn w:val="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FC000" w:fill="FFC000"/>
      </w:tcPr>
    </w:tblStylePr>
    <w:tblStylePr w:type="lastRow">
      <w:rPr>
        <w:rFonts w:ascii="Arial" w:hAnsi="Arial"/>
        <w:b/>
        <w:color w:val="FFFFFF"/>
        <w:sz w:val="22"/>
      </w:rPr>
      <w:tcPr>
        <w:tcBorders>
          <w:top w:val="single" w:color="FFFFFF" w:themeColor="light1" w:sz="4" w:space="0"/>
        </w:tcBorders>
        <w:shd w:val="clear" w:color="FFC000" w:fill="FFC000"/>
      </w:tcPr>
    </w:tblStylePr>
    <w:tblStylePr w:type="firstCol">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band1Vert">
      <w:tcPr>
        <w:shd w:val="clear" w:color="FEE289" w:fill="FEE289"/>
      </w:tcPr>
    </w:tblStylePr>
    <w:tblStylePr w:type="band2Vert"/>
    <w:tblStylePr w:type="band1Horz">
      <w:tcPr>
        <w:shd w:val="clear" w:color="FEE289" w:fill="FEE289"/>
      </w:tcPr>
    </w:tblStylePr>
    <w:tblStylePr w:type="band2Horz"/>
    <w:tblStylePr w:type="neCell"/>
    <w:tblStylePr w:type="nwCell"/>
    <w:tblStylePr w:type="seCell"/>
    <w:tblStylePr w:type="swCell"/>
  </w:style>
  <w:style w:type="table" w:customStyle="1" w:styleId="76">
    <w:name w:val="Grid Table 5 Dark - Accent 5"/>
    <w:basedOn w:val="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472C4" w:fill="4472C4"/>
      </w:tcPr>
    </w:tblStylePr>
    <w:tblStylePr w:type="lastRow">
      <w:rPr>
        <w:rFonts w:ascii="Arial" w:hAnsi="Arial"/>
        <w:b/>
        <w:color w:val="FFFFFF"/>
        <w:sz w:val="22"/>
      </w:rPr>
      <w:tcPr>
        <w:tcBorders>
          <w:top w:val="single" w:color="FFFFFF" w:themeColor="light1" w:sz="4" w:space="0"/>
        </w:tcBorders>
        <w:shd w:val="clear" w:color="4472C4" w:fill="4472C4"/>
      </w:tcPr>
    </w:tblStylePr>
    <w:tblStylePr w:type="firstCol">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band1Vert">
      <w:tcPr>
        <w:shd w:val="clear" w:color="A9BEE3" w:fill="A9BEE3"/>
      </w:tcPr>
    </w:tblStylePr>
    <w:tblStylePr w:type="band2Vert"/>
    <w:tblStylePr w:type="band1Horz">
      <w:tcPr>
        <w:shd w:val="clear" w:color="A9BEE3" w:fill="A9BEE3"/>
      </w:tcPr>
    </w:tblStylePr>
    <w:tblStylePr w:type="band2Horz"/>
    <w:tblStylePr w:type="neCell"/>
    <w:tblStylePr w:type="nwCell"/>
    <w:tblStylePr w:type="seCell"/>
    <w:tblStylePr w:type="swCell"/>
  </w:style>
  <w:style w:type="table" w:customStyle="1" w:styleId="77">
    <w:name w:val="Grid Table 5 Dark - Accent 6"/>
    <w:basedOn w:val="3"/>
    <w:qFormat/>
    <w:uiPriority w:val="99"/>
    <w:pPr>
      <w:spacing w:after="0" w:line="240" w:lineRule="auto"/>
    </w:pPr>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70AD47" w:fill="70AD47"/>
      </w:tcPr>
    </w:tblStylePr>
    <w:tblStylePr w:type="lastRow">
      <w:rPr>
        <w:rFonts w:ascii="Arial" w:hAnsi="Arial"/>
        <w:b/>
        <w:color w:val="FFFFFF"/>
        <w:sz w:val="22"/>
      </w:rPr>
      <w:tcPr>
        <w:tcBorders>
          <w:top w:val="single" w:color="FFFFFF" w:themeColor="light1" w:sz="4" w:space="0"/>
        </w:tcBorders>
        <w:shd w:val="clear" w:color="70AD47" w:fill="70AD47"/>
      </w:tcPr>
    </w:tblStylePr>
    <w:tblStylePr w:type="firstCol">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band1Vert">
      <w:tcPr>
        <w:shd w:val="clear" w:color="BCDBA8" w:fill="BCDBA8"/>
      </w:tcPr>
    </w:tblStylePr>
    <w:tblStylePr w:type="band2Vert"/>
    <w:tblStylePr w:type="band1Horz">
      <w:tcPr>
        <w:shd w:val="clear" w:color="BCDBA8" w:fill="BCDBA8"/>
      </w:tcPr>
    </w:tblStylePr>
    <w:tblStylePr w:type="band2Horz"/>
    <w:tblStylePr w:type="neCell"/>
    <w:tblStylePr w:type="nwCell"/>
    <w:tblStylePr w:type="seCell"/>
    <w:tblStylePr w:type="swCell"/>
  </w:style>
  <w:style w:type="table" w:customStyle="1" w:styleId="78">
    <w:name w:val="Grid Table 6 Colorful"/>
    <w:basedOn w:val="3"/>
    <w:qFormat/>
    <w:uiPriority w:val="99"/>
    <w:pPr>
      <w:spacing w:after="0" w:line="240" w:lineRule="auto"/>
    </w:pPr>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CACACA" w:fill="CACACA"/>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79">
    <w:name w:val="Grid Table 6 Colorful - Accent 1"/>
    <w:basedOn w:val="3"/>
    <w:qFormat/>
    <w:uiPriority w:val="99"/>
    <w:pPr>
      <w:spacing w:after="0" w:line="240" w:lineRule="auto"/>
    </w:pPr>
    <w:tblPr>
      <w:tblBorders>
        <w:top w:val="single" w:color="ACCCE9" w:themeColor="accent1" w:themeTint="80" w:sz="4" w:space="0"/>
        <w:left w:val="single" w:color="ACCCE9" w:themeColor="accent1" w:themeTint="80" w:sz="4" w:space="0"/>
        <w:bottom w:val="single" w:color="ACCCE9" w:themeColor="accent1" w:themeTint="80" w:sz="4" w:space="0"/>
        <w:right w:val="single" w:color="ACCCE9" w:themeColor="accent1" w:themeTint="80" w:sz="4" w:space="0"/>
        <w:insideH w:val="single" w:color="ACCCE9" w:themeColor="accent1" w:themeTint="80" w:sz="4" w:space="0"/>
        <w:insideV w:val="single" w:color="ACCCE9" w:themeColor="accent1" w:themeTint="80" w:sz="4" w:space="0"/>
      </w:tblBorders>
    </w:tblPr>
    <w:tblStylePr w:type="firstRow">
      <w:rPr>
        <w:b/>
        <w:color w:val="ADCDEA" w:themeColor="accent1" w:themeTint="80"/>
        <w14:textFill>
          <w14:solidFill>
            <w14:schemeClr w14:val="accent1">
              <w14:lumMod w14:val="50000"/>
              <w14:lumOff w14:val="50000"/>
            </w14:schemeClr>
          </w14:solidFill>
        </w14:textFill>
      </w:rPr>
      <w:tcPr>
        <w:tcBorders>
          <w:bottom w:val="single" w:color="ACCCE9" w:themeColor="accent1" w:themeTint="80" w:sz="12" w:space="0"/>
        </w:tcBorders>
      </w:tcPr>
    </w:tblStylePr>
    <w:tblStylePr w:type="lastRow">
      <w:rPr>
        <w:b/>
        <w:color w:val="ADCDEA" w:themeColor="accent1" w:themeTint="80"/>
        <w14:textFill>
          <w14:solidFill>
            <w14:schemeClr w14:val="accent1">
              <w14:lumMod w14:val="50000"/>
              <w14:lumOff w14:val="50000"/>
            </w14:schemeClr>
          </w14:solidFill>
        </w14:textFill>
      </w:rPr>
    </w:tblStylePr>
    <w:tblStylePr w:type="firstCol">
      <w:rPr>
        <w:b/>
        <w:color w:val="ADCDEA" w:themeColor="accent1" w:themeTint="80"/>
        <w14:textFill>
          <w14:solidFill>
            <w14:schemeClr w14:val="accent1">
              <w14:lumMod w14:val="50000"/>
              <w14:lumOff w14:val="50000"/>
            </w14:schemeClr>
          </w14:solidFill>
        </w14:textFill>
      </w:rPr>
    </w:tblStylePr>
    <w:tblStylePr w:type="lastCol">
      <w:rPr>
        <w:b/>
        <w:color w:val="ADCDEA" w:themeColor="accent1" w:themeTint="80"/>
        <w14:textFill>
          <w14:solidFill>
            <w14:schemeClr w14:val="accent1">
              <w14:lumMod w14:val="50000"/>
              <w14:lumOff w14:val="50000"/>
            </w14:schemeClr>
          </w14:solidFill>
        </w14:textFill>
      </w:rPr>
    </w:tblStylePr>
    <w:tblStylePr w:type="band1Vert">
      <w:tcPr>
        <w:shd w:val="clear" w:color="DDEAF6" w:fill="DDEAF6"/>
      </w:tcPr>
    </w:tblStylePr>
    <w:tblStylePr w:type="band2Vert"/>
    <w:tblStylePr w:type="band1Horz">
      <w:rPr>
        <w:rFonts w:ascii="Arial" w:hAnsi="Arial"/>
        <w:color w:val="ADCDEA" w:themeColor="accent1" w:themeTint="80"/>
        <w:sz w:val="22"/>
        <w14:textFill>
          <w14:solidFill>
            <w14:schemeClr w14:val="accent1">
              <w14:lumMod w14:val="50000"/>
              <w14:lumOff w14:val="50000"/>
            </w14:schemeClr>
          </w14:solidFill>
        </w14:textFill>
      </w:rPr>
      <w:tcPr>
        <w:shd w:val="clear" w:color="DDEAF6" w:fill="DDEAF6"/>
      </w:tcPr>
    </w:tblStylePr>
    <w:tblStylePr w:type="band2Horz">
      <w:rPr>
        <w:rFonts w:ascii="Arial" w:hAnsi="Arial"/>
        <w:color w:val="ADCDEA" w:themeColor="accent1" w:themeTint="80"/>
        <w:sz w:val="22"/>
        <w14:textFill>
          <w14:solidFill>
            <w14:schemeClr w14:val="accent1">
              <w14:lumMod w14:val="50000"/>
              <w14:lumOff w14:val="50000"/>
            </w14:schemeClr>
          </w14:solidFill>
        </w14:textFill>
      </w:rPr>
    </w:tblStylePr>
    <w:tblStylePr w:type="neCell"/>
    <w:tblStylePr w:type="nwCell"/>
    <w:tblStylePr w:type="seCell"/>
    <w:tblStylePr w:type="swCell"/>
  </w:style>
  <w:style w:type="table" w:customStyle="1" w:styleId="80">
    <w:name w:val="Grid Table 6 Colorful - Accent 2"/>
    <w:basedOn w:val="3"/>
    <w:qFormat/>
    <w:uiPriority w:val="99"/>
    <w:pPr>
      <w:spacing w:after="0" w:line="240" w:lineRule="auto"/>
    </w:pPr>
    <w:tblPr>
      <w:tbl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insideH w:val="single" w:color="F4B285" w:themeColor="accent2" w:themeTint="97" w:sz="4" w:space="0"/>
        <w:insideV w:val="single" w:color="F4B285" w:themeColor="accent2" w:themeTint="97" w:sz="4" w:space="0"/>
      </w:tblBorders>
    </w:tblPr>
    <w:tblStylePr w:type="firstRow">
      <w:rPr>
        <w:b/>
        <w:color w:val="F4B285" w:themeColor="accent2" w:themeTint="96"/>
        <w14:textFill>
          <w14:solidFill>
            <w14:schemeClr w14:val="accent2">
              <w14:lumMod w14:val="59000"/>
              <w14:lumOff w14:val="41000"/>
            </w14:schemeClr>
          </w14:solidFill>
        </w14:textFill>
      </w:rPr>
      <w:tcPr>
        <w:tcBorders>
          <w:bottom w:val="single" w:color="F4B285" w:themeColor="accent2" w:themeTint="97" w:sz="12" w:space="0"/>
        </w:tcBorders>
      </w:tcPr>
    </w:tblStylePr>
    <w:tblStylePr w:type="lastRow">
      <w:rPr>
        <w:b/>
        <w:color w:val="F4B285" w:themeColor="accent2" w:themeTint="96"/>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lastCol">
      <w:rPr>
        <w:b/>
        <w:color w:val="F4B285" w:themeColor="accent2" w:themeTint="96"/>
        <w14:textFill>
          <w14:solidFill>
            <w14:schemeClr w14:val="accent2">
              <w14:lumMod w14:val="59000"/>
              <w14:lumOff w14:val="41000"/>
            </w14:schemeClr>
          </w14:solidFill>
        </w14:textFill>
      </w:rPr>
    </w:tblStylePr>
    <w:tblStylePr w:type="band1Vert">
      <w:tcPr>
        <w:shd w:val="clear" w:color="FBE5D6" w:fill="FBE5D6"/>
      </w:tcPr>
    </w:tblStylePr>
    <w:tblStylePr w:type="band2Vert"/>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81">
    <w:name w:val="Grid Table 6 Colorful - Accent 3"/>
    <w:basedOn w:val="3"/>
    <w:qFormat/>
    <w:uiPriority w:val="99"/>
    <w:pPr>
      <w:spacing w:after="0" w:line="240" w:lineRule="auto"/>
    </w:pPr>
    <w:tblPr>
      <w:tblBorders>
        <w:top w:val="single" w:color="A5A5A5" w:themeColor="accent3" w:themeTint="FE" w:sz="4" w:space="0"/>
        <w:left w:val="single" w:color="A5A5A5" w:themeColor="accent3" w:themeTint="FE" w:sz="4" w:space="0"/>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firstRow">
      <w:rPr>
        <w:b/>
        <w:color w:val="A5A5A5" w:themeColor="accent3" w:themeTint="FF"/>
        <w14:textFill>
          <w14:solidFill>
            <w14:schemeClr w14:val="accent3">
              <w14:lumMod w14:val="100000"/>
              <w14:lumOff w14:val="0"/>
            </w14:schemeClr>
          </w14:solidFill>
        </w14:textFill>
      </w:rPr>
      <w:tcPr>
        <w:tcBorders>
          <w:bottom w:val="single" w:color="A5A5A5" w:themeColor="accent3" w:themeTint="FE" w:sz="12" w:space="0"/>
        </w:tcBorders>
      </w:tcPr>
    </w:tblStylePr>
    <w:tblStylePr w:type="lastRow">
      <w:rPr>
        <w:b/>
        <w:color w:val="A5A5A5" w:themeColor="accent3" w:themeTint="FF"/>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lastCol">
      <w:rPr>
        <w:b/>
        <w:color w:val="A5A5A5" w:themeColor="accent3" w:themeTint="FF"/>
        <w14:textFill>
          <w14:solidFill>
            <w14:schemeClr w14:val="accent3">
              <w14:lumMod w14:val="100000"/>
              <w14:lumOff w14:val="0"/>
            </w14:schemeClr>
          </w14:solidFill>
        </w14:textFill>
      </w:rPr>
    </w:tblStylePr>
    <w:tblStylePr w:type="band1Vert">
      <w:tcPr>
        <w:shd w:val="clear" w:color="ECECEC" w:fill="ECECEC"/>
      </w:tcPr>
    </w:tblStylePr>
    <w:tblStylePr w:type="band2Vert"/>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neCell"/>
    <w:tblStylePr w:type="nwCell"/>
    <w:tblStylePr w:type="seCell"/>
    <w:tblStylePr w:type="swCell"/>
  </w:style>
  <w:style w:type="table" w:customStyle="1" w:styleId="82">
    <w:name w:val="Grid Table 6 Colorful - Accent 4"/>
    <w:basedOn w:val="3"/>
    <w:qFormat/>
    <w:uiPriority w:val="99"/>
    <w:pPr>
      <w:spacing w:after="0" w:line="240" w:lineRule="auto"/>
    </w:pPr>
    <w:tblPr>
      <w:tbl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insideH w:val="single" w:color="FFD864" w:themeColor="accent4" w:themeTint="9A" w:sz="4" w:space="0"/>
        <w:insideV w:val="single" w:color="FFD864" w:themeColor="accent4" w:themeTint="9A" w:sz="4" w:space="0"/>
      </w:tblBorders>
    </w:tblPr>
    <w:tblStylePr w:type="firstRow">
      <w:rPr>
        <w:b/>
        <w:color w:val="FFD966" w:themeColor="accent4" w:themeTint="99"/>
        <w14:textFill>
          <w14:solidFill>
            <w14:schemeClr w14:val="accent4">
              <w14:lumMod w14:val="60000"/>
              <w14:lumOff w14:val="40000"/>
            </w14:schemeClr>
          </w14:solidFill>
        </w14:textFill>
      </w:rPr>
      <w:tcPr>
        <w:tcBorders>
          <w:bottom w:val="single" w:color="FFD864" w:themeColor="accent4" w:themeTint="9A" w:sz="12" w:space="0"/>
        </w:tcBorders>
      </w:tcPr>
    </w:tblStylePr>
    <w:tblStylePr w:type="lastRow">
      <w:rPr>
        <w:b/>
        <w:color w:val="FFD966" w:themeColor="accent4" w:themeTint="99"/>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lastCol">
      <w:rPr>
        <w:b/>
        <w:color w:val="FFD966" w:themeColor="accent4" w:themeTint="99"/>
        <w14:textFill>
          <w14:solidFill>
            <w14:schemeClr w14:val="accent4">
              <w14:lumMod w14:val="60000"/>
              <w14:lumOff w14:val="40000"/>
            </w14:schemeClr>
          </w14:solidFill>
        </w14:textFill>
      </w:rPr>
    </w:tblStylePr>
    <w:tblStylePr w:type="band1Vert">
      <w:tcPr>
        <w:shd w:val="clear" w:color="FEF2CA" w:fill="FEF2CA"/>
      </w:tcPr>
    </w:tblStylePr>
    <w:tblStylePr w:type="band2Vert"/>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83">
    <w:name w:val="Grid Table 6 Colorful - Accent 5"/>
    <w:basedOn w:val="3"/>
    <w:qFormat/>
    <w:uiPriority w:val="99"/>
    <w:pPr>
      <w:spacing w:after="0" w:line="240" w:lineRule="auto"/>
    </w:pPr>
    <w:tblPr>
      <w:tblBorders>
        <w:top w:val="single" w:color="4472C4" w:themeColor="accent5" w:sz="4" w:space="0"/>
        <w:left w:val="single" w:color="4472C4" w:themeColor="accent5" w:sz="4" w:space="0"/>
        <w:bottom w:val="single" w:color="4472C4" w:themeColor="accent5" w:sz="4" w:space="0"/>
        <w:right w:val="single" w:color="4472C4" w:themeColor="accent5" w:sz="4" w:space="0"/>
        <w:insideH w:val="single" w:color="4472C4" w:themeColor="accent5" w:sz="4" w:space="0"/>
        <w:insideV w:val="single" w:color="4472C4" w:themeColor="accent5" w:sz="4" w:space="0"/>
      </w:tblBorders>
    </w:tblPr>
    <w:tblStylePr w:type="firstRow">
      <w:rPr>
        <w:b/>
        <w:color w:val="254174" w:themeColor="accent5" w:themeShade="94"/>
      </w:rPr>
      <w:tcPr>
        <w:tcBorders>
          <w:bottom w:val="single" w:color="4472C4" w:themeColor="accent5" w:sz="12" w:space="0"/>
        </w:tcBorders>
      </w:tcPr>
    </w:tblStylePr>
    <w:tblStylePr w:type="lastRow">
      <w:rPr>
        <w:b/>
        <w:color w:val="254174" w:themeColor="accent5" w:themeShade="94"/>
      </w:rPr>
    </w:tblStylePr>
    <w:tblStylePr w:type="firstCol">
      <w:rPr>
        <w:b/>
        <w:color w:val="254174" w:themeColor="accent5" w:themeShade="94"/>
      </w:rPr>
    </w:tblStylePr>
    <w:tblStylePr w:type="lastCol">
      <w:rPr>
        <w:b/>
        <w:color w:val="254174" w:themeColor="accent5" w:themeShade="94"/>
      </w:rPr>
    </w:tblStylePr>
    <w:tblStylePr w:type="band1Vert">
      <w:tcPr>
        <w:shd w:val="clear" w:color="D8E2F2" w:fill="D8E2F2"/>
      </w:tcPr>
    </w:tblStylePr>
    <w:tblStylePr w:type="band2Vert"/>
    <w:tblStylePr w:type="band1Horz">
      <w:rPr>
        <w:rFonts w:ascii="Arial" w:hAnsi="Arial"/>
        <w:color w:val="254174" w:themeColor="accent5" w:themeShade="94"/>
        <w:sz w:val="22"/>
      </w:rPr>
      <w:tcPr>
        <w:shd w:val="clear" w:color="D8E2F2" w:fill="D8E2F2"/>
      </w:tcPr>
    </w:tblStylePr>
    <w:tblStylePr w:type="band2Horz">
      <w:rPr>
        <w:rFonts w:ascii="Arial" w:hAnsi="Arial"/>
        <w:color w:val="254174" w:themeColor="accent5" w:themeShade="94"/>
        <w:sz w:val="22"/>
      </w:rPr>
    </w:tblStylePr>
    <w:tblStylePr w:type="neCell"/>
    <w:tblStylePr w:type="nwCell"/>
    <w:tblStylePr w:type="seCell"/>
    <w:tblStylePr w:type="swCell"/>
  </w:style>
  <w:style w:type="table" w:customStyle="1" w:styleId="84">
    <w:name w:val="Grid Table 6 Colorful - Accent 6"/>
    <w:basedOn w:val="3"/>
    <w:qFormat/>
    <w:uiPriority w:val="99"/>
    <w:pPr>
      <w:spacing w:after="0" w:line="240" w:lineRule="auto"/>
    </w:pPr>
    <w:tblPr>
      <w:tblBorders>
        <w:top w:val="single" w:color="70AD47" w:themeColor="accent6" w:sz="4" w:space="0"/>
        <w:left w:val="single" w:color="70AD47" w:themeColor="accent6" w:sz="4" w:space="0"/>
        <w:bottom w:val="single" w:color="70AD47" w:themeColor="accent6" w:sz="4" w:space="0"/>
        <w:right w:val="single" w:color="70AD47" w:themeColor="accent6" w:sz="4" w:space="0"/>
        <w:insideH w:val="single" w:color="70AD47" w:themeColor="accent6" w:sz="4" w:space="0"/>
        <w:insideV w:val="single" w:color="70AD47" w:themeColor="accent6" w:sz="4" w:space="0"/>
      </w:tblBorders>
    </w:tblPr>
    <w:tblStylePr w:type="firstRow">
      <w:rPr>
        <w:b/>
        <w:color w:val="254174" w:themeColor="accent5" w:themeShade="94"/>
      </w:rPr>
      <w:tcPr>
        <w:tcBorders>
          <w:bottom w:val="single" w:color="70AD47" w:themeColor="accent6" w:sz="12" w:space="0"/>
        </w:tcBorders>
      </w:tcPr>
    </w:tblStylePr>
    <w:tblStylePr w:type="lastRow">
      <w:rPr>
        <w:b/>
        <w:color w:val="254174" w:themeColor="accent5" w:themeShade="94"/>
      </w:rPr>
    </w:tblStylePr>
    <w:tblStylePr w:type="firstCol">
      <w:rPr>
        <w:b/>
        <w:color w:val="254174" w:themeColor="accent5" w:themeShade="94"/>
      </w:rPr>
    </w:tblStylePr>
    <w:tblStylePr w:type="lastCol">
      <w:rPr>
        <w:b/>
        <w:color w:val="254174" w:themeColor="accent5" w:themeShade="94"/>
      </w:rPr>
    </w:tblStylePr>
    <w:tblStylePr w:type="band1Vert">
      <w:tcPr>
        <w:shd w:val="clear" w:color="E1EFD8" w:fill="E1EFD8"/>
      </w:tcPr>
    </w:tblStylePr>
    <w:tblStylePr w:type="band2Vert"/>
    <w:tblStylePr w:type="band1Horz">
      <w:rPr>
        <w:rFonts w:ascii="Arial" w:hAnsi="Arial"/>
        <w:color w:val="254174" w:themeColor="accent5" w:themeShade="94"/>
        <w:sz w:val="22"/>
      </w:rPr>
      <w:tcPr>
        <w:shd w:val="clear" w:color="E1EFD8" w:fill="E1EFD8"/>
      </w:tcPr>
    </w:tblStylePr>
    <w:tblStylePr w:type="band2Horz">
      <w:rPr>
        <w:rFonts w:ascii="Arial" w:hAnsi="Arial"/>
        <w:color w:val="254174" w:themeColor="accent5" w:themeShade="94"/>
        <w:sz w:val="22"/>
      </w:rPr>
    </w:tblStylePr>
    <w:tblStylePr w:type="neCell"/>
    <w:tblStylePr w:type="nwCell"/>
    <w:tblStylePr w:type="seCell"/>
    <w:tblStylePr w:type="swCell"/>
  </w:style>
  <w:style w:type="table" w:customStyle="1" w:styleId="85">
    <w:name w:val="Grid Table 7 Colorful"/>
    <w:basedOn w:val="3"/>
    <w:qFormat/>
    <w:uiPriority w:val="99"/>
    <w:pPr>
      <w:spacing w:after="0" w:line="240" w:lineRule="auto"/>
    </w:pPr>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fill="FFFFFF"/>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fill="FFFFFF"/>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1F1F1" w:fill="F1F1F1"/>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86">
    <w:name w:val="Grid Table 7 Colorful - Accent 1"/>
    <w:basedOn w:val="3"/>
    <w:qFormat/>
    <w:uiPriority w:val="99"/>
    <w:pPr>
      <w:spacing w:after="0" w:line="240" w:lineRule="auto"/>
    </w:pPr>
    <w:tblPr>
      <w:tblBorders>
        <w:bottom w:val="single" w:color="ACCCE9" w:themeColor="accent1" w:themeTint="80" w:sz="4" w:space="0"/>
        <w:right w:val="single" w:color="ACCCE9" w:themeColor="accent1" w:themeTint="80" w:sz="4" w:space="0"/>
        <w:insideH w:val="single" w:color="ACCCE9" w:themeColor="accent1" w:themeTint="80" w:sz="4" w:space="0"/>
        <w:insideV w:val="single" w:color="ACCCE9" w:themeColor="accent1" w:themeTint="80" w:sz="4" w:space="0"/>
      </w:tblBorders>
    </w:tblPr>
    <w:tblStylePr w:type="firstRow">
      <w:rPr>
        <w:rFonts w:ascii="Arial" w:hAnsi="Arial"/>
        <w:b/>
        <w:color w:val="ADCDEA" w:themeColor="accent1" w:themeTint="80"/>
        <w:sz w:val="22"/>
        <w14:textFill>
          <w14:solidFill>
            <w14:schemeClr w14:val="accent1">
              <w14:lumMod w14:val="50000"/>
              <w14:lumOff w14:val="50000"/>
            </w14:schemeClr>
          </w14:solidFill>
        </w14:textFill>
      </w:rPr>
      <w:tcPr>
        <w:tcBorders>
          <w:top w:val="nil"/>
          <w:left w:val="nil"/>
          <w:bottom w:val="single" w:color="ACCCE9" w:themeColor="accent1" w:themeTint="80" w:sz="4" w:space="0"/>
          <w:right w:val="nil"/>
        </w:tcBorders>
        <w:shd w:val="clear" w:color="FFFFFF" w:fill="FFFFFF"/>
      </w:tcPr>
    </w:tblStylePr>
    <w:tblStylePr w:type="lastRow">
      <w:rPr>
        <w:rFonts w:ascii="Arial" w:hAnsi="Arial"/>
        <w:b/>
        <w:color w:val="ADCDEA" w:themeColor="accent1" w:themeTint="80"/>
        <w:sz w:val="22"/>
        <w14:textFill>
          <w14:solidFill>
            <w14:schemeClr w14:val="accent1">
              <w14:lumMod w14:val="50000"/>
              <w14:lumOff w14:val="50000"/>
            </w14:schemeClr>
          </w14:solidFill>
        </w14:textFill>
      </w:rPr>
      <w:tcPr>
        <w:tcBorders>
          <w:top w:val="single" w:color="ACCCE9" w:themeColor="accent1" w:themeTint="80" w:sz="4" w:space="0"/>
          <w:left w:val="nil"/>
          <w:bottom w:val="nil"/>
          <w:right w:val="nil"/>
        </w:tcBorders>
        <w:shd w:val="clear" w:color="FFFFFF" w:fill="FFFFFF"/>
      </w:tcPr>
    </w:tblStylePr>
    <w:tblStylePr w:type="firstCol">
      <w:pPr>
        <w:jc w:val="right"/>
      </w:pPr>
      <w:rPr>
        <w:rFonts w:ascii="Arial" w:hAnsi="Arial"/>
        <w:i/>
        <w:color w:val="ADCDEA" w:themeColor="accent1" w:themeTint="80"/>
        <w:sz w:val="22"/>
        <w14:textFill>
          <w14:solidFill>
            <w14:schemeClr w14:val="accent1">
              <w14:lumMod w14:val="50000"/>
              <w14:lumOff w14:val="50000"/>
            </w14:schemeClr>
          </w14:solidFill>
        </w14:textFill>
      </w:rPr>
      <w:tcPr>
        <w:tcBorders>
          <w:top w:val="nil"/>
          <w:left w:val="nil"/>
          <w:bottom w:val="nil"/>
          <w:right w:val="single" w:color="ACCCE9" w:themeColor="accent1" w:themeTint="80" w:sz="4" w:space="0"/>
        </w:tcBorders>
        <w:shd w:val="clear" w:color="FFFFFF" w:fill="auto"/>
      </w:tcPr>
    </w:tblStylePr>
    <w:tblStylePr w:type="lastCol">
      <w:rPr>
        <w:rFonts w:ascii="Arial" w:hAnsi="Arial"/>
        <w:i/>
        <w:color w:val="ADCDEA" w:themeColor="accent1" w:themeTint="80"/>
        <w:sz w:val="22"/>
        <w14:textFill>
          <w14:solidFill>
            <w14:schemeClr w14:val="accent1">
              <w14:lumMod w14:val="50000"/>
              <w14:lumOff w14:val="50000"/>
            </w14:schemeClr>
          </w14:solidFill>
        </w14:textFill>
      </w:rPr>
      <w:tcPr>
        <w:tcBorders>
          <w:top w:val="nil"/>
          <w:left w:val="single" w:color="ACCCE9" w:themeColor="accent1" w:themeTint="80" w:sz="4" w:space="0"/>
          <w:bottom w:val="nil"/>
          <w:right w:val="nil"/>
        </w:tcBorders>
        <w:shd w:val="clear" w:color="FFFFFF" w:fill="auto"/>
      </w:tcPr>
    </w:tblStylePr>
    <w:tblStylePr w:type="band1Vert">
      <w:tcPr>
        <w:shd w:val="clear" w:color="DDEAF6" w:fill="DDEAF6"/>
      </w:tcPr>
    </w:tblStylePr>
    <w:tblStylePr w:type="band2Vert"/>
    <w:tblStylePr w:type="band1Horz">
      <w:rPr>
        <w:rFonts w:ascii="Arial" w:hAnsi="Arial"/>
        <w:color w:val="ADCDEA" w:themeColor="accent1" w:themeTint="80"/>
        <w:sz w:val="22"/>
        <w14:textFill>
          <w14:solidFill>
            <w14:schemeClr w14:val="accent1">
              <w14:lumMod w14:val="50000"/>
              <w14:lumOff w14:val="50000"/>
            </w14:schemeClr>
          </w14:solidFill>
        </w14:textFill>
      </w:rPr>
      <w:tcPr>
        <w:shd w:val="clear" w:color="DDEAF6" w:fill="DDEAF6"/>
      </w:tcPr>
    </w:tblStylePr>
    <w:tblStylePr w:type="band2Horz">
      <w:rPr>
        <w:rFonts w:ascii="Arial" w:hAnsi="Arial"/>
        <w:color w:val="ADCDEA" w:themeColor="accent1" w:themeTint="80"/>
        <w:sz w:val="22"/>
        <w14:textFill>
          <w14:solidFill>
            <w14:schemeClr w14:val="accent1">
              <w14:lumMod w14:val="50000"/>
              <w14:lumOff w14:val="50000"/>
            </w14:schemeClr>
          </w14:solidFill>
        </w14:textFill>
      </w:rPr>
    </w:tblStylePr>
    <w:tblStylePr w:type="neCell"/>
    <w:tblStylePr w:type="nwCell"/>
    <w:tblStylePr w:type="seCell"/>
    <w:tblStylePr w:type="swCell"/>
  </w:style>
  <w:style w:type="table" w:customStyle="1" w:styleId="87">
    <w:name w:val="Grid Table 7 Colorful - Accent 2"/>
    <w:basedOn w:val="3"/>
    <w:qFormat/>
    <w:uiPriority w:val="99"/>
    <w:pPr>
      <w:spacing w:after="0" w:line="240" w:lineRule="auto"/>
    </w:pPr>
    <w:tblPr>
      <w:tblBorders>
        <w:bottom w:val="single" w:color="F4B285" w:themeColor="accent2" w:themeTint="97" w:sz="4" w:space="0"/>
        <w:right w:val="single" w:color="F4B285" w:themeColor="accent2" w:themeTint="97" w:sz="4" w:space="0"/>
        <w:insideH w:val="single" w:color="F4B285" w:themeColor="accent2" w:themeTint="97" w:sz="4" w:space="0"/>
        <w:insideV w:val="single" w:color="F4B285" w:themeColor="accent2" w:themeTint="97" w:sz="4" w:space="0"/>
      </w:tblBorders>
    </w:tblPr>
    <w:tblStylePr w:type="firstRow">
      <w:rPr>
        <w:rFonts w:ascii="Arial" w:hAnsi="Arial"/>
        <w:b/>
        <w:color w:val="F4B285" w:themeColor="accent2" w:themeTint="96"/>
        <w:sz w:val="22"/>
        <w14:textFill>
          <w14:solidFill>
            <w14:schemeClr w14:val="accent2">
              <w14:lumMod w14:val="59000"/>
              <w14:lumOff w14:val="41000"/>
            </w14:schemeClr>
          </w14:solidFill>
        </w14:textFill>
      </w:rPr>
      <w:tcPr>
        <w:tcBorders>
          <w:top w:val="nil"/>
          <w:left w:val="nil"/>
          <w:bottom w:val="single" w:color="F4B285" w:themeColor="accent2" w:themeTint="97" w:sz="4" w:space="0"/>
          <w:right w:val="nil"/>
        </w:tcBorders>
        <w:shd w:val="clear" w:color="FFFFFF" w:fill="FFFFFF"/>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tcBorders>
          <w:top w:val="single" w:color="F4B285" w:themeColor="accent2" w:themeTint="97" w:sz="4" w:space="0"/>
          <w:left w:val="nil"/>
          <w:bottom w:val="nil"/>
          <w:right w:val="nil"/>
        </w:tcBorders>
        <w:shd w:val="clear" w:color="FFFFFF" w:fill="FFFFFF"/>
      </w:tcPr>
    </w:tblStylePr>
    <w:tblStylePr w:type="firstCol">
      <w:pPr>
        <w:jc w:val="right"/>
      </w:pPr>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nil"/>
          <w:bottom w:val="nil"/>
          <w:right w:val="single" w:color="F4B285" w:themeColor="accent2" w:themeTint="97" w:sz="4" w:space="0"/>
        </w:tcBorders>
        <w:shd w:val="clear" w:color="FFFFFF" w:fill="auto"/>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single" w:color="F4B285" w:themeColor="accent2" w:themeTint="97" w:sz="4" w:space="0"/>
          <w:bottom w:val="nil"/>
          <w:right w:val="nil"/>
        </w:tcBorders>
        <w:shd w:val="clear" w:color="FFFFFF" w:fill="auto"/>
      </w:tcPr>
    </w:tblStylePr>
    <w:tblStylePr w:type="band1Vert">
      <w:tcPr>
        <w:shd w:val="clear" w:color="FBE5D6" w:fill="FBE5D6"/>
      </w:tcPr>
    </w:tblStylePr>
    <w:tblStylePr w:type="band2Vert"/>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88">
    <w:name w:val="Grid Table 7 Colorful - Accent 3"/>
    <w:basedOn w:val="3"/>
    <w:qFormat/>
    <w:uiPriority w:val="99"/>
    <w:pPr>
      <w:spacing w:after="0" w:line="240" w:lineRule="auto"/>
    </w:pPr>
    <w:tblPr>
      <w:tblBorders>
        <w:bottom w:val="single" w:color="A5A5A5" w:themeColor="accent3" w:themeTint="FE" w:sz="4" w:space="0"/>
        <w:right w:val="single" w:color="A5A5A5" w:themeColor="accent3" w:themeTint="FE" w:sz="4" w:space="0"/>
        <w:insideH w:val="single" w:color="A5A5A5" w:themeColor="accent3" w:themeTint="FE" w:sz="4" w:space="0"/>
        <w:insideV w:val="single" w:color="A5A5A5" w:themeColor="accent3" w:themeTint="FE" w:sz="4" w:space="0"/>
      </w:tblBorders>
    </w:tblPr>
    <w:tblStylePr w:type="firstRow">
      <w:rPr>
        <w:rFonts w:ascii="Arial" w:hAnsi="Arial"/>
        <w:b/>
        <w:color w:val="A5A5A5" w:themeColor="accent3" w:themeTint="FF"/>
        <w:sz w:val="22"/>
        <w14:textFill>
          <w14:solidFill>
            <w14:schemeClr w14:val="accent3">
              <w14:lumMod w14:val="100000"/>
              <w14:lumOff w14:val="0"/>
            </w14:schemeClr>
          </w14:solidFill>
        </w14:textFill>
      </w:rPr>
      <w:tcPr>
        <w:tcBorders>
          <w:top w:val="nil"/>
          <w:left w:val="nil"/>
          <w:bottom w:val="single" w:color="A5A5A5" w:themeColor="accent3" w:themeTint="FE" w:sz="4" w:space="0"/>
          <w:right w:val="nil"/>
        </w:tcBorders>
        <w:shd w:val="clear" w:color="FFFFFF" w:fill="FFFFFF"/>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tcBorders>
          <w:top w:val="single" w:color="A5A5A5" w:themeColor="accent3" w:themeTint="FE" w:sz="4" w:space="0"/>
          <w:left w:val="nil"/>
          <w:bottom w:val="nil"/>
          <w:right w:val="nil"/>
        </w:tcBorders>
        <w:shd w:val="clear" w:color="FFFFFF" w:fill="FFFFFF"/>
      </w:tcPr>
    </w:tblStylePr>
    <w:tblStylePr w:type="firstCol">
      <w:pPr>
        <w:jc w:val="right"/>
      </w:pPr>
      <w:rPr>
        <w:rFonts w:ascii="Arial" w:hAnsi="Arial"/>
        <w:i/>
        <w:color w:val="A5A5A5" w:themeColor="accent3" w:themeTint="FF"/>
        <w:sz w:val="22"/>
        <w14:textFill>
          <w14:solidFill>
            <w14:schemeClr w14:val="accent3">
              <w14:lumMod w14:val="100000"/>
              <w14:lumOff w14:val="0"/>
            </w14:schemeClr>
          </w14:solidFill>
        </w14:textFill>
      </w:rPr>
      <w:tcPr>
        <w:tcBorders>
          <w:top w:val="nil"/>
          <w:left w:val="nil"/>
          <w:bottom w:val="nil"/>
          <w:right w:val="single" w:color="A5A5A5" w:themeColor="accent3" w:themeTint="FE" w:sz="4" w:space="0"/>
        </w:tcBorders>
        <w:shd w:val="clear" w:color="FFFFFF" w:fill="auto"/>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tcBorders>
          <w:top w:val="nil"/>
          <w:left w:val="single" w:color="A5A5A5" w:themeColor="accent3" w:themeTint="FE" w:sz="4" w:space="0"/>
          <w:bottom w:val="nil"/>
          <w:right w:val="nil"/>
        </w:tcBorders>
        <w:shd w:val="clear" w:color="FFFFFF" w:fill="auto"/>
      </w:tcPr>
    </w:tblStylePr>
    <w:tblStylePr w:type="band1Vert">
      <w:tcPr>
        <w:shd w:val="clear" w:color="ECECEC" w:fill="ECECEC"/>
      </w:tcPr>
    </w:tblStylePr>
    <w:tblStylePr w:type="band2Vert"/>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neCell"/>
    <w:tblStylePr w:type="nwCell"/>
    <w:tblStylePr w:type="seCell"/>
    <w:tblStylePr w:type="swCell"/>
  </w:style>
  <w:style w:type="table" w:customStyle="1" w:styleId="89">
    <w:name w:val="Grid Table 7 Colorful - Accent 4"/>
    <w:basedOn w:val="3"/>
    <w:qFormat/>
    <w:uiPriority w:val="99"/>
    <w:pPr>
      <w:spacing w:after="0" w:line="240" w:lineRule="auto"/>
    </w:pPr>
    <w:tblPr>
      <w:tblBorders>
        <w:bottom w:val="single" w:color="FFD864" w:themeColor="accent4" w:themeTint="9A" w:sz="4" w:space="0"/>
        <w:right w:val="single" w:color="FFD864" w:themeColor="accent4" w:themeTint="9A" w:sz="4" w:space="0"/>
        <w:insideH w:val="single" w:color="FFD864" w:themeColor="accent4" w:themeTint="9A" w:sz="4" w:space="0"/>
        <w:insideV w:val="single" w:color="FFD864" w:themeColor="accent4" w:themeTint="9A" w:sz="4" w:space="0"/>
      </w:tblBorders>
    </w:tblPr>
    <w:tblStylePr w:type="firstRow">
      <w:rPr>
        <w:rFonts w:ascii="Arial" w:hAnsi="Arial"/>
        <w:b/>
        <w:color w:val="FFD966" w:themeColor="accent4" w:themeTint="99"/>
        <w:sz w:val="22"/>
        <w14:textFill>
          <w14:solidFill>
            <w14:schemeClr w14:val="accent4">
              <w14:lumMod w14:val="60000"/>
              <w14:lumOff w14:val="40000"/>
            </w14:schemeClr>
          </w14:solidFill>
        </w14:textFill>
      </w:rPr>
      <w:tcPr>
        <w:tcBorders>
          <w:top w:val="nil"/>
          <w:left w:val="nil"/>
          <w:bottom w:val="single" w:color="FFD864" w:themeColor="accent4" w:themeTint="9A" w:sz="4" w:space="0"/>
          <w:right w:val="nil"/>
        </w:tcBorders>
        <w:shd w:val="clear" w:color="FFFFFF" w:fill="FFFFFF"/>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tcBorders>
          <w:top w:val="single" w:color="FFD864" w:themeColor="accent4" w:themeTint="9A" w:sz="4" w:space="0"/>
          <w:left w:val="nil"/>
          <w:bottom w:val="nil"/>
          <w:right w:val="nil"/>
        </w:tcBorders>
        <w:shd w:val="clear" w:color="FFFFFF" w:fill="FFFFFF"/>
      </w:tcPr>
    </w:tblStylePr>
    <w:tblStylePr w:type="firstCol">
      <w:pPr>
        <w:jc w:val="right"/>
      </w:pPr>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nil"/>
          <w:bottom w:val="nil"/>
          <w:right w:val="single" w:color="FFD864" w:themeColor="accent4" w:themeTint="9A" w:sz="4" w:space="0"/>
        </w:tcBorders>
        <w:shd w:val="clear" w:color="FFFFFF" w:fill="auto"/>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single" w:color="FFD864" w:themeColor="accent4" w:themeTint="9A" w:sz="4" w:space="0"/>
          <w:bottom w:val="nil"/>
          <w:right w:val="nil"/>
        </w:tcBorders>
        <w:shd w:val="clear" w:color="FFFFFF" w:fill="auto"/>
      </w:tcPr>
    </w:tblStylePr>
    <w:tblStylePr w:type="band1Vert">
      <w:tcPr>
        <w:shd w:val="clear" w:color="FEF2CA" w:fill="FEF2CA"/>
      </w:tcPr>
    </w:tblStylePr>
    <w:tblStylePr w:type="band2Vert"/>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90">
    <w:name w:val="Grid Table 7 Colorful - Accent 5"/>
    <w:basedOn w:val="3"/>
    <w:qFormat/>
    <w:uiPriority w:val="99"/>
    <w:pPr>
      <w:spacing w:after="0" w:line="240" w:lineRule="auto"/>
    </w:pPr>
    <w:tblPr>
      <w:tblBorders>
        <w:bottom w:val="single" w:color="95AFDD" w:themeColor="accent5" w:themeTint="90" w:sz="4" w:space="0"/>
        <w:right w:val="single" w:color="95AFDD" w:themeColor="accent5" w:themeTint="90" w:sz="4" w:space="0"/>
        <w:insideH w:val="single" w:color="95AFDD" w:themeColor="accent5" w:themeTint="90" w:sz="4" w:space="0"/>
        <w:insideV w:val="single" w:color="95AFDD" w:themeColor="accent5" w:themeTint="90" w:sz="4" w:space="0"/>
      </w:tblBorders>
    </w:tblPr>
    <w:tblStylePr w:type="firstRow">
      <w:rPr>
        <w:rFonts w:ascii="Arial" w:hAnsi="Arial"/>
        <w:b/>
        <w:color w:val="254174" w:themeColor="accent5" w:themeShade="94"/>
        <w:sz w:val="22"/>
      </w:rPr>
      <w:tcPr>
        <w:tcBorders>
          <w:top w:val="nil"/>
          <w:left w:val="nil"/>
          <w:bottom w:val="single" w:color="95AFDD" w:themeColor="accent5" w:themeTint="90" w:sz="4" w:space="0"/>
          <w:right w:val="nil"/>
        </w:tcBorders>
        <w:shd w:val="clear" w:color="FFFFFF" w:fill="FFFFFF"/>
      </w:tcPr>
    </w:tblStylePr>
    <w:tblStylePr w:type="lastRow">
      <w:rPr>
        <w:rFonts w:ascii="Arial" w:hAnsi="Arial"/>
        <w:b/>
        <w:color w:val="254174" w:themeColor="accent5" w:themeShade="94"/>
        <w:sz w:val="22"/>
      </w:rPr>
      <w:tcPr>
        <w:tcBorders>
          <w:top w:val="single" w:color="95AFDD" w:themeColor="accent5" w:themeTint="90" w:sz="4" w:space="0"/>
          <w:left w:val="nil"/>
          <w:bottom w:val="nil"/>
          <w:right w:val="nil"/>
        </w:tcBorders>
        <w:shd w:val="clear" w:color="FFFFFF" w:fill="FFFFFF"/>
      </w:tcPr>
    </w:tblStylePr>
    <w:tblStylePr w:type="firstCol">
      <w:pPr>
        <w:jc w:val="right"/>
      </w:pPr>
      <w:rPr>
        <w:rFonts w:ascii="Arial" w:hAnsi="Arial"/>
        <w:i/>
        <w:color w:val="254174" w:themeColor="accent5" w:themeShade="94"/>
        <w:sz w:val="22"/>
      </w:rPr>
      <w:tcPr>
        <w:tcBorders>
          <w:top w:val="nil"/>
          <w:left w:val="nil"/>
          <w:bottom w:val="nil"/>
          <w:right w:val="single" w:color="95AFDD" w:themeColor="accent5" w:themeTint="90" w:sz="4" w:space="0"/>
        </w:tcBorders>
        <w:shd w:val="clear" w:color="FFFFFF" w:fill="auto"/>
      </w:tcPr>
    </w:tblStylePr>
    <w:tblStylePr w:type="lastCol">
      <w:rPr>
        <w:rFonts w:ascii="Arial" w:hAnsi="Arial"/>
        <w:i/>
        <w:color w:val="254174" w:themeColor="accent5" w:themeShade="94"/>
        <w:sz w:val="22"/>
      </w:rPr>
      <w:tcPr>
        <w:tcBorders>
          <w:top w:val="nil"/>
          <w:left w:val="single" w:color="95AFDD" w:themeColor="accent5" w:themeTint="90" w:sz="4" w:space="0"/>
          <w:bottom w:val="nil"/>
          <w:right w:val="nil"/>
        </w:tcBorders>
        <w:shd w:val="clear" w:color="FFFFFF" w:fill="auto"/>
      </w:tcPr>
    </w:tblStylePr>
    <w:tblStylePr w:type="band1Vert">
      <w:tcPr>
        <w:shd w:val="clear" w:color="D8E2F2" w:fill="D8E2F2"/>
      </w:tcPr>
    </w:tblStylePr>
    <w:tblStylePr w:type="band2Vert"/>
    <w:tblStylePr w:type="band1Horz">
      <w:rPr>
        <w:rFonts w:ascii="Arial" w:hAnsi="Arial"/>
        <w:color w:val="254174" w:themeColor="accent5" w:themeShade="94"/>
        <w:sz w:val="22"/>
      </w:rPr>
      <w:tcPr>
        <w:shd w:val="clear" w:color="D8E2F2" w:fill="D8E2F2"/>
      </w:tcPr>
    </w:tblStylePr>
    <w:tblStylePr w:type="band2Horz">
      <w:rPr>
        <w:rFonts w:ascii="Arial" w:hAnsi="Arial"/>
        <w:color w:val="254174" w:themeColor="accent5" w:themeShade="94"/>
        <w:sz w:val="22"/>
      </w:rPr>
    </w:tblStylePr>
    <w:tblStylePr w:type="neCell"/>
    <w:tblStylePr w:type="nwCell"/>
    <w:tblStylePr w:type="seCell"/>
    <w:tblStylePr w:type="swCell"/>
  </w:style>
  <w:style w:type="table" w:customStyle="1" w:styleId="91">
    <w:name w:val="Grid Table 7 Colorful - Accent 6"/>
    <w:basedOn w:val="3"/>
    <w:qFormat/>
    <w:uiPriority w:val="99"/>
    <w:pPr>
      <w:spacing w:after="0" w:line="240" w:lineRule="auto"/>
    </w:pPr>
    <w:tblPr>
      <w:tblBorders>
        <w:bottom w:val="single" w:color="ADD394" w:themeColor="accent6" w:themeTint="90" w:sz="4" w:space="0"/>
        <w:right w:val="single" w:color="ADD394" w:themeColor="accent6" w:themeTint="90" w:sz="4" w:space="0"/>
        <w:insideH w:val="single" w:color="ADD394" w:themeColor="accent6" w:themeTint="90" w:sz="4" w:space="0"/>
        <w:insideV w:val="single" w:color="ADD394" w:themeColor="accent6" w:themeTint="90" w:sz="4" w:space="0"/>
      </w:tblBorders>
    </w:tblPr>
    <w:tblStylePr w:type="firstRow">
      <w:rPr>
        <w:rFonts w:ascii="Arial" w:hAnsi="Arial"/>
        <w:b/>
        <w:color w:val="416429" w:themeColor="accent6" w:themeShade="94"/>
        <w:sz w:val="22"/>
      </w:rPr>
      <w:tcPr>
        <w:tcBorders>
          <w:top w:val="nil"/>
          <w:left w:val="nil"/>
          <w:bottom w:val="single" w:color="ADD394" w:themeColor="accent6" w:themeTint="90" w:sz="4" w:space="0"/>
          <w:right w:val="nil"/>
        </w:tcBorders>
        <w:shd w:val="clear" w:color="FFFFFF" w:fill="FFFFFF"/>
      </w:tcPr>
    </w:tblStylePr>
    <w:tblStylePr w:type="lastRow">
      <w:rPr>
        <w:rFonts w:ascii="Arial" w:hAnsi="Arial"/>
        <w:b/>
        <w:color w:val="416429" w:themeColor="accent6" w:themeShade="94"/>
        <w:sz w:val="22"/>
      </w:rPr>
      <w:tcPr>
        <w:tcBorders>
          <w:top w:val="single" w:color="ADD394" w:themeColor="accent6" w:themeTint="90" w:sz="4" w:space="0"/>
          <w:left w:val="nil"/>
          <w:bottom w:val="nil"/>
          <w:right w:val="nil"/>
        </w:tcBorders>
        <w:shd w:val="clear" w:color="FFFFFF" w:fill="FFFFFF"/>
      </w:tcPr>
    </w:tblStylePr>
    <w:tblStylePr w:type="firstCol">
      <w:pPr>
        <w:jc w:val="right"/>
      </w:pPr>
      <w:rPr>
        <w:rFonts w:ascii="Arial" w:hAnsi="Arial"/>
        <w:i/>
        <w:color w:val="416429" w:themeColor="accent6" w:themeShade="94"/>
        <w:sz w:val="22"/>
      </w:rPr>
      <w:tcPr>
        <w:tcBorders>
          <w:top w:val="nil"/>
          <w:left w:val="nil"/>
          <w:bottom w:val="nil"/>
          <w:right w:val="single" w:color="ADD394" w:themeColor="accent6" w:themeTint="90" w:sz="4" w:space="0"/>
        </w:tcBorders>
        <w:shd w:val="clear" w:color="FFFFFF" w:fill="auto"/>
      </w:tcPr>
    </w:tblStylePr>
    <w:tblStylePr w:type="lastCol">
      <w:rPr>
        <w:rFonts w:ascii="Arial" w:hAnsi="Arial"/>
        <w:i/>
        <w:color w:val="416429" w:themeColor="accent6" w:themeShade="94"/>
        <w:sz w:val="22"/>
      </w:rPr>
      <w:tcPr>
        <w:tcBorders>
          <w:top w:val="nil"/>
          <w:left w:val="single" w:color="ADD394" w:themeColor="accent6" w:themeTint="90" w:sz="4" w:space="0"/>
          <w:bottom w:val="nil"/>
          <w:right w:val="nil"/>
        </w:tcBorders>
        <w:shd w:val="clear" w:color="FFFFFF" w:fill="auto"/>
      </w:tcPr>
    </w:tblStylePr>
    <w:tblStylePr w:type="band1Vert">
      <w:tcPr>
        <w:shd w:val="clear" w:color="E1EFD8" w:fill="E1EFD8"/>
      </w:tcPr>
    </w:tblStylePr>
    <w:tblStylePr w:type="band2Vert"/>
    <w:tblStylePr w:type="band1Horz">
      <w:rPr>
        <w:rFonts w:ascii="Arial" w:hAnsi="Arial"/>
        <w:color w:val="416429" w:themeColor="accent6" w:themeShade="94"/>
        <w:sz w:val="22"/>
      </w:rPr>
      <w:tcPr>
        <w:shd w:val="clear" w:color="E1EFD8" w:fill="E1EFD8"/>
      </w:tcPr>
    </w:tblStylePr>
    <w:tblStylePr w:type="band2Horz">
      <w:rPr>
        <w:rFonts w:ascii="Arial" w:hAnsi="Arial"/>
        <w:color w:val="416429" w:themeColor="accent6" w:themeShade="94"/>
        <w:sz w:val="22"/>
      </w:rPr>
    </w:tblStylePr>
    <w:tblStylePr w:type="neCell"/>
    <w:tblStylePr w:type="nwCell"/>
    <w:tblStylePr w:type="seCell"/>
    <w:tblStylePr w:type="swCell"/>
  </w:style>
  <w:style w:type="table" w:customStyle="1" w:styleId="92">
    <w:name w:val="List Table 1 Light"/>
    <w:basedOn w:val="3"/>
    <w:qFormat/>
    <w:uiPriority w:val="99"/>
    <w:pPr>
      <w:spacing w:after="0" w:line="240" w:lineRule="auto"/>
    </w:pPr>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fill="BEBEBE"/>
      </w:tcPr>
    </w:tblStylePr>
    <w:tblStylePr w:type="band2Vert"/>
    <w:tblStylePr w:type="band1Horz">
      <w:tcPr>
        <w:shd w:val="clear" w:color="BEBEBE" w:fill="BEBEBE"/>
      </w:tcPr>
    </w:tblStylePr>
    <w:tblStylePr w:type="band2Horz"/>
    <w:tblStylePr w:type="neCell"/>
    <w:tblStylePr w:type="nwCell"/>
    <w:tblStylePr w:type="seCell"/>
    <w:tblStylePr w:type="swCell"/>
  </w:style>
  <w:style w:type="table" w:customStyle="1" w:styleId="93">
    <w:name w:val="List Table 1 Light - Accent 1"/>
    <w:basedOn w:val="3"/>
    <w:qFormat/>
    <w:uiPriority w:val="99"/>
    <w:pPr>
      <w:spacing w:after="0" w:line="240" w:lineRule="auto"/>
    </w:pPr>
    <w:tblStylePr w:type="firstRow">
      <w:rPr>
        <w:b/>
        <w:color w:val="404040"/>
      </w:rPr>
      <w:tcPr>
        <w:tcBorders>
          <w:top w:val="nil"/>
          <w:left w:val="nil"/>
          <w:bottom w:val="single" w:color="5B9BD5" w:themeColor="accent1" w:sz="4" w:space="0"/>
          <w:right w:val="nil"/>
        </w:tcBorders>
      </w:tcPr>
    </w:tblStylePr>
    <w:tblStylePr w:type="lastRow">
      <w:rPr>
        <w:b/>
        <w:color w:val="404040"/>
      </w:rPr>
      <w:tcPr>
        <w:tcBorders>
          <w:top w:val="single" w:color="5B9BD5"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5E5F4" w:fill="D5E5F4"/>
      </w:tcPr>
    </w:tblStylePr>
    <w:tblStylePr w:type="band2Vert"/>
    <w:tblStylePr w:type="band1Horz">
      <w:tcPr>
        <w:shd w:val="clear" w:color="D5E5F4" w:fill="D5E5F4"/>
      </w:tcPr>
    </w:tblStylePr>
    <w:tblStylePr w:type="band2Horz"/>
    <w:tblStylePr w:type="neCell"/>
    <w:tblStylePr w:type="nwCell"/>
    <w:tblStylePr w:type="seCell"/>
    <w:tblStylePr w:type="swCell"/>
  </w:style>
  <w:style w:type="table" w:customStyle="1" w:styleId="94">
    <w:name w:val="List Table 1 Light - Accent 2"/>
    <w:basedOn w:val="3"/>
    <w:qFormat/>
    <w:uiPriority w:val="99"/>
    <w:pPr>
      <w:spacing w:after="0" w:line="240" w:lineRule="auto"/>
    </w:pPr>
    <w:tblStylePr w:type="firstRow">
      <w:rPr>
        <w:b/>
        <w:color w:val="404040"/>
      </w:rPr>
      <w:tcPr>
        <w:tcBorders>
          <w:top w:val="nil"/>
          <w:left w:val="nil"/>
          <w:bottom w:val="single" w:color="ED7D31" w:themeColor="accent2" w:sz="4" w:space="0"/>
          <w:right w:val="nil"/>
        </w:tcBorders>
      </w:tcPr>
    </w:tblStylePr>
    <w:tblStylePr w:type="lastRow">
      <w:rPr>
        <w:b/>
        <w:color w:val="404040"/>
      </w:rPr>
      <w:tcPr>
        <w:tcBorders>
          <w:top w:val="single" w:color="ED7D31"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ADECB" w:fill="FADECB"/>
      </w:tcPr>
    </w:tblStylePr>
    <w:tblStylePr w:type="band2Vert"/>
    <w:tblStylePr w:type="band1Horz">
      <w:tcPr>
        <w:shd w:val="clear" w:color="FADECB" w:fill="FADECB"/>
      </w:tcPr>
    </w:tblStylePr>
    <w:tblStylePr w:type="band2Horz"/>
    <w:tblStylePr w:type="neCell"/>
    <w:tblStylePr w:type="nwCell"/>
    <w:tblStylePr w:type="seCell"/>
    <w:tblStylePr w:type="swCell"/>
  </w:style>
  <w:style w:type="table" w:customStyle="1" w:styleId="95">
    <w:name w:val="List Table 1 Light - Accent 3"/>
    <w:basedOn w:val="3"/>
    <w:qFormat/>
    <w:uiPriority w:val="99"/>
    <w:pPr>
      <w:spacing w:after="0" w:line="240" w:lineRule="auto"/>
    </w:pPr>
    <w:tblStylePr w:type="firstRow">
      <w:rPr>
        <w:b/>
        <w:color w:val="404040"/>
      </w:rPr>
      <w:tcPr>
        <w:tcBorders>
          <w:top w:val="nil"/>
          <w:left w:val="nil"/>
          <w:bottom w:val="single" w:color="A5A5A5" w:themeColor="accent3" w:sz="4" w:space="0"/>
          <w:right w:val="nil"/>
        </w:tcBorders>
      </w:tcPr>
    </w:tblStylePr>
    <w:tblStylePr w:type="lastRow">
      <w:rPr>
        <w:b/>
        <w:color w:val="404040"/>
      </w:rPr>
      <w:tcPr>
        <w:tcBorders>
          <w:top w:val="single" w:color="A5A5A5"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E8E8E8" w:fill="E8E8E8"/>
      </w:tcPr>
    </w:tblStylePr>
    <w:tblStylePr w:type="band2Vert"/>
    <w:tblStylePr w:type="band1Horz">
      <w:tcPr>
        <w:shd w:val="clear" w:color="E8E8E8" w:fill="E8E8E8"/>
      </w:tcPr>
    </w:tblStylePr>
    <w:tblStylePr w:type="band2Horz"/>
    <w:tblStylePr w:type="neCell"/>
    <w:tblStylePr w:type="nwCell"/>
    <w:tblStylePr w:type="seCell"/>
    <w:tblStylePr w:type="swCell"/>
  </w:style>
  <w:style w:type="table" w:customStyle="1" w:styleId="96">
    <w:name w:val="List Table 1 Light - Accent 4"/>
    <w:basedOn w:val="3"/>
    <w:qFormat/>
    <w:uiPriority w:val="99"/>
    <w:pPr>
      <w:spacing w:after="0" w:line="240" w:lineRule="auto"/>
    </w:pPr>
    <w:tblStylePr w:type="firstRow">
      <w:rPr>
        <w:b/>
        <w:color w:val="404040"/>
      </w:rPr>
      <w:tcPr>
        <w:tcBorders>
          <w:top w:val="nil"/>
          <w:left w:val="nil"/>
          <w:bottom w:val="single" w:color="FFC000" w:themeColor="accent4" w:sz="4" w:space="0"/>
          <w:right w:val="nil"/>
        </w:tcBorders>
      </w:tcPr>
    </w:tblStylePr>
    <w:tblStylePr w:type="lastRow">
      <w:rPr>
        <w:b/>
        <w:color w:val="404040"/>
      </w:rPr>
      <w:tcPr>
        <w:tcBorders>
          <w:top w:val="single" w:color="FFC000"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FEFBE" w:fill="FFEFBE"/>
      </w:tcPr>
    </w:tblStylePr>
    <w:tblStylePr w:type="band2Vert"/>
    <w:tblStylePr w:type="band1Horz">
      <w:tcPr>
        <w:shd w:val="clear" w:color="FFEFBE" w:fill="FFEFBE"/>
      </w:tcPr>
    </w:tblStylePr>
    <w:tblStylePr w:type="band2Horz"/>
    <w:tblStylePr w:type="neCell"/>
    <w:tblStylePr w:type="nwCell"/>
    <w:tblStylePr w:type="seCell"/>
    <w:tblStylePr w:type="swCell"/>
  </w:style>
  <w:style w:type="table" w:customStyle="1" w:styleId="97">
    <w:name w:val="List Table 1 Light - Accent 5"/>
    <w:basedOn w:val="3"/>
    <w:qFormat/>
    <w:uiPriority w:val="99"/>
    <w:pPr>
      <w:spacing w:after="0" w:line="240" w:lineRule="auto"/>
    </w:pPr>
    <w:tblStylePr w:type="firstRow">
      <w:rPr>
        <w:b/>
        <w:color w:val="404040"/>
      </w:rPr>
      <w:tcPr>
        <w:tcBorders>
          <w:top w:val="nil"/>
          <w:left w:val="nil"/>
          <w:bottom w:val="single" w:color="4472C4" w:themeColor="accent5" w:sz="4" w:space="0"/>
          <w:right w:val="nil"/>
        </w:tcBorders>
      </w:tcPr>
    </w:tblStylePr>
    <w:tblStylePr w:type="lastRow">
      <w:rPr>
        <w:b/>
        <w:color w:val="404040"/>
      </w:rPr>
      <w:tcPr>
        <w:tcBorders>
          <w:top w:val="single" w:color="4472C4"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0DBF0" w:fill="D0DBF0"/>
      </w:tcPr>
    </w:tblStylePr>
    <w:tblStylePr w:type="band2Vert"/>
    <w:tblStylePr w:type="band1Horz">
      <w:tcPr>
        <w:shd w:val="clear" w:color="D0DBF0" w:fill="D0DBF0"/>
      </w:tcPr>
    </w:tblStylePr>
    <w:tblStylePr w:type="band2Horz"/>
    <w:tblStylePr w:type="neCell"/>
    <w:tblStylePr w:type="nwCell"/>
    <w:tblStylePr w:type="seCell"/>
    <w:tblStylePr w:type="swCell"/>
  </w:style>
  <w:style w:type="table" w:customStyle="1" w:styleId="98">
    <w:name w:val="List Table 1 Light - Accent 6"/>
    <w:basedOn w:val="3"/>
    <w:qFormat/>
    <w:uiPriority w:val="99"/>
    <w:pPr>
      <w:spacing w:after="0" w:line="240" w:lineRule="auto"/>
    </w:pPr>
    <w:tblStylePr w:type="firstRow">
      <w:rPr>
        <w:b/>
        <w:color w:val="404040"/>
      </w:rPr>
      <w:tcPr>
        <w:tcBorders>
          <w:top w:val="nil"/>
          <w:left w:val="nil"/>
          <w:bottom w:val="single" w:color="70AD47" w:themeColor="accent6" w:sz="4" w:space="0"/>
          <w:right w:val="nil"/>
        </w:tcBorders>
      </w:tcPr>
    </w:tblStylePr>
    <w:tblStylePr w:type="lastRow">
      <w:rPr>
        <w:b/>
        <w:color w:val="404040"/>
      </w:rPr>
      <w:tcPr>
        <w:tcBorders>
          <w:top w:val="single" w:color="70AD47"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AEBCF" w:fill="DAEBCF"/>
      </w:tcPr>
    </w:tblStylePr>
    <w:tblStylePr w:type="band2Vert"/>
    <w:tblStylePr w:type="band1Horz">
      <w:tcPr>
        <w:shd w:val="clear" w:color="DAEBCF" w:fill="DAEBCF"/>
      </w:tcPr>
    </w:tblStylePr>
    <w:tblStylePr w:type="band2Horz"/>
    <w:tblStylePr w:type="neCell"/>
    <w:tblStylePr w:type="nwCell"/>
    <w:tblStylePr w:type="seCell"/>
    <w:tblStylePr w:type="swCell"/>
  </w:style>
  <w:style w:type="table" w:customStyle="1" w:styleId="99">
    <w:name w:val="List Table 2"/>
    <w:basedOn w:val="3"/>
    <w:qFormat/>
    <w:uiPriority w:val="99"/>
    <w:pPr>
      <w:spacing w:after="0" w:line="240" w:lineRule="auto"/>
    </w:pPr>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fill="BEBEBE"/>
      </w:tcPr>
    </w:tblStylePr>
    <w:tblStylePr w:type="band2Vert"/>
    <w:tblStylePr w:type="band1Horz">
      <w:rPr>
        <w:rFonts w:ascii="Arial" w:hAnsi="Arial"/>
        <w:color w:val="404040"/>
        <w:sz w:val="22"/>
      </w:rPr>
      <w:tcPr>
        <w:shd w:val="clear" w:color="BEBEBE" w:fill="BEBEBE"/>
      </w:tcPr>
    </w:tblStylePr>
    <w:tblStylePr w:type="band2Horz"/>
    <w:tblStylePr w:type="neCell"/>
    <w:tblStylePr w:type="nwCell"/>
    <w:tblStylePr w:type="seCell"/>
    <w:tblStylePr w:type="swCell"/>
  </w:style>
  <w:style w:type="table" w:customStyle="1" w:styleId="100">
    <w:name w:val="List Table 2 - Accent 1"/>
    <w:basedOn w:val="3"/>
    <w:qFormat/>
    <w:uiPriority w:val="99"/>
    <w:pPr>
      <w:spacing w:after="0" w:line="240" w:lineRule="auto"/>
    </w:pPr>
    <w:tblPr>
      <w:tblBorders>
        <w:top w:val="single" w:color="A2C6E7" w:themeColor="accent1" w:themeTint="90" w:sz="4" w:space="0"/>
        <w:bottom w:val="single" w:color="A2C6E7" w:themeColor="accent1" w:themeTint="90" w:sz="4" w:space="0"/>
        <w:insideH w:val="single" w:color="A2C6E7" w:themeColor="accent1" w:themeTint="90" w:sz="4" w:space="0"/>
      </w:tblBorders>
    </w:tblPr>
    <w:tblStylePr w:type="firstRow">
      <w:rPr>
        <w:rFonts w:ascii="Arial" w:hAnsi="Arial"/>
        <w:b/>
        <w:color w:val="404040"/>
        <w:sz w:val="22"/>
      </w:rPr>
      <w:tcPr>
        <w:tcBorders>
          <w:top w:val="single" w:color="A2C6E7" w:themeColor="accent1" w:themeTint="90" w:sz="4" w:space="0"/>
          <w:left w:val="nil"/>
          <w:bottom w:val="single" w:color="A2C6E7" w:themeColor="accent1" w:themeTint="90" w:sz="4" w:space="0"/>
          <w:right w:val="nil"/>
        </w:tcBorders>
      </w:tcPr>
    </w:tblStylePr>
    <w:tblStylePr w:type="lastRow">
      <w:rPr>
        <w:rFonts w:ascii="Arial" w:hAnsi="Arial"/>
        <w:b/>
        <w:color w:val="404040"/>
        <w:sz w:val="22"/>
      </w:rPr>
      <w:tcPr>
        <w:tcBorders>
          <w:top w:val="single" w:color="A2C6E7" w:themeColor="accent1" w:themeTint="90" w:sz="4" w:space="0"/>
          <w:left w:val="nil"/>
          <w:bottom w:val="single" w:color="A2C6E7"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5E5F4" w:fill="D5E5F4"/>
      </w:tcPr>
    </w:tblStylePr>
    <w:tblStylePr w:type="band2Vert"/>
    <w:tblStylePr w:type="band1Horz">
      <w:rPr>
        <w:rFonts w:ascii="Arial" w:hAnsi="Arial"/>
        <w:color w:val="404040"/>
        <w:sz w:val="22"/>
      </w:rPr>
      <w:tcPr>
        <w:shd w:val="clear" w:color="D5E5F4" w:fill="D5E5F4"/>
      </w:tcPr>
    </w:tblStylePr>
    <w:tblStylePr w:type="band2Horz"/>
    <w:tblStylePr w:type="neCell"/>
    <w:tblStylePr w:type="nwCell"/>
    <w:tblStylePr w:type="seCell"/>
    <w:tblStylePr w:type="swCell"/>
  </w:style>
  <w:style w:type="table" w:customStyle="1" w:styleId="101">
    <w:name w:val="List Table 2 - Accent 2"/>
    <w:basedOn w:val="3"/>
    <w:qFormat/>
    <w:uiPriority w:val="99"/>
    <w:pPr>
      <w:spacing w:after="0" w:line="240" w:lineRule="auto"/>
    </w:pPr>
    <w:tblPr>
      <w:tblBorders>
        <w:top w:val="single" w:color="F4B58A" w:themeColor="accent2" w:themeTint="90" w:sz="4" w:space="0"/>
        <w:bottom w:val="single" w:color="F4B58A" w:themeColor="accent2" w:themeTint="90" w:sz="4" w:space="0"/>
        <w:insideH w:val="single" w:color="F4B58A" w:themeColor="accent2" w:themeTint="90" w:sz="4" w:space="0"/>
      </w:tblBorders>
    </w:tblPr>
    <w:tblStylePr w:type="firstRow">
      <w:rPr>
        <w:rFonts w:ascii="Arial" w:hAnsi="Arial"/>
        <w:b/>
        <w:color w:val="404040"/>
        <w:sz w:val="22"/>
      </w:rPr>
      <w:tcPr>
        <w:tcBorders>
          <w:top w:val="single" w:color="F4B58A" w:themeColor="accent2" w:themeTint="90" w:sz="4" w:space="0"/>
          <w:left w:val="nil"/>
          <w:bottom w:val="single" w:color="F4B58A" w:themeColor="accent2" w:themeTint="90" w:sz="4" w:space="0"/>
          <w:right w:val="nil"/>
        </w:tcBorders>
      </w:tcPr>
    </w:tblStylePr>
    <w:tblStylePr w:type="lastRow">
      <w:rPr>
        <w:rFonts w:ascii="Arial" w:hAnsi="Arial"/>
        <w:b/>
        <w:color w:val="404040"/>
        <w:sz w:val="22"/>
      </w:rPr>
      <w:tcPr>
        <w:tcBorders>
          <w:top w:val="single" w:color="F4B58A" w:themeColor="accent2" w:themeTint="90" w:sz="4" w:space="0"/>
          <w:left w:val="nil"/>
          <w:bottom w:val="single" w:color="F4B58A"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ADECB" w:fill="FADECB"/>
      </w:tcPr>
    </w:tblStylePr>
    <w:tblStylePr w:type="band2Vert"/>
    <w:tblStylePr w:type="band1Horz">
      <w:rPr>
        <w:rFonts w:ascii="Arial" w:hAnsi="Arial"/>
        <w:color w:val="404040"/>
        <w:sz w:val="22"/>
      </w:rPr>
      <w:tcPr>
        <w:shd w:val="clear" w:color="FADECB" w:fill="FADECB"/>
      </w:tcPr>
    </w:tblStylePr>
    <w:tblStylePr w:type="band2Horz"/>
    <w:tblStylePr w:type="neCell"/>
    <w:tblStylePr w:type="nwCell"/>
    <w:tblStylePr w:type="seCell"/>
    <w:tblStylePr w:type="swCell"/>
  </w:style>
  <w:style w:type="table" w:customStyle="1" w:styleId="102">
    <w:name w:val="List Table 2 - Accent 3"/>
    <w:basedOn w:val="3"/>
    <w:qFormat/>
    <w:uiPriority w:val="99"/>
    <w:pPr>
      <w:spacing w:after="0" w:line="240" w:lineRule="auto"/>
    </w:pPr>
    <w:tblPr>
      <w:tblBorders>
        <w:top w:val="single" w:color="CCCCCC" w:themeColor="accent3" w:themeTint="90" w:sz="4" w:space="0"/>
        <w:bottom w:val="single" w:color="CCCCCC" w:themeColor="accent3" w:themeTint="90" w:sz="4" w:space="0"/>
        <w:insideH w:val="single" w:color="CCCCCC" w:themeColor="accent3" w:themeTint="90" w:sz="4" w:space="0"/>
      </w:tblBorders>
    </w:tblPr>
    <w:tblStylePr w:type="firstRow">
      <w:rPr>
        <w:rFonts w:ascii="Arial" w:hAnsi="Arial"/>
        <w:b/>
        <w:color w:val="404040"/>
        <w:sz w:val="22"/>
      </w:rPr>
      <w:tcPr>
        <w:tcBorders>
          <w:top w:val="single" w:color="CCCCCC" w:themeColor="accent3" w:themeTint="90" w:sz="4" w:space="0"/>
          <w:left w:val="nil"/>
          <w:bottom w:val="single" w:color="CCCCCC" w:themeColor="accent3" w:themeTint="90" w:sz="4" w:space="0"/>
          <w:right w:val="nil"/>
        </w:tcBorders>
      </w:tcPr>
    </w:tblStylePr>
    <w:tblStylePr w:type="lastRow">
      <w:rPr>
        <w:rFonts w:ascii="Arial" w:hAnsi="Arial"/>
        <w:b/>
        <w:color w:val="404040"/>
        <w:sz w:val="22"/>
      </w:rPr>
      <w:tcPr>
        <w:tcBorders>
          <w:top w:val="single" w:color="CCCCCC" w:themeColor="accent3" w:themeTint="90" w:sz="4" w:space="0"/>
          <w:left w:val="nil"/>
          <w:bottom w:val="single" w:color="CCCCCC"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E8E8E8" w:fill="E8E8E8"/>
      </w:tcPr>
    </w:tblStylePr>
    <w:tblStylePr w:type="band2Vert"/>
    <w:tblStylePr w:type="band1Horz">
      <w:rPr>
        <w:rFonts w:ascii="Arial" w:hAnsi="Arial"/>
        <w:color w:val="404040"/>
        <w:sz w:val="22"/>
      </w:rPr>
      <w:tcPr>
        <w:shd w:val="clear" w:color="E8E8E8" w:fill="E8E8E8"/>
      </w:tcPr>
    </w:tblStylePr>
    <w:tblStylePr w:type="band2Horz"/>
    <w:tblStylePr w:type="neCell"/>
    <w:tblStylePr w:type="nwCell"/>
    <w:tblStylePr w:type="seCell"/>
    <w:tblStylePr w:type="swCell"/>
  </w:style>
  <w:style w:type="table" w:customStyle="1" w:styleId="103">
    <w:name w:val="List Table 2 - Accent 4"/>
    <w:basedOn w:val="3"/>
    <w:qFormat/>
    <w:uiPriority w:val="99"/>
    <w:pPr>
      <w:spacing w:after="0" w:line="240" w:lineRule="auto"/>
    </w:pPr>
    <w:tblPr>
      <w:tblBorders>
        <w:top w:val="single" w:color="FFDB6E" w:themeColor="accent4" w:themeTint="90" w:sz="4" w:space="0"/>
        <w:bottom w:val="single" w:color="FFDB6E" w:themeColor="accent4" w:themeTint="90" w:sz="4" w:space="0"/>
        <w:insideH w:val="single" w:color="FFDB6E" w:themeColor="accent4" w:themeTint="90" w:sz="4" w:space="0"/>
      </w:tblBorders>
    </w:tblPr>
    <w:tblStylePr w:type="firstRow">
      <w:rPr>
        <w:rFonts w:ascii="Arial" w:hAnsi="Arial"/>
        <w:b/>
        <w:color w:val="404040"/>
        <w:sz w:val="22"/>
      </w:rPr>
      <w:tcPr>
        <w:tcBorders>
          <w:top w:val="single" w:color="FFDB6E" w:themeColor="accent4" w:themeTint="90" w:sz="4" w:space="0"/>
          <w:left w:val="nil"/>
          <w:bottom w:val="single" w:color="FFDB6E" w:themeColor="accent4" w:themeTint="90" w:sz="4" w:space="0"/>
          <w:right w:val="nil"/>
        </w:tcBorders>
      </w:tcPr>
    </w:tblStylePr>
    <w:tblStylePr w:type="lastRow">
      <w:rPr>
        <w:rFonts w:ascii="Arial" w:hAnsi="Arial"/>
        <w:b/>
        <w:color w:val="404040"/>
        <w:sz w:val="22"/>
      </w:rPr>
      <w:tcPr>
        <w:tcBorders>
          <w:top w:val="single" w:color="FFDB6E" w:themeColor="accent4" w:themeTint="90" w:sz="4" w:space="0"/>
          <w:left w:val="nil"/>
          <w:bottom w:val="single" w:color="FFDB6E"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FEFBE" w:fill="FFEFBE"/>
      </w:tcPr>
    </w:tblStylePr>
    <w:tblStylePr w:type="band2Vert"/>
    <w:tblStylePr w:type="band1Horz">
      <w:rPr>
        <w:rFonts w:ascii="Arial" w:hAnsi="Arial"/>
        <w:color w:val="404040"/>
        <w:sz w:val="22"/>
      </w:rPr>
      <w:tcPr>
        <w:shd w:val="clear" w:color="FFEFBE" w:fill="FFEFBE"/>
      </w:tcPr>
    </w:tblStylePr>
    <w:tblStylePr w:type="band2Horz"/>
    <w:tblStylePr w:type="neCell"/>
    <w:tblStylePr w:type="nwCell"/>
    <w:tblStylePr w:type="seCell"/>
    <w:tblStylePr w:type="swCell"/>
  </w:style>
  <w:style w:type="table" w:customStyle="1" w:styleId="104">
    <w:name w:val="List Table 2 - Accent 5"/>
    <w:basedOn w:val="3"/>
    <w:qFormat/>
    <w:uiPriority w:val="99"/>
    <w:pPr>
      <w:spacing w:after="0" w:line="240" w:lineRule="auto"/>
    </w:pPr>
    <w:tblPr>
      <w:tblBorders>
        <w:top w:val="single" w:color="95AFDD" w:themeColor="accent5" w:themeTint="90" w:sz="4" w:space="0"/>
        <w:bottom w:val="single" w:color="95AFDD" w:themeColor="accent5" w:themeTint="90" w:sz="4" w:space="0"/>
        <w:insideH w:val="single" w:color="95AFDD" w:themeColor="accent5" w:themeTint="90" w:sz="4" w:space="0"/>
      </w:tblBorders>
    </w:tblPr>
    <w:tblStylePr w:type="firstRow">
      <w:rPr>
        <w:rFonts w:ascii="Arial" w:hAnsi="Arial"/>
        <w:b/>
        <w:color w:val="404040"/>
        <w:sz w:val="22"/>
      </w:rPr>
      <w:tcPr>
        <w:tcBorders>
          <w:top w:val="single" w:color="95AFDD" w:themeColor="accent5" w:themeTint="90" w:sz="4" w:space="0"/>
          <w:left w:val="nil"/>
          <w:bottom w:val="single" w:color="95AFDD" w:themeColor="accent5" w:themeTint="90" w:sz="4" w:space="0"/>
          <w:right w:val="nil"/>
        </w:tcBorders>
      </w:tcPr>
    </w:tblStylePr>
    <w:tblStylePr w:type="lastRow">
      <w:rPr>
        <w:rFonts w:ascii="Arial" w:hAnsi="Arial"/>
        <w:b/>
        <w:color w:val="404040"/>
        <w:sz w:val="22"/>
      </w:rPr>
      <w:tcPr>
        <w:tcBorders>
          <w:top w:val="single" w:color="95AFDD" w:themeColor="accent5" w:themeTint="90" w:sz="4" w:space="0"/>
          <w:left w:val="nil"/>
          <w:bottom w:val="single" w:color="95AFDD"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0DBF0" w:fill="D0DBF0"/>
      </w:tcPr>
    </w:tblStylePr>
    <w:tblStylePr w:type="band2Vert"/>
    <w:tblStylePr w:type="band1Horz">
      <w:rPr>
        <w:rFonts w:ascii="Arial" w:hAnsi="Arial"/>
        <w:color w:val="404040"/>
        <w:sz w:val="22"/>
      </w:rPr>
      <w:tcPr>
        <w:shd w:val="clear" w:color="D0DBF0" w:fill="D0DBF0"/>
      </w:tcPr>
    </w:tblStylePr>
    <w:tblStylePr w:type="band2Horz"/>
    <w:tblStylePr w:type="neCell"/>
    <w:tblStylePr w:type="nwCell"/>
    <w:tblStylePr w:type="seCell"/>
    <w:tblStylePr w:type="swCell"/>
  </w:style>
  <w:style w:type="table" w:customStyle="1" w:styleId="105">
    <w:name w:val="List Table 2 - Accent 6"/>
    <w:basedOn w:val="3"/>
    <w:qFormat/>
    <w:uiPriority w:val="99"/>
    <w:pPr>
      <w:spacing w:after="0" w:line="240" w:lineRule="auto"/>
    </w:pPr>
    <w:tblPr>
      <w:tblBorders>
        <w:top w:val="single" w:color="ADD394" w:themeColor="accent6" w:themeTint="90" w:sz="4" w:space="0"/>
        <w:bottom w:val="single" w:color="ADD394" w:themeColor="accent6" w:themeTint="90" w:sz="4" w:space="0"/>
        <w:insideH w:val="single" w:color="ADD394" w:themeColor="accent6" w:themeTint="90" w:sz="4" w:space="0"/>
      </w:tblBorders>
    </w:tblPr>
    <w:tblStylePr w:type="firstRow">
      <w:rPr>
        <w:rFonts w:ascii="Arial" w:hAnsi="Arial"/>
        <w:b/>
        <w:color w:val="404040"/>
        <w:sz w:val="22"/>
      </w:rPr>
      <w:tcPr>
        <w:tcBorders>
          <w:top w:val="single" w:color="ADD394" w:themeColor="accent6" w:themeTint="90" w:sz="4" w:space="0"/>
          <w:left w:val="nil"/>
          <w:bottom w:val="single" w:color="ADD394" w:themeColor="accent6" w:themeTint="90" w:sz="4" w:space="0"/>
          <w:right w:val="nil"/>
        </w:tcBorders>
      </w:tcPr>
    </w:tblStylePr>
    <w:tblStylePr w:type="lastRow">
      <w:rPr>
        <w:rFonts w:ascii="Arial" w:hAnsi="Arial"/>
        <w:b/>
        <w:color w:val="404040"/>
        <w:sz w:val="22"/>
      </w:rPr>
      <w:tcPr>
        <w:tcBorders>
          <w:top w:val="single" w:color="ADD394" w:themeColor="accent6" w:themeTint="90" w:sz="4" w:space="0"/>
          <w:left w:val="nil"/>
          <w:bottom w:val="single" w:color="ADD394"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AEBCF" w:fill="DAEBCF"/>
      </w:tcPr>
    </w:tblStylePr>
    <w:tblStylePr w:type="band2Vert"/>
    <w:tblStylePr w:type="band1Horz">
      <w:rPr>
        <w:rFonts w:ascii="Arial" w:hAnsi="Arial"/>
        <w:color w:val="404040"/>
        <w:sz w:val="22"/>
      </w:rPr>
      <w:tcPr>
        <w:shd w:val="clear" w:color="DAEBCF" w:fill="DAEBCF"/>
      </w:tcPr>
    </w:tblStylePr>
    <w:tblStylePr w:type="band2Horz"/>
    <w:tblStylePr w:type="neCell"/>
    <w:tblStylePr w:type="nwCell"/>
    <w:tblStylePr w:type="seCell"/>
    <w:tblStylePr w:type="swCell"/>
  </w:style>
  <w:style w:type="table" w:customStyle="1" w:styleId="106">
    <w:name w:val="List Table 3"/>
    <w:basedOn w:val="3"/>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2Vert"/>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2Horz"/>
    <w:tblStylePr w:type="neCell"/>
    <w:tblStylePr w:type="nwCell"/>
    <w:tblStylePr w:type="seCell"/>
    <w:tblStylePr w:type="swCell"/>
  </w:style>
  <w:style w:type="table" w:customStyle="1" w:styleId="107">
    <w:name w:val="List Table 3 - Accent 1"/>
    <w:basedOn w:val="3"/>
    <w:qFormat/>
    <w:uiPriority w:val="99"/>
    <w:pPr>
      <w:spacing w:after="0" w:line="240" w:lineRule="auto"/>
    </w:pPr>
    <w:tblPr>
      <w:tblBorders>
        <w:top w:val="single" w:color="5B9BD5" w:themeColor="accent1" w:sz="4" w:space="0"/>
        <w:left w:val="single" w:color="5B9BD5" w:themeColor="accent1" w:sz="4" w:space="0"/>
        <w:bottom w:val="single" w:color="5B9BD5" w:themeColor="accent1" w:sz="4" w:space="0"/>
        <w:right w:val="single" w:color="5B9BD5" w:themeColor="accent1" w:sz="4" w:space="0"/>
      </w:tblBorders>
    </w:tblPr>
    <w:tblStylePr w:type="firstRow">
      <w:rPr>
        <w:rFonts w:ascii="Arial" w:hAnsi="Arial"/>
        <w:b/>
        <w:color w:val="FFFFFF"/>
        <w:sz w:val="22"/>
      </w:r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5B9BD5" w:themeColor="accent1" w:sz="4" w:space="0"/>
          <w:right w:val="single" w:color="5B9BD5" w:themeColor="accent1" w:sz="4" w:space="0"/>
        </w:tcBorders>
      </w:tcPr>
    </w:tblStylePr>
    <w:tblStylePr w:type="band2Vert"/>
    <w:tblStylePr w:type="band1Horz">
      <w:rPr>
        <w:rFonts w:ascii="Arial" w:hAnsi="Arial"/>
        <w:color w:val="404040"/>
        <w:sz w:val="22"/>
      </w:rPr>
      <w:tcPr>
        <w:tcBorders>
          <w:top w:val="single" w:color="5B9BD5" w:themeColor="accent1" w:sz="4" w:space="0"/>
          <w:bottom w:val="single" w:color="5B9BD5" w:themeColor="accent1" w:sz="4" w:space="0"/>
        </w:tcBorders>
      </w:tcPr>
    </w:tblStylePr>
    <w:tblStylePr w:type="band2Horz"/>
    <w:tblStylePr w:type="neCell"/>
    <w:tblStylePr w:type="nwCell"/>
    <w:tblStylePr w:type="seCell"/>
    <w:tblStylePr w:type="swCell"/>
  </w:style>
  <w:style w:type="table" w:customStyle="1" w:styleId="108">
    <w:name w:val="List Table 3 - Accent 2"/>
    <w:basedOn w:val="3"/>
    <w:qFormat/>
    <w:uiPriority w:val="99"/>
    <w:pPr>
      <w:spacing w:after="0" w:line="240" w:lineRule="auto"/>
    </w:pPr>
    <w:tblPr>
      <w:tblBorders>
        <w:top w:val="single" w:color="F4B285" w:themeColor="accent2" w:themeTint="97" w:sz="4" w:space="0"/>
        <w:left w:val="single" w:color="F4B285" w:themeColor="accent2" w:themeTint="97" w:sz="4" w:space="0"/>
        <w:bottom w:val="single" w:color="F4B285" w:themeColor="accent2" w:themeTint="97" w:sz="4" w:space="0"/>
        <w:right w:val="single" w:color="F4B285" w:themeColor="accent2" w:themeTint="97" w:sz="4" w:space="0"/>
      </w:tblBorders>
    </w:tblPr>
    <w:tblStylePr w:type="firstRow">
      <w:rPr>
        <w:rFonts w:ascii="Arial" w:hAnsi="Arial"/>
        <w:b/>
        <w:color w:val="FFFFFF"/>
        <w:sz w:val="22"/>
      </w:rPr>
      <w:tcPr>
        <w:shd w:val="clear" w:color="F4B285" w:fill="F4B28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4B285" w:themeColor="accent2" w:themeTint="97" w:sz="4" w:space="0"/>
          <w:right w:val="single" w:color="F4B285" w:themeColor="accent2" w:themeTint="97" w:sz="4" w:space="0"/>
        </w:tcBorders>
      </w:tcPr>
    </w:tblStylePr>
    <w:tblStylePr w:type="band2Vert"/>
    <w:tblStylePr w:type="band1Horz">
      <w:rPr>
        <w:rFonts w:ascii="Arial" w:hAnsi="Arial"/>
        <w:color w:val="404040"/>
        <w:sz w:val="22"/>
      </w:rPr>
      <w:tcPr>
        <w:tcBorders>
          <w:top w:val="single" w:color="F4B285" w:themeColor="accent2" w:themeTint="97" w:sz="4" w:space="0"/>
          <w:bottom w:val="single" w:color="F4B285" w:themeColor="accent2" w:themeTint="97" w:sz="4" w:space="0"/>
        </w:tcBorders>
      </w:tcPr>
    </w:tblStylePr>
    <w:tblStylePr w:type="band2Horz"/>
    <w:tblStylePr w:type="neCell"/>
    <w:tblStylePr w:type="nwCell"/>
    <w:tblStylePr w:type="seCell"/>
    <w:tblStylePr w:type="swCell"/>
  </w:style>
  <w:style w:type="table" w:customStyle="1" w:styleId="109">
    <w:name w:val="List Table 3 - Accent 3"/>
    <w:basedOn w:val="3"/>
    <w:qFormat/>
    <w:uiPriority w:val="99"/>
    <w:pPr>
      <w:spacing w:after="0" w:line="240" w:lineRule="auto"/>
    </w:pPr>
    <w:tblPr>
      <w:tblBorders>
        <w:top w:val="single" w:color="C9C9C9" w:themeColor="accent3" w:themeTint="98" w:sz="4" w:space="0"/>
        <w:left w:val="single" w:color="C9C9C9" w:themeColor="accent3" w:themeTint="98" w:sz="4" w:space="0"/>
        <w:bottom w:val="single" w:color="C9C9C9" w:themeColor="accent3" w:themeTint="98" w:sz="4" w:space="0"/>
        <w:right w:val="single" w:color="C9C9C9" w:themeColor="accent3" w:themeTint="98" w:sz="4" w:space="0"/>
      </w:tblBorders>
    </w:tblPr>
    <w:tblStylePr w:type="firstRow">
      <w:rPr>
        <w:rFonts w:ascii="Arial" w:hAnsi="Arial"/>
        <w:b/>
        <w:color w:val="FFFFFF"/>
        <w:sz w:val="22"/>
      </w:rPr>
      <w:tcPr>
        <w:shd w:val="clear" w:color="C9C9C9" w:fill="C9C9C9"/>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C9C9C9" w:themeColor="accent3" w:themeTint="98" w:sz="4" w:space="0"/>
          <w:right w:val="single" w:color="C9C9C9" w:themeColor="accent3" w:themeTint="98" w:sz="4" w:space="0"/>
        </w:tcBorders>
      </w:tcPr>
    </w:tblStylePr>
    <w:tblStylePr w:type="band2Vert"/>
    <w:tblStylePr w:type="band1Horz">
      <w:rPr>
        <w:rFonts w:ascii="Arial" w:hAnsi="Arial"/>
        <w:color w:val="404040"/>
        <w:sz w:val="22"/>
      </w:rPr>
      <w:tcPr>
        <w:tcBorders>
          <w:top w:val="single" w:color="C9C9C9" w:themeColor="accent3" w:themeTint="98" w:sz="4" w:space="0"/>
          <w:bottom w:val="single" w:color="C9C9C9" w:themeColor="accent3" w:themeTint="98" w:sz="4" w:space="0"/>
        </w:tcBorders>
      </w:tcPr>
    </w:tblStylePr>
    <w:tblStylePr w:type="band2Horz"/>
    <w:tblStylePr w:type="neCell"/>
    <w:tblStylePr w:type="nwCell"/>
    <w:tblStylePr w:type="seCell"/>
    <w:tblStylePr w:type="swCell"/>
  </w:style>
  <w:style w:type="table" w:customStyle="1" w:styleId="110">
    <w:name w:val="List Table 3 - Accent 4"/>
    <w:basedOn w:val="3"/>
    <w:qFormat/>
    <w:uiPriority w:val="99"/>
    <w:pPr>
      <w:spacing w:after="0" w:line="240" w:lineRule="auto"/>
    </w:pPr>
    <w:tblPr>
      <w:tblBorders>
        <w:top w:val="single" w:color="FFD864" w:themeColor="accent4" w:themeTint="9A" w:sz="4" w:space="0"/>
        <w:left w:val="single" w:color="FFD864" w:themeColor="accent4" w:themeTint="9A" w:sz="4" w:space="0"/>
        <w:bottom w:val="single" w:color="FFD864" w:themeColor="accent4" w:themeTint="9A" w:sz="4" w:space="0"/>
        <w:right w:val="single" w:color="FFD864" w:themeColor="accent4" w:themeTint="9A" w:sz="4" w:space="0"/>
      </w:tblBorders>
    </w:tblPr>
    <w:tblStylePr w:type="firstRow">
      <w:rPr>
        <w:rFonts w:ascii="Arial" w:hAnsi="Arial"/>
        <w:b/>
        <w:color w:val="FFFFFF"/>
        <w:sz w:val="22"/>
      </w:rPr>
      <w:tcPr>
        <w:shd w:val="clear" w:color="FFD864" w:fill="FFD86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FD864" w:themeColor="accent4" w:themeTint="9A" w:sz="4" w:space="0"/>
          <w:right w:val="single" w:color="FFD864" w:themeColor="accent4" w:themeTint="9A" w:sz="4" w:space="0"/>
        </w:tcBorders>
      </w:tcPr>
    </w:tblStylePr>
    <w:tblStylePr w:type="band2Vert"/>
    <w:tblStylePr w:type="band1Horz">
      <w:rPr>
        <w:rFonts w:ascii="Arial" w:hAnsi="Arial"/>
        <w:color w:val="404040"/>
        <w:sz w:val="22"/>
      </w:rPr>
      <w:tcPr>
        <w:tcBorders>
          <w:top w:val="single" w:color="FFD864" w:themeColor="accent4" w:themeTint="9A" w:sz="4" w:space="0"/>
          <w:bottom w:val="single" w:color="FFD864" w:themeColor="accent4" w:themeTint="9A" w:sz="4" w:space="0"/>
        </w:tcBorders>
      </w:tcPr>
    </w:tblStylePr>
    <w:tblStylePr w:type="band2Horz"/>
    <w:tblStylePr w:type="neCell"/>
    <w:tblStylePr w:type="nwCell"/>
    <w:tblStylePr w:type="seCell"/>
    <w:tblStylePr w:type="swCell"/>
  </w:style>
  <w:style w:type="table" w:customStyle="1" w:styleId="111">
    <w:name w:val="List Table 3 - Accent 5"/>
    <w:basedOn w:val="3"/>
    <w:qFormat/>
    <w:uiPriority w:val="99"/>
    <w:pPr>
      <w:spacing w:after="0" w:line="240" w:lineRule="auto"/>
    </w:pPr>
    <w:tblPr>
      <w:tblBorders>
        <w:top w:val="single" w:color="8EA9DB" w:themeColor="accent5" w:themeTint="9A" w:sz="4" w:space="0"/>
        <w:left w:val="single" w:color="8EA9DB" w:themeColor="accent5" w:themeTint="9A" w:sz="4" w:space="0"/>
        <w:bottom w:val="single" w:color="8EA9DB" w:themeColor="accent5" w:themeTint="9A" w:sz="4" w:space="0"/>
        <w:right w:val="single" w:color="8EA9DB" w:themeColor="accent5" w:themeTint="9A" w:sz="4" w:space="0"/>
      </w:tblBorders>
    </w:tblPr>
    <w:tblStylePr w:type="firstRow">
      <w:rPr>
        <w:rFonts w:ascii="Arial" w:hAnsi="Arial"/>
        <w:b/>
        <w:color w:val="FFFFFF"/>
        <w:sz w:val="22"/>
      </w:rPr>
      <w:tcPr>
        <w:shd w:val="clear" w:color="8EA9DB" w:fill="8EA9DB"/>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8EA9DB" w:themeColor="accent5" w:themeTint="9A" w:sz="4" w:space="0"/>
          <w:right w:val="single" w:color="8EA9DB" w:themeColor="accent5" w:themeTint="9A" w:sz="4" w:space="0"/>
        </w:tcBorders>
      </w:tcPr>
    </w:tblStylePr>
    <w:tblStylePr w:type="band2Vert"/>
    <w:tblStylePr w:type="band1Horz">
      <w:rPr>
        <w:rFonts w:ascii="Arial" w:hAnsi="Arial"/>
        <w:color w:val="404040"/>
        <w:sz w:val="22"/>
      </w:rPr>
      <w:tcPr>
        <w:tcBorders>
          <w:top w:val="single" w:color="8EA9DB" w:themeColor="accent5" w:themeTint="9A" w:sz="4" w:space="0"/>
          <w:bottom w:val="single" w:color="8EA9DB" w:themeColor="accent5" w:themeTint="9A" w:sz="4" w:space="0"/>
        </w:tcBorders>
      </w:tcPr>
    </w:tblStylePr>
    <w:tblStylePr w:type="band2Horz"/>
    <w:tblStylePr w:type="neCell"/>
    <w:tblStylePr w:type="nwCell"/>
    <w:tblStylePr w:type="seCell"/>
    <w:tblStylePr w:type="swCell"/>
  </w:style>
  <w:style w:type="table" w:customStyle="1" w:styleId="112">
    <w:name w:val="List Table 3 - Accent 6"/>
    <w:basedOn w:val="3"/>
    <w:qFormat/>
    <w:uiPriority w:val="99"/>
    <w:pPr>
      <w:spacing w:after="0" w:line="240" w:lineRule="auto"/>
    </w:pPr>
    <w:tblPr>
      <w:tblBorders>
        <w:top w:val="single" w:color="A9D08E" w:themeColor="accent6" w:themeTint="98" w:sz="4" w:space="0"/>
        <w:left w:val="single" w:color="A9D08E" w:themeColor="accent6" w:themeTint="98" w:sz="4" w:space="0"/>
        <w:bottom w:val="single" w:color="A9D08E" w:themeColor="accent6" w:themeTint="98" w:sz="4" w:space="0"/>
        <w:right w:val="single" w:color="A9D08E" w:themeColor="accent6" w:themeTint="98" w:sz="4" w:space="0"/>
      </w:tblBorders>
    </w:tblPr>
    <w:tblStylePr w:type="firstRow">
      <w:rPr>
        <w:rFonts w:ascii="Arial" w:hAnsi="Arial"/>
        <w:b/>
        <w:color w:val="FFFFFF"/>
        <w:sz w:val="22"/>
      </w:rPr>
      <w:tcPr>
        <w:shd w:val="clear" w:color="A9D08E" w:fill="A9D08E"/>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A9D08E" w:themeColor="accent6" w:themeTint="98" w:sz="4" w:space="0"/>
          <w:right w:val="single" w:color="A9D08E" w:themeColor="accent6" w:themeTint="98" w:sz="4" w:space="0"/>
        </w:tcBorders>
      </w:tcPr>
    </w:tblStylePr>
    <w:tblStylePr w:type="band2Vert"/>
    <w:tblStylePr w:type="band1Horz">
      <w:rPr>
        <w:rFonts w:ascii="Arial" w:hAnsi="Arial"/>
        <w:color w:val="404040"/>
        <w:sz w:val="22"/>
      </w:rPr>
      <w:tcPr>
        <w:tcBorders>
          <w:top w:val="single" w:color="A9D08E" w:themeColor="accent6" w:themeTint="98" w:sz="4" w:space="0"/>
          <w:bottom w:val="single" w:color="A9D08E" w:themeColor="accent6" w:themeTint="98" w:sz="4" w:space="0"/>
        </w:tcBorders>
      </w:tcPr>
    </w:tblStylePr>
    <w:tblStylePr w:type="band2Horz"/>
    <w:tblStylePr w:type="neCell"/>
    <w:tblStylePr w:type="nwCell"/>
    <w:tblStylePr w:type="seCell"/>
    <w:tblStylePr w:type="swCell"/>
  </w:style>
  <w:style w:type="table" w:customStyle="1" w:styleId="113">
    <w:name w:val="List Table 4"/>
    <w:basedOn w:val="3"/>
    <w:qFormat/>
    <w:uiPriority w:val="9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000000" w:fill="000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fill="BEBEBE"/>
      </w:tcPr>
    </w:tblStylePr>
    <w:tblStylePr w:type="band2Vert"/>
    <w:tblStylePr w:type="band1Horz">
      <w:rPr>
        <w:rFonts w:ascii="Arial" w:hAnsi="Arial"/>
        <w:color w:val="404040"/>
        <w:sz w:val="22"/>
      </w:rPr>
      <w:tcPr>
        <w:shd w:val="clear" w:color="BEBEBE" w:fill="BEBEBE"/>
      </w:tcPr>
    </w:tblStylePr>
    <w:tblStylePr w:type="band2Horz"/>
    <w:tblStylePr w:type="neCell"/>
    <w:tblStylePr w:type="nwCell"/>
    <w:tblStylePr w:type="seCell"/>
    <w:tblStylePr w:type="swCell"/>
  </w:style>
  <w:style w:type="table" w:customStyle="1" w:styleId="114">
    <w:name w:val="List Table 4 - Accent 1"/>
    <w:basedOn w:val="3"/>
    <w:qFormat/>
    <w:uiPriority w:val="99"/>
    <w:pPr>
      <w:spacing w:after="0" w:line="240" w:lineRule="auto"/>
    </w:pPr>
    <w:tblPr>
      <w:tblBorders>
        <w:top w:val="single" w:color="A2C6E7" w:themeColor="accent1" w:themeTint="90" w:sz="4" w:space="0"/>
        <w:left w:val="single" w:color="A2C6E7" w:themeColor="accent1" w:themeTint="90" w:sz="4" w:space="0"/>
        <w:bottom w:val="single" w:color="A2C6E7" w:themeColor="accent1" w:themeTint="90" w:sz="4" w:space="0"/>
        <w:right w:val="single" w:color="A2C6E7" w:themeColor="accent1" w:themeTint="90" w:sz="4" w:space="0"/>
        <w:insideH w:val="single" w:color="A2C6E7" w:themeColor="accent1" w:themeTint="90" w:sz="4" w:space="0"/>
      </w:tblBorders>
    </w:tblPr>
    <w:tblStylePr w:type="firstRow">
      <w:rPr>
        <w:rFonts w:ascii="Arial" w:hAnsi="Arial"/>
        <w:b/>
        <w:color w:val="FFFFFF"/>
        <w:sz w:val="22"/>
      </w:rPr>
      <w:tcPr>
        <w:shd w:val="clear" w:color="5B9BD5" w:fill="5B9BD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5E5F4" w:fill="D5E5F4"/>
      </w:tcPr>
    </w:tblStylePr>
    <w:tblStylePr w:type="band2Vert"/>
    <w:tblStylePr w:type="band1Horz">
      <w:rPr>
        <w:rFonts w:ascii="Arial" w:hAnsi="Arial"/>
        <w:color w:val="404040"/>
        <w:sz w:val="22"/>
      </w:rPr>
      <w:tcPr>
        <w:shd w:val="clear" w:color="D5E5F4" w:fill="D5E5F4"/>
      </w:tcPr>
    </w:tblStylePr>
    <w:tblStylePr w:type="band2Horz"/>
    <w:tblStylePr w:type="neCell"/>
    <w:tblStylePr w:type="nwCell"/>
    <w:tblStylePr w:type="seCell"/>
    <w:tblStylePr w:type="swCell"/>
  </w:style>
  <w:style w:type="table" w:customStyle="1" w:styleId="115">
    <w:name w:val="List Table 4 - Accent 2"/>
    <w:basedOn w:val="3"/>
    <w:qFormat/>
    <w:uiPriority w:val="99"/>
    <w:pPr>
      <w:spacing w:after="0" w:line="240" w:lineRule="auto"/>
    </w:pPr>
    <w:tblPr>
      <w:tblBorders>
        <w:top w:val="single" w:color="F4B58A" w:themeColor="accent2" w:themeTint="90" w:sz="4" w:space="0"/>
        <w:left w:val="single" w:color="F4B58A" w:themeColor="accent2" w:themeTint="90" w:sz="4" w:space="0"/>
        <w:bottom w:val="single" w:color="F4B58A" w:themeColor="accent2" w:themeTint="90" w:sz="4" w:space="0"/>
        <w:right w:val="single" w:color="F4B58A" w:themeColor="accent2" w:themeTint="90" w:sz="4" w:space="0"/>
        <w:insideH w:val="single" w:color="F4B58A" w:themeColor="accent2" w:themeTint="90" w:sz="4" w:space="0"/>
      </w:tblBorders>
    </w:tblPr>
    <w:tblStylePr w:type="firstRow">
      <w:rPr>
        <w:rFonts w:ascii="Arial" w:hAnsi="Arial"/>
        <w:b/>
        <w:color w:val="FFFFFF"/>
        <w:sz w:val="22"/>
      </w:rPr>
      <w:tcPr>
        <w:shd w:val="clear" w:color="ED7D31" w:fill="ED7D3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ADECB" w:fill="FADECB"/>
      </w:tcPr>
    </w:tblStylePr>
    <w:tblStylePr w:type="band2Vert"/>
    <w:tblStylePr w:type="band1Horz">
      <w:rPr>
        <w:rFonts w:ascii="Arial" w:hAnsi="Arial"/>
        <w:color w:val="404040"/>
        <w:sz w:val="22"/>
      </w:rPr>
      <w:tcPr>
        <w:shd w:val="clear" w:color="FADECB" w:fill="FADECB"/>
      </w:tcPr>
    </w:tblStylePr>
    <w:tblStylePr w:type="band2Horz"/>
    <w:tblStylePr w:type="neCell"/>
    <w:tblStylePr w:type="nwCell"/>
    <w:tblStylePr w:type="seCell"/>
    <w:tblStylePr w:type="swCell"/>
  </w:style>
  <w:style w:type="table" w:customStyle="1" w:styleId="116">
    <w:name w:val="List Table 4 - Accent 3"/>
    <w:basedOn w:val="3"/>
    <w:qFormat/>
    <w:uiPriority w:val="99"/>
    <w:pPr>
      <w:spacing w:after="0" w:line="240" w:lineRule="auto"/>
    </w:pPr>
    <w:tblPr>
      <w:tblBorders>
        <w:top w:val="single" w:color="CCCCCC" w:themeColor="accent3" w:themeTint="90" w:sz="4" w:space="0"/>
        <w:left w:val="single" w:color="CCCCCC" w:themeColor="accent3" w:themeTint="90" w:sz="4" w:space="0"/>
        <w:bottom w:val="single" w:color="CCCCCC" w:themeColor="accent3" w:themeTint="90" w:sz="4" w:space="0"/>
        <w:right w:val="single" w:color="CCCCCC" w:themeColor="accent3" w:themeTint="90" w:sz="4" w:space="0"/>
        <w:insideH w:val="single" w:color="CCCCCC" w:themeColor="accent3" w:themeTint="90" w:sz="4" w:space="0"/>
      </w:tblBorders>
    </w:tblPr>
    <w:tblStylePr w:type="firstRow">
      <w:rPr>
        <w:rFonts w:ascii="Arial" w:hAnsi="Arial"/>
        <w:b/>
        <w:color w:val="FFFFFF"/>
        <w:sz w:val="22"/>
      </w:rPr>
      <w:tcPr>
        <w:shd w:val="clear" w:color="A5A5A5" w:fill="A5A5A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E8E8E8" w:fill="E8E8E8"/>
      </w:tcPr>
    </w:tblStylePr>
    <w:tblStylePr w:type="band2Vert"/>
    <w:tblStylePr w:type="band1Horz">
      <w:rPr>
        <w:rFonts w:ascii="Arial" w:hAnsi="Arial"/>
        <w:color w:val="404040"/>
        <w:sz w:val="22"/>
      </w:rPr>
      <w:tcPr>
        <w:shd w:val="clear" w:color="E8E8E8" w:fill="E8E8E8"/>
      </w:tcPr>
    </w:tblStylePr>
    <w:tblStylePr w:type="band2Horz"/>
    <w:tblStylePr w:type="neCell"/>
    <w:tblStylePr w:type="nwCell"/>
    <w:tblStylePr w:type="seCell"/>
    <w:tblStylePr w:type="swCell"/>
  </w:style>
  <w:style w:type="table" w:customStyle="1" w:styleId="117">
    <w:name w:val="List Table 4 - Accent 4"/>
    <w:basedOn w:val="3"/>
    <w:qFormat/>
    <w:uiPriority w:val="99"/>
    <w:pPr>
      <w:spacing w:after="0" w:line="240" w:lineRule="auto"/>
    </w:pPr>
    <w:tblPr>
      <w:tblBorders>
        <w:top w:val="single" w:color="FFDB6E" w:themeColor="accent4" w:themeTint="90" w:sz="4" w:space="0"/>
        <w:left w:val="single" w:color="FFDB6E" w:themeColor="accent4" w:themeTint="90" w:sz="4" w:space="0"/>
        <w:bottom w:val="single" w:color="FFDB6E" w:themeColor="accent4" w:themeTint="90" w:sz="4" w:space="0"/>
        <w:right w:val="single" w:color="FFDB6E" w:themeColor="accent4" w:themeTint="90" w:sz="4" w:space="0"/>
        <w:insideH w:val="single" w:color="FFDB6E" w:themeColor="accent4" w:themeTint="90" w:sz="4" w:space="0"/>
      </w:tblBorders>
    </w:tblPr>
    <w:tblStylePr w:type="firstRow">
      <w:rPr>
        <w:rFonts w:ascii="Arial" w:hAnsi="Arial"/>
        <w:b/>
        <w:color w:val="FFFFFF"/>
        <w:sz w:val="22"/>
      </w:rPr>
      <w:tcPr>
        <w:shd w:val="clear" w:color="FFC000" w:fill="FFC000"/>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FEFBE" w:fill="FFEFBE"/>
      </w:tcPr>
    </w:tblStylePr>
    <w:tblStylePr w:type="band2Vert"/>
    <w:tblStylePr w:type="band1Horz">
      <w:rPr>
        <w:rFonts w:ascii="Arial" w:hAnsi="Arial"/>
        <w:color w:val="404040"/>
        <w:sz w:val="22"/>
      </w:rPr>
      <w:tcPr>
        <w:shd w:val="clear" w:color="FFEFBE" w:fill="FFEFBE"/>
      </w:tcPr>
    </w:tblStylePr>
    <w:tblStylePr w:type="band2Horz"/>
    <w:tblStylePr w:type="neCell"/>
    <w:tblStylePr w:type="nwCell"/>
    <w:tblStylePr w:type="seCell"/>
    <w:tblStylePr w:type="swCell"/>
  </w:style>
  <w:style w:type="table" w:customStyle="1" w:styleId="118">
    <w:name w:val="List Table 4 - Accent 5"/>
    <w:basedOn w:val="3"/>
    <w:qFormat/>
    <w:uiPriority w:val="99"/>
    <w:pPr>
      <w:spacing w:after="0" w:line="240" w:lineRule="auto"/>
    </w:pPr>
    <w:tblPr>
      <w:tblBorders>
        <w:top w:val="single" w:color="95AFDD" w:themeColor="accent5" w:themeTint="90" w:sz="4" w:space="0"/>
        <w:left w:val="single" w:color="95AFDD" w:themeColor="accent5" w:themeTint="90" w:sz="4" w:space="0"/>
        <w:bottom w:val="single" w:color="95AFDD" w:themeColor="accent5" w:themeTint="90" w:sz="4" w:space="0"/>
        <w:right w:val="single" w:color="95AFDD" w:themeColor="accent5" w:themeTint="90" w:sz="4" w:space="0"/>
        <w:insideH w:val="single" w:color="95AFDD" w:themeColor="accent5" w:themeTint="90" w:sz="4" w:space="0"/>
      </w:tblBorders>
    </w:tblPr>
    <w:tblStylePr w:type="firstRow">
      <w:rPr>
        <w:rFonts w:ascii="Arial" w:hAnsi="Arial"/>
        <w:b/>
        <w:color w:val="FFFFFF"/>
        <w:sz w:val="22"/>
      </w:rPr>
      <w:tcPr>
        <w:shd w:val="clear" w:color="4472C4" w:fill="4472C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0DBF0" w:fill="D0DBF0"/>
      </w:tcPr>
    </w:tblStylePr>
    <w:tblStylePr w:type="band2Vert"/>
    <w:tblStylePr w:type="band1Horz">
      <w:rPr>
        <w:rFonts w:ascii="Arial" w:hAnsi="Arial"/>
        <w:color w:val="404040"/>
        <w:sz w:val="22"/>
      </w:rPr>
      <w:tcPr>
        <w:shd w:val="clear" w:color="D0DBF0" w:fill="D0DBF0"/>
      </w:tcPr>
    </w:tblStylePr>
    <w:tblStylePr w:type="band2Horz"/>
    <w:tblStylePr w:type="neCell"/>
    <w:tblStylePr w:type="nwCell"/>
    <w:tblStylePr w:type="seCell"/>
    <w:tblStylePr w:type="swCell"/>
  </w:style>
  <w:style w:type="table" w:customStyle="1" w:styleId="119">
    <w:name w:val="List Table 4 - Accent 6"/>
    <w:basedOn w:val="3"/>
    <w:qFormat/>
    <w:uiPriority w:val="99"/>
    <w:pPr>
      <w:spacing w:after="0" w:line="240" w:lineRule="auto"/>
    </w:pPr>
    <w:tblPr>
      <w:tblBorders>
        <w:top w:val="single" w:color="ADD394" w:themeColor="accent6" w:themeTint="90" w:sz="4" w:space="0"/>
        <w:left w:val="single" w:color="ADD394" w:themeColor="accent6" w:themeTint="90" w:sz="4" w:space="0"/>
        <w:bottom w:val="single" w:color="ADD394" w:themeColor="accent6" w:themeTint="90" w:sz="4" w:space="0"/>
        <w:right w:val="single" w:color="ADD394" w:themeColor="accent6" w:themeTint="90" w:sz="4" w:space="0"/>
        <w:insideH w:val="single" w:color="ADD394" w:themeColor="accent6" w:themeTint="90" w:sz="4" w:space="0"/>
      </w:tblBorders>
    </w:tblPr>
    <w:tblStylePr w:type="firstRow">
      <w:rPr>
        <w:rFonts w:ascii="Arial" w:hAnsi="Arial"/>
        <w:b/>
        <w:color w:val="FFFFFF"/>
        <w:sz w:val="22"/>
      </w:rPr>
      <w:tcPr>
        <w:shd w:val="clear" w:color="70AD47" w:fill="70AD4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AEBCF" w:fill="DAEBCF"/>
      </w:tcPr>
    </w:tblStylePr>
    <w:tblStylePr w:type="band2Vert"/>
    <w:tblStylePr w:type="band1Horz">
      <w:rPr>
        <w:rFonts w:ascii="Arial" w:hAnsi="Arial"/>
        <w:color w:val="404040"/>
        <w:sz w:val="22"/>
      </w:rPr>
      <w:tcPr>
        <w:shd w:val="clear" w:color="DAEBCF" w:fill="DAEBCF"/>
      </w:tcPr>
    </w:tblStylePr>
    <w:tblStylePr w:type="band2Horz"/>
    <w:tblStylePr w:type="neCell"/>
    <w:tblStylePr w:type="nwCell"/>
    <w:tblStylePr w:type="seCell"/>
    <w:tblStylePr w:type="swCell"/>
  </w:style>
  <w:style w:type="table" w:customStyle="1" w:styleId="120">
    <w:name w:val="List Table 5 Dark"/>
    <w:basedOn w:val="3"/>
    <w:qFormat/>
    <w:uiPriority w:val="99"/>
    <w:pPr>
      <w:spacing w:after="0" w:line="240" w:lineRule="auto"/>
    </w:pPr>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7E7E7E" w:fill="7E7E7E"/>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fill="7E7E7E"/>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fill="7E7E7E"/>
      </w:tcPr>
    </w:tblStylePr>
    <w:tblStylePr w:type="band2Horz">
      <w:tcPr>
        <w:tcBorders>
          <w:top w:val="single" w:color="FFFFFF" w:themeColor="light1" w:sz="4" w:space="0"/>
          <w:bottom w:val="single" w:color="FFFFFF" w:themeColor="light1" w:sz="4" w:space="0"/>
        </w:tcBorders>
        <w:shd w:val="clear" w:color="7E7E7E" w:fill="7E7E7E"/>
      </w:tcPr>
    </w:tblStylePr>
    <w:tblStylePr w:type="neCell"/>
    <w:tblStylePr w:type="nwCell"/>
    <w:tblStylePr w:type="seCell"/>
    <w:tblStylePr w:type="swCell"/>
  </w:style>
  <w:style w:type="table" w:customStyle="1" w:styleId="121">
    <w:name w:val="List Table 5 Dark - Accent 1"/>
    <w:basedOn w:val="3"/>
    <w:qFormat/>
    <w:uiPriority w:val="99"/>
    <w:pPr>
      <w:spacing w:after="0" w:line="240" w:lineRule="auto"/>
    </w:pPr>
    <w:tblPr>
      <w:tblBorders>
        <w:top w:val="single" w:color="5B9BD5" w:themeColor="accent1" w:sz="32" w:space="0"/>
        <w:left w:val="single" w:color="5B9BD5" w:themeColor="accent1" w:sz="32" w:space="0"/>
        <w:bottom w:val="single" w:color="5B9BD5" w:themeColor="accent1" w:sz="32" w:space="0"/>
        <w:right w:val="single" w:color="5B9BD5" w:themeColor="accent1" w:sz="32" w:space="0"/>
      </w:tblBorders>
    </w:tblPr>
    <w:tblStylePr w:type="firstRow">
      <w:rPr>
        <w:rFonts w:ascii="Arial" w:hAnsi="Arial"/>
        <w:b/>
        <w:color w:val="FFFFFF" w:themeColor="light1"/>
        <w:sz w:val="22"/>
        <w14:textFill>
          <w14:solidFill>
            <w14:schemeClr w14:val="lt1"/>
          </w14:solidFill>
        </w14:textFill>
      </w:rPr>
      <w:tcPr>
        <w:tcBorders>
          <w:top w:val="single" w:color="5B9BD5" w:themeColor="accent1" w:sz="32" w:space="0"/>
          <w:bottom w:val="single" w:color="FFFFFF" w:themeColor="light1" w:sz="12" w:space="0"/>
        </w:tcBorders>
        <w:shd w:val="clear" w:color="5B9BD5" w:fill="5B9BD5"/>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5B9BD5" w:themeColor="accent1" w:sz="32" w:space="0"/>
          <w:right w:val="single" w:color="FFFFFF" w:themeColor="light1" w:sz="4" w:space="0"/>
        </w:tcBorders>
      </w:tcPr>
    </w:tblStylePr>
    <w:tblStylePr w:type="lastCol">
      <w:tcPr>
        <w:tcBorders>
          <w:left w:val="single" w:color="FFFFFF" w:themeColor="light1" w:sz="4" w:space="0"/>
          <w:right w:val="single" w:color="5B9BD5" w:themeColor="accent1" w:sz="32" w:space="0"/>
        </w:tcBorders>
      </w:tcPr>
    </w:tblStylePr>
    <w:tblStylePr w:type="band1Vert">
      <w:tcPr>
        <w:tcBorders>
          <w:left w:val="single" w:color="FFFFFF" w:themeColor="light1" w:sz="4" w:space="0"/>
          <w:right w:val="single" w:color="FFFFFF" w:themeColor="light1" w:sz="4" w:space="0"/>
        </w:tcBorders>
        <w:shd w:val="clear" w:color="5B9BD5" w:fill="5B9BD5"/>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5B9BD5" w:fill="5B9BD5"/>
      </w:tcPr>
    </w:tblStylePr>
    <w:tblStylePr w:type="band2Horz">
      <w:tcPr>
        <w:tcBorders>
          <w:top w:val="single" w:color="FFFFFF" w:themeColor="light1" w:sz="4" w:space="0"/>
          <w:bottom w:val="single" w:color="FFFFFF" w:themeColor="light1" w:sz="4" w:space="0"/>
        </w:tcBorders>
        <w:shd w:val="clear" w:color="5B9BD5" w:fill="5B9BD5"/>
      </w:tcPr>
    </w:tblStylePr>
    <w:tblStylePr w:type="neCell"/>
    <w:tblStylePr w:type="nwCell"/>
    <w:tblStylePr w:type="seCell"/>
    <w:tblStylePr w:type="swCell"/>
  </w:style>
  <w:style w:type="table" w:customStyle="1" w:styleId="122">
    <w:name w:val="List Table 5 Dark - Accent 2"/>
    <w:basedOn w:val="3"/>
    <w:qFormat/>
    <w:uiPriority w:val="99"/>
    <w:pPr>
      <w:spacing w:after="0" w:line="240" w:lineRule="auto"/>
    </w:pPr>
    <w:tblPr>
      <w:tblBorders>
        <w:top w:val="single" w:color="F4B285" w:themeColor="accent2" w:themeTint="97" w:sz="32" w:space="0"/>
        <w:left w:val="single" w:color="F4B285" w:themeColor="accent2" w:themeTint="97" w:sz="32" w:space="0"/>
        <w:bottom w:val="single" w:color="F4B285" w:themeColor="accent2" w:themeTint="97" w:sz="32" w:space="0"/>
        <w:right w:val="single" w:color="F4B285" w:themeColor="accent2" w:themeTint="97" w:sz="32" w:space="0"/>
      </w:tblBorders>
    </w:tblPr>
    <w:tblStylePr w:type="firstRow">
      <w:rPr>
        <w:rFonts w:ascii="Arial" w:hAnsi="Arial"/>
        <w:b/>
        <w:color w:val="FFFFFF" w:themeColor="light1"/>
        <w:sz w:val="22"/>
        <w14:textFill>
          <w14:solidFill>
            <w14:schemeClr w14:val="lt1"/>
          </w14:solidFill>
        </w14:textFill>
      </w:rPr>
      <w:tcPr>
        <w:tcBorders>
          <w:top w:val="single" w:color="F4B285" w:themeColor="accent2" w:themeTint="97" w:sz="32" w:space="0"/>
          <w:bottom w:val="single" w:color="FFFFFF" w:themeColor="light1" w:sz="12" w:space="0"/>
        </w:tcBorders>
        <w:shd w:val="clear" w:color="F4B285" w:fill="F4B285"/>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4B285" w:themeColor="accent2" w:themeTint="97" w:sz="32" w:space="0"/>
          <w:right w:val="single" w:color="FFFFFF" w:themeColor="light1" w:sz="4" w:space="0"/>
        </w:tcBorders>
      </w:tcPr>
    </w:tblStylePr>
    <w:tblStylePr w:type="lastCol">
      <w:tcPr>
        <w:tcBorders>
          <w:left w:val="single" w:color="FFFFFF" w:themeColor="light1" w:sz="4" w:space="0"/>
          <w:right w:val="single" w:color="F4B285" w:themeColor="accent2" w:themeTint="97" w:sz="32" w:space="0"/>
        </w:tcBorders>
      </w:tcPr>
    </w:tblStylePr>
    <w:tblStylePr w:type="band1Vert">
      <w:tcPr>
        <w:tcBorders>
          <w:left w:val="single" w:color="FFFFFF" w:themeColor="light1" w:sz="4" w:space="0"/>
          <w:right w:val="single" w:color="FFFFFF" w:themeColor="light1" w:sz="4" w:space="0"/>
        </w:tcBorders>
        <w:shd w:val="clear" w:color="F4B285" w:fill="F4B285"/>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4B285" w:fill="F4B285"/>
      </w:tcPr>
    </w:tblStylePr>
    <w:tblStylePr w:type="band2Horz">
      <w:tcPr>
        <w:tcBorders>
          <w:top w:val="single" w:color="FFFFFF" w:themeColor="light1" w:sz="4" w:space="0"/>
          <w:bottom w:val="single" w:color="FFFFFF" w:themeColor="light1" w:sz="4" w:space="0"/>
        </w:tcBorders>
        <w:shd w:val="clear" w:color="F4B285" w:fill="F4B285"/>
      </w:tcPr>
    </w:tblStylePr>
    <w:tblStylePr w:type="neCell"/>
    <w:tblStylePr w:type="nwCell"/>
    <w:tblStylePr w:type="seCell"/>
    <w:tblStylePr w:type="swCell"/>
  </w:style>
  <w:style w:type="table" w:customStyle="1" w:styleId="123">
    <w:name w:val="List Table 5 Dark - Accent 3"/>
    <w:basedOn w:val="3"/>
    <w:qFormat/>
    <w:uiPriority w:val="99"/>
    <w:pPr>
      <w:spacing w:after="0" w:line="240" w:lineRule="auto"/>
    </w:pPr>
    <w:tblPr>
      <w:tblBorders>
        <w:top w:val="single" w:color="C9C9C9" w:themeColor="accent3" w:themeTint="98" w:sz="32" w:space="0"/>
        <w:left w:val="single" w:color="C9C9C9" w:themeColor="accent3" w:themeTint="98" w:sz="32" w:space="0"/>
        <w:bottom w:val="single" w:color="C9C9C9" w:themeColor="accent3" w:themeTint="98" w:sz="32" w:space="0"/>
        <w:right w:val="single" w:color="C9C9C9" w:themeColor="accent3" w:themeTint="98" w:sz="32" w:space="0"/>
      </w:tblBorders>
    </w:tblPr>
    <w:tblStylePr w:type="firstRow">
      <w:rPr>
        <w:rFonts w:ascii="Arial" w:hAnsi="Arial"/>
        <w:b/>
        <w:color w:val="FFFFFF" w:themeColor="light1"/>
        <w:sz w:val="22"/>
        <w14:textFill>
          <w14:solidFill>
            <w14:schemeClr w14:val="lt1"/>
          </w14:solidFill>
        </w14:textFill>
      </w:rPr>
      <w:tcPr>
        <w:tcBorders>
          <w:top w:val="single" w:color="C9C9C9" w:themeColor="accent3" w:themeTint="98" w:sz="32" w:space="0"/>
          <w:bottom w:val="single" w:color="FFFFFF" w:themeColor="light1" w:sz="12" w:space="0"/>
        </w:tcBorders>
        <w:shd w:val="clear" w:color="C9C9C9" w:fill="C9C9C9"/>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C9C9C9" w:themeColor="accent3" w:themeTint="98" w:sz="32" w:space="0"/>
          <w:right w:val="single" w:color="FFFFFF" w:themeColor="light1" w:sz="4" w:space="0"/>
        </w:tcBorders>
      </w:tcPr>
    </w:tblStylePr>
    <w:tblStylePr w:type="lastCol">
      <w:tcPr>
        <w:tcBorders>
          <w:left w:val="single" w:color="FFFFFF" w:themeColor="light1" w:sz="4" w:space="0"/>
          <w:right w:val="single" w:color="C9C9C9" w:themeColor="accent3" w:themeTint="98" w:sz="32" w:space="0"/>
        </w:tcBorders>
      </w:tcPr>
    </w:tblStylePr>
    <w:tblStylePr w:type="band1Vert">
      <w:tcPr>
        <w:tcBorders>
          <w:left w:val="single" w:color="FFFFFF" w:themeColor="light1" w:sz="4" w:space="0"/>
          <w:right w:val="single" w:color="FFFFFF" w:themeColor="light1" w:sz="4" w:space="0"/>
        </w:tcBorders>
        <w:shd w:val="clear" w:color="C9C9C9" w:fill="C9C9C9"/>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C9C9C9" w:fill="C9C9C9"/>
      </w:tcPr>
    </w:tblStylePr>
    <w:tblStylePr w:type="band2Horz">
      <w:tcPr>
        <w:tcBorders>
          <w:top w:val="single" w:color="FFFFFF" w:themeColor="light1" w:sz="4" w:space="0"/>
          <w:bottom w:val="single" w:color="FFFFFF" w:themeColor="light1" w:sz="4" w:space="0"/>
        </w:tcBorders>
        <w:shd w:val="clear" w:color="C9C9C9" w:fill="C9C9C9"/>
      </w:tcPr>
    </w:tblStylePr>
    <w:tblStylePr w:type="neCell"/>
    <w:tblStylePr w:type="nwCell"/>
    <w:tblStylePr w:type="seCell"/>
    <w:tblStylePr w:type="swCell"/>
  </w:style>
  <w:style w:type="table" w:customStyle="1" w:styleId="124">
    <w:name w:val="List Table 5 Dark - Accent 4"/>
    <w:basedOn w:val="3"/>
    <w:qFormat/>
    <w:uiPriority w:val="99"/>
    <w:pPr>
      <w:spacing w:after="0" w:line="240" w:lineRule="auto"/>
    </w:pPr>
    <w:tblPr>
      <w:tblBorders>
        <w:top w:val="single" w:color="FFD864" w:themeColor="accent4" w:themeTint="9A" w:sz="32" w:space="0"/>
        <w:left w:val="single" w:color="FFD864" w:themeColor="accent4" w:themeTint="9A" w:sz="32" w:space="0"/>
        <w:bottom w:val="single" w:color="FFD864" w:themeColor="accent4" w:themeTint="9A" w:sz="32" w:space="0"/>
        <w:right w:val="single" w:color="FFD864" w:themeColor="accent4" w:themeTint="9A" w:sz="32" w:space="0"/>
      </w:tblBorders>
    </w:tblPr>
    <w:tblStylePr w:type="firstRow">
      <w:rPr>
        <w:rFonts w:ascii="Arial" w:hAnsi="Arial"/>
        <w:b/>
        <w:color w:val="FFFFFF" w:themeColor="light1"/>
        <w:sz w:val="22"/>
        <w14:textFill>
          <w14:solidFill>
            <w14:schemeClr w14:val="lt1"/>
          </w14:solidFill>
        </w14:textFill>
      </w:rPr>
      <w:tcPr>
        <w:tcBorders>
          <w:top w:val="single" w:color="FFD864" w:themeColor="accent4" w:themeTint="9A" w:sz="32" w:space="0"/>
          <w:bottom w:val="single" w:color="FFFFFF" w:themeColor="light1" w:sz="12" w:space="0"/>
        </w:tcBorders>
        <w:shd w:val="clear" w:color="FFD864" w:fill="FFD864"/>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FD864" w:themeColor="accent4" w:themeTint="9A" w:sz="32" w:space="0"/>
          <w:right w:val="single" w:color="FFFFFF" w:themeColor="light1" w:sz="4" w:space="0"/>
        </w:tcBorders>
      </w:tcPr>
    </w:tblStylePr>
    <w:tblStylePr w:type="lastCol">
      <w:tcPr>
        <w:tcBorders>
          <w:left w:val="single" w:color="FFFFFF" w:themeColor="light1" w:sz="4" w:space="0"/>
          <w:right w:val="single" w:color="FFD864" w:themeColor="accent4" w:themeTint="9A" w:sz="32" w:space="0"/>
        </w:tcBorders>
      </w:tcPr>
    </w:tblStylePr>
    <w:tblStylePr w:type="band1Vert">
      <w:tcPr>
        <w:tcBorders>
          <w:left w:val="single" w:color="FFFFFF" w:themeColor="light1" w:sz="4" w:space="0"/>
          <w:right w:val="single" w:color="FFFFFF" w:themeColor="light1" w:sz="4" w:space="0"/>
        </w:tcBorders>
        <w:shd w:val="clear" w:color="FFD864" w:fill="FFD864"/>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FD864" w:fill="FFD864"/>
      </w:tcPr>
    </w:tblStylePr>
    <w:tblStylePr w:type="band2Horz">
      <w:tcPr>
        <w:tcBorders>
          <w:top w:val="single" w:color="FFFFFF" w:themeColor="light1" w:sz="4" w:space="0"/>
          <w:bottom w:val="single" w:color="FFFFFF" w:themeColor="light1" w:sz="4" w:space="0"/>
        </w:tcBorders>
        <w:shd w:val="clear" w:color="FFD864" w:fill="FFD864"/>
      </w:tcPr>
    </w:tblStylePr>
    <w:tblStylePr w:type="neCell"/>
    <w:tblStylePr w:type="nwCell"/>
    <w:tblStylePr w:type="seCell"/>
    <w:tblStylePr w:type="swCell"/>
  </w:style>
  <w:style w:type="table" w:customStyle="1" w:styleId="125">
    <w:name w:val="List Table 5 Dark - Accent 5"/>
    <w:basedOn w:val="3"/>
    <w:qFormat/>
    <w:uiPriority w:val="99"/>
    <w:pPr>
      <w:spacing w:after="0" w:line="240" w:lineRule="auto"/>
    </w:pPr>
    <w:tblPr>
      <w:tblBorders>
        <w:top w:val="single" w:color="8EA9DB" w:themeColor="accent5" w:themeTint="9A" w:sz="32" w:space="0"/>
        <w:left w:val="single" w:color="8EA9DB" w:themeColor="accent5" w:themeTint="9A" w:sz="32" w:space="0"/>
        <w:bottom w:val="single" w:color="8EA9DB" w:themeColor="accent5" w:themeTint="9A" w:sz="32" w:space="0"/>
        <w:right w:val="single" w:color="8EA9DB" w:themeColor="accent5" w:themeTint="9A" w:sz="32" w:space="0"/>
      </w:tblBorders>
    </w:tblPr>
    <w:tblStylePr w:type="firstRow">
      <w:rPr>
        <w:rFonts w:ascii="Arial" w:hAnsi="Arial"/>
        <w:b/>
        <w:color w:val="FFFFFF" w:themeColor="light1"/>
        <w:sz w:val="22"/>
        <w14:textFill>
          <w14:solidFill>
            <w14:schemeClr w14:val="lt1"/>
          </w14:solidFill>
        </w14:textFill>
      </w:rPr>
      <w:tcPr>
        <w:tcBorders>
          <w:top w:val="single" w:color="8EA9DB" w:themeColor="accent5" w:themeTint="9A" w:sz="32" w:space="0"/>
          <w:bottom w:val="single" w:color="FFFFFF" w:themeColor="light1" w:sz="12" w:space="0"/>
        </w:tcBorders>
        <w:shd w:val="clear" w:color="8EA9DB" w:fill="8EA9DB"/>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8EA9DB" w:themeColor="accent5" w:themeTint="9A" w:sz="32" w:space="0"/>
          <w:right w:val="single" w:color="FFFFFF" w:themeColor="light1" w:sz="4" w:space="0"/>
        </w:tcBorders>
      </w:tcPr>
    </w:tblStylePr>
    <w:tblStylePr w:type="lastCol">
      <w:tcPr>
        <w:tcBorders>
          <w:left w:val="single" w:color="FFFFFF" w:themeColor="light1" w:sz="4" w:space="0"/>
          <w:right w:val="single" w:color="8EA9DB" w:themeColor="accent5" w:themeTint="9A" w:sz="32" w:space="0"/>
        </w:tcBorders>
      </w:tcPr>
    </w:tblStylePr>
    <w:tblStylePr w:type="band1Vert">
      <w:tcPr>
        <w:tcBorders>
          <w:left w:val="single" w:color="FFFFFF" w:themeColor="light1" w:sz="4" w:space="0"/>
          <w:right w:val="single" w:color="FFFFFF" w:themeColor="light1" w:sz="4" w:space="0"/>
        </w:tcBorders>
        <w:shd w:val="clear" w:color="8EA9DB" w:fill="8EA9DB"/>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8EA9DB" w:fill="8EA9DB"/>
      </w:tcPr>
    </w:tblStylePr>
    <w:tblStylePr w:type="band2Horz">
      <w:tcPr>
        <w:tcBorders>
          <w:top w:val="single" w:color="FFFFFF" w:themeColor="light1" w:sz="4" w:space="0"/>
          <w:bottom w:val="single" w:color="FFFFFF" w:themeColor="light1" w:sz="4" w:space="0"/>
        </w:tcBorders>
        <w:shd w:val="clear" w:color="8EA9DB" w:fill="8EA9DB"/>
      </w:tcPr>
    </w:tblStylePr>
    <w:tblStylePr w:type="neCell"/>
    <w:tblStylePr w:type="nwCell"/>
    <w:tblStylePr w:type="seCell"/>
    <w:tblStylePr w:type="swCell"/>
  </w:style>
  <w:style w:type="table" w:customStyle="1" w:styleId="126">
    <w:name w:val="List Table 5 Dark - Accent 6"/>
    <w:basedOn w:val="3"/>
    <w:qFormat/>
    <w:uiPriority w:val="99"/>
    <w:pPr>
      <w:spacing w:after="0" w:line="240" w:lineRule="auto"/>
    </w:pPr>
    <w:tblPr>
      <w:tblBorders>
        <w:top w:val="single" w:color="A9D08E" w:themeColor="accent6" w:themeTint="98" w:sz="32" w:space="0"/>
        <w:left w:val="single" w:color="A9D08E" w:themeColor="accent6" w:themeTint="98" w:sz="32" w:space="0"/>
        <w:bottom w:val="single" w:color="A9D08E" w:themeColor="accent6" w:themeTint="98" w:sz="32" w:space="0"/>
        <w:right w:val="single" w:color="A9D08E" w:themeColor="accent6" w:themeTint="98" w:sz="32" w:space="0"/>
      </w:tblBorders>
    </w:tblPr>
    <w:tblStylePr w:type="firstRow">
      <w:rPr>
        <w:rFonts w:ascii="Arial" w:hAnsi="Arial"/>
        <w:b/>
        <w:color w:val="FFFFFF" w:themeColor="light1"/>
        <w:sz w:val="22"/>
        <w14:textFill>
          <w14:solidFill>
            <w14:schemeClr w14:val="lt1"/>
          </w14:solidFill>
        </w14:textFill>
      </w:rPr>
      <w:tcPr>
        <w:tcBorders>
          <w:top w:val="single" w:color="A9D08E" w:themeColor="accent6" w:themeTint="98" w:sz="32" w:space="0"/>
          <w:bottom w:val="single" w:color="FFFFFF" w:themeColor="light1" w:sz="12" w:space="0"/>
        </w:tcBorders>
        <w:shd w:val="clear" w:color="A9D08E" w:fill="A9D08E"/>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A9D08E" w:themeColor="accent6" w:themeTint="98" w:sz="32" w:space="0"/>
          <w:right w:val="single" w:color="FFFFFF" w:themeColor="light1" w:sz="4" w:space="0"/>
        </w:tcBorders>
      </w:tcPr>
    </w:tblStylePr>
    <w:tblStylePr w:type="lastCol">
      <w:tcPr>
        <w:tcBorders>
          <w:left w:val="single" w:color="FFFFFF" w:themeColor="light1" w:sz="4" w:space="0"/>
          <w:right w:val="single" w:color="A9D08E" w:themeColor="accent6" w:themeTint="98" w:sz="32" w:space="0"/>
        </w:tcBorders>
      </w:tcPr>
    </w:tblStylePr>
    <w:tblStylePr w:type="band1Vert">
      <w:tcPr>
        <w:tcBorders>
          <w:left w:val="single" w:color="FFFFFF" w:themeColor="light1" w:sz="4" w:space="0"/>
          <w:right w:val="single" w:color="FFFFFF" w:themeColor="light1" w:sz="4" w:space="0"/>
        </w:tcBorders>
        <w:shd w:val="clear" w:color="A9D08E" w:fill="A9D08E"/>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A9D08E" w:fill="A9D08E"/>
      </w:tcPr>
    </w:tblStylePr>
    <w:tblStylePr w:type="band2Horz">
      <w:tcPr>
        <w:tcBorders>
          <w:top w:val="single" w:color="FFFFFF" w:themeColor="light1" w:sz="4" w:space="0"/>
          <w:bottom w:val="single" w:color="FFFFFF" w:themeColor="light1" w:sz="4" w:space="0"/>
        </w:tcBorders>
        <w:shd w:val="clear" w:color="A9D08E" w:fill="A9D08E"/>
      </w:tcPr>
    </w:tblStylePr>
    <w:tblStylePr w:type="neCell"/>
    <w:tblStylePr w:type="nwCell"/>
    <w:tblStylePr w:type="seCell"/>
    <w:tblStylePr w:type="swCell"/>
  </w:style>
  <w:style w:type="table" w:customStyle="1" w:styleId="127">
    <w:name w:val="List Table 6 Colorful"/>
    <w:basedOn w:val="3"/>
    <w:qFormat/>
    <w:uiPriority w:val="99"/>
    <w:pPr>
      <w:spacing w:after="0" w:line="240" w:lineRule="auto"/>
    </w:pPr>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BEBEBE" w:fill="BEBEBE"/>
      </w:tcPr>
    </w:tblStylePr>
    <w:tblStylePr w:type="band2Vert"/>
    <w:tblStylePr w:type="band1Horz">
      <w:rPr>
        <w:rFonts w:ascii="Arial" w:hAnsi="Arial"/>
        <w:color w:val="000000" w:themeColor="text1"/>
        <w:sz w:val="22"/>
        <w14:textFill>
          <w14:solidFill>
            <w14:schemeClr w14:val="tx1"/>
          </w14:solidFill>
        </w14:textFill>
      </w:rPr>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neCell"/>
    <w:tblStylePr w:type="nwCell"/>
    <w:tblStylePr w:type="seCell"/>
    <w:tblStylePr w:type="swCell"/>
  </w:style>
  <w:style w:type="table" w:customStyle="1" w:styleId="128">
    <w:name w:val="List Table 6 Colorful - Accent 1"/>
    <w:basedOn w:val="3"/>
    <w:qFormat/>
    <w:uiPriority w:val="99"/>
    <w:pPr>
      <w:spacing w:after="0" w:line="240" w:lineRule="auto"/>
    </w:pPr>
    <w:tblPr>
      <w:tblBorders>
        <w:top w:val="single" w:color="5B9BD5" w:themeColor="accent1" w:sz="4" w:space="0"/>
        <w:bottom w:val="single" w:color="5B9BD5" w:themeColor="accent1" w:sz="4" w:space="0"/>
      </w:tblBorders>
    </w:tblPr>
    <w:tblStylePr w:type="firstRow">
      <w:rPr>
        <w:b/>
        <w:color w:val="245B8C" w:themeColor="accent1" w:themeShade="94"/>
      </w:rPr>
      <w:tcPr>
        <w:tcBorders>
          <w:bottom w:val="single" w:color="5B9BD5" w:themeColor="accent1" w:sz="4" w:space="0"/>
        </w:tcBorders>
      </w:tcPr>
    </w:tblStylePr>
    <w:tblStylePr w:type="lastRow">
      <w:rPr>
        <w:b/>
        <w:color w:val="245B8C" w:themeColor="accent1" w:themeShade="94"/>
      </w:rPr>
      <w:tcPr>
        <w:tcBorders>
          <w:top w:val="single" w:color="5B9BD5" w:themeColor="accent1" w:sz="4" w:space="0"/>
        </w:tcBorders>
      </w:tcPr>
    </w:tblStylePr>
    <w:tblStylePr w:type="firstCol">
      <w:rPr>
        <w:b/>
        <w:color w:val="245B8C" w:themeColor="accent1" w:themeShade="94"/>
      </w:rPr>
    </w:tblStylePr>
    <w:tblStylePr w:type="lastCol">
      <w:rPr>
        <w:b/>
        <w:color w:val="245B8C" w:themeColor="accent1" w:themeShade="94"/>
      </w:rPr>
    </w:tblStylePr>
    <w:tblStylePr w:type="band1Vert">
      <w:tcPr>
        <w:shd w:val="clear" w:color="D5E5F4" w:fill="D5E5F4"/>
      </w:tcPr>
    </w:tblStylePr>
    <w:tblStylePr w:type="band2Vert"/>
    <w:tblStylePr w:type="band1Horz">
      <w:rPr>
        <w:rFonts w:ascii="Arial" w:hAnsi="Arial"/>
        <w:color w:val="245B8C" w:themeColor="accent1" w:themeShade="94"/>
        <w:sz w:val="22"/>
      </w:rPr>
      <w:tcPr>
        <w:shd w:val="clear" w:color="D5E5F4" w:fill="D5E5F4"/>
      </w:tcPr>
    </w:tblStylePr>
    <w:tblStylePr w:type="band2Horz">
      <w:rPr>
        <w:rFonts w:ascii="Arial" w:hAnsi="Arial"/>
        <w:color w:val="245B8C" w:themeColor="accent1" w:themeShade="94"/>
        <w:sz w:val="22"/>
      </w:rPr>
    </w:tblStylePr>
    <w:tblStylePr w:type="neCell"/>
    <w:tblStylePr w:type="nwCell"/>
    <w:tblStylePr w:type="seCell"/>
    <w:tblStylePr w:type="swCell"/>
  </w:style>
  <w:style w:type="table" w:customStyle="1" w:styleId="129">
    <w:name w:val="List Table 6 Colorful - Accent 2"/>
    <w:basedOn w:val="3"/>
    <w:qFormat/>
    <w:uiPriority w:val="99"/>
    <w:pPr>
      <w:spacing w:after="0" w:line="240" w:lineRule="auto"/>
    </w:pPr>
    <w:tblPr>
      <w:tblBorders>
        <w:top w:val="single" w:color="F4B285" w:themeColor="accent2" w:themeTint="97" w:sz="4" w:space="0"/>
        <w:bottom w:val="single" w:color="F4B285" w:themeColor="accent2" w:themeTint="97" w:sz="4" w:space="0"/>
      </w:tblBorders>
    </w:tblPr>
    <w:tblStylePr w:type="firstRow">
      <w:rPr>
        <w:b/>
        <w:color w:val="F4B285" w:themeColor="accent2" w:themeTint="96"/>
        <w14:textFill>
          <w14:solidFill>
            <w14:schemeClr w14:val="accent2">
              <w14:lumMod w14:val="59000"/>
              <w14:lumOff w14:val="41000"/>
            </w14:schemeClr>
          </w14:solidFill>
        </w14:textFill>
      </w:rPr>
      <w:tcPr>
        <w:tcBorders>
          <w:bottom w:val="single" w:color="F4B285" w:themeColor="accent2" w:themeTint="97" w:sz="4" w:space="0"/>
        </w:tcBorders>
      </w:tc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themeColor="accent2" w:themeTint="97" w:sz="4" w:space="0"/>
        </w:tcBorders>
      </w:tcPr>
    </w:tblStylePr>
    <w:tblStylePr w:type="firstCol">
      <w:rPr>
        <w:b/>
        <w:color w:val="F4B285" w:themeColor="accent2" w:themeTint="96"/>
        <w14:textFill>
          <w14:solidFill>
            <w14:schemeClr w14:val="accent2">
              <w14:lumMod w14:val="59000"/>
              <w14:lumOff w14:val="41000"/>
            </w14:schemeClr>
          </w14:solidFill>
        </w14:textFill>
      </w:rPr>
    </w:tblStylePr>
    <w:tblStylePr w:type="lastCol">
      <w:rPr>
        <w:b/>
        <w:color w:val="F4B285" w:themeColor="accent2" w:themeTint="96"/>
        <w14:textFill>
          <w14:solidFill>
            <w14:schemeClr w14:val="accent2">
              <w14:lumMod w14:val="59000"/>
              <w14:lumOff w14:val="41000"/>
            </w14:schemeClr>
          </w14:solidFill>
        </w14:textFill>
      </w:rPr>
    </w:tblStylePr>
    <w:tblStylePr w:type="band1Vert">
      <w:tcPr>
        <w:shd w:val="clear" w:color="FADECB" w:fill="FADECB"/>
      </w:tcPr>
    </w:tblStylePr>
    <w:tblStylePr w:type="band2Vert"/>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130">
    <w:name w:val="List Table 6 Colorful - Accent 3"/>
    <w:basedOn w:val="3"/>
    <w:qFormat/>
    <w:uiPriority w:val="99"/>
    <w:pPr>
      <w:spacing w:after="0" w:line="240" w:lineRule="auto"/>
    </w:pPr>
    <w:tblPr>
      <w:tblBorders>
        <w:top w:val="single" w:color="C9C9C9" w:themeColor="accent3" w:themeTint="98" w:sz="4" w:space="0"/>
        <w:bottom w:val="single" w:color="C9C9C9" w:themeColor="accent3" w:themeTint="98" w:sz="4" w:space="0"/>
      </w:tblBorders>
    </w:tblPr>
    <w:tblStylePr w:type="firstRow">
      <w:rPr>
        <w:b/>
        <w:color w:val="C9C9C9" w:themeColor="accent3" w:themeTint="99"/>
        <w14:textFill>
          <w14:solidFill>
            <w14:schemeClr w14:val="accent3">
              <w14:lumMod w14:val="60000"/>
              <w14:lumOff w14:val="40000"/>
            </w14:schemeClr>
          </w14:solidFill>
        </w14:textFill>
      </w:rPr>
      <w:tcPr>
        <w:tcBorders>
          <w:bottom w:val="single" w:color="C9C9C9" w:themeColor="accent3" w:themeTint="98" w:sz="4" w:space="0"/>
        </w:tcBorders>
      </w:tc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themeColor="accent3" w:themeTint="98" w:sz="4" w:space="0"/>
        </w:tcBorders>
      </w:tcPr>
    </w:tblStylePr>
    <w:tblStylePr w:type="firstCol">
      <w:rPr>
        <w:b/>
        <w:color w:val="C9C9C9" w:themeColor="accent3" w:themeTint="99"/>
        <w14:textFill>
          <w14:solidFill>
            <w14:schemeClr w14:val="accent3">
              <w14:lumMod w14:val="60000"/>
              <w14:lumOff w14:val="40000"/>
            </w14:schemeClr>
          </w14:solidFill>
        </w14:textFill>
      </w:rPr>
    </w:tblStylePr>
    <w:tblStylePr w:type="lastCol">
      <w:rPr>
        <w:b/>
        <w:color w:val="C9C9C9" w:themeColor="accent3" w:themeTint="99"/>
        <w14:textFill>
          <w14:solidFill>
            <w14:schemeClr w14:val="accent3">
              <w14:lumMod w14:val="60000"/>
              <w14:lumOff w14:val="40000"/>
            </w14:schemeClr>
          </w14:solidFill>
        </w14:textFill>
      </w:rPr>
    </w:tblStylePr>
    <w:tblStylePr w:type="band1Vert">
      <w:tcPr>
        <w:shd w:val="clear" w:color="E8E8E8" w:fill="E8E8E8"/>
      </w:tcPr>
    </w:tblStylePr>
    <w:tblStylePr w:type="band2Vert"/>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neCell"/>
    <w:tblStylePr w:type="nwCell"/>
    <w:tblStylePr w:type="seCell"/>
    <w:tblStylePr w:type="swCell"/>
  </w:style>
  <w:style w:type="table" w:customStyle="1" w:styleId="131">
    <w:name w:val="List Table 6 Colorful - Accent 4"/>
    <w:basedOn w:val="3"/>
    <w:qFormat/>
    <w:uiPriority w:val="99"/>
    <w:pPr>
      <w:spacing w:after="0" w:line="240" w:lineRule="auto"/>
    </w:pPr>
    <w:tblPr>
      <w:tblBorders>
        <w:top w:val="single" w:color="FFD864" w:themeColor="accent4" w:themeTint="9A" w:sz="4" w:space="0"/>
        <w:bottom w:val="single" w:color="FFD864" w:themeColor="accent4" w:themeTint="9A" w:sz="4" w:space="0"/>
      </w:tblBorders>
    </w:tblPr>
    <w:tblStylePr w:type="firstRow">
      <w:rPr>
        <w:b/>
        <w:color w:val="FFD966" w:themeColor="accent4" w:themeTint="99"/>
        <w14:textFill>
          <w14:solidFill>
            <w14:schemeClr w14:val="accent4">
              <w14:lumMod w14:val="60000"/>
              <w14:lumOff w14:val="40000"/>
            </w14:schemeClr>
          </w14:solidFill>
        </w14:textFill>
      </w:rPr>
      <w:tcPr>
        <w:tcBorders>
          <w:bottom w:val="single" w:color="FFD864" w:themeColor="accent4" w:themeTint="9A" w:sz="4" w:space="0"/>
        </w:tcBorders>
      </w:tc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themeColor="accent4" w:themeTint="9A" w:sz="4" w:space="0"/>
        </w:tcBorders>
      </w:tcPr>
    </w:tblStylePr>
    <w:tblStylePr w:type="firstCol">
      <w:rPr>
        <w:b/>
        <w:color w:val="FFD966" w:themeColor="accent4" w:themeTint="99"/>
        <w14:textFill>
          <w14:solidFill>
            <w14:schemeClr w14:val="accent4">
              <w14:lumMod w14:val="60000"/>
              <w14:lumOff w14:val="40000"/>
            </w14:schemeClr>
          </w14:solidFill>
        </w14:textFill>
      </w:rPr>
    </w:tblStylePr>
    <w:tblStylePr w:type="lastCol">
      <w:rPr>
        <w:b/>
        <w:color w:val="FFD966" w:themeColor="accent4" w:themeTint="99"/>
        <w14:textFill>
          <w14:solidFill>
            <w14:schemeClr w14:val="accent4">
              <w14:lumMod w14:val="60000"/>
              <w14:lumOff w14:val="40000"/>
            </w14:schemeClr>
          </w14:solidFill>
        </w14:textFill>
      </w:rPr>
    </w:tblStylePr>
    <w:tblStylePr w:type="band1Vert">
      <w:tcPr>
        <w:shd w:val="clear" w:color="FFEFBE" w:fill="FFEFBE"/>
      </w:tcPr>
    </w:tblStylePr>
    <w:tblStylePr w:type="band2Vert"/>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32">
    <w:name w:val="List Table 6 Colorful - Accent 5"/>
    <w:basedOn w:val="3"/>
    <w:qFormat/>
    <w:uiPriority w:val="99"/>
    <w:pPr>
      <w:spacing w:after="0" w:line="240" w:lineRule="auto"/>
    </w:pPr>
    <w:tblPr>
      <w:tblBorders>
        <w:top w:val="single" w:color="8EA9DB" w:themeColor="accent5" w:themeTint="9A" w:sz="4" w:space="0"/>
        <w:bottom w:val="single" w:color="8EA9DB" w:themeColor="accent5" w:themeTint="9A" w:sz="4" w:space="0"/>
      </w:tblBorders>
    </w:tblPr>
    <w:tblStylePr w:type="firstRow">
      <w:rPr>
        <w:b/>
        <w:color w:val="8FAADC" w:themeColor="accent5" w:themeTint="99"/>
        <w14:textFill>
          <w14:solidFill>
            <w14:schemeClr w14:val="accent5">
              <w14:lumMod w14:val="60000"/>
              <w14:lumOff w14:val="40000"/>
            </w14:schemeClr>
          </w14:solidFill>
        </w14:textFill>
      </w:rPr>
      <w:tcPr>
        <w:tcBorders>
          <w:bottom w:val="single" w:color="8EA9DB" w:themeColor="accent5" w:themeTint="9A" w:sz="4" w:space="0"/>
        </w:tcBorders>
      </w:tcPr>
    </w:tblStylePr>
    <w:tblStylePr w:type="lastRow">
      <w:rPr>
        <w:b/>
        <w:color w:val="8FAADC" w:themeColor="accent5" w:themeTint="99"/>
        <w14:textFill>
          <w14:solidFill>
            <w14:schemeClr w14:val="accent5">
              <w14:lumMod w14:val="60000"/>
              <w14:lumOff w14:val="40000"/>
            </w14:schemeClr>
          </w14:solidFill>
        </w14:textFill>
      </w:rPr>
      <w:tcPr>
        <w:tcBorders>
          <w:top w:val="single" w:color="8EA9DB" w:themeColor="accent5" w:themeTint="9A" w:sz="4" w:space="0"/>
        </w:tcBorders>
      </w:tcPr>
    </w:tblStylePr>
    <w:tblStylePr w:type="firstCol">
      <w:rPr>
        <w:b/>
        <w:color w:val="8FAADC" w:themeColor="accent5" w:themeTint="99"/>
        <w14:textFill>
          <w14:solidFill>
            <w14:schemeClr w14:val="accent5">
              <w14:lumMod w14:val="60000"/>
              <w14:lumOff w14:val="40000"/>
            </w14:schemeClr>
          </w14:solidFill>
        </w14:textFill>
      </w:rPr>
    </w:tblStylePr>
    <w:tblStylePr w:type="lastCol">
      <w:rPr>
        <w:b/>
        <w:color w:val="8FAADC" w:themeColor="accent5" w:themeTint="99"/>
        <w14:textFill>
          <w14:solidFill>
            <w14:schemeClr w14:val="accent5">
              <w14:lumMod w14:val="60000"/>
              <w14:lumOff w14:val="40000"/>
            </w14:schemeClr>
          </w14:solidFill>
        </w14:textFill>
      </w:rPr>
    </w:tblStylePr>
    <w:tblStylePr w:type="band1Vert">
      <w:tcPr>
        <w:shd w:val="clear" w:color="D0DBF0" w:fill="D0DBF0"/>
      </w:tcPr>
    </w:tblStylePr>
    <w:tblStylePr w:type="band2Vert"/>
    <w:tblStylePr w:type="band1Horz">
      <w:rPr>
        <w:rFonts w:ascii="Arial" w:hAnsi="Arial"/>
        <w:color w:val="8FAADC" w:themeColor="accent5" w:themeTint="99"/>
        <w:sz w:val="22"/>
        <w14:textFill>
          <w14:solidFill>
            <w14:schemeClr w14:val="accent5">
              <w14:lumMod w14:val="60000"/>
              <w14:lumOff w14:val="40000"/>
            </w14:schemeClr>
          </w14:solidFill>
        </w14:textFill>
      </w:rPr>
      <w:tcPr>
        <w:shd w:val="clear" w:color="D0DBF0" w:fill="D0DBF0"/>
      </w:tcPr>
    </w:tblStylePr>
    <w:tblStylePr w:type="band2Horz">
      <w:rPr>
        <w:rFonts w:ascii="Arial" w:hAnsi="Arial"/>
        <w:color w:val="8FAADC" w:themeColor="accent5" w:themeTint="99"/>
        <w:sz w:val="22"/>
        <w14:textFill>
          <w14:solidFill>
            <w14:schemeClr w14:val="accent5">
              <w14:lumMod w14:val="60000"/>
              <w14:lumOff w14:val="40000"/>
            </w14:schemeClr>
          </w14:solidFill>
        </w14:textFill>
      </w:rPr>
    </w:tblStylePr>
    <w:tblStylePr w:type="neCell"/>
    <w:tblStylePr w:type="nwCell"/>
    <w:tblStylePr w:type="seCell"/>
    <w:tblStylePr w:type="swCell"/>
  </w:style>
  <w:style w:type="table" w:customStyle="1" w:styleId="133">
    <w:name w:val="List Table 6 Colorful - Accent 6"/>
    <w:basedOn w:val="3"/>
    <w:qFormat/>
    <w:uiPriority w:val="99"/>
    <w:pPr>
      <w:spacing w:after="0" w:line="240" w:lineRule="auto"/>
    </w:pPr>
    <w:tblPr>
      <w:tblBorders>
        <w:top w:val="single" w:color="A9D08E" w:themeColor="accent6" w:themeTint="98" w:sz="4" w:space="0"/>
        <w:bottom w:val="single" w:color="A9D08E" w:themeColor="accent6" w:themeTint="98" w:sz="4" w:space="0"/>
      </w:tblBorders>
    </w:tblPr>
    <w:tblStylePr w:type="firstRow">
      <w:rPr>
        <w:b/>
        <w:color w:val="A9D18E" w:themeColor="accent6" w:themeTint="99"/>
        <w14:textFill>
          <w14:solidFill>
            <w14:schemeClr w14:val="accent6">
              <w14:lumMod w14:val="60000"/>
              <w14:lumOff w14:val="40000"/>
            </w14:schemeClr>
          </w14:solidFill>
        </w14:textFill>
      </w:rPr>
      <w:tcPr>
        <w:tcBorders>
          <w:bottom w:val="single" w:color="A9D08E" w:themeColor="accent6" w:themeTint="98" w:sz="4" w:space="0"/>
        </w:tcBorders>
      </w:tc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themeColor="accent6" w:themeTint="98" w:sz="4" w:space="0"/>
        </w:tcBorders>
      </w:tcPr>
    </w:tblStylePr>
    <w:tblStylePr w:type="firstCol">
      <w:rPr>
        <w:b/>
        <w:color w:val="A9D18E" w:themeColor="accent6" w:themeTint="99"/>
        <w14:textFill>
          <w14:solidFill>
            <w14:schemeClr w14:val="accent6">
              <w14:lumMod w14:val="60000"/>
              <w14:lumOff w14:val="40000"/>
            </w14:schemeClr>
          </w14:solidFill>
        </w14:textFill>
      </w:rPr>
    </w:tblStylePr>
    <w:tblStylePr w:type="lastCol">
      <w:rPr>
        <w:b/>
        <w:color w:val="A9D18E" w:themeColor="accent6" w:themeTint="99"/>
        <w14:textFill>
          <w14:solidFill>
            <w14:schemeClr w14:val="accent6">
              <w14:lumMod w14:val="60000"/>
              <w14:lumOff w14:val="40000"/>
            </w14:schemeClr>
          </w14:solidFill>
        </w14:textFill>
      </w:rPr>
    </w:tblStylePr>
    <w:tblStylePr w:type="band1Vert">
      <w:tcPr>
        <w:shd w:val="clear" w:color="DAEBCF" w:fill="DAEBCF"/>
      </w:tcPr>
    </w:tblStylePr>
    <w:tblStylePr w:type="band2Vert"/>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neCell"/>
    <w:tblStylePr w:type="nwCell"/>
    <w:tblStylePr w:type="seCell"/>
    <w:tblStylePr w:type="swCell"/>
  </w:style>
  <w:style w:type="table" w:customStyle="1" w:styleId="134">
    <w:name w:val="List Table 7 Colorful"/>
    <w:basedOn w:val="3"/>
    <w:qFormat/>
    <w:uiPriority w:val="99"/>
    <w:pPr>
      <w:spacing w:after="0" w:line="240" w:lineRule="auto"/>
    </w:pPr>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fill="FFFFFF"/>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fill="FFFFFF"/>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BEBEBE" w:fill="BEBEBE"/>
      </w:tcPr>
    </w:tblStylePr>
    <w:tblStylePr w:type="band2Vert"/>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neCell"/>
    <w:tblStylePr w:type="nwCell"/>
    <w:tblStylePr w:type="seCell"/>
    <w:tblStylePr w:type="swCell"/>
  </w:style>
  <w:style w:type="table" w:customStyle="1" w:styleId="135">
    <w:name w:val="List Table 7 Colorful - Accent 1"/>
    <w:basedOn w:val="3"/>
    <w:qFormat/>
    <w:uiPriority w:val="99"/>
    <w:pPr>
      <w:spacing w:after="0" w:line="240" w:lineRule="auto"/>
    </w:pPr>
    <w:tblPr>
      <w:tblBorders>
        <w:right w:val="single" w:color="5B9BD5" w:themeColor="accent1" w:sz="4" w:space="0"/>
      </w:tblBorders>
    </w:tblPr>
    <w:tblStylePr w:type="firstRow">
      <w:rPr>
        <w:rFonts w:ascii="Arial" w:hAnsi="Arial"/>
        <w:i/>
        <w:color w:val="245B8C" w:themeColor="accent1" w:themeShade="94"/>
        <w:sz w:val="22"/>
      </w:rPr>
      <w:tcPr>
        <w:tcBorders>
          <w:top w:val="nil"/>
          <w:left w:val="nil"/>
          <w:bottom w:val="single" w:color="5B9BD5" w:themeColor="accent1" w:sz="4" w:space="0"/>
          <w:right w:val="nil"/>
        </w:tcBorders>
        <w:shd w:val="clear" w:color="FFFFFF" w:fill="FFFFFF"/>
      </w:tcPr>
    </w:tblStylePr>
    <w:tblStylePr w:type="lastRow">
      <w:rPr>
        <w:rFonts w:ascii="Arial" w:hAnsi="Arial"/>
        <w:i/>
        <w:color w:val="245B8C" w:themeColor="accent1" w:themeShade="94"/>
        <w:sz w:val="22"/>
      </w:rPr>
      <w:tcPr>
        <w:tcBorders>
          <w:top w:val="single" w:color="5B9BD5" w:themeColor="accent1" w:sz="4" w:space="0"/>
          <w:left w:val="nil"/>
          <w:bottom w:val="nil"/>
          <w:right w:val="nil"/>
        </w:tcBorders>
        <w:shd w:val="clear" w:color="FFFFFF" w:fill="FFFFFF"/>
      </w:tcPr>
    </w:tblStylePr>
    <w:tblStylePr w:type="firstCol">
      <w:pPr>
        <w:jc w:val="right"/>
      </w:pPr>
      <w:rPr>
        <w:rFonts w:ascii="Arial" w:hAnsi="Arial"/>
        <w:i/>
        <w:color w:val="245B8C" w:themeColor="accent1" w:themeShade="94"/>
        <w:sz w:val="22"/>
      </w:rPr>
      <w:tcPr>
        <w:tcBorders>
          <w:top w:val="nil"/>
          <w:left w:val="nil"/>
          <w:bottom w:val="nil"/>
          <w:right w:val="single" w:color="5B9BD5" w:themeColor="accent1" w:sz="4" w:space="0"/>
        </w:tcBorders>
        <w:shd w:val="clear" w:color="FFFFFF" w:fill="auto"/>
      </w:tcPr>
    </w:tblStylePr>
    <w:tblStylePr w:type="lastCol">
      <w:rPr>
        <w:rFonts w:ascii="Arial" w:hAnsi="Arial"/>
        <w:i/>
        <w:color w:val="245B8C" w:themeColor="accent1" w:themeShade="94"/>
        <w:sz w:val="22"/>
      </w:rPr>
      <w:tcPr>
        <w:tcBorders>
          <w:top w:val="nil"/>
          <w:left w:val="single" w:color="5B9BD5" w:themeColor="accent1" w:sz="4" w:space="0"/>
          <w:bottom w:val="nil"/>
          <w:right w:val="nil"/>
        </w:tcBorders>
        <w:shd w:val="clear" w:color="FFFFFF" w:fill="auto"/>
      </w:tcPr>
    </w:tblStylePr>
    <w:tblStylePr w:type="band1Vert">
      <w:tcPr>
        <w:shd w:val="clear" w:color="D5E5F4" w:fill="D5E5F4"/>
      </w:tcPr>
    </w:tblStylePr>
    <w:tblStylePr w:type="band2Vert"/>
    <w:tblStylePr w:type="band1Horz">
      <w:rPr>
        <w:rFonts w:ascii="Arial" w:hAnsi="Arial"/>
        <w:color w:val="245B8C" w:themeColor="accent1" w:themeShade="94"/>
        <w:sz w:val="22"/>
      </w:rPr>
      <w:tcPr>
        <w:shd w:val="clear" w:color="D5E5F4" w:fill="D5E5F4"/>
      </w:tcPr>
    </w:tblStylePr>
    <w:tblStylePr w:type="band2Horz">
      <w:rPr>
        <w:rFonts w:ascii="Arial" w:hAnsi="Arial"/>
        <w:color w:val="245B8C" w:themeColor="accent1" w:themeShade="94"/>
        <w:sz w:val="22"/>
      </w:rPr>
    </w:tblStylePr>
    <w:tblStylePr w:type="neCell"/>
    <w:tblStylePr w:type="nwCell"/>
    <w:tblStylePr w:type="seCell"/>
    <w:tblStylePr w:type="swCell"/>
  </w:style>
  <w:style w:type="table" w:customStyle="1" w:styleId="136">
    <w:name w:val="List Table 7 Colorful - Accent 2"/>
    <w:basedOn w:val="3"/>
    <w:qFormat/>
    <w:uiPriority w:val="99"/>
    <w:pPr>
      <w:spacing w:after="0" w:line="240" w:lineRule="auto"/>
    </w:pPr>
    <w:tblPr>
      <w:tblBorders>
        <w:right w:val="single" w:color="F4B285" w:themeColor="accent2" w:themeTint="97" w:sz="4" w:space="0"/>
      </w:tblBorders>
    </w:tblPr>
    <w:tblStylePr w:type="firstRow">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nil"/>
          <w:bottom w:val="single" w:color="F4B285" w:themeColor="accent2" w:themeTint="97" w:sz="4" w:space="0"/>
          <w:right w:val="nil"/>
        </w:tcBorders>
        <w:shd w:val="clear" w:color="FFFFFF" w:fill="FFFFFF"/>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tcBorders>
          <w:top w:val="single" w:color="F4B285" w:themeColor="accent2" w:themeTint="97" w:sz="4" w:space="0"/>
          <w:left w:val="nil"/>
          <w:bottom w:val="nil"/>
          <w:right w:val="nil"/>
        </w:tcBorders>
        <w:shd w:val="clear" w:color="FFFFFF" w:fill="FFFFFF"/>
      </w:tcPr>
    </w:tblStylePr>
    <w:tblStylePr w:type="firstCol">
      <w:pPr>
        <w:jc w:val="right"/>
      </w:pPr>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nil"/>
          <w:bottom w:val="nil"/>
          <w:right w:val="single" w:color="F4B285" w:themeColor="accent2" w:themeTint="97" w:sz="4" w:space="0"/>
        </w:tcBorders>
        <w:shd w:val="clear" w:color="FFFFFF" w:fill="auto"/>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tcBorders>
          <w:top w:val="nil"/>
          <w:left w:val="single" w:color="F4B285" w:themeColor="accent2" w:themeTint="97" w:sz="4" w:space="0"/>
          <w:bottom w:val="nil"/>
          <w:right w:val="nil"/>
        </w:tcBorders>
        <w:shd w:val="clear" w:color="FFFFFF" w:fill="auto"/>
      </w:tcPr>
    </w:tblStylePr>
    <w:tblStylePr w:type="band1Vert">
      <w:tcPr>
        <w:shd w:val="clear" w:color="FADECB" w:fill="FADECB"/>
      </w:tcPr>
    </w:tblStylePr>
    <w:tblStylePr w:type="band2Vert"/>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neCell"/>
    <w:tblStylePr w:type="nwCell"/>
    <w:tblStylePr w:type="seCell"/>
    <w:tblStylePr w:type="swCell"/>
  </w:style>
  <w:style w:type="table" w:customStyle="1" w:styleId="137">
    <w:name w:val="List Table 7 Colorful - Accent 3"/>
    <w:basedOn w:val="3"/>
    <w:qFormat/>
    <w:uiPriority w:val="99"/>
    <w:pPr>
      <w:spacing w:after="0" w:line="240" w:lineRule="auto"/>
    </w:pPr>
    <w:tblPr>
      <w:tblBorders>
        <w:right w:val="single" w:color="C9C9C9" w:themeColor="accent3" w:themeTint="98" w:sz="4" w:space="0"/>
      </w:tblBorders>
    </w:tblPr>
    <w:tblStylePr w:type="firstRow">
      <w:rPr>
        <w:rFonts w:ascii="Arial" w:hAnsi="Arial"/>
        <w:i/>
        <w:color w:val="C9C9C9" w:themeColor="accent3" w:themeTint="99"/>
        <w:sz w:val="22"/>
        <w14:textFill>
          <w14:solidFill>
            <w14:schemeClr w14:val="accent3">
              <w14:lumMod w14:val="60000"/>
              <w14:lumOff w14:val="40000"/>
            </w14:schemeClr>
          </w14:solidFill>
        </w14:textFill>
      </w:rPr>
      <w:tcPr>
        <w:tcBorders>
          <w:top w:val="nil"/>
          <w:left w:val="nil"/>
          <w:bottom w:val="single" w:color="C9C9C9" w:themeColor="accent3" w:themeTint="98" w:sz="4" w:space="0"/>
          <w:right w:val="nil"/>
        </w:tcBorders>
        <w:shd w:val="clear" w:color="FFFFFF" w:fill="FFFFFF"/>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tcBorders>
          <w:top w:val="single" w:color="C9C9C9" w:themeColor="accent3" w:themeTint="98" w:sz="4" w:space="0"/>
          <w:left w:val="nil"/>
          <w:bottom w:val="nil"/>
          <w:right w:val="nil"/>
        </w:tcBorders>
        <w:shd w:val="clear" w:color="FFFFFF" w:fill="FFFFFF"/>
      </w:tcPr>
    </w:tblStylePr>
    <w:tblStylePr w:type="firstCol">
      <w:pPr>
        <w:jc w:val="right"/>
      </w:pPr>
      <w:rPr>
        <w:rFonts w:ascii="Arial" w:hAnsi="Arial"/>
        <w:i/>
        <w:color w:val="C9C9C9" w:themeColor="accent3" w:themeTint="99"/>
        <w:sz w:val="22"/>
        <w14:textFill>
          <w14:solidFill>
            <w14:schemeClr w14:val="accent3">
              <w14:lumMod w14:val="60000"/>
              <w14:lumOff w14:val="40000"/>
            </w14:schemeClr>
          </w14:solidFill>
        </w14:textFill>
      </w:rPr>
      <w:tcPr>
        <w:tcBorders>
          <w:top w:val="nil"/>
          <w:left w:val="nil"/>
          <w:bottom w:val="nil"/>
          <w:right w:val="single" w:color="C9C9C9" w:themeColor="accent3" w:themeTint="98" w:sz="4" w:space="0"/>
        </w:tcBorders>
        <w:shd w:val="clear" w:color="FFFFFF" w:fill="auto"/>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tcBorders>
          <w:top w:val="nil"/>
          <w:left w:val="single" w:color="C9C9C9" w:themeColor="accent3" w:themeTint="98" w:sz="4" w:space="0"/>
          <w:bottom w:val="nil"/>
          <w:right w:val="nil"/>
        </w:tcBorders>
        <w:shd w:val="clear" w:color="FFFFFF" w:fill="auto"/>
      </w:tcPr>
    </w:tblStylePr>
    <w:tblStylePr w:type="band1Vert">
      <w:tcPr>
        <w:shd w:val="clear" w:color="E8E8E8" w:fill="E8E8E8"/>
      </w:tcPr>
    </w:tblStylePr>
    <w:tblStylePr w:type="band2Vert"/>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neCell"/>
    <w:tblStylePr w:type="nwCell"/>
    <w:tblStylePr w:type="seCell"/>
    <w:tblStylePr w:type="swCell"/>
  </w:style>
  <w:style w:type="table" w:customStyle="1" w:styleId="138">
    <w:name w:val="List Table 7 Colorful - Accent 4"/>
    <w:basedOn w:val="3"/>
    <w:qFormat/>
    <w:uiPriority w:val="99"/>
    <w:pPr>
      <w:spacing w:after="0" w:line="240" w:lineRule="auto"/>
    </w:pPr>
    <w:tblPr>
      <w:tblBorders>
        <w:right w:val="single" w:color="FFD864" w:themeColor="accent4" w:themeTint="9A" w:sz="4" w:space="0"/>
      </w:tblBorders>
    </w:tblPr>
    <w:tblStylePr w:type="firstRow">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nil"/>
          <w:bottom w:val="single" w:color="FFD864" w:themeColor="accent4" w:themeTint="9A" w:sz="4" w:space="0"/>
          <w:right w:val="nil"/>
        </w:tcBorders>
        <w:shd w:val="clear" w:color="FFFFFF" w:fill="FFFFFF"/>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tcBorders>
          <w:top w:val="single" w:color="FFD864" w:themeColor="accent4" w:themeTint="9A" w:sz="4" w:space="0"/>
          <w:left w:val="nil"/>
          <w:bottom w:val="nil"/>
          <w:right w:val="nil"/>
        </w:tcBorders>
        <w:shd w:val="clear" w:color="FFFFFF" w:fill="FFFFFF"/>
      </w:tcPr>
    </w:tblStylePr>
    <w:tblStylePr w:type="firstCol">
      <w:pPr>
        <w:jc w:val="right"/>
      </w:pPr>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nil"/>
          <w:bottom w:val="nil"/>
          <w:right w:val="single" w:color="FFD864" w:themeColor="accent4" w:themeTint="9A" w:sz="4" w:space="0"/>
        </w:tcBorders>
        <w:shd w:val="clear" w:color="FFFFFF" w:fill="auto"/>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tcBorders>
          <w:top w:val="nil"/>
          <w:left w:val="single" w:color="FFD864" w:themeColor="accent4" w:themeTint="9A" w:sz="4" w:space="0"/>
          <w:bottom w:val="nil"/>
          <w:right w:val="nil"/>
        </w:tcBorders>
        <w:shd w:val="clear" w:color="FFFFFF" w:fill="auto"/>
      </w:tcPr>
    </w:tblStylePr>
    <w:tblStylePr w:type="band1Vert">
      <w:tcPr>
        <w:shd w:val="clear" w:color="FFEFBE" w:fill="FFEFBE"/>
      </w:tcPr>
    </w:tblStylePr>
    <w:tblStylePr w:type="band2Vert"/>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neCell"/>
    <w:tblStylePr w:type="nwCell"/>
    <w:tblStylePr w:type="seCell"/>
    <w:tblStylePr w:type="swCell"/>
  </w:style>
  <w:style w:type="table" w:customStyle="1" w:styleId="139">
    <w:name w:val="List Table 7 Colorful - Accent 5"/>
    <w:basedOn w:val="3"/>
    <w:qFormat/>
    <w:uiPriority w:val="99"/>
    <w:pPr>
      <w:spacing w:after="0" w:line="240" w:lineRule="auto"/>
    </w:pPr>
    <w:tblPr>
      <w:tblBorders>
        <w:right w:val="single" w:color="8EA9DB" w:themeColor="accent5" w:themeTint="9A" w:sz="4" w:space="0"/>
      </w:tblBorders>
    </w:tblPr>
    <w:tblStylePr w:type="firstRow">
      <w:rPr>
        <w:rFonts w:ascii="Arial" w:hAnsi="Arial"/>
        <w:i/>
        <w:color w:val="8FAADC" w:themeColor="accent5" w:themeTint="99"/>
        <w:sz w:val="22"/>
        <w14:textFill>
          <w14:solidFill>
            <w14:schemeClr w14:val="accent5">
              <w14:lumMod w14:val="60000"/>
              <w14:lumOff w14:val="40000"/>
            </w14:schemeClr>
          </w14:solidFill>
        </w14:textFill>
      </w:rPr>
      <w:tcPr>
        <w:tcBorders>
          <w:top w:val="nil"/>
          <w:left w:val="nil"/>
          <w:bottom w:val="single" w:color="8EA9DB" w:themeColor="accent5" w:themeTint="9A" w:sz="4" w:space="0"/>
          <w:right w:val="nil"/>
        </w:tcBorders>
        <w:shd w:val="clear" w:color="FFFFFF" w:fill="FFFFFF"/>
      </w:tcPr>
    </w:tblStylePr>
    <w:tblStylePr w:type="lastRow">
      <w:rPr>
        <w:rFonts w:ascii="Arial" w:hAnsi="Arial"/>
        <w:i/>
        <w:color w:val="8FAADC" w:themeColor="accent5" w:themeTint="99"/>
        <w:sz w:val="22"/>
        <w14:textFill>
          <w14:solidFill>
            <w14:schemeClr w14:val="accent5">
              <w14:lumMod w14:val="60000"/>
              <w14:lumOff w14:val="40000"/>
            </w14:schemeClr>
          </w14:solidFill>
        </w14:textFill>
      </w:rPr>
      <w:tcPr>
        <w:tcBorders>
          <w:top w:val="single" w:color="8EA9DB" w:themeColor="accent5" w:themeTint="9A" w:sz="4" w:space="0"/>
          <w:left w:val="nil"/>
          <w:bottom w:val="nil"/>
          <w:right w:val="nil"/>
        </w:tcBorders>
        <w:shd w:val="clear" w:color="FFFFFF" w:fill="FFFFFF"/>
      </w:tcPr>
    </w:tblStylePr>
    <w:tblStylePr w:type="firstCol">
      <w:pPr>
        <w:jc w:val="right"/>
      </w:pPr>
      <w:rPr>
        <w:rFonts w:ascii="Arial" w:hAnsi="Arial"/>
        <w:i/>
        <w:color w:val="8FAADC" w:themeColor="accent5" w:themeTint="99"/>
        <w:sz w:val="22"/>
        <w14:textFill>
          <w14:solidFill>
            <w14:schemeClr w14:val="accent5">
              <w14:lumMod w14:val="60000"/>
              <w14:lumOff w14:val="40000"/>
            </w14:schemeClr>
          </w14:solidFill>
        </w14:textFill>
      </w:rPr>
      <w:tcPr>
        <w:tcBorders>
          <w:top w:val="nil"/>
          <w:left w:val="nil"/>
          <w:bottom w:val="nil"/>
          <w:right w:val="single" w:color="8EA9DB" w:themeColor="accent5" w:themeTint="9A" w:sz="4" w:space="0"/>
        </w:tcBorders>
        <w:shd w:val="clear" w:color="FFFFFF" w:fill="auto"/>
      </w:tcPr>
    </w:tblStylePr>
    <w:tblStylePr w:type="lastCol">
      <w:rPr>
        <w:rFonts w:ascii="Arial" w:hAnsi="Arial"/>
        <w:i/>
        <w:color w:val="8FAADC" w:themeColor="accent5" w:themeTint="99"/>
        <w:sz w:val="22"/>
        <w14:textFill>
          <w14:solidFill>
            <w14:schemeClr w14:val="accent5">
              <w14:lumMod w14:val="60000"/>
              <w14:lumOff w14:val="40000"/>
            </w14:schemeClr>
          </w14:solidFill>
        </w14:textFill>
      </w:rPr>
      <w:tcPr>
        <w:tcBorders>
          <w:top w:val="nil"/>
          <w:left w:val="single" w:color="8EA9DB" w:themeColor="accent5" w:themeTint="9A" w:sz="4" w:space="0"/>
          <w:bottom w:val="nil"/>
          <w:right w:val="nil"/>
        </w:tcBorders>
        <w:shd w:val="clear" w:color="FFFFFF" w:fill="auto"/>
      </w:tcPr>
    </w:tblStylePr>
    <w:tblStylePr w:type="band1Vert">
      <w:tcPr>
        <w:shd w:val="clear" w:color="D0DBF0" w:fill="D0DBF0"/>
      </w:tcPr>
    </w:tblStylePr>
    <w:tblStylePr w:type="band2Vert"/>
    <w:tblStylePr w:type="band1Horz">
      <w:rPr>
        <w:rFonts w:ascii="Arial" w:hAnsi="Arial"/>
        <w:color w:val="8FAADC" w:themeColor="accent5" w:themeTint="99"/>
        <w:sz w:val="22"/>
        <w14:textFill>
          <w14:solidFill>
            <w14:schemeClr w14:val="accent5">
              <w14:lumMod w14:val="60000"/>
              <w14:lumOff w14:val="40000"/>
            </w14:schemeClr>
          </w14:solidFill>
        </w14:textFill>
      </w:rPr>
      <w:tcPr>
        <w:shd w:val="clear" w:color="D0DBF0" w:fill="D0DBF0"/>
      </w:tcPr>
    </w:tblStylePr>
    <w:tblStylePr w:type="band2Horz">
      <w:rPr>
        <w:rFonts w:ascii="Arial" w:hAnsi="Arial"/>
        <w:color w:val="8FAADC" w:themeColor="accent5" w:themeTint="99"/>
        <w:sz w:val="22"/>
        <w14:textFill>
          <w14:solidFill>
            <w14:schemeClr w14:val="accent5">
              <w14:lumMod w14:val="60000"/>
              <w14:lumOff w14:val="40000"/>
            </w14:schemeClr>
          </w14:solidFill>
        </w14:textFill>
      </w:rPr>
    </w:tblStylePr>
    <w:tblStylePr w:type="neCell"/>
    <w:tblStylePr w:type="nwCell"/>
    <w:tblStylePr w:type="seCell"/>
    <w:tblStylePr w:type="swCell"/>
  </w:style>
  <w:style w:type="table" w:customStyle="1" w:styleId="140">
    <w:name w:val="List Table 7 Colorful - Accent 6"/>
    <w:basedOn w:val="3"/>
    <w:qFormat/>
    <w:uiPriority w:val="99"/>
    <w:pPr>
      <w:spacing w:after="0" w:line="240" w:lineRule="auto"/>
    </w:pPr>
    <w:tblPr>
      <w:tblBorders>
        <w:right w:val="single" w:color="A9D08E" w:themeColor="accent6" w:themeTint="98" w:sz="4" w:space="0"/>
      </w:tblBorders>
    </w:tblPr>
    <w:tblStylePr w:type="firstRow">
      <w:rPr>
        <w:rFonts w:ascii="Arial" w:hAnsi="Arial"/>
        <w:i/>
        <w:color w:val="A9D18E" w:themeColor="accent6" w:themeTint="99"/>
        <w:sz w:val="22"/>
        <w14:textFill>
          <w14:solidFill>
            <w14:schemeClr w14:val="accent6">
              <w14:lumMod w14:val="60000"/>
              <w14:lumOff w14:val="40000"/>
            </w14:schemeClr>
          </w14:solidFill>
        </w14:textFill>
      </w:rPr>
      <w:tcPr>
        <w:tcBorders>
          <w:top w:val="nil"/>
          <w:left w:val="nil"/>
          <w:bottom w:val="single" w:color="A9D08E" w:themeColor="accent6" w:themeTint="98" w:sz="4" w:space="0"/>
          <w:right w:val="nil"/>
        </w:tcBorders>
        <w:shd w:val="clear" w:color="FFFFFF" w:fill="FFFFFF"/>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tcBorders>
          <w:top w:val="single" w:color="A9D08E" w:themeColor="accent6" w:themeTint="98" w:sz="4" w:space="0"/>
          <w:left w:val="nil"/>
          <w:bottom w:val="nil"/>
          <w:right w:val="nil"/>
        </w:tcBorders>
        <w:shd w:val="clear" w:color="FFFFFF" w:fill="FFFFFF"/>
      </w:tcPr>
    </w:tblStylePr>
    <w:tblStylePr w:type="firstCol">
      <w:pPr>
        <w:jc w:val="right"/>
      </w:pPr>
      <w:rPr>
        <w:rFonts w:ascii="Arial" w:hAnsi="Arial"/>
        <w:i/>
        <w:color w:val="A9D18E" w:themeColor="accent6" w:themeTint="99"/>
        <w:sz w:val="22"/>
        <w14:textFill>
          <w14:solidFill>
            <w14:schemeClr w14:val="accent6">
              <w14:lumMod w14:val="60000"/>
              <w14:lumOff w14:val="40000"/>
            </w14:schemeClr>
          </w14:solidFill>
        </w14:textFill>
      </w:rPr>
      <w:tcPr>
        <w:tcBorders>
          <w:top w:val="nil"/>
          <w:left w:val="nil"/>
          <w:bottom w:val="nil"/>
          <w:right w:val="single" w:color="A9D08E" w:themeColor="accent6" w:themeTint="98" w:sz="4" w:space="0"/>
        </w:tcBorders>
        <w:shd w:val="clear" w:color="FFFFFF" w:fill="auto"/>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tcBorders>
          <w:top w:val="nil"/>
          <w:left w:val="single" w:color="A9D08E" w:themeColor="accent6" w:themeTint="98" w:sz="4" w:space="0"/>
          <w:bottom w:val="nil"/>
          <w:right w:val="nil"/>
        </w:tcBorders>
        <w:shd w:val="clear" w:color="FFFFFF" w:fill="auto"/>
      </w:tcPr>
    </w:tblStylePr>
    <w:tblStylePr w:type="band1Vert">
      <w:tcPr>
        <w:shd w:val="clear" w:color="DAEBCF" w:fill="DAEBCF"/>
      </w:tcPr>
    </w:tblStylePr>
    <w:tblStylePr w:type="band2Vert"/>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neCell"/>
    <w:tblStylePr w:type="nwCell"/>
    <w:tblStylePr w:type="seCell"/>
    <w:tblStylePr w:type="swCell"/>
  </w:style>
  <w:style w:type="table" w:customStyle="1" w:styleId="141">
    <w:name w:val="Lined - Accent"/>
    <w:basedOn w:val="3"/>
    <w:qFormat/>
    <w:uiPriority w:val="99"/>
    <w:pPr>
      <w:spacing w:after="0" w:line="240" w:lineRule="auto"/>
    </w:pPr>
    <w:rPr>
      <w:color w:val="404040"/>
    </w:rPr>
    <w:tblStylePr w:type="firstRow">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tblStylePr w:type="firstCol">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band1Vert">
      <w:rPr>
        <w:rFonts w:ascii="Arial" w:hAnsi="Arial"/>
        <w:color w:val="404040"/>
        <w:sz w:val="22"/>
      </w:rPr>
    </w:tblStylePr>
    <w:tblStylePr w:type="band2Vert">
      <w:rPr>
        <w:rFonts w:ascii="Arial" w:hAnsi="Arial"/>
        <w:color w:val="404040"/>
        <w:sz w:val="22"/>
      </w:rPr>
      <w:tcPr>
        <w:shd w:val="clear" w:color="F1F1F1" w:fill="F1F1F1"/>
      </w:tcPr>
    </w:tblStylePr>
    <w:tblStylePr w:type="band1Horz">
      <w:rPr>
        <w:rFonts w:ascii="Arial" w:hAnsi="Arial"/>
        <w:color w:val="404040"/>
        <w:sz w:val="22"/>
      </w:rPr>
    </w:tblStylePr>
    <w:tblStylePr w:type="band2Horz">
      <w:rPr>
        <w:rFonts w:ascii="Arial" w:hAnsi="Arial"/>
        <w:color w:val="404040"/>
        <w:sz w:val="22"/>
      </w:rPr>
      <w:tcPr>
        <w:shd w:val="clear" w:color="F1F1F1" w:fill="F1F1F1"/>
      </w:tcPr>
    </w:tblStylePr>
    <w:tblStylePr w:type="neCell"/>
    <w:tblStylePr w:type="nwCell"/>
    <w:tblStylePr w:type="seCell"/>
    <w:tblStylePr w:type="swCell"/>
  </w:style>
  <w:style w:type="table" w:customStyle="1" w:styleId="142">
    <w:name w:val="Lined - Accent 1"/>
    <w:basedOn w:val="3"/>
    <w:qFormat/>
    <w:uiPriority w:val="99"/>
    <w:pPr>
      <w:spacing w:after="0" w:line="240" w:lineRule="auto"/>
    </w:pPr>
    <w:rPr>
      <w:color w:val="404040"/>
    </w:rPr>
    <w:tblStylePr w:type="firstRow">
      <w:rPr>
        <w:rFonts w:ascii="Arial" w:hAnsi="Arial"/>
        <w:color w:val="F2F2F2"/>
        <w:sz w:val="22"/>
      </w:rPr>
      <w:tcPr>
        <w:shd w:val="clear" w:color="68A3D8" w:fill="68A3D8"/>
      </w:tcPr>
    </w:tblStylePr>
    <w:tblStylePr w:type="lastRow">
      <w:rPr>
        <w:rFonts w:ascii="Arial" w:hAnsi="Arial"/>
        <w:color w:val="F2F2F2"/>
        <w:sz w:val="22"/>
      </w:rPr>
      <w:tcPr>
        <w:shd w:val="clear" w:color="68A3D8" w:fill="68A3D8"/>
      </w:tcPr>
    </w:tblStylePr>
    <w:tblStylePr w:type="firstCol">
      <w:rPr>
        <w:rFonts w:ascii="Arial" w:hAnsi="Arial"/>
        <w:color w:val="F2F2F2"/>
        <w:sz w:val="22"/>
      </w:rPr>
      <w:tcPr>
        <w:shd w:val="clear" w:color="68A3D8" w:fill="68A3D8"/>
      </w:tcPr>
    </w:tblStylePr>
    <w:tblStylePr w:type="lastCol">
      <w:rPr>
        <w:rFonts w:ascii="Arial" w:hAnsi="Arial"/>
        <w:color w:val="F2F2F2"/>
        <w:sz w:val="22"/>
      </w:rPr>
      <w:tcPr>
        <w:shd w:val="clear" w:color="68A3D8" w:fill="68A3D8"/>
      </w:tcPr>
    </w:tblStylePr>
    <w:tblStylePr w:type="band1Vert">
      <w:rPr>
        <w:rFonts w:ascii="Arial" w:hAnsi="Arial"/>
        <w:color w:val="404040"/>
        <w:sz w:val="22"/>
      </w:rPr>
    </w:tblStylePr>
    <w:tblStylePr w:type="band2Vert">
      <w:rPr>
        <w:rFonts w:ascii="Arial" w:hAnsi="Arial"/>
        <w:color w:val="404040"/>
        <w:sz w:val="22"/>
      </w:rPr>
      <w:tcPr>
        <w:shd w:val="clear" w:color="CBDFF1" w:fill="CBDFF1"/>
      </w:tcPr>
    </w:tblStylePr>
    <w:tblStylePr w:type="band1Horz">
      <w:rPr>
        <w:rFonts w:ascii="Arial" w:hAnsi="Arial"/>
        <w:color w:val="404040"/>
        <w:sz w:val="22"/>
      </w:rPr>
    </w:tblStylePr>
    <w:tblStylePr w:type="band2Horz">
      <w:rPr>
        <w:rFonts w:ascii="Arial" w:hAnsi="Arial"/>
        <w:color w:val="404040"/>
        <w:sz w:val="22"/>
      </w:rPr>
      <w:tcPr>
        <w:shd w:val="clear" w:color="CBDFF1" w:fill="CBDFF1"/>
      </w:tcPr>
    </w:tblStylePr>
    <w:tblStylePr w:type="neCell"/>
    <w:tblStylePr w:type="nwCell"/>
    <w:tblStylePr w:type="seCell"/>
    <w:tblStylePr w:type="swCell"/>
  </w:style>
  <w:style w:type="table" w:customStyle="1" w:styleId="143">
    <w:name w:val="Lined - Accent 2"/>
    <w:basedOn w:val="3"/>
    <w:qFormat/>
    <w:uiPriority w:val="99"/>
    <w:pPr>
      <w:spacing w:after="0" w:line="240" w:lineRule="auto"/>
    </w:pPr>
    <w:rPr>
      <w:color w:val="404040"/>
    </w:rPr>
    <w:tblStylePr w:type="firstRow">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tblStylePr w:type="firstCol">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band1Vert">
      <w:rPr>
        <w:rFonts w:ascii="Arial" w:hAnsi="Arial"/>
        <w:color w:val="404040"/>
        <w:sz w:val="22"/>
      </w:rPr>
    </w:tblStylePr>
    <w:tblStylePr w:type="band2Vert">
      <w:rPr>
        <w:rFonts w:ascii="Arial" w:hAnsi="Arial"/>
        <w:color w:val="404040"/>
        <w:sz w:val="22"/>
      </w:rPr>
      <w:tcPr>
        <w:shd w:val="clear" w:color="FBE5D6" w:fill="FBE5D6"/>
      </w:tcPr>
    </w:tblStylePr>
    <w:tblStylePr w:type="band1Horz">
      <w:rPr>
        <w:rFonts w:ascii="Arial" w:hAnsi="Arial"/>
        <w:color w:val="404040"/>
        <w:sz w:val="22"/>
      </w:rPr>
    </w:tblStylePr>
    <w:tblStylePr w:type="band2Horz">
      <w:rPr>
        <w:rFonts w:ascii="Arial" w:hAnsi="Arial"/>
        <w:color w:val="404040"/>
        <w:sz w:val="22"/>
      </w:rPr>
      <w:tcPr>
        <w:shd w:val="clear" w:color="FBE5D6" w:fill="FBE5D6"/>
      </w:tcPr>
    </w:tblStylePr>
    <w:tblStylePr w:type="neCell"/>
    <w:tblStylePr w:type="nwCell"/>
    <w:tblStylePr w:type="seCell"/>
    <w:tblStylePr w:type="swCell"/>
  </w:style>
  <w:style w:type="table" w:customStyle="1" w:styleId="144">
    <w:name w:val="Lined - Accent 3"/>
    <w:basedOn w:val="3"/>
    <w:qFormat/>
    <w:uiPriority w:val="99"/>
    <w:pPr>
      <w:spacing w:after="0" w:line="240" w:lineRule="auto"/>
    </w:pPr>
    <w:rPr>
      <w:color w:val="404040"/>
    </w:rPr>
    <w:tblStylePr w:type="firstRow">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tblStylePr w:type="firstCol">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band1Vert">
      <w:rPr>
        <w:rFonts w:ascii="Arial" w:hAnsi="Arial"/>
        <w:color w:val="404040"/>
        <w:sz w:val="22"/>
      </w:rPr>
    </w:tblStylePr>
    <w:tblStylePr w:type="band2Vert">
      <w:rPr>
        <w:rFonts w:ascii="Arial" w:hAnsi="Arial"/>
        <w:color w:val="404040"/>
        <w:sz w:val="22"/>
      </w:rPr>
      <w:tcPr>
        <w:shd w:val="clear" w:color="ECECEC" w:fill="ECECEC"/>
      </w:tcPr>
    </w:tblStylePr>
    <w:tblStylePr w:type="band1Horz">
      <w:rPr>
        <w:rFonts w:ascii="Arial" w:hAnsi="Arial"/>
        <w:color w:val="404040"/>
        <w:sz w:val="22"/>
      </w:rPr>
    </w:tblStylePr>
    <w:tblStylePr w:type="band2Horz">
      <w:rPr>
        <w:rFonts w:ascii="Arial" w:hAnsi="Arial"/>
        <w:color w:val="404040"/>
        <w:sz w:val="22"/>
      </w:rPr>
      <w:tcPr>
        <w:shd w:val="clear" w:color="ECECEC" w:fill="ECECEC"/>
      </w:tcPr>
    </w:tblStylePr>
    <w:tblStylePr w:type="neCell"/>
    <w:tblStylePr w:type="nwCell"/>
    <w:tblStylePr w:type="seCell"/>
    <w:tblStylePr w:type="swCell"/>
  </w:style>
  <w:style w:type="table" w:customStyle="1" w:styleId="145">
    <w:name w:val="Lined - Accent 4"/>
    <w:basedOn w:val="3"/>
    <w:qFormat/>
    <w:uiPriority w:val="99"/>
    <w:pPr>
      <w:spacing w:after="0" w:line="240" w:lineRule="auto"/>
    </w:pPr>
    <w:rPr>
      <w:color w:val="404040"/>
    </w:rPr>
    <w:tblStylePr w:type="firstRow">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tblStylePr w:type="firstCol">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band1Vert">
      <w:rPr>
        <w:rFonts w:ascii="Arial" w:hAnsi="Arial"/>
        <w:color w:val="404040"/>
        <w:sz w:val="22"/>
      </w:rPr>
    </w:tblStylePr>
    <w:tblStylePr w:type="band2Vert">
      <w:rPr>
        <w:rFonts w:ascii="Arial" w:hAnsi="Arial"/>
        <w:color w:val="404040"/>
        <w:sz w:val="22"/>
      </w:rPr>
      <w:tcPr>
        <w:shd w:val="clear" w:color="FEF2CA" w:fill="FEF2CA"/>
      </w:tcPr>
    </w:tblStylePr>
    <w:tblStylePr w:type="band1Horz">
      <w:rPr>
        <w:rFonts w:ascii="Arial" w:hAnsi="Arial"/>
        <w:color w:val="404040"/>
        <w:sz w:val="22"/>
      </w:rPr>
    </w:tblStylePr>
    <w:tblStylePr w:type="band2Horz">
      <w:rPr>
        <w:rFonts w:ascii="Arial" w:hAnsi="Arial"/>
        <w:color w:val="404040"/>
        <w:sz w:val="22"/>
      </w:rPr>
      <w:tcPr>
        <w:shd w:val="clear" w:color="FEF2CA" w:fill="FEF2CA"/>
      </w:tcPr>
    </w:tblStylePr>
    <w:tblStylePr w:type="neCell"/>
    <w:tblStylePr w:type="nwCell"/>
    <w:tblStylePr w:type="seCell"/>
    <w:tblStylePr w:type="swCell"/>
  </w:style>
  <w:style w:type="table" w:customStyle="1" w:styleId="146">
    <w:name w:val="Lined - Accent 5"/>
    <w:basedOn w:val="3"/>
    <w:qFormat/>
    <w:uiPriority w:val="99"/>
    <w:pPr>
      <w:spacing w:after="0" w:line="240" w:lineRule="auto"/>
    </w:pPr>
    <w:rPr>
      <w:color w:val="404040"/>
    </w:rPr>
    <w:tblStylePr w:type="firstRow">
      <w:rPr>
        <w:rFonts w:ascii="Arial" w:hAnsi="Arial"/>
        <w:color w:val="F2F2F2"/>
        <w:sz w:val="22"/>
      </w:rPr>
      <w:tcPr>
        <w:shd w:val="clear" w:color="4472C4" w:fill="4472C4"/>
      </w:tcPr>
    </w:tblStylePr>
    <w:tblStylePr w:type="lastRow">
      <w:rPr>
        <w:rFonts w:ascii="Arial" w:hAnsi="Arial"/>
        <w:color w:val="F2F2F2"/>
        <w:sz w:val="22"/>
      </w:rPr>
      <w:tcPr>
        <w:shd w:val="clear" w:color="4472C4" w:fill="4472C4"/>
      </w:tcPr>
    </w:tblStylePr>
    <w:tblStylePr w:type="firstCol">
      <w:rPr>
        <w:rFonts w:ascii="Arial" w:hAnsi="Arial"/>
        <w:color w:val="F2F2F2"/>
        <w:sz w:val="22"/>
      </w:rPr>
      <w:tcPr>
        <w:shd w:val="clear" w:color="4472C4" w:fill="4472C4"/>
      </w:tcPr>
    </w:tblStylePr>
    <w:tblStylePr w:type="lastCol">
      <w:rPr>
        <w:rFonts w:ascii="Arial" w:hAnsi="Arial"/>
        <w:color w:val="F2F2F2"/>
        <w:sz w:val="22"/>
      </w:rPr>
      <w:tcPr>
        <w:shd w:val="clear" w:color="4472C4" w:fill="4472C4"/>
      </w:tcPr>
    </w:tblStylePr>
    <w:tblStylePr w:type="band1Vert">
      <w:rPr>
        <w:rFonts w:ascii="Arial" w:hAnsi="Arial"/>
        <w:color w:val="404040"/>
        <w:sz w:val="22"/>
      </w:rPr>
    </w:tblStylePr>
    <w:tblStylePr w:type="band2Vert">
      <w:rPr>
        <w:rFonts w:ascii="Arial" w:hAnsi="Arial"/>
        <w:color w:val="404040"/>
        <w:sz w:val="22"/>
      </w:rPr>
      <w:tcPr>
        <w:shd w:val="clear" w:color="D8E2F2" w:fill="D8E2F2"/>
      </w:tcPr>
    </w:tblStylePr>
    <w:tblStylePr w:type="band1Horz">
      <w:rPr>
        <w:rFonts w:ascii="Arial" w:hAnsi="Arial"/>
        <w:color w:val="404040"/>
        <w:sz w:val="22"/>
      </w:rPr>
    </w:tblStylePr>
    <w:tblStylePr w:type="band2Horz">
      <w:rPr>
        <w:rFonts w:ascii="Arial" w:hAnsi="Arial"/>
        <w:color w:val="404040"/>
        <w:sz w:val="22"/>
      </w:rPr>
      <w:tcPr>
        <w:shd w:val="clear" w:color="D8E2F2" w:fill="D8E2F2"/>
      </w:tcPr>
    </w:tblStylePr>
    <w:tblStylePr w:type="neCell"/>
    <w:tblStylePr w:type="nwCell"/>
    <w:tblStylePr w:type="seCell"/>
    <w:tblStylePr w:type="swCell"/>
  </w:style>
  <w:style w:type="table" w:customStyle="1" w:styleId="147">
    <w:name w:val="Lined - Accent 6"/>
    <w:basedOn w:val="3"/>
    <w:qFormat/>
    <w:uiPriority w:val="99"/>
    <w:pPr>
      <w:spacing w:after="0" w:line="240" w:lineRule="auto"/>
    </w:pPr>
    <w:rPr>
      <w:color w:val="404040"/>
    </w:rPr>
    <w:tblStylePr w:type="firstRow">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tblStylePr w:type="firstCol">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band1Vert">
      <w:rPr>
        <w:rFonts w:ascii="Arial" w:hAnsi="Arial"/>
        <w:color w:val="404040"/>
        <w:sz w:val="22"/>
      </w:rPr>
    </w:tblStylePr>
    <w:tblStylePr w:type="band2Vert">
      <w:rPr>
        <w:rFonts w:ascii="Arial" w:hAnsi="Arial"/>
        <w:color w:val="404040"/>
        <w:sz w:val="22"/>
      </w:rPr>
      <w:tcPr>
        <w:shd w:val="clear" w:color="E1EFD8" w:fill="E1EFD8"/>
      </w:tcPr>
    </w:tblStylePr>
    <w:tblStylePr w:type="band1Horz">
      <w:rPr>
        <w:rFonts w:ascii="Arial" w:hAnsi="Arial"/>
        <w:color w:val="404040"/>
        <w:sz w:val="22"/>
      </w:rPr>
    </w:tblStylePr>
    <w:tblStylePr w:type="band2Horz">
      <w:rPr>
        <w:rFonts w:ascii="Arial" w:hAnsi="Arial"/>
        <w:color w:val="404040"/>
        <w:sz w:val="22"/>
      </w:rPr>
      <w:tcPr>
        <w:shd w:val="clear" w:color="E1EFD8" w:fill="E1EFD8"/>
      </w:tcPr>
    </w:tblStylePr>
    <w:tblStylePr w:type="neCell"/>
    <w:tblStylePr w:type="nwCell"/>
    <w:tblStylePr w:type="seCell"/>
    <w:tblStylePr w:type="swCell"/>
  </w:style>
  <w:style w:type="table" w:customStyle="1" w:styleId="148">
    <w:name w:val="Bordered &amp; Lined - Accent"/>
    <w:basedOn w:val="3"/>
    <w:qFormat/>
    <w:uiPriority w:val="99"/>
    <w:pPr>
      <w:spacing w:after="0" w:line="240" w:lineRule="auto"/>
    </w:pPr>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tblStylePr w:type="firstCol">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band1Vert">
      <w:rPr>
        <w:rFonts w:ascii="Arial" w:hAnsi="Arial"/>
        <w:color w:val="404040"/>
        <w:sz w:val="22"/>
      </w:rPr>
    </w:tblStylePr>
    <w:tblStylePr w:type="band2Vert">
      <w:rPr>
        <w:rFonts w:ascii="Arial" w:hAnsi="Arial"/>
        <w:color w:val="404040"/>
        <w:sz w:val="22"/>
      </w:rPr>
      <w:tcPr>
        <w:shd w:val="clear" w:color="F1F1F1" w:fill="F1F1F1"/>
      </w:tcPr>
    </w:tblStylePr>
    <w:tblStylePr w:type="band1Horz">
      <w:rPr>
        <w:rFonts w:ascii="Arial" w:hAnsi="Arial"/>
        <w:color w:val="404040"/>
        <w:sz w:val="22"/>
      </w:rPr>
    </w:tblStylePr>
    <w:tblStylePr w:type="band2Horz">
      <w:rPr>
        <w:rFonts w:ascii="Arial" w:hAnsi="Arial"/>
        <w:color w:val="404040"/>
        <w:sz w:val="22"/>
      </w:rPr>
      <w:tcPr>
        <w:shd w:val="clear" w:color="F1F1F1" w:fill="F1F1F1"/>
      </w:tcPr>
    </w:tblStylePr>
    <w:tblStylePr w:type="neCell"/>
    <w:tblStylePr w:type="nwCell"/>
    <w:tblStylePr w:type="seCell"/>
    <w:tblStylePr w:type="swCell"/>
  </w:style>
  <w:style w:type="table" w:customStyle="1" w:styleId="149">
    <w:name w:val="Bordered &amp; Lined - Accent 1"/>
    <w:basedOn w:val="3"/>
    <w:qFormat/>
    <w:uiPriority w:val="99"/>
    <w:pPr>
      <w:spacing w:after="0" w:line="240" w:lineRule="auto"/>
    </w:pPr>
    <w:rPr>
      <w:color w:val="404040"/>
    </w:rPr>
    <w:tblPr>
      <w:tblBorders>
        <w:top w:val="single" w:color="245B8D" w:themeColor="accent1" w:themeShade="95" w:sz="4" w:space="0"/>
        <w:left w:val="single" w:color="245B8D" w:themeColor="accent1" w:themeShade="95" w:sz="4" w:space="0"/>
        <w:bottom w:val="single" w:color="245B8D" w:themeColor="accent1" w:themeShade="95" w:sz="4" w:space="0"/>
        <w:right w:val="single" w:color="245B8D" w:themeColor="accent1" w:themeShade="95" w:sz="4" w:space="0"/>
        <w:insideH w:val="single" w:color="245B8D" w:themeColor="accent1" w:themeShade="95" w:sz="4" w:space="0"/>
        <w:insideV w:val="single" w:color="245B8D" w:themeColor="accent1" w:themeShade="95" w:sz="4" w:space="0"/>
      </w:tblBorders>
    </w:tblPr>
    <w:tblStylePr w:type="firstRow">
      <w:rPr>
        <w:rFonts w:ascii="Arial" w:hAnsi="Arial"/>
        <w:color w:val="F2F2F2"/>
        <w:sz w:val="22"/>
      </w:rPr>
      <w:tcPr>
        <w:shd w:val="clear" w:color="68A3D8" w:fill="68A3D8"/>
      </w:tcPr>
    </w:tblStylePr>
    <w:tblStylePr w:type="lastRow">
      <w:rPr>
        <w:rFonts w:ascii="Arial" w:hAnsi="Arial"/>
        <w:color w:val="F2F2F2"/>
        <w:sz w:val="22"/>
      </w:rPr>
      <w:tcPr>
        <w:shd w:val="clear" w:color="68A3D8" w:fill="68A3D8"/>
      </w:tcPr>
    </w:tblStylePr>
    <w:tblStylePr w:type="firstCol">
      <w:rPr>
        <w:rFonts w:ascii="Arial" w:hAnsi="Arial"/>
        <w:color w:val="F2F2F2"/>
        <w:sz w:val="22"/>
      </w:rPr>
      <w:tcPr>
        <w:shd w:val="clear" w:color="68A3D8" w:fill="68A3D8"/>
      </w:tcPr>
    </w:tblStylePr>
    <w:tblStylePr w:type="lastCol">
      <w:rPr>
        <w:rFonts w:ascii="Arial" w:hAnsi="Arial"/>
        <w:color w:val="F2F2F2"/>
        <w:sz w:val="22"/>
      </w:rPr>
      <w:tcPr>
        <w:shd w:val="clear" w:color="68A3D8" w:fill="68A3D8"/>
      </w:tcPr>
    </w:tblStylePr>
    <w:tblStylePr w:type="band1Vert">
      <w:rPr>
        <w:rFonts w:ascii="Arial" w:hAnsi="Arial"/>
        <w:color w:val="404040"/>
        <w:sz w:val="22"/>
      </w:rPr>
    </w:tblStylePr>
    <w:tblStylePr w:type="band2Vert">
      <w:rPr>
        <w:rFonts w:ascii="Arial" w:hAnsi="Arial"/>
        <w:color w:val="404040"/>
        <w:sz w:val="22"/>
      </w:rPr>
      <w:tcPr>
        <w:shd w:val="clear" w:color="CBDFF1" w:fill="CBDFF1"/>
      </w:tcPr>
    </w:tblStylePr>
    <w:tblStylePr w:type="band1Horz">
      <w:rPr>
        <w:rFonts w:ascii="Arial" w:hAnsi="Arial"/>
        <w:color w:val="404040"/>
        <w:sz w:val="22"/>
      </w:rPr>
    </w:tblStylePr>
    <w:tblStylePr w:type="band2Horz">
      <w:rPr>
        <w:rFonts w:ascii="Arial" w:hAnsi="Arial"/>
        <w:color w:val="404040"/>
        <w:sz w:val="22"/>
      </w:rPr>
      <w:tcPr>
        <w:shd w:val="clear" w:color="CBDFF1" w:fill="CBDFF1"/>
      </w:tcPr>
    </w:tblStylePr>
    <w:tblStylePr w:type="neCell"/>
    <w:tblStylePr w:type="nwCell"/>
    <w:tblStylePr w:type="seCell"/>
    <w:tblStylePr w:type="swCell"/>
  </w:style>
  <w:style w:type="table" w:customStyle="1" w:styleId="150">
    <w:name w:val="Bordered &amp; Lined - Accent 2"/>
    <w:basedOn w:val="3"/>
    <w:qFormat/>
    <w:uiPriority w:val="99"/>
    <w:pPr>
      <w:spacing w:after="0" w:line="240" w:lineRule="auto"/>
    </w:pPr>
    <w:rPr>
      <w:color w:val="404040"/>
    </w:rPr>
    <w:tblPr>
      <w:tblBorders>
        <w:top w:val="single" w:color="99460D" w:themeColor="accent2" w:themeShade="95" w:sz="4" w:space="0"/>
        <w:left w:val="single" w:color="99460D" w:themeColor="accent2" w:themeShade="95" w:sz="4" w:space="0"/>
        <w:bottom w:val="single" w:color="99460D" w:themeColor="accent2" w:themeShade="95" w:sz="4" w:space="0"/>
        <w:right w:val="single" w:color="99460D" w:themeColor="accent2" w:themeShade="95" w:sz="4" w:space="0"/>
        <w:insideH w:val="single" w:color="99460D" w:themeColor="accent2" w:themeShade="95" w:sz="4" w:space="0"/>
        <w:insideV w:val="single" w:color="99460D" w:themeColor="accent2" w:themeShade="95" w:sz="4" w:space="0"/>
      </w:tblBorders>
    </w:tblPr>
    <w:tblStylePr w:type="firstRow">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tblStylePr w:type="firstCol">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band1Vert">
      <w:rPr>
        <w:rFonts w:ascii="Arial" w:hAnsi="Arial"/>
        <w:color w:val="404040"/>
        <w:sz w:val="22"/>
      </w:rPr>
    </w:tblStylePr>
    <w:tblStylePr w:type="band2Vert">
      <w:rPr>
        <w:rFonts w:ascii="Arial" w:hAnsi="Arial"/>
        <w:color w:val="404040"/>
        <w:sz w:val="22"/>
      </w:rPr>
      <w:tcPr>
        <w:shd w:val="clear" w:color="FBE5D6" w:fill="FBE5D6"/>
      </w:tcPr>
    </w:tblStylePr>
    <w:tblStylePr w:type="band1Horz">
      <w:rPr>
        <w:rFonts w:ascii="Arial" w:hAnsi="Arial"/>
        <w:color w:val="404040"/>
        <w:sz w:val="22"/>
      </w:rPr>
    </w:tblStylePr>
    <w:tblStylePr w:type="band2Horz">
      <w:rPr>
        <w:rFonts w:ascii="Arial" w:hAnsi="Arial"/>
        <w:color w:val="404040"/>
        <w:sz w:val="22"/>
      </w:rPr>
      <w:tcPr>
        <w:shd w:val="clear" w:color="FBE5D6" w:fill="FBE5D6"/>
      </w:tcPr>
    </w:tblStylePr>
    <w:tblStylePr w:type="neCell"/>
    <w:tblStylePr w:type="nwCell"/>
    <w:tblStylePr w:type="seCell"/>
    <w:tblStylePr w:type="swCell"/>
  </w:style>
  <w:style w:type="table" w:customStyle="1" w:styleId="151">
    <w:name w:val="Bordered &amp; Lined - Accent 3"/>
    <w:basedOn w:val="3"/>
    <w:qFormat/>
    <w:uiPriority w:val="99"/>
    <w:pPr>
      <w:spacing w:after="0" w:line="240" w:lineRule="auto"/>
    </w:pPr>
    <w:rPr>
      <w:color w:val="404040"/>
    </w:rPr>
    <w:tblPr>
      <w:tblBorders>
        <w:top w:val="single" w:color="606060" w:themeColor="accent3" w:themeShade="95" w:sz="4" w:space="0"/>
        <w:left w:val="single" w:color="606060" w:themeColor="accent3" w:themeShade="95" w:sz="4" w:space="0"/>
        <w:bottom w:val="single" w:color="606060" w:themeColor="accent3" w:themeShade="95" w:sz="4" w:space="0"/>
        <w:right w:val="single" w:color="606060" w:themeColor="accent3" w:themeShade="95" w:sz="4" w:space="0"/>
        <w:insideH w:val="single" w:color="606060" w:themeColor="accent3" w:themeShade="95" w:sz="4" w:space="0"/>
        <w:insideV w:val="single" w:color="606060" w:themeColor="accent3" w:themeShade="95" w:sz="4" w:space="0"/>
      </w:tblBorders>
    </w:tblPr>
    <w:tblStylePr w:type="firstRow">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tblStylePr w:type="firstCol">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band1Vert">
      <w:rPr>
        <w:rFonts w:ascii="Arial" w:hAnsi="Arial"/>
        <w:color w:val="404040"/>
        <w:sz w:val="22"/>
      </w:rPr>
    </w:tblStylePr>
    <w:tblStylePr w:type="band2Vert">
      <w:rPr>
        <w:rFonts w:ascii="Arial" w:hAnsi="Arial"/>
        <w:color w:val="404040"/>
        <w:sz w:val="22"/>
      </w:rPr>
      <w:tcPr>
        <w:shd w:val="clear" w:color="ECECEC" w:fill="ECECEC"/>
      </w:tcPr>
    </w:tblStylePr>
    <w:tblStylePr w:type="band1Horz">
      <w:rPr>
        <w:rFonts w:ascii="Arial" w:hAnsi="Arial"/>
        <w:color w:val="404040"/>
        <w:sz w:val="22"/>
      </w:rPr>
    </w:tblStylePr>
    <w:tblStylePr w:type="band2Horz">
      <w:rPr>
        <w:rFonts w:ascii="Arial" w:hAnsi="Arial"/>
        <w:color w:val="404040"/>
        <w:sz w:val="22"/>
      </w:rPr>
      <w:tcPr>
        <w:shd w:val="clear" w:color="ECECEC" w:fill="ECECEC"/>
      </w:tcPr>
    </w:tblStylePr>
    <w:tblStylePr w:type="neCell"/>
    <w:tblStylePr w:type="nwCell"/>
    <w:tblStylePr w:type="seCell"/>
    <w:tblStylePr w:type="swCell"/>
  </w:style>
  <w:style w:type="table" w:customStyle="1" w:styleId="152">
    <w:name w:val="Bordered &amp; Lined - Accent 4"/>
    <w:basedOn w:val="3"/>
    <w:qFormat/>
    <w:uiPriority w:val="99"/>
    <w:pPr>
      <w:spacing w:after="0" w:line="240" w:lineRule="auto"/>
    </w:pPr>
    <w:rPr>
      <w:color w:val="404040"/>
    </w:rPr>
    <w:tblPr>
      <w:tblBorders>
        <w:top w:val="single" w:color="947000" w:themeColor="accent4" w:themeShade="95" w:sz="4" w:space="0"/>
        <w:left w:val="single" w:color="947000" w:themeColor="accent4" w:themeShade="95" w:sz="4" w:space="0"/>
        <w:bottom w:val="single" w:color="947000" w:themeColor="accent4" w:themeShade="95" w:sz="4" w:space="0"/>
        <w:right w:val="single" w:color="947000" w:themeColor="accent4" w:themeShade="95" w:sz="4" w:space="0"/>
        <w:insideH w:val="single" w:color="947000" w:themeColor="accent4" w:themeShade="95" w:sz="4" w:space="0"/>
        <w:insideV w:val="single" w:color="947000" w:themeColor="accent4" w:themeShade="95" w:sz="4" w:space="0"/>
      </w:tblBorders>
    </w:tblPr>
    <w:tblStylePr w:type="firstRow">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tblStylePr w:type="firstCol">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band1Vert">
      <w:rPr>
        <w:rFonts w:ascii="Arial" w:hAnsi="Arial"/>
        <w:color w:val="404040"/>
        <w:sz w:val="22"/>
      </w:rPr>
    </w:tblStylePr>
    <w:tblStylePr w:type="band2Vert">
      <w:rPr>
        <w:rFonts w:ascii="Arial" w:hAnsi="Arial"/>
        <w:color w:val="404040"/>
        <w:sz w:val="22"/>
      </w:rPr>
      <w:tcPr>
        <w:shd w:val="clear" w:color="FEF2CA" w:fill="FEF2CA"/>
      </w:tcPr>
    </w:tblStylePr>
    <w:tblStylePr w:type="band1Horz">
      <w:rPr>
        <w:rFonts w:ascii="Arial" w:hAnsi="Arial"/>
        <w:color w:val="404040"/>
        <w:sz w:val="22"/>
      </w:rPr>
    </w:tblStylePr>
    <w:tblStylePr w:type="band2Horz">
      <w:rPr>
        <w:rFonts w:ascii="Arial" w:hAnsi="Arial"/>
        <w:color w:val="404040"/>
        <w:sz w:val="22"/>
      </w:rPr>
      <w:tcPr>
        <w:shd w:val="clear" w:color="FEF2CA" w:fill="FEF2CA"/>
      </w:tcPr>
    </w:tblStylePr>
    <w:tblStylePr w:type="neCell"/>
    <w:tblStylePr w:type="nwCell"/>
    <w:tblStylePr w:type="seCell"/>
    <w:tblStylePr w:type="swCell"/>
  </w:style>
  <w:style w:type="table" w:customStyle="1" w:styleId="153">
    <w:name w:val="Bordered &amp; Lined - Accent 5"/>
    <w:basedOn w:val="3"/>
    <w:qFormat/>
    <w:uiPriority w:val="99"/>
    <w:pPr>
      <w:spacing w:after="0" w:line="240" w:lineRule="auto"/>
    </w:pPr>
    <w:rPr>
      <w:color w:val="404040"/>
    </w:rPr>
    <w:tblPr>
      <w:tblBorders>
        <w:top w:val="single" w:color="244175" w:themeColor="accent5" w:themeShade="95" w:sz="4" w:space="0"/>
        <w:left w:val="single" w:color="244175" w:themeColor="accent5" w:themeShade="95" w:sz="4" w:space="0"/>
        <w:bottom w:val="single" w:color="244175" w:themeColor="accent5" w:themeShade="95" w:sz="4" w:space="0"/>
        <w:right w:val="single" w:color="244175" w:themeColor="accent5" w:themeShade="95" w:sz="4" w:space="0"/>
        <w:insideH w:val="single" w:color="244175" w:themeColor="accent5" w:themeShade="95" w:sz="4" w:space="0"/>
        <w:insideV w:val="single" w:color="244175" w:themeColor="accent5" w:themeShade="95" w:sz="4" w:space="0"/>
      </w:tblBorders>
    </w:tblPr>
    <w:tblStylePr w:type="firstRow">
      <w:rPr>
        <w:rFonts w:ascii="Arial" w:hAnsi="Arial"/>
        <w:color w:val="F2F2F2"/>
        <w:sz w:val="22"/>
      </w:rPr>
      <w:tcPr>
        <w:shd w:val="clear" w:color="4472C4" w:fill="4472C4"/>
      </w:tcPr>
    </w:tblStylePr>
    <w:tblStylePr w:type="lastRow">
      <w:rPr>
        <w:rFonts w:ascii="Arial" w:hAnsi="Arial"/>
        <w:color w:val="F2F2F2"/>
        <w:sz w:val="22"/>
      </w:rPr>
      <w:tcPr>
        <w:shd w:val="clear" w:color="4472C4" w:fill="4472C4"/>
      </w:tcPr>
    </w:tblStylePr>
    <w:tblStylePr w:type="firstCol">
      <w:rPr>
        <w:rFonts w:ascii="Arial" w:hAnsi="Arial"/>
        <w:color w:val="F2F2F2"/>
        <w:sz w:val="22"/>
      </w:rPr>
      <w:tcPr>
        <w:shd w:val="clear" w:color="4472C4" w:fill="4472C4"/>
      </w:tcPr>
    </w:tblStylePr>
    <w:tblStylePr w:type="lastCol">
      <w:rPr>
        <w:rFonts w:ascii="Arial" w:hAnsi="Arial"/>
        <w:color w:val="F2F2F2"/>
        <w:sz w:val="22"/>
      </w:rPr>
      <w:tcPr>
        <w:shd w:val="clear" w:color="4472C4" w:fill="4472C4"/>
      </w:tcPr>
    </w:tblStylePr>
    <w:tblStylePr w:type="band1Vert">
      <w:rPr>
        <w:rFonts w:ascii="Arial" w:hAnsi="Arial"/>
        <w:color w:val="404040"/>
        <w:sz w:val="22"/>
      </w:rPr>
    </w:tblStylePr>
    <w:tblStylePr w:type="band2Vert">
      <w:rPr>
        <w:rFonts w:ascii="Arial" w:hAnsi="Arial"/>
        <w:color w:val="404040"/>
        <w:sz w:val="22"/>
      </w:rPr>
      <w:tcPr>
        <w:shd w:val="clear" w:color="D8E2F2" w:fill="D8E2F2"/>
      </w:tcPr>
    </w:tblStylePr>
    <w:tblStylePr w:type="band1Horz">
      <w:rPr>
        <w:rFonts w:ascii="Arial" w:hAnsi="Arial"/>
        <w:color w:val="404040"/>
        <w:sz w:val="22"/>
      </w:rPr>
    </w:tblStylePr>
    <w:tblStylePr w:type="band2Horz">
      <w:rPr>
        <w:rFonts w:ascii="Arial" w:hAnsi="Arial"/>
        <w:color w:val="404040"/>
        <w:sz w:val="22"/>
      </w:rPr>
      <w:tcPr>
        <w:shd w:val="clear" w:color="D8E2F2" w:fill="D8E2F2"/>
      </w:tcPr>
    </w:tblStylePr>
    <w:tblStylePr w:type="neCell"/>
    <w:tblStylePr w:type="nwCell"/>
    <w:tblStylePr w:type="seCell"/>
    <w:tblStylePr w:type="swCell"/>
  </w:style>
  <w:style w:type="table" w:customStyle="1" w:styleId="154">
    <w:name w:val="Bordered &amp; Lined - Accent 6"/>
    <w:basedOn w:val="3"/>
    <w:qFormat/>
    <w:uiPriority w:val="99"/>
    <w:pPr>
      <w:spacing w:after="0" w:line="240" w:lineRule="auto"/>
    </w:pPr>
    <w:rPr>
      <w:color w:val="404040"/>
    </w:rPr>
    <w:tblPr>
      <w:tblBorders>
        <w:top w:val="single" w:color="416529" w:themeColor="accent6" w:themeShade="95" w:sz="4" w:space="0"/>
        <w:left w:val="single" w:color="416529" w:themeColor="accent6" w:themeShade="95" w:sz="4" w:space="0"/>
        <w:bottom w:val="single" w:color="416529" w:themeColor="accent6" w:themeShade="95" w:sz="4" w:space="0"/>
        <w:right w:val="single" w:color="416529" w:themeColor="accent6" w:themeShade="95" w:sz="4" w:space="0"/>
        <w:insideH w:val="single" w:color="416529" w:themeColor="accent6" w:themeShade="95" w:sz="4" w:space="0"/>
        <w:insideV w:val="single" w:color="416529" w:themeColor="accent6" w:themeShade="95" w:sz="4" w:space="0"/>
      </w:tblBorders>
    </w:tblPr>
    <w:tblStylePr w:type="firstRow">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tblStylePr w:type="firstCol">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band1Vert">
      <w:rPr>
        <w:rFonts w:ascii="Arial" w:hAnsi="Arial"/>
        <w:color w:val="404040"/>
        <w:sz w:val="22"/>
      </w:rPr>
    </w:tblStylePr>
    <w:tblStylePr w:type="band2Vert">
      <w:rPr>
        <w:rFonts w:ascii="Arial" w:hAnsi="Arial"/>
        <w:color w:val="404040"/>
        <w:sz w:val="22"/>
      </w:rPr>
      <w:tcPr>
        <w:shd w:val="clear" w:color="E1EFD8" w:fill="E1EFD8"/>
      </w:tcPr>
    </w:tblStylePr>
    <w:tblStylePr w:type="band1Horz">
      <w:rPr>
        <w:rFonts w:ascii="Arial" w:hAnsi="Arial"/>
        <w:color w:val="404040"/>
        <w:sz w:val="22"/>
      </w:rPr>
    </w:tblStylePr>
    <w:tblStylePr w:type="band2Horz">
      <w:rPr>
        <w:rFonts w:ascii="Arial" w:hAnsi="Arial"/>
        <w:color w:val="404040"/>
        <w:sz w:val="22"/>
      </w:rPr>
      <w:tcPr>
        <w:shd w:val="clear" w:color="E1EFD8" w:fill="E1EFD8"/>
      </w:tcPr>
    </w:tblStylePr>
    <w:tblStylePr w:type="neCell"/>
    <w:tblStylePr w:type="nwCell"/>
    <w:tblStylePr w:type="seCell"/>
    <w:tblStylePr w:type="swCell"/>
  </w:style>
  <w:style w:type="table" w:customStyle="1" w:styleId="155">
    <w:name w:val="Bordered"/>
    <w:basedOn w:val="3"/>
    <w:qFormat/>
    <w:uiPriority w:val="99"/>
    <w:pPr>
      <w:spacing w:after="0" w:line="240" w:lineRule="auto"/>
    </w:pPr>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Vert"/>
    <w:tblStylePr w:type="band2Vert"/>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tblStylePr w:type="band2Horz"/>
    <w:tblStylePr w:type="neCell"/>
    <w:tblStylePr w:type="nwCell"/>
    <w:tblStylePr w:type="seCell"/>
    <w:tblStylePr w:type="swCell"/>
  </w:style>
  <w:style w:type="table" w:customStyle="1" w:styleId="156">
    <w:name w:val="Bordered - Accent 1"/>
    <w:basedOn w:val="3"/>
    <w:qFormat/>
    <w:uiPriority w:val="99"/>
    <w:pPr>
      <w:spacing w:after="0" w:line="240" w:lineRule="auto"/>
    </w:pPr>
    <w:tblPr>
      <w:tbl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insideH w:val="single" w:color="BCD6EE" w:themeColor="accent1" w:themeTint="67" w:sz="4" w:space="0"/>
        <w:insideV w:val="single" w:color="BCD6EE" w:themeColor="accent1" w:themeTint="67" w:sz="4" w:space="0"/>
      </w:tblBorders>
    </w:tblPr>
    <w:tblStylePr w:type="firstRow">
      <w:rPr>
        <w:rFonts w:ascii="Arial" w:hAnsi="Arial"/>
        <w:color w:val="404040"/>
        <w:sz w:val="22"/>
      </w:rPr>
      <w:tcPr>
        <w:tcBorders>
          <w:bottom w:val="single" w:color="5B9BD5" w:themeColor="accent1" w:sz="12" w:space="0"/>
        </w:tcBorders>
      </w:tcPr>
    </w:tblStylePr>
    <w:tblStylePr w:type="lastRow">
      <w:rPr>
        <w:rFonts w:ascii="Arial" w:hAnsi="Arial"/>
        <w:color w:val="404040"/>
        <w:sz w:val="22"/>
      </w:rPr>
      <w:tcPr>
        <w:tcBorders>
          <w:top w:val="single" w:color="5B9BD5"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5B9BD5" w:themeColor="accent1" w:sz="12" w:space="0"/>
        </w:tcBorders>
      </w:tcPr>
    </w:tblStylePr>
    <w:tblStylePr w:type="band1Vert"/>
    <w:tblStylePr w:type="band2Vert"/>
    <w:tblStylePr w:type="band1Horz">
      <w:rPr>
        <w:rFonts w:ascii="Arial" w:hAnsi="Arial"/>
        <w:color w:val="404040"/>
        <w:sz w:val="22"/>
      </w:rPr>
      <w:tcPr>
        <w:tcBorders>
          <w:top w:val="single" w:color="BCD6EE" w:themeColor="accent1" w:themeTint="67" w:sz="4" w:space="0"/>
          <w:left w:val="single" w:color="BCD6EE" w:themeColor="accent1" w:themeTint="67" w:sz="4" w:space="0"/>
          <w:bottom w:val="single" w:color="BCD6EE" w:themeColor="accent1" w:themeTint="67" w:sz="4" w:space="0"/>
          <w:right w:val="single" w:color="BCD6EE" w:themeColor="accent1" w:themeTint="67" w:sz="4" w:space="0"/>
        </w:tcBorders>
      </w:tcPr>
    </w:tblStylePr>
    <w:tblStylePr w:type="band2Horz"/>
    <w:tblStylePr w:type="neCell"/>
    <w:tblStylePr w:type="nwCell"/>
    <w:tblStylePr w:type="seCell"/>
    <w:tblStylePr w:type="swCell"/>
  </w:style>
  <w:style w:type="table" w:customStyle="1" w:styleId="157">
    <w:name w:val="Bordered - Accent 2"/>
    <w:basedOn w:val="3"/>
    <w:qFormat/>
    <w:uiPriority w:val="99"/>
    <w:pPr>
      <w:spacing w:after="0" w:line="240" w:lineRule="auto"/>
    </w:pPr>
    <w:tblPr>
      <w:tbl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insideH w:val="single" w:color="F7CAAB" w:themeColor="accent2" w:themeTint="67" w:sz="4" w:space="0"/>
        <w:insideV w:val="single" w:color="F7CAAB" w:themeColor="accent2" w:themeTint="67" w:sz="4" w:space="0"/>
      </w:tblBorders>
    </w:tblPr>
    <w:tblStylePr w:type="firstRow">
      <w:rPr>
        <w:rFonts w:ascii="Arial" w:hAnsi="Arial"/>
        <w:color w:val="404040"/>
        <w:sz w:val="22"/>
      </w:rPr>
      <w:tcPr>
        <w:tcBorders>
          <w:bottom w:val="single" w:color="F4B285" w:themeColor="accent2" w:themeTint="97" w:sz="12" w:space="0"/>
        </w:tcBorders>
      </w:tcPr>
    </w:tblStylePr>
    <w:tblStylePr w:type="lastRow">
      <w:rPr>
        <w:rFonts w:ascii="Arial" w:hAnsi="Arial"/>
        <w:color w:val="404040"/>
        <w:sz w:val="22"/>
      </w:rPr>
      <w:tcPr>
        <w:tcBorders>
          <w:top w:val="single" w:color="F4B285"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4B285" w:themeColor="accent2" w:themeTint="97" w:sz="12" w:space="0"/>
        </w:tcBorders>
      </w:tcPr>
    </w:tblStylePr>
    <w:tblStylePr w:type="band1Vert"/>
    <w:tblStylePr w:type="band2Vert"/>
    <w:tblStylePr w:type="band1Horz">
      <w:rPr>
        <w:rFonts w:ascii="Arial" w:hAnsi="Arial"/>
        <w:color w:val="404040"/>
        <w:sz w:val="22"/>
      </w:rPr>
      <w:tcPr>
        <w:tcBorders>
          <w:top w:val="single" w:color="F7CAAB" w:themeColor="accent2" w:themeTint="67" w:sz="4" w:space="0"/>
          <w:left w:val="single" w:color="F7CAAB" w:themeColor="accent2" w:themeTint="67" w:sz="4" w:space="0"/>
          <w:bottom w:val="single" w:color="F7CAAB" w:themeColor="accent2" w:themeTint="67" w:sz="4" w:space="0"/>
          <w:right w:val="single" w:color="F7CAAB" w:themeColor="accent2" w:themeTint="67" w:sz="4" w:space="0"/>
        </w:tcBorders>
      </w:tcPr>
    </w:tblStylePr>
    <w:tblStylePr w:type="band2Horz"/>
    <w:tblStylePr w:type="neCell"/>
    <w:tblStylePr w:type="nwCell"/>
    <w:tblStylePr w:type="seCell"/>
    <w:tblStylePr w:type="swCell"/>
  </w:style>
  <w:style w:type="table" w:customStyle="1" w:styleId="158">
    <w:name w:val="Bordered - Accent 3"/>
    <w:basedOn w:val="3"/>
    <w:qFormat/>
    <w:uiPriority w:val="99"/>
    <w:pPr>
      <w:spacing w:after="0" w:line="240" w:lineRule="auto"/>
    </w:pPr>
    <w:tblPr>
      <w:tbl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insideH w:val="single" w:color="DADADA" w:themeColor="accent3" w:themeTint="67" w:sz="4" w:space="0"/>
        <w:insideV w:val="single" w:color="DADADA" w:themeColor="accent3" w:themeTint="67" w:sz="4" w:space="0"/>
      </w:tblBorders>
    </w:tblPr>
    <w:tblStylePr w:type="firstRow">
      <w:rPr>
        <w:rFonts w:ascii="Arial" w:hAnsi="Arial"/>
        <w:color w:val="404040"/>
        <w:sz w:val="22"/>
      </w:rPr>
      <w:tcPr>
        <w:tcBorders>
          <w:bottom w:val="single" w:color="C9C9C9" w:themeColor="accent3" w:themeTint="98" w:sz="12" w:space="0"/>
        </w:tcBorders>
      </w:tcPr>
    </w:tblStylePr>
    <w:tblStylePr w:type="lastRow">
      <w:rPr>
        <w:rFonts w:ascii="Arial" w:hAnsi="Arial"/>
        <w:color w:val="404040"/>
        <w:sz w:val="22"/>
      </w:rPr>
      <w:tcPr>
        <w:tcBorders>
          <w:top w:val="single" w:color="C9C9C9"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C9C9C9" w:themeColor="accent3" w:themeTint="98" w:sz="12" w:space="0"/>
        </w:tcBorders>
      </w:tcPr>
    </w:tblStylePr>
    <w:tblStylePr w:type="band1Vert"/>
    <w:tblStylePr w:type="band2Vert"/>
    <w:tblStylePr w:type="band1Horz">
      <w:rPr>
        <w:rFonts w:ascii="Arial" w:hAnsi="Arial"/>
        <w:color w:val="404040"/>
        <w:sz w:val="22"/>
      </w:rPr>
      <w:tcPr>
        <w:tcBorders>
          <w:top w:val="single" w:color="DADADA" w:themeColor="accent3" w:themeTint="67" w:sz="4" w:space="0"/>
          <w:left w:val="single" w:color="DADADA" w:themeColor="accent3" w:themeTint="67" w:sz="4" w:space="0"/>
          <w:bottom w:val="single" w:color="DADADA" w:themeColor="accent3" w:themeTint="67" w:sz="4" w:space="0"/>
          <w:right w:val="single" w:color="DADADA" w:themeColor="accent3" w:themeTint="67" w:sz="4" w:space="0"/>
        </w:tcBorders>
      </w:tcPr>
    </w:tblStylePr>
    <w:tblStylePr w:type="band2Horz"/>
    <w:tblStylePr w:type="neCell"/>
    <w:tblStylePr w:type="nwCell"/>
    <w:tblStylePr w:type="seCell"/>
    <w:tblStylePr w:type="swCell"/>
  </w:style>
  <w:style w:type="table" w:customStyle="1" w:styleId="159">
    <w:name w:val="Bordered - Accent 4"/>
    <w:basedOn w:val="3"/>
    <w:qFormat/>
    <w:uiPriority w:val="99"/>
    <w:pPr>
      <w:spacing w:after="0" w:line="240" w:lineRule="auto"/>
    </w:pPr>
    <w:tblPr>
      <w:tbl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insideH w:val="single" w:color="FFE597" w:themeColor="accent4" w:themeTint="67" w:sz="4" w:space="0"/>
        <w:insideV w:val="single" w:color="FFE597" w:themeColor="accent4" w:themeTint="67" w:sz="4" w:space="0"/>
      </w:tblBorders>
    </w:tblPr>
    <w:tblStylePr w:type="firstRow">
      <w:rPr>
        <w:rFonts w:ascii="Arial" w:hAnsi="Arial"/>
        <w:color w:val="404040"/>
        <w:sz w:val="22"/>
      </w:rPr>
      <w:tcPr>
        <w:tcBorders>
          <w:bottom w:val="single" w:color="FFD864" w:themeColor="accent4" w:themeTint="9A" w:sz="12" w:space="0"/>
        </w:tcBorders>
      </w:tcPr>
    </w:tblStylePr>
    <w:tblStylePr w:type="lastRow">
      <w:rPr>
        <w:rFonts w:ascii="Arial" w:hAnsi="Arial"/>
        <w:color w:val="404040"/>
        <w:sz w:val="22"/>
      </w:rPr>
      <w:tcPr>
        <w:tcBorders>
          <w:top w:val="single" w:color="FFD864"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FD864" w:themeColor="accent4" w:themeTint="9A" w:sz="12" w:space="0"/>
        </w:tcBorders>
      </w:tcPr>
    </w:tblStylePr>
    <w:tblStylePr w:type="band1Vert"/>
    <w:tblStylePr w:type="band2Vert"/>
    <w:tblStylePr w:type="band1Horz">
      <w:rPr>
        <w:rFonts w:ascii="Arial" w:hAnsi="Arial"/>
        <w:color w:val="404040"/>
        <w:sz w:val="22"/>
      </w:rPr>
      <w:tcPr>
        <w:tcBorders>
          <w:top w:val="single" w:color="FFE597" w:themeColor="accent4" w:themeTint="67" w:sz="4" w:space="0"/>
          <w:left w:val="single" w:color="FFE597" w:themeColor="accent4" w:themeTint="67" w:sz="4" w:space="0"/>
          <w:bottom w:val="single" w:color="FFE597" w:themeColor="accent4" w:themeTint="67" w:sz="4" w:space="0"/>
          <w:right w:val="single" w:color="FFE597" w:themeColor="accent4" w:themeTint="67" w:sz="4" w:space="0"/>
        </w:tcBorders>
      </w:tcPr>
    </w:tblStylePr>
    <w:tblStylePr w:type="band2Horz"/>
    <w:tblStylePr w:type="neCell"/>
    <w:tblStylePr w:type="nwCell"/>
    <w:tblStylePr w:type="seCell"/>
    <w:tblStylePr w:type="swCell"/>
  </w:style>
  <w:style w:type="table" w:customStyle="1" w:styleId="160">
    <w:name w:val="Bordered - Accent 5"/>
    <w:basedOn w:val="3"/>
    <w:qFormat/>
    <w:uiPriority w:val="99"/>
    <w:pPr>
      <w:spacing w:after="0" w:line="240" w:lineRule="auto"/>
    </w:pPr>
    <w:tblPr>
      <w:tblBorders>
        <w:top w:val="single" w:color="B3C6E7" w:themeColor="accent5" w:themeTint="67" w:sz="4" w:space="0"/>
        <w:left w:val="single" w:color="B3C6E7" w:themeColor="accent5" w:themeTint="67" w:sz="4" w:space="0"/>
        <w:bottom w:val="single" w:color="B3C6E7" w:themeColor="accent5" w:themeTint="67" w:sz="4" w:space="0"/>
        <w:right w:val="single" w:color="B3C6E7" w:themeColor="accent5" w:themeTint="67" w:sz="4" w:space="0"/>
        <w:insideH w:val="single" w:color="B3C6E7" w:themeColor="accent5" w:themeTint="67" w:sz="4" w:space="0"/>
        <w:insideV w:val="single" w:color="B3C6E7" w:themeColor="accent5" w:themeTint="67" w:sz="4" w:space="0"/>
      </w:tblBorders>
    </w:tblPr>
    <w:tblStylePr w:type="firstRow">
      <w:rPr>
        <w:rFonts w:ascii="Arial" w:hAnsi="Arial"/>
        <w:color w:val="404040"/>
        <w:sz w:val="22"/>
      </w:rPr>
      <w:tcPr>
        <w:tcBorders>
          <w:bottom w:val="single" w:color="8EA9DB" w:themeColor="accent5" w:themeTint="9A" w:sz="12" w:space="0"/>
        </w:tcBorders>
      </w:tcPr>
    </w:tblStylePr>
    <w:tblStylePr w:type="lastRow">
      <w:rPr>
        <w:rFonts w:ascii="Arial" w:hAnsi="Arial"/>
        <w:color w:val="404040"/>
        <w:sz w:val="22"/>
      </w:rPr>
      <w:tcPr>
        <w:tcBorders>
          <w:top w:val="single" w:color="8EA9DB"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8EA9DB" w:themeColor="accent5" w:themeTint="9A" w:sz="12" w:space="0"/>
        </w:tcBorders>
      </w:tcPr>
    </w:tblStylePr>
    <w:tblStylePr w:type="band1Vert"/>
    <w:tblStylePr w:type="band2Vert"/>
    <w:tblStylePr w:type="band1Horz">
      <w:rPr>
        <w:rFonts w:ascii="Arial" w:hAnsi="Arial"/>
        <w:color w:val="404040"/>
        <w:sz w:val="22"/>
      </w:rPr>
      <w:tcPr>
        <w:tcBorders>
          <w:top w:val="single" w:color="B3C6E7" w:themeColor="accent5" w:themeTint="67" w:sz="4" w:space="0"/>
          <w:left w:val="single" w:color="B3C6E7" w:themeColor="accent5" w:themeTint="67" w:sz="4" w:space="0"/>
          <w:bottom w:val="single" w:color="B3C6E7" w:themeColor="accent5" w:themeTint="67" w:sz="4" w:space="0"/>
          <w:right w:val="single" w:color="B3C6E7" w:themeColor="accent5" w:themeTint="67" w:sz="4" w:space="0"/>
        </w:tcBorders>
      </w:tcPr>
    </w:tblStylePr>
    <w:tblStylePr w:type="band2Horz"/>
    <w:tblStylePr w:type="neCell"/>
    <w:tblStylePr w:type="nwCell"/>
    <w:tblStylePr w:type="seCell"/>
    <w:tblStylePr w:type="swCell"/>
  </w:style>
  <w:style w:type="table" w:customStyle="1" w:styleId="161">
    <w:name w:val="Bordered - Accent 6"/>
    <w:basedOn w:val="3"/>
    <w:qFormat/>
    <w:uiPriority w:val="99"/>
    <w:pPr>
      <w:spacing w:after="0" w:line="240" w:lineRule="auto"/>
    </w:pPr>
    <w:tblPr>
      <w:tbl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insideH w:val="single" w:color="C4DFB2" w:themeColor="accent6" w:themeTint="67" w:sz="4" w:space="0"/>
        <w:insideV w:val="single" w:color="C4DFB2" w:themeColor="accent6" w:themeTint="67" w:sz="4" w:space="0"/>
      </w:tblBorders>
    </w:tblPr>
    <w:tblStylePr w:type="firstRow">
      <w:rPr>
        <w:rFonts w:ascii="Arial" w:hAnsi="Arial"/>
        <w:color w:val="404040"/>
        <w:sz w:val="22"/>
      </w:rPr>
      <w:tcPr>
        <w:tcBorders>
          <w:bottom w:val="single" w:color="A9D08E" w:themeColor="accent6" w:themeTint="98" w:sz="12" w:space="0"/>
        </w:tcBorders>
      </w:tcPr>
    </w:tblStylePr>
    <w:tblStylePr w:type="lastRow">
      <w:rPr>
        <w:rFonts w:ascii="Arial" w:hAnsi="Arial"/>
        <w:color w:val="404040"/>
        <w:sz w:val="22"/>
      </w:rPr>
      <w:tcPr>
        <w:tcBorders>
          <w:top w:val="single" w:color="A9D08E"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A9D08E" w:themeColor="accent6" w:themeTint="98" w:sz="12" w:space="0"/>
        </w:tcBorders>
      </w:tcPr>
    </w:tblStylePr>
    <w:tblStylePr w:type="band1Vert"/>
    <w:tblStylePr w:type="band2Vert"/>
    <w:tblStylePr w:type="band1Horz">
      <w:rPr>
        <w:rFonts w:ascii="Arial" w:hAnsi="Arial"/>
        <w:color w:val="404040"/>
        <w:sz w:val="22"/>
      </w:rPr>
      <w:tcPr>
        <w:tcBorders>
          <w:top w:val="single" w:color="C4DFB2" w:themeColor="accent6" w:themeTint="67" w:sz="4" w:space="0"/>
          <w:left w:val="single" w:color="C4DFB2" w:themeColor="accent6" w:themeTint="67" w:sz="4" w:space="0"/>
          <w:bottom w:val="single" w:color="C4DFB2" w:themeColor="accent6" w:themeTint="67" w:sz="4" w:space="0"/>
          <w:right w:val="single" w:color="C4DFB2" w:themeColor="accent6" w:themeTint="67" w:sz="4" w:space="0"/>
        </w:tcBorders>
      </w:tcPr>
    </w:tblStylePr>
    <w:tblStylePr w:type="band2Horz"/>
    <w:tblStylePr w:type="neCell"/>
    <w:tblStylePr w:type="nwCell"/>
    <w:tblStylePr w:type="seCell"/>
    <w:tblStylePr w:type="swCell"/>
  </w:style>
  <w:style w:type="character" w:customStyle="1" w:styleId="162">
    <w:name w:val="Heading 1 Char"/>
    <w:basedOn w:val="30"/>
    <w:qFormat/>
    <w:uiPriority w:val="9"/>
    <w:rPr>
      <w:rFonts w:ascii="Arial" w:hAnsi="Arial" w:eastAsia="Arial" w:cs="Arial"/>
      <w:color w:val="2E75B6" w:themeColor="accent1" w:themeShade="BF"/>
      <w:sz w:val="40"/>
      <w:szCs w:val="40"/>
    </w:rPr>
  </w:style>
  <w:style w:type="character" w:customStyle="1" w:styleId="163">
    <w:name w:val="Heading 2 Char"/>
    <w:basedOn w:val="30"/>
    <w:qFormat/>
    <w:uiPriority w:val="9"/>
    <w:rPr>
      <w:rFonts w:ascii="Arial" w:hAnsi="Arial" w:eastAsia="Arial" w:cs="Arial"/>
      <w:color w:val="2E75B6" w:themeColor="accent1" w:themeShade="BF"/>
      <w:sz w:val="32"/>
      <w:szCs w:val="32"/>
    </w:rPr>
  </w:style>
  <w:style w:type="character" w:customStyle="1" w:styleId="164">
    <w:name w:val="Heading 3 Char"/>
    <w:basedOn w:val="30"/>
    <w:qFormat/>
    <w:uiPriority w:val="9"/>
    <w:rPr>
      <w:rFonts w:ascii="Arial" w:hAnsi="Arial" w:eastAsia="Arial" w:cs="Arial"/>
      <w:color w:val="2E75B6" w:themeColor="accent1" w:themeShade="BF"/>
      <w:sz w:val="28"/>
      <w:szCs w:val="28"/>
    </w:rPr>
  </w:style>
  <w:style w:type="character" w:customStyle="1" w:styleId="165">
    <w:name w:val="Heading 4 Char"/>
    <w:basedOn w:val="30"/>
    <w:link w:val="7"/>
    <w:qFormat/>
    <w:uiPriority w:val="9"/>
    <w:rPr>
      <w:rFonts w:ascii="Arial" w:hAnsi="Arial" w:eastAsia="Arial" w:cs="Arial"/>
      <w:i/>
      <w:iCs/>
      <w:color w:val="2E75B6" w:themeColor="accent1" w:themeShade="BF"/>
    </w:rPr>
  </w:style>
  <w:style w:type="character" w:customStyle="1" w:styleId="166">
    <w:name w:val="Heading 5 Char"/>
    <w:basedOn w:val="30"/>
    <w:link w:val="8"/>
    <w:qFormat/>
    <w:uiPriority w:val="9"/>
    <w:rPr>
      <w:rFonts w:ascii="Arial" w:hAnsi="Arial" w:eastAsia="Arial" w:cs="Arial"/>
      <w:color w:val="2E75B6" w:themeColor="accent1" w:themeShade="BF"/>
    </w:rPr>
  </w:style>
  <w:style w:type="character" w:customStyle="1" w:styleId="167">
    <w:name w:val="Heading 6 Char"/>
    <w:basedOn w:val="30"/>
    <w:link w:val="9"/>
    <w:qFormat/>
    <w:uiPriority w:val="9"/>
    <w:rPr>
      <w:rFonts w:ascii="Arial" w:hAnsi="Arial" w:eastAsia="Arial" w:cs="Arial"/>
      <w:i/>
      <w:iCs/>
      <w:color w:val="595959" w:themeColor="text1" w:themeTint="A6"/>
      <w14:textFill>
        <w14:solidFill>
          <w14:schemeClr w14:val="tx1">
            <w14:lumMod w14:val="65000"/>
            <w14:lumOff w14:val="35000"/>
          </w14:schemeClr>
        </w14:solidFill>
      </w14:textFill>
    </w:rPr>
  </w:style>
  <w:style w:type="character" w:customStyle="1" w:styleId="168">
    <w:name w:val="Heading 7 Char"/>
    <w:basedOn w:val="30"/>
    <w:link w:val="10"/>
    <w:qFormat/>
    <w:uiPriority w:val="9"/>
    <w:rPr>
      <w:rFonts w:ascii="Arial" w:hAnsi="Arial" w:eastAsia="Arial" w:cs="Arial"/>
      <w:color w:val="595959" w:themeColor="text1" w:themeTint="A6"/>
      <w14:textFill>
        <w14:solidFill>
          <w14:schemeClr w14:val="tx1">
            <w14:lumMod w14:val="65000"/>
            <w14:lumOff w14:val="35000"/>
          </w14:schemeClr>
        </w14:solidFill>
      </w14:textFill>
    </w:rPr>
  </w:style>
  <w:style w:type="character" w:customStyle="1" w:styleId="169">
    <w:name w:val="Heading 8 Char"/>
    <w:basedOn w:val="30"/>
    <w:link w:val="11"/>
    <w:qFormat/>
    <w:uiPriority w:val="9"/>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customStyle="1" w:styleId="170">
    <w:name w:val="Heading 9 Char"/>
    <w:basedOn w:val="30"/>
    <w:link w:val="12"/>
    <w:qFormat/>
    <w:uiPriority w:val="9"/>
    <w:rPr>
      <w:rFonts w:ascii="Arial" w:hAnsi="Arial" w:eastAsia="Arial" w:cs="Arial"/>
      <w:i/>
      <w:iCs/>
      <w:color w:val="262626" w:themeColor="text1" w:themeTint="D9"/>
      <w14:textFill>
        <w14:solidFill>
          <w14:schemeClr w14:val="tx1">
            <w14:lumMod w14:val="85000"/>
            <w14:lumOff w14:val="15000"/>
          </w14:schemeClr>
        </w14:solidFill>
      </w14:textFill>
    </w:rPr>
  </w:style>
  <w:style w:type="character" w:customStyle="1" w:styleId="171">
    <w:name w:val="Title Char"/>
    <w:basedOn w:val="30"/>
    <w:qFormat/>
    <w:uiPriority w:val="10"/>
    <w:rPr>
      <w:rFonts w:ascii="Arial" w:hAnsi="Arial" w:eastAsia="Arial" w:cs="Arial"/>
      <w:spacing w:val="-10"/>
      <w:sz w:val="56"/>
      <w:szCs w:val="56"/>
    </w:rPr>
  </w:style>
  <w:style w:type="character" w:customStyle="1" w:styleId="172">
    <w:name w:val="Subtitle Char"/>
    <w:basedOn w:val="30"/>
    <w:qFormat/>
    <w:uiPriority w:val="11"/>
    <w:rPr>
      <w:color w:val="595959" w:themeColor="text1" w:themeTint="A6"/>
      <w:spacing w:val="15"/>
      <w:sz w:val="28"/>
      <w:szCs w:val="28"/>
      <w14:textFill>
        <w14:solidFill>
          <w14:schemeClr w14:val="tx1">
            <w14:lumMod w14:val="65000"/>
            <w14:lumOff w14:val="35000"/>
          </w14:schemeClr>
        </w14:solidFill>
      </w14:textFill>
    </w:rPr>
  </w:style>
  <w:style w:type="paragraph" w:styleId="173">
    <w:name w:val="Quote"/>
    <w:basedOn w:val="1"/>
    <w:next w:val="1"/>
    <w:qFormat/>
    <w:uiPriority w:val="29"/>
    <w:pPr>
      <w:spacing w:before="160"/>
      <w:jc w:val="center"/>
    </w:pPr>
    <w:rPr>
      <w:i/>
      <w:iCs/>
      <w:color w:val="404040" w:themeColor="text1" w:themeTint="BF"/>
      <w14:textFill>
        <w14:solidFill>
          <w14:schemeClr w14:val="tx1">
            <w14:lumMod w14:val="75000"/>
            <w14:lumOff w14:val="25000"/>
          </w14:schemeClr>
        </w14:solidFill>
      </w14:textFill>
    </w:rPr>
  </w:style>
  <w:style w:type="character" w:customStyle="1" w:styleId="174">
    <w:name w:val="Quote Char"/>
    <w:basedOn w:val="30"/>
    <w:qFormat/>
    <w:uiPriority w:val="29"/>
    <w:rPr>
      <w:i/>
      <w:iCs/>
      <w:color w:val="404040" w:themeColor="text1" w:themeTint="BF"/>
      <w14:textFill>
        <w14:solidFill>
          <w14:schemeClr w14:val="tx1">
            <w14:lumMod w14:val="75000"/>
            <w14:lumOff w14:val="25000"/>
          </w14:schemeClr>
        </w14:solidFill>
      </w14:textFill>
    </w:rPr>
  </w:style>
  <w:style w:type="character" w:customStyle="1" w:styleId="175">
    <w:name w:val="Intense Emphasis"/>
    <w:basedOn w:val="30"/>
    <w:qFormat/>
    <w:uiPriority w:val="21"/>
    <w:rPr>
      <w:i/>
      <w:iCs/>
      <w:color w:val="2E75B6" w:themeColor="accent1" w:themeShade="BF"/>
    </w:rPr>
  </w:style>
  <w:style w:type="paragraph" w:styleId="176">
    <w:name w:val="Intense Quote"/>
    <w:basedOn w:val="1"/>
    <w:next w:val="1"/>
    <w:qFormat/>
    <w:uiPriority w:val="30"/>
    <w:pPr>
      <w:pBdr>
        <w:top w:val="single" w:color="2E75B5" w:themeColor="accent1" w:themeShade="BF" w:sz="4" w:space="10"/>
        <w:bottom w:val="single" w:color="2E75B5" w:themeColor="accent1" w:themeShade="BF" w:sz="4" w:space="10"/>
      </w:pBdr>
      <w:spacing w:before="360" w:after="360"/>
      <w:ind w:left="864" w:right="864"/>
      <w:jc w:val="center"/>
    </w:pPr>
    <w:rPr>
      <w:i/>
      <w:iCs/>
      <w:color w:val="2E75B6" w:themeColor="accent1" w:themeShade="BF"/>
    </w:rPr>
  </w:style>
  <w:style w:type="character" w:customStyle="1" w:styleId="177">
    <w:name w:val="Intense Quote Char"/>
    <w:basedOn w:val="30"/>
    <w:qFormat/>
    <w:uiPriority w:val="30"/>
    <w:rPr>
      <w:i/>
      <w:iCs/>
      <w:color w:val="2E75B6" w:themeColor="accent1" w:themeShade="BF"/>
    </w:rPr>
  </w:style>
  <w:style w:type="character" w:customStyle="1" w:styleId="178">
    <w:name w:val="Intense Reference"/>
    <w:basedOn w:val="30"/>
    <w:qFormat/>
    <w:uiPriority w:val="32"/>
    <w:rPr>
      <w:b/>
      <w:bCs/>
      <w:smallCaps/>
      <w:color w:val="2E75B6" w:themeColor="accent1" w:themeShade="BF"/>
      <w:spacing w:val="5"/>
    </w:rPr>
  </w:style>
  <w:style w:type="paragraph" w:styleId="179">
    <w:name w:val="No Spacing"/>
    <w:basedOn w:val="1"/>
    <w:qFormat/>
    <w:uiPriority w:val="1"/>
    <w:pPr>
      <w:spacing w:after="0" w:line="240" w:lineRule="auto"/>
    </w:pPr>
  </w:style>
  <w:style w:type="character" w:customStyle="1" w:styleId="180">
    <w:name w:val="Subtle Emphasis"/>
    <w:basedOn w:val="30"/>
    <w:qFormat/>
    <w:uiPriority w:val="19"/>
    <w:rPr>
      <w:i/>
      <w:iCs/>
      <w:color w:val="404040" w:themeColor="text1" w:themeTint="BF"/>
      <w14:textFill>
        <w14:solidFill>
          <w14:schemeClr w14:val="tx1">
            <w14:lumMod w14:val="75000"/>
            <w14:lumOff w14:val="25000"/>
          </w14:schemeClr>
        </w14:solidFill>
      </w14:textFill>
    </w:rPr>
  </w:style>
  <w:style w:type="character" w:customStyle="1" w:styleId="181">
    <w:name w:val="Subtle Reference"/>
    <w:basedOn w:val="30"/>
    <w:qFormat/>
    <w:uiPriority w:val="31"/>
    <w:rPr>
      <w:smallCaps/>
      <w:color w:val="595959" w:themeColor="text1" w:themeTint="A6"/>
      <w14:textFill>
        <w14:solidFill>
          <w14:schemeClr w14:val="tx1">
            <w14:lumMod w14:val="65000"/>
            <w14:lumOff w14:val="35000"/>
          </w14:schemeClr>
        </w14:solidFill>
      </w14:textFill>
    </w:rPr>
  </w:style>
  <w:style w:type="character" w:customStyle="1" w:styleId="182">
    <w:name w:val="Book Title"/>
    <w:basedOn w:val="30"/>
    <w:qFormat/>
    <w:uiPriority w:val="33"/>
    <w:rPr>
      <w:b/>
      <w:bCs/>
      <w:i/>
      <w:iCs/>
      <w:spacing w:val="5"/>
    </w:rPr>
  </w:style>
  <w:style w:type="character" w:customStyle="1" w:styleId="183">
    <w:name w:val="Header Char"/>
    <w:basedOn w:val="30"/>
    <w:qFormat/>
    <w:uiPriority w:val="99"/>
  </w:style>
  <w:style w:type="character" w:customStyle="1" w:styleId="184">
    <w:name w:val="Footer Char"/>
    <w:basedOn w:val="30"/>
    <w:qFormat/>
    <w:uiPriority w:val="99"/>
  </w:style>
  <w:style w:type="character" w:customStyle="1" w:styleId="185">
    <w:name w:val="Footnote Text Char"/>
    <w:basedOn w:val="30"/>
    <w:semiHidden/>
    <w:qFormat/>
    <w:uiPriority w:val="99"/>
    <w:rPr>
      <w:sz w:val="20"/>
      <w:szCs w:val="20"/>
    </w:rPr>
  </w:style>
  <w:style w:type="character" w:customStyle="1" w:styleId="186">
    <w:name w:val="Endnote Text Char"/>
    <w:basedOn w:val="30"/>
    <w:semiHidden/>
    <w:qFormat/>
    <w:uiPriority w:val="99"/>
    <w:rPr>
      <w:sz w:val="20"/>
      <w:szCs w:val="20"/>
    </w:rPr>
  </w:style>
  <w:style w:type="paragraph" w:customStyle="1" w:styleId="187">
    <w:name w:val="TOC Heading"/>
    <w:unhideWhenUsed/>
    <w:qFormat/>
    <w:uiPriority w:val="39"/>
    <w:rPr>
      <w:rFonts w:hint="default" w:ascii="Times New Roman" w:hAnsi="Times New Roman" w:eastAsia="宋体" w:cs="Times New Roman"/>
    </w:rPr>
  </w:style>
  <w:style w:type="character" w:customStyle="1" w:styleId="188">
    <w:name w:val="批注文字 字符"/>
    <w:qFormat/>
    <w:uiPriority w:val="99"/>
    <w:rPr>
      <w:rFonts w:ascii="Times New Roman" w:hAnsi="Times New Roman" w:eastAsia="宋体" w:cs="Times New Roman"/>
    </w:rPr>
  </w:style>
  <w:style w:type="character" w:customStyle="1" w:styleId="189">
    <w:name w:val="标题 3 字符"/>
    <w:qFormat/>
    <w:uiPriority w:val="1"/>
    <w:rPr>
      <w:rFonts w:ascii="宋体" w:hAnsi="Times New Roman" w:eastAsia="宋体" w:cs="Times New Roman"/>
      <w:b/>
      <w:bCs/>
      <w:sz w:val="20"/>
      <w:szCs w:val="21"/>
    </w:rPr>
  </w:style>
  <w:style w:type="character" w:customStyle="1" w:styleId="190">
    <w:name w:val="脚注文本 字符1"/>
    <w:semiHidden/>
    <w:qFormat/>
    <w:uiPriority w:val="99"/>
    <w:rPr>
      <w:rFonts w:ascii="Times New Roman" w:hAnsi="Times New Roman" w:eastAsia="宋体" w:cs="Times New Roman"/>
      <w:sz w:val="18"/>
      <w:szCs w:val="18"/>
    </w:rPr>
  </w:style>
  <w:style w:type="character" w:customStyle="1" w:styleId="191">
    <w:name w:val="标题 2 字符"/>
    <w:qFormat/>
    <w:uiPriority w:val="9"/>
    <w:rPr>
      <w:rFonts w:ascii="Cambria" w:hAnsi="Cambria" w:eastAsia="宋体" w:cs="Times New Roman"/>
      <w:b/>
      <w:bCs/>
      <w:sz w:val="32"/>
      <w:szCs w:val="32"/>
    </w:rPr>
  </w:style>
  <w:style w:type="character" w:customStyle="1" w:styleId="192">
    <w:name w:val="正文文本 字符"/>
    <w:qFormat/>
    <w:uiPriority w:val="1"/>
    <w:rPr>
      <w:rFonts w:ascii="宋体" w:hAnsi="Times New Roman" w:eastAsia="宋体" w:cs="Times New Roman"/>
      <w:sz w:val="20"/>
      <w:szCs w:val="21"/>
    </w:rPr>
  </w:style>
  <w:style w:type="character" w:customStyle="1" w:styleId="193">
    <w:name w:val="脚注文本 字符"/>
    <w:semiHidden/>
    <w:qFormat/>
    <w:uiPriority w:val="99"/>
    <w:rPr>
      <w:rFonts w:ascii="Times New Roman" w:hAnsi="Times New Roman" w:eastAsia="宋体" w:cs="Times New Roman"/>
      <w:sz w:val="18"/>
      <w:szCs w:val="18"/>
    </w:rPr>
  </w:style>
  <w:style w:type="character" w:customStyle="1" w:styleId="194">
    <w:name w:val="批注主题 字符"/>
    <w:semiHidden/>
    <w:qFormat/>
    <w:uiPriority w:val="99"/>
    <w:rPr>
      <w:rFonts w:ascii="Times New Roman" w:hAnsi="Times New Roman" w:eastAsia="宋体" w:cs="Times New Roman"/>
      <w:b/>
      <w:bCs/>
    </w:rPr>
  </w:style>
  <w:style w:type="character" w:customStyle="1" w:styleId="195">
    <w:name w:val="日期 字符"/>
    <w:basedOn w:val="30"/>
    <w:semiHidden/>
    <w:qFormat/>
    <w:uiPriority w:val="99"/>
    <w:rPr>
      <w:rFonts w:ascii="Times New Roman" w:hAnsi="Times New Roman" w:eastAsia="宋体" w:cs="Times New Roman"/>
    </w:rPr>
  </w:style>
  <w:style w:type="character" w:customStyle="1" w:styleId="196">
    <w:name w:val="标题 1 字符"/>
    <w:qFormat/>
    <w:uiPriority w:val="1"/>
    <w:rPr>
      <w:rFonts w:ascii="黑体" w:hAnsi="Times New Roman" w:eastAsia="黑体" w:cs="Times New Roman"/>
      <w:b/>
      <w:bCs/>
      <w:sz w:val="36"/>
      <w:szCs w:val="36"/>
    </w:rPr>
  </w:style>
  <w:style w:type="character" w:customStyle="1" w:styleId="197">
    <w:name w:val="页脚 字符"/>
    <w:qFormat/>
    <w:uiPriority w:val="99"/>
    <w:rPr>
      <w:rFonts w:ascii="Times New Roman" w:hAnsi="Times New Roman" w:eastAsia="宋体" w:cs="Times New Roman"/>
      <w:sz w:val="18"/>
      <w:szCs w:val="18"/>
    </w:rPr>
  </w:style>
  <w:style w:type="character" w:customStyle="1" w:styleId="198">
    <w:name w:val="页眉 字符"/>
    <w:qFormat/>
    <w:uiPriority w:val="99"/>
    <w:rPr>
      <w:rFonts w:ascii="Times New Roman" w:hAnsi="Times New Roman" w:eastAsia="宋体" w:cs="Times New Roman"/>
      <w:sz w:val="18"/>
      <w:szCs w:val="18"/>
    </w:rPr>
  </w:style>
  <w:style w:type="character" w:customStyle="1" w:styleId="199">
    <w:name w:val="批注框文本 字符"/>
    <w:semiHidden/>
    <w:qFormat/>
    <w:uiPriority w:val="99"/>
    <w:rPr>
      <w:rFonts w:ascii="Times New Roman" w:hAnsi="Times New Roman" w:eastAsia="宋体" w:cs="Times New Roman"/>
      <w:sz w:val="18"/>
      <w:szCs w:val="18"/>
    </w:rPr>
  </w:style>
  <w:style w:type="paragraph" w:customStyle="1" w:styleId="200">
    <w:name w:val="Table Paragraph"/>
    <w:basedOn w:val="1"/>
    <w:qFormat/>
    <w:uiPriority w:val="1"/>
    <w:pPr>
      <w:jc w:val="left"/>
    </w:pPr>
    <w:rPr>
      <w:sz w:val="24"/>
      <w:szCs w:val="24"/>
    </w:rPr>
  </w:style>
  <w:style w:type="paragraph" w:customStyle="1" w:styleId="201">
    <w:name w:val="Default"/>
    <w:qFormat/>
    <w:uiPriority w:val="0"/>
    <w:pPr>
      <w:widowControl w:val="0"/>
    </w:pPr>
    <w:rPr>
      <w:rFonts w:hint="default" w:ascii="宋体" w:hAnsi="宋体" w:eastAsia="宋体" w:cs="宋体"/>
      <w:color w:val="000000"/>
      <w:sz w:val="24"/>
      <w:szCs w:val="24"/>
      <w:lang w:val="en-US" w:eastAsia="zh-CN" w:bidi="ar-SA"/>
    </w:rPr>
  </w:style>
  <w:style w:type="paragraph" w:styleId="202">
    <w:name w:val="List Paragraph"/>
    <w:basedOn w:val="1"/>
    <w:qFormat/>
    <w:uiPriority w:val="72"/>
    <w:pPr>
      <w:ind w:firstLine="420"/>
    </w:pPr>
  </w:style>
  <w:style w:type="paragraph" w:customStyle="1" w:styleId="203">
    <w:name w:val="_Style 36"/>
    <w:semiHidden/>
    <w:qFormat/>
    <w:uiPriority w:val="99"/>
    <w:rPr>
      <w:rFonts w:hint="default" w:ascii="Times New Roman" w:hAnsi="Times New Roman" w:eastAsia="宋体" w:cs="Times New Roman"/>
      <w:sz w:val="21"/>
      <w:szCs w:val="22"/>
      <w:lang w:val="en-US" w:eastAsia="zh-CN" w:bidi="ar-SA"/>
    </w:rPr>
  </w:style>
  <w:style w:type="character" w:customStyle="1" w:styleId="204">
    <w:name w:val="标题 1 字符1"/>
    <w:link w:val="4"/>
    <w:qFormat/>
    <w:uiPriority w:val="1"/>
    <w:rPr>
      <w:rFonts w:ascii="黑体" w:hAnsi="Times New Roman" w:eastAsia="黑体" w:cs="黑体"/>
      <w:b/>
      <w:bCs/>
      <w:sz w:val="36"/>
      <w:szCs w:val="36"/>
    </w:rPr>
  </w:style>
  <w:style w:type="character" w:customStyle="1" w:styleId="205">
    <w:name w:val="标题 2 字符1"/>
    <w:link w:val="5"/>
    <w:qFormat/>
    <w:uiPriority w:val="9"/>
    <w:rPr>
      <w:rFonts w:ascii="Cambria" w:hAnsi="Cambria" w:eastAsia="宋体" w:cs="Times New Roman"/>
      <w:b/>
      <w:bCs/>
      <w:sz w:val="32"/>
      <w:szCs w:val="32"/>
    </w:rPr>
  </w:style>
  <w:style w:type="character" w:customStyle="1" w:styleId="206">
    <w:name w:val="标题 3 字符1"/>
    <w:link w:val="6"/>
    <w:qFormat/>
    <w:uiPriority w:val="1"/>
    <w:rPr>
      <w:rFonts w:ascii="宋体" w:hAnsi="Times New Roman" w:eastAsia="宋体" w:cs="宋体"/>
      <w:b/>
      <w:bCs/>
      <w:szCs w:val="21"/>
    </w:rPr>
  </w:style>
  <w:style w:type="character" w:customStyle="1" w:styleId="207">
    <w:name w:val="批注文字 字符1"/>
    <w:qFormat/>
    <w:uiPriority w:val="99"/>
    <w:rPr>
      <w:rFonts w:ascii="Times New Roman" w:hAnsi="Times New Roman" w:eastAsia="宋体" w:cs="Times New Roman"/>
      <w:sz w:val="21"/>
      <w:szCs w:val="22"/>
    </w:rPr>
  </w:style>
  <w:style w:type="character" w:customStyle="1" w:styleId="208">
    <w:name w:val="正文文本 字符1"/>
    <w:qFormat/>
    <w:uiPriority w:val="1"/>
    <w:rPr>
      <w:rFonts w:ascii="宋体" w:hAnsi="Times New Roman" w:eastAsia="宋体" w:cs="宋体"/>
      <w:szCs w:val="21"/>
    </w:rPr>
  </w:style>
  <w:style w:type="character" w:customStyle="1" w:styleId="209">
    <w:name w:val="日期 字符1"/>
    <w:basedOn w:val="30"/>
    <w:semiHidden/>
    <w:qFormat/>
    <w:uiPriority w:val="99"/>
    <w:rPr>
      <w:rFonts w:ascii="Times New Roman" w:hAnsi="Times New Roman" w:eastAsia="宋体" w:cs="Times New Roman"/>
    </w:rPr>
  </w:style>
  <w:style w:type="character" w:customStyle="1" w:styleId="210">
    <w:name w:val="批注框文本 字符1"/>
    <w:semiHidden/>
    <w:qFormat/>
    <w:uiPriority w:val="99"/>
    <w:rPr>
      <w:rFonts w:ascii="Times New Roman" w:hAnsi="Times New Roman" w:eastAsia="宋体" w:cs="Times New Roman"/>
      <w:sz w:val="18"/>
      <w:szCs w:val="18"/>
    </w:rPr>
  </w:style>
  <w:style w:type="character" w:customStyle="1" w:styleId="211">
    <w:name w:val="页脚 字符1"/>
    <w:qFormat/>
    <w:uiPriority w:val="99"/>
    <w:rPr>
      <w:rFonts w:ascii="Times New Roman" w:hAnsi="Times New Roman" w:eastAsia="宋体" w:cs="Times New Roman"/>
      <w:sz w:val="18"/>
      <w:szCs w:val="18"/>
    </w:rPr>
  </w:style>
  <w:style w:type="character" w:customStyle="1" w:styleId="212">
    <w:name w:val="页眉 字符1"/>
    <w:qFormat/>
    <w:uiPriority w:val="99"/>
    <w:rPr>
      <w:rFonts w:ascii="Times New Roman" w:hAnsi="Times New Roman" w:eastAsia="宋体" w:cs="Times New Roman"/>
      <w:sz w:val="18"/>
      <w:szCs w:val="18"/>
    </w:rPr>
  </w:style>
  <w:style w:type="character" w:customStyle="1" w:styleId="213">
    <w:name w:val="脚注文本 字符2"/>
    <w:link w:val="27"/>
    <w:semiHidden/>
    <w:qFormat/>
    <w:uiPriority w:val="99"/>
    <w:rPr>
      <w:rFonts w:ascii="Times New Roman" w:hAnsi="Times New Roman" w:eastAsia="宋体" w:cs="Times New Roman"/>
      <w:sz w:val="18"/>
      <w:szCs w:val="18"/>
    </w:rPr>
  </w:style>
  <w:style w:type="character" w:customStyle="1" w:styleId="214">
    <w:name w:val="批注主题 字符1"/>
    <w:semiHidden/>
    <w:qFormat/>
    <w:uiPriority w:val="99"/>
    <w:rPr>
      <w:rFonts w:ascii="Times New Roman" w:hAnsi="Times New Roman" w:eastAsia="宋体" w:cs="Times New Roman"/>
      <w:b/>
      <w:bCs/>
      <w:sz w:val="21"/>
      <w:szCs w:val="22"/>
    </w:rPr>
  </w:style>
</w:styles>
</file>

<file path=word/_rels/document.xml.rels><?xml version="1.0" encoding="UTF-8" standalone="yes"?>
<Relationships xmlns="http://schemas.openxmlformats.org/package/2006/relationships"><Relationship Id="rId9" Type="http://schemas.openxmlformats.org/officeDocument/2006/relationships/numbering" Target="numbering.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4.xml"/><Relationship Id="rId11" Type="http://schemas.openxmlformats.org/officeDocument/2006/relationships/customXml" Target="../customXml/item3.xml"/><Relationship Id="rId10" Type="http://schemas.openxmlformats.org/officeDocument/2006/relationships/customXml" Target="../customXml/item2.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cp:coreProperties xmlns:cp="http://schemas.openxmlformats.org/package/2006/metadata/core-properties" xmlns:dc="http://purl.org/dc/elements/1.1/" xmlns:dcterms="http://purl.org/dc/terms/" xmlns:xsi="http://www.w3.org/2001/XMLSchema-instance">
  <dcterms:created xsi:type="dcterms:W3CDTF">2024-05-11T09:26:00Z</dcterms:created>
  <dc:creator>孙伯略</dc:creator>
  <cp:lastModifiedBy>sylc</cp:lastModifiedBy>
  <dcterms:modified xsi:type="dcterms:W3CDTF">2026-09-09T03:39:55Z</dcterms:modified>
  <cp:revision>58</cp:revision>
</cp:coreProperties>
</file>

<file path=customXml/item3.xml><?xml version="1.0" encoding="utf-8"?>
<Properties xmlns="http://schemas.openxmlformats.org/officeDocument/2006/extended-properties" xmlns:vt="http://schemas.openxmlformats.org/officeDocument/2006/docPropsVTypes">
  <Template>Normal</Template>
  <TotalTime>1</TotalTime>
  <ScaleCrop>false</ScaleCrop>
  <LinksUpToDate>false</LinksUpToDate>
  <Application>WPS Office_11.8.2.11734_F1E327BC-269C-435d-A152-05C5408002CA</Application>
  <DocSecurity>0</DocSecurity>
</Properties>
</file>

<file path=customXml/item4.xml><?xml version="1.0" encoding="utf-8"?>
<Properties xmlns="http://schemas.openxmlformats.org/officeDocument/2006/custom-properties" xmlns:vt="http://schemas.openxmlformats.org/officeDocument/2006/docPropsVTypes">
  <property fmtid="{D5CDD505-2E9C-101B-9397-08002B2CF9AE}" pid="2" name="KSOProductBuildVer">
    <vt:lpwstr>2052-11.8.2.11734</vt:lpwstr>
  </property>
  <property fmtid="{D5CDD505-2E9C-101B-9397-08002B2CF9AE}" pid="3" name="ICV">
    <vt:lpwstr>3D9DA4FEC1AC4898A5CD8A2776F83D6F</vt:lpwstr>
  </property>
</Properties>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2c4bf2c-9350-4739-aa00-f7492bc9e5e9}">
  <ds:schemaRefs/>
</ds:datastoreItem>
</file>

<file path=customXml/itemProps3.xml><?xml version="1.0" encoding="utf-8"?>
<ds:datastoreItem xmlns:ds="http://schemas.openxmlformats.org/officeDocument/2006/customXml" ds:itemID="{5ed8cce1-83d5-46e1-bea3-428c73617e2a}">
  <ds:schemaRefs/>
</ds:datastoreItem>
</file>

<file path=customXml/itemProps4.xml><?xml version="1.0" encoding="utf-8"?>
<ds:datastoreItem xmlns:ds="http://schemas.openxmlformats.org/officeDocument/2006/customXml" ds:itemID="{0a1b6af4-483c-4967-96f3-b0c30c54b956}">
  <ds:schemaRefs/>
</ds:datastoreItem>
</file>

<file path=docProps/app.xml><?xml version="1.0" encoding="utf-8"?>
<Properties xmlns="http://schemas.openxmlformats.org/officeDocument/2006/extended-properties" xmlns:vt="http://schemas.openxmlformats.org/officeDocument/2006/docPropsVTypes">
  <Template>Normal</Template>
  <TotalTime>1</TotalTime>
  <ScaleCrop>false</ScaleCrop>
  <LinksUpToDate>false</LinksUpToDate>
  <Application>WPS Office_11.8.2.10321_F1E327BC-269C-435d-A152-05C5408002CA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2024-05-11T09:26:00Z</dcterms:created>
  <dc:creator>孙伯略</dc:creator>
  <cp:lastModifiedBy>jsyh</cp:lastModifiedBy>
  <dcterms:modified xsi:type="dcterms:W3CDTF">2026-09-09T08:19:22Z</dcterms:modified>
  <cp:revision>58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2052-11.8.2.10321</vt:lpwstr>
  </property>
</Properties>
</file>