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bidi w:val="0"/>
        <w:spacing w:before="0" w:beforeAutospacing="0" w:after="0" w:afterAutospacing="0" w:line="24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苏银理财恒源封闭纯债390期</w:t>
      </w:r>
      <w:r>
        <w:rPr>
          <w:rFonts w:hint="eastAsia" w:ascii="楷体" w:hAnsi="楷体" w:eastAsia="楷体"/>
          <w:b/>
          <w:color w:val="auto"/>
          <w:sz w:val="28"/>
          <w:szCs w:val="28"/>
          <w:highlight w:val="none"/>
        </w:rPr>
        <w:t>”理财产品风险揭示书</w:t>
      </w:r>
    </w:p>
    <w:p>
      <w:pPr>
        <w:keepNext w:val="0"/>
        <w:keepLines w:val="0"/>
        <w:pageBreakBefore w:val="0"/>
        <w:widowControl w:val="0"/>
        <w:bidi w:val="0"/>
        <w:spacing w:after="0" w:line="240" w:lineRule="auto"/>
        <w:jc w:val="center"/>
        <w:rPr>
          <w:rFonts w:hint="eastAsia" w:ascii="楷体" w:hAnsi="楷体" w:eastAsia="楷体" w:cs="宋体"/>
          <w:b/>
          <w:color w:val="auto"/>
          <w:sz w:val="28"/>
          <w:szCs w:val="28"/>
          <w:highlight w:val="none"/>
        </w:rPr>
      </w:pPr>
      <w:r>
        <w:rPr>
          <w:rFonts w:hint="eastAsia" w:ascii="楷体" w:hAnsi="楷体" w:eastAsia="楷体" w:cs="宋体"/>
          <w:b/>
          <w:color w:val="auto"/>
          <w:sz w:val="28"/>
          <w:szCs w:val="28"/>
          <w:highlight w:val="none"/>
        </w:rPr>
        <w:t>理财非存款、产品有风险、投资须谨慎</w:t>
      </w:r>
    </w:p>
    <w:p>
      <w:pPr>
        <w:pStyle w:val="12"/>
        <w:keepNext w:val="0"/>
        <w:keepLines w:val="0"/>
        <w:pageBreakBefore w:val="0"/>
        <w:bidi w:val="0"/>
        <w:spacing w:before="0" w:beforeAutospacing="0" w:after="0" w:afterAutospacing="0" w:line="310" w:lineRule="exact"/>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尊敬的投资者：</w:t>
      </w:r>
    </w:p>
    <w:p>
      <w:pPr>
        <w:pStyle w:val="12"/>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由于理财资金在管理运用过程中可能面临多种风险因素，根据</w:t>
      </w:r>
      <w:r>
        <w:rPr>
          <w:rFonts w:hint="eastAsia" w:ascii="楷体" w:hAnsi="楷体" w:eastAsia="楷体" w:cs="Times New Roman"/>
          <w:sz w:val="21"/>
          <w:szCs w:val="21"/>
          <w:highlight w:val="none"/>
          <w:lang w:val="en-US" w:eastAsia="zh-CN"/>
        </w:rPr>
        <w:t>国家金融监督管理总局（以下简称“金融监管总局”）</w:t>
      </w:r>
      <w:r>
        <w:rPr>
          <w:rFonts w:hint="eastAsia" w:ascii="楷体" w:hAnsi="楷体" w:eastAsia="楷体" w:cs="Times New Roman"/>
          <w:color w:val="auto"/>
          <w:sz w:val="21"/>
          <w:szCs w:val="21"/>
          <w:highlight w:val="none"/>
        </w:rPr>
        <w:t>相关监管规定，苏银理财有限责任公司（以下简称“苏银理财”</w:t>
      </w:r>
      <w:r>
        <w:rPr>
          <w:rFonts w:hint="eastAsia" w:ascii="楷体" w:hAnsi="楷体" w:eastAsia="楷体" w:cs="Times New Roman"/>
          <w:color w:val="auto"/>
          <w:sz w:val="21"/>
          <w:szCs w:val="21"/>
          <w:highlight w:val="none"/>
          <w:lang w:val="en-US" w:eastAsia="zh-CN"/>
        </w:rPr>
        <w:t>或“管理人”</w:t>
      </w:r>
      <w:r>
        <w:rPr>
          <w:rFonts w:hint="eastAsia" w:ascii="楷体" w:hAnsi="楷体" w:eastAsia="楷体" w:cs="Times New Roman"/>
          <w:color w:val="auto"/>
          <w:sz w:val="21"/>
          <w:szCs w:val="21"/>
          <w:highlight w:val="none"/>
        </w:rPr>
        <w:t>）作为本理财产品的产品管理人郑重提示您：在您选择购买理财产品前，请仔细阅读本理财产品</w:t>
      </w:r>
      <w:r>
        <w:rPr>
          <w:rFonts w:hint="eastAsia" w:ascii="楷体" w:hAnsi="楷体" w:eastAsia="楷体" w:cs="Times New Roman"/>
          <w:color w:val="auto"/>
          <w:sz w:val="21"/>
          <w:szCs w:val="21"/>
          <w:highlight w:val="none"/>
          <w:lang w:val="en-US" w:eastAsia="zh-CN"/>
        </w:rPr>
        <w:t>完整销售文件</w:t>
      </w:r>
      <w:r>
        <w:rPr>
          <w:rFonts w:hint="eastAsia" w:ascii="楷体" w:hAnsi="楷体" w:eastAsia="楷体" w:cs="Times New Roman"/>
          <w:color w:val="auto"/>
          <w:sz w:val="21"/>
          <w:szCs w:val="21"/>
          <w:highlight w:val="none"/>
        </w:rPr>
        <w:t>（包括《风险揭示书》、《理财产品说明书》、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val="en-US" w:eastAsia="zh-CN"/>
        </w:rPr>
        <w:t>理财</w:t>
      </w:r>
      <w:r>
        <w:rPr>
          <w:rFonts w:hint="eastAsia" w:ascii="楷体" w:hAnsi="楷体" w:eastAsia="楷体" w:cs="Times New Roman"/>
          <w:color w:val="auto"/>
          <w:sz w:val="21"/>
          <w:szCs w:val="21"/>
          <w:highlight w:val="none"/>
        </w:rPr>
        <w:t>产品投资协议书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《投资者权益须知》</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理财产品（代理）销售协议书</w:t>
      </w:r>
      <w:r>
        <w:rPr>
          <w:rFonts w:hint="eastAsia" w:ascii="楷体" w:hAnsi="楷体" w:eastAsia="楷体" w:cs="Times New Roman"/>
          <w:color w:val="auto"/>
          <w:sz w:val="21"/>
          <w:szCs w:val="21"/>
          <w:highlight w:val="none"/>
        </w:rPr>
        <w:t>》），了解理财产品具体情况；在您购买理财产品后，请关注本理财产品的信息披露，及时获取相关信息。</w:t>
      </w:r>
    </w:p>
    <w:p>
      <w:pPr>
        <w:pStyle w:val="12"/>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苏银理财作为本理财产品管理人承诺以诚实信用、勤勉尽责的原则管理和运用理财产品资产，</w:t>
      </w:r>
      <w:r>
        <w:rPr>
          <w:rFonts w:hint="eastAsia" w:ascii="楷体" w:hAnsi="楷体" w:eastAsia="楷体" w:cs="Times New Roman"/>
          <w:b/>
          <w:color w:val="auto"/>
          <w:sz w:val="21"/>
          <w:szCs w:val="21"/>
          <w:highlight w:val="none"/>
          <w:u w:val="single"/>
        </w:rPr>
        <w:t>但不保证理财产品一定盈利，也不保证最低收益，极端情况下有可能会损失部分甚至全部本金。</w:t>
      </w:r>
      <w:r>
        <w:rPr>
          <w:rFonts w:hint="eastAsia" w:ascii="楷体" w:hAnsi="楷体" w:eastAsia="楷体" w:cs="Times New Roman"/>
          <w:color w:val="auto"/>
          <w:sz w:val="21"/>
          <w:szCs w:val="21"/>
          <w:highlight w:val="none"/>
        </w:rPr>
        <w:t>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rPr>
          <w:rFonts w:hint="eastAsia"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一、</w:t>
      </w:r>
      <w:r>
        <w:rPr>
          <w:rFonts w:hint="eastAsia" w:ascii="楷体" w:hAnsi="楷体" w:eastAsia="楷体"/>
          <w:b/>
          <w:color w:val="auto"/>
          <w:sz w:val="24"/>
          <w:szCs w:val="24"/>
          <w:highlight w:val="none"/>
        </w:rPr>
        <w:t>风险揭示</w:t>
      </w:r>
    </w:p>
    <w:p>
      <w:pPr>
        <w:pStyle w:val="12"/>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hint="eastAsia" w:ascii="楷体" w:hAnsi="楷体" w:eastAsia="楷体" w:cs="楷体"/>
          <w:b/>
          <w:bCs/>
          <w:color w:val="auto"/>
          <w:sz w:val="21"/>
          <w:szCs w:val="21"/>
          <w:highlight w:val="none"/>
          <w:u w:val="single"/>
          <w:lang w:val="en-US" w:eastAsia="zh-CN"/>
        </w:rPr>
        <w:t>管理人在此特别披露：销售机构江苏仪征农村商业银行股份有限公司、江苏银行股份有限公司、苏州银行股份有限公司为产品管理人的关联方。</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1.债券投资的特殊风险：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2.资产管理计划或基金产品的特殊风险：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b/>
          <w:color w:val="auto"/>
          <w:sz w:val="21"/>
          <w:szCs w:val="21"/>
          <w:highlight w:val="none"/>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b/>
          <w:color w:val="auto"/>
          <w:sz w:val="21"/>
          <w:szCs w:val="21"/>
          <w:highlight w:val="none"/>
          <w:u w:val="single"/>
          <w:lang w:val="en-US" w:eastAsia="zh-CN"/>
        </w:rPr>
        <w:t>独立做出</w:t>
      </w:r>
      <w:r>
        <w:rPr>
          <w:rFonts w:hint="eastAsia" w:ascii="楷体" w:hAnsi="楷体" w:eastAsia="楷体"/>
          <w:b/>
          <w:color w:val="auto"/>
          <w:sz w:val="21"/>
          <w:szCs w:val="21"/>
          <w:highlight w:val="none"/>
          <w:u w:val="single"/>
        </w:rPr>
        <w:t>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rPr>
          <w:rFonts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二、</w:t>
      </w:r>
      <w:r>
        <w:rPr>
          <w:rFonts w:hint="eastAsia" w:ascii="楷体" w:hAnsi="楷体" w:eastAsia="楷体"/>
          <w:b/>
          <w:color w:val="auto"/>
          <w:sz w:val="24"/>
          <w:szCs w:val="24"/>
          <w:highlight w:val="none"/>
        </w:rPr>
        <w:t>投资者提示</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val="0"/>
          <w:bCs/>
          <w:color w:val="auto"/>
          <w:sz w:val="21"/>
          <w:szCs w:val="21"/>
          <w:highlight w:val="none"/>
          <w:u w:val="none"/>
        </w:rPr>
      </w:pPr>
      <w:r>
        <w:rPr>
          <w:rFonts w:hint="eastAsia" w:ascii="楷体" w:hAnsi="楷体" w:eastAsia="楷体"/>
          <w:b/>
          <w:color w:val="auto"/>
          <w:sz w:val="21"/>
          <w:szCs w:val="21"/>
          <w:highlight w:val="none"/>
          <w:u w:val="none"/>
          <w:lang w:val="en-US" w:eastAsia="zh-CN"/>
        </w:rPr>
        <w:t>1.</w:t>
      </w:r>
      <w:r>
        <w:rPr>
          <w:rFonts w:hint="eastAsia" w:ascii="楷体" w:hAnsi="楷体" w:eastAsia="楷体"/>
          <w:b/>
          <w:color w:val="auto"/>
          <w:sz w:val="21"/>
          <w:szCs w:val="21"/>
          <w:highlight w:val="none"/>
          <w:u w:val="single"/>
        </w:rPr>
        <w:t>本理财产品不保证本金及收益，您的本金可能因市场变动或者交易违约等事项而蒙受相应损失，</w:t>
      </w:r>
      <w:r>
        <w:rPr>
          <w:rFonts w:hint="eastAsia" w:ascii="楷体" w:hAnsi="楷体" w:eastAsia="楷体"/>
          <w:b/>
          <w:bCs/>
          <w:color w:val="auto"/>
          <w:sz w:val="21"/>
          <w:szCs w:val="21"/>
          <w:highlight w:val="none"/>
          <w:u w:val="single"/>
        </w:rPr>
        <w:t>在最不利的情况下甚至可能损失全部本金。</w:t>
      </w:r>
      <w:r>
        <w:rPr>
          <w:rFonts w:hint="eastAsia" w:ascii="楷体" w:hAnsi="楷体" w:eastAsia="楷体"/>
          <w:b/>
          <w:color w:val="auto"/>
          <w:sz w:val="21"/>
          <w:szCs w:val="21"/>
          <w:highlight w:val="none"/>
          <w:u w:val="single"/>
        </w:rPr>
        <w:t>投资者应充分认识投资风险，谨慎投资。</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color w:val="auto"/>
          <w:sz w:val="21"/>
          <w:szCs w:val="21"/>
          <w:highlight w:val="none"/>
          <w:u w:val="single"/>
        </w:rPr>
      </w:pPr>
      <w:r>
        <w:rPr>
          <w:rFonts w:hint="eastAsia" w:ascii="楷体" w:hAnsi="楷体" w:eastAsia="楷体"/>
          <w:b/>
          <w:color w:val="auto"/>
          <w:sz w:val="21"/>
          <w:szCs w:val="21"/>
          <w:highlight w:val="none"/>
          <w:u w:val="none"/>
          <w:lang w:val="en-US" w:eastAsia="zh-CN"/>
        </w:rPr>
        <w:t>2.</w:t>
      </w:r>
      <w:r>
        <w:rPr>
          <w:rFonts w:hint="eastAsia" w:ascii="楷体" w:hAnsi="楷体" w:eastAsia="楷体"/>
          <w:b/>
          <w:color w:val="auto"/>
          <w:sz w:val="21"/>
          <w:szCs w:val="21"/>
          <w:highlight w:val="none"/>
          <w:u w:val="single"/>
        </w:rPr>
        <w:t>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本理财产品类型为</w:t>
      </w:r>
      <w:r>
        <w:rPr>
          <w:rFonts w:hint="eastAsia" w:ascii="楷体" w:hAnsi="楷体" w:eastAsia="楷体"/>
          <w:b/>
          <w:bCs/>
          <w:color w:val="auto"/>
          <w:sz w:val="21"/>
          <w:szCs w:val="21"/>
          <w:highlight w:val="none"/>
          <w:u w:val="single"/>
        </w:rPr>
        <w:t>固定收益类、公募、封闭式</w:t>
      </w:r>
      <w:r>
        <w:rPr>
          <w:rFonts w:hint="eastAsia" w:ascii="楷体" w:hAnsi="楷体" w:eastAsia="楷体"/>
          <w:color w:val="auto"/>
          <w:sz w:val="21"/>
          <w:szCs w:val="21"/>
          <w:highlight w:val="none"/>
        </w:rPr>
        <w:t>，计划存续期限为</w:t>
      </w:r>
      <w:r>
        <w:rPr>
          <w:rFonts w:hint="eastAsia" w:ascii="楷体" w:hAnsi="楷体" w:eastAsia="楷体"/>
          <w:b/>
          <w:bCs/>
          <w:color w:val="auto"/>
          <w:sz w:val="21"/>
          <w:szCs w:val="21"/>
          <w:highlight w:val="none"/>
          <w:u w:val="single"/>
          <w:lang w:val="en-US" w:eastAsia="zh-CN"/>
        </w:rPr>
        <w:t>280天</w:t>
      </w:r>
      <w:r>
        <w:rPr>
          <w:rFonts w:hint="eastAsia" w:ascii="楷体" w:hAnsi="楷体" w:eastAsia="楷体"/>
          <w:color w:val="auto"/>
          <w:sz w:val="21"/>
          <w:szCs w:val="21"/>
          <w:highlight w:val="none"/>
        </w:rPr>
        <w:t>，产品管理人对本理财产品的内部风险评级为</w:t>
      </w:r>
      <w:r>
        <w:rPr>
          <w:rFonts w:hint="eastAsia" w:ascii="楷体" w:hAnsi="楷体" w:eastAsia="楷体"/>
          <w:b/>
          <w:bCs/>
          <w:color w:val="auto"/>
          <w:sz w:val="21"/>
          <w:szCs w:val="21"/>
          <w:highlight w:val="none"/>
          <w:u w:val="single"/>
        </w:rPr>
        <w:t>★★二级</w:t>
      </w:r>
      <w:r>
        <w:rPr>
          <w:rFonts w:hint="eastAsia" w:ascii="楷体" w:hAnsi="楷体" w:eastAsia="楷体"/>
          <w:b/>
          <w:color w:val="auto"/>
          <w:sz w:val="21"/>
          <w:szCs w:val="21"/>
          <w:highlight w:val="none"/>
          <w:u w:val="single"/>
        </w:rPr>
        <w:t>，适合</w:t>
      </w:r>
      <w:r>
        <w:rPr>
          <w:rFonts w:hint="eastAsia" w:ascii="楷体" w:hAnsi="楷体" w:eastAsia="楷体"/>
          <w:b/>
          <w:bCs/>
          <w:color w:val="auto"/>
          <w:sz w:val="21"/>
          <w:szCs w:val="21"/>
          <w:highlight w:val="none"/>
          <w:u w:val="single"/>
        </w:rPr>
        <w:t>中低风险型</w:t>
      </w:r>
      <w:r>
        <w:rPr>
          <w:rFonts w:hint="eastAsia" w:ascii="楷体" w:hAnsi="楷体" w:eastAsia="楷体"/>
          <w:color w:val="auto"/>
          <w:sz w:val="21"/>
          <w:szCs w:val="21"/>
          <w:highlight w:val="none"/>
          <w:u w:val="single"/>
        </w:rPr>
        <w:t>。</w:t>
      </w:r>
      <w:r>
        <w:rPr>
          <w:rFonts w:hint="eastAsia" w:ascii="楷体" w:hAnsi="楷体" w:eastAsia="楷体"/>
          <w:color w:val="auto"/>
          <w:sz w:val="21"/>
          <w:szCs w:val="21"/>
          <w:highlight w:val="none"/>
        </w:rPr>
        <w:t>本理财产品的风险特征为：</w:t>
      </w:r>
      <w:r>
        <w:rPr>
          <w:rFonts w:hint="eastAsia" w:ascii="楷体" w:hAnsi="楷体" w:eastAsia="楷体"/>
          <w:b/>
          <w:bCs/>
          <w:color w:val="auto"/>
          <w:sz w:val="21"/>
          <w:szCs w:val="21"/>
          <w:highlight w:val="none"/>
          <w:u w:val="single"/>
          <w:lang w:val="en-US" w:eastAsia="zh-CN"/>
        </w:rPr>
        <w:t>【总体风险程度较低，净值波动较小，本金遭受损失的可能性较低。】</w:t>
      </w:r>
      <w:r>
        <w:rPr>
          <w:rFonts w:hint="eastAsia" w:ascii="楷体" w:hAnsi="楷体" w:eastAsia="楷体" w:cs="Calibri"/>
          <w:b/>
          <w:color w:val="auto"/>
          <w:sz w:val="21"/>
          <w:szCs w:val="21"/>
          <w:highlight w:val="none"/>
          <w:u w:val="single"/>
        </w:rPr>
        <w:t>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lang w:val="en-US" w:eastAsia="zh-CN"/>
        </w:rPr>
        <w:t>并对评估结果签字确认</w:t>
      </w:r>
      <w:r>
        <w:rPr>
          <w:rFonts w:hint="eastAsia" w:ascii="楷体" w:hAnsi="楷体" w:eastAsia="楷体"/>
          <w:color w:val="auto"/>
          <w:sz w:val="21"/>
          <w:szCs w:val="21"/>
          <w:highlight w:val="none"/>
        </w:rPr>
        <w:t>。</w:t>
      </w:r>
    </w:p>
    <w:p>
      <w:pPr>
        <w:pStyle w:val="12"/>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风险揭示方：苏银理财有限责任公司</w:t>
      </w:r>
    </w:p>
    <w:p>
      <w:pPr>
        <w:pStyle w:val="12"/>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p>
    <w:p>
      <w:pPr>
        <w:pStyle w:val="12"/>
        <w:keepNext w:val="0"/>
        <w:keepLines w:val="0"/>
        <w:pageBreakBefore w:val="0"/>
        <w:widowControl/>
        <w:numPr>
          <w:ilvl w:val="0"/>
          <w:numId w:val="0"/>
        </w:numPr>
        <w:bidi w:val="0"/>
        <w:spacing w:before="313" w:beforeAutospacing="0" w:after="157" w:afterAutospacing="0" w:line="310" w:lineRule="exact"/>
        <w:ind w:left="0" w:firstLine="0"/>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投资者风险确认函</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ascii="楷体" w:hAnsi="楷体" w:eastAsia="楷体"/>
          <w:color w:val="auto"/>
          <w:sz w:val="21"/>
          <w:szCs w:val="21"/>
          <w:highlight w:val="none"/>
        </w:rPr>
        <w:t>投资决策系由</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ascii="楷体" w:hAnsi="楷体" w:eastAsia="楷体"/>
          <w:color w:val="auto"/>
          <w:sz w:val="21"/>
          <w:szCs w:val="21"/>
          <w:highlight w:val="none"/>
        </w:rPr>
        <w:t>独立、自主、谨慎做出，</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机构确认已经收到本理财产品的风险揭示书，且已经认真阅读本理财产品完整</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全部约定。</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机构确认理解投资本理财产品将涉及的所有风险，并将承担且有能力承担该等风险。</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承诺理财购买资金来源合法合规，</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将配合管理人及销售机构开展反洗钱、反恐怖融资及非居民金融账户涉税信息尽职调查等工作。</w:t>
      </w:r>
    </w:p>
    <w:p>
      <w:pPr>
        <w:keepNext w:val="0"/>
        <w:keepLines w:val="0"/>
        <w:pageBreakBefore w:val="0"/>
        <w:bidi w:val="0"/>
        <w:spacing w:line="310" w:lineRule="exact"/>
        <w:ind w:firstLine="420"/>
        <w:rPr>
          <w:rFonts w:hint="eastAsia" w:ascii="楷体" w:hAnsi="楷体" w:eastAsia="楷体"/>
          <w:b/>
          <w:color w:val="auto"/>
          <w:sz w:val="21"/>
          <w:szCs w:val="21"/>
          <w:highlight w:val="none"/>
        </w:rPr>
      </w:pPr>
      <w:r>
        <w:rPr>
          <w:rFonts w:hint="eastAsia" w:ascii="楷体" w:hAnsi="楷体" w:eastAsia="楷体"/>
          <w:color w:val="auto"/>
          <w:sz w:val="21"/>
          <w:szCs w:val="21"/>
          <w:highlight w:val="none"/>
        </w:rPr>
        <w:t>经销售机构评估，本人/本机构的风险承受能力评级结果为</w:t>
      </w:r>
      <w:r>
        <w:rPr>
          <w:rFonts w:ascii="楷体" w:hAnsi="楷体" w:eastAsia="楷体"/>
          <w:b/>
          <w:color w:val="auto"/>
          <w:sz w:val="21"/>
          <w:szCs w:val="21"/>
          <w:highlight w:val="none"/>
        </w:rPr>
        <w:t>：</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u w:val="single"/>
        </w:rPr>
        <w:t xml:space="preserve">                                        </w:t>
      </w:r>
    </w:p>
    <w:p>
      <w:pPr>
        <w:keepNext w:val="0"/>
        <w:keepLines w:val="0"/>
        <w:pageBreakBefore w:val="0"/>
        <w:bidi w:val="0"/>
        <w:spacing w:line="310" w:lineRule="exact"/>
        <w:ind w:firstLine="420"/>
        <w:rPr>
          <w:rFonts w:hint="eastAsia" w:ascii="楷体" w:hAnsi="楷体" w:eastAsia="楷体"/>
          <w:color w:val="auto"/>
          <w:sz w:val="21"/>
          <w:szCs w:val="21"/>
          <w:highlight w:val="none"/>
          <w:lang w:val="en-US" w:eastAsia="zh-CN"/>
        </w:rPr>
      </w:pPr>
      <w:r>
        <w:rPr>
          <w:rFonts w:hint="eastAsia" w:ascii="楷体" w:hAnsi="楷体" w:eastAsia="楷体"/>
          <w:color w:val="auto"/>
          <w:sz w:val="21"/>
          <w:szCs w:val="21"/>
          <w:highlight w:val="none"/>
        </w:rPr>
        <w:t>风险承受能力不低于本理财产品的风险评级，适合购买本理财产品。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影响风险承受能力的因素发生变化，本人/本机构</w:t>
      </w:r>
      <w:r>
        <w:rPr>
          <w:rFonts w:hint="eastAsia" w:ascii="楷体" w:hAnsi="楷体" w:eastAsia="楷体"/>
          <w:color w:val="auto"/>
          <w:sz w:val="21"/>
          <w:szCs w:val="21"/>
          <w:highlight w:val="none"/>
        </w:rPr>
        <w:t>将及时完成风险承受能力的重新评估。</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rPr>
        <w:t>须</w:t>
      </w:r>
      <w:r>
        <w:rPr>
          <w:rFonts w:hint="eastAsia" w:ascii="楷体" w:hAnsi="楷体" w:eastAsia="楷体"/>
          <w:b/>
          <w:color w:val="auto"/>
          <w:sz w:val="21"/>
          <w:szCs w:val="21"/>
          <w:highlight w:val="none"/>
          <w:u w:val="single"/>
        </w:rPr>
        <w:t>投资者亲笔抄录</w:t>
      </w:r>
      <w:r>
        <w:rPr>
          <w:rFonts w:hint="eastAsia" w:ascii="楷体" w:hAnsi="楷体" w:eastAsia="楷体"/>
          <w:color w:val="auto"/>
          <w:sz w:val="21"/>
          <w:szCs w:val="21"/>
          <w:highlight w:val="none"/>
        </w:rPr>
        <w:t>以下内容：</w:t>
      </w:r>
      <w:r>
        <w:rPr>
          <w:rFonts w:hint="eastAsia" w:ascii="楷体" w:hAnsi="楷体" w:eastAsia="楷体"/>
          <w:b/>
          <w:color w:val="auto"/>
          <w:sz w:val="21"/>
          <w:szCs w:val="21"/>
          <w:highlight w:val="none"/>
        </w:rPr>
        <w:t>“本人/本机构</w:t>
      </w:r>
      <w:r>
        <w:rPr>
          <w:rFonts w:hint="eastAsia" w:ascii="楷体" w:hAnsi="楷体" w:eastAsia="楷体"/>
          <w:b/>
          <w:color w:val="auto"/>
          <w:sz w:val="21"/>
          <w:szCs w:val="21"/>
          <w:highlight w:val="none"/>
          <w:u w:val="single"/>
        </w:rPr>
        <w:t>已经阅读风险揭示，愿意承担投资风险</w:t>
      </w:r>
      <w:r>
        <w:rPr>
          <w:rFonts w:hint="eastAsia" w:ascii="楷体" w:hAnsi="楷体" w:eastAsia="楷体"/>
          <w:b/>
          <w:color w:val="auto"/>
          <w:sz w:val="21"/>
          <w:szCs w:val="21"/>
          <w:highlight w:val="none"/>
        </w:rPr>
        <w:t>”</w:t>
      </w:r>
      <w:r>
        <w:rPr>
          <w:rFonts w:hint="eastAsia" w:ascii="楷体" w:hAnsi="楷体" w:eastAsia="楷体"/>
          <w:color w:val="auto"/>
          <w:sz w:val="21"/>
          <w:szCs w:val="21"/>
          <w:highlight w:val="none"/>
        </w:rPr>
        <w:t>。</w:t>
      </w:r>
    </w:p>
    <w:p>
      <w:pPr>
        <w:keepNext w:val="0"/>
        <w:keepLines w:val="0"/>
        <w:pageBreakBefore w:val="0"/>
        <w:bidi w:val="0"/>
        <w:spacing w:line="310" w:lineRule="exact"/>
        <w:rPr>
          <w:rFonts w:hint="default" w:ascii="楷体" w:hAnsi="楷体" w:eastAsia="楷体"/>
          <w:color w:val="auto"/>
          <w:sz w:val="21"/>
          <w:szCs w:val="21"/>
          <w:highlight w:val="none"/>
          <w:u w:val="single"/>
          <w:lang w:val="en-US" w:eastAsia="zh-CN"/>
        </w:rPr>
      </w:pP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p>
    <w:p>
      <w:pPr>
        <w:keepNext w:val="0"/>
        <w:keepLines w:val="0"/>
        <w:pageBreakBefore w:val="0"/>
        <w:bidi w:val="0"/>
        <w:spacing w:line="310" w:lineRule="exact"/>
        <w:jc w:val="both"/>
        <w:rPr>
          <w:rFonts w:hint="eastAsia" w:ascii="楷体" w:hAnsi="楷体" w:eastAsia="楷体"/>
          <w:color w:val="auto"/>
          <w:sz w:val="21"/>
          <w:szCs w:val="21"/>
          <w:highlight w:val="none"/>
        </w:rPr>
      </w:pPr>
      <w:r>
        <w:rPr>
          <w:rFonts w:hint="eastAsia" w:ascii="楷体" w:hAnsi="楷体" w:eastAsia="楷体"/>
          <w:color w:val="auto"/>
          <w:sz w:val="21"/>
          <w:szCs w:val="21"/>
          <w:highlight w:val="none"/>
        </w:rPr>
        <w:t>个人投资者签字：</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机构投资者（盖章）：</w:t>
      </w:r>
    </w:p>
    <w:p>
      <w:pPr>
        <w:keepNext w:val="0"/>
        <w:keepLines w:val="0"/>
        <w:pageBreakBefore w:val="0"/>
        <w:bidi w:val="0"/>
        <w:spacing w:line="310" w:lineRule="exact"/>
        <w:rPr>
          <w:rFonts w:ascii="楷体" w:hAnsi="楷体" w:eastAsia="楷体"/>
          <w:color w:val="auto"/>
          <w:sz w:val="21"/>
          <w:szCs w:val="21"/>
          <w:highlight w:val="none"/>
        </w:rPr>
      </w:pPr>
    </w:p>
    <w:p>
      <w:pPr>
        <w:pStyle w:val="12"/>
        <w:keepNext w:val="0"/>
        <w:keepLines w:val="0"/>
        <w:pageBreakBefore w:val="0"/>
        <w:bidi w:val="0"/>
        <w:spacing w:before="0" w:beforeAutospacing="0" w:after="0" w:afterAutospacing="0" w:line="310" w:lineRule="exact"/>
        <w:jc w:val="both"/>
        <w:rPr>
          <w:rFonts w:hint="eastAsia" w:ascii="楷体" w:hAnsi="楷体" w:eastAsia="楷体"/>
          <w:sz w:val="24"/>
          <w:szCs w:val="24"/>
          <w:highlight w:val="none"/>
          <w:lang w:val="en-US" w:eastAsia="zh-CN"/>
        </w:rPr>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pPr>
      <w:r>
        <w:rPr>
          <w:rFonts w:hint="eastAsia" w:ascii="楷体" w:hAnsi="楷体" w:eastAsia="楷体"/>
          <w:color w:val="auto"/>
          <w:sz w:val="21"/>
          <w:szCs w:val="21"/>
          <w:highlight w:val="none"/>
        </w:rPr>
        <w:t>机构投资者法定代表人或授权代表（签字或盖章）</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240" w:lineRule="auto"/>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苏银理财恒源封闭纯债390期</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12"/>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240" w:lineRule="auto"/>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240" w:lineRule="auto"/>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产品登记编码：Z7003126000431</w:t>
      </w:r>
    </w:p>
    <w:p>
      <w:pPr>
        <w:pStyle w:val="15"/>
        <w:keepNext w:val="0"/>
        <w:keepLines w:val="0"/>
        <w:pageBreakBefore w:val="0"/>
        <w:bidi w:val="0"/>
        <w:spacing w:line="240" w:lineRule="auto"/>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240" w:lineRule="auto"/>
        <w:rPr>
          <w:rFonts w:hint="eastAsia" w:ascii="楷体" w:hAnsi="楷体" w:eastAsia="楷体" w:cs="楷体"/>
          <w:b/>
          <w:color w:val="auto"/>
          <w:sz w:val="21"/>
          <w:szCs w:val="21"/>
          <w:highlight w:val="none"/>
        </w:rPr>
      </w:pPr>
    </w:p>
    <w:p>
      <w:pPr>
        <w:keepNext w:val="0"/>
        <w:keepLines w:val="0"/>
        <w:pageBreakBefore w:val="0"/>
        <w:bidi w:val="0"/>
        <w:spacing w:line="240" w:lineRule="auto"/>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w:t>
      </w:r>
      <w:r>
        <w:rPr>
          <w:rFonts w:hint="eastAsia" w:ascii="楷体" w:hAnsi="楷体" w:eastAsia="楷体"/>
          <w:sz w:val="21"/>
          <w:szCs w:val="21"/>
          <w:highlight w:val="none"/>
          <w:lang w:val="en-US" w:eastAsia="zh-CN"/>
        </w:rPr>
        <w:t>苏银理财恒源封闭纯债390期</w:t>
      </w:r>
      <w:r>
        <w:rPr>
          <w:rFonts w:hint="eastAsia" w:ascii="楷体" w:hAnsi="楷体" w:eastAsia="楷体"/>
          <w:sz w:val="21"/>
          <w:szCs w:val="21"/>
          <w:highlight w:val="none"/>
        </w:rPr>
        <w:t>”理财产品风险揭示书》的“风险揭示”部分。</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numPr>
          <w:ilvl w:val="0"/>
          <w:numId w:val="1"/>
        </w:numPr>
        <w:ind w:left="420" w:hanging="420"/>
        <w:rPr>
          <w:rFonts w:hint="eastAsia" w:ascii="楷体" w:hAnsi="楷体" w:eastAsia="楷体" w:cs="楷体"/>
          <w:sz w:val="21"/>
          <w:szCs w:val="21"/>
          <w:highlight w:val="non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关键</w:t>
      </w:r>
      <w:r>
        <w:rPr>
          <w:rFonts w:hint="eastAsia" w:ascii="楷体" w:hAnsi="楷体" w:eastAsia="楷体" w:cs="楷体"/>
          <w:b/>
          <w:color w:val="auto"/>
          <w:sz w:val="21"/>
          <w:szCs w:val="21"/>
          <w:highlight w:val="none"/>
        </w:rPr>
        <w:t>要素</w:t>
      </w:r>
    </w:p>
    <w:tbl>
      <w:tblPr>
        <w:tblStyle w:val="3"/>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Z7003126000431</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苏银理财恒源封闭纯债390期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A份额：J29204（销售名称：苏银理财恒源封闭纯债390期9月A）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B份额：J29205（销售名称：苏银理财恒源封闭纯债390期9月B）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C份额：J29206（销售名称：苏银理财恒源封闭纯债390期9月C）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D份额：J29207（销售名称：苏银理财恒源封闭纯债390期9月D）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E份额：J29208（销售名称：苏银理财恒源封闭纯债390期9月E）</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G份额：J29209（销售名称：苏银理财恒源封闭纯债390期9月G）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（2）东营银行股份有限公司：B份额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（3）福建海峡银行股份有限公司：D份额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（4）广东华润银行股份有限公司：A份额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（5）华夏银行股份有限公司：G份额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（6）江苏常熟农村商业银行股份有限公司：D份额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（7）江苏高淳农村商业银行股份有限公司：B份额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（8）江苏灌南农村商业银行股份有限公司：A份额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（9）江苏灌云农村商业银行股份有限公司：A份额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（10）江苏海安农村商业银行股份有限公司：A份额、E份额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（11）江苏洪泽农村商业银行股份有限公司：A份额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（12）江苏淮安农村商业银行股份有限公司：B份额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（13）江苏金湖农村商业银行股份有限公司：B份额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（14）江苏句容农村商业银行股份有限公司：A份额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（15）江苏昆山农村商业银行股份有限公司：C份额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（16）江苏民丰农村商业银行股份有限公司：A份额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（17）江苏太仓农村商业银行股份有限公司：B份额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（18）江苏扬中农村商业银行股份有限公司：C份额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（19）江苏仪征农村商业银行股份有限公司：A份额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（21）江苏邳州农村商业银行股份有限公司：E份额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（22）江苏沭阳农村商业银行股份有限公司：D份额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（23）江苏泗洪农村商业银行股份有限公司：A份额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（24）江苏溧水农村商业银行股份有限公司：E份额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（25）江苏盱眙农村商业银行股份有限公司：A份额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（26）宁波通商银行股份有限公司：A份额、B份额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（27）齐鲁银行股份有限公司：D份额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（28）石嘴山银行股份有限公司：D份额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（29）苏州银行股份有限公司：C份额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（30）泰安银行股份有限公司：C份额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（31）潍坊银行股份有限公司：C份额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（32）新疆银行股份有限公司：B份额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（33）汉口银行股份有限公司：B份额、C份额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（34）徽商银行股份有限公司：B份额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（35）徐州农村商业银行股份有限公司：E份额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中国工商银行股份有限公司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个人、机构。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本产品最低发行规模：1000万元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本理财产品在存续期内不开放申购和赎回，本产品说明书</w:t>
            </w: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约定的</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特定情形除外。</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1.收益构成</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本理财产品的收益包括期间收益分配（如有）与终止收益分配（如有）。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（1）期间分配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本产品无分红机制，投资运作情况体现为产品净值变化。产品投资运作到期，投资收益扣除相关费用后，全部分配给投资者。</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（2）终止分配</w:t>
            </w:r>
            <w:bookmarkStart w:id="1" w:name="_GoBack"/>
            <w:bookmarkEnd w:id="1"/>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2.收益分配原则</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（1）收益分配采用现金分配方式；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（2）每一产品同一份额享有同等分配权。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如本产品进行收益分配，或产品存续期内收益分配方案发生变更，管理人将按“信息披露”约定的方式向投资者进行披露。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15"/>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3"/>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2026年9月17日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2026年9月23日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2027年7月1日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T+5（此处T指产品实际终止日，5指5个工作日）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280</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如遇节假日，顺延至下一工作日，以理财产品实际存续天数为准。</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A份额：0.10%；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B份额：0.20%；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C份额：0.05%；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D份额：0.30%；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E份额：0.15%；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G份额：0.20%。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若产品各份额实际投资收益在扣除托管费、销售服务费、投资管理费、信息技术服务费等费用后超过各份额业绩比较基准，产品管理人将按照超出部分的50%收取超额业绩报酬。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本产品费用包括托管费、销售服务费、固定管理费、信息技术服务费、浮动管理费（如有）以及产品运作和清算中产生的其他费用等。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numPr>
                <w:ilvl w:val="0"/>
                <w:numId w:val="0"/>
              </w:numPr>
              <w:bidi w:val="0"/>
              <w:spacing w:line="240" w:lineRule="auto"/>
              <w:jc w:val="both"/>
              <w:rPr>
                <w:rFonts w:hint="eastAsia" w:ascii="楷体" w:hAnsi="楷体" w:eastAsia="楷体" w:cs="楷体"/>
                <w:b w:val="0"/>
                <w:bCs w:val="0"/>
                <w:color w:val="000000" w:themeColor="text1"/>
                <w:sz w:val="20"/>
                <w:szCs w:val="20"/>
                <w:highlight w:val="none"/>
                <w:u w:val="none"/>
                <w14:textFill>
                  <w14:solidFill>
                    <w14:schemeClr w14:val="tx1"/>
                  </w14:solidFill>
                </w14:textFill>
              </w:rPr>
            </w:pPr>
            <w:r>
              <w:rPr>
                <w:rFonts w:hint="eastAsia" w:ascii="楷体" w:hAnsi="楷体" w:eastAsia="楷体" w:cs="楷体"/>
                <w:b w:val="0"/>
                <w:bCs w:val="0"/>
                <w:color w:val="000000" w:themeColor="text1"/>
                <w:sz w:val="20"/>
                <w:szCs w:val="20"/>
                <w:highlight w:val="none"/>
                <w:u w:val="none"/>
                <w:lang w:val="en-US" w:eastAsia="zh-CN"/>
                <w14:textFill>
                  <w14:solidFill>
                    <w14:schemeClr w14:val="tx1"/>
                  </w14:solidFill>
                </w14:textFill>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D份额：以前一自然日资产净值为基数，每日计提模式；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G份额：以前一自然日资产净值为基数，一次性计提模式。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每日计提模式：每日计提，按管理人与托管机构约定的时间支付，每日应计提的托管费＝计提基数×托管费率÷365。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每日计提模式：每日计提，定期支付，每日应计提的固定管理费＝计提基数×固定管理费率÷365。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rPr>
                <w:rFonts w:hint="eastAsia"/>
                <w:b/>
                <w:bCs w:val="0"/>
                <w:u w:val="single"/>
                <w:lang w:val="en-US" w:eastAsia="zh-CN"/>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1"/>
                <w:szCs w:val="21"/>
                <w:highlight w:val="none"/>
                <w:lang w:val="en-US" w:eastAsia="zh-CN"/>
                <w14:textFill>
                  <w14:solidFill>
                    <w14:schemeClr w14:val="tx1"/>
                  </w14:solidFill>
                </w14:textFill>
              </w:rPr>
              <w:t>指理财产品因使用银行业理财登记托管中心有限公司提供的数据交换服务所收取的费用。</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信息技术服务费率（年化）：0.002%。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以前一日资产净值为基数，每日计提模式。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每日计提模式：每日计提，定期支付，每日应计提的信息技术服务费=计提基数×信息技术服务费率÷365。</w:t>
            </w: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default"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若产品各份额实际投资收益在扣除托管费、销售服务费、投资管理费、信息技术服务费等费用后超过各份额业绩比较基准，产品管理人将按照超出部分的50%收取超额业绩报酬。</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产品存续期内理财产品将每日暂估超额业绩报酬，仅用于理财产品会计核算，并将扣除“暂估超额业绩报酬”后的理财产品份额净值按照说明书约定向投资者进行披露。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当期的超额收益=理财产品份额×期初单位净值×（当期年化收益率-业绩比较基准）×计提比例×当期运作天数÷365。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其中，当期年化收益率=（计提日累计单位净值-期初累计单位净值）÷期初单位净值×365÷当期运作天数。如期初为产品成立日，则期初累计单位净值与期初单位净值为产品份额面值。</w:t>
            </w:r>
          </w:p>
          <w:p>
            <w:pPr>
              <w:keepNext w:val="0"/>
              <w:keepLines w:val="0"/>
              <w:pageBreakBefore w:val="0"/>
              <w:widowControl/>
              <w:bidi w:val="0"/>
              <w:spacing w:line="240" w:lineRule="auto"/>
              <w:jc w:val="both"/>
              <w:rPr>
                <w:rFonts w:hint="eastAsia" w:eastAsia="楷体"/>
                <w:b w:val="0"/>
                <w:bCs w:val="0"/>
                <w:sz w:val="20"/>
                <w:szCs w:val="20"/>
                <w:highlight w:val="none"/>
              </w:rPr>
            </w:pPr>
            <w:r>
              <w:rPr>
                <w:rFonts w:hint="eastAsia" w:ascii="楷体" w:hAnsi="楷体" w:eastAsia="楷体" w:cs="楷体"/>
                <w:b/>
                <w:bCs/>
                <w:color w:val="000000" w:themeColor="text1"/>
                <w:sz w:val="20"/>
                <w:szCs w:val="20"/>
                <w:highlight w:val="none"/>
                <w14:textFill>
                  <w14:solidFill>
                    <w14:schemeClr w14:val="tx1"/>
                  </w14:solidFill>
                </w14:textFill>
              </w:rPr>
              <w:t>理财产品实际收取的超额业绩报酬以</w:t>
            </w: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到期日</w:t>
            </w:r>
            <w:r>
              <w:rPr>
                <w:rFonts w:hint="eastAsia" w:ascii="楷体" w:hAnsi="楷体" w:eastAsia="楷体" w:cs="楷体"/>
                <w:b/>
                <w:bCs/>
                <w:color w:val="000000" w:themeColor="text1"/>
                <w:sz w:val="20"/>
                <w:szCs w:val="20"/>
                <w:highlight w:val="none"/>
                <w14:textFill>
                  <w14:solidFill>
                    <w14:schemeClr w14:val="tx1"/>
                  </w14:solidFill>
                </w14:textFill>
              </w:rPr>
              <w:t>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A份额：2.05%（年化）；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B份额：1.95%（年化）；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C份额：2.10%（年化）；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D份额：1.85%（年化）；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E份额：2.00%（年化）；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G份额：1.95%（年化）。</w:t>
            </w:r>
          </w:p>
          <w:p>
            <w:pPr>
              <w:keepNext w:val="0"/>
              <w:keepLines w:val="0"/>
              <w:pageBreakBefore w:val="0"/>
              <w:widowControl/>
              <w:numPr>
                <w:ilvl w:val="0"/>
                <w:numId w:val="0"/>
              </w:numPr>
              <w:bidi w:val="0"/>
              <w:spacing w:line="240" w:lineRule="auto"/>
              <w:jc w:val="both"/>
              <w:rPr>
                <w:rFonts w:hint="eastAsia"/>
                <w:sz w:val="20"/>
                <w:szCs w:val="20"/>
                <w:highlight w:val="none"/>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银行存款、存单、债券（含永续债）等资产投资收益水平，在产品说明书约定的投资范围和投资比例内，综合考虑各类份额收取的销售服务费和投资管理费等费用情况，模拟测算得出业绩比较基准。业绩比较基准不是预期收益率，不代表产品的未来表现和实际收益，不构成对产品收益的承诺。</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4.历次业绩比较基准调整情况（2026年9月1日之后）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银行存款、存单、债券（含永续债）和监管机构允许投资的其他标准化类资产。具体资产投资比例为：货币市场工具、债券等固定收益类资产占产品资产总值比例不低于80%，符合监管要求的其他资产占产品资产总值比例不超过20%。</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 xml:space="preserve">本产品利用定性分析和定量分析方法，通过对金融工具的积极投资，在有效控制投资风险和保持流动性的基础上，力争获得高于业绩比较基准的投资回报，主要投资策略包括资产配置策略、利率策略、收益率曲线策略、信用策略和杠杆策略等。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国务院银行业监督管理机构规定及本理财产品销售文件中约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计划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本产品托管人为中国工商银行股份有限公司，地址为北京市西城区复兴门内大街55号，联系电话为010-66105799。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240" w:lineRule="auto"/>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无。</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（1）北京农村商业银行股份有限公司：地址为北京市西城区月坛南街1号院2号楼，联系电话为010-96198/400-889-6198；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（2）东营银行股份有限公司：地址为山东省东营市东营区府前大街87-1号，联系电话为4006296588；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（3）福建海峡银行股份有限公司：地址为福建省福州市台江区江滨中大道358号海峡银行大厦，联系电话为400-893-9999；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（4）广东华润银行股份有限公司：地址为广东省珠海市高新区北城东三路88号1栋，联系电话为96588；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（5）华夏银行股份有限公司：地址为北京市东城区建国门内大街22号，联系电话为95577；</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（6）江苏常熟农村商业银行股份有限公司：地址为江苏省常熟市新世纪大道58号，联系电话为956020；</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（7）江苏高淳农村商业银行股份有限公司：地址为江苏省南京市高淳区淳溪镇宝塔路123号，联系电话为96008；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（8）江苏灌南农村商业银行股份有限公司：地址为江苏省连云港市灌南县人民路29号，联系电话为96008；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（9）江苏灌云农村商业银行股份有限公司：地址为江苏省灌云县伊山镇水利路东侧(人民路与水利路交汇处)，联系电话为96008；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（10）江苏海安农村商业银行股份有限公司：地址为江苏省海安市长江中路88号(东楼)，联系电话为96008；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（11）江苏洪泽农村商业银行股份有限公司：地址为江苏省淮安市洪泽区人民路23号，联系电话为96008；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（12）江苏淮安农村商业银行股份有限公司：地址为江苏省淮安市清江浦区水渡口大道20号金融中心B1号楼，联系电话为96008；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（13）江苏金湖农村商业银行股份有限公司：地址为江苏省金湖县黎城街道神华大道299号，联系电话为96008；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（14）江苏句容农村商业银行股份有限公司：地址为江苏省句容市福地东路66号，联系电话为96008；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（15）江苏昆山农村商业银行股份有限公司：地址为江苏省昆山市前进东路828号，联系电话为0512-96079；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（16）江苏民丰农村商业银行股份有限公司：地址为江苏省宿迁市宿城区高宝湖路1号，联系电话为96008；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（17）江苏太仓农村商业银行股份有限公司：地址为太仓市娄东街道上海东路198号，联系电话为40018-40060；</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（18）江苏扬中农村商业银行股份有限公司：地址为扬中市扬子西路79号，联系电话为96008；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（19）江苏仪征农村商业银行股份有限公司：地址为江苏省仪征市真州镇解放东路818号金融集聚区1座801-811，901-911，1001-1011，2座101，联系电话为96008；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（20）江苏银行股份有限公司：地址为江苏省南京市中华路26号，联系电话为95319；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（21）江苏邳州农村商业银行股份有限公司：地址为江苏省邳州市建设中路16号，联系电话为96008；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（22）江苏沭阳农村商业银行股份有限公司：地址为江苏省沭阳县沭城镇苏州东路与台州南路交汇处，联系电话为96008；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（23）江苏泗洪农村商业银行股份有限公司：地址为江苏省宿迁市泗洪县长江东路17号，联系电话为96008；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（24）江苏溧水农村商业银行股份有限公司：地址为江苏省南京市溧水县永阳镇中山路22号，联系电话为96008；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（25）江苏盱眙农村商业银行股份有限公司：地址为江苏省盱眙县合欢大道2号，联系电话为96008；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（26）宁波通商银行股份有限公司：地址为浙江省宁波市鄞州区民安东路337号，联系电话为400-916-6666；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（27）齐鲁银行股份有限公司：地址为山东省济南市历下区经十路10817号，联系电话为400-609-6588；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（28）石嘴山银行股份有限公司：地址为宁夏回族自治区石嘴山市大武口区朝阳西街39号，联系电话为0951-96789；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（29）苏州银行股份有限公司：地址为江苏省苏州工业园区钟园路728号，联系电话为96067；</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（30）泰安银行股份有限公司：地址为山东省泰安市长城路3号圣地大厦，联系电话为4006586588；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（31）潍坊银行股份有限公司：地址为潍坊市奎文区胜利东街5139号，联系电话为400-61-96588；</w:t>
      </w:r>
    </w:p>
    <w:p>
      <w:pPr>
        <w:pStyle w:val="15"/>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（32）新疆银行股份有限公司：地址为新疆乌鲁木齐市天山区新华南路338，联系电话为0991-96559；</w:t>
      </w:r>
    </w:p>
    <w:p>
      <w:pPr>
        <w:pStyle w:val="15"/>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（33）机构全称：汉口银行股份有限公司，地址为湖北省武汉市江汉区建设大道933号武汉商业银行大厦，联系电话为400-609-6558；</w:t>
      </w:r>
    </w:p>
    <w:p>
      <w:pPr>
        <w:pStyle w:val="15"/>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（34）机构全称：徽商银行股份有限公司，地址为安徽省合肥市云谷路1699号徽银大厦，联系电话为400-889-6588；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（35）机构全称：徐州农村商业银行股份有限公司，地址为徐州市铜山区北京南路26号，联系电话为96008。</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15"/>
        <w:keepNext w:val="0"/>
        <w:keepLines w:val="0"/>
        <w:pageBreakBefore w:val="0"/>
        <w:widowControl w:val="0"/>
        <w:numPr>
          <w:ilvl w:val="0"/>
          <w:numId w:val="0"/>
        </w:numPr>
        <w:bidi w:val="0"/>
        <w:spacing w:line="240" w:lineRule="auto"/>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仪征农村商业银行股份有限公司、江苏银行股份有限公司、苏州银行股份有限公司为产品管理人的关联方，产品管理人选择其担任销售机构已履行现行法律法规和监管规定所规定必须履行的程序。</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名词释义</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销售代码：指本理财产品可能设置一类或多类产品份额，管理人在理财产品销售管理过程中对各类份额设置的内部代码。</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理财产品份额：指投资者持有本理财产品的单位数额。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理财产品资产总值：指产品拥有的各类有价证券、银行存款、应收款项及其他资产的价值总和。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负债总值：指产品运作及融资时形成的负债价值总和，包括融资资金本息、应付各项费用（包括托管费、销售服务费、固定管理费、信息技术服务费、浮动管理费、其他费用等）、应付税金及其他应付款项等。</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理财产品资产净值/净资产：指产品资产总值减去产品负债总值后的价值。</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sz w:val="21"/>
          <w:szCs w:val="21"/>
          <w:highlight w:val="none"/>
        </w:rPr>
      </w:pPr>
      <w:r>
        <w:rPr>
          <w:rFonts w:hint="eastAsia" w:ascii="楷体" w:hAnsi="楷体" w:eastAsia="楷体" w:cs="楷体"/>
          <w:color w:val="auto"/>
          <w:sz w:val="21"/>
          <w:szCs w:val="21"/>
          <w:highlight w:val="none"/>
        </w:rPr>
        <w:t>产品存续期：指自理财产品成立日起，至理财产品终止日的期间。</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产品终止日/到期日：指理财产品终止的日期。</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投资管理</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投资合作机构</w:t>
      </w:r>
    </w:p>
    <w:p>
      <w:pPr>
        <w:keepNext w:val="0"/>
        <w:keepLines w:val="0"/>
        <w:pageBreakBefore w:val="0"/>
        <w:numPr>
          <w:ilvl w:val="0"/>
          <w:numId w:val="0"/>
        </w:numPr>
        <w:bidi w:val="0"/>
        <w:spacing w:line="240" w:lineRule="auto"/>
        <w:ind w:firstLine="420"/>
        <w:rPr>
          <w:rFonts w:hint="eastAsia"/>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lang w:eastAsia="zh-CN"/>
        </w:rPr>
        <w:t>①</w:t>
      </w:r>
      <w:r>
        <w:rPr>
          <w:rFonts w:hint="eastAsia" w:ascii="楷体" w:hAnsi="楷体" w:eastAsia="楷体" w:cs="楷体"/>
          <w:sz w:val="21"/>
          <w:szCs w:val="21"/>
        </w:rPr>
        <w:t>江苏省国际信托有限责任公司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江苏省国际信托有限责任公司是经江苏省人民政府和中国银行业监督管理委员会批准设立的非银行金融机构，是江苏省国信集团的主要成员企业之一，专业从事金融信托业务。</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②创金合信基金管理有限公司</w:t>
      </w:r>
      <w:r>
        <w:rPr>
          <w:rFonts w:hint="eastAsia" w:ascii="楷体" w:hAnsi="楷体" w:eastAsia="楷体" w:cs="楷体"/>
          <w:sz w:val="21"/>
          <w:szCs w:val="21"/>
          <w:lang w:eastAsia="zh-CN"/>
        </w:rPr>
        <w:t>：</w:t>
      </w:r>
      <w:r>
        <w:rPr>
          <w:rFonts w:hint="eastAsia" w:ascii="楷体" w:hAnsi="楷体" w:eastAsia="楷体" w:cs="楷体"/>
          <w:sz w:val="21"/>
          <w:szCs w:val="21"/>
        </w:rPr>
        <w:t>创金合信基金管理有限公司成立于2014年7月9日，由第一创业证券股份有限公司、深圳市金合信投资合伙企业（有限合伙）共同发起设立，注册地为深圳。</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③</w:t>
      </w:r>
      <w:r>
        <w:rPr>
          <w:rFonts w:hint="eastAsia" w:ascii="楷体" w:hAnsi="楷体" w:eastAsia="楷体"/>
          <w:b w:val="0"/>
          <w:bCs w:val="0"/>
          <w:sz w:val="20"/>
          <w:szCs w:val="20"/>
        </w:rPr>
        <w:t>国投泰康信托有限公司</w:t>
      </w:r>
      <w:r>
        <w:rPr>
          <w:rFonts w:hint="eastAsia" w:ascii="楷体" w:hAnsi="楷体" w:eastAsia="楷体"/>
          <w:b w:val="0"/>
          <w:bCs w:val="0"/>
          <w:sz w:val="20"/>
          <w:szCs w:val="20"/>
          <w:lang w:eastAsia="zh-CN"/>
        </w:rPr>
        <w:t>：</w:t>
      </w:r>
      <w:r>
        <w:rPr>
          <w:rFonts w:hint="eastAsia" w:ascii="楷体" w:hAnsi="楷体" w:eastAsia="楷体"/>
          <w:b w:val="0"/>
          <w:bCs w:val="0"/>
          <w:sz w:val="20"/>
          <w:szCs w:val="20"/>
        </w:rPr>
        <w:t>国投泰康信托有限公司是国家开发投资集团有限公司下属的混合所有制非银行金融机构，成立于1986年8月26日，总部位于北京，企业性质为中央国有企业，注册资本为26.71亿元人民币</w:t>
      </w:r>
      <w:r>
        <w:rPr>
          <w:rFonts w:hint="eastAsia" w:ascii="楷体" w:hAnsi="楷体" w:eastAsia="楷体" w:cs="楷体"/>
          <w:sz w:val="21"/>
          <w:szCs w:val="21"/>
        </w:rPr>
        <w:t>。</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④</w:t>
      </w:r>
      <w:r>
        <w:rPr>
          <w:rFonts w:hint="eastAsia" w:ascii="楷体" w:hAnsi="楷体" w:eastAsia="楷体"/>
          <w:b w:val="0"/>
          <w:bCs w:val="0"/>
          <w:sz w:val="20"/>
          <w:szCs w:val="20"/>
        </w:rPr>
        <w:t>国联信托股份有限公司</w:t>
      </w:r>
      <w:r>
        <w:rPr>
          <w:rFonts w:hint="eastAsia" w:ascii="楷体" w:hAnsi="楷体" w:eastAsia="楷体" w:cs="楷体"/>
          <w:sz w:val="21"/>
          <w:szCs w:val="21"/>
          <w:lang w:eastAsia="zh-CN"/>
        </w:rPr>
        <w:t>：</w:t>
      </w:r>
      <w:r>
        <w:rPr>
          <w:rFonts w:hint="eastAsia" w:ascii="楷体" w:hAnsi="楷体" w:eastAsia="楷体"/>
          <w:b w:val="0"/>
          <w:bCs w:val="0"/>
          <w:sz w:val="20"/>
          <w:szCs w:val="20"/>
        </w:rPr>
        <w:t>国联信托股份有限公司是经中国银保监会批准设立的地方国有企业，成立于1987年1月13日，总部位于江苏省无锡市，注册资本为30亿元人民币</w:t>
      </w:r>
      <w:r>
        <w:rPr>
          <w:rFonts w:hint="eastAsia" w:ascii="楷体" w:hAnsi="楷体" w:eastAsia="楷体" w:cs="楷体"/>
          <w:sz w:val="21"/>
          <w:szCs w:val="21"/>
        </w:rPr>
        <w:t>。</w:t>
      </w:r>
    </w:p>
    <w:p>
      <w:pPr>
        <w:numPr>
          <w:ilvl w:val="0"/>
          <w:numId w:val="0"/>
        </w:numPr>
        <w:ind w:firstLine="420" w:firstLineChars="200"/>
        <w:rPr>
          <w:rFonts w:hint="eastAsia" w:ascii="楷体" w:hAnsi="楷体" w:eastAsia="楷体"/>
          <w:b w:val="0"/>
          <w:bCs w:val="0"/>
          <w:sz w:val="20"/>
          <w:szCs w:val="20"/>
        </w:rPr>
      </w:pPr>
      <w:r>
        <w:rPr>
          <w:rFonts w:hint="eastAsia" w:ascii="楷体" w:hAnsi="楷体" w:eastAsia="楷体" w:cs="楷体"/>
          <w:sz w:val="21"/>
          <w:szCs w:val="21"/>
        </w:rPr>
        <w:t>⑤</w:t>
      </w:r>
      <w:r>
        <w:rPr>
          <w:rFonts w:hint="eastAsia" w:ascii="楷体" w:hAnsi="楷体" w:eastAsia="楷体"/>
          <w:b w:val="0"/>
          <w:bCs w:val="0"/>
          <w:sz w:val="20"/>
          <w:szCs w:val="20"/>
        </w:rPr>
        <w:t>国联证券资产管理有限公司</w:t>
      </w:r>
      <w:r>
        <w:rPr>
          <w:rFonts w:hint="eastAsia" w:ascii="楷体" w:hAnsi="楷体" w:eastAsia="楷体"/>
          <w:b w:val="0"/>
          <w:bCs w:val="0"/>
          <w:sz w:val="20"/>
          <w:szCs w:val="20"/>
          <w:lang w:eastAsia="zh-CN"/>
        </w:rPr>
        <w:t>：</w:t>
      </w:r>
      <w:r>
        <w:rPr>
          <w:rFonts w:hint="eastAsia" w:ascii="楷体" w:hAnsi="楷体" w:eastAsia="楷体"/>
          <w:b w:val="0"/>
          <w:bCs w:val="0"/>
          <w:sz w:val="20"/>
          <w:szCs w:val="20"/>
        </w:rPr>
        <w:t>国联证券资产管理有限公司成立于2023年9月20日，注册资本为10亿元人民币，法定代表人为葛小波，注册地址位于山东省青岛市，经营范围包括证券业务及证券财务顾问服务。</w:t>
      </w:r>
    </w:p>
    <w:p>
      <w:pPr>
        <w:pBdr>
          <w:top w:val="none" w:color="000000" w:sz="0" w:space="0"/>
          <w:left w:val="none" w:color="000000" w:sz="0" w:space="0"/>
          <w:bottom w:val="none" w:color="000000" w:sz="0" w:space="0"/>
          <w:right w:val="none" w:color="000000" w:sz="0" w:space="0"/>
        </w:pBdr>
        <w:ind w:left="0" w:right="0" w:firstLine="420"/>
        <w:jc w:val="both"/>
        <w:rPr>
          <w:rFonts w:ascii="Times New Roman" w:hAnsi="Times New Roman" w:eastAsia="Times New Roman" w:cs="Times New Roman"/>
          <w:color w:val="000000"/>
          <w:szCs w:val="22"/>
        </w:rPr>
      </w:pP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 6 \* GB3 \* MERGEFORMAT </w:instrText>
      </w:r>
      <w:r>
        <w:rPr>
          <w:rFonts w:hint="eastAsia" w:ascii="楷体" w:hAnsi="楷体" w:eastAsia="楷体" w:cs="楷体"/>
          <w:sz w:val="21"/>
          <w:szCs w:val="21"/>
        </w:rPr>
        <w:fldChar w:fldCharType="separate"/>
      </w:r>
      <w:r>
        <w:rPr>
          <w:rFonts w:hint="eastAsia" w:ascii="楷体" w:hAnsi="楷体" w:eastAsia="楷体" w:cs="楷体"/>
          <w:sz w:val="21"/>
          <w:szCs w:val="21"/>
        </w:rPr>
        <w:t>⑥</w:t>
      </w:r>
      <w:r>
        <w:rPr>
          <w:rFonts w:hint="eastAsia" w:ascii="楷体" w:hAnsi="楷体" w:eastAsia="楷体" w:cs="楷体"/>
          <w:sz w:val="21"/>
          <w:szCs w:val="21"/>
        </w:rPr>
        <w:fldChar w:fldCharType="end"/>
      </w:r>
      <w:r>
        <w:rPr>
          <w:rFonts w:hint="eastAsia" w:ascii="楷体" w:hAnsi="楷体" w:eastAsia="楷体" w:cs="楷体"/>
          <w:sz w:val="21"/>
          <w:szCs w:val="21"/>
        </w:rPr>
        <w:t>紫金信托有限责任公司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紫金信托有限责任公司是一家经中国银保监会批准设立的信托公司，注册资本为32.71亿元人民币，总部位于南京</w:t>
      </w:r>
      <w:r>
        <w:rPr>
          <w:rFonts w:hint="default" w:ascii="Calibri" w:hAnsi="Calibri" w:eastAsia="楷体" w:cs="Calibri"/>
          <w:b w:val="0"/>
          <w:bCs w:val="0"/>
          <w:sz w:val="21"/>
          <w:szCs w:val="21"/>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投资限制</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w:t>
      </w:r>
      <w:r>
        <w:rPr>
          <w:rFonts w:hint="eastAsia" w:ascii="楷体" w:hAnsi="楷体" w:eastAsia="楷体"/>
          <w:color w:val="auto"/>
          <w:sz w:val="21"/>
          <w:szCs w:val="21"/>
          <w:highlight w:val="none"/>
          <w:lang w:val="en-US" w:eastAsia="zh-CN"/>
        </w:rPr>
        <w:t>200%</w:t>
      </w:r>
      <w:r>
        <w:rPr>
          <w:rFonts w:hint="eastAsia" w:ascii="楷体" w:hAnsi="楷体" w:eastAsia="楷体"/>
          <w:color w:val="auto"/>
          <w:sz w:val="21"/>
          <w:szCs w:val="21"/>
          <w:highlight w:val="none"/>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投资管理调整</w:t>
      </w:r>
    </w:p>
    <w:p>
      <w:pPr>
        <w:pStyle w:val="5"/>
        <w:keepNext w:val="0"/>
        <w:keepLines w:val="0"/>
        <w:pageBreakBefore w:val="0"/>
        <w:widowControl w:val="0"/>
        <w:bidi w:val="0"/>
        <w:spacing w:before="0"/>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知晓或应当知晓相关事项后五个工作日内，且不晚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5"/>
        <w:keepNext w:val="0"/>
        <w:keepLines w:val="0"/>
        <w:pageBreakBefore w:val="0"/>
        <w:widowControl w:val="0"/>
        <w:bidi w:val="0"/>
        <w:spacing w:before="0"/>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产品终止</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提前终止</w:t>
      </w:r>
    </w:p>
    <w:p>
      <w:pPr>
        <w:numPr>
          <w:ilvl w:val="0"/>
          <w:numId w:val="0"/>
        </w:numPr>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正常终止</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延期</w:t>
      </w:r>
      <w:r>
        <w:rPr>
          <w:rFonts w:hint="eastAsia" w:ascii="楷体" w:hAnsi="楷体" w:eastAsia="楷体" w:cs="楷体"/>
          <w:color w:val="auto"/>
          <w:sz w:val="21"/>
          <w:szCs w:val="21"/>
          <w:highlight w:val="none"/>
          <w:lang w:val="en-US" w:eastAsia="zh-CN"/>
        </w:rPr>
        <w:t>终止</w:t>
      </w:r>
    </w:p>
    <w:p>
      <w:pPr>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投资者可得资金计算</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终止</w:t>
      </w:r>
      <w:r>
        <w:rPr>
          <w:rFonts w:hint="eastAsia" w:ascii="楷体" w:hAnsi="楷体" w:eastAsia="楷体" w:cs="楷体"/>
          <w:color w:val="auto"/>
          <w:sz w:val="21"/>
          <w:szCs w:val="21"/>
          <w:highlight w:val="none"/>
        </w:rPr>
        <w:t>清算</w:t>
      </w:r>
    </w:p>
    <w:p>
      <w:pPr>
        <w:keepNext w:val="0"/>
        <w:keepLines w:val="0"/>
        <w:pageBreakBefore w:val="0"/>
        <w:bidi w:val="0"/>
        <w:spacing w:line="240" w:lineRule="auto"/>
        <w:ind w:firstLine="420"/>
        <w:rPr>
          <w:rFonts w:hint="eastAsia" w:ascii="楷体" w:hAnsi="楷体" w:eastAsia="楷体" w:cs="楷体"/>
          <w:sz w:val="21"/>
          <w:szCs w:val="21"/>
          <w:highlight w:val="none"/>
          <w:lang w:eastAsia="zh-CN"/>
        </w:rPr>
      </w:pPr>
      <w:r>
        <w:rPr>
          <w:rFonts w:hint="eastAsia" w:ascii="楷体" w:hAnsi="楷体" w:eastAsia="楷体" w:cs="楷体"/>
          <w:color w:val="auto"/>
          <w:sz w:val="21"/>
          <w:szCs w:val="21"/>
          <w:highlight w:val="none"/>
        </w:rPr>
        <w:t>投资者的投资本金和收益（如有）将于产品到期日</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产品终止日）</w:t>
      </w:r>
      <w:r>
        <w:rPr>
          <w:rFonts w:hint="eastAsia" w:ascii="楷体" w:hAnsi="楷体" w:eastAsia="楷体" w:cs="楷体"/>
          <w:color w:val="auto"/>
          <w:sz w:val="21"/>
          <w:szCs w:val="21"/>
          <w:highlight w:val="none"/>
        </w:rPr>
        <w:t>后5个工作日以内划至投资者指定账户，如遇</w:t>
      </w:r>
      <w:r>
        <w:rPr>
          <w:rFonts w:hint="eastAsia" w:ascii="楷体" w:hAnsi="楷体" w:eastAsia="楷体" w:cs="楷体"/>
          <w:color w:val="auto"/>
          <w:sz w:val="21"/>
          <w:szCs w:val="21"/>
          <w:highlight w:val="none"/>
          <w:lang w:val="en-US" w:eastAsia="zh-CN"/>
        </w:rPr>
        <w:t>非工作日</w:t>
      </w:r>
      <w:r>
        <w:rPr>
          <w:rFonts w:hint="eastAsia" w:ascii="楷体" w:hAnsi="楷体" w:eastAsia="楷体" w:cs="楷体"/>
          <w:color w:val="auto"/>
          <w:sz w:val="21"/>
          <w:szCs w:val="21"/>
          <w:highlight w:val="none"/>
        </w:rPr>
        <w:t>则相应顺延。</w:t>
      </w:r>
      <w:r>
        <w:rPr>
          <w:rFonts w:hint="eastAsia" w:ascii="楷体" w:hAnsi="楷体" w:eastAsia="楷体" w:cs="楷体"/>
          <w:color w:val="auto"/>
          <w:sz w:val="21"/>
          <w:szCs w:val="21"/>
          <w:highlight w:val="none"/>
          <w:lang w:val="en-US" w:eastAsia="zh-CN"/>
        </w:rPr>
        <w:t>信息披露方式详见下文“信息披露-到期公告”。</w:t>
      </w:r>
      <w:r>
        <w:rPr>
          <w:rFonts w:hint="eastAsia" w:ascii="楷体" w:hAnsi="楷体" w:eastAsia="楷体" w:cs="楷体"/>
          <w:color w:val="auto"/>
          <w:sz w:val="21"/>
          <w:szCs w:val="21"/>
          <w:highlight w:val="none"/>
        </w:rPr>
        <w:t>如预期无法</w:t>
      </w:r>
      <w:r>
        <w:rPr>
          <w:rFonts w:hint="eastAsia" w:ascii="楷体" w:hAnsi="楷体" w:eastAsia="楷体" w:cs="楷体"/>
          <w:color w:val="auto"/>
          <w:sz w:val="21"/>
          <w:szCs w:val="21"/>
          <w:highlight w:val="none"/>
          <w:lang w:val="en-US" w:eastAsia="zh-CN"/>
        </w:rPr>
        <w:t>在</w:t>
      </w:r>
      <w:r>
        <w:rPr>
          <w:rFonts w:hint="eastAsia" w:ascii="楷体" w:hAnsi="楷体" w:eastAsia="楷体" w:cs="楷体"/>
          <w:color w:val="auto"/>
          <w:sz w:val="21"/>
          <w:szCs w:val="21"/>
          <w:highlight w:val="none"/>
        </w:rPr>
        <w:t>规定的清算期内完成清算，管理人</w:t>
      </w:r>
      <w:r>
        <w:rPr>
          <w:rFonts w:hint="eastAsia" w:ascii="楷体" w:hAnsi="楷体" w:eastAsia="楷体" w:cs="楷体"/>
          <w:color w:val="auto"/>
          <w:sz w:val="21"/>
          <w:szCs w:val="21"/>
          <w:highlight w:val="none"/>
          <w:lang w:val="en-US" w:eastAsia="zh-CN"/>
        </w:rPr>
        <w:t>将</w:t>
      </w:r>
      <w:r>
        <w:rPr>
          <w:rFonts w:hint="eastAsia" w:ascii="楷体" w:hAnsi="楷体" w:eastAsia="楷体" w:cs="楷体"/>
          <w:color w:val="auto"/>
          <w:sz w:val="21"/>
          <w:szCs w:val="21"/>
          <w:highlight w:val="none"/>
        </w:rPr>
        <w:t>在原清算期结束前向投资者进行披露</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理财产品终止清算后，因发生无法预期事项</w:t>
      </w:r>
      <w:r>
        <w:rPr>
          <w:rFonts w:hint="eastAsia" w:ascii="楷体" w:hAnsi="楷体" w:eastAsia="楷体" w:cs="楷体"/>
          <w:color w:val="auto"/>
          <w:sz w:val="21"/>
          <w:szCs w:val="21"/>
          <w:highlight w:val="none"/>
          <w:lang w:val="en-US" w:eastAsia="zh-CN"/>
        </w:rPr>
        <w:t>须</w:t>
      </w:r>
      <w:r>
        <w:rPr>
          <w:rFonts w:hint="eastAsia" w:ascii="楷体" w:hAnsi="楷体" w:eastAsia="楷体" w:cs="楷体"/>
          <w:color w:val="auto"/>
          <w:sz w:val="21"/>
          <w:szCs w:val="21"/>
          <w:highlight w:val="none"/>
        </w:rPr>
        <w:t>再次清算的，</w:t>
      </w:r>
      <w:r>
        <w:rPr>
          <w:rFonts w:hint="eastAsia" w:ascii="楷体" w:hAnsi="楷体" w:eastAsia="楷体" w:cs="楷体"/>
          <w:color w:val="auto"/>
          <w:sz w:val="21"/>
          <w:szCs w:val="21"/>
          <w:highlight w:val="none"/>
          <w:lang w:val="en-US" w:eastAsia="zh-CN"/>
        </w:rPr>
        <w:t>管理人将</w:t>
      </w:r>
      <w:r>
        <w:rPr>
          <w:rFonts w:hint="eastAsia" w:ascii="楷体" w:hAnsi="楷体" w:eastAsia="楷体" w:cs="楷体"/>
          <w:color w:val="auto"/>
          <w:sz w:val="21"/>
          <w:szCs w:val="21"/>
          <w:highlight w:val="none"/>
        </w:rPr>
        <w:t>在完成再次清算之日起</w:t>
      </w: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个工作日内，向投资者披露清算资金分配情况等信息。</w:t>
      </w:r>
      <w:r>
        <w:rPr>
          <w:rFonts w:hint="eastAsia" w:ascii="楷体" w:hAnsi="楷体" w:eastAsia="楷体" w:cs="楷体"/>
          <w:color w:val="auto"/>
          <w:sz w:val="21"/>
          <w:szCs w:val="21"/>
          <w:highlight w:val="none"/>
          <w:lang w:val="en-US" w:eastAsia="zh-CN"/>
        </w:rPr>
        <w:t>信息披露方式详见下文“信息披露-临时性信息”。</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情景示例</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产品估值</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估值对象</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估值目的和</w:t>
      </w:r>
      <w:r>
        <w:rPr>
          <w:rFonts w:hint="eastAsia" w:ascii="楷体" w:hAnsi="楷体" w:eastAsia="楷体" w:cs="楷体"/>
          <w:color w:val="auto"/>
          <w:sz w:val="21"/>
          <w:szCs w:val="21"/>
          <w:highlight w:val="none"/>
        </w:rPr>
        <w:t>估值</w:t>
      </w:r>
      <w:r>
        <w:rPr>
          <w:rFonts w:hint="eastAsia" w:ascii="楷体" w:hAnsi="楷体" w:eastAsia="楷体" w:cs="楷体"/>
          <w:color w:val="auto"/>
          <w:sz w:val="21"/>
          <w:szCs w:val="21"/>
          <w:highlight w:val="none"/>
          <w:lang w:val="en-US" w:eastAsia="zh-CN"/>
        </w:rPr>
        <w:t>原则</w:t>
      </w:r>
    </w:p>
    <w:p>
      <w:pPr>
        <w:numPr>
          <w:ilvl w:val="0"/>
          <w:numId w:val="0"/>
        </w:numPr>
        <w:tabs>
          <w:tab w:val="left" w:pos="728"/>
        </w:tabs>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估值方法</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估值错误的处理</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暂停估值</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产品单位净值的计算</w:t>
      </w:r>
    </w:p>
    <w:p>
      <w:pPr>
        <w:numPr>
          <w:ilvl w:val="0"/>
          <w:numId w:val="0"/>
        </w:numPr>
        <w:tabs>
          <w:tab w:val="left" w:pos="728"/>
        </w:tabs>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净值进行申购、赎回和到期/终止时的分配。本产品单位净值精确到小数点后6位，小数点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风险提示</w:t>
      </w:r>
    </w:p>
    <w:p>
      <w:pPr>
        <w:keepNext w:val="0"/>
        <w:keepLines w:val="0"/>
        <w:pageBreakBefore w:val="0"/>
        <w:bidi w:val="0"/>
        <w:spacing w:line="240" w:lineRule="auto"/>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sz w:val="21"/>
          <w:szCs w:val="21"/>
          <w:highlight w:val="none"/>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1.债券投资的特殊风险：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2.资产管理计划或基金产品的特殊风险：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olor w:val="auto"/>
          <w:sz w:val="21"/>
          <w:szCs w:val="21"/>
          <w:highlight w:val="none"/>
          <w:lang w:val="en-US" w:eastAsia="zh-CN"/>
        </w:rPr>
        <w:t>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信息披露</w:t>
      </w:r>
      <w:bookmarkEnd w:id="0"/>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渠道</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numPr>
          <w:ilvl w:val="0"/>
          <w:numId w:val="0"/>
        </w:numPr>
        <w:tabs>
          <w:tab w:val="left" w:pos="728"/>
        </w:tabs>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内容及时间</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定期公告：管理人在每个季度结束之日起15个工作日内</w:t>
      </w:r>
      <w:r>
        <w:rPr>
          <w:rFonts w:hint="eastAsia" w:ascii="楷体" w:hAnsi="楷体" w:eastAsia="楷体" w:cs="楷体"/>
          <w:color w:val="auto"/>
          <w:sz w:val="21"/>
          <w:szCs w:val="21"/>
          <w:highlight w:val="none"/>
          <w:lang w:val="en-US" w:eastAsia="zh-CN"/>
        </w:rPr>
        <w:t>披露产品的季度报告，每年8月31日前披露产品的半年度报告，每年4月30日前披露产品上一年度的年度报告。</w:t>
      </w:r>
      <w:r>
        <w:rPr>
          <w:rFonts w:hint="eastAsia" w:ascii="楷体" w:hAnsi="楷体" w:eastAsia="楷体" w:cs="楷体"/>
          <w:color w:val="auto"/>
          <w:sz w:val="21"/>
          <w:szCs w:val="21"/>
          <w:highlight w:val="none"/>
        </w:rPr>
        <w:t>产品成立不足90个</w:t>
      </w:r>
      <w:r>
        <w:rPr>
          <w:rFonts w:hint="eastAsia" w:ascii="楷体" w:hAnsi="楷体" w:eastAsia="楷体" w:cs="楷体"/>
          <w:color w:val="auto"/>
          <w:sz w:val="21"/>
          <w:szCs w:val="21"/>
          <w:highlight w:val="none"/>
          <w:lang w:val="en-US" w:eastAsia="zh-CN"/>
        </w:rPr>
        <w:t>自然日</w:t>
      </w:r>
      <w:r>
        <w:rPr>
          <w:rFonts w:hint="eastAsia" w:ascii="楷体" w:hAnsi="楷体" w:eastAsia="楷体" w:cs="楷体"/>
          <w:color w:val="auto"/>
          <w:sz w:val="21"/>
          <w:szCs w:val="21"/>
          <w:highlight w:val="none"/>
        </w:rPr>
        <w:t>的，管理人</w:t>
      </w:r>
      <w:r>
        <w:rPr>
          <w:rFonts w:hint="eastAsia" w:ascii="楷体" w:hAnsi="楷体" w:eastAsia="楷体" w:cs="楷体"/>
          <w:color w:val="auto"/>
          <w:sz w:val="21"/>
          <w:szCs w:val="21"/>
          <w:highlight w:val="none"/>
          <w:lang w:val="en-US" w:eastAsia="zh-CN"/>
        </w:rPr>
        <w:t>可以</w:t>
      </w:r>
      <w:r>
        <w:rPr>
          <w:rFonts w:hint="eastAsia" w:ascii="楷体" w:hAnsi="楷体" w:eastAsia="楷体" w:cs="楷体"/>
          <w:color w:val="auto"/>
          <w:sz w:val="21"/>
          <w:szCs w:val="21"/>
          <w:highlight w:val="none"/>
        </w:rPr>
        <w:t>不编制当期的季度、半年和年度报告；产品期限超过九十个自然日的理财产品将在存续期内至少披露一次定期报告；内容包括理财产品的存续规模、收益表现，</w:t>
      </w:r>
      <w:r>
        <w:rPr>
          <w:rFonts w:hint="eastAsia" w:ascii="楷体" w:hAnsi="楷体" w:eastAsia="楷体" w:cs="楷体"/>
          <w:color w:val="auto"/>
          <w:sz w:val="21"/>
          <w:szCs w:val="21"/>
          <w:highlight w:val="none"/>
          <w:lang w:val="en-US" w:eastAsia="zh-CN"/>
        </w:rPr>
        <w:t>产品主要投资资产情况</w:t>
      </w:r>
      <w:r>
        <w:rPr>
          <w:rFonts w:hint="eastAsia" w:ascii="楷体" w:hAnsi="楷体" w:eastAsia="楷体" w:cs="楷体"/>
          <w:color w:val="auto"/>
          <w:sz w:val="21"/>
          <w:szCs w:val="21"/>
          <w:highlight w:val="none"/>
        </w:rPr>
        <w:t>、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事前临时性信息披露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在本理财产品存续期间发生的以下事项，管理人将提前2个工作日通过约定的信息披露渠道进行信息披露：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 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 增设份额类别。</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 对已约定的收费项目或收费标准采取优惠措施的。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 法律法规、监管规定及管理人认为需要向投资者事前披露的其他临时事项。</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事后临时性信息披露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在本理财产品存续期间发生的以下事项，管理人将于知晓或应当知晓相关事项后5个工作日内通过约定的信息披露渠道进行信息披露：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（1）更换理财产品管理人或管理人变更实际控制人，更换托管机构，管理人或托管机构的法定名称、住所发生变更。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（2）涉及产品穿透后持仓百分之十及以上的单笔资产的诉讼或仲裁，并可能对产品或其投资者权益有重大影响的。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（4）涉及产品穿透后持仓百分之十及以上的单笔资产的债券违约、股票停牌或退市的。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（5）本产品单位净值计价错误达单位净值百分之零点五，计算公式为：（错误单位净值-正确单位净值）/正确单位净值。</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（6）法律法规以及监管规定的其他内容，或者管理人认为可能对投资者权益产生重大不利影响的其他事项。</w:t>
      </w:r>
    </w:p>
    <w:p>
      <w:pPr>
        <w:keepNext w:val="0"/>
        <w:keepLines w:val="0"/>
        <w:pageBreakBefore w:val="0"/>
        <w:widowControl w:val="0"/>
        <w:numPr>
          <w:ilvl w:val="0"/>
          <w:numId w:val="0"/>
        </w:numPr>
        <w:tabs>
          <w:tab w:val="left" w:pos="728"/>
        </w:tabs>
        <w:bidi w:val="0"/>
        <w:spacing w:line="310" w:lineRule="exact"/>
        <w:ind w:firstLine="420"/>
        <w:rPr>
          <w:rFonts w:hint="default"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半年度整体报告：每半年披露从事理财业务活动的有关信息。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2"/>
        </w:numPr>
        <w:tabs>
          <w:tab w:val="left" w:pos="1134"/>
        </w:tabs>
        <w:bidi w:val="0"/>
        <w:spacing w:line="240" w:lineRule="auto"/>
        <w:ind w:left="0"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其他</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追索条款</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信息安全</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争议解决</w:t>
      </w:r>
    </w:p>
    <w:p>
      <w:pPr>
        <w:keepNext w:val="0"/>
        <w:keepLines w:val="0"/>
        <w:pageBreakBefore w:val="0"/>
        <w:bidi w:val="0"/>
        <w:spacing w:line="240" w:lineRule="auto"/>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p>
      <w:pPr>
        <w:rPr>
          <w:rFonts w:hint="eastAsia"/>
        </w:rPr>
      </w:pPr>
    </w:p>
    <w:p>
      <w:pPr>
        <w:keepNext w:val="0"/>
        <w:keepLines w:val="0"/>
        <w:pageBreakBefore w:val="0"/>
        <w:bidi w:val="0"/>
        <w:spacing w:line="240" w:lineRule="auto"/>
        <w:ind w:firstLine="420"/>
        <w:jc w:val="left"/>
        <w:rPr>
          <w:rFonts w:hint="eastAsia" w:ascii="楷体" w:hAnsi="楷体" w:eastAsia="楷体" w:cs="楷体"/>
          <w:highlight w:val="none"/>
        </w:rPr>
      </w:pPr>
    </w:p>
    <w:p>
      <w:pPr>
        <w:rPr>
          <w:rFonts w:hint="eastAsia"/>
        </w:rPr>
      </w:pPr>
    </w:p>
    <w:p>
      <w:pPr>
        <w:keepNext w:val="0"/>
        <w:keepLines w:val="0"/>
        <w:pageBreakBefore w:val="0"/>
        <w:bidi w:val="0"/>
        <w:spacing w:line="240" w:lineRule="auto"/>
        <w:ind w:firstLine="420"/>
        <w:jc w:val="left"/>
        <w:rPr>
          <w:rFonts w:hint="eastAsia" w:ascii="楷体" w:hAnsi="楷体" w:eastAsia="楷体" w:cs="楷体"/>
        </w:rPr>
      </w:pPr>
    </w:p>
    <w:p>
      <w:pPr>
        <w:rPr>
          <w:rFonts w:hint="eastAsia"/>
        </w:rPr>
        <w:sectPr>
          <w:headerReference r:id="rId9" w:type="first"/>
          <w:headerReference r:id="rId7" w:type="default"/>
          <w:footerReference r:id="rId10" w:type="default"/>
          <w:headerReference r:id="rId8" w:type="even"/>
          <w:pgSz w:w="11906" w:h="16838"/>
          <w:pgMar w:top="1440" w:right="1134" w:bottom="1440" w:left="1134" w:header="851" w:footer="992" w:gutter="0"/>
          <w:cols w:space="0" w:num="1"/>
        </w:sect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r>
        <w:rPr>
          <w:rFonts w:hint="eastAsia" w:ascii="楷体" w:hAnsi="楷体" w:eastAsia="楷体"/>
          <w:b/>
          <w:kern w:val="2"/>
          <w:szCs w:val="28"/>
        </w:rPr>
        <w:t>苏银理财有限责任公司理财产品投资协议书</w:t>
      </w:r>
    </w:p>
    <w:p>
      <w:pPr>
        <w:keepNext w:val="0"/>
        <w:keepLines w:val="0"/>
        <w:pageBreakBefore w:val="0"/>
        <w:kinsoku/>
        <w:wordWrap/>
        <w:overflowPunct/>
        <w:topLinePunct w:val="0"/>
        <w:autoSpaceDE/>
        <w:autoSpaceDN/>
        <w:bidi w:val="0"/>
        <w:adjustRightInd/>
        <w:snapToGrid/>
        <w:spacing w:after="120" w:afterLines="50" w:line="310" w:lineRule="exact"/>
        <w:jc w:val="center"/>
        <w:textAlignment w:val="auto"/>
        <w:rPr>
          <w:rFonts w:hint="eastAsia" w:ascii="楷体" w:hAnsi="楷体" w:eastAsia="楷体"/>
          <w:b/>
          <w:kern w:val="2"/>
          <w:szCs w:val="28"/>
        </w:rPr>
      </w:pPr>
      <w:r>
        <w:rPr>
          <w:rFonts w:hint="eastAsia" w:ascii="楷体" w:hAnsi="楷体" w:eastAsia="楷体"/>
          <w:b/>
          <w:kern w:val="2"/>
          <w:sz w:val="24"/>
          <w:szCs w:val="24"/>
        </w:rPr>
        <w:t>理财非存款、产品有风险、投资须谨慎</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cs="Times New Roman"/>
          <w:kern w:val="2"/>
          <w:sz w:val="21"/>
          <w:szCs w:val="21"/>
        </w:rPr>
      </w:pPr>
      <w:r>
        <w:rPr>
          <w:rFonts w:hint="eastAsia" w:ascii="楷体" w:hAnsi="楷体" w:eastAsia="楷体" w:cs="Times New Roman"/>
          <w:kern w:val="2"/>
          <w:sz w:val="21"/>
          <w:szCs w:val="21"/>
        </w:rPr>
        <w:t>经甲方（投资者）与乙方（苏银理财有限责任公司，以下简称“苏银理财”）协商一致，就甲方向乙方购买理财产品，达成协议如下：</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一、重要声明</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b/>
          <w:kern w:val="2"/>
          <w:sz w:val="21"/>
          <w:szCs w:val="21"/>
          <w:u w:val="single"/>
        </w:rPr>
      </w:pPr>
      <w:r>
        <w:rPr>
          <w:rFonts w:hint="eastAsia" w:ascii="楷体" w:hAnsi="楷体" w:eastAsia="楷体"/>
          <w:kern w:val="2"/>
          <w:sz w:val="21"/>
          <w:szCs w:val="21"/>
        </w:rPr>
        <w:t>本投资协议书与理财产品（代理）销售协议书、理财产品说明书、风险揭示书、投资者权益须知等销售文件构成完整的不可分割的理财产品合同。乙方作为理财产品管理人建议投资者在购买对应期次理财产品（以下简称“本理财产品”）前认真阅读相关理财产品合同或咨询专业理财经理。甲方签署本投资协议（含电子渠道确认）则被视为已详细阅读过本投资协议及完整理财产品合同，并充分理解合同条款和潜在风险，自愿购买本理财产品，并遵守理财产品合同中的各项规定。</w:t>
      </w:r>
      <w:r>
        <w:rPr>
          <w:rFonts w:hint="eastAsia" w:ascii="楷体" w:hAnsi="楷体" w:eastAsia="楷体"/>
          <w:b/>
          <w:kern w:val="2"/>
          <w:sz w:val="21"/>
          <w:szCs w:val="21"/>
          <w:u w:val="single"/>
        </w:rPr>
        <w:t>本理财产品不保证本金和收益。受各种市场波动因素影响，本理财产品可能存在包括但不限于政策风险、信用风险、市场风险、流动性风险、管理风险、操作风险、理财产品不成立风险、兑付延期风险、提前终止风险、信息传递风险、代销风险、关联交易风险、标的资产的特别投资风险及其他风险，具体风险因素由乙方在理财产品风险揭示书中揭示。请您仔细阅读并充分认识投资风险，谨慎投资。</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二、甲方的权利义务</w:t>
      </w:r>
    </w:p>
    <w:p>
      <w:pPr>
        <w:keepNext w:val="0"/>
        <w:keepLines w:val="0"/>
        <w:pageBreakBefore w:val="0"/>
        <w:numPr>
          <w:ilvl w:val="0"/>
          <w:numId w:val="0"/>
        </w:numPr>
        <w:kinsoku/>
        <w:wordWrap/>
        <w:overflowPunct/>
        <w:topLinePunct w:val="0"/>
        <w:bidi w:val="0"/>
        <w:snapToGrid/>
        <w:spacing w:line="310" w:lineRule="exact"/>
        <w:ind w:left="0" w:firstLine="422" w:firstLineChars="200"/>
        <w:textAlignment w:val="auto"/>
        <w:rPr>
          <w:rFonts w:hint="eastAsia" w:ascii="楷体" w:hAnsi="楷体" w:eastAsia="楷体" w:cs="Times New Roman"/>
          <w:kern w:val="2"/>
          <w:sz w:val="21"/>
          <w:szCs w:val="21"/>
        </w:rPr>
      </w:pPr>
      <w:r>
        <w:rPr>
          <w:rFonts w:hint="eastAsia" w:ascii="楷体" w:hAnsi="楷体" w:eastAsia="楷体"/>
          <w:b/>
          <w:kern w:val="2"/>
          <w:sz w:val="21"/>
          <w:szCs w:val="21"/>
        </w:rPr>
        <w:t>（一）甲方的权利：</w:t>
      </w:r>
      <w:r>
        <w:rPr>
          <w:rFonts w:hint="eastAsia" w:ascii="楷体" w:hAnsi="楷体" w:eastAsia="楷体" w:cs="Times New Roman"/>
          <w:kern w:val="2"/>
          <w:sz w:val="21"/>
          <w:szCs w:val="21"/>
        </w:rPr>
        <w:t>按理财产品合同的约定取得理财收益（如有）；按理财产品合同的约定查询获得披露的理财产品信息资料；产品终止后对清算后的理财产品资产净值按理财产品持有份额比例参与分配；要求乙方或理财产品托管人及时履行法律法规、理财产品合同所规定的义务；对乙方、理财产品托管人损害其合法权益的行为而要求予以赔偿；法律法规、理财产品合同规定的其它权利。</w:t>
      </w:r>
    </w:p>
    <w:p>
      <w:pPr>
        <w:keepNext w:val="0"/>
        <w:keepLines w:val="0"/>
        <w:pageBreakBefore w:val="0"/>
        <w:numPr>
          <w:ilvl w:val="0"/>
          <w:numId w:val="0"/>
        </w:numPr>
        <w:kinsoku/>
        <w:wordWrap/>
        <w:overflowPunct/>
        <w:topLinePunct w:val="0"/>
        <w:autoSpaceDE/>
        <w:autoSpaceDN/>
        <w:bidi w:val="0"/>
        <w:adjustRightInd/>
        <w:snapToGrid/>
        <w:spacing w:line="310" w:lineRule="exact"/>
        <w:ind w:left="0" w:firstLine="422" w:firstLineChars="200"/>
        <w:textAlignment w:val="auto"/>
        <w:rPr>
          <w:rFonts w:hint="eastAsia" w:ascii="楷体" w:hAnsi="楷体" w:eastAsia="楷体" w:cs="Times New Roman"/>
          <w:kern w:val="2"/>
          <w:sz w:val="21"/>
          <w:szCs w:val="21"/>
        </w:rPr>
      </w:pPr>
      <w:r>
        <w:rPr>
          <w:rFonts w:hint="eastAsia" w:ascii="楷体" w:hAnsi="楷体" w:eastAsia="楷体"/>
          <w:b/>
          <w:kern w:val="2"/>
          <w:sz w:val="21"/>
          <w:szCs w:val="21"/>
        </w:rPr>
        <w:t>（二）甲方的义务：</w:t>
      </w:r>
      <w:r>
        <w:rPr>
          <w:rFonts w:hint="eastAsia" w:ascii="楷体" w:hAnsi="楷体" w:eastAsia="楷体" w:cs="Times New Roman"/>
          <w:kern w:val="2"/>
          <w:sz w:val="21"/>
          <w:szCs w:val="21"/>
        </w:rPr>
        <w:t>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以及理财产品合同所规定的其它义务。</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三、乙方的权利义务</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kern w:val="2"/>
          <w:sz w:val="21"/>
          <w:szCs w:val="21"/>
        </w:rPr>
      </w:pPr>
      <w:r>
        <w:rPr>
          <w:rFonts w:hint="eastAsia" w:ascii="楷体" w:hAnsi="楷体" w:eastAsia="楷体"/>
          <w:b/>
          <w:kern w:val="2"/>
          <w:sz w:val="21"/>
          <w:szCs w:val="21"/>
        </w:rPr>
        <w:t>（一）乙方的权利：</w:t>
      </w:r>
      <w:r>
        <w:rPr>
          <w:rFonts w:hint="eastAsia" w:ascii="楷体" w:hAnsi="楷体" w:eastAsia="楷体"/>
          <w:kern w:val="2"/>
          <w:sz w:val="21"/>
          <w:szCs w:val="21"/>
        </w:rPr>
        <w:t>乙方按照法律法规和理财产品合同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乙方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numPr>
          <w:ilvl w:val="0"/>
          <w:numId w:val="0"/>
        </w:numPr>
        <w:kinsoku/>
        <w:wordWrap/>
        <w:overflowPunct/>
        <w:topLinePunct w:val="0"/>
        <w:autoSpaceDE/>
        <w:autoSpaceDN/>
        <w:bidi w:val="0"/>
        <w:adjustRightInd/>
        <w:snapToGrid/>
        <w:spacing w:line="310" w:lineRule="exact"/>
        <w:ind w:left="0" w:firstLine="422" w:firstLineChars="200"/>
        <w:jc w:val="left"/>
        <w:textAlignment w:val="auto"/>
        <w:rPr>
          <w:rFonts w:ascii="楷体" w:hAnsi="楷体" w:eastAsia="楷体"/>
          <w:kern w:val="2"/>
          <w:sz w:val="21"/>
          <w:szCs w:val="21"/>
        </w:rPr>
      </w:pPr>
      <w:r>
        <w:rPr>
          <w:rFonts w:hint="eastAsia" w:ascii="楷体" w:hAnsi="楷体" w:eastAsia="楷体"/>
          <w:b/>
          <w:kern w:val="2"/>
          <w:sz w:val="21"/>
          <w:szCs w:val="21"/>
        </w:rPr>
        <w:t>（二）乙方的义务：</w:t>
      </w:r>
      <w:r>
        <w:rPr>
          <w:rFonts w:hint="eastAsia" w:ascii="楷体" w:hAnsi="楷体" w:eastAsia="楷体"/>
          <w:kern w:val="2"/>
          <w:sz w:val="21"/>
          <w:szCs w:val="21"/>
        </w:rPr>
        <w:t>遵守法律法规和理财产品合同的约定；</w:t>
      </w:r>
      <w:r>
        <w:rPr>
          <w:rFonts w:hint="eastAsia" w:ascii="楷体" w:hAnsi="楷体" w:eastAsia="楷体" w:cs="Times New Roman"/>
          <w:kern w:val="2"/>
          <w:sz w:val="21"/>
          <w:szCs w:val="21"/>
        </w:rPr>
        <w:t>恪尽职守，依照诚实信用、勤勉尽责的原则，谨慎、有效管理和运用理财资产；</w:t>
      </w:r>
      <w:r>
        <w:rPr>
          <w:rFonts w:hint="eastAsia" w:ascii="楷体" w:hAnsi="楷体" w:eastAsia="楷体"/>
          <w:kern w:val="2"/>
          <w:sz w:val="21"/>
          <w:szCs w:val="21"/>
        </w:rPr>
        <w:t>设置相应的部门并配备足够的具有专业资格的人员进行理财投资分析、决策，以专业化的经营方式管理和运作理财资产，防范和减少风险；建立健全内部控制制度，保证乙方的固有财产和理财财产相互独立，对所管理的不同理财财产分别管理、分别记账，进行投资；除依据法律法规和理财产品合同的约定外，不得利用理财资产为乙方自身及任何第三方谋取利益；接受理财产品托管人对理财产品投资运作的监督；严格按照法律法规和理财产品合同的约定履行信息披露及报告义务；依据理财产品合同</w:t>
      </w:r>
      <w:r>
        <w:rPr>
          <w:rFonts w:hint="eastAsia" w:ascii="楷体" w:hAnsi="楷体" w:eastAsia="楷体" w:cs="Times New Roman"/>
          <w:kern w:val="2"/>
          <w:sz w:val="21"/>
          <w:szCs w:val="21"/>
        </w:rPr>
        <w:t>约定</w:t>
      </w:r>
      <w:r>
        <w:rPr>
          <w:rFonts w:hint="eastAsia" w:ascii="楷体" w:hAnsi="楷体" w:eastAsia="楷体"/>
          <w:kern w:val="2"/>
          <w:sz w:val="21"/>
          <w:szCs w:val="21"/>
        </w:rPr>
        <w:t>制订理财收益分配方案并向本理财产品的理财份额持有人分配理财收益</w:t>
      </w:r>
      <w:r>
        <w:rPr>
          <w:rFonts w:hint="eastAsia" w:ascii="楷体" w:hAnsi="楷体" w:eastAsia="楷体" w:cs="Times New Roman"/>
          <w:kern w:val="2"/>
          <w:sz w:val="21"/>
          <w:szCs w:val="21"/>
        </w:rPr>
        <w:t>（如有）</w:t>
      </w:r>
      <w:r>
        <w:rPr>
          <w:rFonts w:hint="eastAsia" w:ascii="楷体" w:hAnsi="楷体" w:eastAsia="楷体"/>
          <w:kern w:val="2"/>
          <w:sz w:val="21"/>
          <w:szCs w:val="21"/>
        </w:rPr>
        <w:t>；不从事任何有损本理财产品其他当事人合法权益的活动；法律法规、理财产品合同规定的其它义务。</w:t>
      </w:r>
    </w:p>
    <w:p>
      <w:pPr>
        <w:keepNext w:val="0"/>
        <w:keepLines w:val="0"/>
        <w:pageBreakBefore w:val="0"/>
        <w:kinsoku/>
        <w:wordWrap/>
        <w:overflowPunct/>
        <w:topLinePunct w:val="0"/>
        <w:bidi w:val="0"/>
        <w:snapToGrid/>
        <w:spacing w:line="310" w:lineRule="exact"/>
        <w:ind w:firstLine="422" w:firstLineChars="200"/>
        <w:textAlignment w:val="auto"/>
        <w:rPr>
          <w:rFonts w:ascii="楷体" w:hAnsi="楷体" w:eastAsia="楷体"/>
          <w:b/>
          <w:kern w:val="2"/>
          <w:sz w:val="21"/>
          <w:szCs w:val="21"/>
        </w:rPr>
      </w:pPr>
      <w:r>
        <w:rPr>
          <w:rFonts w:hint="eastAsia" w:ascii="楷体" w:hAnsi="楷体" w:eastAsia="楷体"/>
          <w:b/>
          <w:kern w:val="2"/>
          <w:sz w:val="21"/>
          <w:szCs w:val="21"/>
        </w:rPr>
        <w:t>四、</w:t>
      </w:r>
      <w:r>
        <w:rPr>
          <w:rFonts w:ascii="楷体" w:hAnsi="楷体" w:eastAsia="楷体"/>
          <w:b/>
          <w:kern w:val="2"/>
          <w:sz w:val="21"/>
          <w:szCs w:val="21"/>
        </w:rPr>
        <w:t>违约责任</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kern w:val="2"/>
          <w:sz w:val="21"/>
          <w:szCs w:val="21"/>
        </w:rPr>
      </w:pPr>
      <w:r>
        <w:rPr>
          <w:rFonts w:hint="eastAsia" w:ascii="楷体" w:hAnsi="楷体" w:eastAsia="楷体"/>
          <w:kern w:val="2"/>
          <w:sz w:val="21"/>
          <w:szCs w:val="21"/>
        </w:rPr>
        <w:t>1. 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kern w:val="2"/>
          <w:sz w:val="21"/>
          <w:szCs w:val="21"/>
        </w:rPr>
      </w:pPr>
      <w:r>
        <w:rPr>
          <w:rFonts w:hint="eastAsia" w:ascii="楷体" w:hAnsi="楷体" w:eastAsia="楷体"/>
          <w:b/>
          <w:kern w:val="2"/>
          <w:sz w:val="21"/>
          <w:szCs w:val="21"/>
        </w:rPr>
        <w:t>2. 双方同意，发生下列情况造成损失时，按以下约定承担责任</w:t>
      </w:r>
      <w:r>
        <w:rPr>
          <w:rFonts w:hint="eastAsia" w:ascii="楷体" w:hAnsi="楷体" w:eastAsia="楷体"/>
          <w:kern w:val="2"/>
          <w:sz w:val="21"/>
          <w:szCs w:val="21"/>
        </w:rPr>
        <w:t>：</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kern w:val="2"/>
          <w:sz w:val="21"/>
          <w:szCs w:val="21"/>
        </w:rPr>
      </w:pPr>
      <w:r>
        <w:rPr>
          <w:rFonts w:hint="eastAsia" w:ascii="楷体" w:hAnsi="楷体" w:eastAsia="楷体"/>
          <w:kern w:val="2"/>
          <w:sz w:val="21"/>
          <w:szCs w:val="21"/>
        </w:rPr>
        <w:t>（1）对由于国家有关法律、法规、规章、政策的变化，监管机构管理规则的修改、紧急措施的出台等原因而导致的相关风险及损失，双方当事人互不承担责任；</w:t>
      </w:r>
    </w:p>
    <w:p>
      <w:pPr>
        <w:keepNext w:val="0"/>
        <w:keepLines w:val="0"/>
        <w:pageBreakBefore w:val="0"/>
        <w:kinsoku/>
        <w:wordWrap/>
        <w:overflowPunct/>
        <w:topLinePunct w:val="0"/>
        <w:bidi w:val="0"/>
        <w:snapToGrid/>
        <w:spacing w:line="310" w:lineRule="exact"/>
        <w:ind w:firstLine="420" w:firstLineChars="200"/>
        <w:textAlignment w:val="auto"/>
        <w:rPr>
          <w:rFonts w:ascii="楷体" w:hAnsi="楷体" w:eastAsia="楷体"/>
          <w:kern w:val="2"/>
          <w:sz w:val="21"/>
          <w:szCs w:val="21"/>
        </w:rPr>
      </w:pPr>
      <w:r>
        <w:rPr>
          <w:rFonts w:hint="eastAsia" w:ascii="楷体" w:hAnsi="楷体" w:eastAsia="楷体"/>
          <w:kern w:val="2"/>
          <w:sz w:val="21"/>
          <w:szCs w:val="21"/>
        </w:rPr>
        <w:t>（2）</w:t>
      </w:r>
      <w:r>
        <w:rPr>
          <w:rFonts w:hint="eastAsia" w:ascii="楷体" w:hAnsi="楷体" w:eastAsia="楷体"/>
          <w:b/>
          <w:kern w:val="2"/>
          <w:sz w:val="21"/>
          <w:szCs w:val="21"/>
        </w:rPr>
        <w:t>如甲方违反本协议约定，或本产品甲方所涉及的资金被有权机关全部或部分冻结或者扣划</w:t>
      </w:r>
      <w:r>
        <w:rPr>
          <w:rFonts w:hint="eastAsia" w:ascii="楷体" w:hAnsi="楷体" w:eastAsia="楷体" w:cs="Times New Roman"/>
          <w:b/>
          <w:kern w:val="2"/>
          <w:sz w:val="21"/>
          <w:szCs w:val="21"/>
        </w:rPr>
        <w:t>，或乙方发现或有合理理由怀疑甲方或其资金存在洗钱、恐怖融资、逃税等嫌疑，乙方有权</w:t>
      </w:r>
      <w:r>
        <w:rPr>
          <w:rFonts w:hint="eastAsia" w:ascii="楷体" w:hAnsi="楷体" w:eastAsia="楷体"/>
          <w:b/>
          <w:kern w:val="2"/>
          <w:sz w:val="21"/>
          <w:szCs w:val="21"/>
        </w:rPr>
        <w:t>提前终止本合同，且乙方不承担相应责任，如因甲方的违约违法违规行为给乙方或产品其他投资者造成损失的，甲方应承担相应法律责任及违约责任。</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五、免责条款</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kern w:val="2"/>
          <w:sz w:val="21"/>
          <w:szCs w:val="21"/>
        </w:rPr>
      </w:pPr>
      <w:r>
        <w:rPr>
          <w:rFonts w:hint="eastAsia" w:ascii="楷体" w:hAnsi="楷体" w:eastAsia="楷体"/>
          <w:kern w:val="2"/>
          <w:sz w:val="21"/>
          <w:szCs w:val="21"/>
        </w:rPr>
        <w:t>1. 由于地震、火灾、战争等不可抗力导致的交易中断、延误等风险及损失，乙方不承担责任，但应在条件允许的情况下通知甲方，并采取一切必要的补救措施以减小不可抗力造成的损失。</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kern w:val="2"/>
          <w:sz w:val="21"/>
          <w:szCs w:val="21"/>
        </w:rPr>
      </w:pPr>
      <w:r>
        <w:rPr>
          <w:rFonts w:hint="eastAsia" w:ascii="楷体" w:hAnsi="楷体" w:eastAsia="楷体"/>
          <w:kern w:val="2"/>
          <w:sz w:val="21"/>
          <w:szCs w:val="21"/>
        </w:rPr>
        <w:t>2. 由于国家的有关法律、法规、规章、政策的改变、紧急措施的出台而导致的风险，乙方不承担责任。</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kern w:val="2"/>
          <w:sz w:val="21"/>
          <w:szCs w:val="21"/>
        </w:rPr>
      </w:pPr>
      <w:r>
        <w:rPr>
          <w:rFonts w:hint="eastAsia" w:ascii="楷体" w:hAnsi="楷体" w:eastAsia="楷体"/>
          <w:kern w:val="2"/>
          <w:sz w:val="21"/>
          <w:szCs w:val="21"/>
        </w:rPr>
        <w:t>3. 乙方依照恪尽职守、诚实信用、谨慎勤勉的原则管理和运用理财产品财产，</w:t>
      </w:r>
      <w:r>
        <w:rPr>
          <w:rFonts w:hint="eastAsia" w:ascii="楷体" w:hAnsi="楷体" w:eastAsia="楷体"/>
          <w:b/>
          <w:bCs/>
          <w:kern w:val="2"/>
          <w:sz w:val="21"/>
          <w:szCs w:val="21"/>
        </w:rPr>
        <w:t>但不保证理财产品财产中的认（申）购资金本金不受损失，也不保证一定盈利及最低收益。</w:t>
      </w:r>
      <w:r>
        <w:rPr>
          <w:rFonts w:hint="eastAsia" w:ascii="楷体" w:hAnsi="楷体" w:eastAsia="楷体"/>
          <w:kern w:val="2"/>
          <w:sz w:val="21"/>
          <w:szCs w:val="21"/>
        </w:rPr>
        <w:t>本理财产品运作过程中，乙方依据产品合同约定管理和运用理财产品财产所产生的风险，由理财产品财产及甲方承担。</w:t>
      </w:r>
      <w:r>
        <w:rPr>
          <w:rFonts w:hint="eastAsia" w:ascii="楷体" w:hAnsi="楷体" w:eastAsia="楷体"/>
          <w:b/>
          <w:bCs/>
          <w:kern w:val="2"/>
          <w:sz w:val="21"/>
          <w:szCs w:val="21"/>
        </w:rPr>
        <w:t>甲方应充分知晓投资运营的相关风险，具体风险详见风险揭示书及理财产品说明书的具体约定，其风险应由甲方自担</w:t>
      </w:r>
      <w:r>
        <w:rPr>
          <w:rFonts w:hint="eastAsia" w:ascii="楷体" w:hAnsi="楷体" w:eastAsia="楷体"/>
          <w:kern w:val="2"/>
          <w:sz w:val="21"/>
          <w:szCs w:val="21"/>
        </w:rPr>
        <w:t>。</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kern w:val="2"/>
          <w:sz w:val="21"/>
          <w:szCs w:val="21"/>
        </w:rPr>
      </w:pPr>
      <w:r>
        <w:rPr>
          <w:rFonts w:hint="eastAsia" w:ascii="楷体" w:hAnsi="楷体" w:eastAsia="楷体"/>
          <w:kern w:val="2"/>
          <w:sz w:val="21"/>
          <w:szCs w:val="21"/>
        </w:rPr>
        <w:t>4. 非因乙方原因（包括但不限于甲方遗失本协议、理财产品合同被盗用、甲方资金账户被司法机关等有权部门冻结、扣划及其他投资者自身原因、投资标的固有风险等原因）造成的损失，乙方不承担责任。</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六、协议的生效、变更及终止</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cs="Times New Roman"/>
          <w:kern w:val="2"/>
          <w:sz w:val="21"/>
          <w:szCs w:val="21"/>
        </w:rPr>
      </w:pPr>
      <w:r>
        <w:rPr>
          <w:rFonts w:hint="eastAsia" w:ascii="楷体" w:hAnsi="楷体" w:eastAsia="楷体"/>
          <w:kern w:val="2"/>
          <w:sz w:val="21"/>
          <w:szCs w:val="21"/>
        </w:rPr>
        <w:t>1.</w:t>
      </w:r>
      <w:r>
        <w:rPr>
          <w:rFonts w:hint="eastAsia" w:ascii="楷体" w:hAnsi="楷体" w:eastAsia="楷体" w:cs="Times New Roman"/>
          <w:kern w:val="2"/>
          <w:sz w:val="21"/>
          <w:szCs w:val="21"/>
        </w:rPr>
        <w:t>本协议自</w:t>
      </w:r>
      <w:r>
        <w:rPr>
          <w:rFonts w:hint="eastAsia" w:ascii="楷体" w:hAnsi="楷体" w:eastAsia="楷体"/>
          <w:kern w:val="2"/>
          <w:sz w:val="21"/>
          <w:szCs w:val="21"/>
        </w:rPr>
        <w:t>甲方</w:t>
      </w:r>
      <w:r>
        <w:rPr>
          <w:rFonts w:hint="eastAsia" w:ascii="楷体" w:hAnsi="楷体" w:eastAsia="楷体" w:cs="Times New Roman"/>
          <w:kern w:val="2"/>
          <w:sz w:val="21"/>
          <w:szCs w:val="21"/>
        </w:rPr>
        <w:t>成功缴纳全额认（申）购资金并经</w:t>
      </w:r>
      <w:r>
        <w:rPr>
          <w:rFonts w:hint="eastAsia" w:ascii="楷体" w:hAnsi="楷体" w:eastAsia="楷体"/>
          <w:kern w:val="2"/>
          <w:sz w:val="21"/>
          <w:szCs w:val="21"/>
        </w:rPr>
        <w:t>苏银</w:t>
      </w:r>
      <w:r>
        <w:rPr>
          <w:rFonts w:hint="eastAsia" w:ascii="楷体" w:hAnsi="楷体" w:eastAsia="楷体" w:cs="Times New Roman"/>
          <w:kern w:val="2"/>
          <w:sz w:val="21"/>
          <w:szCs w:val="21"/>
        </w:rPr>
        <w:t>理财系统确认购买份额后成立并生效。投资者在办理理财产品认（申）购交易后，需通过销售机构查询</w:t>
      </w:r>
      <w:r>
        <w:rPr>
          <w:rFonts w:hint="eastAsia" w:ascii="楷体" w:hAnsi="楷体" w:eastAsia="楷体"/>
          <w:kern w:val="2"/>
          <w:sz w:val="21"/>
          <w:szCs w:val="21"/>
        </w:rPr>
        <w:t>份额确认情况</w:t>
      </w:r>
      <w:r>
        <w:rPr>
          <w:rFonts w:hint="eastAsia" w:ascii="楷体" w:hAnsi="楷体" w:eastAsia="楷体" w:cs="Times New Roman"/>
          <w:kern w:val="2"/>
          <w:sz w:val="21"/>
          <w:szCs w:val="21"/>
        </w:rPr>
        <w:t>。</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cs="Times New Roman"/>
          <w:kern w:val="2"/>
          <w:sz w:val="21"/>
          <w:szCs w:val="21"/>
        </w:rPr>
      </w:pPr>
      <w:r>
        <w:rPr>
          <w:rFonts w:hint="eastAsia" w:ascii="楷体" w:hAnsi="楷体" w:eastAsia="楷体" w:cs="Times New Roman"/>
          <w:kern w:val="2"/>
          <w:sz w:val="21"/>
          <w:szCs w:val="21"/>
        </w:rPr>
        <w:t>2.本协议及理财产品合同项下各方权利义务履行完毕之日，本协议自动终止。</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b/>
          <w:kern w:val="2"/>
          <w:sz w:val="21"/>
          <w:szCs w:val="21"/>
        </w:rPr>
      </w:pPr>
      <w:r>
        <w:rPr>
          <w:rFonts w:hint="eastAsia" w:ascii="楷体" w:hAnsi="楷体" w:eastAsia="楷体"/>
          <w:b/>
          <w:kern w:val="2"/>
          <w:sz w:val="21"/>
          <w:szCs w:val="21"/>
        </w:rPr>
        <w:t>七、本合同的订立、生效、履行、解释、修改和终止等事项均适用中华人民共和国（不包括香港特别行政区、澳门特别行政区和台湾地区）法律。</w:t>
      </w:r>
    </w:p>
    <w:p>
      <w:pPr>
        <w:keepNext w:val="0"/>
        <w:keepLines w:val="0"/>
        <w:pageBreakBefore w:val="0"/>
        <w:kinsoku/>
        <w:wordWrap/>
        <w:overflowPunct/>
        <w:topLinePunct w:val="0"/>
        <w:bidi w:val="0"/>
        <w:snapToGrid/>
        <w:spacing w:line="310" w:lineRule="exact"/>
        <w:ind w:left="0" w:leftChars="0" w:firstLine="420" w:firstLineChars="200"/>
        <w:textAlignment w:val="auto"/>
        <w:rPr>
          <w:rFonts w:hint="eastAsia" w:ascii="楷体" w:hAnsi="楷体" w:eastAsia="楷体"/>
          <w:kern w:val="2"/>
          <w:sz w:val="21"/>
          <w:szCs w:val="21"/>
        </w:rPr>
      </w:pPr>
      <w:r>
        <w:rPr>
          <w:rFonts w:hint="eastAsia" w:ascii="楷体" w:hAnsi="楷体" w:eastAsia="楷体"/>
          <w:kern w:val="2"/>
          <w:sz w:val="21"/>
          <w:szCs w:val="21"/>
        </w:rPr>
        <w:t>因本合同引起的或与本合同有关的任何争议，应当首先通过双方之间的友好协商解决；协商不成的，双方均有权提交乙方所在地有管辖权的人民法院诉讼解决。</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b/>
          <w:kern w:val="2"/>
          <w:sz w:val="21"/>
          <w:szCs w:val="21"/>
        </w:rPr>
      </w:pPr>
      <w:r>
        <w:rPr>
          <w:rFonts w:hint="eastAsia" w:ascii="楷体" w:hAnsi="楷体" w:eastAsia="楷体"/>
          <w:b/>
          <w:kern w:val="2"/>
          <w:sz w:val="21"/>
          <w:szCs w:val="21"/>
        </w:rPr>
        <w:t>八、投资协议书未尽事宜，以理财产品说明书、风险揭示书、理财产品（代理）销售协议书、投资者权益须知的约定内容为准。签署本协议视为同意并接受以上法律文件的所有内容。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numPr>
          <w:ilvl w:val="0"/>
          <w:numId w:val="0"/>
        </w:numPr>
        <w:kinsoku/>
        <w:wordWrap/>
        <w:overflowPunct/>
        <w:topLinePunct w:val="0"/>
        <w:bidi w:val="0"/>
        <w:snapToGrid/>
        <w:spacing w:line="310" w:lineRule="exact"/>
        <w:ind w:left="0" w:firstLine="420" w:firstLineChars="200"/>
        <w:textAlignment w:val="auto"/>
        <w:rPr>
          <w:rFonts w:hint="eastAsia" w:ascii="楷体" w:hAnsi="楷体" w:eastAsia="楷体"/>
          <w:kern w:val="2"/>
          <w:sz w:val="21"/>
          <w:szCs w:val="21"/>
        </w:rPr>
      </w:pPr>
      <w:r>
        <w:rPr>
          <w:rFonts w:ascii="楷体" w:hAnsi="楷体" w:eastAsia="楷体"/>
          <w:kern w:val="2"/>
          <w:sz w:val="21"/>
          <w:szCs w:val="21"/>
        </w:rPr>
        <w:t>甲方</w:t>
      </w:r>
      <w:r>
        <w:rPr>
          <w:rFonts w:hint="eastAsia" w:ascii="楷体" w:hAnsi="楷体" w:eastAsia="楷体"/>
          <w:kern w:val="2"/>
          <w:sz w:val="21"/>
          <w:szCs w:val="21"/>
        </w:rPr>
        <w:t xml:space="preserve">（个人客户签字）：      </w:t>
      </w:r>
      <w:r>
        <w:rPr>
          <w:rFonts w:ascii="楷体" w:hAnsi="楷体" w:eastAsia="楷体"/>
          <w:kern w:val="2"/>
          <w:sz w:val="21"/>
          <w:szCs w:val="21"/>
        </w:rPr>
        <w:t>甲方</w:t>
      </w:r>
      <w:r>
        <w:rPr>
          <w:rFonts w:hint="eastAsia" w:ascii="楷体" w:hAnsi="楷体" w:eastAsia="楷体"/>
          <w:kern w:val="2"/>
          <w:sz w:val="21"/>
          <w:szCs w:val="21"/>
        </w:rPr>
        <w:t>（机构客户盖章）：</w:t>
      </w: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r>
        <w:rPr>
          <w:rFonts w:hint="eastAsia" w:ascii="楷体" w:hAnsi="楷体" w:eastAsia="楷体"/>
          <w:kern w:val="2"/>
          <w:szCs w:val="21"/>
        </w:rPr>
        <w:t xml:space="preserve">                                    </w:t>
      </w:r>
      <w:r>
        <w:rPr>
          <w:rFonts w:hint="eastAsia" w:ascii="楷体" w:hAnsi="楷体" w:eastAsia="楷体"/>
          <w:kern w:val="2"/>
          <w:sz w:val="21"/>
          <w:szCs w:val="21"/>
        </w:rPr>
        <w:t>机构客户法定代表人或授权代表（签字或盖章）</w:t>
      </w: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p>
    <w:p>
      <w:pPr>
        <w:keepNext w:val="0"/>
        <w:keepLines w:val="0"/>
        <w:pageBreakBefore w:val="0"/>
        <w:kinsoku/>
        <w:wordWrap/>
        <w:overflowPunct/>
        <w:topLinePunct w:val="0"/>
        <w:autoSpaceDE w:val="0"/>
        <w:autoSpaceDN w:val="0"/>
        <w:bidi w:val="0"/>
        <w:adjustRightInd w:val="0"/>
        <w:snapToGrid/>
        <w:spacing w:line="310" w:lineRule="exact"/>
        <w:ind w:firstLine="6090" w:firstLineChars="2900"/>
        <w:jc w:val="left"/>
        <w:textAlignment w:val="auto"/>
        <w:rPr>
          <w:rFonts w:hint="eastAsia" w:ascii="楷体" w:hAnsi="楷体" w:eastAsia="楷体"/>
          <w:kern w:val="2"/>
          <w:sz w:val="21"/>
          <w:szCs w:val="21"/>
        </w:rPr>
      </w:pPr>
      <w:r>
        <w:rPr>
          <w:rFonts w:ascii="楷体" w:hAnsi="楷体" w:eastAsia="楷体"/>
          <w:kern w:val="2"/>
          <w:sz w:val="21"/>
          <w:szCs w:val="21"/>
        </w:rPr>
        <w:t>签署日期：</w:t>
      </w:r>
      <w:r>
        <w:rPr>
          <w:rFonts w:hint="eastAsia" w:ascii="楷体" w:hAnsi="楷体" w:eastAsia="楷体"/>
          <w:kern w:val="2"/>
          <w:sz w:val="21"/>
          <w:szCs w:val="21"/>
        </w:rPr>
        <w:t xml:space="preserve">      </w:t>
      </w:r>
      <w:r>
        <w:rPr>
          <w:rFonts w:ascii="楷体" w:hAnsi="楷体" w:eastAsia="楷体"/>
          <w:kern w:val="2"/>
          <w:sz w:val="21"/>
          <w:szCs w:val="21"/>
        </w:rPr>
        <w:t>年</w:t>
      </w:r>
      <w:r>
        <w:rPr>
          <w:rFonts w:hint="eastAsia" w:ascii="楷体" w:hAnsi="楷体" w:eastAsia="楷体"/>
          <w:kern w:val="2"/>
          <w:sz w:val="21"/>
          <w:szCs w:val="21"/>
        </w:rPr>
        <w:t xml:space="preserve">      </w:t>
      </w:r>
      <w:r>
        <w:rPr>
          <w:rFonts w:ascii="楷体" w:hAnsi="楷体" w:eastAsia="楷体"/>
          <w:kern w:val="2"/>
          <w:sz w:val="21"/>
          <w:szCs w:val="21"/>
        </w:rPr>
        <w:t>月</w:t>
      </w:r>
      <w:r>
        <w:rPr>
          <w:rFonts w:hint="eastAsia" w:ascii="楷体" w:hAnsi="楷体" w:eastAsia="楷体"/>
          <w:kern w:val="2"/>
          <w:sz w:val="21"/>
          <w:szCs w:val="21"/>
        </w:rPr>
        <w:t xml:space="preserve">     日</w:t>
      </w:r>
    </w:p>
    <w:sectPr>
      <w:headerReference r:id="rId13" w:type="first"/>
      <w:headerReference r:id="rId11" w:type="default"/>
      <w:footerReference r:id="rId14" w:type="default"/>
      <w:headerReference r:id="rId12" w:type="even"/>
      <w:pgSz w:w="11906" w:h="16838"/>
      <w:pgMar w:top="1440" w:right="1134" w:bottom="1440" w:left="1134"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3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3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p>
  <w:p>
    <w:pPr>
      <w:pStyle w:val="34"/>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240" w:lineRule="auto"/>
      <w:ind w:left="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667"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WordPictureWatermark367128483"/>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8480"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668"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14444345" cy="10958195"/>
          <wp:effectExtent l="0" t="0" r="0" b="0"/>
          <wp:wrapNone/>
          <wp:docPr id="666"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5408" behindDoc="1" locked="0" layoutInCell="0" allowOverlap="1">
          <wp:simplePos x="0" y="0"/>
          <wp:positionH relativeFrom="margin">
            <wp:align>center</wp:align>
          </wp:positionH>
          <wp:positionV relativeFrom="margin">
            <wp:align>center</wp:align>
          </wp:positionV>
          <wp:extent cx="14444345" cy="10958195"/>
          <wp:effectExtent l="0" t="0" r="0" b="0"/>
          <wp:wrapNone/>
          <wp:docPr id="669"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320" w:lineRule="exact"/>
      <w:ind w:left="20"/>
      <w:jc w:val="both"/>
      <w:rPr>
        <w:rFonts w:ascii="楷体" w:hAnsi="楷体" w:eastAsia="楷体" w:cs="黑体"/>
        <w:b/>
        <w:spacing w:val="-2"/>
        <w:sz w:val="24"/>
        <w:szCs w:val="24"/>
      </w:rPr>
    </w:pPr>
    <w:r>
      <w:drawing>
        <wp:anchor distT="0" distB="0" distL="114300" distR="114300" simplePos="0" relativeHeight="251660288" behindDoc="0" locked="0" layoutInCell="1" allowOverlap="1">
          <wp:simplePos x="0" y="0"/>
          <wp:positionH relativeFrom="column">
            <wp:posOffset>4965065</wp:posOffset>
          </wp:positionH>
          <wp:positionV relativeFrom="paragraph">
            <wp:posOffset>-94615</wp:posOffset>
          </wp:positionV>
          <wp:extent cx="1325245" cy="424815"/>
          <wp:effectExtent l="0" t="0" r="0" b="0"/>
          <wp:wrapSquare wrapText="bothSides"/>
          <wp:docPr id="6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图片 1"/>
                  <pic:cNvPicPr>
                    <a:picLocks noChangeAspect="1"/>
                  </pic:cNvPicPr>
                </pic:nvPicPr>
                <pic:blipFill>
                  <a:blip r:embed="rId1"/>
                  <a:stretch>
                    <a:fillRect/>
                  </a:stretch>
                </pic:blipFill>
                <pic:spPr>
                  <a:xfrm>
                    <a:off x="0" y="0"/>
                    <a:ext cx="1325245" cy="424815"/>
                  </a:xfrm>
                  <a:prstGeom prst="rect">
                    <a:avLst/>
                  </a:prstGeom>
                  <a:noFill/>
                  <a:ln>
                    <a:noFill/>
                  </a:ln>
                </pic:spPr>
              </pic:pic>
            </a:graphicData>
          </a:graphic>
        </wp:anchor>
      </w:drawing>
    </w:r>
    <w:r>
      <w:rPr>
        <w:rFonts w:ascii="楷体" w:hAnsi="楷体" w:eastAsia="楷体"/>
        <w:b/>
      </w:rPr>
      <w:drawing>
        <wp:anchor distT="0" distB="0" distL="114300" distR="114300" simplePos="0" relativeHeight="251666432" behindDoc="1" locked="0" layoutInCell="0" allowOverlap="1">
          <wp:simplePos x="0" y="0"/>
          <wp:positionH relativeFrom="margin">
            <wp:posOffset>-4011295</wp:posOffset>
          </wp:positionH>
          <wp:positionV relativeFrom="margin">
            <wp:posOffset>-1028700</wp:posOffset>
          </wp:positionV>
          <wp:extent cx="14449425" cy="10958195"/>
          <wp:effectExtent l="0" t="0" r="0" b="0"/>
          <wp:wrapNone/>
          <wp:docPr id="664"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WordPictureWatermark367128483"/>
                  <pic:cNvPicPr>
                    <a:picLocks noChangeAspect="1"/>
                  </pic:cNvPicPr>
                </pic:nvPicPr>
                <pic:blipFill>
                  <a:blip r:embed="rId2"/>
                  <a:stretch>
                    <a:fillRect/>
                  </a:stretch>
                </pic:blipFill>
                <pic:spPr>
                  <a:xfrm>
                    <a:off x="0" y="0"/>
                    <a:ext cx="14449425" cy="1095819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3360" behindDoc="1" locked="0" layoutInCell="0" allowOverlap="1">
          <wp:simplePos x="0" y="0"/>
          <wp:positionH relativeFrom="margin">
            <wp:align>center</wp:align>
          </wp:positionH>
          <wp:positionV relativeFrom="margin">
            <wp:align>center</wp:align>
          </wp:positionV>
          <wp:extent cx="14444345" cy="10958195"/>
          <wp:effectExtent l="0" t="0" r="0" b="0"/>
          <wp:wrapNone/>
          <wp:docPr id="662"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9504" behindDoc="1" locked="0" layoutInCell="0" allowOverlap="1">
          <wp:simplePos x="0" y="0"/>
          <wp:positionH relativeFrom="margin">
            <wp:align>center</wp:align>
          </wp:positionH>
          <wp:positionV relativeFrom="margin">
            <wp:align>center</wp:align>
          </wp:positionV>
          <wp:extent cx="14444345" cy="10958195"/>
          <wp:effectExtent l="0" t="0" r="0" b="0"/>
          <wp:wrapNone/>
          <wp:docPr id="665"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insoku w:val="0"/>
      <w:overflowPunct w:val="0"/>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7456" behindDoc="1" locked="0" layoutInCell="0" allowOverlap="1">
          <wp:simplePos x="0" y="0"/>
          <wp:positionH relativeFrom="margin">
            <wp:posOffset>-4164330</wp:posOffset>
          </wp:positionH>
          <wp:positionV relativeFrom="margin">
            <wp:posOffset>-1126490</wp:posOffset>
          </wp:positionV>
          <wp:extent cx="14449425" cy="10958195"/>
          <wp:effectExtent l="0" t="0" r="9525" b="14605"/>
          <wp:wrapNone/>
          <wp:docPr id="675" name="WordPictureWatermark367128483" descr="C:\Users\sylc\Desktop\水印.jpg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WordPictureWatermark367128483" descr="C:\Users\sylc\Desktop\水印.jpg水印"/>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70528"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676"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p>
    <w:pPr>
      <w:rPr>
        <w:rFonts w:ascii="楷体" w:hAnsi="楷体" w:eastAsia="楷体" w:cs="黑体"/>
        <w:b/>
        <w:spacing w:val="-2"/>
        <w:sz w:val="24"/>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4384" behindDoc="1" locked="0" layoutInCell="0" allowOverlap="1">
          <wp:simplePos x="0" y="0"/>
          <wp:positionH relativeFrom="margin">
            <wp:align>center</wp:align>
          </wp:positionH>
          <wp:positionV relativeFrom="margin">
            <wp:align>center</wp:align>
          </wp:positionV>
          <wp:extent cx="14444345" cy="10958195"/>
          <wp:effectExtent l="0" t="0" r="0" b="0"/>
          <wp:wrapNone/>
          <wp:docPr id="674" name="WordPictureWatermark367128482"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WordPictureWatermark367128482"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677" name="WordPictureWatermark367128481"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WordPictureWatermark367128481"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AC8EF"/>
    <w:multiLevelType w:val="multilevel"/>
    <w:tmpl w:val="9C8AC8EF"/>
    <w:lvl w:ilvl="0" w:tentative="0">
      <w:start w:val="1"/>
      <w:numFmt w:val="decimal"/>
      <w:suff w:val="nothing"/>
      <w:lvlText w:val="%1."/>
      <w:lvlJc w:val="left"/>
      <w:pPr>
        <w:tabs>
          <w:tab w:val="left" w:pos="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B0F1ACD9"/>
    <w:multiLevelType w:val="multilevel"/>
    <w:tmpl w:val="B0F1ACD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D7F9FE59"/>
    <w:multiLevelType w:val="multilevel"/>
    <w:tmpl w:val="D7F9FE5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DCBA6B53"/>
    <w:multiLevelType w:val="multilevel"/>
    <w:tmpl w:val="DCBA6B53"/>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F4B5D9F5"/>
    <w:multiLevelType w:val="multilevel"/>
    <w:tmpl w:val="F4B5D9F5"/>
    <w:lvl w:ilvl="0" w:tentative="0">
      <w:start w:val="1"/>
      <w:numFmt w:val="chineseCountingThousand"/>
      <w:suff w:val="nothing"/>
      <w:lvlText w:val="%1、"/>
      <w:lvlJc w:val="left"/>
      <w:pPr>
        <w:ind w:left="0" w:firstLine="4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0E640482"/>
    <w:multiLevelType w:val="multilevel"/>
    <w:tmpl w:val="0E64048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470EC97"/>
    <w:multiLevelType w:val="multilevel"/>
    <w:tmpl w:val="2470EC97"/>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6A08BB8"/>
    <w:multiLevelType w:val="multilevel"/>
    <w:tmpl w:val="46A08BB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C1BAE26"/>
    <w:multiLevelType w:val="multilevel"/>
    <w:tmpl w:val="4C1BAE26"/>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D4DC07F"/>
    <w:multiLevelType w:val="multilevel"/>
    <w:tmpl w:val="4D4DC07F"/>
    <w:lvl w:ilvl="0" w:tentative="0">
      <w:start w:val="1"/>
      <w:numFmt w:val="decimalEnclosedCircleChinese"/>
      <w:suff w:val="nothing"/>
      <w:lvlText w:val="%1　"/>
      <w:lvlJc w:val="left"/>
      <w:pPr>
        <w:ind w:left="0" w:firstLine="400"/>
      </w:pPr>
      <w:rPr>
        <w:rFonts w:hint="default"/>
        <w:sz w:val="20"/>
        <w:u w:val="none"/>
      </w:rPr>
    </w:lvl>
    <w:lvl w:ilvl="1" w:tentative="0">
      <w:start w:val="0"/>
      <w:numFmt w:val="bullet"/>
      <w:lvlText w:val=""/>
      <w:lvlJc w:val="left"/>
      <w:rPr>
        <w:rFonts w:hint="default"/>
        <w:u w:val="none"/>
      </w:rPr>
    </w:lvl>
    <w:lvl w:ilvl="2" w:tentative="0">
      <w:start w:val="0"/>
      <w:numFmt w:val="bullet"/>
      <w:lvlText w:val=""/>
      <w:lvlJc w:val="left"/>
      <w:rPr>
        <w:rFonts w:hint="default"/>
        <w:u w:val="none"/>
      </w:rPr>
    </w:lvl>
    <w:lvl w:ilvl="3" w:tentative="0">
      <w:start w:val="0"/>
      <w:numFmt w:val="bullet"/>
      <w:lvlText w:val=""/>
      <w:lvlJc w:val="left"/>
      <w:rPr>
        <w:rFonts w:hint="default"/>
        <w:u w:val="none"/>
      </w:rPr>
    </w:lvl>
    <w:lvl w:ilvl="4" w:tentative="0">
      <w:start w:val="0"/>
      <w:numFmt w:val="bullet"/>
      <w:lvlText w:val=""/>
      <w:lvlJc w:val="left"/>
      <w:rPr>
        <w:rFonts w:hint="default"/>
        <w:u w:val="none"/>
      </w:rPr>
    </w:lvl>
    <w:lvl w:ilvl="5" w:tentative="0">
      <w:start w:val="0"/>
      <w:numFmt w:val="bullet"/>
      <w:lvlText w:val=""/>
      <w:lvlJc w:val="left"/>
      <w:rPr>
        <w:rFonts w:hint="default"/>
        <w:u w:val="none"/>
      </w:rPr>
    </w:lvl>
    <w:lvl w:ilvl="6" w:tentative="0">
      <w:start w:val="0"/>
      <w:numFmt w:val="bullet"/>
      <w:lvlText w:val=""/>
      <w:lvlJc w:val="left"/>
      <w:rPr>
        <w:rFonts w:hint="default"/>
        <w:u w:val="none"/>
      </w:rPr>
    </w:lvl>
    <w:lvl w:ilvl="7" w:tentative="0">
      <w:start w:val="0"/>
      <w:numFmt w:val="bullet"/>
      <w:lvlText w:val=""/>
      <w:lvlJc w:val="left"/>
      <w:rPr>
        <w:rFonts w:hint="default"/>
        <w:u w:val="none"/>
      </w:rPr>
    </w:lvl>
    <w:lvl w:ilvl="8" w:tentative="0">
      <w:start w:val="0"/>
      <w:numFmt w:val="bullet"/>
      <w:lvlText w:val=""/>
      <w:lvlJc w:val="left"/>
      <w:rPr>
        <w:rFonts w:hint="default"/>
        <w:u w:val="none"/>
      </w:rPr>
    </w:lvl>
  </w:abstractNum>
  <w:abstractNum w:abstractNumId="10">
    <w:nsid w:val="60382F6E"/>
    <w:multiLevelType w:val="multilevel"/>
    <w:tmpl w:val="60382F6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7ECEA79"/>
    <w:multiLevelType w:val="multilevel"/>
    <w:tmpl w:val="77ECEA7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C246926"/>
    <w:multiLevelType w:val="multilevel"/>
    <w:tmpl w:val="7C24692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9"/>
  </w:num>
  <w:num w:numId="2">
    <w:abstractNumId w:val="4"/>
  </w:num>
  <w:num w:numId="3">
    <w:abstractNumId w:val="6"/>
  </w:num>
  <w:num w:numId="4">
    <w:abstractNumId w:val="3"/>
  </w:num>
  <w:num w:numId="5">
    <w:abstractNumId w:val="2"/>
  </w:num>
  <w:num w:numId="6">
    <w:abstractNumId w:val="0"/>
  </w:num>
  <w:num w:numId="7">
    <w:abstractNumId w:val="8"/>
  </w:num>
  <w:num w:numId="8">
    <w:abstractNumId w:val="10"/>
  </w:num>
  <w:num w:numId="9">
    <w:abstractNumId w:val="5"/>
  </w:num>
  <w:num w:numId="10">
    <w:abstractNumId w:val="7"/>
  </w:num>
  <w:num w:numId="11">
    <w:abstractNumId w:val="1"/>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A7709F3"/>
    <w:rsid w:val="636C71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nhideWhenUsed="0" w:uiPriority="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character" w:default="1" w:styleId="17">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9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EBF7"/>
      </w:tcPr>
    </w:tblStylePr>
    <w:tblStylePr w:type="band2Vert"/>
    <w:tblStylePr w:type="band1Horz">
      <w:rPr>
        <w:rFonts w:ascii="Arial" w:hAnsi="Arial"/>
        <w:color w:val="404040"/>
        <w:sz w:val="22"/>
      </w:rPr>
      <w:tcPr>
        <w:shd w:val="clear" w:color="FFFFFF" w:fill="DFEBF7"/>
      </w:tcPr>
    </w:tblStylePr>
    <w:tblStylePr w:type="band2Horz"/>
    <w:tblStylePr w:type="neCell"/>
    <w:tblStylePr w:type="nwCell"/>
    <w:tblStylePr w:type="seCell"/>
    <w:tblStylePr w:type="swCell"/>
  </w:style>
  <w:style w:type="paragraph" w:styleId="4">
    <w:name w:val="annotation text"/>
    <w:basedOn w:val="1"/>
    <w:unhideWhenUsed/>
    <w:qFormat/>
    <w:uiPriority w:val="99"/>
    <w:pPr>
      <w:jc w:val="left"/>
    </w:pPr>
  </w:style>
  <w:style w:type="paragraph" w:styleId="5">
    <w:name w:val="Body Text"/>
    <w:basedOn w:val="1"/>
    <w:next w:val="1"/>
    <w:qFormat/>
    <w:uiPriority w:val="1"/>
    <w:pPr>
      <w:spacing w:before="162"/>
      <w:ind w:left="120"/>
      <w:jc w:val="left"/>
    </w:pPr>
    <w:rPr>
      <w:rFonts w:ascii="宋体" w:hAnsi="Times New Roman"/>
      <w:sz w:val="20"/>
      <w:szCs w:val="21"/>
    </w:rPr>
  </w:style>
  <w:style w:type="paragraph" w:styleId="6">
    <w:name w:val="Date"/>
    <w:basedOn w:val="1"/>
    <w:next w:val="1"/>
    <w:unhideWhenUsed/>
    <w:qFormat/>
    <w:uiPriority w:val="99"/>
    <w:pPr>
      <w:ind w:left="100"/>
    </w:pPr>
  </w:style>
  <w:style w:type="paragraph" w:styleId="7">
    <w:name w:val="Balloon Text"/>
    <w:basedOn w:val="1"/>
    <w:unhideWhenUsed/>
    <w:qFormat/>
    <w:uiPriority w:val="99"/>
    <w:rPr>
      <w:sz w:val="18"/>
      <w:szCs w:val="18"/>
    </w:rPr>
  </w:style>
  <w:style w:type="paragraph" w:styleId="8">
    <w:name w:val="footer"/>
    <w:basedOn w:val="1"/>
    <w:unhideWhenUsed/>
    <w:qFormat/>
    <w:uiPriority w:val="99"/>
    <w:pPr>
      <w:tabs>
        <w:tab w:val="center" w:pos="4153"/>
        <w:tab w:val="right" w:pos="8306"/>
      </w:tabs>
      <w:jc w:val="left"/>
    </w:pPr>
    <w:rPr>
      <w:sz w:val="18"/>
      <w:szCs w:val="18"/>
    </w:rPr>
  </w:style>
  <w:style w:type="paragraph" w:styleId="9">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0">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1">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13">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14">
    <w:name w:val="annotation subject"/>
    <w:basedOn w:val="4"/>
    <w:next w:val="4"/>
    <w:unhideWhenUsed/>
    <w:qFormat/>
    <w:uiPriority w:val="99"/>
    <w:rPr>
      <w:b/>
      <w:bCs/>
    </w:rPr>
  </w:style>
  <w:style w:type="paragraph" w:styleId="15">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16">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18">
    <w:name w:val="Strong"/>
    <w:qFormat/>
    <w:uiPriority w:val="22"/>
    <w:rPr>
      <w:rFonts w:ascii="Times New Roman" w:hAnsi="Times New Roman" w:eastAsia="宋体" w:cs="Times New Roman"/>
      <w:b/>
      <w:bCs/>
    </w:rPr>
  </w:style>
  <w:style w:type="character" w:styleId="19">
    <w:name w:val="FollowedHyperlink"/>
    <w:basedOn w:val="17"/>
    <w:semiHidden/>
    <w:unhideWhenUsed/>
    <w:qFormat/>
    <w:uiPriority w:val="99"/>
    <w:rPr>
      <w:color w:val="954F72" w:themeColor="followedHyperlink"/>
      <w:u w:val="single"/>
      <w14:textFill>
        <w14:solidFill>
          <w14:schemeClr w14:val="folHlink"/>
        </w14:solidFill>
      </w14:textFill>
    </w:rPr>
  </w:style>
  <w:style w:type="character" w:styleId="20">
    <w:name w:val="Emphasis"/>
    <w:basedOn w:val="17"/>
    <w:qFormat/>
    <w:uiPriority w:val="20"/>
    <w:rPr>
      <w:i/>
      <w:iCs/>
    </w:rPr>
  </w:style>
  <w:style w:type="character" w:styleId="21">
    <w:name w:val="Hyperlink"/>
    <w:unhideWhenUsed/>
    <w:qFormat/>
    <w:uiPriority w:val="99"/>
    <w:rPr>
      <w:rFonts w:ascii="Times New Roman" w:hAnsi="Times New Roman" w:eastAsia="宋体" w:cs="Times New Roman"/>
      <w:color w:val="0000FF"/>
      <w:u w:val="single"/>
    </w:rPr>
  </w:style>
  <w:style w:type="character" w:styleId="22">
    <w:name w:val="annotation reference"/>
    <w:unhideWhenUsed/>
    <w:qFormat/>
    <w:uiPriority w:val="99"/>
    <w:rPr>
      <w:rFonts w:ascii="Times New Roman" w:hAnsi="Times New Roman" w:eastAsia="宋体" w:cs="Times New Roman"/>
      <w:sz w:val="21"/>
      <w:szCs w:val="21"/>
    </w:rPr>
  </w:style>
  <w:style w:type="paragraph" w:customStyle="1" w:styleId="23">
    <w:name w:val="Heading 1"/>
    <w:basedOn w:val="1"/>
    <w:next w:val="1"/>
    <w:link w:val="195"/>
    <w:qFormat/>
    <w:uiPriority w:val="1"/>
    <w:pPr>
      <w:spacing w:before="17"/>
      <w:ind w:left="1144"/>
      <w:jc w:val="left"/>
      <w:outlineLvl w:val="0"/>
    </w:pPr>
    <w:rPr>
      <w:rFonts w:ascii="黑体" w:hAnsi="Times New Roman" w:eastAsia="黑体"/>
      <w:b/>
      <w:bCs/>
      <w:sz w:val="36"/>
      <w:szCs w:val="36"/>
    </w:rPr>
  </w:style>
  <w:style w:type="paragraph" w:customStyle="1" w:styleId="24">
    <w:name w:val="Heading 2"/>
    <w:basedOn w:val="1"/>
    <w:next w:val="1"/>
    <w:link w:val="200"/>
    <w:qFormat/>
    <w:uiPriority w:val="9"/>
    <w:pPr>
      <w:keepNext/>
      <w:keepLines/>
      <w:spacing w:before="260" w:after="260" w:line="416" w:lineRule="auto"/>
      <w:outlineLvl w:val="1"/>
    </w:pPr>
    <w:rPr>
      <w:rFonts w:ascii="Cambria" w:hAnsi="Cambria"/>
      <w:b/>
      <w:bCs/>
      <w:sz w:val="32"/>
      <w:szCs w:val="32"/>
    </w:rPr>
  </w:style>
  <w:style w:type="paragraph" w:customStyle="1" w:styleId="25">
    <w:name w:val="Heading 3"/>
    <w:basedOn w:val="1"/>
    <w:next w:val="1"/>
    <w:link w:val="204"/>
    <w:qFormat/>
    <w:uiPriority w:val="1"/>
    <w:pPr>
      <w:spacing w:before="34"/>
      <w:ind w:left="120"/>
      <w:jc w:val="left"/>
      <w:outlineLvl w:val="2"/>
    </w:pPr>
    <w:rPr>
      <w:rFonts w:ascii="宋体" w:hAnsi="Times New Roman"/>
      <w:b/>
      <w:bCs/>
      <w:sz w:val="20"/>
      <w:szCs w:val="21"/>
    </w:rPr>
  </w:style>
  <w:style w:type="paragraph" w:customStyle="1" w:styleId="26">
    <w:name w:val="Heading 4"/>
    <w:basedOn w:val="1"/>
    <w:next w:val="1"/>
    <w:link w:val="167"/>
    <w:unhideWhenUsed/>
    <w:qFormat/>
    <w:uiPriority w:val="9"/>
    <w:pPr>
      <w:keepNext/>
      <w:keepLines/>
      <w:spacing w:before="80" w:after="40"/>
      <w:outlineLvl w:val="3"/>
    </w:pPr>
    <w:rPr>
      <w:rFonts w:ascii="Arial" w:hAnsi="Arial" w:eastAsia="Arial" w:cs="Arial"/>
      <w:i/>
      <w:iCs/>
      <w:color w:val="2E75B6" w:themeColor="accent1" w:themeShade="BF"/>
    </w:rPr>
  </w:style>
  <w:style w:type="paragraph" w:customStyle="1" w:styleId="27">
    <w:name w:val="Heading 5"/>
    <w:basedOn w:val="1"/>
    <w:next w:val="1"/>
    <w:link w:val="168"/>
    <w:unhideWhenUsed/>
    <w:qFormat/>
    <w:uiPriority w:val="9"/>
    <w:pPr>
      <w:keepNext/>
      <w:keepLines/>
      <w:spacing w:before="80" w:after="40"/>
      <w:outlineLvl w:val="4"/>
    </w:pPr>
    <w:rPr>
      <w:rFonts w:ascii="Arial" w:hAnsi="Arial" w:eastAsia="Arial" w:cs="Arial"/>
      <w:color w:val="2E75B6" w:themeColor="accent1" w:themeShade="BF"/>
    </w:rPr>
  </w:style>
  <w:style w:type="paragraph" w:customStyle="1" w:styleId="28">
    <w:name w:val="Heading 6"/>
    <w:basedOn w:val="1"/>
    <w:next w:val="1"/>
    <w:link w:val="169"/>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customStyle="1" w:styleId="29">
    <w:name w:val="Heading 7"/>
    <w:basedOn w:val="1"/>
    <w:next w:val="1"/>
    <w:link w:val="170"/>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customStyle="1" w:styleId="30">
    <w:name w:val="Heading 8"/>
    <w:basedOn w:val="1"/>
    <w:next w:val="1"/>
    <w:link w:val="171"/>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customStyle="1" w:styleId="31">
    <w:name w:val="Heading 9"/>
    <w:basedOn w:val="1"/>
    <w:next w:val="1"/>
    <w:link w:val="172"/>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customStyle="1" w:styleId="32">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customStyle="1" w:styleId="33">
    <w:name w:val="Endnote Text"/>
    <w:basedOn w:val="1"/>
    <w:semiHidden/>
    <w:unhideWhenUsed/>
    <w:qFormat/>
    <w:uiPriority w:val="99"/>
    <w:pPr>
      <w:spacing w:after="0" w:line="240" w:lineRule="auto"/>
    </w:pPr>
    <w:rPr>
      <w:sz w:val="20"/>
      <w:szCs w:val="20"/>
    </w:rPr>
  </w:style>
  <w:style w:type="paragraph" w:customStyle="1" w:styleId="34">
    <w:name w:val="Footer"/>
    <w:basedOn w:val="1"/>
    <w:unhideWhenUsed/>
    <w:qFormat/>
    <w:uiPriority w:val="99"/>
    <w:pPr>
      <w:tabs>
        <w:tab w:val="center" w:pos="4153"/>
        <w:tab w:val="right" w:pos="8306"/>
      </w:tabs>
      <w:jc w:val="left"/>
    </w:pPr>
    <w:rPr>
      <w:sz w:val="18"/>
      <w:szCs w:val="18"/>
    </w:rPr>
  </w:style>
  <w:style w:type="paragraph" w:customStyle="1" w:styleId="35">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customStyle="1" w:styleId="36">
    <w:name w:val="Footnote Text"/>
    <w:basedOn w:val="1"/>
    <w:unhideWhenUsed/>
    <w:qFormat/>
    <w:uiPriority w:val="99"/>
    <w:pPr>
      <w:jc w:val="left"/>
    </w:pPr>
    <w:rPr>
      <w:sz w:val="18"/>
      <w:szCs w:val="18"/>
    </w:rPr>
  </w:style>
  <w:style w:type="paragraph" w:customStyle="1" w:styleId="37">
    <w:name w:val="Table of Figures"/>
    <w:basedOn w:val="1"/>
    <w:next w:val="1"/>
    <w:unhideWhenUsed/>
    <w:qFormat/>
    <w:uiPriority w:val="99"/>
    <w:pPr>
      <w:spacing w:after="0" w:afterAutospacing="0"/>
    </w:pPr>
  </w:style>
  <w:style w:type="character" w:customStyle="1" w:styleId="38">
    <w:name w:val="Endnote Reference"/>
    <w:basedOn w:val="17"/>
    <w:semiHidden/>
    <w:unhideWhenUsed/>
    <w:qFormat/>
    <w:uiPriority w:val="99"/>
    <w:rPr>
      <w:vertAlign w:val="superscript"/>
    </w:rPr>
  </w:style>
  <w:style w:type="character" w:customStyle="1" w:styleId="39">
    <w:name w:val="Footnote Reference"/>
    <w:unhideWhenUsed/>
    <w:qFormat/>
    <w:uiPriority w:val="99"/>
    <w:rPr>
      <w:rFonts w:ascii="Times New Roman" w:hAnsi="Times New Roman" w:eastAsia="宋体" w:cs="Times New Roman"/>
      <w:vertAlign w:val="superscript"/>
    </w:rPr>
  </w:style>
  <w:style w:type="table" w:customStyle="1" w:styleId="40">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1">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42">
    <w:name w:val="Plain Table 2"/>
    <w:basedOn w:val="3"/>
    <w:qFormat/>
    <w:uiPriority w:val="59"/>
    <w:pPr>
      <w:spacing w:after="0" w:line="240" w:lineRule="auto"/>
    </w:pPr>
    <w:tblPr>
      <w:tblBorders>
        <w:top w:val="single" w:color="000000" w:themeColor="text1" w:sz="4" w:space="0"/>
        <w:bottom w:val="singl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3">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4">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5">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6">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7">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8">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9">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50">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51">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52">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3">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4">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5">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6">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57">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58">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59">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0">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1">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62">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3">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4">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5">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6">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7">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8">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9">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70">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965"/>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71">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72">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73">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4">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cPr>
    </w:tblStylePr>
    <w:tblStylePr w:type="lastRow">
      <w:rPr>
        <w:rFonts w:ascii="Arial" w:hAnsi="Arial"/>
        <w:b/>
        <w:color w:val="FFFFFF"/>
        <w:sz w:val="22"/>
      </w:rPr>
      <w:tcPr>
        <w:tcBorders>
          <w:top w:val="single" w:color="FFFFFF" w:themeColor="light1" w:sz="4" w:space="0"/>
        </w:tcBorders>
        <w:shd w:val="clear" w:color="FFFFFF" w:fill="5B9BD5"/>
      </w:tcPr>
    </w:tblStylePr>
    <w:tblStylePr w:type="firstCol">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band1Vert">
      <w:tcPr>
        <w:shd w:val="clear" w:color="FFFFFF" w:fill="B4D1EC"/>
      </w:tcPr>
    </w:tblStylePr>
    <w:tblStylePr w:type="band2Vert"/>
    <w:tblStylePr w:type="band1Horz">
      <w:tcPr>
        <w:shd w:val="clear" w:color="FFFFFF" w:fill="B4D1EC"/>
      </w:tcPr>
    </w:tblStylePr>
    <w:tblStylePr w:type="band2Horz"/>
    <w:tblStylePr w:type="neCell"/>
    <w:tblStylePr w:type="nwCell"/>
    <w:tblStylePr w:type="seCell"/>
    <w:tblStylePr w:type="swCell"/>
  </w:style>
  <w:style w:type="table" w:customStyle="1" w:styleId="75">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cPr>
    </w:tblStylePr>
    <w:tblStylePr w:type="lastRow">
      <w:rPr>
        <w:rFonts w:ascii="Arial" w:hAnsi="Arial"/>
        <w:b/>
        <w:color w:val="FFFFFF"/>
        <w:sz w:val="22"/>
      </w:rPr>
      <w:tcPr>
        <w:tcBorders>
          <w:top w:val="single" w:color="FFFFFF" w:themeColor="light1" w:sz="4" w:space="0"/>
        </w:tcBorders>
        <w:shd w:val="clear" w:color="FFFFFF" w:fill="ED7D31"/>
      </w:tcPr>
    </w:tblStylePr>
    <w:tblStylePr w:type="firstCol">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band1Vert">
      <w:tcPr>
        <w:shd w:val="clear" w:color="FFFFFF" w:fill="F7C3A0"/>
      </w:tcPr>
    </w:tblStylePr>
    <w:tblStylePr w:type="band2Vert"/>
    <w:tblStylePr w:type="band1Horz">
      <w:tcPr>
        <w:shd w:val="clear" w:color="FFFFFF" w:fill="F7C3A0"/>
      </w:tcPr>
    </w:tblStylePr>
    <w:tblStylePr w:type="band2Horz"/>
    <w:tblStylePr w:type="neCell"/>
    <w:tblStylePr w:type="nwCell"/>
    <w:tblStylePr w:type="seCell"/>
    <w:tblStylePr w:type="swCell"/>
  </w:style>
  <w:style w:type="table" w:customStyle="1" w:styleId="76">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cPr>
    </w:tblStylePr>
    <w:tblStylePr w:type="lastRow">
      <w:rPr>
        <w:rFonts w:ascii="Arial" w:hAnsi="Arial"/>
        <w:b/>
        <w:color w:val="FFFFFF"/>
        <w:sz w:val="22"/>
      </w:rPr>
      <w:tcPr>
        <w:tcBorders>
          <w:top w:val="single" w:color="FFFFFF" w:themeColor="light1" w:sz="4" w:space="0"/>
        </w:tcBorders>
        <w:shd w:val="clear" w:color="FFFFFF" w:fill="A5A5A5"/>
      </w:tcPr>
    </w:tblStylePr>
    <w:tblStylePr w:type="firstCol">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band1Vert">
      <w:tcPr>
        <w:shd w:val="clear" w:color="FFFFFF" w:fill="D6D6D6"/>
      </w:tcPr>
    </w:tblStylePr>
    <w:tblStylePr w:type="band2Vert"/>
    <w:tblStylePr w:type="band1Horz">
      <w:tcPr>
        <w:shd w:val="clear" w:color="FFFFFF" w:fill="D6D6D6"/>
      </w:tcPr>
    </w:tblStylePr>
    <w:tblStylePr w:type="band2Horz"/>
    <w:tblStylePr w:type="neCell"/>
    <w:tblStylePr w:type="nwCell"/>
    <w:tblStylePr w:type="seCell"/>
    <w:tblStylePr w:type="swCell"/>
  </w:style>
  <w:style w:type="table" w:customStyle="1" w:styleId="77">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cPr>
    </w:tblStylePr>
    <w:tblStylePr w:type="lastRow">
      <w:rPr>
        <w:rFonts w:ascii="Arial" w:hAnsi="Arial"/>
        <w:b/>
        <w:color w:val="FFFFFF"/>
        <w:sz w:val="22"/>
      </w:rPr>
      <w:tcPr>
        <w:tcBorders>
          <w:top w:val="single" w:color="FFFFFF" w:themeColor="light1" w:sz="4" w:space="0"/>
        </w:tcBorders>
        <w:shd w:val="clear" w:color="FFFFFF" w:fill="FFC000"/>
      </w:tcPr>
    </w:tblStylePr>
    <w:tblStylePr w:type="firstCol">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band1Vert">
      <w:tcPr>
        <w:shd w:val="clear" w:color="FFFFFF" w:fill="FFE28A"/>
      </w:tcPr>
    </w:tblStylePr>
    <w:tblStylePr w:type="band2Vert"/>
    <w:tblStylePr w:type="band1Horz">
      <w:tcPr>
        <w:shd w:val="clear" w:color="FFFFFF" w:fill="FFE28A"/>
      </w:tcPr>
    </w:tblStylePr>
    <w:tblStylePr w:type="band2Horz"/>
    <w:tblStylePr w:type="neCell"/>
    <w:tblStylePr w:type="nwCell"/>
    <w:tblStylePr w:type="seCell"/>
    <w:tblStylePr w:type="swCell"/>
  </w:style>
  <w:style w:type="table" w:customStyle="1" w:styleId="78">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cPr>
    </w:tblStylePr>
    <w:tblStylePr w:type="lastRow">
      <w:rPr>
        <w:rFonts w:ascii="Arial" w:hAnsi="Arial"/>
        <w:b/>
        <w:color w:val="FFFFFF"/>
        <w:sz w:val="22"/>
      </w:rPr>
      <w:tcPr>
        <w:tcBorders>
          <w:top w:val="single" w:color="FFFFFF" w:themeColor="light1" w:sz="4" w:space="0"/>
        </w:tcBorders>
        <w:shd w:val="clear" w:color="FFFFFF" w:fill="4472C4"/>
      </w:tcPr>
    </w:tblStylePr>
    <w:tblStylePr w:type="firstCol">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band1Vert">
      <w:tcPr>
        <w:shd w:val="clear" w:color="FFFFFF" w:fill="A9BEE4"/>
      </w:tcPr>
    </w:tblStylePr>
    <w:tblStylePr w:type="band2Vert"/>
    <w:tblStylePr w:type="band1Horz">
      <w:tcPr>
        <w:shd w:val="clear" w:color="FFFFFF" w:fill="A9BEE4"/>
      </w:tcPr>
    </w:tblStylePr>
    <w:tblStylePr w:type="band2Horz"/>
    <w:tblStylePr w:type="neCell"/>
    <w:tblStylePr w:type="nwCell"/>
    <w:tblStylePr w:type="seCell"/>
    <w:tblStylePr w:type="swCell"/>
  </w:style>
  <w:style w:type="table" w:customStyle="1" w:styleId="79">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cPr>
    </w:tblStylePr>
    <w:tblStylePr w:type="lastRow">
      <w:rPr>
        <w:rFonts w:ascii="Arial" w:hAnsi="Arial"/>
        <w:b/>
        <w:color w:val="FFFFFF"/>
        <w:sz w:val="22"/>
      </w:rPr>
      <w:tcPr>
        <w:tcBorders>
          <w:top w:val="single" w:color="FFFFFF" w:themeColor="light1" w:sz="4" w:space="0"/>
        </w:tcBorders>
        <w:shd w:val="clear" w:color="FFFFFF" w:fill="70AD47"/>
      </w:tcPr>
    </w:tblStylePr>
    <w:tblStylePr w:type="firstCol">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band1Vert">
      <w:tcPr>
        <w:shd w:val="clear" w:color="FFFFFF" w:fill="BDDBA8"/>
      </w:tcPr>
    </w:tblStylePr>
    <w:tblStylePr w:type="band2Vert"/>
    <w:tblStylePr w:type="band1Horz">
      <w:tcPr>
        <w:shd w:val="clear" w:color="FFFFFF" w:fill="BDDBA8"/>
      </w:tcPr>
    </w:tblStylePr>
    <w:tblStylePr w:type="band2Horz"/>
    <w:tblStylePr w:type="neCell"/>
    <w:tblStylePr w:type="nwCell"/>
    <w:tblStylePr w:type="seCell"/>
    <w:tblStylePr w:type="swCell"/>
  </w:style>
  <w:style w:type="table" w:customStyle="1" w:styleId="80">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1">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2">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3">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4">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5">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6">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E2EFD9"/>
      </w:tcPr>
    </w:tblStylePr>
    <w:tblStylePr w:type="band2Vert"/>
    <w:tblStylePr w:type="band1Horz">
      <w:rPr>
        <w:rFonts w:ascii="Arial" w:hAnsi="Arial"/>
        <w:color w:val="254174" w:themeColor="accent5" w:themeShade="94"/>
        <w:sz w:val="22"/>
      </w:rPr>
      <w:tcPr>
        <w:shd w:val="clear" w:color="FFFFFF" w:fill="E2EFD9"/>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7">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8">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9">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0">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1">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2">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3">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FFFFFF" w:fill="E2EFD9"/>
      </w:tcPr>
    </w:tblStylePr>
    <w:tblStylePr w:type="band2Vert"/>
    <w:tblStylePr w:type="band1Horz">
      <w:rPr>
        <w:rFonts w:ascii="Arial" w:hAnsi="Arial"/>
        <w:color w:val="416429" w:themeColor="accent6" w:themeShade="94"/>
        <w:sz w:val="22"/>
      </w:rPr>
      <w:tcPr>
        <w:shd w:val="clear" w:color="FFFFFF" w:fill="E2EFD9"/>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4">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5">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6E6F4"/>
      </w:tcPr>
    </w:tblStylePr>
    <w:tblStylePr w:type="band2Vert"/>
    <w:tblStylePr w:type="band1Horz">
      <w:tcPr>
        <w:shd w:val="clear" w:color="FFFFFF" w:fill="D6E6F4"/>
      </w:tcPr>
    </w:tblStylePr>
    <w:tblStylePr w:type="band2Horz"/>
    <w:tblStylePr w:type="neCell"/>
    <w:tblStylePr w:type="nwCell"/>
    <w:tblStylePr w:type="seCell"/>
    <w:tblStylePr w:type="swCell"/>
  </w:style>
  <w:style w:type="table" w:customStyle="1" w:styleId="96">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cPr>
    </w:tblStylePr>
    <w:tblStylePr w:type="band2Vert"/>
    <w:tblStylePr w:type="band1Horz">
      <w:tcPr>
        <w:shd w:val="clear" w:color="FFFFFF" w:fill="FADECB"/>
      </w:tcPr>
    </w:tblStylePr>
    <w:tblStylePr w:type="band2Horz"/>
    <w:tblStylePr w:type="neCell"/>
    <w:tblStylePr w:type="nwCell"/>
    <w:tblStylePr w:type="seCell"/>
    <w:tblStylePr w:type="swCell"/>
  </w:style>
  <w:style w:type="table" w:customStyle="1" w:styleId="97">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cPr>
    </w:tblStylePr>
    <w:tblStylePr w:type="band2Vert"/>
    <w:tblStylePr w:type="band1Horz">
      <w:tcPr>
        <w:shd w:val="clear" w:color="FFFFFF" w:fill="E8E8E8"/>
      </w:tcPr>
    </w:tblStylePr>
    <w:tblStylePr w:type="band2Horz"/>
    <w:tblStylePr w:type="neCell"/>
    <w:tblStylePr w:type="nwCell"/>
    <w:tblStylePr w:type="seCell"/>
    <w:tblStylePr w:type="swCell"/>
  </w:style>
  <w:style w:type="table" w:customStyle="1" w:styleId="98">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F"/>
      </w:tcPr>
    </w:tblStylePr>
    <w:tblStylePr w:type="band2Vert"/>
    <w:tblStylePr w:type="band1Horz">
      <w:tcPr>
        <w:shd w:val="clear" w:color="FFFFFF" w:fill="FFEFBF"/>
      </w:tcPr>
    </w:tblStylePr>
    <w:tblStylePr w:type="band2Horz"/>
    <w:tblStylePr w:type="neCell"/>
    <w:tblStylePr w:type="nwCell"/>
    <w:tblStylePr w:type="seCell"/>
    <w:tblStylePr w:type="swCell"/>
  </w:style>
  <w:style w:type="table" w:customStyle="1" w:styleId="99">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CF0"/>
      </w:tcPr>
    </w:tblStylePr>
    <w:tblStylePr w:type="band2Vert"/>
    <w:tblStylePr w:type="band1Horz">
      <w:tcPr>
        <w:shd w:val="clear" w:color="FFFFFF" w:fill="D0DCF0"/>
      </w:tcPr>
    </w:tblStylePr>
    <w:tblStylePr w:type="band2Horz"/>
    <w:tblStylePr w:type="neCell"/>
    <w:tblStylePr w:type="nwCell"/>
    <w:tblStylePr w:type="seCell"/>
    <w:tblStylePr w:type="swCell"/>
  </w:style>
  <w:style w:type="table" w:customStyle="1" w:styleId="100">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BECD0"/>
      </w:tcPr>
    </w:tblStylePr>
    <w:tblStylePr w:type="band2Vert"/>
    <w:tblStylePr w:type="band1Horz">
      <w:tcPr>
        <w:shd w:val="clear" w:color="FFFFFF" w:fill="DBECD0"/>
      </w:tcPr>
    </w:tblStylePr>
    <w:tblStylePr w:type="band2Horz"/>
    <w:tblStylePr w:type="neCell"/>
    <w:tblStylePr w:type="nwCell"/>
    <w:tblStylePr w:type="seCell"/>
    <w:tblStylePr w:type="swCell"/>
  </w:style>
  <w:style w:type="table" w:customStyle="1" w:styleId="101">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02">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03">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04">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05">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06">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07">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08">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9">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10">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11">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2">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9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3">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FFFFFF" w:fill="8EAA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4">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18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5">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6">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17">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18">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19">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20">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FFFFFF"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21">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22">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23">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FFFFFF"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cPr>
    </w:tblStylePr>
    <w:tblStylePr w:type="band2Horz">
      <w:tcPr>
        <w:tcBorders>
          <w:top w:val="single" w:color="FFFFFF" w:themeColor="light1" w:sz="4" w:space="0"/>
          <w:bottom w:val="single" w:color="FFFFFF" w:themeColor="light1" w:sz="4" w:space="0"/>
        </w:tcBorders>
        <w:shd w:val="clear" w:color="FFFFFF" w:fill="5B9BD5"/>
      </w:tcPr>
    </w:tblStylePr>
    <w:tblStylePr w:type="neCell"/>
    <w:tblStylePr w:type="nwCell"/>
    <w:tblStylePr w:type="seCell"/>
    <w:tblStylePr w:type="swCell"/>
  </w:style>
  <w:style w:type="table" w:customStyle="1" w:styleId="124">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cPr>
    </w:tblStylePr>
    <w:tblStylePr w:type="band2Horz">
      <w:tcPr>
        <w:tcBorders>
          <w:top w:val="single" w:color="FFFFFF" w:themeColor="light1" w:sz="4" w:space="0"/>
          <w:bottom w:val="single" w:color="FFFFFF" w:themeColor="light1" w:sz="4" w:space="0"/>
        </w:tcBorders>
        <w:shd w:val="clear" w:color="FFFFFF" w:fill="F4B285"/>
      </w:tcPr>
    </w:tblStylePr>
    <w:tblStylePr w:type="neCell"/>
    <w:tblStylePr w:type="nwCell"/>
    <w:tblStylePr w:type="seCell"/>
    <w:tblStylePr w:type="swCell"/>
  </w:style>
  <w:style w:type="table" w:customStyle="1" w:styleId="125">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cPr>
    </w:tblStylePr>
    <w:tblStylePr w:type="band2Horz">
      <w:tcPr>
        <w:tcBorders>
          <w:top w:val="single" w:color="FFFFFF" w:themeColor="light1" w:sz="4" w:space="0"/>
          <w:bottom w:val="single" w:color="FFFFFF" w:themeColor="light1" w:sz="4" w:space="0"/>
        </w:tcBorders>
        <w:shd w:val="clear" w:color="FFFFFF" w:fill="C9C9C9"/>
      </w:tcPr>
    </w:tblStylePr>
    <w:tblStylePr w:type="neCell"/>
    <w:tblStylePr w:type="nwCell"/>
    <w:tblStylePr w:type="seCell"/>
    <w:tblStylePr w:type="swCell"/>
  </w:style>
  <w:style w:type="table" w:customStyle="1" w:styleId="126">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96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96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965"/>
      </w:tcPr>
    </w:tblStylePr>
    <w:tblStylePr w:type="band2Horz">
      <w:tcPr>
        <w:tcBorders>
          <w:top w:val="single" w:color="FFFFFF" w:themeColor="light1" w:sz="4" w:space="0"/>
          <w:bottom w:val="single" w:color="FFFFFF" w:themeColor="light1" w:sz="4" w:space="0"/>
        </w:tcBorders>
        <w:shd w:val="clear" w:color="FFFFFF" w:fill="FFD965"/>
      </w:tcPr>
    </w:tblStylePr>
    <w:tblStylePr w:type="neCell"/>
    <w:tblStylePr w:type="nwCell"/>
    <w:tblStylePr w:type="seCell"/>
    <w:tblStylePr w:type="swCell"/>
  </w:style>
  <w:style w:type="table" w:customStyle="1" w:styleId="127">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FFFFFF" w:fill="8EAA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A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ADB"/>
      </w:tcPr>
    </w:tblStylePr>
    <w:tblStylePr w:type="band2Horz">
      <w:tcPr>
        <w:tcBorders>
          <w:top w:val="single" w:color="FFFFFF" w:themeColor="light1" w:sz="4" w:space="0"/>
          <w:bottom w:val="single" w:color="FFFFFF" w:themeColor="light1" w:sz="4" w:space="0"/>
        </w:tcBorders>
        <w:shd w:val="clear" w:color="FFFFFF" w:fill="8EAADB"/>
      </w:tcPr>
    </w:tblStylePr>
    <w:tblStylePr w:type="neCell"/>
    <w:tblStylePr w:type="nwCell"/>
    <w:tblStylePr w:type="seCell"/>
    <w:tblStylePr w:type="swCell"/>
  </w:style>
  <w:style w:type="table" w:customStyle="1" w:styleId="128">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18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18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18F"/>
      </w:tcPr>
    </w:tblStylePr>
    <w:tblStylePr w:type="band2Horz">
      <w:tcPr>
        <w:tcBorders>
          <w:top w:val="single" w:color="FFFFFF" w:themeColor="light1" w:sz="4" w:space="0"/>
          <w:bottom w:val="single" w:color="FFFFFF" w:themeColor="light1" w:sz="4" w:space="0"/>
        </w:tcBorders>
        <w:shd w:val="clear" w:color="FFFFFF" w:fill="A9D18F"/>
      </w:tcPr>
    </w:tblStylePr>
    <w:tblStylePr w:type="neCell"/>
    <w:tblStylePr w:type="nwCell"/>
    <w:tblStylePr w:type="seCell"/>
    <w:tblStylePr w:type="swCell"/>
  </w:style>
  <w:style w:type="table" w:customStyle="1" w:styleId="129">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0">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1">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2">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4">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5">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6">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7">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8">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9">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1">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2">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3">
    <w:name w:val="Lined - Accent"/>
    <w:basedOn w:val="3"/>
    <w:qFormat/>
    <w:uiPriority w:val="99"/>
    <w:pPr>
      <w:spacing w:after="0" w:line="240" w:lineRule="auto"/>
    </w:pPr>
    <w:rPr>
      <w:color w:val="404040"/>
    </w:r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4">
    <w:name w:val="Lined - Accent 1"/>
    <w:basedOn w:val="3"/>
    <w:qFormat/>
    <w:uiPriority w:val="99"/>
    <w:pPr>
      <w:spacing w:after="0" w:line="240" w:lineRule="auto"/>
    </w:pPr>
    <w:rPr>
      <w:color w:val="404040"/>
    </w:r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5">
    <w:name w:val="Lined - Accent 2"/>
    <w:basedOn w:val="3"/>
    <w:qFormat/>
    <w:uiPriority w:val="99"/>
    <w:pPr>
      <w:spacing w:after="0" w:line="240" w:lineRule="auto"/>
    </w:pPr>
    <w:rPr>
      <w:color w:val="404040"/>
    </w:r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46">
    <w:name w:val="Lined - Accent 3"/>
    <w:basedOn w:val="3"/>
    <w:qFormat/>
    <w:uiPriority w:val="99"/>
    <w:pPr>
      <w:spacing w:after="0" w:line="240" w:lineRule="auto"/>
    </w:pPr>
    <w:rPr>
      <w:color w:val="404040"/>
    </w:r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47">
    <w:name w:val="Lined - Accent 4"/>
    <w:basedOn w:val="3"/>
    <w:qFormat/>
    <w:uiPriority w:val="99"/>
    <w:pPr>
      <w:spacing w:after="0" w:line="240" w:lineRule="auto"/>
    </w:pPr>
    <w:rPr>
      <w:color w:val="404040"/>
    </w:r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48">
    <w:name w:val="Lined - Accent 5"/>
    <w:basedOn w:val="3"/>
    <w:qFormat/>
    <w:uiPriority w:val="99"/>
    <w:pPr>
      <w:spacing w:after="0" w:line="240" w:lineRule="auto"/>
    </w:pPr>
    <w:rPr>
      <w:color w:val="404040"/>
    </w:r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49">
    <w:name w:val="Lined - Accent 6"/>
    <w:basedOn w:val="3"/>
    <w:qFormat/>
    <w:uiPriority w:val="99"/>
    <w:pPr>
      <w:spacing w:after="0" w:line="240" w:lineRule="auto"/>
    </w:pPr>
    <w:rPr>
      <w:color w:val="404040"/>
    </w:r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0">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51">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52">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53">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54">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55">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56">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7">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8">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9">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60">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61">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2">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3">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4">
    <w:name w:val="Heading 1 Char"/>
    <w:basedOn w:val="17"/>
    <w:qFormat/>
    <w:uiPriority w:val="9"/>
    <w:rPr>
      <w:rFonts w:ascii="Arial" w:hAnsi="Arial" w:eastAsia="Arial" w:cs="Arial"/>
      <w:color w:val="2E75B6" w:themeColor="accent1" w:themeShade="BF"/>
      <w:sz w:val="40"/>
      <w:szCs w:val="40"/>
    </w:rPr>
  </w:style>
  <w:style w:type="character" w:customStyle="1" w:styleId="165">
    <w:name w:val="Heading 2 Char"/>
    <w:basedOn w:val="17"/>
    <w:qFormat/>
    <w:uiPriority w:val="9"/>
    <w:rPr>
      <w:rFonts w:ascii="Arial" w:hAnsi="Arial" w:eastAsia="Arial" w:cs="Arial"/>
      <w:color w:val="2E75B6" w:themeColor="accent1" w:themeShade="BF"/>
      <w:sz w:val="32"/>
      <w:szCs w:val="32"/>
    </w:rPr>
  </w:style>
  <w:style w:type="character" w:customStyle="1" w:styleId="166">
    <w:name w:val="Heading 3 Char"/>
    <w:basedOn w:val="17"/>
    <w:qFormat/>
    <w:uiPriority w:val="9"/>
    <w:rPr>
      <w:rFonts w:ascii="Arial" w:hAnsi="Arial" w:eastAsia="Arial" w:cs="Arial"/>
      <w:color w:val="2E75B6" w:themeColor="accent1" w:themeShade="BF"/>
      <w:sz w:val="28"/>
      <w:szCs w:val="28"/>
    </w:rPr>
  </w:style>
  <w:style w:type="character" w:customStyle="1" w:styleId="167">
    <w:name w:val="Heading 4 Char"/>
    <w:basedOn w:val="17"/>
    <w:link w:val="26"/>
    <w:qFormat/>
    <w:uiPriority w:val="9"/>
    <w:rPr>
      <w:rFonts w:ascii="Arial" w:hAnsi="Arial" w:eastAsia="Arial" w:cs="Arial"/>
      <w:i/>
      <w:iCs/>
      <w:color w:val="2E75B6" w:themeColor="accent1" w:themeShade="BF"/>
    </w:rPr>
  </w:style>
  <w:style w:type="character" w:customStyle="1" w:styleId="168">
    <w:name w:val="Heading 5 Char"/>
    <w:basedOn w:val="17"/>
    <w:link w:val="27"/>
    <w:qFormat/>
    <w:uiPriority w:val="9"/>
    <w:rPr>
      <w:rFonts w:ascii="Arial" w:hAnsi="Arial" w:eastAsia="Arial" w:cs="Arial"/>
      <w:color w:val="2E75B6" w:themeColor="accent1" w:themeShade="BF"/>
    </w:rPr>
  </w:style>
  <w:style w:type="character" w:customStyle="1" w:styleId="169">
    <w:name w:val="Heading 6 Char"/>
    <w:basedOn w:val="17"/>
    <w:link w:val="28"/>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0">
    <w:name w:val="Heading 7 Char"/>
    <w:basedOn w:val="17"/>
    <w:link w:val="29"/>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1">
    <w:name w:val="Heading 8 Char"/>
    <w:basedOn w:val="17"/>
    <w:link w:val="3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2">
    <w:name w:val="Heading 9 Char"/>
    <w:basedOn w:val="17"/>
    <w:link w:val="3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3">
    <w:name w:val="Title Char"/>
    <w:basedOn w:val="17"/>
    <w:qFormat/>
    <w:uiPriority w:val="10"/>
    <w:rPr>
      <w:rFonts w:ascii="Arial" w:hAnsi="Arial" w:eastAsia="Arial" w:cs="Arial"/>
      <w:spacing w:val="-10"/>
      <w:sz w:val="56"/>
      <w:szCs w:val="56"/>
    </w:rPr>
  </w:style>
  <w:style w:type="character" w:customStyle="1" w:styleId="174">
    <w:name w:val="Subtitle Char"/>
    <w:basedOn w:val="1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5">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6">
    <w:name w:val="Quote Char"/>
    <w:basedOn w:val="17"/>
    <w:qFormat/>
    <w:uiPriority w:val="29"/>
    <w:rPr>
      <w:i/>
      <w:iCs/>
      <w:color w:val="404040" w:themeColor="text1" w:themeTint="BF"/>
      <w14:textFill>
        <w14:solidFill>
          <w14:schemeClr w14:val="tx1">
            <w14:lumMod w14:val="75000"/>
            <w14:lumOff w14:val="25000"/>
          </w14:schemeClr>
        </w14:solidFill>
      </w14:textFill>
    </w:rPr>
  </w:style>
  <w:style w:type="character" w:customStyle="1" w:styleId="177">
    <w:name w:val="Intense Emphasis"/>
    <w:basedOn w:val="17"/>
    <w:qFormat/>
    <w:uiPriority w:val="21"/>
    <w:rPr>
      <w:i/>
      <w:iCs/>
      <w:color w:val="2E75B6" w:themeColor="accent1" w:themeShade="BF"/>
    </w:rPr>
  </w:style>
  <w:style w:type="paragraph" w:styleId="178">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9">
    <w:name w:val="Intense Quote Char"/>
    <w:basedOn w:val="17"/>
    <w:qFormat/>
    <w:uiPriority w:val="30"/>
    <w:rPr>
      <w:i/>
      <w:iCs/>
      <w:color w:val="2E75B6" w:themeColor="accent1" w:themeShade="BF"/>
    </w:rPr>
  </w:style>
  <w:style w:type="character" w:customStyle="1" w:styleId="180">
    <w:name w:val="Intense Reference"/>
    <w:basedOn w:val="17"/>
    <w:qFormat/>
    <w:uiPriority w:val="32"/>
    <w:rPr>
      <w:b/>
      <w:bCs/>
      <w:smallCaps/>
      <w:color w:val="2E75B6" w:themeColor="accent1" w:themeShade="BF"/>
      <w:spacing w:val="5"/>
    </w:rPr>
  </w:style>
  <w:style w:type="paragraph" w:styleId="181">
    <w:name w:val="No Spacing"/>
    <w:basedOn w:val="1"/>
    <w:link w:val="199"/>
    <w:qFormat/>
    <w:uiPriority w:val="1"/>
    <w:pPr>
      <w:spacing w:after="0" w:line="240" w:lineRule="auto"/>
    </w:pPr>
  </w:style>
  <w:style w:type="character" w:customStyle="1" w:styleId="182">
    <w:name w:val="Subtle Emphasis"/>
    <w:basedOn w:val="17"/>
    <w:qFormat/>
    <w:uiPriority w:val="19"/>
    <w:rPr>
      <w:i/>
      <w:iCs/>
      <w:color w:val="404040" w:themeColor="text1" w:themeTint="BF"/>
      <w14:textFill>
        <w14:solidFill>
          <w14:schemeClr w14:val="tx1">
            <w14:lumMod w14:val="75000"/>
            <w14:lumOff w14:val="25000"/>
          </w14:schemeClr>
        </w14:solidFill>
      </w14:textFill>
    </w:rPr>
  </w:style>
  <w:style w:type="character" w:customStyle="1" w:styleId="183">
    <w:name w:val="Subtle Reference"/>
    <w:basedOn w:val="17"/>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4">
    <w:name w:val="Book Title"/>
    <w:basedOn w:val="17"/>
    <w:qFormat/>
    <w:uiPriority w:val="33"/>
    <w:rPr>
      <w:b/>
      <w:bCs/>
      <w:i/>
      <w:iCs/>
      <w:spacing w:val="5"/>
    </w:rPr>
  </w:style>
  <w:style w:type="character" w:customStyle="1" w:styleId="185">
    <w:name w:val="Header Char"/>
    <w:basedOn w:val="17"/>
    <w:qFormat/>
    <w:uiPriority w:val="99"/>
  </w:style>
  <w:style w:type="character" w:customStyle="1" w:styleId="186">
    <w:name w:val="Footer Char"/>
    <w:basedOn w:val="17"/>
    <w:qFormat/>
    <w:uiPriority w:val="99"/>
  </w:style>
  <w:style w:type="character" w:customStyle="1" w:styleId="187">
    <w:name w:val="Footnote Text Char"/>
    <w:basedOn w:val="17"/>
    <w:semiHidden/>
    <w:qFormat/>
    <w:uiPriority w:val="99"/>
    <w:rPr>
      <w:sz w:val="20"/>
      <w:szCs w:val="20"/>
    </w:rPr>
  </w:style>
  <w:style w:type="character" w:customStyle="1" w:styleId="188">
    <w:name w:val="Endnote Text Char"/>
    <w:basedOn w:val="17"/>
    <w:semiHidden/>
    <w:qFormat/>
    <w:uiPriority w:val="99"/>
    <w:rPr>
      <w:sz w:val="20"/>
      <w:szCs w:val="20"/>
    </w:rPr>
  </w:style>
  <w:style w:type="paragraph" w:customStyle="1" w:styleId="189">
    <w:name w:val="TOC Heading"/>
    <w:unhideWhenUsed/>
    <w:qFormat/>
    <w:uiPriority w:val="39"/>
    <w:rPr>
      <w:rFonts w:hint="default" w:ascii="Times New Roman" w:hAnsi="Times New Roman" w:eastAsia="宋体" w:cs="Times New Roman"/>
      <w:lang w:val="en-US" w:eastAsia="en-US" w:bidi="ar-SA"/>
    </w:rPr>
  </w:style>
  <w:style w:type="paragraph" w:customStyle="1" w:styleId="190">
    <w:name w:val="_Style 21"/>
    <w:semiHidden/>
    <w:qFormat/>
    <w:uiPriority w:val="99"/>
    <w:rPr>
      <w:rFonts w:hint="default" w:ascii="Times New Roman" w:hAnsi="Times New Roman" w:eastAsia="宋体" w:cs="Times New Roman"/>
      <w:sz w:val="21"/>
      <w:szCs w:val="22"/>
      <w:lang w:val="en-US" w:eastAsia="zh-CN" w:bidi="ar-SA"/>
    </w:rPr>
  </w:style>
  <w:style w:type="paragraph" w:customStyle="1" w:styleId="191">
    <w:name w:val="Table Paragraph"/>
    <w:basedOn w:val="1"/>
    <w:qFormat/>
    <w:uiPriority w:val="1"/>
    <w:pPr>
      <w:jc w:val="left"/>
    </w:pPr>
    <w:rPr>
      <w:rFonts w:ascii="Times New Roman" w:hAnsi="Times New Roman" w:cs="Times New Roman"/>
      <w:sz w:val="24"/>
      <w:szCs w:val="24"/>
    </w:rPr>
  </w:style>
  <w:style w:type="paragraph" w:styleId="192">
    <w:name w:val="List Paragraph"/>
    <w:basedOn w:val="1"/>
    <w:qFormat/>
    <w:uiPriority w:val="72"/>
    <w:pPr>
      <w:ind w:firstLine="420"/>
    </w:pPr>
  </w:style>
  <w:style w:type="paragraph" w:customStyle="1" w:styleId="193">
    <w:name w:val="Default"/>
    <w:qFormat/>
    <w:uiPriority w:val="0"/>
    <w:pPr>
      <w:widowControl w:val="0"/>
    </w:pPr>
    <w:rPr>
      <w:rFonts w:hint="default" w:ascii="宋体" w:hAnsi="宋体" w:eastAsia="宋体" w:cs="宋体"/>
      <w:color w:val="000000"/>
      <w:sz w:val="24"/>
      <w:szCs w:val="24"/>
      <w:lang w:val="en-US" w:eastAsia="zh-CN" w:bidi="ar-SA"/>
    </w:rPr>
  </w:style>
  <w:style w:type="character" w:customStyle="1" w:styleId="194">
    <w:name w:val="页眉 Char"/>
    <w:qFormat/>
    <w:uiPriority w:val="99"/>
    <w:rPr>
      <w:rFonts w:ascii="Times New Roman" w:hAnsi="Times New Roman" w:eastAsia="宋体" w:cs="Times New Roman"/>
      <w:sz w:val="18"/>
      <w:szCs w:val="18"/>
    </w:rPr>
  </w:style>
  <w:style w:type="character" w:customStyle="1" w:styleId="195">
    <w:name w:val="标题 1 Char"/>
    <w:link w:val="23"/>
    <w:qFormat/>
    <w:uiPriority w:val="1"/>
    <w:rPr>
      <w:rFonts w:ascii="黑体" w:hAnsi="Times New Roman" w:eastAsia="黑体" w:cs="黑体"/>
      <w:b/>
      <w:bCs/>
      <w:sz w:val="36"/>
      <w:szCs w:val="36"/>
    </w:rPr>
  </w:style>
  <w:style w:type="character" w:customStyle="1" w:styleId="196">
    <w:name w:val="批注文字 Char"/>
    <w:qFormat/>
    <w:uiPriority w:val="99"/>
    <w:rPr>
      <w:rFonts w:ascii="Times New Roman" w:hAnsi="Times New Roman" w:eastAsia="宋体" w:cs="Times New Roman"/>
      <w:sz w:val="21"/>
      <w:szCs w:val="22"/>
    </w:rPr>
  </w:style>
  <w:style w:type="character" w:customStyle="1" w:styleId="197">
    <w:name w:val="脚注文本 Char"/>
    <w:semiHidden/>
    <w:qFormat/>
    <w:uiPriority w:val="99"/>
    <w:rPr>
      <w:rFonts w:ascii="Times New Roman" w:hAnsi="Times New Roman" w:eastAsia="宋体" w:cs="Times New Roman"/>
      <w:sz w:val="18"/>
      <w:szCs w:val="18"/>
    </w:rPr>
  </w:style>
  <w:style w:type="character" w:customStyle="1" w:styleId="198">
    <w:name w:val="页脚 Char"/>
    <w:qFormat/>
    <w:uiPriority w:val="99"/>
    <w:rPr>
      <w:rFonts w:ascii="Times New Roman" w:hAnsi="Times New Roman" w:eastAsia="宋体" w:cs="Times New Roman"/>
      <w:sz w:val="18"/>
      <w:szCs w:val="18"/>
    </w:rPr>
  </w:style>
  <w:style w:type="character" w:customStyle="1" w:styleId="199">
    <w:name w:val="批注框文本 Char"/>
    <w:link w:val="181"/>
    <w:semiHidden/>
    <w:qFormat/>
    <w:uiPriority w:val="99"/>
    <w:rPr>
      <w:rFonts w:ascii="Times New Roman" w:hAnsi="Times New Roman" w:eastAsia="宋体" w:cs="Times New Roman"/>
      <w:sz w:val="18"/>
      <w:szCs w:val="18"/>
    </w:rPr>
  </w:style>
  <w:style w:type="character" w:customStyle="1" w:styleId="200">
    <w:name w:val="标题 2 Char"/>
    <w:link w:val="24"/>
    <w:qFormat/>
    <w:uiPriority w:val="9"/>
    <w:rPr>
      <w:rFonts w:ascii="Cambria" w:hAnsi="Cambria" w:eastAsia="宋体" w:cs="Times New Roman"/>
      <w:b/>
      <w:bCs/>
      <w:sz w:val="32"/>
      <w:szCs w:val="32"/>
    </w:rPr>
  </w:style>
  <w:style w:type="character" w:customStyle="1" w:styleId="201">
    <w:name w:val="日期 Char"/>
    <w:basedOn w:val="17"/>
    <w:semiHidden/>
    <w:qFormat/>
    <w:uiPriority w:val="99"/>
    <w:rPr>
      <w:rFonts w:ascii="Times New Roman" w:hAnsi="Times New Roman" w:eastAsia="宋体" w:cs="Times New Roman"/>
    </w:rPr>
  </w:style>
  <w:style w:type="character" w:customStyle="1" w:styleId="202">
    <w:name w:val="脚注文本 字符"/>
    <w:semiHidden/>
    <w:qFormat/>
    <w:uiPriority w:val="99"/>
    <w:rPr>
      <w:rFonts w:ascii="Times New Roman" w:hAnsi="Times New Roman" w:eastAsia="宋体" w:cs="Times New Roman"/>
      <w:sz w:val="18"/>
      <w:szCs w:val="18"/>
    </w:rPr>
  </w:style>
  <w:style w:type="character" w:customStyle="1" w:styleId="203">
    <w:name w:val="批注主题 Char"/>
    <w:semiHidden/>
    <w:qFormat/>
    <w:uiPriority w:val="99"/>
    <w:rPr>
      <w:rFonts w:ascii="Times New Roman" w:hAnsi="Times New Roman" w:eastAsia="宋体" w:cs="Times New Roman"/>
      <w:b/>
      <w:bCs/>
      <w:sz w:val="21"/>
      <w:szCs w:val="22"/>
    </w:rPr>
  </w:style>
  <w:style w:type="character" w:customStyle="1" w:styleId="204">
    <w:name w:val="标题 3 Char"/>
    <w:link w:val="25"/>
    <w:qFormat/>
    <w:uiPriority w:val="1"/>
    <w:rPr>
      <w:rFonts w:ascii="宋体" w:hAnsi="Times New Roman" w:eastAsia="宋体" w:cs="宋体"/>
      <w:b/>
      <w:bCs/>
      <w:szCs w:val="21"/>
    </w:rPr>
  </w:style>
  <w:style w:type="character" w:customStyle="1" w:styleId="205">
    <w:name w:val="正文文本 Char"/>
    <w:qFormat/>
    <w:uiPriority w:val="1"/>
    <w:rPr>
      <w:rFonts w:ascii="宋体" w:hAnsi="Times New Roman" w:eastAsia="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7.xml"/><Relationship Id="rId22" Type="http://schemas.openxmlformats.org/officeDocument/2006/relationships/customXml" Target="../customXml/item6.xml"/><Relationship Id="rId21" Type="http://schemas.openxmlformats.org/officeDocument/2006/relationships/customXml" Target="../customXml/item5.xml"/><Relationship Id="rId20" Type="http://schemas.openxmlformats.org/officeDocument/2006/relationships/customXml" Target="../customXml/item4.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3.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2026-09-09T03:17:26Z</dcterms:modified>
  <cp:revision>7</cp:revision>
</cp:coreProperties>
</file>

<file path=customXml/item3.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6.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7.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996195-4835-4c7e-95a1-053aa15c1ae3}">
  <ds:schemaRefs/>
</ds:datastoreItem>
</file>

<file path=customXml/itemProps3.xml><?xml version="1.0" encoding="utf-8"?>
<ds:datastoreItem xmlns:ds="http://schemas.openxmlformats.org/officeDocument/2006/customXml" ds:itemID="{78055cce-e863-40c9-810e-1a5aa4bb5b5d}">
  <ds:schemaRefs/>
</ds:datastoreItem>
</file>

<file path=customXml/itemProps4.xml><?xml version="1.0" encoding="utf-8"?>
<ds:datastoreItem xmlns:ds="http://schemas.openxmlformats.org/officeDocument/2006/customXml" ds:itemID="{b16623c2-d7db-4193-bcb8-42da1ed6b24a}">
  <ds:schemaRefs/>
</ds:datastoreItem>
</file>

<file path=customXml/itemProps5.xml><?xml version="1.0" encoding="utf-8"?>
<ds:datastoreItem xmlns:ds="http://schemas.openxmlformats.org/officeDocument/2006/customXml" ds:itemID="{D27390BD-7426-4027-9FC0-E8D34A2B4CAC}">
  <ds:schemaRefs/>
</ds:datastoreItem>
</file>

<file path=customXml/itemProps6.xml><?xml version="1.0" encoding="utf-8"?>
<ds:datastoreItem xmlns:ds="http://schemas.openxmlformats.org/officeDocument/2006/customXml" ds:itemID="{B4CA3D73-F516-4AFA-B4B8-D6BB46C8E545}">
  <ds:schemaRefs/>
</ds:datastoreItem>
</file>

<file path=customXml/itemProps7.xml><?xml version="1.0" encoding="utf-8"?>
<ds:datastoreItem xmlns:ds="http://schemas.openxmlformats.org/officeDocument/2006/customXml" ds:itemID="{EF1B1EE3-10EF-4AF2-946A-673B99C1B38C}">
  <ds:schemaRefs/>
</ds:datastoreItem>
</file>

<file path=docProps/app.xml><?xml version="1.0" encoding="utf-8"?>
<Properties xmlns="http://schemas.openxmlformats.org/officeDocument/2006/extended-properties" xmlns:vt="http://schemas.openxmlformats.org/officeDocument/2006/docPropsVTypes">
  <Template>Normal.dotm</Template>
  <Pages>0</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2024-03-28T01:26:00Z</dcterms:created>
  <dc:creator>jsyh</dc:creator>
  <cp:lastModifiedBy>jsyh</cp:lastModifiedBy>
  <dcterms:modified xsi:type="dcterms:W3CDTF">2026-09-09T08:20:01Z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