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bidi w:val="0"/>
        <w:spacing w:line="310" w:lineRule="exact"/>
        <w:jc w:val="left"/>
        <w:rPr>
          <w:rFonts w:ascii="楷体" w:eastAsia="楷体" w:hAnsi="楷体" w:cs="浠垮畫" w:hint="eastAsia"/>
          <w:sz w:val="21"/>
          <w:szCs w:val="21"/>
          <w:lang w:val="en-US" w:eastAsia="zh-CN"/>
        </w:rPr>
      </w:pPr>
      <w:r>
        <w:rPr>
          <w:rFonts w:ascii="楷体" w:eastAsia="楷体" w:hAnsi="楷体" w:cs="浠垮畫" w:hint="eastAsia"/>
          <w:sz w:val="21"/>
          <w:szCs w:val="21"/>
        </w:rPr>
        <w:t xml:space="preserve">尊敬的投资者：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感谢您购买苏银理财有限责任公司(以下简称“苏银理财”)发行管理的理财产品，</w:t>
      </w:r>
      <w:r>
        <w:rPr>
          <w:rFonts w:ascii="楷体" w:eastAsia="楷体" w:hAnsi="楷体" w:cs="浠垮畫"/>
          <w:b/>
          <w:sz w:val="21"/>
          <w:szCs w:val="21"/>
          <w:u w:val="single"/>
        </w:rPr>
        <w:t xml:space="preserve">理财非存款、产品有风险、投资须谨慎</w:t>
      </w:r>
      <w:r>
        <w:rPr>
          <w:rFonts w:ascii="楷体" w:eastAsia="楷体" w:hAnsi="楷体" w:cs="浠垮畫" w:hint="eastAsia"/>
          <w:b/>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bidi w:val="0"/>
        <w:spacing w:line="310" w:lineRule="exact"/>
        <w:ind w:firstLine="422"/>
        <w:rPr>
          <w:rFonts w:ascii="楷体" w:eastAsia="楷体" w:hAnsi="楷体" w:cs="浠垮畫" w:hint="eastAsia"/>
          <w:sz w:val="21"/>
          <w:szCs w:val="21"/>
        </w:rPr>
      </w:pPr>
      <w:r>
        <w:rPr>
          <w:rFonts w:ascii="楷体" w:eastAsia="楷体" w:hAnsi="楷体" w:cs="浠垮畫" w:hint="eastAsia"/>
          <w:b/>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sz w:val="21"/>
          <w:szCs w:val="21"/>
          <w:u w:val="single"/>
          <w:lang w:val="en-US" w:eastAsia="zh-CN"/>
        </w:rPr>
        <w:t xml:space="preserve">和</w:t>
      </w:r>
      <w:r>
        <w:rPr>
          <w:rFonts w:ascii="楷体" w:eastAsia="楷体" w:hAnsi="楷体" w:cs="浠垮畫" w:hint="eastAsia"/>
          <w:b/>
          <w:sz w:val="21"/>
          <w:szCs w:val="21"/>
          <w:u w:val="single"/>
        </w:rPr>
        <w:t xml:space="preserve">兑付责任。</w:t>
      </w:r>
      <w:r>
        <w:rPr>
          <w:rFonts w:ascii="楷体" w:eastAsia="楷体" w:hAnsi="楷体" w:cs="浠垮畫" w:hint="eastAsia"/>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bidi w:val="0"/>
        <w:spacing w:line="310" w:lineRule="exact"/>
        <w:ind w:firstLine="422"/>
        <w:outlineLvl w:val="0"/>
        <w:rPr>
          <w:rFonts w:ascii="楷体" w:eastAsia="楷体" w:hAnsi="楷体" w:cs="浠垮畫" w:hint="eastAsia"/>
          <w:b/>
          <w:sz w:val="21"/>
          <w:szCs w:val="21"/>
        </w:rPr>
      </w:pPr>
      <w:r>
        <w:rPr>
          <w:rFonts w:ascii="楷体" w:eastAsia="楷体" w:hAnsi="楷体" w:cs="浠垮畫"/>
          <w:b/>
          <w:sz w:val="21"/>
          <w:szCs w:val="21"/>
        </w:rPr>
        <w:t xml:space="preserve">一、代销机构代理销售苏银理财产品的流程</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w:t>
      </w:r>
      <w:r>
        <w:rPr>
          <w:rFonts w:ascii="楷体" w:eastAsia="楷体" w:hAnsi="楷体" w:cs="浠垮畫" w:hint="eastAsia"/>
          <w:sz w:val="21"/>
          <w:szCs w:val="21"/>
          <w:lang w:val="en-US" w:eastAsia="zh-CN"/>
        </w:rPr>
        <w:t xml:space="preserve">普通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投资者首次购买理财产品需进行开户，可持有效证件</w:t>
      </w:r>
      <w:r>
        <w:rPr>
          <w:rFonts w:ascii="楷体" w:eastAsia="楷体" w:hAnsi="楷体" w:cs="楷体" w:hint="eastAsia"/>
          <w:sz w:val="21"/>
          <w:szCs w:val="21"/>
          <w:lang w:val="en-US" w:eastAsia="zh-CN"/>
        </w:rPr>
        <w:t xml:space="preserve">和相关材料（具体以代销机构所需材料为准）</w:t>
      </w:r>
      <w:r>
        <w:rPr>
          <w:rFonts w:ascii="楷体" w:eastAsia="楷体" w:hAnsi="楷体" w:cs="楷体" w:hint="eastAsia"/>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w:t>
      </w:r>
      <w:r>
        <w:rPr>
          <w:rFonts w:ascii="楷体" w:eastAsia="楷体" w:hAnsi="楷体" w:cs="浠垮畫" w:hint="eastAsia"/>
          <w:sz w:val="21"/>
          <w:szCs w:val="21"/>
        </w:rPr>
        <w:t xml:space="preserve">二</w:t>
      </w:r>
      <w:r>
        <w:rPr>
          <w:rFonts w:ascii="楷体" w:eastAsia="楷体" w:hAnsi="楷体" w:cs="浠垮畫"/>
          <w:sz w:val="21"/>
          <w:szCs w:val="21"/>
        </w:rPr>
        <w:t xml:space="preserve">）</w:t>
      </w:r>
      <w:r>
        <w:rPr>
          <w:rFonts w:ascii="楷体" w:eastAsia="楷体" w:hAnsi="楷体" w:cs="浠垮畫" w:hint="eastAsia"/>
          <w:sz w:val="21"/>
          <w:szCs w:val="21"/>
          <w:lang w:val="en-US" w:eastAsia="zh-CN"/>
        </w:rPr>
        <w:t xml:space="preserve">专业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专业</w:t>
      </w:r>
      <w:r>
        <w:rPr>
          <w:rFonts w:ascii="楷体" w:eastAsia="楷体" w:hAnsi="楷体" w:cs="楷体" w:hint="eastAsia"/>
          <w:sz w:val="21"/>
          <w:szCs w:val="21"/>
        </w:rPr>
        <w:t xml:space="preserve">投资者首次购买理财产品需进行开户，可持有效</w:t>
      </w:r>
      <w:r>
        <w:rPr>
          <w:rFonts w:ascii="楷体" w:eastAsia="楷体" w:hAnsi="楷体" w:cs="楷体" w:hint="eastAsia"/>
          <w:sz w:val="21"/>
          <w:szCs w:val="21"/>
          <w:lang w:val="en-US" w:eastAsia="zh-CN"/>
        </w:rPr>
        <w:t xml:space="preserve">证件和相关材料（具体以代销机构所需材料为准）</w:t>
      </w:r>
      <w:r>
        <w:rPr>
          <w:rFonts w:ascii="楷体" w:eastAsia="楷体" w:hAnsi="楷体" w:cs="楷体" w:hint="eastAsia"/>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318"/>
        <w:outlineLvl w:val="0"/>
        <w:rPr>
          <w:rFonts w:ascii="楷体" w:eastAsia="楷体" w:hAnsi="楷体" w:cs="浠垮畫" w:hint="default"/>
          <w:b/>
          <w:sz w:val="21"/>
          <w:szCs w:val="21"/>
          <w:lang w:val="en-US" w:eastAsia="zh-CN"/>
        </w:rPr>
      </w:pPr>
      <w:r>
        <w:rPr>
          <w:rFonts w:ascii="楷体" w:eastAsia="楷体" w:hAnsi="楷体" w:cs="浠垮畫" w:hint="eastAsia"/>
          <w:b/>
          <w:sz w:val="21"/>
          <w:szCs w:val="21"/>
        </w:rPr>
        <w:t xml:space="preserve">二、产品内部风险评级</w:t>
      </w:r>
      <w:r>
        <w:rPr>
          <w:rFonts w:ascii="楷体" w:eastAsia="楷体" w:hAnsi="楷体" w:cs="浠垮畫" w:hint="eastAsia"/>
          <w:b/>
          <w:sz w:val="21"/>
          <w:szCs w:val="21"/>
          <w:lang w:val="en-US" w:eastAsia="zh-CN"/>
        </w:rPr>
        <w:t xml:space="preserve">与投资者类型</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sz w:val="21"/>
          <w:szCs w:val="21"/>
        </w:rPr>
        <w:t xml:space="preserve">苏银理财发行的理财产品内部风险评级共分为五级：</w:t>
      </w:r>
      <w:r>
        <w:rPr>
          <w:rFonts w:ascii="楷体" w:eastAsia="楷体" w:hAnsi="楷体" w:cs="浠垮畫" w:hint="eastAsia"/>
          <w:sz w:val="21"/>
          <w:szCs w:val="21"/>
        </w:rPr>
        <w:t xml:space="preserve">★一级（PR1）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r>
        <w:rPr>
          <w:rFonts w:ascii="楷体" w:eastAsia="楷体" w:hAnsi="楷体" w:cs="浠垮畫"/>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323"/>
        <w:gridCol w:w="1430"/>
        <w:gridCol w:w="3437"/>
        <w:gridCol w:w="1910"/>
        <w:gridCol w:w="1539"/>
      </w:tblGrid>
      <w:tr>
        <w:trPr>
          <w:cnfStyle w:val="100000000000" w:firstRow="1" w:lastRow="0" w:firstColumn="0" w:lastColumn="0" w:oddVBand="0" w:evenVBand="0" w:oddHBand="0" w:evenHBand="0" w:firstRowFirstColumn="0" w:firstRowLastColumn="0" w:lastRowFirstColumn="0" w:lastRowLastColumn="0"/>
          <w:trHeight w:val="172"/>
          <w:jc w:val="center"/>
        </w:trPr>
        <w:tc>
          <w:tcPr>
            <w:cnfStyle w:val="001000000100" w:firstRow="0" w:lastRow="0" w:firstColumn="1" w:lastColumn="0" w:oddVBand="0" w:evenVBand="0" w:oddHBand="0" w:evenHBand="0" w:firstRowFirstColumn="1"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风险星级</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风险级别</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lang w:val="en-US" w:eastAsia="zh-CN"/>
              </w:rPr>
            </w:pPr>
            <w:r>
              <w:rPr>
                <w:rFonts w:ascii="楷体" w:eastAsia="楷体" w:hAnsi="楷体" w:cs="浠垮畫" w:hint="eastAsia"/>
                <w:sz w:val="21"/>
                <w:szCs w:val="21"/>
                <w:lang w:val="en-US" w:eastAsia="zh-CN"/>
              </w:rPr>
              <w:t xml:space="preserve">产品风险评级说明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适合的投资者类别</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适合投资策略</w:t>
            </w:r>
          </w:p>
        </w:tc>
      </w:tr>
      <w:tr>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23"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风险控制</w:t>
            </w:r>
          </w:p>
        </w:tc>
      </w:tr>
      <w:tr>
        <w:trPr>
          <w:cnfStyle w:val="000000010000" w:firstRow="0" w:lastRow="0" w:firstColumn="0" w:lastColumn="0" w:oddVBand="0" w:evenVBand="0" w:oddHBand="0" w:evenHBand="1"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二级（PR2）</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中低风险型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稳健发展</w:t>
            </w:r>
          </w:p>
        </w:tc>
      </w:tr>
      <w:tr>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三级（PR3）</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均衡发展</w:t>
            </w:r>
          </w:p>
        </w:tc>
      </w:tr>
      <w:tr>
        <w:trPr>
          <w:cnfStyle w:val="000000010000" w:firstRow="0" w:lastRow="0" w:firstColumn="0" w:lastColumn="0" w:oddVBand="0" w:evenVBand="0" w:oddHBand="0" w:evenHBand="1"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四级（PR4）</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积极成长</w:t>
            </w:r>
          </w:p>
        </w:tc>
      </w:tr>
      <w:tr>
        <w:trPr>
          <w:trHeight w:val="636"/>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五级（PR5）</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cnfStyle w:val="000000000000" w:firstRow="0" w:lastRow="0" w:firstColumn="0" w:lastColumn="0" w:oddVBand="0" w:evenVBand="0" w:oddHBand="0"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风险承受</w:t>
            </w:r>
          </w:p>
        </w:tc>
      </w:tr>
    </w:tbl>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一）</w:t>
      </w:r>
      <w:r>
        <w:rPr>
          <w:rFonts w:ascii="楷体" w:eastAsia="楷体" w:hAnsi="楷体" w:cs="浠垮畫" w:hint="eastAsia"/>
          <w:sz w:val="21"/>
          <w:szCs w:val="21"/>
        </w:rPr>
        <w:t xml:space="preserve">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二）</w:t>
      </w:r>
      <w:r>
        <w:rPr>
          <w:rFonts w:ascii="楷体" w:eastAsia="楷体" w:hAnsi="楷体" w:cs="浠垮畫" w:hint="eastAsia"/>
          <w:sz w:val="21"/>
          <w:szCs w:val="21"/>
          <w:lang w:eastAsia="zh-CN"/>
        </w:rPr>
        <w:t xml:space="preserve">中低风险投资者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三）</w:t>
      </w:r>
      <w:r>
        <w:rPr>
          <w:rFonts w:ascii="楷体" w:eastAsia="楷体" w:hAnsi="楷体" w:cs="浠垮畫" w:hint="eastAsia"/>
          <w:sz w:val="21"/>
          <w:szCs w:val="21"/>
          <w:lang w:eastAsia="zh-CN"/>
        </w:rPr>
        <w:t xml:space="preserve">中风险投资者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四</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eastAsia="zh-CN"/>
        </w:rPr>
        <w:t xml:space="preserve">中高风险投资者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五）</w:t>
      </w:r>
      <w:r>
        <w:rPr>
          <w:rFonts w:ascii="楷体" w:eastAsia="楷体" w:hAnsi="楷体" w:cs="浠垮畫" w:hint="eastAsia"/>
          <w:sz w:val="21"/>
          <w:szCs w:val="21"/>
          <w:lang w:eastAsia="zh-CN"/>
        </w:rPr>
        <w:t xml:space="preserve">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三、投资者风险承受能力评估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（一）代销机构负责</w:t>
      </w:r>
      <w:r>
        <w:rPr>
          <w:rFonts w:ascii="楷体" w:eastAsia="楷体" w:hAnsi="楷体" w:cs="浠垮畫" w:hint="eastAsia"/>
          <w:sz w:val="21"/>
          <w:szCs w:val="21"/>
        </w:rPr>
        <w:t xml:space="preserve">代理</w:t>
      </w:r>
      <w:r>
        <w:rPr>
          <w:rFonts w:ascii="楷体" w:eastAsia="楷体" w:hAnsi="楷体" w:cs="浠垮畫"/>
          <w:sz w:val="21"/>
          <w:szCs w:val="21"/>
        </w:rPr>
        <w:t xml:space="preserve">销售工作及投资者适当性评估。</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（二）</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bidi w:val="0"/>
        <w:spacing w:line="310" w:lineRule="exact"/>
        <w:ind w:firstLine="420"/>
        <w:rPr>
          <w:rFonts w:hint="eastAsia"/>
          <w:sz w:val="21"/>
          <w:szCs w:val="21"/>
        </w:rPr>
      </w:pPr>
      <w:r>
        <w:rPr>
          <w:rFonts w:ascii="楷体" w:eastAsia="楷体" w:hAnsi="楷体" w:cs="浠垮畫"/>
          <w:sz w:val="21"/>
          <w:szCs w:val="21"/>
        </w:rPr>
        <w:t xml:space="preserve">（三）</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投资者风险承受能力评估流程</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投资者首次购买理财产品以及</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sz w:val="21"/>
          <w:szCs w:val="21"/>
          <w:lang w:val="en-US" w:eastAsia="zh-CN"/>
        </w:rPr>
        <w:t xml:space="preserve">/本机构</w:t>
      </w:r>
      <w:r>
        <w:rPr>
          <w:rFonts w:ascii="楷体" w:eastAsia="楷体" w:hAnsi="楷体" w:cs="楷体" w:hint="eastAsia"/>
          <w:sz w:val="21"/>
          <w:szCs w:val="21"/>
        </w:rPr>
        <w:t xml:space="preserve">风险评测结果后签字或点击确认。</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（四）风险承受能力评估结果将作为评价</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投资者是否适合购买理财产品的重要因素，</w:t>
      </w:r>
      <w:r>
        <w:rPr>
          <w:rFonts w:ascii="楷体" w:eastAsia="楷体" w:hAnsi="楷体" w:cs="浠垮畫" w:hint="eastAsia"/>
          <w:sz w:val="21"/>
          <w:szCs w:val="21"/>
          <w:lang w:val="en-US" w:eastAsia="zh-CN"/>
        </w:rPr>
        <w:t xml:space="preserve">普通投资者适合购买的理财产品风险评级应不高于风险承受能力评级。</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（五）代销机构在代销过程中，可参考苏银理财的产品风险评级结果，自行判断确定本产品的风险评级，</w:t>
      </w:r>
      <w:r>
        <w:rPr>
          <w:rFonts w:ascii="楷体" w:eastAsia="楷体" w:hAnsi="楷体" w:cs="浠垮畫" w:hint="eastAsia"/>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sz w:val="21"/>
          <w:szCs w:val="21"/>
        </w:rPr>
        <w:t xml:space="preserve">代销</w:t>
      </w:r>
      <w:r>
        <w:rPr>
          <w:rFonts w:ascii="楷体" w:eastAsia="楷体" w:hAnsi="楷体" w:cs="浠垮畫" w:hint="eastAsia"/>
          <w:sz w:val="21"/>
          <w:szCs w:val="21"/>
          <w:lang w:val="en-US" w:eastAsia="zh-CN"/>
        </w:rPr>
        <w:t xml:space="preserve">机构</w:t>
      </w:r>
      <w:r>
        <w:rPr>
          <w:rFonts w:ascii="楷体" w:eastAsia="楷体" w:hAnsi="楷体" w:cs="浠垮畫" w:hint="eastAsia"/>
          <w:sz w:val="21"/>
          <w:szCs w:val="21"/>
        </w:rPr>
        <w:t xml:space="preserve">在销售过程中</w:t>
      </w:r>
      <w:r>
        <w:rPr>
          <w:rFonts w:ascii="楷体" w:eastAsia="楷体" w:hAnsi="楷体" w:cs="浠垮畫"/>
          <w:sz w:val="21"/>
          <w:szCs w:val="21"/>
        </w:rPr>
        <w:t xml:space="preserve">应确保</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投资者的风险承受能力等级不低于本产品风险评级。</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四、理财产品信息披露</w:t>
      </w:r>
    </w:p>
    <w:p>
      <w:pPr>
        <w:keepNext w:val="0"/>
        <w:keepLines w:val="0"/>
        <w:pageBreakBefore w:val="0"/>
        <w:bidi w:val="0"/>
        <w:spacing w:line="310" w:lineRule="exact"/>
        <w:ind w:firstLine="420"/>
        <w:outlineLvl w:val="1"/>
        <w:rPr>
          <w:rFonts w:ascii="楷体" w:eastAsia="楷体" w:hAnsi="楷体" w:cs="浠垮畫"/>
          <w:sz w:val="21"/>
          <w:szCs w:val="21"/>
        </w:rPr>
      </w:pPr>
      <w:r>
        <w:rPr>
          <w:rFonts w:ascii="楷体" w:eastAsia="楷体" w:hAnsi="楷体" w:cs="浠垮畫" w:hint="eastAsia"/>
          <w:sz w:val="21"/>
          <w:szCs w:val="21"/>
        </w:rPr>
        <w:t xml:space="preserve">（一）信息披露内容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1.产品类型、募集信息、产品净值、产品规模、托管安排、投资账户信息；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2.产品投向、投资比例、持仓情况、杠杆水平以及主要投资风险；</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3.产品收益分配、各项费用情况；</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4.产品涉及关联交易；</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5.其他影响本产品投资运作的重大事项、临时性信息披露等。</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（二）信息披露频率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1.发行公告：管理人在产品成立后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个工作日内，披露产品成立公告，内容包括理财产品成立日期和募集规模等信息。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2.定期公告：</w:t>
      </w:r>
      <w:r>
        <w:rPr>
          <w:rFonts w:ascii="KaiTi" w:eastAsia="KaiTi" w:hAnsi="KaiTi" w:cs="KaiTi"/>
          <w:color w:val="000000"/>
          <w:sz w:val="22"/>
        </w:rPr>
        <w:t xml:space="preserve">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w:t>
      </w:r>
      <w:r>
        <w:rPr>
          <w:rFonts w:ascii="KaiTi" w:eastAsia="KaiTi" w:hAnsi="KaiTi" w:cs="KaiTi"/>
          <w:color w:val="000000"/>
          <w:sz w:val="22"/>
        </w:rPr>
        <w:t xml:space="preserve">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3.到期公告：管理人在产品终止后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个工作日内，披露产品到期公告，内容包括理财产品的存续期限、终止日期、收费情况和收益分配情况等信息。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4.产品净值披露：</w:t>
      </w:r>
      <w:r>
        <w:rPr>
          <w:rFonts w:ascii="楷体" w:eastAsia="楷体" w:hAnsi="楷体" w:cs="楷体" w:hint="eastAsia"/>
          <w:color w:val="auto"/>
          <w:sz w:val="21"/>
          <w:szCs w:val="21"/>
          <w:highlight w:val="none"/>
          <w:lang w:val="en-US" w:eastAsia="zh-CN"/>
        </w:rPr>
        <w:t xml:space="preserve">公募封闭式产品和处于封闭期的定期开放式产品至少</w:t>
      </w:r>
      <w:r>
        <w:rPr>
          <w:rFonts w:ascii="楷体" w:eastAsia="楷体" w:hAnsi="楷体" w:cs="楷体" w:hint="eastAsia"/>
          <w:color w:val="auto"/>
          <w:sz w:val="21"/>
          <w:szCs w:val="21"/>
          <w:highlight w:val="none"/>
        </w:rPr>
        <w:t xml:space="preserve">每周向投资者披露一次产品的份额净值、份额累计净值</w:t>
      </w:r>
      <w:r>
        <w:rPr>
          <w:rFonts w:ascii="楷体" w:eastAsia="楷体" w:hAnsi="楷体" w:cs="楷体" w:hint="eastAsia"/>
          <w:color w:val="auto"/>
          <w:sz w:val="21"/>
          <w:szCs w:val="21"/>
          <w:highlight w:val="none"/>
          <w:lang w:val="en-US" w:eastAsia="zh-CN"/>
        </w:rPr>
        <w:t xml:space="preserve">和资产净值；公募开放式产品</w:t>
      </w:r>
      <w:r>
        <w:rPr>
          <w:rFonts w:ascii="楷体" w:eastAsia="楷体" w:hAnsi="楷体" w:cs="楷体" w:hint="eastAsia"/>
          <w:color w:val="auto"/>
          <w:sz w:val="21"/>
          <w:szCs w:val="21"/>
          <w:highlight w:val="none"/>
          <w:lang w:eastAsia="zh-CN"/>
        </w:rPr>
        <w:t xml:space="preserve">每个开放日结束后两个工作日内，披露开放式公募理财产品在开放日的份额净值、份额累计净值、认（申）购价格和赎回价格</w:t>
      </w:r>
      <w:r>
        <w:rPr>
          <w:rFonts w:ascii="楷体" w:eastAsia="楷体" w:hAnsi="楷体" w:cs="楷体" w:hint="eastAsia"/>
          <w:color w:val="auto"/>
          <w:sz w:val="21"/>
          <w:szCs w:val="21"/>
          <w:highlight w:val="none"/>
          <w:lang w:val="en-US" w:eastAsia="zh-CN"/>
        </w:rPr>
        <w:t xml:space="preserve">；私募产品至少每季度向投资者披露一次产品的份额净值、份额累计净值、资产净值，以管理人实际披露为准；现金管理类产品在每个开放日披露上一开放日每万份收益和七日年化收益率。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5.事前临时性信息披露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在本理财产品存续期间发生的以下事项，管理人将提前2个工作日通过约定的信息披露渠道进行信息披露：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 增设份额类别。</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 对已约定的收费项目或收费标准采取优惠措施的。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 法律法规、监管规定及管理人认为需要向投资者事前披露的其他临时事项。</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6.事后临时性信息披露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在本理财产品存续期间发生的以下事项，管理人将于知晓或应当知晓相关事项后5个工作日内通过约定的信息披露渠道进行信息披露：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（1）更换理财产品管理人或管理人变更实际控制人，更换托管机构，管理人或托管机构的法定名称、住所发生变更。</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（2）涉及产品穿透后持仓百分之十及以上的单笔资产的诉讼或仲裁，并可能对产品或其投资者权益有重大影响的。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（4）涉及产品穿透后持仓百分之十及以上的单笔资产的债券违约、股票停牌或退市的。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（5）本产品单位净值计价错误达单位净值百分之零点五，计算公式为：（错误单位净值-正确单位净值）/正确单位净值。</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（6）法律法规以及监管规定的其他内容，或者管理人认为可能对投资者权益产生重大不利影响的其他事项。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Calibri" w:hint="eastAsia"/>
          <w:color w:val="auto"/>
          <w:sz w:val="21"/>
          <w:szCs w:val="21"/>
          <w:highlight w:val="none"/>
        </w:rPr>
        <w:t xml:space="preserve">（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7.半年度整体报告：每半年披露从事理财业务活动的有关信息。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（三）信息披露方式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由苏银理财按监管要求和说明书的约定，同时通过以下方式向投资者进行信息披露，披露方式包括：</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1.苏银理财</w:t>
      </w:r>
      <w:r>
        <w:rPr>
          <w:rFonts w:ascii="楷体" w:eastAsia="楷体" w:hAnsi="楷体" w:cs="楷体" w:hint="eastAsia"/>
          <w:sz w:val="21"/>
          <w:szCs w:val="21"/>
          <w:highlight w:val="none"/>
        </w:rPr>
        <w:t xml:space="preserve">通过</w:t>
      </w:r>
      <w:r>
        <w:rPr>
          <w:rFonts w:ascii="楷体" w:eastAsia="楷体" w:hAnsi="楷体" w:cs="楷体" w:hint="eastAsia"/>
          <w:sz w:val="21"/>
          <w:szCs w:val="21"/>
          <w:highlight w:val="none"/>
          <w:lang w:val="en-US" w:eastAsia="zh-CN"/>
        </w:rPr>
        <w:t xml:space="preserve">中国理财网（www.chinawealth.com.cn)、</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公募理财产品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r>
        <w:rPr>
          <w:rFonts w:ascii="楷体" w:eastAsia="楷体" w:hAnsi="楷体" w:cs="楷体" w:hint="eastAsia"/>
          <w:sz w:val="21"/>
          <w:szCs w:val="21"/>
          <w:highlight w:val="none"/>
          <w:lang w:val="en-US" w:eastAsia="zh-CN"/>
        </w:rPr>
        <w:t xml:space="preserve">通过</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私募理财产品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p>
    <w:p>
      <w:pPr>
        <w:keepNext w:val="0"/>
        <w:keepLines w:val="0"/>
        <w:pageBreakBefore w:val="0"/>
        <w:numPr>
          <w:ilvl w:val="0"/>
          <w:numId w:val="0"/>
        </w:numPr>
        <w:tabs>
          <w:tab w:val="left" w:pos="728"/>
        </w:tabs>
        <w:bidi w:val="0"/>
        <w:spacing w:line="310" w:lineRule="exact"/>
        <w:ind w:firstLine="420"/>
        <w:rPr>
          <w:rFonts w:ascii="楷体" w:eastAsia="楷体" w:hAnsi="楷体" w:cs="Calibri"/>
          <w:sz w:val="21"/>
          <w:szCs w:val="21"/>
        </w:rPr>
      </w:pPr>
      <w:r>
        <w:rPr>
          <w:rFonts w:ascii="楷体" w:eastAsia="楷体" w:hAnsi="楷体" w:cs="浠垮畫" w:hint="eastAsia"/>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短信或代销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五、投资者对理财产品的投诉方式和程序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（一）投诉方式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w:t>
      </w:r>
      <w:r>
        <w:rPr>
          <w:rFonts w:ascii="楷体" w:eastAsia="楷体" w:hAnsi="楷体" w:cs="浠垮畫"/>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可通过拨打代销机构客服</w:t>
      </w:r>
      <w:r>
        <w:rPr>
          <w:rFonts w:ascii="楷体" w:eastAsia="楷体" w:hAnsi="楷体" w:cs="浠垮畫" w:hint="eastAsia"/>
          <w:sz w:val="21"/>
          <w:szCs w:val="21"/>
        </w:rPr>
        <w:t xml:space="preserve">电话</w:t>
      </w:r>
      <w:r>
        <w:rPr>
          <w:rFonts w:ascii="楷体" w:eastAsia="楷体" w:hAnsi="楷体" w:cs="浠垮畫"/>
          <w:sz w:val="21"/>
          <w:szCs w:val="21"/>
        </w:rPr>
        <w:t xml:space="preserve">进行反馈。代销机构将由专人接听、记录您的意见或建议，并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您如认为对理财产品设计、投资管理、风险控制、信息披露等事项有任何</w:t>
      </w:r>
      <w:r>
        <w:rPr>
          <w:rFonts w:ascii="楷体" w:eastAsia="楷体" w:hAnsi="楷体" w:cs="浠垮畫"/>
          <w:sz w:val="21"/>
          <w:szCs w:val="21"/>
        </w:rPr>
        <w:t xml:space="preserve">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可通过管理人客服</w:t>
      </w:r>
      <w:r>
        <w:rPr>
          <w:rFonts w:ascii="楷体" w:eastAsia="楷体" w:hAnsi="楷体" w:cs="浠垮畫" w:hint="eastAsia"/>
          <w:sz w:val="21"/>
          <w:szCs w:val="21"/>
        </w:rPr>
        <w:t xml:space="preserve">电话或电子邮箱</w:t>
      </w:r>
      <w:r>
        <w:rPr>
          <w:rFonts w:ascii="楷体" w:eastAsia="楷体" w:hAnsi="楷体" w:cs="浠垮畫"/>
          <w:sz w:val="21"/>
          <w:szCs w:val="21"/>
        </w:rPr>
        <w:t xml:space="preserve">进行反馈。产品管理人将由专人接听、记录您的意见或建议，并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outlineLvl w:val="1"/>
        <w:rPr>
          <w:rFonts w:ascii="楷体" w:eastAsia="楷体" w:hAnsi="楷体" w:cs="浠垮畫" w:hint="eastAsia"/>
          <w:sz w:val="21"/>
          <w:szCs w:val="21"/>
        </w:rPr>
      </w:pPr>
      <w:r>
        <w:pict>
          <v:shape id="_x0000_i4" o:spid="_x0000_s1922" type="#_x0000_t75" style="height:243.65pt;margin-left:116pt;margin-top:13.5pt;mso-wrap-distance-bottom:0;mso-wrap-distance-left:9pt;mso-wrap-distance-right:9pt;mso-wrap-distance-top:0;position:absolute;width:249.9pt;z-index:1" o:oleicon="f" filled="f" stroked="f">
            <v:imagedata r:id="rId5" o:title=""/>
            <o:lock v:ext="edit" aspectratio="t"/>
          </v:shape>
          <o:OLEObject Type="Embed" ProgID="Visio.Drawing.11" ShapeID="_x0000_i4" DrawAspect="Content" ObjectID="_1008269081" r:id="rId6"/>
        </w:pict>
      </w:r>
      <w:r>
        <w:rPr>
          <w:rFonts w:ascii="楷体" w:eastAsia="楷体" w:hAnsi="楷体" w:cs="浠垮畫" w:hint="eastAsia"/>
          <w:sz w:val="21"/>
          <w:szCs w:val="21"/>
        </w:rPr>
        <w:t xml:space="preserve">（二）投诉处理流程</w:t>
      </w:r>
    </w:p>
    <w:p>
      <w:pPr>
        <w:keepNext w:val="0"/>
        <w:keepLines w:val="0"/>
        <w:pageBreakBefore w:val="0"/>
        <w:bidi w:val="0"/>
        <w:spacing w:line="310" w:lineRule="exact"/>
        <w:ind w:firstLine="420"/>
        <w:outlineLvl w:val="2"/>
        <w:rPr>
          <w:rFonts w:ascii="楷体" w:eastAsia="楷体" w:hAnsi="楷体" w:cs="浠垮畫" w:hint="eastAsia"/>
          <w:sz w:val="21"/>
          <w:szCs w:val="21"/>
        </w:rPr>
      </w:pPr>
      <w:r>
        <w:rPr>
          <w:rFonts w:ascii="楷体" w:eastAsia="楷体" w:hAnsi="楷体" w:cs="浠垮畫" w:hint="eastAsia"/>
          <w:sz w:val="21"/>
          <w:szCs w:val="21"/>
        </w:rPr>
        <w:t xml:space="preserve">1.苏银理财投诉处理流程</w:t>
      </w: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r>
        <w:rPr>
          <w:rFonts w:ascii="楷体" w:eastAsia="楷体" w:hAnsi="楷体" w:cs="浠垮畫" w:hint="eastAsia"/>
          <w:sz w:val="21"/>
          <w:szCs w:val="21"/>
        </w:rPr>
        <w:t xml:space="preserve">2.</w:t>
      </w:r>
      <w:r>
        <w:rPr>
          <w:rFonts w:ascii="楷体" w:eastAsia="楷体" w:hAnsi="楷体" w:cs="浠垮畫"/>
          <w:sz w:val="21"/>
          <w:szCs w:val="21"/>
        </w:rPr>
        <w:t xml:space="preserve">代销机构</w:t>
      </w:r>
      <w:r>
        <w:rPr>
          <w:rFonts w:ascii="楷体" w:eastAsia="楷体" w:hAnsi="楷体" w:cs="浠垮畫" w:hint="eastAsia"/>
          <w:sz w:val="21"/>
          <w:szCs w:val="21"/>
        </w:rPr>
        <w:t xml:space="preserve">投诉处理流程见</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六、联络方式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（一）苏银理财有限责任公司</w:t>
      </w:r>
    </w:p>
    <w:p>
      <w:pPr>
        <w:keepNext w:val="0"/>
        <w:keepLines w:val="0"/>
        <w:pageBreakBefore w:val="0"/>
        <w:tabs>
          <w:tab w:val="right" w:pos="8306"/>
        </w:tabs>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1.官方网站：www.suyinwealth.com</w:t>
      </w:r>
      <w:r>
        <w:rPr>
          <w:rFonts w:ascii="楷体" w:eastAsia="楷体" w:hAnsi="楷体" w:cs="浠垮畫"/>
          <w:sz w:val="21"/>
          <w:szCs w:val="21"/>
        </w:rPr>
        <w:tab/>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2.电子邮箱：service@suyinwealth.com</w:t>
      </w:r>
    </w:p>
    <w:p>
      <w:pPr>
        <w:keepNext w:val="0"/>
        <w:keepLines w:val="0"/>
        <w:pageBreakBefore w:val="0"/>
        <w:bidi w:val="0"/>
        <w:spacing w:line="310" w:lineRule="exact"/>
        <w:ind w:firstLine="420"/>
        <w:rPr>
          <w:rFonts w:ascii="楷体" w:eastAsia="楷体" w:hAnsi="楷体" w:cs="浠垮畫" w:hint="eastAsia"/>
          <w:sz w:val="21"/>
          <w:szCs w:val="21"/>
          <w:lang w:val="en-US" w:eastAsia="zh-CN"/>
        </w:rPr>
      </w:pPr>
      <w:bookmarkStart w:id="0" w:name="_GoBack"/>
      <w:bookmarkEnd w:id="0"/>
      <w:r>
        <w:rPr>
          <w:rFonts w:ascii="楷体" w:eastAsia="楷体" w:hAnsi="楷体" w:cs="浠垮畫" w:hint="eastAsia"/>
          <w:sz w:val="21"/>
          <w:szCs w:val="21"/>
        </w:rPr>
        <w:t xml:space="preserve">3.客户服务热线：95319</w:t>
      </w:r>
      <w:r>
        <w:rPr>
          <w:rFonts w:ascii="楷体" w:eastAsia="楷体" w:hAnsi="楷体" w:cs="浠垮畫" w:hint="eastAsia"/>
          <w:sz w:val="21"/>
          <w:szCs w:val="21"/>
          <w:lang w:val="en-US" w:eastAsia="zh-CN"/>
        </w:rPr>
        <w:t xml:space="preserve">-8-2</w:t>
      </w:r>
    </w:p>
    <w:p>
      <w:pPr>
        <w:keepNext w:val="0"/>
        <w:keepLines w:val="0"/>
        <w:pageBreakBefore w:val="0"/>
        <w:bidi w:val="0"/>
        <w:spacing w:line="310" w:lineRule="exact"/>
        <w:ind w:firstLine="420"/>
        <w:rPr>
          <w:rFonts w:ascii="楷体" w:eastAsia="楷体" w:hAnsi="楷体" w:cs="浠垮畫" w:hint="default"/>
          <w:sz w:val="21"/>
          <w:szCs w:val="21"/>
          <w:lang w:val="en-US" w:eastAsia="zh-CN"/>
        </w:rPr>
      </w:pPr>
      <w:r>
        <w:rPr>
          <w:rFonts w:ascii="楷体" w:eastAsia="楷体" w:hAnsi="楷体" w:cs="浠垮畫" w:hint="default"/>
          <w:sz w:val="21"/>
          <w:szCs w:val="21"/>
          <w:lang w:val="en-US" w:eastAsia="zh-CN"/>
        </w:rPr>
        <w:t xml:space="preserve">4.地址：南京市建邺区江山大街70号国际博览中心三期B幢11-13层</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若上述联系方式变更，苏银理财将提前发布公告及时告知投资者。</w:t>
      </w:r>
    </w:p>
    <w:p>
      <w:pPr>
        <w:keepNext w:val="0"/>
        <w:keepLines w:val="0"/>
        <w:pageBreakBefore w:val="0"/>
        <w:bidi w:val="0"/>
        <w:spacing w:line="310" w:lineRule="exact"/>
        <w:ind w:firstLine="420"/>
        <w:outlineLvl w:val="1"/>
        <w:rPr>
          <w:rFonts w:ascii="楷体" w:eastAsia="楷体" w:hAnsi="楷体" w:cs="浠垮畫" w:hint="eastAsia"/>
          <w:b/>
          <w:sz w:val="21"/>
          <w:szCs w:val="21"/>
          <w:lang w:val="en-US" w:eastAsia="zh-CN"/>
        </w:rPr>
      </w:pPr>
      <w:r>
        <w:rPr>
          <w:rFonts w:ascii="楷体" w:eastAsia="楷体" w:hAnsi="楷体" w:cs="浠垮畫"/>
          <w:sz w:val="21"/>
          <w:szCs w:val="21"/>
        </w:rPr>
        <w:t xml:space="preserve">（二）代销机构联络方式详见</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理财产品说明书》及</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rPr>
          <w:rFonts w:ascii="楷体" w:eastAsia="楷体" w:hAnsi="楷体" w:cs="浠垮畫" w:hint="eastAsia"/>
          <w:b/>
          <w:sz w:val="21"/>
          <w:szCs w:val="21"/>
          <w:u w:val="single"/>
        </w:rPr>
      </w:pPr>
      <w:r>
        <w:rPr>
          <w:rFonts w:ascii="楷体" w:eastAsia="楷体" w:hAnsi="楷体" w:cs="浠垮畫" w:hint="eastAsia"/>
          <w:b/>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等销售文件后，划款时无需通过任何方式与本人/本机构进行最后确认，可以直接划款。</w:t>
      </w:r>
    </w:p>
    <w:p>
      <w:pPr>
        <w:keepNext w:val="0"/>
        <w:keepLines w:val="0"/>
        <w:pageBreakBefore w:val="0"/>
        <w:bidi w:val="0"/>
        <w:spacing w:line="310" w:lineRule="exact"/>
        <w:rPr>
          <w:rFonts w:ascii="楷体" w:eastAsia="楷体" w:hAnsi="楷体" w:hint="eastAsia"/>
          <w:sz w:val="21"/>
          <w:szCs w:val="21"/>
        </w:rPr>
      </w:pPr>
    </w:p>
    <w:p>
      <w:pPr>
        <w:keepNext w:val="0"/>
        <w:keepLines w:val="0"/>
        <w:pageBreakBefore w:val="0"/>
        <w:bidi w:val="0"/>
        <w:spacing w:line="310" w:lineRule="exact"/>
        <w:ind w:firstLine="420"/>
        <w:rPr>
          <w:rFonts w:ascii="楷体" w:eastAsia="楷体" w:hAnsi="楷体" w:hint="eastAsia"/>
          <w:sz w:val="21"/>
          <w:szCs w:val="21"/>
        </w:rPr>
      </w:pP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KaiTi">
    <w:panose1 w:val="02010609060101010101"/>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浠垮畫">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638"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923"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4"/>
              <wp:wrapNone/>
              <wp:docPr id="639"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924" type="#_x0000_t75" alt="C:\Users\sylc\Desktop\水印.jpg水印" style="height:862.85pt;margin-left:-328.5pt;margin-top:-83.05pt;mso-position-horizontal-relative:margin;mso-position-vertical-relative:margin;mso-wrap-distance-bottom:0;mso-wrap-distance-left:9pt;mso-wrap-distance-right:9pt;mso-wrap-distance-top:0;position:absolute;width:1137.75pt;z-index:-4043304959"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640"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925" type="#_x0000_t75" alt="说明: 说明: C:\Users\JSYH\Desktop\苏银理财.png" style="height:33.45pt;margin-left:395.8pt;margin-top:-9.8pt;mso-wrap-distance-bottom:0;mso-wrap-distance-left:9pt;mso-wrap-distance-right:9pt;mso-wrap-distance-top:0;position:absolute;width:104.35pt;z-index:251663360"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641"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926"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6"/>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4"/>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Footnote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Normal(Web)"/>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3"/>
    <w:uiPriority w:val="99"/>
    <w:rPr/>
  </w:style>
  <w:style w:type="character" w:styleId="FooterChar">
    <w:name w:val="Footer Char"/>
    <w:basedOn w:val="DefaultParagraphFont"/>
    <w:link w:val="GridTable2-Accent4"/>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FootnoteTextChar">
    <w:name w:val="Footnote Text Char"/>
    <w:basedOn w:val="DefaultParagraphFont"/>
    <w:link w:val="GridTable2-Accent1"/>
    <w:uiPriority w:val="99"/>
    <w:semiHidden/>
    <w:rPr>
      <w:sz w:val="20"/>
      <w:szCs w:val="20"/>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Accent1"/>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FootnoteText">
    <w:name w:val="Footnote Text"/>
    <w:basedOn w:val="Normal"/>
    <w:uiPriority w:val="99"/>
    <w:unhideWhenUsed/>
    <w:qFormat/>
    <w:pPr>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GridTable2-Accent1"/>
    <w:uiPriority w:val="99"/>
    <w:semiHidden/>
    <w:qFormat/>
    <w:rPr>
      <w:sz w:val="18"/>
      <w:szCs w:val="18"/>
    </w:rPr>
  </w:style>
  <w:style w:type="character" w:customStyle="1" w:styleId="正文文本字符">
    <w:name w:val="正文文本 字符"/>
    <w:link w:val="GridTable7Colorful-Accent3"/>
    <w:uiPriority w:val="1"/>
    <w:qFormat/>
    <w:rPr>
      <w:rFonts w:ascii="宋体" w:eastAsia="宋体" w:hAnsi="Times New Roman" w:cs="宋体"/>
      <w:szCs w:val="21"/>
    </w:rPr>
  </w:style>
  <w:style w:type="character" w:customStyle="1" w:styleId="脚注文本字符">
    <w:name w:val="脚注文本 字符"/>
    <w:uiPriority w:val="99"/>
    <w:semiHidden/>
    <w:qFormat/>
    <w:rPr>
      <w:sz w:val="18"/>
      <w:szCs w:val="18"/>
    </w:rPr>
  </w:style>
  <w:style w:type="character" w:customStyle="1" w:styleId="批注主题字符">
    <w:name w:val="批注主题 字符"/>
    <w:uiPriority w:val="99"/>
    <w:semiHidden/>
    <w:qFormat/>
    <w:rPr>
      <w:b/>
      <w:bCs/>
      <w:sz w:val="21"/>
      <w:szCs w:val="22"/>
    </w:rPr>
  </w:style>
  <w:style w:type="character" w:customStyle="1" w:styleId="批注框文本字符">
    <w:name w:val="批注框文本 字符"/>
    <w:link w:val="Quote"/>
    <w:uiPriority w:val="99"/>
    <w:semiHidden/>
    <w:qFormat/>
    <w:rPr>
      <w:sz w:val="18"/>
      <w:szCs w:val="18"/>
    </w:rPr>
  </w:style>
  <w:style w:type="character" w:customStyle="1" w:styleId="页眉字符">
    <w:name w:val="页眉 字符"/>
    <w:link w:val="GridTable2-Accent3"/>
    <w:uiPriority w:val="99"/>
    <w:qFormat/>
    <w:rPr>
      <w:sz w:val="18"/>
      <w:szCs w:val="18"/>
    </w:rPr>
  </w:style>
  <w:style w:type="character" w:customStyle="1" w:styleId="页脚字符">
    <w:name w:val="页脚 字符"/>
    <w:link w:val="GridTable2-Accent4"/>
    <w:uiPriority w:val="99"/>
    <w:qFormat/>
    <w:rPr>
      <w:sz w:val="18"/>
      <w:szCs w:val="18"/>
    </w:rPr>
  </w:style>
  <w:style w:type="character" w:customStyle="1" w:styleId="日期字符">
    <w:name w:val="日期 字符"/>
    <w:basedOn w:val="DefaultParagraphFont"/>
    <w:link w:val="ListTable1Light-Accent6"/>
    <w:uiPriority w:val="99"/>
    <w:semiHidden/>
    <w:qFormat/>
    <w:rPr/>
  </w:style>
  <w:style w:type="character" w:customStyle="1" w:styleId="批注文字字符">
    <w:name w:val="批注文字 字符"/>
    <w:uiPriority w:val="99"/>
    <w:qFormat/>
    <w:rPr>
      <w:sz w:val="21"/>
      <w:szCs w:val="22"/>
    </w:rPr>
  </w:style>
  <w:style w:type="character" w:customStyle="1" w:styleId="标题3字符">
    <w:name w:val="标题 3 字符"/>
    <w:link w:val="Heading3"/>
    <w:uiPriority w:val="1"/>
    <w:qFormat/>
    <w:rPr>
      <w:rFonts w:ascii="宋体" w:eastAsia="宋体" w:hAnsi="Times New Roman" w:cs="宋体"/>
      <w:b/>
      <w:bCs/>
      <w:szCs w:val="21"/>
    </w:rPr>
  </w:style>
  <w:style w:type="character" w:customStyle="1" w:styleId="标题1字符">
    <w:name w:val="标题 1 字符"/>
    <w:link w:val="Heading1"/>
    <w:uiPriority w:val="1"/>
    <w:qFormat/>
    <w:rPr>
      <w:rFonts w:ascii="黑体" w:eastAsia="黑体" w:hAnsi="Times New Roman" w:cs="黑体"/>
      <w:b/>
      <w:bCs/>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_Style35">
    <w:name w:val="_Style 35"/>
    <w:uiPriority w:val="99"/>
    <w:semiHidden/>
    <w:qFormat/>
    <w:rPr>
      <w:rFonts w:ascii="Times New Roman" w:eastAsia="宋体" w:hAnsi="Times New Roman" w:cs="Times New Roman"/>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image" Target="media/image1.emf" /><Relationship Id="rId6" Type="http://schemas.openxmlformats.org/officeDocument/2006/relationships/oleObject" Target="embeddings/oleObject1.bin"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匿名用户</cp:lastModifiedBy>
  <dcterms:modified xsi:type="dcterms:W3CDTF">2026-09-08T06:56:03Z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2020-12-23T08:08:00Z</dcterms:created>
  <dcterms:modified xsi:type="dcterms:W3CDTF">2026-09-09T06:32:33Z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2C91D1EC7F8F4BB5A4CB305790FBFF45</vt:lpstr>
  </property>
</Properties>
</file>