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
        <w:keepNext w:val="0"/>
        <w:keepLines w:val="0"/>
        <w:pageBreakBefore w:val="0"/>
        <w:widowControl/>
        <w:bidi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苏银理财恒源1年定开20期</w:t>
      </w:r>
      <w:r>
        <w:rPr>
          <w:rFonts w:hint="eastAsia" w:ascii="楷体" w:hAnsi="楷体" w:eastAsia="楷体"/>
          <w:b/>
          <w:color w:val="auto"/>
          <w:sz w:val="28"/>
          <w:szCs w:val="28"/>
          <w:highlight w:val="none"/>
        </w:rPr>
        <w:t>”理财产品风险揭示书</w:t>
      </w:r>
    </w:p>
    <w:p>
      <w:pPr>
        <w:keepNext w:val="0"/>
        <w:keepLines w:val="0"/>
        <w:pageBreakBefore w:val="0"/>
        <w:widowControl w:val="0"/>
        <w:bidi w:val="0"/>
        <w:spacing w:after="0" w:line="240" w:lineRule="auto"/>
        <w:jc w:val="center"/>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23"/>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u w:val="single"/>
        </w:rPr>
        <w:t>在理财产品开放日净赎回额（赎回申请份额总数扣除申购申请份额总数）超过理财产品存续份额10%时，即为发生巨额赎回，此时苏银理财有权拒绝赎回申请，这可能影响投资者的资金安排，带来流动性风险。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b/>
          <w:bCs/>
          <w:color w:val="auto"/>
          <w:sz w:val="21"/>
          <w:szCs w:val="21"/>
          <w:highlight w:val="none"/>
          <w:u w:val="single"/>
          <w:lang w:val="en-US" w:eastAsia="zh-CN"/>
        </w:rPr>
        <w:t>管理人在此特别披露：销售机构江苏苏州农村商业银行股份有限公司、江苏仪征农村商业银行股份有限公司、江苏银行股份有限公司、苏银理财有限责任公司、苏州银行股份有限公司，托管机构江苏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1.非标准化债权的特殊风险：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2.股票投资的特殊风险：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4.结构性存款的特殊风险：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5.债券投资的特殊风险：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cs="楷体"/>
          <w:color w:val="auto"/>
          <w:sz w:val="21"/>
          <w:szCs w:val="21"/>
          <w:highlight w:val="none"/>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固定收益类、公募、开放式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3653天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中低风险型投资者</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val="0"/>
          <w:bCs w:val="0"/>
          <w:color w:val="auto"/>
          <w:sz w:val="21"/>
          <w:szCs w:val="21"/>
          <w:highlight w:val="none"/>
          <w:u w:val="none"/>
        </w:rPr>
        <w:t>【</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b w:val="0"/>
          <w:bCs w:val="0"/>
          <w:color w:val="auto"/>
          <w:sz w:val="21"/>
          <w:szCs w:val="21"/>
          <w:highlight w:val="none"/>
          <w:u w:val="none"/>
        </w:rPr>
        <w:t>】</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23"/>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23"/>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shd w:val="clear" w:color="auto" w:fill="auto"/>
        <w:bidi w:val="0"/>
        <w:rPr>
          <w:rFonts w:hint="eastAsia" w:ascii="楷体" w:hAnsi="楷体" w:eastAsia="楷体"/>
          <w:b/>
          <w:bCs/>
          <w:color w:val="auto"/>
          <w:sz w:val="28"/>
          <w:szCs w:val="28"/>
          <w:highlight w:val="none"/>
        </w:rPr>
      </w:pPr>
      <w:r>
        <w:br w:type="page"/>
      </w:r>
    </w:p>
    <w:p>
      <w:pPr>
        <w:pStyle w:val="23"/>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bCs/>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w:t>
      </w:r>
      <w:r>
        <w:rPr>
          <w:rFonts w:hint="eastAsia" w:ascii="楷体" w:hAnsi="楷体" w:eastAsia="楷体"/>
          <w:b/>
          <w:color w:val="auto"/>
          <w:sz w:val="21"/>
          <w:szCs w:val="21"/>
          <w:highlight w:val="none"/>
          <w:u w:val="single"/>
        </w:rPr>
        <w:t>本人/本机构已经阅读风险揭示，愿意承担投资风险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23"/>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rPr>
          <w:rFonts w:hint="eastAsia" w:ascii="楷体" w:hAnsi="楷体" w:eastAsia="楷体" w:cs="楷体"/>
          <w:b/>
          <w:color w:val="auto"/>
          <w:sz w:val="28"/>
          <w:szCs w:val="28"/>
          <w:highlight w:val="none"/>
        </w:rPr>
      </w:pPr>
      <w:bookmarkStart w:id="0" w:name="_Hlk168577216"/>
      <w:r>
        <w:rPr>
          <w:rFonts w:hint="eastAsia" w:ascii="楷体" w:hAnsi="楷体" w:eastAsia="楷体" w:cs="楷体"/>
          <w:b/>
          <w:color w:val="auto"/>
          <w:sz w:val="28"/>
          <w:szCs w:val="28"/>
          <w:highlight w:val="none"/>
        </w:rPr>
        <w:br w:type="page"/>
      </w:r>
    </w:p>
    <w:p>
      <w:pPr>
        <w:keepNext w:val="0"/>
        <w:keepLines w:val="0"/>
        <w:pageBreakBefore w:val="0"/>
        <w:bidi w:val="0"/>
        <w:spacing w:line="310" w:lineRule="exact"/>
        <w:jc w:val="center"/>
        <w:outlineLvl w:val="0"/>
        <w:rPr>
          <w:rFonts w:hint="eastAsia" w:ascii="楷体" w:hAnsi="楷体" w:eastAsia="楷体" w:cs="楷体"/>
          <w:b/>
          <w:color w:val="auto"/>
          <w:sz w:val="28"/>
          <w:szCs w:val="28"/>
          <w:highlight w:val="none"/>
          <w:lang w:eastAsia="zh-CN"/>
        </w:rPr>
      </w:pPr>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苏银理财恒源1年定开20期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3"/>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310" w:lineRule="exact"/>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310" w:lineRule="exact"/>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产品登记编码：Z7003121000117</w:t>
      </w:r>
    </w:p>
    <w:p>
      <w:pPr>
        <w:pStyle w:val="26"/>
        <w:keepNext w:val="0"/>
        <w:keepLines w:val="0"/>
        <w:pageBreakBefore w:val="0"/>
        <w:bidi w:val="0"/>
        <w:spacing w:line="310" w:lineRule="exact"/>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310" w:lineRule="exact"/>
        <w:rPr>
          <w:rFonts w:hint="eastAsia" w:ascii="楷体" w:hAnsi="楷体" w:eastAsia="楷体" w:cs="楷体"/>
          <w:b/>
          <w:color w:val="auto"/>
          <w:sz w:val="21"/>
          <w:szCs w:val="21"/>
          <w:highlight w:val="none"/>
        </w:rPr>
      </w:pPr>
    </w:p>
    <w:p>
      <w:pPr>
        <w:keepNext w:val="0"/>
        <w:keepLines w:val="0"/>
        <w:pageBreakBefore w:val="0"/>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sz w:val="21"/>
          <w:szCs w:val="21"/>
          <w:highlight w:val="none"/>
        </w:rPr>
      </w:pPr>
      <w:r>
        <w:rPr>
          <w:rFonts w:hint="eastAsia" w:ascii="楷体" w:hAnsi="楷体" w:eastAsia="楷体"/>
          <w:sz w:val="21"/>
          <w:szCs w:val="21"/>
          <w:highlight w:val="none"/>
        </w:rPr>
        <w:t>①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b/>
          <w:sz w:val="21"/>
          <w:szCs w:val="21"/>
          <w:highlight w:val="none"/>
          <w:u w:val="single"/>
        </w:rPr>
      </w:pPr>
      <w:r>
        <w:rPr>
          <w:rFonts w:hint="eastAsia" w:ascii="楷体" w:hAnsi="楷体" w:eastAsia="楷体"/>
          <w:b/>
          <w:sz w:val="21"/>
          <w:szCs w:val="21"/>
          <w:highlight w:val="none"/>
          <w:u w:val="none"/>
        </w:rPr>
        <w:t>②</w:t>
      </w: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b/>
          <w:sz w:val="21"/>
          <w:szCs w:val="21"/>
          <w:highlight w:val="none"/>
          <w:u w:val="single"/>
        </w:rPr>
      </w:pPr>
      <w:r>
        <w:rPr>
          <w:rFonts w:hint="eastAsia" w:ascii="楷体" w:hAnsi="楷体" w:eastAsia="楷体"/>
          <w:b/>
          <w:sz w:val="21"/>
          <w:szCs w:val="21"/>
          <w:highlight w:val="none"/>
          <w:u w:val="none"/>
        </w:rPr>
        <w:t>③</w:t>
      </w: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④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sz w:val="21"/>
          <w:szCs w:val="21"/>
          <w:highlight w:val="none"/>
        </w:rPr>
      </w:pPr>
      <w:r>
        <w:rPr>
          <w:rFonts w:hint="eastAsia" w:ascii="楷体" w:hAnsi="楷体" w:eastAsia="楷体"/>
          <w:sz w:val="21"/>
          <w:szCs w:val="21"/>
          <w:highlight w:val="none"/>
        </w:rPr>
        <w:t>⑤《风险揭示书》、《理财产品说明书》、《理财产品投资协议书》、《投资者权益须知》、《理财产品（代理）销售协议书》共同构成本理财产品完整的不可分割的理财产品合同。</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sz w:val="21"/>
          <w:szCs w:val="21"/>
          <w:highlight w:val="none"/>
        </w:rPr>
      </w:pPr>
      <w:r>
        <w:rPr>
          <w:rFonts w:hint="eastAsia" w:ascii="楷体" w:hAnsi="楷体" w:eastAsia="楷体"/>
          <w:sz w:val="21"/>
          <w:szCs w:val="21"/>
          <w:highlight w:val="none"/>
        </w:rPr>
        <w:t>⑥本理财产品涉及的主要风险包括政策风险、信用风险、市场风险、流动性风险、管理风险、操作风险、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苏银理财恒源1年定开20期”理财产品风险揭示书》的“风险揭示”部分。</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⑦本产品可设置多类份额，各类份额可能设置不同的销售对象、销售起点、业绩比较基准等，各类份额实际收取的销售服务费率、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cs="楷体"/>
          <w:sz w:val="21"/>
          <w:szCs w:val="21"/>
          <w:highlight w:val="none"/>
        </w:rPr>
      </w:pPr>
      <w:r>
        <w:rPr>
          <w:rFonts w:hint="eastAsia" w:ascii="楷体" w:hAnsi="楷体" w:eastAsia="楷体"/>
          <w:b/>
          <w:sz w:val="21"/>
          <w:szCs w:val="21"/>
          <w:highlight w:val="none"/>
          <w:u w:val="single"/>
        </w:rPr>
        <w:t>⑧投资者不得使用贷款、发行债券等筹集的非自有资金投资本理财产品。</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⑨在本产品存续期内，如因监管政策或法律法规发生变化，在不损害投资者利益的前提下，苏银理财有权单方对本产品条款进行修订，并按本理财产品说明书约定的信息披露方式予以披露。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0"/>
        </w:numPr>
        <w:suppressLineNumbers w:val="0"/>
        <w:tabs>
          <w:tab w:val="left" w:pos="1134"/>
        </w:tabs>
        <w:bidi w:val="0"/>
        <w:spacing w:line="310" w:lineRule="exact"/>
        <w:ind w:firstLine="420"/>
        <w:contextualSpacing w:val="0"/>
        <w:jc w:val="both"/>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一、关键</w:t>
      </w:r>
      <w:r>
        <w:rPr>
          <w:rFonts w:hint="eastAsia" w:ascii="楷体" w:hAnsi="楷体" w:eastAsia="楷体" w:cs="楷体"/>
          <w:b/>
          <w:color w:val="auto"/>
          <w:sz w:val="21"/>
          <w:szCs w:val="21"/>
          <w:highlight w:val="none"/>
        </w:rPr>
        <w:t>要素</w:t>
      </w:r>
    </w:p>
    <w:tbl>
      <w:tblPr>
        <w:tblStyle w:val="27"/>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Z7003121000117</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苏银理财恒源1年定开20期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A份额：J00371（销售名称：苏银理财恒源1年定开20期A）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B份额：J00372（销售名称：苏银理财恒源1年定开20期B）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D份额：J02572（销售名称：苏银理财恒源1年定开20期D）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F份额：J02573（销售名称：苏银理财恒源1年定开20期F）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G份额：J02574（销售名称：苏银理财恒源1年定开20期G）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J份额：J02575（销售名称：苏银理财恒源1年定开20期J）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ZA份额：J02576（销售名称：苏银理财恒源1年定开20期ZA鑫福款（自动赎回））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ZF份额：J02577（销售名称：苏银理财恒源1年定开20期ZF（自动赎回））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C份额：J06920（销售名称：苏银理财恒源1年定开20期C）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P份额：J06921（销售名称：苏银理财恒源1年定开20期P）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Q份额：J06922（销售名称：苏银理财恒源1年定开20期Q）</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S份额：J06923（销售名称：苏银理财恒源1年定开20期S）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ZN份额：J06924（销售名称：苏银理财恒源1年定开20期ZN（自动赎回））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ZQ份额：J06925（销售名称：苏银理财恒源1年定开20期ZQ（自动赎回））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J2份额：J29414（销售名称：苏银理财恒源1年定开20期J2）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GS份额：J29415（销售名称：苏银理财恒源1年定开20期GS）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S1份额：J29416（销售名称：苏银理财恒源1年定开20期S1（专享））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U份额：J29417（销售名称：苏银理财恒源1年定开20期U）</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L份额：J29418（销售名称：苏银理财恒源1年定开20期L）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Z份额：J29419（销售名称：苏银理财恒源1年定开20期Z）</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Z1份额：J29420（销售名称：苏银理财恒源1年定开20期Z1）</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Z2份额：J29421（销售名称：苏银理财恒源1年定开20期Z2）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Z3份额：J29422（销售名称：苏银理财恒源1年定开20期Z3）</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ZF2份额：J29423（销售名称：苏银理财恒源1年定开20期ZF2（自动赎回））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ZF3份额：J29424（销售名称：苏银理财恒源1年定开20期ZF3（自动赎回））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ZF4份额：J29425（销售名称：苏银理财恒源1年定开20期ZF4（自动赎回））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ZJ份额：J29426（销售名称：苏银理财恒源1年定开20期ZJ（自动赎回））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天府·优选份额：J29428（销售名称：苏银理财恒源1年定开20期（天府·优选））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芙蓉锦程·优选份额：J29429（销售名称：苏银理财恒源1年定开20期芙蓉锦程·优选（自动赎回））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芙蓉锦程·优选-尊享款份额：J29430（销售名称：苏银理财恒源1年定开20期芙蓉锦程·优选-尊享款（自动赎回））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ZC份额：J29431（销售名称：苏银理财恒源1年定开20期ZC鑫福优享（自动赎回））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ZK份额：J29432（销售名称：苏银理财恒源1年定开20期ZK鑫福尊享（自动赎回））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（2）成都农村商业银行股份有限公司：天府·优选份额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（3）甘肃银行股份有限公司：F份额、P份额、GS份额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（4）广西北部湾银行股份有限公司：ZN份额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（5）广州农村商业银行股份有限公司：F份额、G份额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（7）汉口银行股份有限公司：ZF份额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（8）杭州联合农村商业银行股份有限公司：F份额、G份额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（9）河北银行股份有限公司：ZF份额、ZN份额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（10）湖州吴兴农村商业银行股份有限公司：ZJ份额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（11）华侨银行有限公司：F份额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（12）徽商银行股份有限公司：G份额、P份额、U份额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（13）嘉兴银行股份有限公司：ZF份额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（14）江门农村商业银行股份有限公司：ZF3份额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（15）江苏滨海农村商业银行股份有限公司：ZC份额、ZK份额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（16）江苏常熟农村商业银行股份有限公司：B份额、ZA份额、ZC份额、ZK份额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（17）江苏大丰农村商业银行股份有限公司：ZA份额、ZC份额、ZK份额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（18）江苏丹阳农村商业银行股份有限公司：A份额、B份额、ZA份额、ZC份额、ZK份额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（19）江苏东海农村商业银行股份有限公司：ZA份额、ZC份额、ZK份额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（20）江苏东台农村商业银行股份有限公司：A份额、B份额、ZA份额、ZC份额、ZK份额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（21）江苏丰县农村商业银行股份有限公司：ZA份额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（22）江苏阜宁农村商业银行股份有限公司：A份额、B份额、ZA份额、ZC份额、ZK份额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（23）江苏高淳农村商业银行股份有限公司：A份额、B份额、ZA份额、ZC份额、ZK份额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（24）江苏高邮农村商业银行股份有限公司：A份额、B份额、ZA份额、ZC份额、ZK份额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（25）江苏灌南农村商业银行股份有限公司：ZA份额、ZC份额、ZK份额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（26）江苏灌云农村商业银行股份有限公司：ZA份额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（27）江苏海安农村商业银行股份有限公司：A份额、B份额、ZA份额、ZC份额、ZK份额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（28）江苏海门农村商业银行股份有限公司：ZA份额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（29）江苏洪泽农村商业银行股份有限公司：A份额、B份额、ZA份额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（30）江苏淮安农村商业银行股份有限公司：A份额、B份额、ZA份额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（31）江苏建湖农村商业银行股份有限公司：ZA份额、ZC份额、ZK份额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（32）江苏姜堰农村商业银行股份有限公司：ZA份额、ZC份额、ZK份额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（33）江苏江都农村商业银行股份有限公司：ZA份额、ZC份额、ZK份额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（34）江苏江阴农村商业银行股份有限公司：A份额、D份额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（35）江苏金湖农村商业银行股份有限公司：ZA份额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（36）江苏靖江农村商业银行股份有限公司：A份额、B份额、ZA份额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（37）江苏句容农村商业银行股份有限公司：A份额、B份额、ZA份额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（38）江苏涟水农村商业银行股份有限公司：A份额、B份额、ZA份额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（39）江苏民丰农村商业银行股份有限公司：ZA份额、ZC份额、ZK份额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（40）江苏南通农村商业银行股份有限公司：A份额、B份额、D份额、ZA份额、ZK份额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（41）江苏沛县农村商业银行股份有限公司：ZC份额、ZK份额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（42）江苏启东农村商业银行股份有限公司：ZA份额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（43）江苏如东农村商业银行股份有限公司：A份额、B份额、ZA份额、ZC份额、ZK份额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（44）江苏如皋农村商业银行股份有限公司：A份额、B份额、J份额、ZA份额、ZC份额、ZK份额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（45）江苏苏州农村商业银行股份有限公司：B份额、ZA份额、ZQ份额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（46）江苏泰兴农村商业银行股份有限公司：A份额、B份额、ZA份额、ZC份额、ZK份额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（47）江苏响水农村商业银行股份有限公司：ZA份额、ZC份额、ZK份额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（48）江苏新沂农村商业银行股份有限公司：A份额、B份额、ZA份额、ZC份额、ZK份额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（49）江苏兴化农村商业银行股份有限公司：ZC份额、ZK份额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（50）江苏盐城农村商业银行股份有限公司：ZA份额、ZC份额、ZK份额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（51）江苏扬中农村商业银行股份有限公司：A份额、B份额、ZA份额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（52）江苏扬州农村商业银行股份有限公司：A份额、B份额、ZA份额、ZC份额、ZK份额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（53）江苏仪征农村商业银行股份有限公司：A份额、B份额、ZA份额、ZC份额、ZK份额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（54）江苏宜兴农村商业银行股份有限公司：A份额、B份额、ZA份额、ZC份额、ZK份额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（55）江苏银行股份有限公司：A份额、B份额、D份额、J份额、C份额、J2份额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（56）江苏张家港农村商业银行股份有限公司：ZF份额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（57）江苏镇江农村商业银行股份有限公司：ZA份额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（58）江苏紫金农村商业银行股份有限公司：A份额、B份额、ZA份额、C份额、ZC份额、ZK份额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（59）江苏邳州农村商业银行股份有限公司：A份额、B份额、ZA份额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（60）江苏沭阳农村商业银行股份有限公司：A份额、B份额、ZA份额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（61）江苏泗洪农村商业银行股份有限公司：ZA份额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（62）江苏泗阳农村商业银行股份有限公司：ZA份额、ZC份额、ZK份额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（63）江苏溧水农村商业银行股份有限公司：A份额、B份额、ZA份额、ZC份额、ZK份额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（64）江苏盱眙农村商业银行股份有限公司：A份额、B份额、ZA份额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（65）江苏睢宁农村商业银行股份有限公司：ZA份额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（66）交通银行股份有限公司：F份额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（67）晋商银行股份有限公司：S1份额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（68）九江银行股份有限公司：A份额、F份额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（69）莱商银行股份有限公司：ZF份额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（70）连云港东方农村商业银行股份有限公司：ZA份额、ZC份额、ZK份额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（71）宁波慈溪农村商业银行股份有限公司：F份额、ZF份额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（72）宁波东海银行股份有限公司：A份额、B份额、ZA份额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（73）宁波通商银行股份有限公司：F份额、G份额、ZN份额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（74）宁波余姚农村商业银行股份有限公司：F份额、ZF份额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（75）宁波镇海农村商业银行股份有限公司：F份额、ZF份额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（76）宁波甬城农村商业银行股份有限公司：ZF份额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（77）齐鲁银行股份有限公司：A份额、B份额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（78）秦皇岛银行股份有限公司：GS份额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（79）日照银行股份有限公司：GS份额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（80）山西银行股份有限公司：F份额、G份额、S1份额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（81）上海农村商业银行股份有限公司：A份额、Z份额、Z1份额、Z2份额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（82）上海浦东发展银行股份有限公司：F份额、G份额、Q份额、S份额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（83）上海银行股份有限公司：A份额、D份额、J份额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（84）深圳农村商业银行股份有限公司：F份额、G份额、L份额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（85）石嘴山银行股份有限公司：ZF2份额、ZF3份额、ZF4份额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（86）苏银理财有限责任公司：A份额、B份额、C份额、ZJ份额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（87）苏州银行股份有限公司：F份额、ZF份额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（88）台州银行股份有限公司：F份额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（89）泰安银行股份有限公司：F份额、P份额、ZJ份额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（90）天津滨海农村商业银行股份有限公司：F份额、GS份额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（91）威海银行股份有限公司：A份额、B份额、J份额、ZA份额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（92）潍坊银行股份有限公司：F份额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（93）厦门银行股份有限公司：ZF份额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（94）兴业银行股份有限公司：A份额、B份额、F份额、G份额、ZF份额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（95）徐州农村商业银行股份有限公司：A份额、B份额、ZA份额、ZC份额、ZK份额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（96）浙江安吉农村商业银行股份有限公司：ZJ份额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（97）浙江苍南农村商业银行股份有限公司：ZJ份额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（98）浙江长兴农村商业银行股份有限公司：F份额、ZJ份额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（99）浙江淳安农村商业银行股份有限公司：F份额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（100）浙江德清农村商业银行股份有限公司：F份额、G份额、ZF份额、ZF3份额、ZJ份额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（101）浙江东阳农村商业银行股份有限公司：ZF份额、ZF3份额、ZJ份额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（102）浙江海宁农村商业银行股份有限公司：F份额、G份额、ZJ份额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（103）浙江海盐农村商业银行股份有限公司：ZJ份额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（104）浙江杭州余杭农村商业银行股份有限公司：F份额、G份额、ZF份额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（105）浙江禾城农村商业银行股份有限公司：ZJ份额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（106）浙江嘉善农村商业银行股份有限公司：F份额、G份额、ZF份额、ZF3份额、ZJ份额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（107）浙江江山农村商业银行股份有限公司：F份额、ZF份额、ZJ份额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（108）浙江金华成泰农村商业银行股份有限公司：ZJ份额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（109）浙江开化农村商业银行股份有限公司：F份额、ZF份额、ZF3份额、ZJ份额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（110）浙江兰溪农村商业银行股份有限公司：ZF份额、ZF3份额、ZJ份额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（111）浙江乐清农村商业银行股份有限公司：F份额、ZJ份额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（112）浙江临安农村商业银行股份有限公司：ZF份额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（113）浙江临海农村商业银行股份有限公司：F份额、ZF份额、ZF3份额、ZJ份额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（114）浙江龙泉农村商业银行股份有限公司：ZF份额、ZF3份额、ZJ份额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（115）浙江龙游农村商业银行股份有限公司：ZJ份额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（116）浙江民泰商业银行股份有限公司：ZF份额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（117）浙江南浔农村商业银行股份有限公司：ZF份额、ZF3份额、ZJ份额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（118）浙江平湖农村商业银行股份有限公司：ZJ份额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（119）浙江浦江农村商业银行股份有限公司：ZF份额、ZF3份额、ZJ份额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（120）浙江青田农村商业银行股份有限公司：F份额、ZF份额、ZF3份额、ZJ份额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（121）浙江瑞安农村商业银行股份有限公司：ZJ份额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（122）浙江上虞农村商业银行股份有限公司：F份额、ZF份额、ZF3份额、ZJ份额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（123）浙江绍兴恒信农村商业银行股份有限公司：ZF3份额、ZJ份额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（124）浙江绍兴瑞丰农村商业银行股份有限公司：F份额、G份额、ZJ份额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（125）浙江松阳农村商业银行股份有限公司：ZF3份额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（126）浙江遂昌农村商业银行股份有限公司：ZJ份额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（127）浙江台州黄岩农村商业银行股份有限公司：ZJ份额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（128）浙江台州路桥农村商业银行股份有限公司：ZJ份额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（129）浙江泰顺农村商业银行股份有限公司：F份额、ZF份额、ZF3份额、ZJ份额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（130）浙江天台农村商业银行股份有限公司：ZJ份额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（131）浙江桐庐农村商业银行股份有限公司：F份额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（132）浙江桐乡农村商业银行股份有限公司：ZJ份额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（133）浙江温岭农村商业银行股份有限公司：ZF份额、ZF3份额、ZJ份额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（134）浙江温州龙湾农村商业银行股份有限公司：F份额、ZF份额、ZJ份额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（135）浙江温州鹿城农村商业银行股份有限公司：ZJ份额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（136）浙江温州瓯海农村商业银行股份有限公司：F份额、G份额、ZF份额、ZF3份额、ZJ份额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（137）浙江文成农村商业银行股份有限公司：ZJ份额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（138）浙江武义农村商业银行股份有限公司：F份额、ZF份额、ZF3份额、ZJ份额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（139）浙江仙居农村商业银行股份有限公司：ZJ份额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（140）浙江萧山农村商业银行股份有限公司：F份额、G份额、ZF份额、ZN份额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（141）浙江新昌农村商业银行股份有限公司：ZF份额、ZF3份额、ZJ份额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（142）浙江义乌农村商业银行股份有限公司：F份额、ZF份额、ZJ份额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（143）浙江永嘉农村商业银行股份有限公司：F份额、ZJ份额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（144）浙江永康农村商业银行股份有限公司：F份额、ZF份额、ZF3份额、ZJ份额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（145）浙江舟山定海海洋农村商业银行股份有限公司：F份额、ZJ份额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（146）浙江舟山普陀农村商业银行股份有限公司：ZJ份额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（147）浙江诸暨农村商业银行股份有限公司：ZJ份额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（148）浙江岱山农村商业银行股份有限公司：F份额、ZF份额、ZF3份额、ZJ份额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（149）浙江嵊州农村商业银行股份有限公司：ZF份额、ZF3份额、ZJ份额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（150）浙江衢州柯城农村商业银行股份有限公司：ZF份额、ZF3份额、ZJ份额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（151）浙江衢州衢江农村商业银行股份有限公司：G份额、ZF份额、ZF3份额、ZJ份额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（152）浙江缙云农村商业银行股份有限公司：ZJ份额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（153）浙商银行股份有限公司：G份额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（154）郑州银行股份有限公司：P份额、Z3份额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（155）中山农村商业银行股份有限公司：ZF3份额</w:t>
            </w:r>
          </w:p>
          <w:p>
            <w:pPr>
              <w:keepNext w:val="0"/>
              <w:keepLines w:val="0"/>
              <w:pageBreakBefore w:val="0"/>
              <w:widowControl/>
              <w:bidi w:val="0"/>
              <w:spacing w:line="240" w:lineRule="auto"/>
              <w:jc w:val="both"/>
              <w:rPr>
                <w:rFonts w:hint="eastAsia" w:ascii="楷体" w:hAnsi="楷体" w:eastAsia="楷体" w:cs="楷体"/>
                <w:color w:val="000000"/>
                <w:sz w:val="20"/>
                <w:szCs w:val="20"/>
                <w:highlight w:val="none"/>
                <w:lang w:val="en-US" w:eastAsia="zh-CN"/>
              </w:rPr>
            </w:pPr>
            <w:r>
              <w:rPr>
                <w:rFonts w:hint="eastAsia" w:ascii="楷体" w:hAnsi="楷体" w:eastAsia="楷体" w:cs="楷体"/>
                <w:color w:val="000000"/>
                <w:sz w:val="20"/>
                <w:szCs w:val="20"/>
                <w:highlight w:val="none"/>
                <w:lang w:val="en-US" w:eastAsia="zh-CN"/>
              </w:rPr>
              <w:t>（156）成都银行股份有限公司：芙蓉锦程·优选份额、芙蓉锦程·优选-尊享款份额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（157）兰州银行股份有限公司：GS份额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江苏银行股份有限公司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D份额：个人、机构；销售机构江苏银行个人投资者仅限财富客户购买，江苏银行财富客户指在江苏银行日均资产大于等于200万元的个人客户；机构投资者具体以销售机构设置为准；</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个人、机构；销售机构江苏银行个人投资者仅限代发工资客户；新资金客户及新客户，新资金的达标条件为“客户前一日资产时点余额”较“前一月末资产月日均余额”的新增额大于5万元，新客户是指首次购买理财产品的客户；50周岁及以上客户；机构投资者具体以销售机构设置为准；</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ZN份额：个人、机构；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J2份额：个人、机构；销售机构江苏银行仅限白名单客户；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U份额：个人、机构；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Z2份额：个人、机构；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Z3份额：个人、机构；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ZF2份额：个人、机构；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ZF3份额：个人、机构；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ZF4份额：个人、机构；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天府·优选份额：个人、机构；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芙蓉锦程·优选-尊享款份额：个人、机构；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ZC份额：个人、机构；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ZK份额：个人、机构。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D份额：个人500,000元，机构30,000,000元；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J份额：500,000元；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Z2份额：500,000元；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ZK份额：个人500,000元，机构30,000,000元。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D份额：个人10,000元，机构10,000元；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ZK份额：个人10,000元，机构10,000元。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50亿元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numPr>
                <w:ilvl w:val="0"/>
                <w:numId w:val="1"/>
              </w:numPr>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开放计划</w:t>
            </w:r>
          </w:p>
          <w:p>
            <w:pPr>
              <w:pBdr>
                <w:top w:val="none" w:color="000000" w:sz="0" w:space="0"/>
                <w:left w:val="none" w:color="000000" w:sz="0" w:space="0"/>
                <w:bottom w:val="none" w:color="000000" w:sz="0" w:space="0"/>
                <w:right w:val="none" w:color="000000" w:sz="0" w:space="0"/>
              </w:pBdr>
              <w:ind w:left="0" w:right="0" w:firstLine="0"/>
              <w:jc w:val="both"/>
            </w:pPr>
            <w:r>
              <w:rPr>
                <w:rFonts w:ascii="楷体" w:hAnsi="楷体" w:eastAsia="楷体" w:cs="楷体"/>
                <w:color w:val="000000"/>
                <w:sz w:val="20"/>
              </w:rPr>
              <w:t>本产品按投资周期开放申购与赎回，最新投资周期（2026年09月30日-2027年10月25日）开放申购与赎回时间为：</w:t>
            </w:r>
            <w:r>
              <w:rPr>
                <w:rFonts w:ascii="楷体" w:hAnsi="楷体" w:eastAsia="楷体" w:cs="楷体"/>
                <w:b w:val="0"/>
                <w:bCs w:val="0"/>
                <w:color w:val="000000"/>
                <w:sz w:val="20"/>
              </w:rPr>
              <w:t>2026年09月20日至2026年09月29日</w:t>
            </w:r>
            <w:r>
              <w:rPr>
                <w:rFonts w:ascii="楷体" w:hAnsi="楷体" w:eastAsia="楷体" w:cs="楷体"/>
                <w:color w:val="000000"/>
                <w:sz w:val="20"/>
              </w:rPr>
              <w:t>（以各销售机构设置的时间为准）。投资者可在此期间提交申购/赎回申请，投资者未赎回的部分自动进入下一个投资周期。</w:t>
            </w:r>
            <w:r>
              <w:rPr>
                <w:rFonts w:ascii="楷体" w:hAnsi="楷体" w:eastAsia="楷体" w:cs="楷体"/>
                <w:b/>
                <w:bCs/>
                <w:color w:val="000000"/>
                <w:sz w:val="20"/>
              </w:rPr>
              <w:t>(其中ZA份额/ZF份额/ZN份额/ZQ份额/ZF2份额/ZF3份额/ZF4份额/ZJ份额/天府·优选份额/芙蓉锦程·优选份额/芙蓉锦程·优选-尊享款份额/ZC份额/ZK份额由系统主动发起赎回申请，投资者无须发起赎回申请。)</w:t>
            </w:r>
            <w:r>
              <w:rPr>
                <w:rFonts w:ascii="楷体" w:hAnsi="楷体" w:eastAsia="楷体" w:cs="楷体"/>
                <w:b/>
                <w:bCs/>
                <w:color w:val="000000"/>
                <w:sz w:val="20"/>
                <w:u w:val="single"/>
              </w:rPr>
              <w:t>除开放计划外的其他时间，管理人不接受投资者申购、赎回申请</w:t>
            </w:r>
            <w:r>
              <w:rPr>
                <w:rFonts w:ascii="楷体" w:hAnsi="楷体" w:eastAsia="楷体" w:cs="楷体"/>
                <w:b/>
                <w:bCs/>
                <w:color w:val="000000"/>
                <w:sz w:val="20"/>
              </w:rPr>
              <w:t>。</w:t>
            </w:r>
            <w:r>
              <w:rPr>
                <w:rFonts w:ascii="楷体" w:hAnsi="楷体" w:eastAsia="楷体" w:cs="楷体"/>
                <w:color w:val="000000"/>
                <w:sz w:val="20"/>
              </w:rPr>
              <w:t>详见下文“产品申购、赎回”。</w:t>
            </w:r>
          </w:p>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管理人有权根据资产运作情况、节假日安排调整开放计划，并在调整前进行公告。</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（2）单个投资者单笔购买上限：10000万元。超过购买上限时，管理人有权拒绝投资者购买申请。产品存续期内管理人有权根据实际情况调整单个投资者单笔购买上限。</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（3）单个投资者单笔赎回上限：10000万份。超过赎回上限时，管理人有权拒绝投资者赎回申请。产品存续期内管理人有权根据实际情况调整单个投资者单笔赎回上限。</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4）巨额申购：本产品单个开放日投资者净申购额（申购申请份额总数扣除赎回申请份额总数）超过上一日日终份额20%时，即认为发生了巨额申购。当出现巨额申购时，管理人有权拒绝投资者的全部或部分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单个开放日投资者净赎回额（赎回申请份额总数扣除申购申请份额总数）超过上一日日终份额10%时，即认为发生了巨额赎回。管理人可以根据本产品当时的资产组合状况决定采取全额赎回、部分赎回、延期办理巨额赎回等措施。</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1.全额赎回：当管理人有能力兑付投资者的全部赎回申请时，将在申请确认日按投资者申请赎回份额执行正常赎回程序。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部分赎回：当管理人认为兑付投资者的赎回申请可能会对产品的资产净值造成较大波动时，当日办理的赎回份额不得低于前一日日终理财产品总份额的10%，对其余赎回申请管理人有权暂停接受或延期办理。对该产品单个投资者的赎回申请，按照其申请占当日申请赎回总份额的比例，确定该投资者当日办理的赎回份额。（示例：某投资者当日申请赎回份额5万份，当日全部赎回申请10000万份，假设前一日日终总份额50000万份，发生巨额赎回，管理人当日办理的赎回份额5000万份，则该投资者当日确认办理的份额为5/10000*5000=2.5万份。）</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若管理人对于超过10%以上部分的赎回申请选择延期办理，对于未能赎回部分，投资者可选择将当日未获办理的赎回申请予以撤销。投资者未选择撤销的，管理人有权延期至下一个开放日办理，延期至下一个开放日办理的赎回价格为下一个开放日的价格，顺延至下一开放日的赎回申请不享有优先确认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4.延缓支付赎回款项：连续2个以上开放日发生巨额赎回的，管理人除有权选择全额赎回或部分赎回等措施外，对于已经接受的赎回申请，管理人可以延缓支付赎回款项，但延缓期限不得超过20个工作日。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当采取非全额赎回措施时，管理人将在采取相关措施后3个工作日内进行信息披露。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收益构成</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本理财产品的收益包括</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期间收益分配（如有）与终止收益分配（如有）</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（1）期间分配</w:t>
            </w:r>
          </w:p>
          <w:p>
            <w:pPr>
              <w:pBdr>
                <w:top w:val="none" w:color="000000" w:sz="0" w:space="0"/>
                <w:left w:val="none" w:color="000000" w:sz="0" w:space="0"/>
                <w:bottom w:val="none" w:color="000000" w:sz="0" w:space="0"/>
                <w:right w:val="none" w:color="000000" w:sz="0" w:space="0"/>
              </w:pBdr>
              <w:ind w:left="0" w:right="0" w:firstLine="0"/>
              <w:jc w:val="both"/>
            </w:pPr>
            <w:r>
              <w:rPr>
                <w:rFonts w:ascii="楷体" w:hAnsi="楷体" w:eastAsia="楷体" w:cs="楷体"/>
                <w:color w:val="000000"/>
                <w:sz w:val="20"/>
              </w:rPr>
              <w:t>本产品按投资周期进行现金分红。当一个投资周期结束，在满足投资周期终止日理财产品单位净值大于面值的条件下，管理人可进行现金分红。现金分红金额为单个投资周期投资产生的收益扣除固定费用（包括托管费、销售服务费、固定管理费等）、运作产品所必须缴纳的税费、提取超额业绩报酬（如有）后的部分，现金分红将于投资周期终止日后2个工作日内分配至投资者资金账户。详见下文“期间收益分配”</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收益分配原则</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分配</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采用现金分配方式；</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每一产品同一份额享有同等分配权。</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如</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产品</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进行</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定开型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6"/>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27"/>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2021年8月3日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2021年8月4日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2031年8月5日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对于产品终止情形：T+5（此处T指产品实际终止日，5指5个工作日）。</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对于赎回情形：T+2（此处T指产品赎回确认日，2指2个工作日）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最新投资周期（2026年09月30日-2027年10月25日）</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如遇节假日，顺延至下一工作日，以理财产品实际投资周期天数为准。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管理人按投资周期收取超额业绩报酬。若单一投资周期产品各份额实际投资收益在扣除托管费、销售服务费、投资管理费等费用后超过各份额业绩计提基准，则该投资周期终止日后管理人将按照超出部分的50%收取超额业绩报酬。</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各份额</w:t>
            </w:r>
            <w:r>
              <w:rPr>
                <w:rFonts w:hint="default" w:ascii="楷体" w:hAnsi="楷体" w:eastAsia="楷体" w:cs="楷体"/>
                <w:bCs/>
                <w:color w:val="000000" w:themeColor="text1"/>
                <w:sz w:val="20"/>
                <w:szCs w:val="20"/>
                <w:highlight w:val="none"/>
                <w:lang w:val="en-US" w:eastAsia="zh-CN"/>
                <w14:textFill>
                  <w14:solidFill>
                    <w14:schemeClr w14:val="tx1"/>
                  </w14:solidFill>
                </w14:textFill>
              </w:rPr>
              <w:t>业绩计提基准</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（年化）</w:t>
            </w:r>
            <w:r>
              <w:rPr>
                <w:rFonts w:hint="default" w:ascii="楷体" w:hAnsi="楷体" w:eastAsia="楷体" w:cs="楷体"/>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A份额：2.35%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B份额：2.38%</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D份额：2.50%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F份额：2.35%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G份额：2.38%</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J份额：2.45%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ZA份额：2.35%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ZF份额：2.35%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C份额：2.40%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P份额：2.60%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Q份额：2.40%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S份额：2.38%</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ZN份额：2.50%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ZQ份额：2.35%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w:t>
            </w:r>
            <w:r>
              <w:rPr>
                <w:rFonts w:hint="default" w:ascii="楷体" w:hAnsi="楷体" w:eastAsia="楷体" w:cs="楷体"/>
                <w:bCs/>
                <w:color w:val="000000" w:themeColor="text1"/>
                <w:sz w:val="20"/>
                <w:szCs w:val="20"/>
                <w:highlight w:val="none"/>
                <w:lang w:val="en-US" w:eastAsia="zh-CN"/>
                <w14:textFill>
                  <w14:solidFill>
                    <w14:schemeClr w14:val="tx1"/>
                  </w14:solidFill>
                </w14:textFill>
              </w:rPr>
              <w:t>2份额：2.50%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GS份额：2.50%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S1份额：2.45%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U份额：2.35%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L份额：2.45%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Z1份额：2.45%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Z2份额：2.50%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Z3份额：2.45%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ZF2份额：2.50%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ZF3份额：2.40%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ZF4份额：2.55%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ZJ份额：2.65%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天府·优选份额：2.65%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芙蓉锦程·优选份额：2.65%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芙蓉锦程·优选-尊享款份额：2.75%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ZC份额：2.40%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ZK份额：2.50%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本产品费用包括托管费、销售服务费、固定管理费、信息技术服务费（如有）、浮动管理费（如有）以及产品运作和清算中产生的其他费用等。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一次性提取模式：成立日一次性提取，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每日摊销，托管费＝计提基数×托管费率×产品投资期限天数÷365。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每日计提模式：每日计提，定期支付，每日应计提的固定管理费＝计提基数×固定管理费率÷365。</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color w:val="auto"/>
                <w:sz w:val="20"/>
                <w:szCs w:val="20"/>
                <w:highlight w:val="none"/>
                <w:lang w:val="en-US" w:eastAsia="zh-CN"/>
              </w:rPr>
              <w:t>定期支付</w:t>
            </w:r>
            <w:r>
              <w:rPr>
                <w:rFonts w:hint="eastAsia" w:ascii="楷体" w:hAnsi="楷体" w:eastAsia="楷体" w:cs="楷体"/>
                <w:color w:val="auto"/>
                <w:sz w:val="20"/>
                <w:szCs w:val="20"/>
                <w:highlight w:val="none"/>
              </w:rPr>
              <w:t>，每日应计提的固定管理费＝计提基数×固定管理费率÷365。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p>
            <w:pPr>
              <w:keepNext w:val="0"/>
              <w:keepLines w:val="0"/>
              <w:pageBreakBefore w:val="0"/>
              <w:widowControl/>
              <w:numPr>
                <w:ilvl w:val="0"/>
                <w:numId w:val="0"/>
              </w:numPr>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eastAsia" w:eastAsia="楷体"/>
                <w:sz w:val="20"/>
                <w:szCs w:val="20"/>
                <w:highlight w:val="none"/>
                <w:lang w:val="en-US" w:eastAsia="zh-CN"/>
              </w:rPr>
            </w:pPr>
            <w:r>
              <w:rPr>
                <w:rFonts w:hint="eastAsia" w:ascii="楷体" w:hAnsi="楷体" w:eastAsia="楷体" w:cs="楷体"/>
                <w:bCs/>
                <w:color w:val="000000" w:themeColor="text1"/>
                <w:sz w:val="20"/>
                <w:szCs w:val="20"/>
                <w:highlight w:val="none"/>
                <w14:textFill>
                  <w14:solidFill>
                    <w14:schemeClr w14:val="tx1"/>
                  </w14:solidFill>
                </w14:textFill>
              </w:rPr>
              <w:t>单一投资周期运作期间内理财产品将每日暂估超额业绩报酬，仅用于理财产品会计核算，并将扣除“暂估超额业绩报酬”后的理财产品份额净值按照说明书约定向投资者进行披露。理财产品实际收取的超额业绩报酬以投资周期终止日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产品管理人有权根据市场情况等调整上述各项费用费率和超额业绩报酬收取方式及比例，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若本理财产品投资者未在约定的时间内赎回本产品，则视为本理财产品投资者接受相关调整且同意继续持有本理财产品。</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4.产品存续期内管理人有权根据产品运行情况制定费率优惠措施，优惠后实际执行的费率以管理人公告为准。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中债-新综合财富(1-3年)指数收益率。</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银行存款（含结构性存款）、债券、非标准化债权等资产投资收益水平，在产品说明书约定的投资范围和投资比例内，综合考虑各类份额收取的销售服务费和固定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4.</w:t>
            </w:r>
            <w:r>
              <w:rPr>
                <w:rFonts w:hint="eastAsia" w:ascii="楷体" w:hAnsi="楷体" w:eastAsia="楷体" w:cs="楷体"/>
                <w:b/>
                <w:bCs w:val="0"/>
                <w:color w:val="000000" w:themeColor="text1"/>
                <w:sz w:val="20"/>
                <w:szCs w:val="20"/>
                <w:highlight w:val="none"/>
                <w:u w:val="single"/>
                <w14:textFill>
                  <w14:solidFill>
                    <w14:schemeClr w14:val="tx1"/>
                  </w14:solidFill>
                </w14:textFill>
              </w:rPr>
              <w:t>产品存续期内管理人有权根据市场情况调整业绩比较基准，如有调整以管理人公告为准。</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5.历次业绩比较基准调整情况（2026年9月1日之后）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类资产、银行存款（含结构性存款）、标准化债权类资产、非标准化债权类资产和监管机构允许投资的其他资产。具体资产投资比例为：货币市场工具、银行存款（含结构性存款）、债券以及符合监管要求的固定收益类资产占产品资产总值比例为80%-100%，符合监管要求的其他资产占产品资产总值比例0%-20%，其中非标准化债权类资产合计投资比例不高于产品净资产50%。</w:t>
            </w:r>
          </w:p>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在开放日及开放日前7个工作日内持有不低于产品资产净值5%的现金或者到期日在一年以内的国债、中央银行票据和政策性金融债券；直接投资于流动性受限资产的市值在开放日不得超过产品资产净值的15%；在开放日前一工作日内，7个工作日可变现资产的可变现价值应当不低于产品资产净值的10%；每日确认且需当日支付的净赎回申请不超过前一工作日理财产品7个工作日可变现资产的可变现价值。</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秉持稳健审慎、严控风险、长效增值的投资理念，依托一年定开的定期封闭运作机制，充分发挥中长期配置优势，紧密跟踪宏观经济运行态势、财政货币政策导向、中长期利率走势及信用环境演变，持续优化投资策略。产品以高流动性利率债、高等级信用债等标准化固收资产为核心底仓，适度配置多元化资产，拓宽收益来源、分散组合风险。通过动态久期管理、波段行情运作、票息收益增厚、精细化风控与仓位优化等多元策略，控制阶段性市场波动，在守住组合安全底线的基础上持续夯实收益，努力为广大投资者创造长期稳健的收益回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二、产品管理人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监管机构规定及本理财产品销售文件中约定的其他职责。</w:t>
      </w:r>
    </w:p>
    <w:p>
      <w:pPr>
        <w:keepNext w:val="0"/>
        <w:keepLines w:val="0"/>
        <w:pageBreakBefore w:val="0"/>
        <w:numPr>
          <w:ilvl w:val="0"/>
          <w:numId w:val="0"/>
        </w:numPr>
        <w:bidi w:val="0"/>
        <w:spacing w:line="310" w:lineRule="exact"/>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产品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产品文件约定的其他权利。</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三、产品托管人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监管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本产品托管人为江苏银行股份有限公司，地址为江苏省南京市中华路26号，联系电话为</w:t>
      </w:r>
      <w:r>
        <w:rPr>
          <w:rFonts w:hint="eastAsia" w:ascii="楷体" w:hAnsi="楷体" w:eastAsia="楷体" w:cs="楷体"/>
          <w:color w:val="auto"/>
          <w:sz w:val="21"/>
          <w:szCs w:val="21"/>
          <w:highlight w:val="none"/>
          <w:lang w:val="en-US" w:eastAsia="zh-CN"/>
        </w:rPr>
        <w:t>025-</w:t>
      </w:r>
      <w:bookmarkStart w:id="1" w:name="_GoBack"/>
      <w:bookmarkEnd w:id="1"/>
      <w:r>
        <w:rPr>
          <w:rFonts w:hint="eastAsia" w:ascii="楷体" w:hAnsi="楷体" w:eastAsia="楷体" w:cs="楷体"/>
          <w:color w:val="auto"/>
          <w:sz w:val="21"/>
          <w:szCs w:val="21"/>
          <w:highlight w:val="none"/>
          <w:lang w:val="en-US" w:eastAsia="zh-CN"/>
        </w:rPr>
        <w:t>51811157</w:t>
      </w:r>
      <w:r>
        <w:rPr>
          <w:rFonts w:hint="eastAsia" w:ascii="楷体" w:hAnsi="楷体" w:eastAsia="楷体" w:cs="楷体"/>
          <w:color w:val="auto"/>
          <w:sz w:val="21"/>
          <w:szCs w:val="21"/>
          <w:highlight w:val="none"/>
        </w:rPr>
        <w:t>。</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310" w:lineRule="exact"/>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产品管理人在此特别披露：托管人为产品管理人的关联方，产品管理人聘请其担任托管人已履行现行法律法规和监管规定所规定必须履行的程序，产品管理人、投资者同意并接受理财产品由托管人托管。</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四、销售机构</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310" w:lineRule="exact"/>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（1）北京农村商业银行股份有限公司：地址为北京市西城区月坛南街1号院2号楼，联系电话为010-96198/400-889-6198；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（2）成都农村商业银行股份有限公司：地址为成都市武侯区科华中路88号，联系电话为95392；</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（3）甘肃银行股份有限公司：地址为甘肃省兰州市城关区东岗西路525-1号，联系电话为400-869-6666；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（4）广西北部湾银行股份有限公司：地址为广西壮族自治区南宁市良庆区云英路8号五象总部大厦，联系电话为40000-96288；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（5）广州农村商业银行股份有限公司：地址为中国广州市黄埔区映日路9号，联系电话为95313；</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（6）广州银行股份有限公司：地址为广东省广州市天河区珠江东路30号，联系电话为020-96699/400-839-6699；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（7）汉口银行股份有限公司：地址为湖北省武汉市江汉区建设大道933号武汉商业银行大厦，联系电话为400-609-6558；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（8）杭州联合农村商业银行股份有限公司：地址为浙江省杭州市上城区建国中路99号，联系电话为0571-96596；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（9）河北银行股份有限公司：地址为河北省石家庄市平安北大街28号，联系电话为400-612-9999；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（10）湖州吴兴农村商业银行股份有限公司：地址为浙江省湖州市东街55号，联系电话为96596；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（11）华侨银行有限公司：地址为中国(上海)自由贸易试验区源深路1155号华侨银行大厦B103,103,106A,301-308,401-408,501-508单元，联系电话为40089 40089；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（12）徽商银行股份有限公司：地址为安徽省合肥市云谷路1699号徽银大厦，联系电话为400-889-6588；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（13）嘉兴银行股份有限公司：地址为浙江省嘉兴市昌盛南路1001号，联系电话为0573-96528；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（14）江门农村商业银行股份有限公司：地址为江门市新会区会城启超大道68号，联系电话为0750-96138；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（15）江苏滨海农村商业银行股份有限公司：地址为滨海县城迎宾中路1号，联系电话为96008；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（16）江苏常熟农村商业银行股份有限公司：地址为江苏省常熟市新世纪大道58号，联系电话为956020；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（17）江苏大丰农村商业银行股份有限公司：地址为江苏省盐城市大丰区常新中路9号，联系电话为96008；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（18）江苏丹阳农村商业银行股份有限公司：地址为镇江市丹阳金陵西路152号，联系电话为96008；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（19）江苏东海农村商业银行股份有限公司：地址为连云港市东海县牛山镇海陵东路8号，联系电话为96008；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（20）江苏东台农村商业银行股份有限公司：地址为江苏省东台市东城大道10号，联系电话为96008；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（21）江苏丰县农村商业银行股份有限公司：地址为江苏省丰县人民中路9号，联系电话为96008；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（22）江苏阜宁农村商业银行股份有限公司：地址为江苏省阜宁县城南新区上海路459号，联系电话为96008；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（23）江苏高淳农村商业银行股份有限公司：地址为江苏省南京市高淳区淳溪镇宝塔路123号，联系电话为96008；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（24）江苏高邮农村商业银行股份有限公司：地址为高邮市文游中路28号，联系电话为96008；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（25）江苏灌南农村商业银行股份有限公司：地址为江苏省连云港市灌南县人民路29号，联系电话为96008；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（26）江苏灌云农村商业银行股份有限公司：地址为江苏省灌云县伊山镇水利路东侧(人民路与水利路交汇处)，联系电话为96008；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（27）江苏海安农村商业银行股份有限公司：地址为江苏省海安市长江中路88号(东楼)，联系电话为96008；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（28）江苏海门农村商业银行股份有限公司：地址为江苏省南通市海门区解放中路137号，联系电话为96008；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（29）江苏洪泽农村商业银行股份有限公司：地址为江苏省淮安市洪泽区人民路23号，联系电话为96008；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（30）江苏淮安农村商业银行股份有限公司：地址为江苏省淮安市清江浦区水渡口大道20号金融中心B1号楼，联系电话为96008；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（31）江苏建湖农村商业银行股份有限公司：地址为江苏省建湖县湖中南路958号，联系电话为96008；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（32）江苏姜堰农村商业银行股份有限公司：地址为泰州市姜堰区姜堰大道128号，联系电话为96008；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（33）江苏江都农村商业银行股份有限公司：地址为扬州市江都区龙城路21号，联系电话为96008；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（34）江苏江阴农村商业银行股份有限公司：地址为江苏省江阴市澄江中路1号，联系电话为96078；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（35）江苏金湖农村商业银行股份有限公司：地址为江苏省金湖县黎城街道神华大道299号，联系电话为96008；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（36）江苏靖江农村商业银行股份有限公司：地址为江苏省靖江市南环西路12号，联系电话为96008；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（37）江苏句容农村商业银行股份有限公司：地址为江苏省句容市福地东路66号，联系电话为96008；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（38）江苏涟水农村商业银行股份有限公司：地址为淮安市涟水县涟城镇涟州路5号，联系电话为96008；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（39）江苏民丰农村商业银行股份有限公司：地址为江苏省宿迁市宿城区高宝湖路1号，联系电话为96008；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（40）江苏南通农村商业银行股份有限公司：地址为南通市崇川区工农南路89号，联系电话为96008；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（41）江苏沛县农村商业银行股份有限公司：地址为江苏省沛县汤沐路中段11号，联系电话为96008；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（42）江苏启东农村商业银行股份有限公司：地址为江苏省启东市汇龙镇金沙江路1688号，联系电话为96008；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（43）江苏如东农村商业银行股份有限公司：地址为江苏省如东县掘港镇钟山路66号，联系电话为96008；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（44）江苏如皋农村商业银行股份有限公司：地址为江苏省南通市如皋市如城街道海阳南路999号，联系电话为96008；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（45）江苏苏州农村商业银行股份有限公司：地址为江苏省苏州市吴江区中山南路1777号，联系电话为956111；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（46）江苏泰兴农村商业银行股份有限公司：地址为泰兴市济川街道国庆东路166号，联系电话为96008；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（47）江苏响水农村商业银行股份有限公司：地址为江苏省响水县双园东路北侧，联系电话为96008；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（48）江苏新沂农村商业银行股份有限公司：地址为江苏省新沂市钟吾路163号，联系电话为96008；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（49）江苏兴化农村商业银行股份有限公司：地址为江苏省兴化市长安南路999号，联系电话为96008；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（50）江苏盐城农村商业银行股份有限公司：地址为盐城市盐南高新区新都西路8号，联系电话为0515-88880000；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（51）江苏扬中农村商业银行股份有限公司：地址为扬中市扬子西路79号，联系电话为96008；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（52）江苏扬州农村商业银行股份有限公司：地址为江苏省扬州市同泰路107号，联系电话为96008；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（53）江苏仪征农村商业银行股份有限公司：地址为江苏省仪征市真州镇解放东路818号金融集聚区1座801-811，901-911，1001-1011，2座101，联系电话为96008；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（54）江苏宜兴农村商业银行股份有限公司：地址为江苏省宜兴市宜城街道解放东路579号，联系电话为96008；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（55）江苏银行股份有限公司：地址为江苏省南京市中华路26号，联系电话为95319；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（56）江苏张家港农村商业银行股份有限公司：地址为江苏省苏州市张家港市杨舍镇人民中路66号，联系电话为96065；</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（57）江苏镇江农村商业银行股份有限公司：地址为江苏省镇江市润州区长江路97号，联系电话为96008；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（58）江苏紫金农村商业银行股份有限公司：地址为江苏省南京市建邺区江东中路381号，联系电话为96008；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（59）江苏邳州农村商业银行股份有限公司：地址为江苏省邳州市建设中路16号，联系电话为96008；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（60）江苏沭阳农村商业银行股份有限公司：地址为江苏省沭阳县沭城镇苏州东路与台州南路交汇处，联系电话为96008；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（61）江苏泗洪农村商业银行股份有限公司：地址为江苏省宿迁市泗洪县长江东路17号，联系电话为96008；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（62）江苏泗阳农村商业银行股份有限公司：地址为宿迁市泗阳县众兴镇北京中路21号，联系电话为96008；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（63）江苏溧水农村商业银行股份有限公司：地址为江苏省南京市溧水县永阳镇中山路22号，联系电话为96008；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（64）江苏盱眙农村商业银行股份有限公司：地址为江苏省盱眙县合欢大道2号，联系电话为96008；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（65）江苏睢宁农村商业银行股份有限公司：地址为江苏省睢宁县元府东街99号，联系电话为96008；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（66）交通银行股份有限公司：地址为中国(上海)自由贸易试验区银城中路188号，联系电话为95559；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（67）晋商银行股份有限公司：地址为山西省太原市小店区长风街59号，联系电话为9510-5588；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（68）九江银行股份有限公司：地址为江西省九江市濂溪区长虹大道619号，联系电话为95316；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（69）莱商银行股份有限公司：地址为山东省济南市历下区洪山路1号，联系电话为40066-96629；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（70）连云港东方农村商业银行股份有限公司：地址为江苏省连云港市海州区郁洲南路10号，联系电话为96008；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（71）宁波慈溪农村商业银行股份有限公司：地址为浙江省慈溪市浒山街道南城路25号、59号5-6层，联系电话为96596；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（72）宁波东海银行股份有限公司：地址为浙江省宁波高新区新晖南路113-127号（单号），扬帆路515号2-10层，高新宝龙商业广场13-19号、22号、29号，联系电话为400-8866-345；</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（73）宁波通商银行股份有限公司：地址为浙江省宁波市鄞州区民安东路337号，联系电话为400-916-6666；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（74）宁波余姚农村商业银行股份有限公司：地址为余姚市新建路69号，联系电话为96596；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（75）宁波镇海农村商业银行股份有限公司：地址为宁波市镇海区骆驼街道镇海大道中段788号，联系电话为96596；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（76）宁波甬城农村商业银行股份有限公司：地址为浙江省宁波市江北区育才路15、17号，联系电话为96596；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（77）齐鲁银行股份有限公司：地址为山东省济南市历下区经十路10817号，联系电话为400-609-6588；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（78）秦皇岛银行股份有限公司：地址为河北省秦皇岛市海港区河北大街西段560号，联系电话为0335-96336/400-105-7366；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（79）日照银行股份有限公司：地址为山东省日照市烟台路197号，联系电话为400-68-96588；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（80）山西银行股份有限公司：地址为山西转型综合改革示范区学府产业园高新街15号，联系电话为0351-96588；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（81）上海农村商业银行股份有限公司：地址为上海市黄浦区中山东二路70号，联系电话为962999/400-696-2999；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（82）上海浦东发展银行股份有限公司：地址为上海市中山东一路12号，联系电话为95528；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（83）上海银行股份有限公司：地址为上海市黄浦区中山南路688号，联系电话为95594；</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（84）深圳农村商业银行股份有限公司：地址为广东省深圳市宝安区新安街道海旺社区海秀路2028号农商银行大厦，联系电话为961200/400-196-1200；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（85）石嘴山银行股份有限公司：地址为宁夏回族自治区石嘴山市大武口区朝阳西街39号，联系电话为0951-96789；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（86）苏银理财有限责任公司：地址为南京市建邺区江山大街70号国际博览中心三期B幢11-13层，联系电话为95319-8-2；</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（87）苏州银行股份有限公司：地址为江苏省苏州工业园区钟园路728号，联系电话为96067；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（88）台州银行股份有限公司：地址为台州市路桥区南官大道92号，联系电话为95371；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（89）泰安银行股份有限公司：地址为山东省泰安市长城路3号圣地大厦，联系电话为4006586588；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（90）天津滨海农村商业银行股份有限公司：地址为天津自贸试验区(空港经济区)西三道158号金融中心1号楼，联系电话为022-96156；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（91）威海银行股份有限公司：地址为山东省威海市青岛北路137A号，联系电话为400-009-6636/0631-96636；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（92）潍坊银行股份有限公司：地址为潍坊市奎文区胜利东街5139号，联系电话为400-61-96588；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（93）厦门银行股份有限公司：地址为福建省厦门市湖里区金融大街78号，联系电话为400-858-8888；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（94）兴业银行股份有限公司：地址为中国福建省福州市台江区江滨中大道398号兴业银行大厦，联系电话为95561；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（95）徐州农村商业银行股份有限公司：地址为徐州市铜山区北京南路26号，联系电话为96008；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（96）浙江安吉农村商业银行股份有限公司：地址为浙江省湖州市安吉县昌硕街道昌硕东路1号(自主申报)，联系电话为96596；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（97）浙江苍南农村商业银行股份有限公司：地址为浙江省苍南县灵溪镇人民大道425号，联系电话为96596；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（98）浙江长兴农村商业银行股份有限公司：地址为浙江省湖州市长兴县太湖街道明珠路1298号，联系电话为96596；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（99）浙江淳安农村商业银行股份有限公司：地址为浙江省杭州市淳安县千岛湖镇阳光路960号，联系电话为96596；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（100）浙江德清农村商业银行股份有限公司：地址为浙江省德清县武康街道沈长圩街50号，联系电话为96596；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（101）浙江东阳农村商业银行股份有限公司：地址为浙江省东阳市双岘路18号，联系电话为96596；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（102）浙江海宁农村商业银行股份有限公司：地址为浙江省海宁市海洲街道钱江西路278号，联系电话为96596；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（103）浙江海盐农村商业银行股份有限公司：地址为浙江省嘉兴市海盐县武原街道盐北东路1177号，联系电话为96596；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（104）浙江杭州余杭农村商业银行股份有限公司：地址为浙江省杭州市临平区南苑街道南大街72号，联系电话为96596；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（105）浙江禾城农村商业银行股份有限公司：地址为浙江省嘉兴市经济技术开发区文昌路1229号，联系电话为96596；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（106）浙江嘉善农村商业银行股份有限公司：地址为浙江省嘉兴市嘉善县罗星街道车站南路999号，联系电话为96596；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（107）浙江江山农村商业银行股份有限公司：地址为浙江省衢州市江山市双塔街道江滨路188号，联系电话为96596；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（108）浙江金华成泰农村商业银行股份有限公司：地址为浙江省金华市八一南街123号，联系电话为96596；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（109）浙江开化农村商业银行股份有限公司：地址为浙江省衢州市开化县华埠镇永吉二路8号，联系电话为96596；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（110）浙江兰溪农村商业银行股份有限公司：地址为浙江省兰溪市兰江街道丹溪大道18号，联系电话为96596；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（111）浙江乐清农村商业银行股份有限公司：地址为浙江省乐清市城南街道伯乐西路99号，联系电话为96596；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（112）浙江临安农村商业银行股份有限公司：地址为浙江省杭州市临安区锦城街道钱王街58号，联系电话为96596；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（113）浙江临海农村商业银行股份有限公司：地址为浙江省台州市临海市大洋街道河阳路299号，联系电话为96596；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（114）浙江龙泉农村商业银行股份有限公司：地址为浙江省丽水市龙泉市龙渊街道中山东路101号，联系电话为96596；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（115）浙江龙游农村商业银行股份有限公司：地址为浙江省衢州市龙游县龙洲街道荣昌大道683、685、687号，联系电话为96596；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（116）浙江民泰商业银行股份有限公司：地址为浙江省温岭市太平街道三星大道168号，联系电话为95343；</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（117）浙江南浔农村商业银行股份有限公司：地址为浙江省湖州市南浔区南浔镇人瑞路1188号，联系电话为96596；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（118）浙江平湖农村商业银行股份有限公司：地址为浙江省平湖市当湖街道胜利路518号，联系电话为96596；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（119）浙江浦江农村商业银行股份有限公司：地址为浙江省浦江县人民东路90号，联系电话为96596；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（120）浙江青田农村商业银行股份有限公司：地址为浙江省青田县鹤城街道鹤城东路180号，联系电话为96596；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（121）浙江瑞安农村商业银行股份有限公司：地址为浙江省温州市瑞安市莘塍街道万松东路1700-1708、1718号，联系电话为96596；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（122）浙江上虞农村商业银行股份有限公司：地址为浙江省绍兴市上虞区百官街道德盛路55号，联系电话为96596；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（123）浙江绍兴恒信农村商业银行股份有限公司：地址为浙江省绍兴市中兴中路159号，联系电话为96596；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（124）浙江绍兴瑞丰农村商业银行股份有限公司：地址为浙江省绍兴市柯桥区柯桥笛扬路1363号，联系电话为96596；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（125）浙江松阳农村商业银行股份有限公司：地址为浙江省丽水市松阳县水南街道要津南路71号，联系电话为96596；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（126）浙江遂昌农村商业银行股份有限公司：地址为浙江省丽水市遂昌县妙高街道溪边路100号，联系电话为96596；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（127）浙江台州黄岩农村商业银行股份有限公司：地址为浙江省台州市黄岩区洞天路88号，联系电话为96596；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（128）浙江台州路桥农村商业银行股份有限公司：地址为浙江省台州市路桥区路北街道中心大道5789号，联系电话为96596；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（129）浙江泰顺农村商业银行股份有限公司：地址为浙江省温州市泰顺县罗阳镇新城区文祥大道181号，联系电话为96596；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（130）浙江天台农村商业银行股份有限公司：地址为浙江省台州市天台县始丰街道唐兴大道10号，联系电话为96596；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（131）浙江桐庐农村商业银行股份有限公司：地址为浙江省杭州市桐庐县桐君街道迎春南路278号，联系电话为96596；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（132）浙江桐乡农村商业银行股份有限公司：地址为浙江省梧桐街道校场东路59号，联系电话为96596；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（133）浙江温岭农村商业银行股份有限公司：地址为浙江省台州市温岭市城东街道下保路100号，联系电话为96596；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（134）浙江温州龙湾农村商业银行股份有限公司：地址为浙江省温州市龙湾区永中街道永宁西路555号，联系电话为96596；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（135）浙江温州鹿城农村商业银行股份有限公司：地址为浙江省温州市鹿城区会展路1500号富银大厦，联系电话为96596；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（136）浙江温州瓯海农村商业银行股份有限公司：地址为浙江省温州市瓯海区瓯海大道989号，联系电话为96596；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（137）浙江文成农村商业银行股份有限公司：地址为浙江省温州市文成县大峃镇体育场路509-520号，联系电话为96596；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（138）浙江武义农村商业银行股份有限公司：地址为浙江省武义县武阳中路37号，联系电话为96596；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（139）浙江仙居农村商业银行股份有限公司：地址为浙江省台州市仙居县南峰街道庆丰南街113号，联系电话为96596；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（140）浙江萧山农村商业银行股份有限公司：地址为浙江省杭州市萧山区盈丰街道鸿宁路2288号，联系电话为96596；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（141）浙江新昌农村商业银行股份有限公司：地址为浙江省新昌县七星街道七星路18号，联系电话为96596；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（142）浙江义乌农村商业银行股份有限公司：地址为浙江省义乌市福田街道城北路677号，联系电话为96596；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（143）浙江永嘉农村商业银行股份有限公司：地址为浙江省温州市永嘉县瓯北街道阳光大道3918号，联系电话为96596；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（144）浙江永康农村商业银行股份有限公司：地址为浙江省金华市永康市九铃东路3259号，联系电话为96596；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（145）浙江舟山定海海洋农村商业银行股份有限公司：地址为浙江省舟山市定海区环城东路81号，联系电话为96596；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（146）浙江舟山普陀农村商业银行股份有限公司：地址为浙江省舟山市普陀区东港街道麒麟街225号(自贸试验区内)，联系电话为96596；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（147）浙江诸暨农村商业银行股份有限公司：地址为浙江省诸暨市暨阳街道大桥东路2号，联系电话为96596；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（148）浙江岱山农村商业银行股份有限公司：地址为浙江省舟山市岱山县高亭镇衢山大道1009号(自主申报)，联系电话为96596；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（149）浙江嵊州农村商业银行股份有限公司：地址为浙江省嵊州市剡湖街道官河路398号，联系电话为96596；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（150）浙江衢州柯城农村商业银行股份有限公司：地址为浙江省衢州市柯城区上街92号，联系电话为96596；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（151）浙江衢州衢江农村商业银行股份有限公司：地址为浙江省衢州市衢江区樟潭街道信安东路37号，联系电话为96596；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（152）浙江缙云农村商业银行股份有限公司：地址为浙江省丽水市缙云县五云镇新区仙都路68号，联系电话为96596；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（153）浙商银行股份有限公司：地址为浙江省杭州市鸿宁路1788号，联系电话为95527；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（154）郑州银行股份有限公司：地址为河南省郑州市郑东新区商务外环路22号，联系电话为95097；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（155）中山农村商业银行股份有限公司：地址为广东省中山市东区中山三路26号之一，联系电话为020-96138；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（156）成都银行股份有限公司：地址为四川省成都市西御街16号，联系电话为95507。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（157）兰州银行股份有限公司：地址为甘肃省兰州市城关区酒泉路211号，联系电话为400-88-96799。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6"/>
        <w:keepNext w:val="0"/>
        <w:keepLines w:val="0"/>
        <w:pageBreakBefore w:val="0"/>
        <w:widowControl w:val="0"/>
        <w:numPr>
          <w:ilvl w:val="0"/>
          <w:numId w:val="0"/>
        </w:numPr>
        <w:bidi w:val="0"/>
        <w:spacing w:line="310" w:lineRule="exact"/>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苏州银行股份有限公司为产品管理人的关联方，产品管理人选择其担任销售机构已履行现行法律法规和监管规定所规定必须履行的程序。</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五、名词释义</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1.</w:t>
      </w:r>
      <w:r>
        <w:rPr>
          <w:rFonts w:hint="eastAsia" w:ascii="楷体" w:hAnsi="楷体" w:eastAsia="楷体" w:cs="Calibri"/>
          <w:sz w:val="21"/>
          <w:szCs w:val="21"/>
          <w:highlight w:val="none"/>
        </w:rPr>
        <w:t>销售代码：指本理财产品可能设置一</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或多</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产品份额，管理人在理财产品销售管理过程中对各</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份额设置的</w:t>
      </w:r>
      <w:r>
        <w:rPr>
          <w:rFonts w:hint="eastAsia" w:ascii="楷体" w:hAnsi="楷体" w:eastAsia="楷体" w:cs="Calibri"/>
          <w:sz w:val="21"/>
          <w:szCs w:val="21"/>
          <w:highlight w:val="none"/>
          <w:lang w:val="en-US" w:eastAsia="zh-CN"/>
        </w:rPr>
        <w:t>内部代</w:t>
      </w:r>
      <w:r>
        <w:rPr>
          <w:rFonts w:hint="eastAsia" w:ascii="楷体" w:hAnsi="楷体" w:eastAsia="楷体" w:cs="Calibri"/>
          <w:sz w:val="21"/>
          <w:szCs w:val="21"/>
          <w:highlight w:val="none"/>
        </w:rPr>
        <w:t>码。</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2.</w:t>
      </w:r>
      <w:r>
        <w:rPr>
          <w:rFonts w:hint="eastAsia" w:ascii="楷体" w:hAnsi="楷体" w:eastAsia="楷体" w:cs="Calibri"/>
          <w:sz w:val="21"/>
          <w:szCs w:val="21"/>
          <w:highlight w:val="none"/>
        </w:rPr>
        <w:t>理财产品份额：指投资者持有本理财产品的单位数额。</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3.理财</w:t>
      </w:r>
      <w:r>
        <w:rPr>
          <w:rFonts w:hint="eastAsia" w:ascii="楷体" w:hAnsi="楷体" w:eastAsia="楷体" w:cs="Calibri"/>
          <w:sz w:val="21"/>
          <w:szCs w:val="21"/>
          <w:highlight w:val="none"/>
        </w:rPr>
        <w:t>产品资产总值：指产品拥有的各类有价证券、银行存款、应收款项及其他资产的价值总和。</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4.理财</w:t>
      </w:r>
      <w:r>
        <w:rPr>
          <w:rFonts w:hint="eastAsia" w:ascii="楷体" w:hAnsi="楷体" w:eastAsia="楷体" w:cs="楷体"/>
          <w:color w:val="auto"/>
          <w:sz w:val="21"/>
          <w:szCs w:val="21"/>
          <w:highlight w:val="none"/>
        </w:rPr>
        <w:t>产品负债总值</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指产品运作及融资时形成的负债价值总和，包括融资资金本息、应付各项费用（包括托管费、销售服务费、</w:t>
      </w:r>
      <w:r>
        <w:rPr>
          <w:rFonts w:hint="eastAsia" w:ascii="楷体" w:hAnsi="楷体" w:eastAsia="楷体" w:cs="楷体"/>
          <w:color w:val="auto"/>
          <w:sz w:val="21"/>
          <w:szCs w:val="21"/>
          <w:highlight w:val="none"/>
          <w:lang w:val="en-US" w:eastAsia="zh-CN"/>
        </w:rPr>
        <w:t>固定</w:t>
      </w:r>
      <w:r>
        <w:rPr>
          <w:rFonts w:hint="eastAsia" w:ascii="楷体" w:hAnsi="楷体" w:eastAsia="楷体" w:cs="楷体"/>
          <w:color w:val="auto"/>
          <w:sz w:val="21"/>
          <w:szCs w:val="21"/>
          <w:highlight w:val="none"/>
        </w:rPr>
        <w:t>管理费、</w:t>
      </w:r>
      <w:r>
        <w:rPr>
          <w:rFonts w:hint="eastAsia" w:ascii="楷体" w:hAnsi="楷体" w:eastAsia="楷体" w:cs="楷体"/>
          <w:color w:val="auto"/>
          <w:sz w:val="21"/>
          <w:szCs w:val="21"/>
          <w:highlight w:val="none"/>
          <w:lang w:val="en-US" w:eastAsia="zh-CN"/>
        </w:rPr>
        <w:t>信息技术服务费、浮动管理费</w:t>
      </w:r>
      <w:r>
        <w:rPr>
          <w:rFonts w:hint="eastAsia" w:ascii="楷体" w:hAnsi="楷体" w:eastAsia="楷体" w:cs="楷体"/>
          <w:color w:val="auto"/>
          <w:sz w:val="21"/>
          <w:szCs w:val="21"/>
          <w:highlight w:val="none"/>
        </w:rPr>
        <w:t>、其他费用等）、应付税金及其他应付款项等。</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lang w:val="en-US" w:eastAsia="zh-CN"/>
        </w:rPr>
        <w:t>5.</w:t>
      </w:r>
      <w:r>
        <w:rPr>
          <w:rFonts w:hint="eastAsia" w:ascii="楷体" w:hAnsi="楷体" w:eastAsia="楷体" w:cs="楷体"/>
          <w:color w:val="auto"/>
          <w:sz w:val="21"/>
          <w:szCs w:val="21"/>
          <w:highlight w:val="none"/>
        </w:rPr>
        <w:t>理财产品资产净值/</w:t>
      </w:r>
      <w:r>
        <w:rPr>
          <w:rFonts w:hint="eastAsia" w:ascii="楷体" w:hAnsi="楷体" w:eastAsia="楷体" w:cs="楷体"/>
          <w:color w:val="auto"/>
          <w:sz w:val="21"/>
          <w:szCs w:val="21"/>
          <w:highlight w:val="none"/>
          <w:lang w:val="en-US" w:eastAsia="zh-CN"/>
        </w:rPr>
        <w:t>净资产</w:t>
      </w:r>
      <w:r>
        <w:rPr>
          <w:rFonts w:hint="eastAsia" w:ascii="楷体" w:hAnsi="楷体" w:eastAsia="楷体" w:cs="楷体"/>
          <w:color w:val="auto"/>
          <w:sz w:val="21"/>
          <w:szCs w:val="21"/>
          <w:highlight w:val="none"/>
        </w:rPr>
        <w:t>：</w:t>
      </w:r>
      <w:r>
        <w:rPr>
          <w:rFonts w:hint="eastAsia" w:ascii="楷体" w:hAnsi="楷体" w:eastAsia="楷体" w:cs="楷体"/>
          <w:color w:val="auto"/>
          <w:sz w:val="21"/>
          <w:szCs w:val="21"/>
          <w:highlight w:val="none"/>
          <w:lang w:val="en-US" w:eastAsia="zh-CN"/>
        </w:rPr>
        <w:t>指产品</w:t>
      </w:r>
      <w:r>
        <w:rPr>
          <w:rFonts w:hint="eastAsia" w:ascii="楷体" w:hAnsi="楷体" w:eastAsia="楷体" w:cs="楷体"/>
          <w:color w:val="auto"/>
          <w:sz w:val="21"/>
          <w:szCs w:val="21"/>
          <w:highlight w:val="none"/>
        </w:rPr>
        <w:t>资产总值</w:t>
      </w:r>
      <w:r>
        <w:rPr>
          <w:rFonts w:hint="eastAsia" w:ascii="楷体" w:hAnsi="楷体" w:eastAsia="楷体" w:cs="楷体"/>
          <w:color w:val="auto"/>
          <w:sz w:val="21"/>
          <w:szCs w:val="21"/>
          <w:highlight w:val="none"/>
          <w:lang w:val="en-US" w:eastAsia="zh-CN"/>
        </w:rPr>
        <w:t>减去</w:t>
      </w:r>
      <w:r>
        <w:rPr>
          <w:rFonts w:hint="eastAsia" w:ascii="楷体" w:hAnsi="楷体" w:eastAsia="楷体" w:cs="楷体"/>
          <w:color w:val="auto"/>
          <w:sz w:val="21"/>
          <w:szCs w:val="21"/>
          <w:highlight w:val="none"/>
        </w:rPr>
        <w:t>产品负债总值</w:t>
      </w:r>
      <w:r>
        <w:rPr>
          <w:rFonts w:hint="eastAsia" w:ascii="楷体" w:hAnsi="楷体" w:eastAsia="楷体" w:cs="楷体"/>
          <w:color w:val="auto"/>
          <w:sz w:val="21"/>
          <w:szCs w:val="21"/>
          <w:highlight w:val="none"/>
          <w:lang w:val="en-US" w:eastAsia="zh-CN"/>
        </w:rPr>
        <w:t>后的价值</w:t>
      </w:r>
      <w:r>
        <w:rPr>
          <w:rFonts w:hint="eastAsia" w:ascii="楷体" w:hAnsi="楷体" w:eastAsia="楷体" w:cs="楷体"/>
          <w:color w:val="auto"/>
          <w:sz w:val="21"/>
          <w:szCs w:val="21"/>
          <w:highlight w:val="none"/>
        </w:rPr>
        <w:t>。</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sz w:val="21"/>
          <w:szCs w:val="21"/>
          <w:highlight w:val="none"/>
          <w:lang w:val="en-US" w:eastAsia="zh-CN"/>
        </w:rPr>
        <w:t>7.</w:t>
      </w:r>
      <w:r>
        <w:rPr>
          <w:rFonts w:hint="eastAsia" w:ascii="楷体" w:hAnsi="楷体" w:eastAsia="楷体" w:cs="楷体"/>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sz w:val="21"/>
          <w:szCs w:val="21"/>
          <w:highlight w:val="none"/>
          <w:lang w:val="en-US" w:eastAsia="zh-CN"/>
        </w:rPr>
        <w:t>8.流动性受限资产：</w:t>
      </w:r>
      <w:r>
        <w:rPr>
          <w:rFonts w:hint="eastAsia" w:ascii="楷体" w:hAnsi="楷体" w:eastAsia="楷体" w:cs="楷体"/>
          <w:sz w:val="21"/>
          <w:szCs w:val="21"/>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9.</w:t>
      </w:r>
      <w:r>
        <w:rPr>
          <w:rFonts w:hint="eastAsia" w:ascii="楷体" w:hAnsi="楷体" w:eastAsia="楷体" w:cs="楷体"/>
          <w:sz w:val="21"/>
          <w:szCs w:val="21"/>
          <w:highlight w:val="none"/>
        </w:rPr>
        <w:t>7个工作日可变现资产</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投资周期：指投资者持有理财产品份额所对应的理财资金由产品管理人进行投资运作的一段完整期间，每一个投资周期为该投资周期起始日至该投资周期终止日的理财期间。</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开放日：指投资周期终止日。开放计划内的申购、赎回申请，将以开放日的净值进行确认。</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产品存续期：指自理财产品成立日起，至理财产品终止日的期间。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7.产品终止日/到期日：指理财产品终止的日期。</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六、投资管理</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（一）拟投资非标准化债权类资产</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非标准化债权类资产：融资人为高邮市交通产业投资集团有限公司。融资人经营正常，是依法设立的国有公司，主要股东为高邮市国有资产投资管理控股(集团)有限公司，实际控制人为高邮市财政局(高邮市政府国有资产监督管理办公室)。 （2）非标准化债权类资产：融资人为海安市城建开发投资集团有限公司。融资人经营正常，是依法设立的国有公司，主要股东为海安市政府国有资产监督管理办公室，实际控制人为海安市政府国有资产监督管理办公室。 （3）非标准化债权类资产：融资人为杭州富阳城市建设投资集团有限公司。融资人经营正常，是依法设立的国有公司，主要股东为杭州市富阳区人民政府国有资产监督管理办公室，实际控制人为杭州市富阳区人民政府国有资产监督管理办公室。 （4）非标准化债权类资产：融资人为湖州经开投资发展集团有限公司。融资人经营正常，是依法设立的国有公司，主要股东为湖州南太湖国有控股集团有限公司，实际控制人为湖州市人民政府国有资产监督管理委员会。 （5）非标准化债权类资产：融资人为湖州吴兴城市投资发展集团有限公司。融资人经营正常，是依法设立的国有公司，主要股东为湖州吴兴国控投资运营发展集团有限公司，实际控制人为湖州市吴兴区财政局。 （6）非标准化债权类资产：融资人为江苏皋开投资发展集团有限公司。融资人经营正常，是依法设立的国有公司，主要股东为如皋市人民政府，实际控制人为如皋市人民政府。 （7）非标准化债权类资产：融资人为兰溪市城市投资集团有限公司。融资人经营正常，是依法设立的国有公司，主要股东为兰溪市城市发展集团有限公司，实际控制人为兰溪市人民政府国有资产监督管理办公室。 （8）非标准化债权类资产：融资人为绍兴市上虞区国有资本投资运营有限公司。融资人经营正常，是依法设立的国有公司，主要股东为绍兴市上虞区国有资产发展集团有限公司，实际控制人为绍兴市上虞区人民政府国有资产监督管理委员会。 （9）非标准化债权类资产：融资人为绍兴市越城区城市发展建设集团有限公司。融资人经营正常，是依法设立的国有公司，主要股东为绍兴市越城区财政局，实际控制人为绍兴市越城区财政局。 （10）非标准化债权类资产：融资人为台州循环经济发展有限公司。融资人经营正常，是依法设立的国有公司，主要股东为台州市商贸核心区开发建设投资集团有限公司、台州市路桥公共资产投资管理集团有限公司、台州市城市建设投资发展集团有限公司，台州市开投城市开发有限公司，实际控制人为台州市人民政府。 （11）非标准化债权类资产：融资人为泰州高教投资发展有限公司。融资人经营正常，是依法设立的国有公司，主要股东为泰州市城市建设投资控股有限公司、工银金融资产投资有限公司，实际控制人为泰州市政府国有资产监督管理委员会。 （12）非标准化债权类资产：融资人为桐庐县城市建设投资集团有限公司。融资人经营正常，是依法设立的国有公司，主要股东为桐庐投资建设发展集团有限公司，实际控制人为桐庐县人民政府国有资产监督管理委员会。 （13）非标准化债权类资产：融资人为无锡市高发投资发展集团有限公司。融资人经营正常，是依法设立的国有公司，主要股东为江苏省无锡市新吴区人民政府，实际控制人为江苏省无锡市新吴区人民政府。 （14）非标准化债权类资产：融资人为徐州金龙湖控股集团有限公司。融资人经营正常，是依法设立的国有公司，主要股东为徐州市产业发展控股集团有限公司，实际控制人为徐州市人民政府国有资产监督管理委员会。 （15）非标准化债权类资产：融资人为盐城市城镇化建设投资集团有限公司。融资人经营正常，是依法设立的国有公司，主要股东为盐城市人民政府，实际控制人为盐城市人民政府。 （16）非标准化债权类资产：融资人为盐城市盐都区国有资产控股集团有限公司。融资人经营正常，是依法设立的国有公司，主要股东为盐城市盐都区政府国有资产监督管理办公室，实际控制人为盐城市盐都区政府国有资产监督管理办公室。 （17）非标准化债权类资产：融资人为燕舞集团有限公司。融资人经营正常，是依法设立的国有公司，主要股东为盐城市人民政府、盐城市城市资产投资集团有限公司、江苏悦达集团有限公司，实际控制人为盐城市人民政府。 （18）非标准化债权类资产：融资人为扬州江淮建设发展有限公司。融资人经营正常，是依法设立的国有公司，主要股东为扬州市国联控股集团有限公司，实际控制人为扬州市人民政府。 （19）非标准化债权类资产：融资人为扬州新盛投资集团有限公司。融资人经营正常，是依法设立的国有公司，主要股东为扬州市城建国有资产控股(集团)有限责任公司、扬州易盛德产业投资集团有限公司、扬州市扬子江文旅投资发展集团有限责任公司，实际控制人为扬州市人民政府国有资产监督管理委员会。 （20）非标准化债权类资产：融资人为张家港市高铁投资发展(集团)有限公司。融资人经营正常，是依法设立的国有公司，主要股东为张家港市交通控股有限公司、张家港市城市投资发展集团有限公司、张家港高新区投资控股有限公司，张家港市城镇发展集团有限公司，实际控制人为张家港市国有资产管理中心。 （21）收益凭证：融资人为财通证券股份有限公司。融资人经营正常，是依法设立的持牌金融机构，主要股东为浙江省创新投资集团有限公司、浙江省财开集团有限公司、台州市金融投资集团有限公司，实际控制人为浙江省财政厅。 （22）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23）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24）收益凭证：融资人为东方证券股份有限公司。融资人经营正常，是依法设立的国有公司，主要股东为申能（集团）有限公司、香港中央结算（代理人）有限公司、上海海烟投资管理有限公司，实际控制人为上海市国有资产监督管理委员会。 （25）收益凭证：融资人为东海证券股份有限公司。融资人经营正常，是依法设立的持牌金融机构，主要股东为常州投资集团有限公司、山东金控资本管理有限公司，实际控制人为常州投资集团有限公司。 （26）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27）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28）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29）收益凭证：融资人为广发证券股份有限公司。融资人经营正常，是依法设立的持牌金融机构，主要股东为香港中央结算（代理人）有限公司、吉林敖东药业集团股份有限公司、辽宁成大股份有限公司，无实际控制人。 （30）收益凭证：融资人为国都证券股份有限公司。融资人经营正常，是依法设立的持牌金融机构，主要股东为浙商证券股份有限公司、中诚信托有限责任公司、北京国际信托有限公司，实际控制人为浙江省交通投资集团有限公司。 （31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32）收益凭证：融资人为国泰海通证券股份有限公司。融资人经营正常，是依法设立的国有公司，主要股东为香港中央结算（代理人）有限公司、上海国有资产经营有限公司、上海国际集团有限公司，实际控制人为上海市国有资产监督管理委员会。 （33）收益凭证：融资人为国投证券股份有限公司。融资人经营正常，是依法设立的国有公司，主要股东为国投资本股份有限公司、上海毅胜投资有限公司，实际控制人为国家开发投资集团有限公司。 （34）收益凭证：融资人为华泰证券股份有限公司。融资人经营正常，是依法设立的国有公司，主要股东为江苏省国信集团有限公司、香港中央结算（代理人）有限公司、江苏交通控股有限公司，无实际控制人。 （35）收益凭证：融资人为华鑫证券有限责任公司。融资人经营正常，是依法设立的持牌金融机构，主要股东为上海华鑫股份有限公司，实际控制人为上海市国有资产监督管理委员会。 （36）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37）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38）收益凭证：融资人为山西证券股份有限公司。融资人经营正常，是依法设立的持牌金融机构，主要股东为山西金融投资控股集团有限公司、太原钢铁（集团）有限公司、山西国际电力集团有限公司，实际控制人为山西省财政厅。 （39）收益凭证：融资人为申万宏源证券有限公司。融资人经营正常，是依法设立的国有公司，主要股东为申万宏源集团股份有限公司，实际控制人为中央汇金投资有限责</w:t>
      </w:r>
      <w:r>
        <w:rPr>
          <w:rFonts w:hint="eastAsia" w:ascii="楷体" w:hAnsi="楷体" w:eastAsia="楷体" w:cs="楷体"/>
          <w:b w:val="0"/>
          <w:bCs w:val="0"/>
          <w:sz w:val="21"/>
          <w:szCs w:val="21"/>
          <w:highlight w:val="none"/>
          <w:u w:val="none"/>
          <w:lang w:val="en-US" w:eastAsia="zh-CN"/>
        </w:rPr>
        <w:t xml:space="preserve">任公司。 （40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41）收益凭证：融资人为兴业证券股份有限公司。融资人经营正常，是依法设立的持牌金融机构，主要股东为福建省财政厅、福建省投资开发集团有限责任公司、上海申新（集团）有限公司，实际控制人为福建省财政厅。 （42）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 （43）收益凭证：融资人为浙商证券股份有限公司。融资人经营正常，是依法设立的国有公司，主要股东为浙江上三高速公路有限公司、台州市金融投资集团有限公司，实际控制人为浙江省交通投资集团有限公司。 （44）收益凭证：融资人为中国国际金融股份有限公司。融资人经营正常，是依法设立的国有公司，主要股东为中央汇金投资有限责任公司、香港中央结算（代理人）有限公司、香港中央结算有限公司，实际控制人中央汇金投资有限责任公司。 （45）收益凭证：融资人为中国银河证券股份有限公司。融资人经营正常，是依法设立的国有公司，主要股东为中国银河金融控股有限责任公司、香港中央结算（代理人）有限公司、香港中央结算有限公司，实际控制人为中央汇金投资有限责任公司。 （46）收益凭证：融资人为中国中金财富证券有限公司。融资人经营正常，是依法设立的持牌金融机构，主要股东为中国国际金融股份有限公司，实际控制人为中央汇金投资有限责任公司。 （47）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48）收益凭证：融资人为中信建投证券股份有限公司。融资人经营正常，是依法设立的国有公司，主要股东为北京金融控股集团有限公司、中央汇金投资有限责任公司、香港中央结算（代理人）有限公司，实际控制人为中央汇金投资有限责任公司。 （49）收益凭证：融资人为中信证券股份有限公司。融资人经营正常，是依法设立的国有公司，主要股东为中国中信金融控股有限公司、香港中央结算（代理人）有限公司、广州越秀资本控股集团有限公司，实际控制人为中国中信集团有限公司。 （50）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51）同业借款：融资人为中国东方资产管理股份有限公司。融资人经营正常，是依法成立的国有公司，主要股东为中央汇金投资有限责任公司、全国社会保障基金理事会、中国电信集团有限公司，实际控制人为国务院。 （52）同业借款：融资人为中国信达资产管理股份有限公司。融资人经营正常，是依法成立的国有公司，主要股东为中央汇金投资有限责任公司，实际控制人为国务院。 （53）同业借款：融资人为中国中信金融资产管理股份有限公司。融资人经营正常，是依法成立的国有公司，主要股东为中国中信集团有限公司、财政局、中国融信私募基金有限公司，实际控制人为财政部。 </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非标准化债权类资产到期日不超过开放式理财产品投资周期终止日或封闭式理财产品终止日，定期付息、到期一次性还本。</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收益凭证类资产到期日不超过开放式理财产品投资周期终止日或封闭式理财产品终止日，到期一次性还本付息。</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同业借款类资产到期日不超过开放式理财产品投资周期终止日或封闭式理财产品终止日，定期付息、到期一次性还本。</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产品存续期内若本理财产品投资的非标准化债权类资产有所调整，管理人将选择优质企业作为融资人，且融资项目已履行管理人内部审批流程，融资人业务经营正常，融资项目还款来源明确，并在本理财产品的定期报告中披露。</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（二）投资合作机构</w:t>
      </w:r>
    </w:p>
    <w:p>
      <w:pPr>
        <w:keepNext w:val="0"/>
        <w:keepLines w:val="0"/>
        <w:pageBreakBefore w:val="0"/>
        <w:numPr>
          <w:ilvl w:val="0"/>
          <w:numId w:val="0"/>
        </w:numPr>
        <w:bidi w:val="0"/>
        <w:spacing w:line="310" w:lineRule="exact"/>
        <w:ind w:firstLine="420"/>
        <w:rPr>
          <w:rFonts w:hint="eastAsia"/>
          <w:color w:val="auto"/>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①江苏省国际信托有限责任公司：江苏省国际信托有限责任公司成立于1992年6月5日，是江苏省国信集团的主要成员企业之一，专业从事金融信托业务。</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②创金合信基金管理有限公司：创金合信基金管理有限公司成立于2014年7月9日，由第一创业证券股份有限公司、深圳市金合信投资合伙企业（有限合伙）共同发起设立，注册地为深圳。</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③华鑫国际信托有限公司：华鑫国际信托有限公司于2010年2月获准重新登记，并于同年3月正式挂牌开业，实际控制人为中国华电集团有限公司，注册资本73.95亿元。</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④中国国际金融股份有限公司：中国国际金融股份有限公司于1995年7月31日成立，实际控制人为中央汇金投资有限责任公司，注册资本4,827,256,868元。</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⑤中粮信托有限责任公司：中粮信托有限责任公司成立于2009年7月27日，注册资本28.3095亿元，前三大股东分别为中粮资本投资有限公司、蒙特利尔银行、中粮财务有限责任公司。</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⑥中国对外经济贸易信托有限公司：中国对外经济贸易信托有限公司成立于1987年9月30日，注册资本80亿元，股东为中化资本有限公司和中化集团财务有限责任公司。</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⑦南方资本管理有限公司：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⑧建信保险资产管理有限公司：建信保险资产管理有限公司成立于2016年4月7日，注册资本3亿元，股东为建信人寿保险股份有限公司和建银国际（中国）有限公司</w:t>
      </w:r>
      <w:r>
        <w:rPr>
          <w:rFonts w:hint="eastAsia" w:ascii="楷体" w:hAnsi="楷体" w:eastAsia="楷体" w:cs="楷体"/>
          <w:color w:val="auto"/>
          <w:sz w:val="21"/>
          <w:szCs w:val="21"/>
          <w:highlight w:val="none"/>
          <w:lang w:val="en-US" w:eastAsia="zh-CN" w:bidi="ar-SA"/>
        </w:rPr>
        <w:t>。</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（三）投资限制</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1.</w:t>
      </w: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2.</w:t>
      </w: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spacing w:line="310" w:lineRule="exact"/>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不超过140%。</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5.</w:t>
      </w:r>
      <w:r>
        <w:rPr>
          <w:rFonts w:hint="eastAsia" w:ascii="楷体" w:hAnsi="楷体" w:eastAsia="楷体"/>
          <w:color w:val="auto"/>
          <w:sz w:val="21"/>
          <w:szCs w:val="21"/>
          <w:highlight w:val="none"/>
        </w:rPr>
        <w:t>本理财产品在开放日及开放日前7个工作日内持有不低于产品资产净值5%的现金或者到期日在一年以内的国债、中央银行票据和政策性金融债券。</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本理财产品直接投资于流动性受限资产的市值在开放日不得超过本产品净资产的15%。因证券市场波动、理财产品规模变动等因素导致不符合前述比例限制的，本理财产品不得主动新增投资流动性受限资产。</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7.</w:t>
      </w:r>
      <w:r>
        <w:rPr>
          <w:rFonts w:hint="eastAsia" w:ascii="楷体" w:hAnsi="楷体" w:eastAsia="楷体"/>
          <w:color w:val="auto"/>
          <w:sz w:val="21"/>
          <w:szCs w:val="21"/>
          <w:highlight w:val="none"/>
        </w:rPr>
        <w:t>在开放日前一工作日内，本理财产品7个工作日可变现资产的可变现价值应当不低于本产品净资产的10%。</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（四）投资管理调整</w:t>
      </w:r>
    </w:p>
    <w:p>
      <w:pPr>
        <w:pStyle w:val="13"/>
        <w:keepNext w:val="0"/>
        <w:keepLines w:val="0"/>
        <w:pageBreakBefore w:val="0"/>
        <w:widowControl w:val="0"/>
        <w:bidi w:val="0"/>
        <w:spacing w:before="0" w:line="310" w:lineRule="exact"/>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5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3"/>
        <w:keepNext w:val="0"/>
        <w:keepLines w:val="0"/>
        <w:pageBreakBefore w:val="0"/>
        <w:widowControl w:val="0"/>
        <w:bidi w:val="0"/>
        <w:spacing w:before="0" w:line="310" w:lineRule="exact"/>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七、产品申购、赎回</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（一）投资周期、开放计划</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本产品在每个投资周期结束前设置开放计划，时间为投资周期终止日前</w:t>
      </w:r>
      <w:r>
        <w:rPr>
          <w:rFonts w:hint="eastAsia" w:ascii="楷体" w:hAnsi="楷体" w:eastAsia="楷体"/>
          <w:sz w:val="21"/>
          <w:szCs w:val="21"/>
          <w:highlight w:val="none"/>
          <w:lang w:val="en-US" w:eastAsia="zh-CN"/>
        </w:rPr>
        <w:t>7个工作</w:t>
      </w:r>
      <w:r>
        <w:rPr>
          <w:rFonts w:hint="eastAsia" w:ascii="楷体" w:hAnsi="楷体" w:eastAsia="楷体"/>
          <w:sz w:val="21"/>
          <w:szCs w:val="21"/>
          <w:highlight w:val="none"/>
        </w:rPr>
        <w:t>日（含投资周期终止日），开放计划最后一日（即投资周期终止日）为开放日。投资者可在开放计划时间内通过销售机构提出申购/赎回申请（以各销售机构设置的开放时间为准），</w:t>
      </w:r>
      <w:r>
        <w:rPr>
          <w:rFonts w:hint="eastAsia" w:ascii="楷体" w:hAnsi="楷体" w:eastAsia="楷体"/>
          <w:b/>
          <w:sz w:val="21"/>
          <w:szCs w:val="21"/>
          <w:highlight w:val="none"/>
          <w:u w:val="single"/>
        </w:rPr>
        <w:t>除开放计划外的其他时间，管理人不接受投资者申购、赎回申请。</w:t>
      </w:r>
      <w:r>
        <w:rPr>
          <w:rFonts w:hint="eastAsia" w:ascii="楷体" w:hAnsi="楷体" w:eastAsia="楷体" w:cs="Calibri"/>
          <w:sz w:val="21"/>
          <w:szCs w:val="21"/>
          <w:highlight w:val="none"/>
        </w:rPr>
        <w:t>后续投资周期及开放计划受资产运作情况、节假日安排等要素限制，管理人将在每个投资周期结束前通过本理财产品说明书约定的方式披露下一周期开放计划。</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（二）申购、赎回的规则</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1.</w:t>
      </w:r>
      <w:r>
        <w:rPr>
          <w:rFonts w:hint="eastAsia" w:ascii="楷体" w:hAnsi="楷体" w:eastAsia="楷体" w:cs="Calibri"/>
          <w:sz w:val="21"/>
          <w:szCs w:val="21"/>
          <w:highlight w:val="none"/>
        </w:rPr>
        <w:t>申购、赎回的原则：投资者必须在产品开放计划内提出申购、赎回申请</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采用金额申购、份额赎回的原则，即申购以金额申请，赎回以份额申请。投资者提出申购申请时，须备足购买资金</w:t>
      </w:r>
      <w:r>
        <w:rPr>
          <w:rFonts w:hint="eastAsia" w:ascii="楷体" w:hAnsi="楷体" w:eastAsia="楷体" w:cs="Calibri"/>
          <w:sz w:val="21"/>
          <w:szCs w:val="21"/>
          <w:highlight w:val="none"/>
          <w:lang w:val="en-US" w:eastAsia="zh-CN"/>
        </w:rPr>
        <w:t>；</w:t>
      </w:r>
      <w:r>
        <w:rPr>
          <w:rFonts w:hint="eastAsia" w:ascii="楷体" w:hAnsi="楷体" w:eastAsia="楷体" w:cs="Calibri"/>
          <w:sz w:val="21"/>
          <w:szCs w:val="21"/>
          <w:highlight w:val="none"/>
        </w:rPr>
        <w:t>投资者提出赎回申请时，须有足够的理财产品份额余额。在开放计划内提交的申购/赎回申请可以在产品开放日</w:t>
      </w:r>
      <w:r>
        <w:rPr>
          <w:rFonts w:hint="eastAsia" w:ascii="楷体" w:hAnsi="楷体" w:eastAsia="楷体" w:cs="Calibri"/>
          <w:sz w:val="21"/>
          <w:szCs w:val="21"/>
          <w:highlight w:val="none"/>
          <w:lang w:val="en-US" w:eastAsia="zh-CN"/>
        </w:rPr>
        <w:t>闭市</w:t>
      </w:r>
      <w:r>
        <w:rPr>
          <w:rFonts w:hint="eastAsia" w:ascii="楷体" w:hAnsi="楷体" w:eastAsia="楷体" w:cs="Calibri"/>
          <w:sz w:val="21"/>
          <w:szCs w:val="21"/>
          <w:highlight w:val="none"/>
        </w:rPr>
        <w:t>前撤销，之后不得撤销。</w:t>
      </w:r>
      <w:r>
        <w:rPr>
          <w:rFonts w:hint="eastAsia" w:ascii="楷体" w:hAnsi="楷体" w:eastAsia="楷体"/>
          <w:sz w:val="21"/>
          <w:szCs w:val="21"/>
          <w:highlight w:val="none"/>
        </w:rPr>
        <w:t>（</w:t>
      </w:r>
      <w:r>
        <w:rPr>
          <w:rFonts w:hint="eastAsia" w:ascii="楷体" w:hAnsi="楷体" w:eastAsia="楷体" w:cs="Calibri"/>
          <w:sz w:val="21"/>
          <w:szCs w:val="21"/>
          <w:highlight w:val="none"/>
          <w:lang w:val="en-US" w:eastAsia="zh-CN"/>
        </w:rPr>
        <w:t>闭市时间</w:t>
      </w:r>
      <w:r>
        <w:rPr>
          <w:rFonts w:hint="eastAsia" w:ascii="楷体" w:hAnsi="楷体" w:eastAsia="楷体"/>
          <w:sz w:val="21"/>
          <w:szCs w:val="21"/>
          <w:highlight w:val="none"/>
        </w:rPr>
        <w:t>以各销售机构设置为准）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2.</w:t>
      </w:r>
      <w:r>
        <w:rPr>
          <w:rFonts w:hint="eastAsia" w:ascii="楷体" w:hAnsi="楷体" w:eastAsia="楷体" w:cs="Calibri"/>
          <w:sz w:val="21"/>
          <w:szCs w:val="21"/>
          <w:highlight w:val="none"/>
        </w:rPr>
        <w:t>申购、赎回的确认：投资者申购/赎回本产品时采用“未知价”原则，投资者在开放计划时间内通过销售机构提出的申购/赎回申请，管理人于开放日后1个工作日按开放日单位净值对申购/赎回申请予以统一确认，未赎回的份额自动进入下一个投资周期。</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cs="Calibri"/>
          <w:sz w:val="21"/>
          <w:szCs w:val="21"/>
          <w:highlight w:val="none"/>
          <w:lang w:val="en-US" w:eastAsia="zh-CN"/>
        </w:rPr>
        <w:t>管理人在份额登记日对投资者的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申请登记成功后并收到投资者全额交付的款项，视为投资者的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申请生效。投资者应在</w:t>
      </w:r>
      <w:r>
        <w:rPr>
          <w:rFonts w:hint="eastAsia" w:ascii="楷体" w:hAnsi="楷体" w:eastAsia="楷体"/>
          <w:sz w:val="21"/>
          <w:szCs w:val="21"/>
          <w:highlight w:val="none"/>
        </w:rPr>
        <w:t>开放日后</w:t>
      </w:r>
      <w:r>
        <w:rPr>
          <w:rFonts w:hint="eastAsia" w:ascii="楷体" w:hAnsi="楷体" w:eastAsia="楷体" w:cs="Calibri"/>
          <w:sz w:val="21"/>
          <w:szCs w:val="21"/>
          <w:highlight w:val="none"/>
          <w:lang w:val="en-US" w:eastAsia="zh-CN"/>
        </w:rPr>
        <w:t>及时查询最终的成交情况以及</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的份额。</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和销售机构的事由出现，造成申购</w:t>
      </w:r>
      <w:r>
        <w:rPr>
          <w:rFonts w:hint="eastAsia" w:ascii="楷体" w:hAnsi="楷体" w:eastAsia="楷体" w:cs="Calibri"/>
          <w:sz w:val="21"/>
          <w:szCs w:val="21"/>
          <w:highlight w:val="none"/>
          <w:lang w:val="en-US" w:eastAsia="zh-CN"/>
        </w:rPr>
        <w:t>申请</w:t>
      </w:r>
      <w:r>
        <w:rPr>
          <w:rFonts w:hint="eastAsia" w:ascii="楷体" w:hAnsi="楷体" w:eastAsia="楷体"/>
          <w:sz w:val="21"/>
          <w:szCs w:val="21"/>
          <w:highlight w:val="none"/>
        </w:rPr>
        <w:t>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投资者赎回资金将在确认日后2个工作日内到达投资者资金账户。</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（三）申购份额的计算</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申购份额=申购金额/开放日产品单位净值</w:t>
      </w:r>
      <w:r>
        <w:rPr>
          <w:rFonts w:hint="eastAsia" w:ascii="楷体" w:hAnsi="楷体" w:eastAsia="楷体"/>
          <w:sz w:val="21"/>
          <w:szCs w:val="21"/>
          <w:highlight w:val="none"/>
          <w:lang w:eastAsia="zh-CN"/>
        </w:rPr>
        <w:t>，</w:t>
      </w:r>
      <w:r>
        <w:rPr>
          <w:rFonts w:hint="eastAsia" w:ascii="楷体" w:hAnsi="楷体" w:eastAsia="楷体"/>
          <w:sz w:val="21"/>
          <w:szCs w:val="21"/>
          <w:highlight w:val="none"/>
        </w:rPr>
        <w:t>申购份额以四舍五入的方法保留到小数点后两位。</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（四）赎回金额的计算</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赎回金额=赎回份额*开放日产品单位净值</w:t>
      </w:r>
      <w:r>
        <w:rPr>
          <w:rFonts w:hint="eastAsia" w:ascii="楷体" w:hAnsi="楷体" w:eastAsia="楷体"/>
          <w:sz w:val="21"/>
          <w:szCs w:val="21"/>
          <w:highlight w:val="none"/>
          <w:lang w:val="en-US" w:eastAsia="zh-CN"/>
        </w:rPr>
        <w:t>-超额业绩报酬（如有）</w:t>
      </w:r>
      <w:r>
        <w:rPr>
          <w:rFonts w:hint="eastAsia" w:ascii="楷体" w:hAnsi="楷体" w:eastAsia="楷体"/>
          <w:sz w:val="21"/>
          <w:szCs w:val="21"/>
          <w:highlight w:val="none"/>
          <w:lang w:eastAsia="zh-CN"/>
        </w:rPr>
        <w:t>，</w:t>
      </w:r>
      <w:r>
        <w:rPr>
          <w:rFonts w:hint="eastAsia" w:ascii="楷体" w:hAnsi="楷体" w:eastAsia="楷体"/>
          <w:sz w:val="21"/>
          <w:szCs w:val="21"/>
          <w:highlight w:val="none"/>
        </w:rPr>
        <w:t>赎回金额以四舍五入的方法保留到小数点后两位。</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（五）巨额赎回：详见“关键要素”。</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（六）特殊情形及处理</w:t>
      </w:r>
    </w:p>
    <w:p>
      <w:pPr>
        <w:keepNext w:val="0"/>
        <w:keepLines w:val="0"/>
        <w:pageBreakBefore w:val="0"/>
        <w:bidi w:val="0"/>
        <w:spacing w:line="310" w:lineRule="exact"/>
        <w:ind w:firstLine="420"/>
        <w:rPr>
          <w:rFonts w:ascii="楷体" w:hAnsi="楷体" w:eastAsia="楷体"/>
          <w:b w:val="0"/>
          <w:bCs w:val="0"/>
          <w:sz w:val="21"/>
          <w:szCs w:val="21"/>
          <w:highlight w:val="none"/>
        </w:rPr>
      </w:pPr>
      <w:r>
        <w:rPr>
          <w:rFonts w:ascii="楷体" w:hAnsi="楷体" w:eastAsia="楷体"/>
          <w:b w:val="0"/>
          <w:bCs w:val="0"/>
          <w:sz w:val="21"/>
          <w:szCs w:val="21"/>
          <w:highlight w:val="none"/>
        </w:rPr>
        <w:t>1.</w:t>
      </w:r>
      <w:r>
        <w:rPr>
          <w:rFonts w:hint="eastAsia" w:ascii="楷体" w:hAnsi="楷体" w:eastAsia="楷体"/>
          <w:b w:val="0"/>
          <w:bCs w:val="0"/>
          <w:sz w:val="21"/>
          <w:szCs w:val="21"/>
          <w:highlight w:val="none"/>
        </w:rPr>
        <w:t>除以下情形外，管理人不得拒绝接受或暂停接受投资者的申购申请：</w:t>
      </w:r>
    </w:p>
    <w:p>
      <w:pPr>
        <w:keepNext w:val="0"/>
        <w:keepLines w:val="0"/>
        <w:pageBreakBefore w:val="0"/>
        <w:numPr>
          <w:ilvl w:val="0"/>
          <w:numId w:val="0"/>
        </w:numPr>
        <w:tabs>
          <w:tab w:val="left" w:pos="728"/>
        </w:tabs>
        <w:bidi w:val="0"/>
        <w:spacing w:line="310" w:lineRule="exact"/>
        <w:ind w:left="0" w:firstLine="42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（1）不可抗力的原因导致产品无法正常运作</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（2）超出产品单一投资者持有上限</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3</w:t>
      </w:r>
      <w:r>
        <w:rPr>
          <w:rFonts w:hint="eastAsia" w:ascii="楷体" w:hAnsi="楷体" w:eastAsia="楷体" w:cs="Calibri"/>
          <w:sz w:val="21"/>
          <w:szCs w:val="21"/>
          <w:highlight w:val="none"/>
        </w:rPr>
        <w:t>）发生《理财产品说明书》约定的暂停估值的情形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）管理人接受某笔或者某些申购申请有可能导致单一投资者持有理财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份额的比例达到或者超过50%的情形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）当接受某笔或某些申购申请可能对存量理财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）法律、法规规定认定的其他情形。</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highlight w:val="none"/>
        </w:rPr>
      </w:pPr>
      <w:r>
        <w:rPr>
          <w:rFonts w:hint="eastAsia" w:ascii="楷体" w:hAnsi="楷体" w:eastAsia="楷体" w:cs="Calibri"/>
          <w:sz w:val="21"/>
          <w:szCs w:val="21"/>
          <w:highlight w:val="none"/>
        </w:rPr>
        <w:t>若管理人决定拒绝接受或暂停接受投资者的申购申请，则将会在3个交易日内根据《理财产品说明书》约定的信息披露方式向投资者进行信息披露。若投资者的全部或部分申购申请被拒绝，被拒绝申购款项本金将退还给投资者。在上述暂停或拒绝申购的情况消除后，管理人将及时恢复申购业务的办理。</w:t>
      </w:r>
    </w:p>
    <w:p>
      <w:pPr>
        <w:keepNext w:val="0"/>
        <w:keepLines w:val="0"/>
        <w:pageBreakBefore w:val="0"/>
        <w:bidi w:val="0"/>
        <w:spacing w:line="310" w:lineRule="exact"/>
        <w:ind w:firstLine="420"/>
        <w:rPr>
          <w:rFonts w:ascii="楷体" w:hAnsi="楷体" w:eastAsia="楷体"/>
          <w:b w:val="0"/>
          <w:bCs w:val="0"/>
          <w:sz w:val="21"/>
          <w:szCs w:val="21"/>
          <w:highlight w:val="none"/>
        </w:rPr>
      </w:pPr>
      <w:r>
        <w:rPr>
          <w:rFonts w:ascii="楷体" w:hAnsi="楷体" w:eastAsia="楷体"/>
          <w:b w:val="0"/>
          <w:bCs w:val="0"/>
          <w:sz w:val="21"/>
          <w:szCs w:val="21"/>
          <w:highlight w:val="none"/>
        </w:rPr>
        <w:t>2.</w:t>
      </w:r>
      <w:r>
        <w:rPr>
          <w:rFonts w:hint="eastAsia" w:ascii="楷体" w:hAnsi="楷体" w:eastAsia="楷体"/>
          <w:b w:val="0"/>
          <w:bCs w:val="0"/>
          <w:sz w:val="21"/>
          <w:szCs w:val="21"/>
          <w:highlight w:val="none"/>
        </w:rPr>
        <w:t>除以下情形外，管理人不得暂停接受投资者的赎回申请或延缓支付赎回款项：</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（1）不可抗力的原因导致管理人不能支付赎回款项</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（2）触发巨额赎回条款</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（3）发生《理财产品说明书》约定的暂停估值的情形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（4）当接受某笔或某些赎回申请可能对存量理财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（5）法律、法规规定认定的其他情形。</w:t>
      </w:r>
    </w:p>
    <w:p>
      <w:pPr>
        <w:keepNext w:val="0"/>
        <w:keepLines w:val="0"/>
        <w:pageBreakBefore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rPr>
        <w:t>若管理人决定</w:t>
      </w:r>
      <w:r>
        <w:rPr>
          <w:rFonts w:hint="eastAsia" w:ascii="楷体" w:hAnsi="楷体" w:eastAsia="楷体"/>
          <w:sz w:val="21"/>
          <w:szCs w:val="21"/>
          <w:highlight w:val="none"/>
        </w:rPr>
        <w:t>暂停接受投资者的赎回申请或延缓支付赎回款项</w:t>
      </w:r>
      <w:r>
        <w:rPr>
          <w:rFonts w:hint="eastAsia" w:ascii="楷体" w:hAnsi="楷体" w:eastAsia="楷体" w:cs="Calibri"/>
          <w:sz w:val="21"/>
          <w:szCs w:val="21"/>
          <w:highlight w:val="none"/>
        </w:rPr>
        <w:t>，则将会在3个交易日内根据《理财产品说明书》约定的信息披露方式向投资者进行信息披露。若投资者的全部或部分赎回申请被拒绝，投资者可将当日未能受理部分予以撤销。在上述</w:t>
      </w:r>
      <w:r>
        <w:rPr>
          <w:rFonts w:hint="eastAsia" w:ascii="楷体" w:hAnsi="楷体" w:eastAsia="楷体"/>
          <w:sz w:val="21"/>
          <w:szCs w:val="21"/>
          <w:highlight w:val="none"/>
        </w:rPr>
        <w:t>暂停接受投资者的赎回申请或延缓支付赎回款项的情况消除后</w:t>
      </w:r>
      <w:r>
        <w:rPr>
          <w:rFonts w:hint="eastAsia" w:ascii="楷体" w:hAnsi="楷体" w:eastAsia="楷体" w:cs="Calibri"/>
          <w:sz w:val="21"/>
          <w:szCs w:val="21"/>
          <w:highlight w:val="none"/>
        </w:rPr>
        <w:t>，管理人将及时恢复</w:t>
      </w:r>
      <w:r>
        <w:rPr>
          <w:rFonts w:hint="eastAsia" w:ascii="楷体" w:hAnsi="楷体" w:eastAsia="楷体" w:cs="Calibri"/>
          <w:sz w:val="21"/>
          <w:szCs w:val="21"/>
          <w:highlight w:val="none"/>
          <w:lang w:val="en-US" w:eastAsia="zh-CN"/>
        </w:rPr>
        <w:t>赎回</w:t>
      </w:r>
      <w:r>
        <w:rPr>
          <w:rFonts w:hint="eastAsia" w:ascii="楷体" w:hAnsi="楷体" w:eastAsia="楷体" w:cs="Calibri"/>
          <w:sz w:val="21"/>
          <w:szCs w:val="21"/>
          <w:highlight w:val="none"/>
        </w:rPr>
        <w:t>业务的办理。</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八、期间收益分配</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本产品</w:t>
      </w:r>
      <w:r>
        <w:rPr>
          <w:rFonts w:hint="eastAsia" w:ascii="楷体" w:hAnsi="楷体" w:eastAsia="楷体"/>
          <w:sz w:val="21"/>
          <w:szCs w:val="21"/>
          <w:highlight w:val="none"/>
          <w:lang w:val="en-US" w:eastAsia="zh-CN"/>
        </w:rPr>
        <w:t>计划</w:t>
      </w:r>
      <w:r>
        <w:rPr>
          <w:rFonts w:hint="eastAsia" w:ascii="楷体" w:hAnsi="楷体" w:eastAsia="楷体"/>
          <w:sz w:val="21"/>
          <w:szCs w:val="21"/>
          <w:highlight w:val="none"/>
        </w:rPr>
        <w:t>按投资周期进行现金分红。当一个投资周期结束，在满足投资周期终止日理财产品单位净值大于面值的条件下，管理人可进行现金分红，现金分红金额为单个投资周期投资产生的收益扣除固定费用（包括托管费、销售服务费、固定管理费等）、运作产品所必须缴纳的税费、提取超额业绩报酬（如有）后的部分，现金分红将于投资周期终止日后2个工作日内分配至投资者资金账户。</w:t>
      </w:r>
    </w:p>
    <w:p>
      <w:pPr>
        <w:keepNext w:val="0"/>
        <w:keepLines w:val="0"/>
        <w:pageBreakBefore w:val="0"/>
        <w:bidi w:val="0"/>
        <w:spacing w:line="310" w:lineRule="exact"/>
        <w:ind w:firstLine="422"/>
        <w:rPr>
          <w:rFonts w:hint="eastAsia" w:ascii="楷体" w:hAnsi="楷体" w:eastAsia="楷体"/>
          <w:sz w:val="21"/>
          <w:szCs w:val="21"/>
          <w:highlight w:val="none"/>
          <w:lang w:eastAsia="zh-CN"/>
        </w:rPr>
      </w:pPr>
      <w:r>
        <w:rPr>
          <w:rFonts w:hint="eastAsia" w:ascii="楷体" w:hAnsi="楷体" w:eastAsia="楷体"/>
          <w:b/>
          <w:sz w:val="21"/>
          <w:szCs w:val="21"/>
          <w:highlight w:val="none"/>
          <w:u w:val="single"/>
        </w:rPr>
        <w:t>以下示例均为假设情况，不代表本产品实际投资业绩</w:t>
      </w:r>
      <w:r>
        <w:rPr>
          <w:rFonts w:hint="eastAsia" w:ascii="楷体" w:hAnsi="楷体" w:eastAsia="楷体"/>
          <w:b/>
          <w:sz w:val="21"/>
          <w:szCs w:val="21"/>
          <w:highlight w:val="none"/>
          <w:u w:val="single"/>
          <w:lang w:eastAsia="zh-CN"/>
        </w:rPr>
        <w:t>。</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1.情景一</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在投资周期终止日扣除固定费用（包括托管费、销售服务费、固定管理费等）、运作产品所必须缴纳的税费、提取超额业绩报酬（如有）后，产品单位净值为1.0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2000。理财产品单位净值大于面值，管理人可进行现金分红，每份额可获得的现金分红为0.0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该投资周期投资者可得分红=10,000.00×0.0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20.00（元）</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2.情景二</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在投资周期终止日扣除固定费用（包括托管费、销售服务费、固定管理费等）、运作产品所必须缴纳的税费、提取超额业绩报酬（如有）后，产品单位净值为0.997500。理财产品单位净值小于面值，该投资周期无现金分红。</w:t>
      </w:r>
    </w:p>
    <w:p>
      <w:pPr>
        <w:keepNext w:val="0"/>
        <w:keepLines w:val="0"/>
        <w:pageBreakBefore w:val="0"/>
        <w:bidi w:val="0"/>
        <w:spacing w:line="310" w:lineRule="exact"/>
        <w:ind w:firstLine="422"/>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上述情况假设仅用于向投资者示例现金分红计算方法之用，并不代表管理人对实际分红情况的预期判断，也不代表以上所有情形或某一情形一定会发生，或管理人认为发生的可能性很大。投资者获得的最终</w:t>
      </w:r>
      <w:r>
        <w:rPr>
          <w:rFonts w:hint="eastAsia" w:ascii="楷体" w:hAnsi="楷体" w:eastAsia="楷体"/>
          <w:b/>
          <w:sz w:val="21"/>
          <w:szCs w:val="21"/>
          <w:highlight w:val="none"/>
          <w:u w:val="single"/>
          <w:lang w:val="en-US" w:eastAsia="zh-CN"/>
        </w:rPr>
        <w:t>收益</w:t>
      </w:r>
      <w:r>
        <w:rPr>
          <w:rFonts w:hint="eastAsia" w:ascii="楷体" w:hAnsi="楷体" w:eastAsia="楷体"/>
          <w:b/>
          <w:sz w:val="21"/>
          <w:szCs w:val="21"/>
          <w:highlight w:val="none"/>
          <w:u w:val="single"/>
        </w:rPr>
        <w:t>以产品实际运作表现及管理人实际支付为准。</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九、产品终止</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（一）提前终止</w:t>
      </w:r>
    </w:p>
    <w:p>
      <w:pPr>
        <w:keepNext w:val="0"/>
        <w:keepLines w:val="0"/>
        <w:pageBreakBefore w:val="0"/>
        <w:numPr>
          <w:ilvl w:val="0"/>
          <w:numId w:val="0"/>
        </w:numPr>
        <w:bidi w:val="0"/>
        <w:spacing w:line="310" w:lineRule="exact"/>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（二）正常终止</w:t>
      </w:r>
    </w:p>
    <w:p>
      <w:pPr>
        <w:keepNext w:val="0"/>
        <w:keepLines w:val="0"/>
        <w:pageBreakBefore w:val="0"/>
        <w:bidi w:val="0"/>
        <w:spacing w:line="310" w:lineRule="exact"/>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（三）延期终止</w:t>
      </w:r>
    </w:p>
    <w:p>
      <w:pPr>
        <w:keepNext w:val="0"/>
        <w:keepLines w:val="0"/>
        <w:pageBreakBefore w:val="0"/>
        <w:bidi w:val="0"/>
        <w:spacing w:line="310" w:lineRule="exact"/>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（四）投资者可得资金计算</w:t>
      </w:r>
    </w:p>
    <w:p>
      <w:pPr>
        <w:keepNext w:val="0"/>
        <w:keepLines w:val="0"/>
        <w:pageBreakBefore w:val="0"/>
        <w:bidi w:val="0"/>
        <w:spacing w:line="310" w:lineRule="exact"/>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（五）终止清算</w:t>
      </w:r>
    </w:p>
    <w:p>
      <w:pPr>
        <w:keepNext w:val="0"/>
        <w:keepLines w:val="0"/>
        <w:pageBreakBefore w:val="0"/>
        <w:pBdr>
          <w:top w:val="none" w:color="000000" w:sz="0" w:space="0"/>
          <w:left w:val="none" w:color="000000" w:sz="0" w:space="0"/>
          <w:bottom w:val="none" w:color="000000" w:sz="0" w:space="0"/>
          <w:right w:val="none" w:color="000000" w:sz="0" w:space="0"/>
        </w:pBdr>
        <w:spacing w:line="310" w:lineRule="exact"/>
        <w:ind w:firstLine="420"/>
      </w:pPr>
      <w:r>
        <w:rPr>
          <w:rFonts w:hint="eastAsia" w:ascii="楷体" w:hAnsi="楷体" w:eastAsia="楷体" w:cs="楷体"/>
          <w:b w:val="0"/>
          <w:bCs w:val="0"/>
          <w:color w:val="auto"/>
          <w:sz w:val="21"/>
          <w:szCs w:val="21"/>
          <w:highlight w:val="none"/>
        </w:rPr>
        <w:t>投资者的投资本金和收益（如有）将于产品到期日</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产品终止日）</w:t>
      </w:r>
      <w:r>
        <w:rPr>
          <w:rFonts w:hint="eastAsia" w:ascii="楷体" w:hAnsi="楷体" w:eastAsia="楷体" w:cs="楷体"/>
          <w:b w:val="0"/>
          <w:bCs w:val="0"/>
          <w:color w:val="auto"/>
          <w:sz w:val="21"/>
          <w:szCs w:val="21"/>
          <w:highlight w:val="none"/>
        </w:rPr>
        <w:t>后5个工作日以内划至投资者指定账户，如遇</w:t>
      </w:r>
      <w:r>
        <w:rPr>
          <w:rFonts w:hint="eastAsia" w:ascii="楷体" w:hAnsi="楷体" w:eastAsia="楷体" w:cs="楷体"/>
          <w:b w:val="0"/>
          <w:bCs w:val="0"/>
          <w:color w:val="auto"/>
          <w:sz w:val="21"/>
          <w:szCs w:val="21"/>
          <w:highlight w:val="none"/>
          <w:lang w:val="en-US" w:eastAsia="zh-CN"/>
        </w:rPr>
        <w:t>非工作日</w:t>
      </w:r>
      <w:r>
        <w:rPr>
          <w:rFonts w:hint="eastAsia" w:ascii="楷体" w:hAnsi="楷体" w:eastAsia="楷体" w:cs="楷体"/>
          <w:b w:val="0"/>
          <w:bCs w:val="0"/>
          <w:color w:val="auto"/>
          <w:sz w:val="21"/>
          <w:szCs w:val="21"/>
          <w:highlight w:val="none"/>
        </w:rPr>
        <w:t>则相应顺延。信息披露方式详见下文“信息披露-到期公告”。如预期无法</w:t>
      </w:r>
      <w:r>
        <w:rPr>
          <w:rFonts w:hint="eastAsia" w:ascii="楷体" w:hAnsi="楷体" w:eastAsia="楷体" w:cs="楷体"/>
          <w:b w:val="0"/>
          <w:bCs w:val="0"/>
          <w:color w:val="auto"/>
          <w:sz w:val="21"/>
          <w:szCs w:val="21"/>
          <w:highlight w:val="none"/>
          <w:lang w:val="en-US" w:eastAsia="zh-CN"/>
        </w:rPr>
        <w:t>在</w:t>
      </w:r>
      <w:r>
        <w:rPr>
          <w:rFonts w:hint="eastAsia" w:ascii="楷体" w:hAnsi="楷体" w:eastAsia="楷体" w:cs="楷体"/>
          <w:b w:val="0"/>
          <w:bCs w:val="0"/>
          <w:color w:val="auto"/>
          <w:sz w:val="21"/>
          <w:szCs w:val="21"/>
          <w:highlight w:val="none"/>
        </w:rPr>
        <w:t>规定的清算期内完成清算，管理人</w:t>
      </w:r>
      <w:r>
        <w:rPr>
          <w:rFonts w:hint="eastAsia" w:ascii="楷体" w:hAnsi="楷体" w:eastAsia="楷体" w:cs="楷体"/>
          <w:b w:val="0"/>
          <w:bCs w:val="0"/>
          <w:color w:val="auto"/>
          <w:sz w:val="21"/>
          <w:szCs w:val="21"/>
          <w:highlight w:val="none"/>
          <w:lang w:val="en-US" w:eastAsia="zh-CN"/>
        </w:rPr>
        <w:t>将</w:t>
      </w:r>
      <w:r>
        <w:rPr>
          <w:rFonts w:hint="eastAsia" w:ascii="楷体" w:hAnsi="楷体" w:eastAsia="楷体" w:cs="楷体"/>
          <w:b w:val="0"/>
          <w:bCs w:val="0"/>
          <w:color w:val="auto"/>
          <w:sz w:val="21"/>
          <w:szCs w:val="21"/>
          <w:highlight w:val="none"/>
        </w:rPr>
        <w:t>在原清算期结束前向投资者进行披露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理财产品终止清算后，因发生无法预期事项</w:t>
      </w:r>
      <w:r>
        <w:rPr>
          <w:rFonts w:hint="eastAsia" w:ascii="楷体" w:hAnsi="楷体" w:eastAsia="楷体" w:cs="楷体"/>
          <w:b w:val="0"/>
          <w:bCs w:val="0"/>
          <w:color w:val="auto"/>
          <w:sz w:val="21"/>
          <w:szCs w:val="21"/>
          <w:highlight w:val="none"/>
          <w:lang w:val="en-US" w:eastAsia="zh-CN"/>
        </w:rPr>
        <w:t>须</w:t>
      </w:r>
      <w:r>
        <w:rPr>
          <w:rFonts w:hint="eastAsia" w:ascii="楷体" w:hAnsi="楷体" w:eastAsia="楷体" w:cs="楷体"/>
          <w:b w:val="0"/>
          <w:bCs w:val="0"/>
          <w:color w:val="auto"/>
          <w:sz w:val="21"/>
          <w:szCs w:val="21"/>
          <w:highlight w:val="none"/>
        </w:rPr>
        <w:t>再次清算的，</w:t>
      </w:r>
      <w:r>
        <w:rPr>
          <w:rFonts w:hint="eastAsia" w:ascii="楷体" w:hAnsi="楷体" w:eastAsia="楷体" w:cs="楷体"/>
          <w:b w:val="0"/>
          <w:bCs w:val="0"/>
          <w:color w:val="auto"/>
          <w:sz w:val="21"/>
          <w:szCs w:val="21"/>
          <w:highlight w:val="none"/>
          <w:lang w:val="en-US" w:eastAsia="zh-CN"/>
        </w:rPr>
        <w:t>管理人将</w:t>
      </w:r>
      <w:r>
        <w:rPr>
          <w:rFonts w:hint="eastAsia" w:ascii="楷体" w:hAnsi="楷体" w:eastAsia="楷体" w:cs="楷体"/>
          <w:b w:val="0"/>
          <w:bCs w:val="0"/>
          <w:color w:val="auto"/>
          <w:sz w:val="21"/>
          <w:szCs w:val="21"/>
          <w:highlight w:val="none"/>
        </w:rPr>
        <w:t>在完成再次清算之日起</w:t>
      </w:r>
      <w:r>
        <w:rPr>
          <w:rFonts w:hint="eastAsia" w:ascii="楷体" w:hAnsi="楷体" w:eastAsia="楷体" w:cs="楷体"/>
          <w:b w:val="0"/>
          <w:bCs w:val="0"/>
          <w:color w:val="auto"/>
          <w:sz w:val="21"/>
          <w:szCs w:val="21"/>
          <w:highlight w:val="none"/>
          <w:lang w:val="en-US" w:eastAsia="zh-CN"/>
        </w:rPr>
        <w:t>2</w:t>
      </w:r>
      <w:r>
        <w:rPr>
          <w:rFonts w:hint="eastAsia" w:ascii="楷体" w:hAnsi="楷体" w:eastAsia="楷体" w:cs="楷体"/>
          <w:b w:val="0"/>
          <w:bCs w:val="0"/>
          <w:color w:val="auto"/>
          <w:sz w:val="21"/>
          <w:szCs w:val="21"/>
          <w:highlight w:val="none"/>
        </w:rPr>
        <w:t>个工作日内，向投资者披露清算资金分配情况等信息。信息披露方式详见下文“信息披露”</w:t>
      </w:r>
      <w:r>
        <w:rPr>
          <w:rFonts w:ascii="楷体" w:hAnsi="楷体" w:eastAsia="楷体" w:cs="楷体"/>
          <w:color w:val="000000"/>
          <w:sz w:val="22"/>
        </w:rPr>
        <w:t>。</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十、情景示例</w:t>
      </w:r>
    </w:p>
    <w:p>
      <w:pPr>
        <w:keepNext w:val="0"/>
        <w:keepLines w:val="0"/>
        <w:pageBreakBefore w:val="0"/>
        <w:bidi w:val="0"/>
        <w:spacing w:line="310" w:lineRule="exact"/>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keepNext w:val="0"/>
        <w:keepLines w:val="0"/>
        <w:pageBreakBefore w:val="0"/>
        <w:bidi w:val="0"/>
        <w:spacing w:line="310" w:lineRule="exact"/>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十一、产品估值</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（一）估值对象</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（二）估值目的和估值原则</w:t>
      </w:r>
    </w:p>
    <w:p>
      <w:pPr>
        <w:keepNext w:val="0"/>
        <w:keepLines w:val="0"/>
        <w:pageBreakBefore w:val="0"/>
        <w:numPr>
          <w:ilvl w:val="0"/>
          <w:numId w:val="0"/>
        </w:numPr>
        <w:tabs>
          <w:tab w:val="left" w:pos="728"/>
        </w:tabs>
        <w:bidi w:val="0"/>
        <w:spacing w:line="310" w:lineRule="exact"/>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（三）估值方法</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（四）估值错误的处理</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（五）暂停估值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（六）产品单位净值的计算</w:t>
      </w:r>
    </w:p>
    <w:p>
      <w:pPr>
        <w:keepNext w:val="0"/>
        <w:keepLines w:val="0"/>
        <w:pageBreakBefore w:val="0"/>
        <w:numPr>
          <w:ilvl w:val="0"/>
          <w:numId w:val="0"/>
        </w:numPr>
        <w:tabs>
          <w:tab w:val="left" w:pos="728"/>
        </w:tabs>
        <w:bidi w:val="0"/>
        <w:spacing w:line="310" w:lineRule="exact"/>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十二、风险提示</w:t>
      </w:r>
    </w:p>
    <w:p>
      <w:pPr>
        <w:keepNext w:val="0"/>
        <w:keepLines w:val="0"/>
        <w:pageBreakBefore w:val="0"/>
        <w:bidi w:val="0"/>
        <w:spacing w:line="310" w:lineRule="exact"/>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u w:val="single"/>
        </w:rPr>
        <w:t>在理财产品开放日净赎回额（赎回申请份额总数扣除申购申请份额总数）超过理财产品存续份额10%时，即为发生巨额赎回，此时苏银理财有权拒绝赎回申请，这可能影响投资者的资金安排，带来流动性风险。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bidi w:val="0"/>
        <w:spacing w:line="310" w:lineRule="exact"/>
        <w:ind w:firstLine="420"/>
        <w:rPr>
          <w:rFonts w:hint="default"/>
          <w:highlight w:val="none"/>
          <w:lang w:val="en-US" w:eastAsia="zh-CN"/>
        </w:rPr>
      </w:pPr>
      <w:r>
        <w:rPr>
          <w:rFonts w:hint="eastAsia" w:ascii="楷体" w:hAnsi="楷体" w:eastAsia="楷体"/>
          <w:color w:val="auto"/>
          <w:sz w:val="21"/>
          <w:szCs w:val="21"/>
          <w:highlight w:val="none"/>
          <w:lang w:val="en-US" w:eastAsia="zh-CN"/>
        </w:rPr>
        <w:t xml:space="preserve">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 </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十三、信息披露</w:t>
      </w:r>
      <w:bookmarkEnd w:id="0"/>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（一）信息披露渠道</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1.管理人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2.管理人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keepNext w:val="0"/>
        <w:keepLines w:val="0"/>
        <w:pageBreakBefore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（二）信息披露内容及时间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定期公告：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w:t>
      </w:r>
      <w:r>
        <w:rPr>
          <w:rFonts w:hint="eastAsia" w:ascii="楷体" w:hAnsi="楷体" w:eastAsia="楷体" w:cs="楷体"/>
          <w:color w:val="auto"/>
          <w:sz w:val="21"/>
          <w:szCs w:val="21"/>
          <w:highlight w:val="none"/>
          <w:lang w:val="en-US" w:eastAsia="zh-CN"/>
        </w:rPr>
        <w:t>90</w:t>
      </w:r>
      <w:r>
        <w:rPr>
          <w:rFonts w:hint="eastAsia" w:ascii="楷体" w:hAnsi="楷体" w:eastAsia="楷体" w:cs="楷体"/>
          <w:color w:val="auto"/>
          <w:sz w:val="21"/>
          <w:szCs w:val="21"/>
          <w:highlight w:val="none"/>
        </w:rPr>
        <w:t>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4.</w:t>
      </w: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5.事前临时性信息披露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（1）变更或调整本理财产品的产品类型、投资范围、风险等级、产品期限、运作方式、认（申）购和赎回安排（包含认购或申购赎回时间、金额上下限等）、估值方法、收益分配安排、收费项目或收费标准。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（2）增设份额类别。</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（3）对已约定的收费项目或收费标准采取优惠措施的。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（4）法律法规、监管规定及管理人认为需要向投资者事前披露的其他临时事项。</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6.事后临时性信息披露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7.</w:t>
      </w:r>
      <w:r>
        <w:rPr>
          <w:rFonts w:hint="eastAsia" w:ascii="楷体" w:hAnsi="楷体" w:eastAsia="楷体" w:cs="楷体"/>
          <w:color w:val="auto"/>
          <w:sz w:val="21"/>
          <w:szCs w:val="21"/>
          <w:highlight w:val="none"/>
        </w:rPr>
        <w:t>半年度整体报告：每半年披露从事理财业务活动的有关信息。</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lang w:val="en-US" w:eastAsia="zh-CN"/>
        </w:rPr>
        <w:t>8.</w:t>
      </w: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0"/>
        </w:numPr>
        <w:tabs>
          <w:tab w:val="left" w:pos="1134"/>
        </w:tabs>
        <w:bidi w:val="0"/>
        <w:spacing w:line="310" w:lineRule="exact"/>
        <w:ind w:firstLine="420"/>
        <w:contextualSpacing w:val="0"/>
        <w:jc w:val="both"/>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十四、其他</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（一）追索条款</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（二）信息安全</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（三）争议解决</w:t>
      </w:r>
    </w:p>
    <w:p>
      <w:pPr>
        <w:keepNext w:val="0"/>
        <w:keepLines w:val="0"/>
        <w:pageBreakBefore w:val="0"/>
        <w:bidi w:val="0"/>
        <w:spacing w:line="310" w:lineRule="exact"/>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rPr>
          <w:rFonts w:hint="eastAsia" w:ascii="楷体" w:hAnsi="楷体" w:eastAsia="楷体"/>
          <w:b/>
          <w:sz w:val="28"/>
          <w:szCs w:val="28"/>
        </w:rPr>
      </w:pPr>
      <w:r>
        <w:rPr>
          <w:rFonts w:hint="eastAsia" w:ascii="楷体" w:hAnsi="楷体" w:eastAsia="楷体"/>
          <w:b/>
          <w:sz w:val="28"/>
          <w:szCs w:val="28"/>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hint="eastAsia" w:ascii="楷体" w:hAnsi="楷体" w:eastAsia="楷体"/>
          <w:b/>
          <w:sz w:val="28"/>
          <w:szCs w:val="28"/>
        </w:rPr>
      </w:pPr>
      <w:r>
        <w:rPr>
          <w:rFonts w:hint="eastAsia" w:ascii="楷体" w:hAnsi="楷体" w:eastAsia="楷体"/>
          <w:b/>
          <w:sz w:val="28"/>
          <w:szCs w:val="28"/>
        </w:rPr>
        <w:t>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hint="eastAsia" w:ascii="楷体" w:hAnsi="楷体" w:eastAsia="楷体"/>
          <w:b/>
          <w:sz w:val="28"/>
          <w:szCs w:val="28"/>
        </w:rPr>
      </w:pPr>
      <w:r>
        <w:rPr>
          <w:rFonts w:hint="eastAsia" w:ascii="楷体" w:hAnsi="楷体" w:eastAsia="楷体"/>
          <w:b/>
          <w:sz w:val="24"/>
          <w:szCs w:val="24"/>
        </w:rPr>
        <w:t>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cs="Times New Roman"/>
          <w:b w:val="0"/>
          <w:sz w:val="21"/>
          <w:szCs w:val="21"/>
        </w:rPr>
      </w:pPr>
      <w:r>
        <w:rPr>
          <w:rFonts w:hint="eastAsia" w:ascii="楷体" w:hAnsi="楷体" w:eastAsia="楷体" w:cs="Times New Roman"/>
          <w:sz w:val="21"/>
          <w:szCs w:val="21"/>
        </w:rPr>
        <w:t>经甲方（</w:t>
      </w:r>
      <w:r>
        <w:rPr>
          <w:rFonts w:hint="eastAsia" w:ascii="楷体" w:hAnsi="楷体" w:eastAsia="楷体" w:cs="Times New Roman"/>
          <w:sz w:val="21"/>
          <w:szCs w:val="21"/>
          <w:lang w:val="en-US" w:eastAsia="zh-CN"/>
        </w:rPr>
        <w:t>投资者</w:t>
      </w:r>
      <w:r>
        <w:rPr>
          <w:rFonts w:hint="eastAsia" w:ascii="楷体" w:hAnsi="楷体" w:eastAsia="楷体" w:cs="Times New Roman"/>
          <w:sz w:val="21"/>
          <w:szCs w:val="21"/>
        </w:rPr>
        <w:t>）与乙方（</w:t>
      </w:r>
      <w:r>
        <w:rPr>
          <w:rFonts w:hint="eastAsia" w:ascii="楷体" w:hAnsi="楷体" w:eastAsia="楷体" w:cs="Times New Roman"/>
          <w:sz w:val="21"/>
          <w:szCs w:val="21"/>
          <w:lang w:val="en-US" w:eastAsia="zh-CN"/>
        </w:rPr>
        <w:t>苏银</w:t>
      </w:r>
      <w:r>
        <w:rPr>
          <w:rFonts w:hint="eastAsia" w:ascii="楷体" w:hAnsi="楷体" w:eastAsia="楷体" w:cs="Times New Roman"/>
          <w:sz w:val="21"/>
          <w:szCs w:val="21"/>
        </w:rPr>
        <w:t>理财有限责任公司</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以下简称“苏银理财”</w:t>
      </w:r>
      <w:r>
        <w:rPr>
          <w:rFonts w:hint="eastAsia" w:ascii="楷体" w:hAnsi="楷体" w:eastAsia="楷体" w:cs="Times New Roman"/>
          <w:sz w:val="21"/>
          <w:szCs w:val="21"/>
        </w:rPr>
        <w:t>）协商一致，就甲方向乙方购买理财产品，达成协议如下：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b/>
          <w:sz w:val="21"/>
          <w:szCs w:val="21"/>
          <w:u w:val="single"/>
        </w:rPr>
      </w:pPr>
      <w:r>
        <w:rPr>
          <w:rFonts w:hint="eastAsia" w:ascii="楷体" w:hAnsi="楷体" w:eastAsia="楷体"/>
          <w:sz w:val="21"/>
          <w:szCs w:val="21"/>
        </w:rPr>
        <w:t>本投资协议书与</w:t>
      </w:r>
      <w:r>
        <w:rPr>
          <w:rFonts w:hint="eastAsia" w:ascii="楷体" w:hAnsi="楷体" w:eastAsia="楷体"/>
          <w:sz w:val="21"/>
          <w:szCs w:val="21"/>
          <w:lang w:val="en-US" w:eastAsia="zh-CN"/>
        </w:rPr>
        <w:t>理财产品（</w:t>
      </w:r>
      <w:r>
        <w:rPr>
          <w:rFonts w:hint="eastAsia" w:ascii="楷体" w:hAnsi="楷体" w:eastAsia="楷体"/>
          <w:sz w:val="21"/>
          <w:szCs w:val="21"/>
        </w:rPr>
        <w:t>代理</w:t>
      </w:r>
      <w:r>
        <w:rPr>
          <w:rFonts w:hint="eastAsia" w:ascii="楷体" w:hAnsi="楷体" w:eastAsia="楷体"/>
          <w:sz w:val="21"/>
          <w:szCs w:val="21"/>
          <w:lang w:eastAsia="zh-CN"/>
        </w:rPr>
        <w:t>）</w:t>
      </w:r>
      <w:r>
        <w:rPr>
          <w:rFonts w:hint="eastAsia" w:ascii="楷体" w:hAnsi="楷体" w:eastAsia="楷体"/>
          <w:sz w:val="21"/>
          <w:szCs w:val="21"/>
        </w:rPr>
        <w:t>销售协议书、理财产品说明书、风险揭示书、投资者权益须知等销售文件构成完整的不可分割的理财产品合同。</w:t>
      </w:r>
      <w:r>
        <w:rPr>
          <w:rFonts w:hint="eastAsia" w:ascii="楷体" w:hAnsi="楷体" w:eastAsia="楷体"/>
          <w:sz w:val="21"/>
          <w:szCs w:val="21"/>
          <w:lang w:val="en-US" w:eastAsia="zh-CN"/>
        </w:rPr>
        <w:t>乙方</w:t>
      </w:r>
      <w:r>
        <w:rPr>
          <w:rFonts w:hint="eastAsia" w:ascii="楷体" w:hAnsi="楷体" w:eastAsia="楷体"/>
          <w:sz w:val="21"/>
          <w:szCs w:val="21"/>
        </w:rPr>
        <w:t>作为理财产品管理人建议投资者在购买对应期次理财产品（以下简称“本理财产品”）前认真阅读相关理财产品合同或咨询专业理财经理。</w:t>
      </w:r>
      <w:r>
        <w:rPr>
          <w:rFonts w:hint="eastAsia" w:ascii="楷体" w:hAnsi="楷体" w:eastAsia="楷体"/>
          <w:sz w:val="21"/>
          <w:szCs w:val="21"/>
          <w:lang w:val="en-US" w:eastAsia="zh-CN"/>
        </w:rPr>
        <w:t>甲方</w:t>
      </w:r>
      <w:r>
        <w:rPr>
          <w:rFonts w:hint="eastAsia" w:ascii="楷体" w:hAnsi="楷体" w:eastAsia="楷体"/>
          <w:sz w:val="21"/>
          <w:szCs w:val="21"/>
        </w:rPr>
        <w:t>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sz w:val="21"/>
          <w:szCs w:val="21"/>
          <w:u w:val="single"/>
        </w:rPr>
        <w:t>本理财产品不保证本金和收益。受各种市场波动因素影响，本理财产品可能存在包括但不限于政策风险、信用风险、市场风险、流动性风险、管理风险、操作风险、</w:t>
      </w:r>
      <w:r>
        <w:rPr>
          <w:rFonts w:hint="eastAsia" w:ascii="楷体" w:hAnsi="楷体" w:eastAsia="楷体"/>
          <w:b/>
          <w:sz w:val="21"/>
          <w:szCs w:val="21"/>
          <w:u w:val="single"/>
          <w:lang w:val="en-US" w:eastAsia="zh-CN"/>
        </w:rPr>
        <w:t>理财产品不成立风险、</w:t>
      </w:r>
      <w:r>
        <w:rPr>
          <w:rFonts w:hint="eastAsia" w:ascii="楷体" w:hAnsi="楷体" w:eastAsia="楷体"/>
          <w:b/>
          <w:sz w:val="21"/>
          <w:szCs w:val="21"/>
          <w:u w:val="single"/>
        </w:rPr>
        <w:t>兑付延期风险、提前终止风险、信息传递风险、代销风险、</w:t>
      </w:r>
      <w:r>
        <w:rPr>
          <w:rFonts w:hint="eastAsia" w:ascii="楷体" w:hAnsi="楷体" w:eastAsia="楷体"/>
          <w:b/>
          <w:sz w:val="21"/>
          <w:szCs w:val="21"/>
          <w:u w:val="single"/>
          <w:lang w:val="en-US" w:eastAsia="zh-CN"/>
        </w:rPr>
        <w:t>关联交易风险、</w:t>
      </w:r>
      <w:r>
        <w:rPr>
          <w:rFonts w:hint="eastAsia" w:ascii="楷体" w:hAnsi="楷体" w:eastAsia="楷体"/>
          <w:b/>
          <w:sz w:val="21"/>
          <w:szCs w:val="21"/>
          <w:u w:val="single"/>
        </w:rPr>
        <w:t>标的资产的特别投资风险及其他风险，具体风险因素由</w:t>
      </w:r>
      <w:r>
        <w:rPr>
          <w:rFonts w:hint="eastAsia" w:ascii="楷体" w:hAnsi="楷体" w:eastAsia="楷体"/>
          <w:b/>
          <w:sz w:val="21"/>
          <w:szCs w:val="21"/>
          <w:u w:val="single"/>
          <w:lang w:val="en-US" w:eastAsia="zh-CN"/>
        </w:rPr>
        <w:t>乙方</w:t>
      </w:r>
      <w:r>
        <w:rPr>
          <w:rFonts w:hint="eastAsia" w:ascii="楷体" w:hAnsi="楷体" w:eastAsia="楷体"/>
          <w:b/>
          <w:sz w:val="21"/>
          <w:szCs w:val="21"/>
          <w:u w:val="single"/>
        </w:rPr>
        <w:t>在理财产品风险揭示书中揭示。请您</w:t>
      </w:r>
      <w:r>
        <w:rPr>
          <w:rFonts w:hint="eastAsia" w:ascii="楷体" w:hAnsi="楷体" w:eastAsia="楷体"/>
          <w:b/>
          <w:sz w:val="21"/>
          <w:szCs w:val="21"/>
          <w:u w:val="single"/>
          <w:lang w:val="en-US" w:eastAsia="zh-CN"/>
        </w:rPr>
        <w:t>仔细阅读并</w:t>
      </w:r>
      <w:r>
        <w:rPr>
          <w:rFonts w:hint="eastAsia" w:ascii="楷体" w:hAnsi="楷体" w:eastAsia="楷体"/>
          <w:b/>
          <w:sz w:val="21"/>
          <w:szCs w:val="21"/>
          <w:u w:val="single"/>
        </w:rPr>
        <w:t>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甲方</w:t>
      </w:r>
      <w:r>
        <w:rPr>
          <w:rFonts w:hint="eastAsia" w:ascii="楷体" w:hAnsi="楷体" w:eastAsia="楷体"/>
          <w:b/>
          <w:sz w:val="21"/>
          <w:szCs w:val="21"/>
        </w:rPr>
        <w:t>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hint="eastAsia" w:ascii="楷体" w:hAnsi="楷体" w:eastAsia="楷体" w:cs="Times New Roman"/>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甲方</w:t>
      </w:r>
      <w:r>
        <w:rPr>
          <w:rFonts w:hint="eastAsia" w:ascii="楷体" w:hAnsi="楷体" w:eastAsia="楷体"/>
          <w:b/>
          <w:sz w:val="21"/>
          <w:szCs w:val="21"/>
        </w:rPr>
        <w:t>的权利：</w:t>
      </w:r>
      <w:r>
        <w:rPr>
          <w:rFonts w:hint="eastAsia" w:ascii="楷体" w:hAnsi="楷体" w:eastAsia="楷体" w:cs="Times New Roman"/>
          <w:sz w:val="21"/>
          <w:szCs w:val="21"/>
        </w:rPr>
        <w:t>按理财产品合同的约定取得理财收益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cs="Times New Roman"/>
          <w:sz w:val="21"/>
          <w:szCs w:val="21"/>
        </w:rPr>
        <w:t>；按理财产品合同的约定查询获得披露的理财产品信息资料；产品终止后对清算后的理财产品资产净值按理财产品持有份额比例参与分配；要求</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或理财产品托管人及时</w:t>
      </w:r>
      <w:r>
        <w:rPr>
          <w:rFonts w:hint="eastAsia" w:ascii="楷体" w:hAnsi="楷体" w:eastAsia="楷体" w:cs="Times New Roman"/>
          <w:sz w:val="21"/>
          <w:szCs w:val="21"/>
          <w:lang w:val="en-US" w:eastAsia="zh-CN"/>
        </w:rPr>
        <w:t>履行</w:t>
      </w:r>
      <w:r>
        <w:rPr>
          <w:rFonts w:hint="eastAsia" w:ascii="楷体" w:hAnsi="楷体" w:eastAsia="楷体" w:cs="Times New Roman"/>
          <w:sz w:val="21"/>
          <w:szCs w:val="21"/>
        </w:rPr>
        <w:t>法律法规、理财产品合同所规定的义务；对</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、理财产品托管人损害其合法权益</w:t>
      </w:r>
      <w:r>
        <w:rPr>
          <w:rFonts w:hint="eastAsia" w:ascii="楷体" w:hAnsi="楷体" w:eastAsia="楷体" w:cs="Times New Roman"/>
          <w:sz w:val="21"/>
          <w:szCs w:val="21"/>
          <w:lang w:val="en-US" w:eastAsia="zh-CN"/>
        </w:rPr>
        <w:t>的行为</w:t>
      </w:r>
      <w:r>
        <w:rPr>
          <w:rFonts w:hint="eastAsia" w:ascii="楷体" w:hAnsi="楷体" w:eastAsia="楷体" w:cs="Times New Roman"/>
          <w:sz w:val="21"/>
          <w:szCs w:val="21"/>
        </w:rPr>
        <w:t>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s="Times New Roman"/>
          <w:sz w:val="21"/>
          <w:szCs w:val="21"/>
        </w:rPr>
      </w:pPr>
      <w:r>
        <w:rPr>
          <w:rFonts w:hint="eastAsia" w:ascii="楷体" w:hAnsi="楷体" w:eastAsia="楷体"/>
          <w:b/>
          <w:sz w:val="21"/>
          <w:szCs w:val="21"/>
          <w:lang w:val="en-US" w:eastAsia="zh-CN"/>
        </w:rPr>
        <w:t>（二）甲方</w:t>
      </w:r>
      <w:r>
        <w:rPr>
          <w:rFonts w:hint="eastAsia" w:ascii="楷体" w:hAnsi="楷体" w:eastAsia="楷体"/>
          <w:b/>
          <w:sz w:val="21"/>
          <w:szCs w:val="21"/>
        </w:rPr>
        <w:t>的义务：</w:t>
      </w:r>
      <w:r>
        <w:rPr>
          <w:rFonts w:hint="eastAsia" w:ascii="楷体" w:hAnsi="楷体" w:eastAsia="楷体" w:cs="Times New Roman"/>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hint="eastAsia" w:ascii="楷体" w:hAnsi="楷体" w:eastAsia="楷体" w:cs="Times New Roman"/>
          <w:sz w:val="21"/>
          <w:szCs w:val="21"/>
          <w:lang w:val="en-US" w:eastAsia="zh-CN"/>
        </w:rPr>
        <w:t>以及</w:t>
      </w:r>
      <w:r>
        <w:rPr>
          <w:rFonts w:hint="eastAsia" w:ascii="楷体" w:hAnsi="楷体" w:eastAsia="楷体" w:cs="Times New Roman"/>
          <w:sz w:val="21"/>
          <w:szCs w:val="21"/>
        </w:rPr>
        <w:t>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三、</w:t>
      </w:r>
      <w:r>
        <w:rPr>
          <w:rFonts w:hint="eastAsia" w:ascii="楷体" w:hAnsi="楷体" w:eastAsia="楷体"/>
          <w:b/>
          <w:sz w:val="21"/>
          <w:szCs w:val="21"/>
          <w:lang w:val="en-US" w:eastAsia="zh-CN"/>
        </w:rPr>
        <w:t>乙方</w:t>
      </w:r>
      <w:r>
        <w:rPr>
          <w:rFonts w:hint="eastAsia" w:ascii="楷体" w:hAnsi="楷体" w:eastAsia="楷体"/>
          <w:b/>
          <w:sz w:val="21"/>
          <w:szCs w:val="21"/>
        </w:rPr>
        <w:t>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乙方</w:t>
      </w:r>
      <w:r>
        <w:rPr>
          <w:rFonts w:hint="eastAsia" w:ascii="楷体" w:hAnsi="楷体" w:eastAsia="楷体"/>
          <w:b/>
          <w:sz w:val="21"/>
          <w:szCs w:val="21"/>
        </w:rPr>
        <w:t>的权利：</w:t>
      </w:r>
      <w:r>
        <w:rPr>
          <w:rFonts w:hint="eastAsia" w:ascii="楷体" w:hAnsi="楷体" w:eastAsia="楷体"/>
          <w:sz w:val="21"/>
          <w:szCs w:val="21"/>
        </w:rPr>
        <w:t>乙方按照法律法规和理财产品</w:t>
      </w:r>
      <w:r>
        <w:rPr>
          <w:rFonts w:hint="eastAsia" w:ascii="楷体" w:hAnsi="楷体" w:eastAsia="楷体"/>
          <w:sz w:val="21"/>
          <w:szCs w:val="21"/>
          <w:lang w:val="en-US" w:eastAsia="zh-CN"/>
        </w:rPr>
        <w:t>合同</w:t>
      </w:r>
      <w:r>
        <w:rPr>
          <w:rFonts w:hint="eastAsia" w:ascii="楷体" w:hAnsi="楷体" w:eastAsia="楷体"/>
          <w:sz w:val="21"/>
          <w:szCs w:val="21"/>
        </w:rPr>
        <w:t>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hint="eastAsia" w:ascii="楷体" w:hAnsi="楷体" w:eastAsia="楷体"/>
          <w:sz w:val="21"/>
          <w:szCs w:val="21"/>
          <w:lang w:val="en-US" w:eastAsia="zh-CN"/>
        </w:rPr>
        <w:t>乙方</w:t>
      </w:r>
      <w:r>
        <w:rPr>
          <w:rFonts w:hint="eastAsia" w:ascii="楷体" w:hAnsi="楷体" w:eastAsia="楷体"/>
          <w:sz w:val="21"/>
          <w:szCs w:val="21"/>
        </w:rPr>
        <w:t>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hAnsi="楷体" w:eastAsia="楷体"/>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乙方</w:t>
      </w:r>
      <w:r>
        <w:rPr>
          <w:rFonts w:hint="eastAsia" w:ascii="楷体" w:hAnsi="楷体" w:eastAsia="楷体"/>
          <w:b/>
          <w:sz w:val="21"/>
          <w:szCs w:val="21"/>
        </w:rPr>
        <w:t>的义务：</w:t>
      </w:r>
      <w:r>
        <w:rPr>
          <w:rFonts w:hint="eastAsia" w:ascii="楷体" w:hAnsi="楷体" w:eastAsia="楷体"/>
          <w:sz w:val="21"/>
          <w:szCs w:val="21"/>
        </w:rPr>
        <w:t>遵守法律法规和理财产品合同的约定；</w:t>
      </w:r>
      <w:r>
        <w:rPr>
          <w:rFonts w:hint="eastAsia" w:ascii="楷体" w:hAnsi="楷体" w:eastAsia="楷体" w:cs="Times New Roman"/>
          <w:sz w:val="21"/>
          <w:szCs w:val="21"/>
        </w:rPr>
        <w:t>恪尽职守，依照诚实信用、勤勉尽责的原则，谨慎、有效管理和运用理</w:t>
      </w:r>
      <w:r>
        <w:rPr>
          <w:rFonts w:hint="eastAsia" w:ascii="楷体" w:hAnsi="楷体" w:eastAsia="楷体" w:cs="Times New Roman"/>
          <w:sz w:val="21"/>
          <w:szCs w:val="21"/>
          <w:lang w:val="en-US" w:eastAsia="zh-CN"/>
        </w:rPr>
        <w:t>财</w:t>
      </w:r>
      <w:r>
        <w:rPr>
          <w:rFonts w:hint="eastAsia" w:ascii="楷体" w:hAnsi="楷体" w:eastAsia="楷体" w:cs="Times New Roman"/>
          <w:sz w:val="21"/>
          <w:szCs w:val="21"/>
        </w:rPr>
        <w:t>资产；</w:t>
      </w:r>
      <w:r>
        <w:rPr>
          <w:rFonts w:hint="eastAsia" w:ascii="楷体" w:hAnsi="楷体" w:eastAsia="楷体"/>
          <w:sz w:val="21"/>
          <w:szCs w:val="21"/>
        </w:rPr>
        <w:t>设置相应的部门并配备足够的具有专业资格的人员进行理财投资分析、决策，以专业化的经营方式管理和运作理财资产，防范和减少风险；建立健全内部控制制度，保证</w:t>
      </w:r>
      <w:r>
        <w:rPr>
          <w:rFonts w:hint="eastAsia" w:ascii="楷体" w:hAnsi="楷体" w:eastAsia="楷体"/>
          <w:sz w:val="21"/>
          <w:szCs w:val="21"/>
          <w:lang w:val="en-US" w:eastAsia="zh-CN"/>
        </w:rPr>
        <w:t>乙方</w:t>
      </w:r>
      <w:r>
        <w:rPr>
          <w:rFonts w:hint="eastAsia" w:ascii="楷体" w:hAnsi="楷体" w:eastAsia="楷体"/>
          <w:sz w:val="21"/>
          <w:szCs w:val="21"/>
        </w:rPr>
        <w:t>的固有财产和理财财产相互独立，对所管理的不同理财财产分别管理、分别记账，进行投资；除依据法律法规和理财产品合同的约定外，不得利用理财资产为</w:t>
      </w:r>
      <w:r>
        <w:rPr>
          <w:rFonts w:hint="eastAsia" w:ascii="楷体" w:hAnsi="楷体" w:eastAsia="楷体"/>
          <w:sz w:val="21"/>
          <w:szCs w:val="21"/>
          <w:lang w:val="en-US" w:eastAsia="zh-CN"/>
        </w:rPr>
        <w:t>乙方</w:t>
      </w:r>
      <w:r>
        <w:rPr>
          <w:rFonts w:hint="eastAsia" w:ascii="楷体" w:hAnsi="楷体" w:eastAsia="楷体"/>
          <w:sz w:val="21"/>
          <w:szCs w:val="21"/>
        </w:rPr>
        <w:t>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sz w:val="21"/>
          <w:szCs w:val="21"/>
          <w:lang w:val="en-US" w:eastAsia="zh-CN"/>
        </w:rPr>
        <w:t>约定</w:t>
      </w:r>
      <w:r>
        <w:rPr>
          <w:rFonts w:hint="eastAsia" w:ascii="楷体" w:hAnsi="楷体" w:eastAsia="楷体"/>
          <w:sz w:val="21"/>
          <w:szCs w:val="21"/>
        </w:rPr>
        <w:t>制订理财收益分配方案并向本理财产品的理财份额持有人分配理财收益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sz w:val="21"/>
          <w:szCs w:val="21"/>
        </w:rPr>
        <w:t>；不从事任何有损本理财产品</w:t>
      </w:r>
      <w:r>
        <w:rPr>
          <w:rFonts w:hint="eastAsia" w:ascii="楷体" w:hAnsi="楷体" w:eastAsia="楷体"/>
          <w:sz w:val="21"/>
          <w:szCs w:val="21"/>
          <w:lang w:val="en-US" w:eastAsia="zh-CN"/>
        </w:rPr>
        <w:t>其他</w:t>
      </w:r>
      <w:r>
        <w:rPr>
          <w:rFonts w:hint="eastAsia" w:ascii="楷体" w:hAnsi="楷体" w:eastAsia="楷体"/>
          <w:sz w:val="21"/>
          <w:szCs w:val="21"/>
        </w:rPr>
        <w:t>当事人合法权益的活动</w:t>
      </w:r>
      <w:r>
        <w:rPr>
          <w:rFonts w:hint="eastAsia" w:ascii="楷体" w:hAnsi="楷体" w:eastAsia="楷体"/>
          <w:sz w:val="21"/>
          <w:szCs w:val="21"/>
          <w:lang w:eastAsia="zh-CN"/>
        </w:rPr>
        <w:t>；</w:t>
      </w:r>
      <w:r>
        <w:rPr>
          <w:rFonts w:hint="eastAsia" w:ascii="楷体" w:hAnsi="楷体" w:eastAsia="楷体"/>
          <w:sz w:val="21"/>
          <w:szCs w:val="21"/>
        </w:rPr>
        <w:t>法律法规、理财产品合同规定的其它</w:t>
      </w:r>
      <w:r>
        <w:rPr>
          <w:rFonts w:hint="eastAsia" w:ascii="楷体" w:hAnsi="楷体" w:eastAsia="楷体"/>
          <w:sz w:val="21"/>
          <w:szCs w:val="21"/>
          <w:lang w:val="en-US" w:eastAsia="zh-CN"/>
        </w:rPr>
        <w:t>义务</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hAnsi="楷体" w:eastAsia="楷体"/>
          <w:b/>
          <w:sz w:val="21"/>
          <w:szCs w:val="21"/>
        </w:rPr>
      </w:pPr>
      <w:r>
        <w:rPr>
          <w:rFonts w:hint="eastAsia" w:ascii="楷体" w:hAnsi="楷体" w:eastAsia="楷体"/>
          <w:b/>
          <w:sz w:val="21"/>
          <w:szCs w:val="21"/>
          <w:lang w:val="en-US" w:eastAsia="zh-CN"/>
        </w:rPr>
        <w:t>四</w:t>
      </w:r>
      <w:r>
        <w:rPr>
          <w:rFonts w:hint="eastAsia" w:ascii="楷体" w:hAnsi="楷体" w:eastAsia="楷体"/>
          <w:b/>
          <w:sz w:val="21"/>
          <w:szCs w:val="21"/>
        </w:rPr>
        <w:t>、</w:t>
      </w:r>
      <w:r>
        <w:rPr>
          <w:rFonts w:ascii="楷体" w:hAnsi="楷体" w:eastAsia="楷体"/>
          <w:b/>
          <w:sz w:val="21"/>
          <w:szCs w:val="21"/>
        </w:rPr>
        <w:t>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sz w:val="21"/>
          <w:szCs w:val="21"/>
        </w:rPr>
      </w:pPr>
      <w:r>
        <w:rPr>
          <w:rFonts w:hint="eastAsia" w:ascii="楷体" w:hAnsi="楷体" w:eastAsia="楷体"/>
          <w:b/>
          <w:sz w:val="21"/>
          <w:szCs w:val="21"/>
          <w:lang w:val="en-US" w:eastAsia="zh-CN"/>
        </w:rPr>
        <w:t xml:space="preserve">2. </w:t>
      </w:r>
      <w:r>
        <w:rPr>
          <w:rFonts w:hint="eastAsia" w:ascii="楷体" w:hAnsi="楷体" w:eastAsia="楷体"/>
          <w:b/>
          <w:sz w:val="21"/>
          <w:szCs w:val="21"/>
        </w:rPr>
        <w:t>双方同意，发生下列情况造成损失时，按以下约定承担责任</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hint="eastAsia" w:ascii="楷体" w:hAnsi="楷体" w:eastAsia="楷体"/>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hAnsi="楷体" w:eastAsia="楷体"/>
          <w:sz w:val="21"/>
          <w:szCs w:val="21"/>
        </w:rPr>
      </w:pPr>
      <w:r>
        <w:rPr>
          <w:rFonts w:hint="eastAsia" w:ascii="楷体" w:hAnsi="楷体" w:eastAsia="楷体"/>
          <w:sz w:val="21"/>
          <w:szCs w:val="21"/>
        </w:rPr>
        <w:t>（2）</w:t>
      </w:r>
      <w:r>
        <w:rPr>
          <w:rFonts w:hint="eastAsia" w:ascii="楷体" w:hAnsi="楷体" w:eastAsia="楷体"/>
          <w:b/>
          <w:sz w:val="21"/>
          <w:szCs w:val="21"/>
        </w:rPr>
        <w:t>如甲方违反本协议</w:t>
      </w:r>
      <w:r>
        <w:rPr>
          <w:rFonts w:hint="eastAsia" w:ascii="楷体" w:hAnsi="楷体" w:eastAsia="楷体"/>
          <w:b/>
          <w:sz w:val="21"/>
          <w:szCs w:val="21"/>
          <w:lang w:val="en-US" w:eastAsia="zh-CN"/>
        </w:rPr>
        <w:t>约定</w:t>
      </w:r>
      <w:r>
        <w:rPr>
          <w:rFonts w:hint="eastAsia" w:ascii="楷体" w:hAnsi="楷体" w:eastAsia="楷体"/>
          <w:b/>
          <w:sz w:val="21"/>
          <w:szCs w:val="21"/>
        </w:rPr>
        <w:t>，或本产品甲方所涉及的资金被有权机关全部或部分冻结或者扣划</w:t>
      </w:r>
      <w:r>
        <w:rPr>
          <w:rFonts w:hint="eastAsia" w:ascii="楷体" w:hAnsi="楷体" w:eastAsia="楷体" w:cs="Times New Roman"/>
          <w:b/>
          <w:sz w:val="21"/>
          <w:szCs w:val="21"/>
        </w:rPr>
        <w:t>，或乙方发现或有合理理由怀疑甲方或其资金存在洗钱、恐怖融资、逃税等嫌疑</w:t>
      </w:r>
      <w:r>
        <w:rPr>
          <w:rFonts w:hint="eastAsia" w:ascii="楷体" w:hAnsi="楷体" w:eastAsia="楷体" w:cs="Times New Roman"/>
          <w:b/>
          <w:sz w:val="21"/>
          <w:szCs w:val="21"/>
          <w:lang w:eastAsia="zh-CN"/>
        </w:rPr>
        <w:t>，</w:t>
      </w:r>
      <w:r>
        <w:rPr>
          <w:rFonts w:hint="eastAsia" w:ascii="楷体" w:hAnsi="楷体" w:eastAsia="楷体" w:cs="Times New Roman"/>
          <w:b/>
          <w:sz w:val="21"/>
          <w:szCs w:val="21"/>
        </w:rPr>
        <w:t>乙方有权</w:t>
      </w:r>
      <w:r>
        <w:rPr>
          <w:rFonts w:hint="eastAsia" w:ascii="楷体" w:hAnsi="楷体" w:eastAsia="楷体"/>
          <w:b/>
          <w:sz w:val="21"/>
          <w:szCs w:val="21"/>
        </w:rPr>
        <w:t>提前终止本合同，且乙方不承担相应责任，如因甲方的违约违法违规行为给乙方或产品其他投资者造成损失的，甲方应承担</w:t>
      </w:r>
      <w:r>
        <w:rPr>
          <w:rFonts w:hint="eastAsia" w:ascii="楷体" w:hAnsi="楷体" w:eastAsia="楷体"/>
          <w:b/>
          <w:sz w:val="21"/>
          <w:szCs w:val="21"/>
          <w:lang w:val="en-US" w:eastAsia="zh-CN"/>
        </w:rPr>
        <w:t>相应法律责任及违约责任</w:t>
      </w:r>
      <w:r>
        <w:rPr>
          <w:rFonts w:hint="eastAsia" w:ascii="楷体" w:hAnsi="楷体" w:eastAsia="楷体"/>
          <w:b/>
          <w:sz w:val="21"/>
          <w:szCs w:val="21"/>
        </w:rPr>
        <w:t>。</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lang w:val="en-US" w:eastAsia="zh-CN"/>
        </w:rPr>
        <w:t>五</w:t>
      </w:r>
      <w:r>
        <w:rPr>
          <w:rFonts w:hint="eastAsia" w:ascii="楷体" w:hAnsi="楷体" w:eastAsia="楷体"/>
          <w:b/>
          <w:sz w:val="21"/>
          <w:szCs w:val="21"/>
        </w:rPr>
        <w:t>、免责条款</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由于地震、火灾、战争等不可抗力导致的交易中断、延误等风险及损失，</w:t>
      </w:r>
      <w:r>
        <w:rPr>
          <w:rFonts w:hint="eastAsia" w:ascii="楷体" w:hAnsi="楷体" w:eastAsia="楷体"/>
          <w:sz w:val="21"/>
          <w:szCs w:val="21"/>
          <w:lang w:val="en-US" w:eastAsia="zh-CN"/>
        </w:rPr>
        <w:t>乙方</w:t>
      </w:r>
      <w:r>
        <w:rPr>
          <w:rFonts w:hint="eastAsia" w:ascii="楷体" w:hAnsi="楷体" w:eastAsia="楷体"/>
          <w:sz w:val="21"/>
          <w:szCs w:val="21"/>
        </w:rPr>
        <w:t>不承担责任，但应在条件允许的情况下通知</w:t>
      </w:r>
      <w:r>
        <w:rPr>
          <w:rFonts w:hint="eastAsia" w:ascii="楷体" w:hAnsi="楷体" w:eastAsia="楷体"/>
          <w:sz w:val="21"/>
          <w:szCs w:val="21"/>
          <w:lang w:val="en-US" w:eastAsia="zh-CN"/>
        </w:rPr>
        <w:t>甲方</w:t>
      </w:r>
      <w:r>
        <w:rPr>
          <w:rFonts w:hint="eastAsia" w:ascii="楷体" w:hAnsi="楷体" w:eastAsia="楷体"/>
          <w:sz w:val="21"/>
          <w:szCs w:val="21"/>
        </w:rPr>
        <w:t>，并采取一切必要的补救措施以减小不可抗力造成的损失。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sz w:val="21"/>
          <w:szCs w:val="21"/>
        </w:rPr>
      </w:pPr>
      <w:r>
        <w:rPr>
          <w:rFonts w:hint="eastAsia" w:ascii="楷体" w:hAnsi="楷体" w:eastAsia="楷体"/>
          <w:sz w:val="21"/>
          <w:szCs w:val="21"/>
          <w:lang w:val="en-US" w:eastAsia="zh-CN"/>
        </w:rPr>
        <w:t xml:space="preserve">2. </w:t>
      </w:r>
      <w:r>
        <w:rPr>
          <w:rFonts w:hint="eastAsia" w:ascii="楷体" w:hAnsi="楷体" w:eastAsia="楷体"/>
          <w:sz w:val="21"/>
          <w:szCs w:val="21"/>
        </w:rPr>
        <w:t>由于国家的有关法律、法规、规章、政策的改变、紧急措施的出台而导致的风险，</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sz w:val="21"/>
          <w:szCs w:val="21"/>
        </w:rPr>
      </w:pPr>
      <w:r>
        <w:rPr>
          <w:rFonts w:hint="eastAsia" w:ascii="楷体" w:hAnsi="楷体" w:eastAsia="楷体"/>
          <w:sz w:val="21"/>
          <w:szCs w:val="21"/>
          <w:lang w:val="en-US" w:eastAsia="zh-CN"/>
        </w:rPr>
        <w:t>3. 乙方</w:t>
      </w:r>
      <w:r>
        <w:rPr>
          <w:rFonts w:hint="eastAsia" w:ascii="楷体" w:hAnsi="楷体" w:eastAsia="楷体"/>
          <w:sz w:val="21"/>
          <w:szCs w:val="21"/>
        </w:rPr>
        <w:t>依照恪尽职守、诚实信用、谨慎勤勉的原则管理和运用理财产品财产，</w:t>
      </w:r>
      <w:r>
        <w:rPr>
          <w:rFonts w:hint="eastAsia" w:ascii="楷体" w:hAnsi="楷体" w:eastAsia="楷体"/>
          <w:b/>
          <w:bCs/>
          <w:sz w:val="21"/>
          <w:szCs w:val="21"/>
        </w:rPr>
        <w:t>但不保证理财产品财产中的认（申）购资金本金不受损失，也不保证一定盈利及最低收益。</w:t>
      </w:r>
      <w:r>
        <w:rPr>
          <w:rFonts w:hint="eastAsia" w:ascii="楷体" w:hAnsi="楷体" w:eastAsia="楷体"/>
          <w:sz w:val="21"/>
          <w:szCs w:val="21"/>
        </w:rPr>
        <w:t>本理财产品运作过程中，</w:t>
      </w:r>
      <w:r>
        <w:rPr>
          <w:rFonts w:hint="eastAsia" w:ascii="楷体" w:hAnsi="楷体" w:eastAsia="楷体"/>
          <w:sz w:val="21"/>
          <w:szCs w:val="21"/>
          <w:lang w:val="en-US" w:eastAsia="zh-CN"/>
        </w:rPr>
        <w:t>乙方</w:t>
      </w:r>
      <w:r>
        <w:rPr>
          <w:rFonts w:hint="eastAsia" w:ascii="楷体" w:hAnsi="楷体" w:eastAsia="楷体"/>
          <w:sz w:val="21"/>
          <w:szCs w:val="21"/>
        </w:rPr>
        <w:t>依据产品合同约定管理和运用理财产品财产所产生的风险，由理财产品财产及</w:t>
      </w:r>
      <w:r>
        <w:rPr>
          <w:rFonts w:hint="eastAsia" w:ascii="楷体" w:hAnsi="楷体" w:eastAsia="楷体"/>
          <w:sz w:val="21"/>
          <w:szCs w:val="21"/>
          <w:lang w:val="en-US" w:eastAsia="zh-CN"/>
        </w:rPr>
        <w:t>甲方</w:t>
      </w:r>
      <w:r>
        <w:rPr>
          <w:rFonts w:hint="eastAsia" w:ascii="楷体" w:hAnsi="楷体" w:eastAsia="楷体"/>
          <w:sz w:val="21"/>
          <w:szCs w:val="21"/>
        </w:rPr>
        <w:t>承担。</w:t>
      </w:r>
      <w:r>
        <w:rPr>
          <w:rFonts w:hint="eastAsia" w:ascii="楷体" w:hAnsi="楷体" w:eastAsia="楷体"/>
          <w:b/>
          <w:bCs/>
          <w:sz w:val="21"/>
          <w:szCs w:val="21"/>
          <w:lang w:val="en-US" w:eastAsia="zh-CN"/>
        </w:rPr>
        <w:t>甲方</w:t>
      </w:r>
      <w:r>
        <w:rPr>
          <w:rFonts w:hint="eastAsia" w:ascii="楷体" w:hAnsi="楷体" w:eastAsia="楷体"/>
          <w:b/>
          <w:bCs/>
          <w:sz w:val="21"/>
          <w:szCs w:val="21"/>
        </w:rPr>
        <w:t>应充分知晓投资运营的相关风险，具体风险详见风险揭示书及理财产品说明书的具体约定，其风险应由</w:t>
      </w:r>
      <w:r>
        <w:rPr>
          <w:rFonts w:hint="eastAsia" w:ascii="楷体" w:hAnsi="楷体" w:eastAsia="楷体"/>
          <w:b/>
          <w:bCs/>
          <w:sz w:val="21"/>
          <w:szCs w:val="21"/>
          <w:lang w:val="en-US" w:eastAsia="zh-CN"/>
        </w:rPr>
        <w:t>甲方</w:t>
      </w:r>
      <w:r>
        <w:rPr>
          <w:rFonts w:hint="eastAsia" w:ascii="楷体" w:hAnsi="楷体" w:eastAsia="楷体"/>
          <w:b/>
          <w:bCs/>
          <w:sz w:val="21"/>
          <w:szCs w:val="21"/>
        </w:rPr>
        <w:t>自担</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sz w:val="21"/>
          <w:szCs w:val="21"/>
        </w:rPr>
      </w:pPr>
      <w:r>
        <w:rPr>
          <w:rFonts w:hint="eastAsia" w:ascii="楷体" w:hAnsi="楷体" w:eastAsia="楷体"/>
          <w:sz w:val="21"/>
          <w:szCs w:val="21"/>
          <w:lang w:val="en-US" w:eastAsia="zh-CN"/>
        </w:rPr>
        <w:t xml:space="preserve">4. </w:t>
      </w:r>
      <w:r>
        <w:rPr>
          <w:rFonts w:hint="eastAsia" w:ascii="楷体" w:hAnsi="楷体" w:eastAsia="楷体"/>
          <w:sz w:val="21"/>
          <w:szCs w:val="21"/>
        </w:rPr>
        <w:t>非因</w:t>
      </w:r>
      <w:r>
        <w:rPr>
          <w:rFonts w:hint="eastAsia" w:ascii="楷体" w:hAnsi="楷体" w:eastAsia="楷体"/>
          <w:sz w:val="21"/>
          <w:szCs w:val="21"/>
          <w:lang w:val="en-US" w:eastAsia="zh-CN"/>
        </w:rPr>
        <w:t>乙方</w:t>
      </w:r>
      <w:r>
        <w:rPr>
          <w:rFonts w:hint="eastAsia" w:ascii="楷体" w:hAnsi="楷体" w:eastAsia="楷体"/>
          <w:sz w:val="21"/>
          <w:szCs w:val="21"/>
        </w:rPr>
        <w:t>原因（包括但不限于</w:t>
      </w:r>
      <w:r>
        <w:rPr>
          <w:rFonts w:hint="eastAsia" w:ascii="楷体" w:hAnsi="楷体" w:eastAsia="楷体"/>
          <w:sz w:val="21"/>
          <w:szCs w:val="21"/>
          <w:lang w:val="en-US" w:eastAsia="zh-CN"/>
        </w:rPr>
        <w:t>甲方</w:t>
      </w:r>
      <w:r>
        <w:rPr>
          <w:rFonts w:hint="eastAsia" w:ascii="楷体" w:hAnsi="楷体" w:eastAsia="楷体"/>
          <w:sz w:val="21"/>
          <w:szCs w:val="21"/>
        </w:rPr>
        <w:t>遗失本协议、理财产品合同被盗用、</w:t>
      </w:r>
      <w:r>
        <w:rPr>
          <w:rFonts w:hint="eastAsia" w:ascii="楷体" w:hAnsi="楷体" w:eastAsia="楷体"/>
          <w:sz w:val="21"/>
          <w:szCs w:val="21"/>
          <w:lang w:val="en-US" w:eastAsia="zh-CN"/>
        </w:rPr>
        <w:t>甲方</w:t>
      </w:r>
      <w:r>
        <w:rPr>
          <w:rFonts w:hint="eastAsia" w:ascii="楷体" w:hAnsi="楷体" w:eastAsia="楷体"/>
          <w:sz w:val="21"/>
          <w:szCs w:val="21"/>
        </w:rPr>
        <w:t>资金账户被司法机关等有权部门冻结、扣划及其他投资者自身原因、投资标的固有风险等原因）造成的损失，</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lang w:val="en-US" w:eastAsia="zh-CN"/>
        </w:rPr>
        <w:t>六</w:t>
      </w:r>
      <w:r>
        <w:rPr>
          <w:rFonts w:hint="eastAsia" w:ascii="楷体" w:hAnsi="楷体" w:eastAsia="楷体"/>
          <w:b/>
          <w:sz w:val="21"/>
          <w:szCs w:val="21"/>
        </w:rPr>
        <w:t>、协议的生效、变更及终止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35"/>
          <w:rFonts w:hint="eastAsia" w:ascii="楷体" w:hAnsi="楷体" w:eastAsia="楷体" w:cs="Times New Roman"/>
          <w:sz w:val="21"/>
          <w:szCs w:val="21"/>
          <w:highlight w:val="none"/>
        </w:rPr>
      </w:pPr>
      <w:r>
        <w:rPr>
          <w:rFonts w:hint="eastAsia" w:ascii="楷体" w:hAnsi="楷体" w:eastAsia="楷体"/>
          <w:sz w:val="21"/>
          <w:szCs w:val="21"/>
          <w:highlight w:val="none"/>
          <w:lang w:val="en-US" w:eastAsia="zh-CN"/>
        </w:rPr>
        <w:t>1.</w:t>
      </w:r>
      <w:r>
        <w:rPr>
          <w:rFonts w:hint="eastAsia" w:ascii="楷体" w:hAnsi="楷体" w:eastAsia="楷体" w:cs="Times New Roman"/>
          <w:sz w:val="21"/>
          <w:szCs w:val="21"/>
          <w:highlight w:val="none"/>
        </w:rPr>
        <w:t>本协议自</w:t>
      </w:r>
      <w:r>
        <w:rPr>
          <w:rFonts w:hint="eastAsia" w:ascii="楷体" w:hAnsi="楷体" w:eastAsia="楷体"/>
          <w:sz w:val="21"/>
          <w:szCs w:val="21"/>
          <w:highlight w:val="none"/>
          <w:lang w:val="en-US" w:eastAsia="zh-CN"/>
        </w:rPr>
        <w:t>甲方</w:t>
      </w:r>
      <w:r>
        <w:rPr>
          <w:rFonts w:hint="eastAsia" w:ascii="楷体" w:hAnsi="楷体" w:eastAsia="楷体" w:cs="Times New Roman"/>
          <w:sz w:val="21"/>
          <w:szCs w:val="21"/>
          <w:highlight w:val="none"/>
        </w:rPr>
        <w:t>成功缴纳全额</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资金并经</w:t>
      </w:r>
      <w:r>
        <w:rPr>
          <w:rFonts w:hint="eastAsia" w:ascii="楷体" w:hAnsi="楷体" w:eastAsia="楷体"/>
          <w:sz w:val="21"/>
          <w:szCs w:val="21"/>
          <w:highlight w:val="none"/>
          <w:lang w:val="en-US" w:eastAsia="zh-CN"/>
        </w:rPr>
        <w:t>苏银</w:t>
      </w:r>
      <w:r>
        <w:rPr>
          <w:rFonts w:hint="eastAsia" w:ascii="楷体" w:hAnsi="楷体" w:eastAsia="楷体" w:cs="Times New Roman"/>
          <w:sz w:val="21"/>
          <w:szCs w:val="21"/>
          <w:highlight w:val="none"/>
        </w:rPr>
        <w:t>理财系统确认购买份额后成立并生效。投资者在办理理财产品</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交易后，需通过销售机构查询</w:t>
      </w:r>
      <w:r>
        <w:rPr>
          <w:rFonts w:hint="eastAsia" w:ascii="楷体" w:hAnsi="楷体" w:eastAsia="楷体"/>
          <w:sz w:val="21"/>
          <w:szCs w:val="21"/>
          <w:highlight w:val="none"/>
          <w:lang w:val="en-US" w:eastAsia="zh-CN"/>
        </w:rPr>
        <w:t>份额确认情况</w:t>
      </w:r>
      <w:r>
        <w:rPr>
          <w:rFonts w:hint="eastAsia" w:ascii="楷体" w:hAnsi="楷体" w:eastAsia="楷体" w:cs="Times New Roman"/>
          <w:sz w:val="21"/>
          <w:szCs w:val="21"/>
          <w:highlight w:val="none"/>
        </w:rPr>
        <w:t>。</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cs="Times New Roman"/>
          <w:sz w:val="21"/>
          <w:szCs w:val="21"/>
          <w:highlight w:val="none"/>
        </w:rPr>
      </w:pPr>
      <w:r>
        <w:rPr>
          <w:rFonts w:hint="eastAsia" w:ascii="楷体" w:hAnsi="楷体" w:eastAsia="楷体" w:cs="Times New Roman"/>
          <w:sz w:val="21"/>
          <w:szCs w:val="21"/>
          <w:highlight w:val="none"/>
          <w:lang w:val="en-US" w:eastAsia="zh-CN"/>
        </w:rPr>
        <w:t>2.</w:t>
      </w:r>
      <w:r>
        <w:rPr>
          <w:rFonts w:hint="eastAsia" w:ascii="楷体" w:hAnsi="楷体" w:eastAsia="楷体" w:cs="Times New Roman"/>
          <w:sz w:val="21"/>
          <w:szCs w:val="21"/>
          <w:highlight w:val="none"/>
        </w:rPr>
        <w:t>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b/>
          <w:sz w:val="21"/>
          <w:szCs w:val="21"/>
        </w:rPr>
      </w:pPr>
      <w:r>
        <w:rPr>
          <w:rFonts w:hint="eastAsia" w:ascii="楷体" w:hAnsi="楷体" w:eastAsia="楷体"/>
          <w:b/>
          <w:sz w:val="21"/>
          <w:szCs w:val="21"/>
          <w:lang w:val="en-US" w:eastAsia="zh-CN"/>
        </w:rPr>
        <w:t>七</w:t>
      </w:r>
      <w:r>
        <w:rPr>
          <w:rFonts w:hint="eastAsia" w:ascii="楷体" w:hAnsi="楷体" w:eastAsia="楷体"/>
          <w:b/>
          <w:sz w:val="21"/>
          <w:szCs w:val="21"/>
        </w:rPr>
        <w:t>、本合同的订立、生效、履行、解释、修改和终止等事项均适用中华人民共和国（不包括香港特别行政区、澳门特别行政区和台湾地区）法律。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leftChars="0" w:firstLine="420" w:firstLineChars="200"/>
        <w:textAlignment w:val="auto"/>
        <w:rPr>
          <w:rFonts w:hint="eastAsia" w:ascii="楷体" w:hAnsi="楷体" w:eastAsia="楷体"/>
          <w:sz w:val="21"/>
          <w:szCs w:val="21"/>
        </w:rPr>
      </w:pPr>
      <w:r>
        <w:rPr>
          <w:rFonts w:hint="eastAsia" w:ascii="楷体" w:hAnsi="楷体" w:eastAsia="楷体"/>
          <w:sz w:val="21"/>
          <w:szCs w:val="21"/>
        </w:rPr>
        <w:t>因本合同引起的或与本合同有关的任何争议，应当首先通过双方之间的友好协商解决；协商不成的，双方均有权提交</w:t>
      </w:r>
      <w:r>
        <w:rPr>
          <w:rFonts w:hint="eastAsia" w:ascii="楷体" w:hAnsi="楷体" w:eastAsia="楷体"/>
          <w:sz w:val="21"/>
          <w:szCs w:val="21"/>
          <w:lang w:val="en-US" w:eastAsia="zh-CN"/>
        </w:rPr>
        <w:t>乙方</w:t>
      </w:r>
      <w:r>
        <w:rPr>
          <w:rFonts w:hint="eastAsia" w:ascii="楷体" w:hAnsi="楷体" w:eastAsia="楷体"/>
          <w:sz w:val="21"/>
          <w:szCs w:val="21"/>
        </w:rPr>
        <w:t>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hint="default" w:ascii="楷体" w:hAnsi="楷体" w:eastAsia="楷体"/>
          <w:b/>
          <w:sz w:val="21"/>
          <w:szCs w:val="21"/>
          <w:lang w:val="en-US" w:eastAsia="zh-CN"/>
        </w:rPr>
      </w:pPr>
      <w:r>
        <w:rPr>
          <w:rFonts w:hint="eastAsia" w:ascii="楷体" w:hAnsi="楷体" w:eastAsia="楷体"/>
          <w:b/>
          <w:sz w:val="21"/>
          <w:szCs w:val="21"/>
          <w:lang w:val="en-US" w:eastAsia="zh-CN"/>
        </w:rPr>
        <w:t>八</w:t>
      </w:r>
      <w:r>
        <w:rPr>
          <w:rFonts w:hint="eastAsia" w:ascii="楷体" w:hAnsi="楷体" w:eastAsia="楷体"/>
          <w:b/>
          <w:sz w:val="21"/>
          <w:szCs w:val="21"/>
        </w:rPr>
        <w:t>、</w:t>
      </w:r>
      <w:r>
        <w:rPr>
          <w:rFonts w:hint="eastAsia" w:ascii="楷体" w:hAnsi="楷体" w:eastAsia="楷体"/>
          <w:b/>
          <w:sz w:val="21"/>
          <w:szCs w:val="21"/>
          <w:lang w:val="en-US" w:eastAsia="zh-CN"/>
        </w:rPr>
        <w:t>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ascii="楷体" w:hAnsi="楷体" w:eastAsia="楷体"/>
          <w:sz w:val="21"/>
          <w:szCs w:val="21"/>
        </w:rPr>
        <w:t>甲方</w:t>
      </w:r>
      <w:r>
        <w:rPr>
          <w:rFonts w:hint="eastAsia" w:ascii="楷体" w:hAnsi="楷体" w:eastAsia="楷体"/>
          <w:sz w:val="21"/>
          <w:szCs w:val="21"/>
        </w:rPr>
        <w:t xml:space="preserve">（个人客户签字）：      </w:t>
      </w:r>
      <w:r>
        <w:rPr>
          <w:rFonts w:ascii="楷体" w:hAnsi="楷体" w:eastAsia="楷体"/>
          <w:sz w:val="21"/>
          <w:szCs w:val="21"/>
        </w:rPr>
        <w:t>甲方</w:t>
      </w:r>
      <w:r>
        <w:rPr>
          <w:rFonts w:hint="eastAsia" w:ascii="楷体" w:hAnsi="楷体" w:eastAsia="楷体"/>
          <w:sz w:val="21"/>
          <w:szCs w:val="21"/>
        </w:rPr>
        <w:t>（机构客户盖章）：</w:t>
      </w: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r>
        <w:rPr>
          <w:rFonts w:hint="eastAsia" w:ascii="楷体" w:hAnsi="楷体" w:eastAsia="楷体"/>
          <w:szCs w:val="21"/>
        </w:rPr>
        <w:t xml:space="preserve">                              </w:t>
      </w:r>
      <w:r>
        <w:rPr>
          <w:rFonts w:hint="eastAsia" w:ascii="楷体" w:hAnsi="楷体" w:eastAsia="楷体"/>
          <w:szCs w:val="21"/>
          <w:lang w:val="en-US" w:eastAsia="zh-CN"/>
        </w:rPr>
        <w:t xml:space="preserve">     </w:t>
      </w:r>
      <w:r>
        <w:rPr>
          <w:rFonts w:hint="eastAsia" w:ascii="楷体" w:hAnsi="楷体" w:eastAsia="楷体"/>
          <w:szCs w:val="21"/>
        </w:rPr>
        <w:t xml:space="preserve"> </w:t>
      </w:r>
      <w:r>
        <w:rPr>
          <w:rFonts w:hint="eastAsia" w:ascii="楷体" w:hAnsi="楷体" w:eastAsia="楷体"/>
          <w:sz w:val="21"/>
          <w:szCs w:val="21"/>
        </w:rPr>
        <w:t>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hint="eastAsia" w:ascii="楷体" w:hAnsi="楷体" w:eastAsia="楷体"/>
          <w:sz w:val="21"/>
          <w:szCs w:val="21"/>
        </w:rPr>
      </w:pPr>
      <w:r>
        <w:rPr>
          <w:rFonts w:ascii="楷体" w:hAnsi="楷体" w:eastAsia="楷体"/>
          <w:sz w:val="21"/>
          <w:szCs w:val="21"/>
        </w:rPr>
        <w:t>签署日期：</w:t>
      </w:r>
      <w:r>
        <w:rPr>
          <w:rFonts w:hint="eastAsia" w:ascii="楷体" w:hAnsi="楷体" w:eastAsia="楷体"/>
          <w:sz w:val="21"/>
          <w:szCs w:val="21"/>
        </w:rPr>
        <w:t xml:space="preserve">      </w:t>
      </w:r>
      <w:r>
        <w:rPr>
          <w:rFonts w:ascii="楷体" w:hAnsi="楷体" w:eastAsia="楷体"/>
          <w:sz w:val="21"/>
          <w:szCs w:val="21"/>
        </w:rPr>
        <w:t>年</w:t>
      </w:r>
      <w:r>
        <w:rPr>
          <w:rFonts w:hint="eastAsia" w:ascii="楷体" w:hAnsi="楷体" w:eastAsia="楷体"/>
          <w:sz w:val="21"/>
          <w:szCs w:val="21"/>
        </w:rPr>
        <w:t xml:space="preserve">      </w:t>
      </w:r>
      <w:r>
        <w:rPr>
          <w:rFonts w:ascii="楷体" w:hAnsi="楷体" w:eastAsia="楷体"/>
          <w:sz w:val="21"/>
          <w:szCs w:val="21"/>
        </w:rPr>
        <w:t>月</w:t>
      </w:r>
      <w:r>
        <w:rPr>
          <w:rFonts w:hint="eastAsia" w:ascii="楷体" w:hAnsi="楷体" w:eastAsia="楷体"/>
          <w:sz w:val="21"/>
          <w:szCs w:val="21"/>
        </w:rPr>
        <w:t xml:space="preserve">     日</w:t>
      </w:r>
    </w:p>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9525" b="14605"/>
          <wp:wrapNone/>
          <wp:docPr id="118"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13335"/>
          <wp:wrapSquare wrapText="bothSides"/>
          <wp:docPr id="119"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17"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20"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AF5B6B"/>
    <w:rsid w:val="0F886AC7"/>
    <w:rsid w:val="5D720083"/>
    <w:rsid w:val="5EBF204D"/>
    <w:rsid w:val="650F7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宋体" w:hAnsi="宋体" w:eastAsia="宋体" w:cs="宋体"/>
      <w:sz w:val="28"/>
      <w:szCs w:val="22"/>
      <w:lang w:val="en-US" w:eastAsia="zh-CN" w:bidi="ar-SA"/>
    </w:rPr>
  </w:style>
  <w:style w:type="paragraph" w:styleId="2">
    <w:name w:val="heading 1"/>
    <w:basedOn w:val="1"/>
    <w:next w:val="1"/>
    <w:link w:val="216"/>
    <w:qFormat/>
    <w:uiPriority w:val="1"/>
    <w:pPr>
      <w:spacing w:before="17"/>
      <w:ind w:left="1144"/>
      <w:jc w:val="left"/>
      <w:outlineLvl w:val="0"/>
    </w:pPr>
    <w:rPr>
      <w:rFonts w:ascii="黑体" w:hAnsi="Times New Roman" w:eastAsia="黑体"/>
      <w:b/>
      <w:bCs/>
      <w:sz w:val="36"/>
      <w:szCs w:val="36"/>
    </w:rPr>
  </w:style>
  <w:style w:type="paragraph" w:styleId="3">
    <w:name w:val="heading 2"/>
    <w:basedOn w:val="1"/>
    <w:next w:val="1"/>
    <w:link w:val="21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18"/>
    <w:qFormat/>
    <w:uiPriority w:val="1"/>
    <w:pPr>
      <w:spacing w:before="34"/>
      <w:ind w:left="120"/>
      <w:jc w:val="left"/>
      <w:outlineLvl w:val="2"/>
    </w:pPr>
    <w:rPr>
      <w:rFonts w:ascii="宋体" w:hAnsi="Times New Roman"/>
      <w:b/>
      <w:bCs/>
      <w:sz w:val="20"/>
      <w:szCs w:val="21"/>
    </w:rPr>
  </w:style>
  <w:style w:type="paragraph" w:styleId="5">
    <w:name w:val="heading 4"/>
    <w:basedOn w:val="1"/>
    <w:next w:val="1"/>
    <w:link w:val="165"/>
    <w:semiHidden/>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6">
    <w:name w:val="heading 5"/>
    <w:basedOn w:val="1"/>
    <w:next w:val="1"/>
    <w:link w:val="166"/>
    <w:semiHidden/>
    <w:unhideWhenUsed/>
    <w:qFormat/>
    <w:uiPriority w:val="9"/>
    <w:pPr>
      <w:keepNext/>
      <w:keepLines/>
      <w:spacing w:before="80" w:after="40"/>
      <w:outlineLvl w:val="4"/>
    </w:pPr>
    <w:rPr>
      <w:rFonts w:ascii="Arial" w:hAnsi="Arial" w:eastAsia="Arial" w:cs="Arial"/>
      <w:color w:val="2E75B6" w:themeColor="accent1" w:themeShade="BF"/>
    </w:rPr>
  </w:style>
  <w:style w:type="paragraph" w:styleId="7">
    <w:name w:val="heading 6"/>
    <w:basedOn w:val="1"/>
    <w:next w:val="1"/>
    <w:link w:val="167"/>
    <w:semiHidden/>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8"/>
    <w:semiHidden/>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9"/>
    <w:semiHidden/>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0"/>
    <w:semiHidden/>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unhideWhenUsed/>
    <w:qFormat/>
    <w:uiPriority w:val="1"/>
  </w:style>
  <w:style w:type="table" w:default="1" w:styleId="27">
    <w:name w:val="Normal Table"/>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2">
    <w:name w:val="annotation text"/>
    <w:basedOn w:val="1"/>
    <w:unhideWhenUsed/>
    <w:qFormat/>
    <w:uiPriority w:val="99"/>
    <w:pPr>
      <w:jc w:val="left"/>
    </w:pPr>
  </w:style>
  <w:style w:type="paragraph" w:styleId="13">
    <w:name w:val="Body Text"/>
    <w:basedOn w:val="1"/>
    <w:next w:val="1"/>
    <w:qFormat/>
    <w:uiPriority w:val="1"/>
    <w:pPr>
      <w:spacing w:before="162"/>
      <w:ind w:left="120"/>
      <w:jc w:val="left"/>
    </w:pPr>
    <w:rPr>
      <w:rFonts w:ascii="宋体" w:hAnsi="Times New Roman"/>
      <w:sz w:val="20"/>
      <w:szCs w:val="21"/>
    </w:rPr>
  </w:style>
  <w:style w:type="paragraph" w:styleId="14">
    <w:name w:val="Date"/>
    <w:basedOn w:val="1"/>
    <w:next w:val="1"/>
    <w:unhideWhenUsed/>
    <w:qFormat/>
    <w:uiPriority w:val="99"/>
    <w:pPr>
      <w:ind w:left="100"/>
    </w:pPr>
  </w:style>
  <w:style w:type="paragraph" w:styleId="15">
    <w:name w:val="endnote text"/>
    <w:basedOn w:val="1"/>
    <w:semiHidden/>
    <w:unhideWhenUsed/>
    <w:qFormat/>
    <w:uiPriority w:val="99"/>
    <w:pPr>
      <w:spacing w:after="0" w:line="240" w:lineRule="auto"/>
    </w:pPr>
    <w:rPr>
      <w:sz w:val="20"/>
      <w:szCs w:val="20"/>
    </w:rPr>
  </w:style>
  <w:style w:type="paragraph" w:styleId="16">
    <w:name w:val="Balloon Text"/>
    <w:basedOn w:val="1"/>
    <w:unhideWhenUsed/>
    <w:qFormat/>
    <w:uiPriority w:val="99"/>
    <w:rPr>
      <w:sz w:val="18"/>
      <w:szCs w:val="18"/>
    </w:rPr>
  </w:style>
  <w:style w:type="paragraph" w:styleId="17">
    <w:name w:val="footer"/>
    <w:basedOn w:val="1"/>
    <w:unhideWhenUsed/>
    <w:qFormat/>
    <w:uiPriority w:val="99"/>
    <w:pPr>
      <w:tabs>
        <w:tab w:val="center" w:pos="4153"/>
        <w:tab w:val="right" w:pos="8306"/>
      </w:tabs>
      <w:jc w:val="left"/>
    </w:pPr>
    <w:rPr>
      <w:sz w:val="18"/>
      <w:szCs w:val="18"/>
    </w:rPr>
  </w:style>
  <w:style w:type="paragraph" w:styleId="18">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9">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
    <w:name w:val="footnote text"/>
    <w:basedOn w:val="1"/>
    <w:semiHidden/>
    <w:unhideWhenUsed/>
    <w:qFormat/>
    <w:uiPriority w:val="99"/>
    <w:pPr>
      <w:jc w:val="left"/>
    </w:pPr>
    <w:rPr>
      <w:sz w:val="18"/>
      <w:szCs w:val="18"/>
    </w:rPr>
  </w:style>
  <w:style w:type="paragraph" w:styleId="21">
    <w:name w:val="table of figures"/>
    <w:basedOn w:val="1"/>
    <w:next w:val="1"/>
    <w:semiHidden/>
    <w:unhideWhenUsed/>
    <w:qFormat/>
    <w:uiPriority w:val="99"/>
    <w:pPr>
      <w:spacing w:after="0" w:afterAutospacing="0"/>
    </w:pPr>
  </w:style>
  <w:style w:type="paragraph" w:styleId="2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3">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4">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5">
    <w:name w:val="annotation subject"/>
    <w:basedOn w:val="12"/>
    <w:next w:val="12"/>
    <w:unhideWhenUsed/>
    <w:qFormat/>
    <w:uiPriority w:val="99"/>
    <w:rPr>
      <w:b/>
      <w:bCs/>
    </w:rPr>
  </w:style>
  <w:style w:type="paragraph" w:styleId="26">
    <w:name w:val="Body Text First Indent"/>
    <w:semiHidden/>
    <w:unhideWhenUsed/>
    <w:qFormat/>
    <w:uiPriority w:val="99"/>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8">
    <w:name w:val="Table Grid"/>
    <w:basedOn w:val="2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hint="default" w:ascii="Times New Roman" w:hAnsi="Times New Roman" w:eastAsia="宋体" w:cs="Times New Roman"/>
      <w:b/>
      <w:bCs/>
    </w:rPr>
  </w:style>
  <w:style w:type="character" w:styleId="31">
    <w:name w:val="endnote reference"/>
    <w:basedOn w:val="29"/>
    <w:semiHidden/>
    <w:unhideWhenUsed/>
    <w:qFormat/>
    <w:uiPriority w:val="99"/>
    <w:rPr>
      <w:rFonts w:hint="default" w:ascii="Times New Roman" w:hAnsi="Times New Roman" w:eastAsia="宋体" w:cs="Times New Roman"/>
      <w:vertAlign w:val="superscript"/>
    </w:rPr>
  </w:style>
  <w:style w:type="character" w:styleId="32">
    <w:name w:val="FollowedHyperlink"/>
    <w:basedOn w:val="29"/>
    <w:semiHidden/>
    <w:unhideWhenUsed/>
    <w:qFormat/>
    <w:uiPriority w:val="99"/>
    <w:rPr>
      <w:rFonts w:hint="default" w:ascii="Times New Roman" w:hAnsi="Times New Roman" w:eastAsia="宋体" w:cs="Times New Roman"/>
      <w:color w:val="954F72" w:themeColor="followedHyperlink"/>
      <w:u w:val="single"/>
      <w14:textFill>
        <w14:solidFill>
          <w14:schemeClr w14:val="folHlink"/>
        </w14:solidFill>
      </w14:textFill>
    </w:rPr>
  </w:style>
  <w:style w:type="character" w:styleId="33">
    <w:name w:val="Emphasis"/>
    <w:basedOn w:val="29"/>
    <w:qFormat/>
    <w:uiPriority w:val="20"/>
    <w:rPr>
      <w:rFonts w:hint="default" w:ascii="Times New Roman" w:hAnsi="Times New Roman" w:eastAsia="宋体" w:cs="Times New Roman"/>
      <w:i/>
      <w:iCs/>
    </w:rPr>
  </w:style>
  <w:style w:type="character" w:styleId="34">
    <w:name w:val="Hyperlink"/>
    <w:unhideWhenUsed/>
    <w:qFormat/>
    <w:uiPriority w:val="99"/>
    <w:rPr>
      <w:rFonts w:hint="default" w:ascii="Times New Roman" w:hAnsi="Times New Roman" w:eastAsia="宋体" w:cs="Times New Roman"/>
      <w:color w:val="0000FF"/>
      <w:u w:val="single"/>
    </w:rPr>
  </w:style>
  <w:style w:type="character" w:styleId="35">
    <w:name w:val="annotation reference"/>
    <w:unhideWhenUsed/>
    <w:qFormat/>
    <w:uiPriority w:val="99"/>
    <w:rPr>
      <w:rFonts w:hint="default" w:ascii="Times New Roman" w:hAnsi="Times New Roman" w:eastAsia="宋体" w:cs="Times New Roman"/>
      <w:sz w:val="21"/>
      <w:szCs w:val="21"/>
    </w:rPr>
  </w:style>
  <w:style w:type="character" w:styleId="36">
    <w:name w:val="footnote reference"/>
    <w:semiHidden/>
    <w:unhideWhenUsed/>
    <w:qFormat/>
    <w:uiPriority w:val="99"/>
    <w:rPr>
      <w:rFonts w:hint="default" w:ascii="Times New Roman" w:hAnsi="Times New Roman" w:eastAsia="宋体" w:cs="Times New Roman"/>
      <w:vertAlign w:val="superscript"/>
    </w:rPr>
  </w:style>
  <w:style w:type="table" w:customStyle="1" w:styleId="37">
    <w:name w:val="Table Grid Light"/>
    <w:basedOn w:val="2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2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9">
    <w:name w:val="Plain Table 2"/>
    <w:basedOn w:val="27"/>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2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Plain Table 4"/>
    <w:basedOn w:val="2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Plain Table 5"/>
    <w:basedOn w:val="2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3">
    <w:name w:val="Grid Table 1 Light"/>
    <w:basedOn w:val="2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2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2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2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2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2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2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2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1">
    <w:name w:val="Grid Table 2 - Accent 1"/>
    <w:basedOn w:val="2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2">
    <w:name w:val="Grid Table 2 - Accent 2"/>
    <w:basedOn w:val="2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3">
    <w:name w:val="Grid Table 2 - Accent 3"/>
    <w:basedOn w:val="2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4">
    <w:name w:val="Grid Table 2 - Accent 4"/>
    <w:basedOn w:val="2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5">
    <w:name w:val="Grid Table 2 - Accent 5"/>
    <w:basedOn w:val="2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6">
    <w:name w:val="Grid Table 2 - Accent 6"/>
    <w:basedOn w:val="2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7">
    <w:name w:val="Grid Table 3"/>
    <w:basedOn w:val="2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8">
    <w:name w:val="Grid Table 3 - Accent 1"/>
    <w:basedOn w:val="2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9">
    <w:name w:val="Grid Table 3 - Accent 2"/>
    <w:basedOn w:val="2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0">
    <w:name w:val="Grid Table 3 - Accent 3"/>
    <w:basedOn w:val="2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1">
    <w:name w:val="Grid Table 3 - Accent 4"/>
    <w:basedOn w:val="2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2">
    <w:name w:val="Grid Table 3 - Accent 5"/>
    <w:basedOn w:val="2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3">
    <w:name w:val="Grid Table 3 - Accent 6"/>
    <w:basedOn w:val="2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4">
    <w:name w:val="Grid Table 4"/>
    <w:basedOn w:val="2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5">
    <w:name w:val="Grid Table 4 - Accent 1"/>
    <w:basedOn w:val="27"/>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table" w:customStyle="1" w:styleId="66">
    <w:name w:val="Grid Table 4 - Accent 2"/>
    <w:basedOn w:val="27"/>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7">
    <w:name w:val="Grid Table 4 - Accent 3"/>
    <w:basedOn w:val="27"/>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8">
    <w:name w:val="Grid Table 4 - Accent 4"/>
    <w:basedOn w:val="27"/>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9">
    <w:name w:val="Grid Table 4 - Accent 5"/>
    <w:basedOn w:val="27"/>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0">
    <w:name w:val="Grid Table 4 - Accent 6"/>
    <w:basedOn w:val="27"/>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1">
    <w:name w:val="Grid Table 5 Dark"/>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2">
    <w:name w:val="Grid Table 5 Dark- Accent 1"/>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3">
    <w:name w:val="Grid Table 5 Dark - Accent 2"/>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4">
    <w:name w:val="Grid Table 5 Dark - Accent 3"/>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5">
    <w:name w:val="Grid Table 5 Dark- Accent 4"/>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6">
    <w:name w:val="Grid Table 5 Dark - Accent 5"/>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7">
    <w:name w:val="Grid Table 5 Dark - Accent 6"/>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8">
    <w:name w:val="Grid Table 6 Colorful"/>
    <w:basedOn w:val="27"/>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27"/>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2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27"/>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2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27"/>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27"/>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27"/>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27"/>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27"/>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27"/>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27"/>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27"/>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27"/>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27"/>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3">
    <w:name w:val="List Table 1 Light - Accent 1"/>
    <w:basedOn w:val="27"/>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4">
    <w:name w:val="List Table 1 Light - Accent 2"/>
    <w:basedOn w:val="27"/>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5">
    <w:name w:val="List Table 1 Light - Accent 3"/>
    <w:basedOn w:val="27"/>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6">
    <w:name w:val="List Table 1 Light - Accent 4"/>
    <w:basedOn w:val="27"/>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7">
    <w:name w:val="List Table 1 Light - Accent 5"/>
    <w:basedOn w:val="27"/>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8">
    <w:name w:val="List Table 1 Light - Accent 6"/>
    <w:basedOn w:val="27"/>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9">
    <w:name w:val="List Table 2"/>
    <w:basedOn w:val="27"/>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0">
    <w:name w:val="List Table 2 - Accent 1"/>
    <w:basedOn w:val="27"/>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1">
    <w:name w:val="List Table 2 - Accent 2"/>
    <w:basedOn w:val="27"/>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2">
    <w:name w:val="List Table 2 - Accent 3"/>
    <w:basedOn w:val="27"/>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3">
    <w:name w:val="List Table 2 - Accent 4"/>
    <w:basedOn w:val="27"/>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4">
    <w:name w:val="List Table 2 - Accent 5"/>
    <w:basedOn w:val="27"/>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5">
    <w:name w:val="List Table 2 - Accent 6"/>
    <w:basedOn w:val="27"/>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6">
    <w:name w:val="List Table 3"/>
    <w:basedOn w:val="2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27"/>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2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27"/>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2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27"/>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27"/>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2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4">
    <w:name w:val="List Table 4 - Accent 1"/>
    <w:basedOn w:val="27"/>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5">
    <w:name w:val="List Table 4 - Accent 2"/>
    <w:basedOn w:val="27"/>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6">
    <w:name w:val="List Table 4 - Accent 3"/>
    <w:basedOn w:val="27"/>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7">
    <w:name w:val="List Table 4 - Accent 4"/>
    <w:basedOn w:val="27"/>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8">
    <w:name w:val="List Table 4 - Accent 5"/>
    <w:basedOn w:val="27"/>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9">
    <w:name w:val="List Table 4 - Accent 6"/>
    <w:basedOn w:val="27"/>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0">
    <w:name w:val="List Table 5 Dark"/>
    <w:basedOn w:val="27"/>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1">
    <w:name w:val="List Table 5 Dark - Accent 1"/>
    <w:basedOn w:val="27"/>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2">
    <w:name w:val="List Table 5 Dark - Accent 2"/>
    <w:basedOn w:val="27"/>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3">
    <w:name w:val="List Table 5 Dark - Accent 3"/>
    <w:basedOn w:val="27"/>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4">
    <w:name w:val="List Table 5 Dark - Accent 4"/>
    <w:basedOn w:val="27"/>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5">
    <w:name w:val="List Table 5 Dark - Accent 5"/>
    <w:basedOn w:val="27"/>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6">
    <w:name w:val="List Table 5 Dark - Accent 6"/>
    <w:basedOn w:val="27"/>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7">
    <w:name w:val="List Table 6 Colorful"/>
    <w:basedOn w:val="27"/>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27"/>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27"/>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27"/>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27"/>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27"/>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27"/>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27"/>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27"/>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27"/>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27"/>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27"/>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27"/>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27"/>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27"/>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2">
    <w:name w:val="Lined - Accent 1"/>
    <w:basedOn w:val="27"/>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3">
    <w:name w:val="Lined - Accent 2"/>
    <w:basedOn w:val="27"/>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4">
    <w:name w:val="Lined - Accent 3"/>
    <w:basedOn w:val="27"/>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5">
    <w:name w:val="Lined - Accent 4"/>
    <w:basedOn w:val="27"/>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6">
    <w:name w:val="Lined - Accent 5"/>
    <w:basedOn w:val="27"/>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7">
    <w:name w:val="Lined - Accent 6"/>
    <w:basedOn w:val="27"/>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8">
    <w:name w:val="Bordered &amp; Lined - Accent"/>
    <w:basedOn w:val="27"/>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9">
    <w:name w:val="Bordered &amp; Lined - Accent 1"/>
    <w:basedOn w:val="27"/>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0">
    <w:name w:val="Bordered &amp; Lined - Accent 2"/>
    <w:basedOn w:val="27"/>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1">
    <w:name w:val="Bordered &amp; Lined - Accent 3"/>
    <w:basedOn w:val="27"/>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2">
    <w:name w:val="Bordered &amp; Lined - Accent 4"/>
    <w:basedOn w:val="27"/>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3">
    <w:name w:val="Bordered &amp; Lined - Accent 5"/>
    <w:basedOn w:val="27"/>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4">
    <w:name w:val="Bordered &amp; Lined - Accent 6"/>
    <w:basedOn w:val="27"/>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5">
    <w:name w:val="Bordered"/>
    <w:basedOn w:val="27"/>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2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2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2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2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2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2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29"/>
    <w:qFormat/>
    <w:uiPriority w:val="9"/>
    <w:rPr>
      <w:rFonts w:hint="default" w:ascii="Arial" w:hAnsi="Arial" w:eastAsia="Arial" w:cs="Arial"/>
      <w:color w:val="2E75B6" w:themeColor="accent1" w:themeShade="BF"/>
      <w:sz w:val="40"/>
      <w:szCs w:val="40"/>
    </w:rPr>
  </w:style>
  <w:style w:type="character" w:customStyle="1" w:styleId="163">
    <w:name w:val="Heading 2 Char"/>
    <w:basedOn w:val="29"/>
    <w:qFormat/>
    <w:uiPriority w:val="9"/>
    <w:rPr>
      <w:rFonts w:hint="default" w:ascii="Arial" w:hAnsi="Arial" w:eastAsia="Arial" w:cs="Arial"/>
      <w:color w:val="2E75B6" w:themeColor="accent1" w:themeShade="BF"/>
      <w:sz w:val="32"/>
      <w:szCs w:val="32"/>
    </w:rPr>
  </w:style>
  <w:style w:type="character" w:customStyle="1" w:styleId="164">
    <w:name w:val="Heading 3 Char"/>
    <w:basedOn w:val="29"/>
    <w:qFormat/>
    <w:uiPriority w:val="9"/>
    <w:rPr>
      <w:rFonts w:hint="default" w:ascii="Arial" w:hAnsi="Arial" w:eastAsia="Arial" w:cs="Arial"/>
      <w:color w:val="2E75B6" w:themeColor="accent1" w:themeShade="BF"/>
      <w:sz w:val="28"/>
      <w:szCs w:val="28"/>
    </w:rPr>
  </w:style>
  <w:style w:type="character" w:customStyle="1" w:styleId="165">
    <w:name w:val="Heading 4 Char"/>
    <w:basedOn w:val="29"/>
    <w:link w:val="5"/>
    <w:qFormat/>
    <w:uiPriority w:val="9"/>
    <w:rPr>
      <w:rFonts w:hint="default" w:ascii="Arial" w:hAnsi="Arial" w:eastAsia="Arial" w:cs="Arial"/>
      <w:i/>
      <w:iCs/>
      <w:color w:val="2E75B6" w:themeColor="accent1" w:themeShade="BF"/>
    </w:rPr>
  </w:style>
  <w:style w:type="character" w:customStyle="1" w:styleId="166">
    <w:name w:val="Heading 5 Char"/>
    <w:basedOn w:val="29"/>
    <w:link w:val="6"/>
    <w:qFormat/>
    <w:uiPriority w:val="9"/>
    <w:rPr>
      <w:rFonts w:hint="default" w:ascii="Arial" w:hAnsi="Arial" w:eastAsia="Arial" w:cs="Arial"/>
      <w:color w:val="2E75B6" w:themeColor="accent1" w:themeShade="BF"/>
    </w:rPr>
  </w:style>
  <w:style w:type="character" w:customStyle="1" w:styleId="167">
    <w:name w:val="Heading 6 Char"/>
    <w:basedOn w:val="29"/>
    <w:link w:val="7"/>
    <w:qFormat/>
    <w:uiPriority w:val="9"/>
    <w:rPr>
      <w:rFonts w:hint="default"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29"/>
    <w:link w:val="8"/>
    <w:qFormat/>
    <w:uiPriority w:val="9"/>
    <w:rPr>
      <w:rFonts w:hint="default"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29"/>
    <w:link w:val="9"/>
    <w:qFormat/>
    <w:uiPriority w:val="9"/>
    <w:rPr>
      <w:rFonts w:hint="default"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29"/>
    <w:link w:val="10"/>
    <w:qFormat/>
    <w:uiPriority w:val="9"/>
    <w:rPr>
      <w:rFonts w:hint="default"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29"/>
    <w:qFormat/>
    <w:uiPriority w:val="10"/>
    <w:rPr>
      <w:rFonts w:hint="default" w:ascii="Arial" w:hAnsi="Arial" w:eastAsia="Arial" w:cs="Arial"/>
      <w:spacing w:val="-10"/>
      <w:sz w:val="56"/>
      <w:szCs w:val="56"/>
    </w:rPr>
  </w:style>
  <w:style w:type="character" w:customStyle="1" w:styleId="172">
    <w:name w:val="Subtitle Char"/>
    <w:basedOn w:val="29"/>
    <w:qFormat/>
    <w:uiPriority w:val="11"/>
    <w:rPr>
      <w:rFonts w:hint="default" w:ascii="Times New Roman" w:hAnsi="Times New Roman" w:eastAsia="宋体" w:cs="Times New Roman"/>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link w:val="22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29"/>
    <w:qFormat/>
    <w:uiPriority w:val="29"/>
    <w:rPr>
      <w:rFonts w:hint="default" w:ascii="Times New Roman" w:hAnsi="Times New Roman" w:eastAsia="宋体" w:cs="Times New Roman"/>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29"/>
    <w:qFormat/>
    <w:uiPriority w:val="21"/>
    <w:rPr>
      <w:rFonts w:hint="default" w:ascii="Times New Roman" w:hAnsi="Times New Roman" w:eastAsia="宋体" w:cs="Times New Roman"/>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29"/>
    <w:qFormat/>
    <w:uiPriority w:val="30"/>
    <w:rPr>
      <w:rFonts w:hint="default" w:ascii="Times New Roman" w:hAnsi="Times New Roman" w:eastAsia="宋体" w:cs="Times New Roman"/>
      <w:i/>
      <w:iCs/>
      <w:color w:val="2E75B6" w:themeColor="accent1" w:themeShade="BF"/>
    </w:rPr>
  </w:style>
  <w:style w:type="character" w:customStyle="1" w:styleId="178">
    <w:name w:val="Intense Reference"/>
    <w:basedOn w:val="29"/>
    <w:qFormat/>
    <w:uiPriority w:val="32"/>
    <w:rPr>
      <w:rFonts w:hint="default" w:ascii="Times New Roman" w:hAnsi="Times New Roman" w:eastAsia="宋体" w:cs="Times New Roman"/>
      <w:b/>
      <w:bCs/>
      <w:smallCaps/>
      <w:color w:val="2E75B6" w:themeColor="accent1" w:themeShade="BF"/>
      <w:spacing w:val="5"/>
    </w:rPr>
  </w:style>
  <w:style w:type="paragraph" w:styleId="179">
    <w:name w:val="No Spacing"/>
    <w:basedOn w:val="1"/>
    <w:link w:val="197"/>
    <w:qFormat/>
    <w:uiPriority w:val="1"/>
    <w:pPr>
      <w:spacing w:after="0" w:line="240" w:lineRule="auto"/>
    </w:pPr>
  </w:style>
  <w:style w:type="character" w:customStyle="1" w:styleId="180">
    <w:name w:val="Subtle Emphasis"/>
    <w:basedOn w:val="29"/>
    <w:qFormat/>
    <w:uiPriority w:val="19"/>
    <w:rPr>
      <w:rFonts w:hint="default" w:ascii="Times New Roman" w:hAnsi="Times New Roman" w:eastAsia="宋体" w:cs="Times New Roman"/>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29"/>
    <w:qFormat/>
    <w:uiPriority w:val="31"/>
    <w:rPr>
      <w:rFonts w:hint="default" w:ascii="Times New Roman" w:hAnsi="Times New Roman" w:eastAsia="宋体" w:cs="Times New Roman"/>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29"/>
    <w:qFormat/>
    <w:uiPriority w:val="33"/>
    <w:rPr>
      <w:rFonts w:hint="default" w:ascii="Times New Roman" w:hAnsi="Times New Roman" w:eastAsia="宋体" w:cs="Times New Roman"/>
      <w:b/>
      <w:bCs/>
      <w:i/>
      <w:iCs/>
      <w:spacing w:val="5"/>
    </w:rPr>
  </w:style>
  <w:style w:type="character" w:customStyle="1" w:styleId="183">
    <w:name w:val="Header Char"/>
    <w:basedOn w:val="29"/>
    <w:qFormat/>
    <w:uiPriority w:val="99"/>
    <w:rPr>
      <w:rFonts w:hint="default" w:ascii="Times New Roman" w:hAnsi="Times New Roman" w:eastAsia="宋体" w:cs="Times New Roman"/>
    </w:rPr>
  </w:style>
  <w:style w:type="character" w:customStyle="1" w:styleId="184">
    <w:name w:val="Footer Char"/>
    <w:basedOn w:val="29"/>
    <w:qFormat/>
    <w:uiPriority w:val="99"/>
    <w:rPr>
      <w:rFonts w:hint="default" w:ascii="Times New Roman" w:hAnsi="Times New Roman" w:eastAsia="宋体" w:cs="Times New Roman"/>
    </w:rPr>
  </w:style>
  <w:style w:type="character" w:customStyle="1" w:styleId="185">
    <w:name w:val="Footnote Text Char"/>
    <w:basedOn w:val="29"/>
    <w:semiHidden/>
    <w:qFormat/>
    <w:uiPriority w:val="99"/>
    <w:rPr>
      <w:rFonts w:hint="default" w:ascii="Times New Roman" w:hAnsi="Times New Roman" w:eastAsia="宋体" w:cs="Times New Roman"/>
      <w:sz w:val="20"/>
      <w:szCs w:val="20"/>
    </w:rPr>
  </w:style>
  <w:style w:type="character" w:customStyle="1" w:styleId="186">
    <w:name w:val="Endnote Text Char"/>
    <w:basedOn w:val="29"/>
    <w:semiHidden/>
    <w:qFormat/>
    <w:uiPriority w:val="99"/>
    <w:rPr>
      <w:rFonts w:hint="default" w:ascii="Times New Roman" w:hAnsi="Times New Roman" w:eastAsia="宋体" w:cs="Times New Roman"/>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paragraph" w:customStyle="1" w:styleId="188">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89">
    <w:name w:val="Table Paragraph"/>
    <w:basedOn w:val="1"/>
    <w:qFormat/>
    <w:uiPriority w:val="1"/>
    <w:pPr>
      <w:jc w:val="left"/>
    </w:pPr>
    <w:rPr>
      <w:rFonts w:ascii="Times New Roman" w:hAnsi="Times New Roman" w:cs="Times New Roman"/>
      <w:sz w:val="24"/>
      <w:szCs w:val="24"/>
    </w:rPr>
  </w:style>
  <w:style w:type="paragraph" w:styleId="190">
    <w:name w:val="List Paragraph"/>
    <w:basedOn w:val="1"/>
    <w:qFormat/>
    <w:uiPriority w:val="72"/>
    <w:pPr>
      <w:ind w:firstLine="420"/>
    </w:pPr>
  </w:style>
  <w:style w:type="paragraph" w:customStyle="1" w:styleId="191">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2">
    <w:name w:val="页眉 Char"/>
    <w:qFormat/>
    <w:uiPriority w:val="99"/>
    <w:rPr>
      <w:rFonts w:hint="default" w:ascii="Times New Roman" w:hAnsi="Times New Roman" w:eastAsia="宋体" w:cs="Times New Roman"/>
      <w:sz w:val="18"/>
      <w:szCs w:val="18"/>
    </w:rPr>
  </w:style>
  <w:style w:type="character" w:customStyle="1" w:styleId="193">
    <w:name w:val="标题 1 Char"/>
    <w:link w:val="2"/>
    <w:qFormat/>
    <w:uiPriority w:val="1"/>
    <w:rPr>
      <w:rFonts w:hint="default" w:ascii="黑体" w:hAnsi="Times New Roman" w:eastAsia="黑体" w:cs="Times New Roman"/>
      <w:b/>
      <w:bCs/>
      <w:sz w:val="36"/>
      <w:szCs w:val="36"/>
    </w:rPr>
  </w:style>
  <w:style w:type="character" w:customStyle="1" w:styleId="194">
    <w:name w:val="批注文字 Char"/>
    <w:qFormat/>
    <w:uiPriority w:val="99"/>
    <w:rPr>
      <w:rFonts w:hint="default" w:ascii="Times New Roman" w:hAnsi="Times New Roman" w:eastAsia="宋体" w:cs="Times New Roman"/>
      <w:sz w:val="21"/>
      <w:szCs w:val="22"/>
    </w:rPr>
  </w:style>
  <w:style w:type="character" w:customStyle="1" w:styleId="195">
    <w:name w:val="脚注文本 Char"/>
    <w:semiHidden/>
    <w:qFormat/>
    <w:uiPriority w:val="99"/>
    <w:rPr>
      <w:rFonts w:hint="default" w:ascii="Times New Roman" w:hAnsi="Times New Roman" w:eastAsia="宋体" w:cs="Times New Roman"/>
      <w:sz w:val="18"/>
      <w:szCs w:val="18"/>
    </w:rPr>
  </w:style>
  <w:style w:type="character" w:customStyle="1" w:styleId="196">
    <w:name w:val="页脚 Char"/>
    <w:qFormat/>
    <w:uiPriority w:val="99"/>
    <w:rPr>
      <w:rFonts w:hint="default" w:ascii="Times New Roman" w:hAnsi="Times New Roman" w:eastAsia="宋体" w:cs="Times New Roman"/>
      <w:sz w:val="18"/>
      <w:szCs w:val="18"/>
    </w:rPr>
  </w:style>
  <w:style w:type="character" w:customStyle="1" w:styleId="197">
    <w:name w:val="批注框文本 Char"/>
    <w:link w:val="179"/>
    <w:semiHidden/>
    <w:qFormat/>
    <w:uiPriority w:val="99"/>
    <w:rPr>
      <w:rFonts w:hint="default" w:ascii="Times New Roman" w:hAnsi="Times New Roman" w:eastAsia="宋体" w:cs="Times New Roman"/>
    </w:rPr>
  </w:style>
  <w:style w:type="character" w:customStyle="1" w:styleId="198">
    <w:name w:val="标题 2 Char"/>
    <w:link w:val="3"/>
    <w:qFormat/>
    <w:uiPriority w:val="9"/>
    <w:rPr>
      <w:rFonts w:hint="default" w:ascii="Cambria" w:hAnsi="Cambria" w:eastAsia="宋体" w:cs="Times New Roman"/>
      <w:b/>
      <w:bCs/>
      <w:sz w:val="32"/>
      <w:szCs w:val="32"/>
    </w:rPr>
  </w:style>
  <w:style w:type="character" w:customStyle="1" w:styleId="199">
    <w:name w:val="日期 Char"/>
    <w:basedOn w:val="29"/>
    <w:semiHidden/>
    <w:qFormat/>
    <w:uiPriority w:val="99"/>
    <w:rPr>
      <w:rFonts w:hint="default" w:ascii="Times New Roman" w:hAnsi="Times New Roman" w:eastAsia="宋体" w:cs="Times New Roman"/>
    </w:rPr>
  </w:style>
  <w:style w:type="character" w:customStyle="1" w:styleId="200">
    <w:name w:val="脚注文本 字符"/>
    <w:semiHidden/>
    <w:qFormat/>
    <w:uiPriority w:val="99"/>
    <w:rPr>
      <w:rFonts w:hint="default" w:ascii="Times New Roman" w:hAnsi="Times New Roman" w:eastAsia="宋体" w:cs="Times New Roman"/>
      <w:sz w:val="18"/>
      <w:szCs w:val="18"/>
    </w:rPr>
  </w:style>
  <w:style w:type="character" w:customStyle="1" w:styleId="201">
    <w:name w:val="批注主题 Char"/>
    <w:semiHidden/>
    <w:qFormat/>
    <w:uiPriority w:val="99"/>
    <w:rPr>
      <w:rFonts w:hint="default" w:ascii="Times New Roman" w:hAnsi="Times New Roman" w:eastAsia="宋体" w:cs="Times New Roman"/>
      <w:b/>
      <w:bCs/>
      <w:sz w:val="21"/>
      <w:szCs w:val="22"/>
    </w:rPr>
  </w:style>
  <w:style w:type="character" w:customStyle="1" w:styleId="202">
    <w:name w:val="标题 3 Char"/>
    <w:link w:val="4"/>
    <w:qFormat/>
    <w:uiPriority w:val="1"/>
    <w:rPr>
      <w:rFonts w:hint="default" w:ascii="宋体" w:hAnsi="Times New Roman" w:eastAsia="宋体" w:cs="Times New Roman"/>
      <w:b/>
      <w:bCs/>
      <w:sz w:val="20"/>
      <w:szCs w:val="21"/>
    </w:rPr>
  </w:style>
  <w:style w:type="character" w:customStyle="1" w:styleId="203">
    <w:name w:val="正文文本 Char"/>
    <w:qFormat/>
    <w:uiPriority w:val="1"/>
    <w:rPr>
      <w:rFonts w:hint="default" w:ascii="宋体" w:hAnsi="Times New Roman" w:eastAsia="宋体" w:cs="宋体"/>
      <w:szCs w:val="21"/>
    </w:rPr>
  </w:style>
  <w:style w:type="character" w:customStyle="1" w:styleId="204">
    <w:name w:val="批注文字 字符"/>
    <w:qFormat/>
    <w:uiPriority w:val="99"/>
    <w:rPr>
      <w:rFonts w:ascii="Times New Roman" w:hAnsi="Times New Roman" w:eastAsia="宋体" w:cs="Times New Roman"/>
    </w:rPr>
  </w:style>
  <w:style w:type="character" w:customStyle="1" w:styleId="205">
    <w:name w:val="标题 3 字符"/>
    <w:qFormat/>
    <w:uiPriority w:val="1"/>
    <w:rPr>
      <w:rFonts w:ascii="宋体" w:hAnsi="Times New Roman" w:eastAsia="宋体" w:cs="Times New Roman"/>
      <w:b/>
      <w:bCs/>
      <w:sz w:val="20"/>
      <w:szCs w:val="21"/>
    </w:rPr>
  </w:style>
  <w:style w:type="character" w:customStyle="1" w:styleId="206">
    <w:name w:val="脚注文本 字符1"/>
    <w:semiHidden/>
    <w:qFormat/>
    <w:uiPriority w:val="99"/>
    <w:rPr>
      <w:rFonts w:ascii="Times New Roman" w:hAnsi="Times New Roman" w:eastAsia="宋体" w:cs="Times New Roman"/>
      <w:sz w:val="18"/>
      <w:szCs w:val="18"/>
    </w:rPr>
  </w:style>
  <w:style w:type="character" w:customStyle="1" w:styleId="207">
    <w:name w:val="标题 2 字符"/>
    <w:qFormat/>
    <w:uiPriority w:val="9"/>
    <w:rPr>
      <w:rFonts w:ascii="Cambria" w:hAnsi="Cambria" w:eastAsia="宋体" w:cs="Times New Roman"/>
      <w:b/>
      <w:bCs/>
      <w:sz w:val="32"/>
      <w:szCs w:val="32"/>
    </w:rPr>
  </w:style>
  <w:style w:type="character" w:customStyle="1" w:styleId="208">
    <w:name w:val="正文文本 字符"/>
    <w:qFormat/>
    <w:uiPriority w:val="1"/>
    <w:rPr>
      <w:rFonts w:ascii="宋体" w:hAnsi="Times New Roman" w:eastAsia="宋体" w:cs="Times New Roman"/>
      <w:sz w:val="20"/>
      <w:szCs w:val="21"/>
    </w:rPr>
  </w:style>
  <w:style w:type="character" w:customStyle="1" w:styleId="209">
    <w:name w:val="批注主题 字符"/>
    <w:semiHidden/>
    <w:qFormat/>
    <w:uiPriority w:val="99"/>
    <w:rPr>
      <w:rFonts w:ascii="Times New Roman" w:hAnsi="Times New Roman" w:eastAsia="宋体" w:cs="Times New Roman"/>
      <w:b/>
      <w:bCs/>
    </w:rPr>
  </w:style>
  <w:style w:type="character" w:customStyle="1" w:styleId="210">
    <w:name w:val="日期 字符"/>
    <w:basedOn w:val="29"/>
    <w:semiHidden/>
    <w:qFormat/>
    <w:uiPriority w:val="99"/>
    <w:rPr>
      <w:rFonts w:ascii="Times New Roman" w:hAnsi="Times New Roman" w:eastAsia="宋体" w:cs="Times New Roman"/>
    </w:rPr>
  </w:style>
  <w:style w:type="character" w:customStyle="1" w:styleId="211">
    <w:name w:val="标题 1 字符"/>
    <w:qFormat/>
    <w:uiPriority w:val="1"/>
    <w:rPr>
      <w:rFonts w:ascii="黑体" w:hAnsi="Times New Roman" w:eastAsia="黑体" w:cs="Times New Roman"/>
      <w:b/>
      <w:bCs/>
      <w:sz w:val="36"/>
      <w:szCs w:val="36"/>
    </w:rPr>
  </w:style>
  <w:style w:type="character" w:customStyle="1" w:styleId="212">
    <w:name w:val="页脚 字符"/>
    <w:qFormat/>
    <w:uiPriority w:val="99"/>
    <w:rPr>
      <w:rFonts w:ascii="Times New Roman" w:hAnsi="Times New Roman" w:eastAsia="宋体" w:cs="Times New Roman"/>
      <w:sz w:val="18"/>
      <w:szCs w:val="18"/>
    </w:rPr>
  </w:style>
  <w:style w:type="character" w:customStyle="1" w:styleId="213">
    <w:name w:val="页眉 字符"/>
    <w:qFormat/>
    <w:uiPriority w:val="99"/>
    <w:rPr>
      <w:rFonts w:ascii="Times New Roman" w:hAnsi="Times New Roman" w:eastAsia="宋体" w:cs="Times New Roman"/>
      <w:sz w:val="18"/>
      <w:szCs w:val="18"/>
    </w:rPr>
  </w:style>
  <w:style w:type="character" w:customStyle="1" w:styleId="214">
    <w:name w:val="批注框文本 字符"/>
    <w:semiHidden/>
    <w:qFormat/>
    <w:uiPriority w:val="99"/>
    <w:rPr>
      <w:rFonts w:ascii="Times New Roman" w:hAnsi="Times New Roman" w:eastAsia="宋体" w:cs="Times New Roman"/>
      <w:sz w:val="18"/>
      <w:szCs w:val="18"/>
    </w:rPr>
  </w:style>
  <w:style w:type="paragraph" w:customStyle="1" w:styleId="215">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16">
    <w:name w:val="标题 1 字符1"/>
    <w:link w:val="2"/>
    <w:qFormat/>
    <w:uiPriority w:val="1"/>
    <w:rPr>
      <w:rFonts w:ascii="黑体" w:hAnsi="Times New Roman" w:eastAsia="黑体" w:cs="黑体"/>
      <w:b/>
      <w:bCs/>
      <w:sz w:val="36"/>
      <w:szCs w:val="36"/>
    </w:rPr>
  </w:style>
  <w:style w:type="character" w:customStyle="1" w:styleId="217">
    <w:name w:val="标题 2 字符1"/>
    <w:link w:val="3"/>
    <w:qFormat/>
    <w:uiPriority w:val="9"/>
    <w:rPr>
      <w:rFonts w:ascii="Cambria" w:hAnsi="Cambria" w:eastAsia="宋体" w:cs="Times New Roman"/>
      <w:b/>
      <w:bCs/>
      <w:sz w:val="32"/>
      <w:szCs w:val="32"/>
    </w:rPr>
  </w:style>
  <w:style w:type="character" w:customStyle="1" w:styleId="218">
    <w:name w:val="标题 3 字符1"/>
    <w:link w:val="4"/>
    <w:qFormat/>
    <w:uiPriority w:val="1"/>
    <w:rPr>
      <w:rFonts w:ascii="宋体" w:hAnsi="Times New Roman" w:eastAsia="宋体" w:cs="宋体"/>
      <w:b/>
      <w:bCs/>
      <w:szCs w:val="21"/>
    </w:rPr>
  </w:style>
  <w:style w:type="character" w:customStyle="1" w:styleId="219">
    <w:name w:val="批注文字 字符1"/>
    <w:qFormat/>
    <w:uiPriority w:val="99"/>
    <w:rPr>
      <w:rFonts w:ascii="Times New Roman" w:hAnsi="Times New Roman" w:eastAsia="宋体" w:cs="Times New Roman"/>
      <w:sz w:val="21"/>
      <w:szCs w:val="22"/>
    </w:rPr>
  </w:style>
  <w:style w:type="character" w:customStyle="1" w:styleId="220">
    <w:name w:val="正文文本 字符1"/>
    <w:qFormat/>
    <w:uiPriority w:val="1"/>
    <w:rPr>
      <w:rFonts w:ascii="宋体" w:hAnsi="Times New Roman" w:eastAsia="宋体" w:cs="宋体"/>
      <w:szCs w:val="21"/>
    </w:rPr>
  </w:style>
  <w:style w:type="character" w:customStyle="1" w:styleId="221">
    <w:name w:val="日期 字符1"/>
    <w:basedOn w:val="29"/>
    <w:semiHidden/>
    <w:qFormat/>
    <w:uiPriority w:val="99"/>
    <w:rPr>
      <w:rFonts w:ascii="Times New Roman" w:hAnsi="Times New Roman" w:eastAsia="宋体" w:cs="Times New Roman"/>
    </w:rPr>
  </w:style>
  <w:style w:type="character" w:customStyle="1" w:styleId="222">
    <w:name w:val="批注框文本 字符1"/>
    <w:link w:val="173"/>
    <w:semiHidden/>
    <w:qFormat/>
    <w:uiPriority w:val="99"/>
    <w:rPr>
      <w:rFonts w:ascii="Times New Roman" w:hAnsi="Times New Roman" w:eastAsia="宋体" w:cs="Times New Roman"/>
      <w:i/>
      <w:iCs/>
      <w:color w:val="404040" w:themeColor="text1" w:themeTint="BF"/>
      <w14:textFill>
        <w14:solidFill>
          <w14:schemeClr w14:val="tx1">
            <w14:lumMod w14:val="75000"/>
            <w14:lumOff w14:val="25000"/>
          </w14:schemeClr>
        </w14:solidFill>
      </w14:textFill>
    </w:rPr>
  </w:style>
  <w:style w:type="character" w:customStyle="1" w:styleId="223">
    <w:name w:val="页脚 字符1"/>
    <w:qFormat/>
    <w:uiPriority w:val="99"/>
    <w:rPr>
      <w:rFonts w:ascii="Times New Roman" w:hAnsi="Times New Roman" w:eastAsia="宋体" w:cs="Times New Roman"/>
      <w:sz w:val="18"/>
      <w:szCs w:val="18"/>
    </w:rPr>
  </w:style>
  <w:style w:type="character" w:customStyle="1" w:styleId="224">
    <w:name w:val="页眉 字符1"/>
    <w:qFormat/>
    <w:uiPriority w:val="99"/>
    <w:rPr>
      <w:rFonts w:ascii="Times New Roman" w:hAnsi="Times New Roman" w:eastAsia="宋体" w:cs="Times New Roman"/>
      <w:sz w:val="18"/>
      <w:szCs w:val="18"/>
    </w:rPr>
  </w:style>
  <w:style w:type="character" w:customStyle="1" w:styleId="225">
    <w:name w:val="脚注文本 字符2"/>
    <w:semiHidden/>
    <w:qFormat/>
    <w:uiPriority w:val="99"/>
    <w:rPr>
      <w:rFonts w:ascii="Times New Roman" w:hAnsi="Times New Roman" w:eastAsia="宋体" w:cs="Times New Roman"/>
      <w:sz w:val="18"/>
      <w:szCs w:val="18"/>
    </w:rPr>
  </w:style>
  <w:style w:type="character" w:customStyle="1" w:styleId="226">
    <w:name w:val="批注主题 字符1"/>
    <w:semiHidden/>
    <w:qFormat/>
    <w:uiPriority w:val="99"/>
    <w:rPr>
      <w:rFonts w:ascii="Times New Roman" w:hAnsi="Times New Roman" w:eastAsia="宋体" w:cs="Times New Roman"/>
      <w:b/>
      <w:bCs/>
      <w:sz w:val="21"/>
      <w:szCs w:val="22"/>
    </w:rPr>
  </w:style>
  <w:style w:type="paragraph" w:customStyle="1" w:styleId="227">
    <w:name w:val="_Style 27"/>
    <w:semiHidden/>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0</TotalTime>
  <ScaleCrop>false</ScaleCrop>
  <LinksUpToDate>false</LinksUpToDate>
  <CharactersWithSpaces>5339</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2022-06-24T09:49:00Z</dcterms:created>
  <dc:creator>JSYH</dc:creator>
  <cp:lastModifiedBy>陈哲琨</cp:lastModifiedBy>
  <cp:lastPrinted>2025-05-30T08:12:00Z</cp:lastPrinted>
  <dcterms:modified xsi:type="dcterms:W3CDTF">2026-09-11T10:57:34Z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4CCE363AC35E499FB6BC8ECA559485F4</vt:lpwstr>
  </property>
</Properties>
</file>