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310" w:lineRule="exact"/>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苏银理财恒源1年定开20期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3"/>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310" w:lineRule="exact"/>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310" w:lineRule="exact"/>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产品登记编码：Z7003121000117</w:t>
      </w:r>
    </w:p>
    <w:p>
      <w:pPr>
        <w:pStyle w:val="26"/>
        <w:keepNext w:val="0"/>
        <w:keepLines w:val="0"/>
        <w:pageBreakBefore w:val="0"/>
        <w:bidi w:val="0"/>
        <w:spacing w:line="310" w:lineRule="exact"/>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310" w:lineRule="exact"/>
        <w:rPr>
          <w:rFonts w:hint="eastAsia" w:ascii="楷体" w:hAnsi="楷体" w:eastAsia="楷体" w:cs="楷体"/>
          <w:b/>
          <w:color w:val="auto"/>
          <w:sz w:val="21"/>
          <w:szCs w:val="21"/>
          <w:highlight w:val="none"/>
        </w:rPr>
      </w:pPr>
    </w:p>
    <w:p>
      <w:pPr>
        <w:keepNext w:val="0"/>
        <w:keepLines w:val="0"/>
        <w:pageBreakBefore w:val="0"/>
        <w:bidi w:val="0"/>
        <w:spacing w:line="310" w:lineRule="exact"/>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①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none"/>
        </w:rPr>
        <w:t>②</w:t>
      </w: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none"/>
        </w:rPr>
        <w:t>③</w:t>
      </w: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④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⑤《风险揭示书》、《理财产品说明书》、《理财产品投资协议书》、《投资者权益须知》、《理财产品（代理）销售协议书》共同构成本理财产品完整的不可分割的理财产品合同。</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sz w:val="21"/>
          <w:szCs w:val="21"/>
          <w:highlight w:val="none"/>
        </w:rPr>
      </w:pPr>
      <w:r>
        <w:rPr>
          <w:rFonts w:hint="eastAsia" w:ascii="楷体" w:hAnsi="楷体" w:eastAsia="楷体"/>
          <w:sz w:val="21"/>
          <w:szCs w:val="21"/>
          <w:highlight w:val="none"/>
        </w:rPr>
        <w:t>⑥本理财产品涉及的主要风险包括政策风险、信用风险、市场风险、流动性风险、管理风险、操作风险、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苏银理财恒源1年定开20期”理财产品风险揭示书》的“风险揭示”部分。</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⑦本产品可设置多类份额，各类份额可能设置不同的销售对象、销售起点、业绩比较基准等，各类份额实际收取的销售服务费率、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keepNext w:val="0"/>
        <w:keepLines w:val="0"/>
        <w:pageBreakBefore w:val="0"/>
        <w:numPr>
          <w:ilvl w:val="0"/>
          <w:numId w:val="0"/>
        </w:numPr>
        <w:suppressLineNumbers w:val="0"/>
        <w:bidi w:val="0"/>
        <w:spacing w:line="310" w:lineRule="exact"/>
        <w:ind w:firstLine="420"/>
        <w:contextualSpacing w:val="0"/>
        <w:jc w:val="both"/>
        <w:rPr>
          <w:rFonts w:hint="eastAsia" w:ascii="楷体" w:hAnsi="楷体" w:eastAsia="楷体" w:cs="楷体"/>
          <w:sz w:val="21"/>
          <w:szCs w:val="21"/>
          <w:highlight w:val="none"/>
        </w:rPr>
      </w:pPr>
      <w:r>
        <w:rPr>
          <w:rFonts w:hint="eastAsia" w:ascii="楷体" w:hAnsi="楷体" w:eastAsia="楷体"/>
          <w:b/>
          <w:sz w:val="21"/>
          <w:szCs w:val="21"/>
          <w:highlight w:val="none"/>
          <w:u w:val="single"/>
        </w:rPr>
        <w:t>⑧投资者不得使用贷款、发行债券等筹集的非自有资金投资本理财产品。</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⑨在本产品存续期内，如因监管政策或法律法规发生变化，在不损害投资者利益的前提下，苏银理财有权单方对本产品条款进行修订，并按本理财产品说明书约定的信息披露方式予以披露。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0"/>
        </w:numPr>
        <w:suppressLineNumbers w:val="0"/>
        <w:tabs>
          <w:tab w:val="left" w:pos="1134"/>
        </w:tabs>
        <w:bidi w:val="0"/>
        <w:spacing w:line="310" w:lineRule="exact"/>
        <w:ind w:firstLine="420"/>
        <w:contextualSpacing w:val="0"/>
        <w:jc w:val="both"/>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一、关键</w:t>
      </w:r>
      <w:r>
        <w:rPr>
          <w:rFonts w:hint="eastAsia" w:ascii="楷体" w:hAnsi="楷体" w:eastAsia="楷体" w:cs="楷体"/>
          <w:b/>
          <w:color w:val="auto"/>
          <w:sz w:val="21"/>
          <w:szCs w:val="21"/>
          <w:highlight w:val="none"/>
        </w:rPr>
        <w:t>要素</w:t>
      </w:r>
    </w:p>
    <w:tbl>
      <w:tblPr>
        <w:tblStyle w:val="27"/>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Z7003121000117</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苏银理财恒源1年定开20期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A份额：J00371（销售名称：苏银理财恒源1年定开20期A）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B份额：J00372（销售名称：苏银理财恒源1年定开20期B）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D份额：J02572（销售名称：苏银理财恒源1年定开20期D）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F份额：J02573（销售名称：苏银理财恒源1年定开20期F）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G份额：J02574（销售名称：苏银理财恒源1年定开20期G）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J份额：J02575（销售名称：苏银理财恒源1年定开20期J）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ZA份额：J02576（销售名称：苏银理财恒源1年定开20期ZA鑫福款（自动赎回））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ZF份额：J02577（销售名称：苏银理财恒源1年定开20期ZF（自动赎回））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C份额：J06920（销售名称：苏银理财恒源1年定开20期C）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P份额：J06921（销售名称：苏银理财恒源1年定开20期P）</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Q份额：J06922（销售名称：苏银理财恒源1年定开20期Q）</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S份额：J06923（销售名称：苏银理财恒源1年定开20期S）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ZN份额：J06924（销售名称：苏银理财恒源1年定开20期ZN（自动赎回））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ZQ份额：J06925（销售名称：苏银理财恒源1年定开20期ZQ（自动赎回））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J2份额：J29414（销售名称：苏银理财恒源1年定开20期J2）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GS份额：J29415（销售名称：苏银理财恒源1年定开20期GS）</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S1份额：J29416（销售名称：苏银理财恒源1年定开20期S1（专享））</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U份额：J29417（销售名称：苏银理财恒源1年定开20期U）</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L份额：J29418（销售名称：苏银理财恒源1年定开20期L）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Z份额：J29419（销售名称：苏银理财恒源1年定开20期Z）</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Z1份额：J29420（销售名称：苏银理财恒源1年定开20期Z1）</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Z2份额：J29421（销售名称：苏银理财恒源1年定开20期Z2）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Z3份额：J29422（销售名称：苏银理财恒源1年定开20期Z3）</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ZF2份额：J29423（销售名称：苏银理财恒源1年定开20期ZF2（自动赎回））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ZF3份额：J29424（销售名称：苏银理财恒源1年定开20期ZF3（自动赎回））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ZF4份额：J29425（销售名称：苏银理财恒源1年定开20期ZF4（自动赎回））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ZJ份额：J29426（销售名称：苏银理财恒源1年定开20期ZJ（自动赎回））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天府·优选份额：J29428（销售名称：苏银理财恒源1年定开20期（天府·优选））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芙蓉锦程·优选份额：J29429（销售名称：苏银理财恒源1年定开20期芙蓉锦程·优选（自动赎回））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芙蓉锦程·优选-尊享款份额：J29430（销售名称：苏银理财恒源1年定开20期芙蓉锦程·优选-尊享款（自动赎回））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ZC份额：J29431（销售名称：苏银理财恒源1年定开20期ZC鑫福优享（自动赎回））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ZK份额：J29432（销售名称：苏银理财恒源1年定开20期ZK鑫福尊享（自动赎回））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（3）甘肃银行股份有限公司：F份额、P份额、GS份额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（4）广西北部湾银行股份有限公司：ZN份额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（5）广州农村商业银行股份有限公司：F份额、G份额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（7）汉口银行股份有限公司：ZF份额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（8）杭州联合农村商业银行股份有限公司：F份额、G份额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（9）河北银行股份有限公司：ZF份额、ZN份额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（10）湖州吴兴农村商业银行股份有限公司：ZJ份额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（11）华侨银行有限公司：F份额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（12）徽商银行股份有限公司：G份额、P份额、U份额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（13）嘉兴银行股份有限公司：ZF份额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（14）江门农村商业银行股份有限公司：ZF3份额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（15）江苏滨海农村商业银行股份有限公司：ZC份额、ZK份额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（16）江苏常熟农村商业银行股份有限公司：B份额、ZA份额、ZC份额、ZK份额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（17）江苏大丰农村商业银行股份有限公司：ZA份额、ZC份额、ZK份额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（18）江苏丹阳农村商业银行股份有限公司：A份额、B份额、ZA份额、ZC份额、ZK份额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（19）江苏东海农村商业银行股份有限公司：ZA份额、ZC份额、ZK份额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（20）江苏东台农村商业银行股份有限公司：A份额、B份额、ZA份额、ZC份额、ZK份额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（21）江苏丰县农村商业银行股份有限公司：ZA份额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（22）江苏阜宁农村商业银行股份有限公司：A份额、B份额、ZA份额、ZC份额、ZK份额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（23）江苏高淳农村商业银行股份有限公司：A份额、B份额、ZA份额、ZC份额、ZK份额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（24）江苏高邮农村商业银行股份有限公司：A份额、B份额、ZA份额、ZC份额、ZK份额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（25）江苏灌南农村商业银行股份有限公司：ZA份额、ZC份额、ZK份额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（26）江苏灌云农村商业银行股份有限公司：ZA份额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（27）江苏海安农村商业银行股份有限公司：A份额、B份额、ZA份额、ZC份额、ZK份额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（28）江苏海门农村商业银行股份有限公司：ZA份额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（29）江苏洪泽农村商业银行股份有限公司：A份额、B份额、ZA份额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（30）江苏淮安农村商业银行股份有限公司：A份额、B份额、ZA份额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（31）江苏建湖农村商业银行股份有限公司：ZA份额、ZC份额、ZK份额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（32）江苏姜堰农村商业银行股份有限公司：ZA份额、ZC份额、ZK份额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（33）江苏江都农村商业银行股份有限公司：ZA份额、ZC份额、ZK份额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（34）江苏江阴农村商业银行股份有限公司：A份额、D份额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（35）江苏金湖农村商业银行股份有限公司：ZA份额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（36）江苏靖江农村商业银行股份有限公司：A份额、B份额、ZA份额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（37）江苏句容农村商业银行股份有限公司：A份额、B份额、ZA份额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（38）江苏涟水农村商业银行股份有限公司：A份额、B份额、ZA份额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（39）江苏民丰农村商业银行股份有限公司：ZA份额、ZC份额、ZK份额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（40）江苏南通农村商业银行股份有限公司：A份额、B份额、D份额、ZA份额、ZK份额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（41）江苏沛县农村商业银行股份有限公司：ZC份额、ZK份额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（42）江苏启东农村商业银行股份有限公司：ZA份额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（43）江苏如东农村商业银行股份有限公司：A份额、B份额、ZA份额、ZC份额、ZK份额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（44）江苏如皋农村商业银行股份有限公司：A份额、B份额、J份额、ZA份额、ZC份额、ZK份额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（45）江苏苏州农村商业银行股份有限公司：B份额、ZA份额、ZQ份额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（46）江苏泰兴农村商业银行股份有限公司：A份额、B份额、ZA份额、ZC份额、ZK份额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（47）江苏响水农村商业银行股份有限公司：ZA份额、ZC份额、ZK份额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（48）江苏新沂农村商业银行股份有限公司：A份额、B份额、ZA份额、ZC份额、ZK份额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（49）江苏兴化农村商业银行股份有限公司：ZC份额、ZK份额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（50）江苏盐城农村商业银行股份有限公司：ZA份额、ZC份额、ZK份额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（51）江苏扬中农村商业银行股份有限公司：A份额、B份额、ZA份额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（52）江苏扬州农村商业银行股份有限公司：A份额、B份额、ZA份额、ZC份额、ZK份额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（53）江苏仪征农村商业银行股份有限公司：A份额、B份额、ZA份额、ZC份额、ZK份额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（54）江苏宜兴农村商业银行股份有限公司：A份额、B份额、ZA份额、ZC份额、ZK份额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（55）江苏银行股份有限公司：A份额、B份额、D份额、J份额、C份额、J2份额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（56）江苏张家港农村商业银行股份有限公司：ZF份额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（57）江苏镇江农村商业银行股份有限公司：ZA份额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（58）江苏紫金农村商业银行股份有限公司：A份额、B份额、ZA份额、C份额、ZC份额、ZK份额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（59）江苏邳州农村商业银行股份有限公司：A份额、B份额、ZA份额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（60）江苏沭阳农村商业银行股份有限公司：A份额、B份额、ZA份额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（61）江苏泗洪农村商业银行股份有限公司：ZA份额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（62）江苏泗阳农村商业银行股份有限公司：ZA份额、ZC份额、ZK份额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（63）江苏溧水农村商业银行股份有限公司：A份额、B份额、ZA份额、ZC份额、ZK份额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（64）江苏盱眙农村商业银行股份有限公司：A份额、B份额、ZA份额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（65）江苏睢宁农村商业银行股份有限公司：ZA份额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（66）交通银行股份有限公司：F份额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（67）晋商银行股份有限公司：S1份额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（68）九江银行股份有限公司：A份额、F份额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（69）莱商银行股份有限公司：ZF份额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（70）连云港东方农村商业银行股份有限公司：ZA份额、ZC份额、ZK份额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（71）宁波慈溪农村商业银行股份有限公司：F份额、ZF份额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（72）宁波东海银行股份有限公司：A份额、B份额、ZA份额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（73）宁波通商银行股份有限公司：F份额、G份额、ZN份额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（74）宁波余姚农村商业银行股份有限公司：F份额、ZF份额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（75）宁波镇海农村商业银行股份有限公司：F份额、ZF份额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（76）宁波甬城农村商业银行股份有限公司：ZF份额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（77）齐鲁银行股份有限公司：A份额、B份额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（78）秦皇岛银行股份有限公司：GS份额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（79）日照银行股份有限公司：GS份额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（80）山西银行股份有限公司：F份额、G份额、S1份额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（81）上海农村商业银行股份有限公司：A份额、Z份额、Z1份额、Z2份额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（82）上海浦东发展银行股份有限公司：F份额、G份额、Q份额、S份额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（83）上海银行股份有限公司：A份额、D份额、J份额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（84）深圳农村商业银行股份有限公司：F份额、G份额、L份额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（85）石嘴山银行股份有限公司：ZF2份额、ZF3份额、ZF4份额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（86）苏银理财有限责任公司：A份额、B份额、C份额、ZJ份额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（87）苏州银行股份有限公司：F份额、ZF份额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（88）台州银行股份有限公司：F份额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（89）泰安银行股份有限公司：F份额、P份额、ZJ份额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（90）天津滨海农村商业银行股份有限公司：F份额、GS份额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（91）威海银行股份有限公司：A份额、B份额、J份额、ZA份额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（92）潍坊银行股份有限公司：F份额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（93）厦门银行股份有限公司：ZF份额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（94）兴业银行股份有限公司：A份额、B份额、F份额、G份额、ZF份额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（95）徐州农村商业银行股份有限公司：A份额、B份额、ZA份额、ZC份额、ZK份额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（96）浙江安吉农村商业银行股份有限公司：ZJ份额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（97）浙江苍南农村商业银行股份有限公司：ZJ份额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（98）浙江长兴农村商业银行股份有限公司：F份额、ZJ份额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（99）浙江淳安农村商业银行股份有限公司：F份额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（100）浙江德清农村商业银行股份有限公司：F份额、G份额、ZF份额、ZF3份额、ZJ份额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（101）浙江东阳农村商业银行股份有限公司：ZF份额、ZF3份额、ZJ份额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（102）浙江海宁农村商业银行股份有限公司：F份额、G份额、ZJ份额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（103）浙江海盐农村商业银行股份有限公司：ZJ份额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（104）浙江杭州余杭农村商业银行股份有限公司：F份额、G份额、ZF份额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（105）浙江禾城农村商业银行股份有限公司：ZJ份额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（106）浙江嘉善农村商业银行股份有限公司：F份额、G份额、ZF份额、ZF3份额、ZJ份额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（107）浙江江山农村商业银行股份有限公司：F份额、ZF份额、ZJ份额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（108）浙江金华成泰农村商业银行股份有限公司：ZJ份额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（109）浙江开化农村商业银行股份有限公司：F份额、ZF份额、ZF3份额、ZJ份额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（110）浙江兰溪农村商业银行股份有限公司：ZF份额、ZF3份额、ZJ份额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（111）浙江乐清农村商业银行股份有限公司：F份额、ZJ份额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（112）浙江临安农村商业银行股份有限公司：ZF份额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（113）浙江临海农村商业银行股份有限公司：F份额、ZF份额、ZF3份额、ZJ份额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（114）浙江龙泉农村商业银行股份有限公司：ZF份额、ZF3份额、ZJ份额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（115）浙江龙游农村商业银行股份有限公司：ZJ份额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（116）浙江民泰商业银行股份有限公司：ZF份额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（117）浙江南浔农村商业银行股份有限公司：ZF份额、ZF3份额、ZJ份额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（118）浙江平湖农村商业银行股份有限公司：ZJ份额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（119）浙江浦江农村商业银行股份有限公司：ZF份额、ZF3份额、ZJ份额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（120）浙江青田农村商业银行股份有限公司：F份额、ZF份额、ZF3份额、ZJ份额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（121）浙江瑞安农村商业银行股份有限公司：ZJ份额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（122）浙江上虞农村商业银行股份有限公司：F份额、ZF份额、ZF3份额、ZJ份额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（123）浙江绍兴恒信农村商业银行股份有限公司：ZF3份额、ZJ份额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（124）浙江绍兴瑞丰农村商业银行股份有限公司：F份额、G份额、ZJ份额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（125）浙江松阳农村商业银行股份有限公司：ZF3份额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（126）浙江遂昌农村商业银行股份有限公司：ZJ份额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（127）浙江台州黄岩农村商业银行股份有限公司：ZJ份额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（128）浙江台州路桥农村商业银行股份有限公司：ZJ份额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（129）浙江泰顺农村商业银行股份有限公司：F份额、ZF份额、ZF3份额、ZJ份额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（130）浙江天台农村商业银行股份有限公司：ZJ份额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（131）浙江桐庐农村商业银行股份有限公司：F份额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（132）浙江桐乡农村商业银行股份有限公司：ZJ份额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（133）浙江温岭农村商业银行股份有限公司：ZF份额、ZF3份额、ZJ份额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（134）浙江温州龙湾农村商业银行股份有限公司：F份额、ZF份额、ZJ份额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（135）浙江温州鹿城农村商业银行股份有限公司：ZJ份额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（136）浙江温州瓯海农村商业银行股份有限公司：F份额、G份额、ZF份额、ZF3份额、ZJ份额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（137）浙江文成农村商业银行股份有限公司：ZJ份额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（138）浙江武义农村商业银行股份有限公司：F份额、ZF份额、ZF3份额、ZJ份额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（139）浙江仙居农村商业银行股份有限公司：ZJ份额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（140）浙江萧山农村商业银行股份有限公司：F份额、G份额、ZF份额、ZN份额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（141）浙江新昌农村商业银行股份有限公司：ZF份额、ZF3份额、ZJ份额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（142）浙江义乌农村商业银行股份有限公司：F份额、ZF份额、ZJ份额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（143）浙江永嘉农村商业银行股份有限公司：F份额、ZJ份额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（144）浙江永康农村商业银行股份有限公司：F份额、ZF份额、ZF3份额、ZJ份额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（145）浙江舟山定海海洋农村商业银行股份有限公司：F份额、ZJ份额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（146）浙江舟山普陀农村商业银行股份有限公司：ZJ份额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（147）浙江诸暨农村商业银行股份有限公司：ZJ份额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（148）浙江岱山农村商业银行股份有限公司：F份额、ZF份额、ZF3份额、ZJ份额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（149）浙江嵊州农村商业银行股份有限公司：ZF份额、ZF3份额、ZJ份额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（150）浙江衢州柯城农村商业银行股份有限公司：ZF份额、ZF3份额、ZJ份额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（151）浙江衢州衢江农村商业银行股份有限公司：G份额、ZF份额、ZF3份额、ZJ份额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（152）浙江缙云农村商业银行股份有限公司：ZJ份额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（153）浙商银行股份有限公司：G份额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（154）郑州银行股份有限公司：P份额、Z3份额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（155）中山农村商业银行股份有限公司：ZF3份额</w:t>
            </w:r>
          </w:p>
          <w:p>
            <w:pPr>
              <w:keepNext w:val="0"/>
              <w:keepLines w:val="0"/>
              <w:pageBreakBefore w:val="0"/>
              <w:widowControl/>
              <w:bidi w:val="0"/>
              <w:spacing w:line="240" w:lineRule="auto"/>
              <w:jc w:val="both"/>
              <w:rPr>
                <w:rFonts w:hint="eastAsia" w:ascii="楷体" w:hAnsi="楷体" w:eastAsia="楷体" w:cs="楷体"/>
                <w:color w:val="000000"/>
                <w:sz w:val="20"/>
                <w:szCs w:val="20"/>
                <w:highlight w:val="none"/>
                <w:lang w:val="en-US" w:eastAsia="zh-CN"/>
              </w:rPr>
            </w:pPr>
            <w:r>
              <w:rPr>
                <w:rFonts w:hint="eastAsia" w:ascii="楷体" w:hAnsi="楷体" w:eastAsia="楷体" w:cs="楷体"/>
                <w:color w:val="000000"/>
                <w:sz w:val="20"/>
                <w:szCs w:val="20"/>
                <w:highlight w:val="none"/>
                <w:lang w:val="en-US" w:eastAsia="zh-CN"/>
              </w:rPr>
              <w:t>（156）成都银行股份有限公司：芙蓉锦程·优选份额、芙蓉锦程·优选-尊享款份额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（157）兰州银行股份有限公司：GS份额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江苏银行股份有限公司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B份额：个人、机构；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D份额：个人、机构；销售机构江苏银行个人投资者仅限财富客户购买，江苏银行财富客户指在江苏银行日均资产大于等于200万元的个人客户；机构投资者具体以销售机构设置为准；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ZA份额：个人、机构；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C份额：个人、机构；销售机构江苏银行个人投资者仅限代发工资客户；新资金客户及新客户，新资金的达标条件为“客户前一日资产时点余额”较“前一月末资产月日均余额”的新增额大于5万元，新客户是指首次购买理财产品的客户；50周岁及以上客户；机构投资者具体以销售机构设置为准；</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P份额：个人、机构；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ZN份额：个人、机构；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ZQ份额：个人、机构；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J2份额：个人、机构；销售机构江苏银行仅限白名单客户；</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GS份额：个人、机构；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S1份额：个人、机构；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U份额：个人、机构；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L份额：个人、机构；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Z1份额：个人、机构；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ZF2份额：个人、机构；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ZF3份额：个人、机构；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ZF4份额：个人、机构；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ZJ份额：个人、机构；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天府·优选份额：个人、机构；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芙蓉锦程·优选-尊享款份额：个人、机构；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ZC份额：个人、机构；</w:t>
            </w:r>
          </w:p>
          <w:p>
            <w:pPr>
              <w:keepNext w:val="0"/>
              <w:keepLines w:val="0"/>
              <w:pageBreakBefore w:val="0"/>
              <w:widowControl/>
              <w:bidi w:val="0"/>
              <w:spacing w:line="240" w:lineRule="auto"/>
              <w:jc w:val="both"/>
              <w:rPr>
                <w:rFonts w:hint="default" w:ascii="楷体" w:hAnsi="楷体" w:eastAsia="楷体" w:cs="楷体"/>
                <w:bCs/>
                <w:color w:val="000000"/>
                <w:sz w:val="20"/>
                <w:szCs w:val="20"/>
                <w:highlight w:val="none"/>
                <w:lang w:val="en-US"/>
              </w:rPr>
            </w:pPr>
            <w:r>
              <w:rPr>
                <w:rFonts w:hint="eastAsia" w:ascii="楷体" w:hAnsi="楷体" w:eastAsia="楷体" w:cs="楷体"/>
                <w:bCs/>
                <w:color w:val="000000"/>
                <w:sz w:val="20"/>
                <w:szCs w:val="20"/>
                <w:highlight w:val="none"/>
                <w:lang w:val="en-US" w:eastAsia="zh-CN"/>
              </w:rPr>
              <w:t>ZK份额：个人、机构。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D份额：个人500,000元，机构30,000,000元；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S份额：200,000元；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Z2份额：500,000元；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ZK份额：个人500,000元，机构30,000,000元。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B份额：10,000元；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D份额：个人10,000元，机构10,000元；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ZA份额：100元；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P份额：100元；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Q份额：1元；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ZN份额：100元；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ZQ份额：100元；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J2份额：1元；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GS份额：100元；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S1份额：100元；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U份额：100元；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L份额：10,000元；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Z1份额：1元；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Z2份额：10,000元；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Z3份额：1元；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ZF2份额：1,000元；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ZF3份额：100元；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ZF4份额：1,000元；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ZJ份额：100元；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天府·优选份额：100元；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芙蓉锦程·优选-尊享款份额：1元；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ZC份额：1元；</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br w:type="textWrapping"/>
            </w:r>
            <w:r>
              <w:rPr>
                <w:rFonts w:hint="eastAsia" w:ascii="楷体" w:hAnsi="楷体" w:eastAsia="楷体" w:cs="楷体"/>
                <w:bCs/>
                <w:color w:val="000000" w:themeColor="text1"/>
                <w:sz w:val="20"/>
                <w:szCs w:val="20"/>
                <w:highlight w:val="none"/>
                <w:lang w:val="en-US" w:eastAsia="zh-CN"/>
                <w14:textFill>
                  <w14:solidFill>
                    <w14:schemeClr w14:val="tx1"/>
                  </w14:solidFill>
                </w14:textFill>
              </w:rPr>
              <w:t>ZK份额：个人10,000元，机构10,000元。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50亿元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numPr>
                <w:ilvl w:val="0"/>
                <w:numId w:val="1"/>
              </w:numPr>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开放计划</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本产品按投资周期开放申购与赎回，最新投资周期（2026年09月30日-2027年10月25日）开放申购与赎回时间为：</w:t>
            </w:r>
            <w:r>
              <w:rPr>
                <w:rFonts w:ascii="楷体" w:hAnsi="楷体" w:eastAsia="楷体" w:cs="楷体"/>
                <w:b w:val="0"/>
                <w:bCs w:val="0"/>
                <w:color w:val="000000"/>
                <w:sz w:val="20"/>
              </w:rPr>
              <w:t>2026年09月20日至2026年09月29日</w:t>
            </w:r>
            <w:r>
              <w:rPr>
                <w:rFonts w:ascii="楷体" w:hAnsi="楷体" w:eastAsia="楷体" w:cs="楷体"/>
                <w:color w:val="000000"/>
                <w:sz w:val="20"/>
              </w:rPr>
              <w:t>（以各销售机构设置的时间为准）。投资者可在此期间提交申购/赎回申请，投资者未赎回的部分自动进入下一个投资周期。</w:t>
            </w:r>
            <w:r>
              <w:rPr>
                <w:rFonts w:ascii="楷体" w:hAnsi="楷体" w:eastAsia="楷体" w:cs="楷体"/>
                <w:b/>
                <w:bCs/>
                <w:color w:val="000000"/>
                <w:sz w:val="20"/>
              </w:rPr>
              <w:t>(其中ZA份额/ZF份额/ZN份额/ZQ份额/ZF2份额/ZF3份额/ZF4份额/ZJ份额/天府·优选份额/芙蓉锦程·优选份额/芙蓉锦程·优选-尊享款份额/ZC份额/ZK份额由系统主动发起赎回申请，投资者无须发起赎回申请。)</w:t>
            </w:r>
            <w:r>
              <w:rPr>
                <w:rFonts w:ascii="楷体" w:hAnsi="楷体" w:eastAsia="楷体" w:cs="楷体"/>
                <w:b/>
                <w:bCs/>
                <w:color w:val="000000"/>
                <w:sz w:val="20"/>
                <w:u w:val="single"/>
              </w:rPr>
              <w:t>除开放计划外的其他时间，管理人不接受投资者申购、赎回申请</w:t>
            </w:r>
            <w:r>
              <w:rPr>
                <w:rFonts w:ascii="楷体" w:hAnsi="楷体" w:eastAsia="楷体" w:cs="楷体"/>
                <w:b/>
                <w:bCs/>
                <w:color w:val="000000"/>
                <w:sz w:val="20"/>
              </w:rPr>
              <w:t>。</w:t>
            </w:r>
            <w:r>
              <w:rPr>
                <w:rFonts w:ascii="楷体" w:hAnsi="楷体" w:eastAsia="楷体" w:cs="楷体"/>
                <w:color w:val="000000"/>
                <w:sz w:val="20"/>
              </w:rPr>
              <w:t>详见下文“产品申购、赎回”。</w:t>
            </w:r>
          </w:p>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管理人有权根据资产运作情况、节假日安排调整开放计划，并在调整前进行公告。</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（2）单个投资者单笔购买上限：10000万元。超过购买上限时，管理人有权拒绝投资者购买申请。产品存续期内管理人有权根据实际情况调整单个投资者单笔购买上限。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（3）单个投资者单笔赎回上限：10000万份。超过赎回上限时，管理人有权拒绝投资者赎回申请。产品存续期内管理人有权根据实际情况调整单个投资者单笔赎回上限。</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4）巨额申购：本产品单个开放日投资者净申购额（申购申请份额总数扣除赎回申请份额总数）超过上一日日终份额20%时，即认为发生了巨额申购。当出现巨额申购时，管理人有权拒绝投资者的全部或部分申购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单个开放日投资者净赎回额（赎回申请份额总数扣除申购申请份额总数）超过上一日日终份额10%时，即认为发生了巨额赎回。管理人可以根据本产品当时的资产组合状况决定采取全额赎回、部分赎回、延期办理巨额赎回等措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1.全额赎回：当管理人有能力兑付投资者的全部赎回申请时，将在申请确认日按投资者申请赎回份额执行正常赎回程序。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部分赎回：当管理人认为兑付投资者的赎回申请可能会对产品的资产净值造成较大波动时，当日办理的赎回份额不得低于前一日日终理财产品总份额的10%，对其余赎回申请管理人有权暂停接受或延期办理。对该产品单个投资者的赎回申请，按照其申请占当日申请赎回总份额的比例，确定该投资者当日办理的赎回份额。（示例：某投资者当日申请赎回份额5万份，当日全部赎回申请10000万份，假设前一日日终总份额50000万份，发生巨额赎回，管理人当日办理的赎回份额5000万份，则该投资者当日确认办理的份额为5/10000*5000=2.5万份。）</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若管理人对于超过10%以上部分的赎回申请选择延期办理，对于未能赎回部分，投资者可选择将当日未获办理的赎回申请予以撤销。投资者未选择撤销的，管理人有权延期至下一个开放日办理，延期至下一个开放日办理的赎回价格为下一个开放日的价格，顺延至下一开放日的赎回申请不享有优先确认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4.延缓支付赎回款项：连续2个以上开放日发生巨额赎回的，管理人除有权选择全额赎回或部分赎回等措施外，对于已经接受的赎回申请，管理人可以延缓支付赎回款项，但延缓期限不得超过20个工作日。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当采取非全额赎回措施时，管理人将在采取相关措施后3个工作日内进行信息披露。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收益构成</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本理财产品的收益包括</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期间收益分配（如有）与终止收益分配（如有）</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（1）期间分配</w:t>
            </w:r>
          </w:p>
          <w:p>
            <w:pPr>
              <w:pBdr>
                <w:top w:val="none" w:color="000000" w:sz="0" w:space="0"/>
                <w:left w:val="none" w:color="000000" w:sz="0" w:space="0"/>
                <w:bottom w:val="none" w:color="000000" w:sz="0" w:space="0"/>
                <w:right w:val="none" w:color="000000" w:sz="0" w:space="0"/>
              </w:pBdr>
              <w:ind w:left="0" w:right="0" w:firstLine="0"/>
              <w:jc w:val="both"/>
            </w:pPr>
            <w:r>
              <w:rPr>
                <w:rFonts w:ascii="楷体" w:hAnsi="楷体" w:eastAsia="楷体" w:cs="楷体"/>
                <w:color w:val="000000"/>
                <w:sz w:val="20"/>
              </w:rPr>
              <w:t>本产品按投资周期进行现金分红。当一个投资周期结束，在满足投资周期终止日理财产品单位净值大于面值的条件下，管理人可进行现金分红。现金分红金额为单个投资周期投资产生的收益扣除固定费用（包括托管费、销售服务费、固定管理费等）、运作产品所必须缴纳的税费、提取超额业绩报酬（如有）后的部分，现金分红将于投资周期终止日后2个工作日内分配至投资者资金账户。详见下文“期间收益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收益分配原则</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分配</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采用现金分配方式；</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每一产品同一份额享有同等分配权。</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如</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产品</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进行</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收益分配</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定开型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6"/>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27"/>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2021年8月3日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2021年8月4日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2031年8月5日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对于产品终止情形：T+5（此处T指产品实际终止日，5指5个工作日）。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对于赎回情形：T+2（此处T指产品赎回确认日，2指2个工作日）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最新投资周期（2026年09月30日-2027年10月25日）</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如遇节假日，顺延至下一工作日，以理财产品实际投资周期天数为准。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管理人按投资周期收取超额业绩报酬。若单一投资周期产品各份额实际投资收益在扣除托管费、销售服务费、投资管理费等费用后超过各份额业绩计提基准，则该投资周期终止日后管理人将按照超出部分的50%收取超额业绩报酬。</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各份额</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业绩计提基准</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（年化）</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A份额：2.35%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B份额：2.38%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D份额：2.50%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F份额：2.35%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G份额：2.38%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J份额：2.45%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ZA份额：2.35%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P份额：2.60%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Q份额：2.40%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S份额：2.38%</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ZN份额：2.50%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ZQ份额：2.35%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J</w:t>
            </w:r>
            <w:r>
              <w:rPr>
                <w:rFonts w:hint="default" w:ascii="楷体" w:hAnsi="楷体" w:eastAsia="楷体" w:cs="楷体"/>
                <w:bCs/>
                <w:color w:val="000000" w:themeColor="text1"/>
                <w:sz w:val="20"/>
                <w:szCs w:val="20"/>
                <w:highlight w:val="none"/>
                <w:lang w:val="en-US" w:eastAsia="zh-CN"/>
                <w14:textFill>
                  <w14:solidFill>
                    <w14:schemeClr w14:val="tx1"/>
                  </w14:solidFill>
                </w14:textFill>
              </w:rPr>
              <w:t>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GS份额：2.50%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S1份额：2.45%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U份额：2.35%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L份额：2.45%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Z份额：2.35%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Z1份额：2.45%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Z3份额：2.45%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ZF2份额：2.50%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ZF3份额：2.40%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ZF4份额：2.55%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ZJ份额：2.65%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天府·优选份额：2.65%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芙蓉锦程·优选份额：2.65%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芙蓉锦程·优选-尊享款份额：2.75%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ZC份额：2.40%</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ZK份额：2.50%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本产品费用包括托管费、销售服务费、固定管理费、信息技术服务费（如有）、浮动管理费（如有）以及产品运作和清算中产生的其他费用等。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一次性提取模式：成立日一次性提取，</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按管理人与托管机构约定的时间支付，</w:t>
            </w:r>
            <w:r>
              <w:rPr>
                <w:rFonts w:hint="eastAsia" w:ascii="楷体" w:hAnsi="楷体" w:eastAsia="楷体" w:cs="楷体"/>
                <w:color w:val="auto"/>
                <w:sz w:val="20"/>
                <w:szCs w:val="20"/>
                <w:highlight w:val="none"/>
              </w:rPr>
              <w:t>每日摊销，托管费＝计提基数×托管费率×产品投资期限天数÷365。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lang w:eastAsia="zh-CN"/>
              </w:rPr>
            </w:pPr>
            <w:r>
              <w:rPr>
                <w:rFonts w:hint="eastAsia" w:ascii="楷体" w:hAnsi="楷体" w:eastAsia="楷体" w:cs="楷体"/>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每日计提模式：每日计提</w:t>
            </w:r>
            <w:r>
              <w:rPr>
                <w:rFonts w:hint="eastAsia" w:ascii="楷体" w:hAnsi="楷体" w:eastAsia="楷体" w:cs="楷体"/>
                <w:color w:val="auto"/>
                <w:sz w:val="20"/>
                <w:szCs w:val="20"/>
                <w:highlight w:val="none"/>
                <w:lang w:eastAsia="zh-CN"/>
              </w:rPr>
              <w:t>，</w:t>
            </w:r>
            <w:r>
              <w:rPr>
                <w:rFonts w:hint="eastAsia" w:ascii="楷体" w:hAnsi="楷体" w:eastAsia="楷体" w:cs="楷体"/>
                <w:color w:val="auto"/>
                <w:sz w:val="20"/>
                <w:szCs w:val="20"/>
                <w:highlight w:val="none"/>
                <w:lang w:val="en-US" w:eastAsia="zh-CN"/>
              </w:rPr>
              <w:t>定期支付</w:t>
            </w:r>
            <w:r>
              <w:rPr>
                <w:rFonts w:hint="eastAsia" w:ascii="楷体" w:hAnsi="楷体" w:eastAsia="楷体" w:cs="楷体"/>
                <w:color w:val="auto"/>
                <w:sz w:val="20"/>
                <w:szCs w:val="20"/>
                <w:highlight w:val="none"/>
              </w:rPr>
              <w:t>，每日应计提的固定管理费＝计提基数×固定管理费率÷365。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p>
            <w:pPr>
              <w:keepNext w:val="0"/>
              <w:keepLines w:val="0"/>
              <w:pageBreakBefore w:val="0"/>
              <w:widowControl/>
              <w:numPr>
                <w:ilvl w:val="0"/>
                <w:numId w:val="0"/>
              </w:numPr>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eastAsia" w:eastAsia="楷体"/>
                <w:sz w:val="20"/>
                <w:szCs w:val="20"/>
                <w:highlight w:val="none"/>
                <w:lang w:val="en-US" w:eastAsia="zh-CN"/>
              </w:rPr>
            </w:pPr>
            <w:r>
              <w:rPr>
                <w:rFonts w:hint="eastAsia" w:ascii="楷体" w:hAnsi="楷体" w:eastAsia="楷体" w:cs="楷体"/>
                <w:bCs/>
                <w:color w:val="000000" w:themeColor="text1"/>
                <w:sz w:val="20"/>
                <w:szCs w:val="20"/>
                <w:highlight w:val="none"/>
                <w14:textFill>
                  <w14:solidFill>
                    <w14:schemeClr w14:val="tx1"/>
                  </w14:solidFill>
                </w14:textFill>
              </w:rPr>
              <w:t>单一投资周期运作期间内理财产品将每日暂估超额业绩报酬，仅用于理财产品会计核算，并将扣除“暂估超额业绩报酬”后的理财产品份额净值按照说明书约定向投资者进行披露。理财产品实际收取的超额业绩报酬以投资周期终止日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产品管理人有权根据市场情况等调整上述各项费用费率和超额业绩报酬收取方式及比例，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若本理财产品投资者未在约定的时间内赎回本产品，则视为本理财产品投资者接受相关调整且同意继续持有本理财产品。</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4.产品存续期内管理人有权根据产品运行情况制定费率优惠措施，优惠后实际执行的费率以管理人公告为准。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中债-新综合财富(1-3年)指数收益率。</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含结构性存款）、债券、非标准化债权等资产投资收益水平，在产品说明书约定的投资范围和投资比例内，综合考虑各类份额收取的销售服务费和固定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4.</w:t>
            </w:r>
            <w:r>
              <w:rPr>
                <w:rFonts w:hint="eastAsia" w:ascii="楷体" w:hAnsi="楷体" w:eastAsia="楷体" w:cs="楷体"/>
                <w:b/>
                <w:bCs w:val="0"/>
                <w:color w:val="000000" w:themeColor="text1"/>
                <w:sz w:val="20"/>
                <w:szCs w:val="20"/>
                <w:highlight w:val="none"/>
                <w:u w:val="single"/>
                <w14:textFill>
                  <w14:solidFill>
                    <w14:schemeClr w14:val="tx1"/>
                  </w14:solidFill>
                </w14:textFill>
              </w:rPr>
              <w:t>产品存续期内管理人有权根据市场情况调整业绩比较基准，如有调整以管理人公告为准。</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5.历次业绩比较基准调整情况（2026年9月1日之后）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类资产、银行存款（含结构性存款）、标准化债权类资产、非标准化债权类资产和监管机构允许投资的其他资产。具体资产投资比例为：货币市场工具、银行存款（含结构性存款）、债券以及符合监管要求的固定收益类资产占产品资产总值比例为80%-100%，符合监管要求的其他资产占产品资产总值比例0%-20%，其中非标准化债权类资产合计投资比例不高于产品净资产50%。</w:t>
            </w:r>
          </w:p>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在开放日及开放日前7个工作日内持有不低于产品资产净值5%的现金或者到期日在一年以内的国债、中央银行票据和政策性金融债券；直接投资于流动性受限资产的市值在开放日不得超过产品资产净值的15%；在开放日前一工作日内，7个工作日可变现资产的可变现价值应当不低于产品资产净值的10%；每日确认且需当日支付的净赎回申请不超过前一工作日理财产品7个工作日可变现资产的可变现价值。</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秉持稳健审慎、严控风险、长效增值的投资理念，依托一年定开的定期封闭运作机制，充分发挥中长期配置优势，紧密跟踪宏观经济运行态势、财政货币政策导向、中长期利率走势及信用环境演变，持续优化投资策略。产品以高流动性利率债、高等级信用债等标准化固收资产为核心底仓，适度配置多元化资产，拓宽收益来源、分散组合风险。通过动态久期管理、波段行情运作、票息收益增厚、精细化风控与仓位优化等多元策略，控制阶段性市场波动，在守住组合安全底线的基础上持续夯实收益，努力为广大投资者创造长期稳健的收益回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二、产品管理人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监管机构规定及本理财产品销售文件中约定的其他职责。</w:t>
      </w:r>
    </w:p>
    <w:p>
      <w:pPr>
        <w:keepNext w:val="0"/>
        <w:keepLines w:val="0"/>
        <w:pageBreakBefore w:val="0"/>
        <w:numPr>
          <w:ilvl w:val="0"/>
          <w:numId w:val="0"/>
        </w:numPr>
        <w:bidi w:val="0"/>
        <w:spacing w:line="310" w:lineRule="exact"/>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产品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产品文件约定的其他权利。</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三、产品托管人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监管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本产品托管人为江苏银行股份有限公司，地址为江苏省南京市中华路26号，联系电话为025-</w:t>
      </w:r>
      <w:r>
        <w:rPr>
          <w:rFonts w:hint="eastAsia" w:ascii="楷体" w:hAnsi="楷体" w:eastAsia="楷体" w:cs="楷体"/>
          <w:color w:val="auto"/>
          <w:sz w:val="21"/>
          <w:szCs w:val="21"/>
          <w:highlight w:val="none"/>
          <w:lang w:val="en-US" w:eastAsia="zh-CN"/>
        </w:rPr>
        <w:t>51811157</w:t>
      </w:r>
      <w:bookmarkStart w:id="1" w:name="_GoBack"/>
      <w:bookmarkEnd w:id="1"/>
      <w:r>
        <w:rPr>
          <w:rFonts w:hint="eastAsia" w:ascii="楷体" w:hAnsi="楷体" w:eastAsia="楷体" w:cs="楷体"/>
          <w:color w:val="auto"/>
          <w:sz w:val="21"/>
          <w:szCs w:val="21"/>
          <w:highlight w:val="none"/>
        </w:rPr>
        <w:t>。</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310" w:lineRule="exact"/>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产品管理人在此特别披露：托管人为产品管理人的关联方，产品管理人聘请其担任托管人已履行现行法律法规和监管规定所规定必须履行的程序，产品管理人、投资者同意并接受理财产品由托管人托管。</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四、销售机构</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310" w:lineRule="exact"/>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（2）成都农村商业银行股份有限公司：地址为成都市武侯区科华中路88号，联系电话为95392；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（3）甘肃银行股份有限公司：地址为甘肃省兰州市城关区东岗西路525-1号，联系电话为400-869-6666；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（4）广西北部湾银行股份有限公司：地址为广西壮族自治区南宁市良庆区云英路8号五象总部大厦，联系电话为40000-96288；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（5）广州农村商业银行股份有限公司：地址为中国广州市黄埔区映日路9号，联系电话为95313；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（6）广州银行股份有限公司：地址为广东省广州市天河区珠江东路30号，联系电话为020-96699/400-839-6699；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（7）汉口银行股份有限公司：地址为湖北省武汉市江汉区建设大道933号武汉商业银行大厦，联系电话为400-609-6558；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（8）杭州联合农村商业银行股份有限公司：地址为浙江省杭州市上城区建国中路99号，联系电话为0571-96596；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（9）河北银行股份有限公司：地址为河北省石家庄市平安北大街28号，联系电话为400-612-9999；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（10）湖州吴兴农村商业银行股份有限公司：地址为浙江省湖州市东街55号，联系电话为96596；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（11）华侨银行有限公司：地址为中国(上海)自由贸易试验区源深路1155号华侨银行大厦B103,103,106A,301-308,401-408,501-508单元，联系电话为40089 40089；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（12）徽商银行股份有限公司：地址为安徽省合肥市云谷路1699号徽银大厦，联系电话为400-889-6588；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（13）嘉兴银行股份有限公司：地址为浙江省嘉兴市昌盛南路1001号，联系电话为0573-96528；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（14）江门农村商业银行股份有限公司：地址为江门市新会区会城启超大道68号，联系电话为0750-96138；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（15）江苏滨海农村商业银行股份有限公司：地址为滨海县城迎宾中路1号，联系电话为96008；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（16）江苏常熟农村商业银行股份有限公司：地址为江苏省常熟市新世纪大道58号，联系电话为956020；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（17）江苏大丰农村商业银行股份有限公司：地址为江苏省盐城市大丰区常新中路9号，联系电话为96008；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（18）江苏丹阳农村商业银行股份有限公司：地址为镇江市丹阳金陵西路152号，联系电话为96008；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（19）江苏东海农村商业银行股份有限公司：地址为连云港市东海县牛山镇海陵东路8号，联系电话为96008；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（20）江苏东台农村商业银行股份有限公司：地址为江苏省东台市东城大道10号，联系电话为96008；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（21）江苏丰县农村商业银行股份有限公司：地址为江苏省丰县人民中路9号，联系电话为96008；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（22）江苏阜宁农村商业银行股份有限公司：地址为江苏省阜宁县城南新区上海路459号，联系电话为96008；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（23）江苏高淳农村商业银行股份有限公司：地址为江苏省南京市高淳区淳溪镇宝塔路123号，联系电话为96008；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（24）江苏高邮农村商业银行股份有限公司：地址为高邮市文游中路28号，联系电话为96008；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（25）江苏灌南农村商业银行股份有限公司：地址为江苏省连云港市灌南县人民路29号，联系电话为96008；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（26）江苏灌云农村商业银行股份有限公司：地址为江苏省灌云县伊山镇水利路东侧(人民路与水利路交汇处)，联系电话为96008；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（27）江苏海安农村商业银行股份有限公司：地址为江苏省海安市长江中路88号(东楼)，联系电话为96008；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（28）江苏海门农村商业银行股份有限公司：地址为江苏省南通市海门区解放中路137号，联系电话为96008；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（29）江苏洪泽农村商业银行股份有限公司：地址为江苏省淮安市洪泽区人民路23号，联系电话为96008；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（30）江苏淮安农村商业银行股份有限公司：地址为江苏省淮安市清江浦区水渡口大道20号金融中心B1号楼，联系电话为96008；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（31）江苏建湖农村商业银行股份有限公司：地址为江苏省建湖县湖中南路958号，联系电话为96008；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（32）江苏姜堰农村商业银行股份有限公司：地址为泰州市姜堰区姜堰大道128号，联系电话为96008；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（33）江苏江都农村商业银行股份有限公司：地址为扬州市江都区龙城路21号，联系电话为96008；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（34）江苏江阴农村商业银行股份有限公司：地址为江苏省江阴市澄江中路1号，联系电话为96078；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（35）江苏金湖农村商业银行股份有限公司：地址为江苏省金湖县黎城街道神华大道299号，联系电话为96008；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（36）江苏靖江农村商业银行股份有限公司：地址为江苏省靖江市南环西路12号，联系电话为96008；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（37）江苏句容农村商业银行股份有限公司：地址为江苏省句容市福地东路66号，联系电话为96008；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（38）江苏涟水农村商业银行股份有限公司：地址为淮安市涟水县涟城镇涟州路5号，联系电话为96008；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（39）江苏民丰农村商业银行股份有限公司：地址为江苏省宿迁市宿城区高宝湖路1号，联系电话为96008；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（40）江苏南通农村商业银行股份有限公司：地址为南通市崇川区工农南路89号，联系电话为96008；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（41）江苏沛县农村商业银行股份有限公司：地址为江苏省沛县汤沐路中段11号，联系电话为96008；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（42）江苏启东农村商业银行股份有限公司：地址为江苏省启东市汇龙镇金沙江路1688号，联系电话为96008；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（43）江苏如东农村商业银行股份有限公司：地址为江苏省如东县掘港镇钟山路66号，联系电话为96008；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（44）江苏如皋农村商业银行股份有限公司：地址为江苏省南通市如皋市如城街道海阳南路999号，联系电话为96008；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（45）江苏苏州农村商业银行股份有限公司：地址为江苏省苏州市吴江区中山南路1777号，联系电话为956111；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（46）江苏泰兴农村商业银行股份有限公司：地址为泰兴市济川街道国庆东路166号，联系电话为96008；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（47）江苏响水农村商业银行股份有限公司：地址为江苏省响水县双园东路北侧，联系电话为96008；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（48）江苏新沂农村商业银行股份有限公司：地址为江苏省新沂市钟吾路163号，联系电话为96008；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（49）江苏兴化农村商业银行股份有限公司：地址为江苏省兴化市长安南路999号，联系电话为96008；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（50）江苏盐城农村商业银行股份有限公司：地址为盐城市盐南高新区新都西路8号，联系电话为0515-88880000；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（51）江苏扬中农村商业银行股份有限公司：地址为扬中市扬子西路79号，联系电话为96008；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（52）江苏扬州农村商业银行股份有限公司：地址为江苏省扬州市同泰路107号，联系电话为96008；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（53）江苏仪征农村商业银行股份有限公司：地址为江苏省仪征市真州镇解放东路818号金融集聚区1座801-811，901-911，1001-1011，2座101，联系电话为96008；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（54）江苏宜兴农村商业银行股份有限公司：地址为江苏省宜兴市宜城街道解放东路579号，联系电话为96008；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（55）江苏银行股份有限公司：地址为江苏省南京市中华路26号，联系电话为95319；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（56）江苏张家港农村商业银行股份有限公司：地址为江苏省苏州市张家港市杨舍镇人民中路66号，联系电话为96065；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（57）江苏镇江农村商业银行股份有限公司：地址为江苏省镇江市润州区长江路97号，联系电话为96008；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（58）江苏紫金农村商业银行股份有限公司：地址为江苏省南京市建邺区江东中路381号，联系电话为96008；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（59）江苏邳州农村商业银行股份有限公司：地址为江苏省邳州市建设中路16号，联系电话为96008；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（60）江苏沭阳农村商业银行股份有限公司：地址为江苏省沭阳县沭城镇苏州东路与台州南路交汇处，联系电话为96008；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（61）江苏泗洪农村商业银行股份有限公司：地址为江苏省宿迁市泗洪县长江东路17号，联系电话为96008；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（62）江苏泗阳农村商业银行股份有限公司：地址为宿迁市泗阳县众兴镇北京中路21号，联系电话为96008；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（63）江苏溧水农村商业银行股份有限公司：地址为江苏省南京市溧水县永阳镇中山路22号，联系电话为96008；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（64）江苏盱眙农村商业银行股份有限公司：地址为江苏省盱眙县合欢大道2号，联系电话为96008；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（65）江苏睢宁农村商业银行股份有限公司：地址为江苏省睢宁县元府东街99号，联系电话为96008；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（66）交通银行股份有限公司：地址为中国(上海)自由贸易试验区银城中路188号，联系电话为95559；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（67）晋商银行股份有限公司：地址为山西省太原市小店区长风街59号，联系电话为9510-5588；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（68）九江银行股份有限公司：地址为江西省九江市濂溪区长虹大道619号，联系电话为95316；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（69）莱商银行股份有限公司：地址为山东省济南市历下区洪山路1号，联系电话为40066-96629；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（70）连云港东方农村商业银行股份有限公司：地址为江苏省连云港市海州区郁洲南路10号，联系电话为96008；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（71）宁波慈溪农村商业银行股份有限公司：地址为浙江省慈溪市浒山街道南城路25号、59号5-6层，联系电话为96596；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（72）宁波东海银行股份有限公司：地址为浙江省宁波高新区新晖南路113-127号（单号），扬帆路515号2-10层，高新宝龙商业广场13-19号、22号、29号，联系电话为400-8866-345；</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（73）宁波通商银行股份有限公司：地址为浙江省宁波市鄞州区民安东路337号，联系电话为400-916-6666；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（74）宁波余姚农村商业银行股份有限公司：地址为余姚市新建路69号，联系电话为96596；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（75）宁波镇海农村商业银行股份有限公司：地址为宁波市镇海区骆驼街道镇海大道中段788号，联系电话为96596；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（76）宁波甬城农村商业银行股份有限公司：地址为浙江省宁波市江北区育才路15、17号，联系电话为96596；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（77）齐鲁银行股份有限公司：地址为山东省济南市历下区经十路10817号，联系电话为400-609-6588；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（78）秦皇岛银行股份有限公司：地址为河北省秦皇岛市海港区河北大街西段560号，联系电话为0335-96336/400-105-7366；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（79）日照银行股份有限公司：地址为山东省日照市烟台路197号，联系电话为400-68-96588；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（80）山西银行股份有限公司：地址为山西转型综合改革示范区学府产业园高新街15号，联系电话为0351-96588；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（81）上海农村商业银行股份有限公司：地址为上海市黄浦区中山东二路70号，联系电话为962999/400-696-2999；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（82）上海浦东发展银行股份有限公司：地址为上海市中山东一路12号，联系电话为95528；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（83）上海银行股份有限公司：地址为上海市黄浦区中山南路688号，联系电话为95594；</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（84）深圳农村商业银行股份有限公司：地址为广东省深圳市宝安区新安街道海旺社区海秀路2028号农商银行大厦，联系电话为961200/400-196-1200；</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（85）石嘴山银行股份有限公司：地址为宁夏回族自治区石嘴山市大武口区朝阳西街39号，联系电话为0951-96789；</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（86）苏银理财有限责任公司：地址为南京市建邺区江山大街70号国际博览中心三期B幢11-13层，联系电话为95319-8-2；</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（87）苏州银行股份有限公司：地址为江苏省苏州工业园区钟园路728号，联系电话为96067；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（88）台州银行股份有限公司：地址为台州市路桥区南官大道92号，联系电话为95371；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（89）泰安银行股份有限公司：地址为山东省泰安市长城路3号圣地大厦，联系电话为4006586588；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（90）天津滨海农村商业银行股份有限公司：地址为天津自贸试验区(空港经济区)西三道158号金融中心1号楼，联系电话为022-96156；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（91）威海银行股份有限公司：地址为山东省威海市青岛北路137A号，联系电话为400-009-6636/0631-96636；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（92）潍坊银行股份有限公司：地址为潍坊市奎文区胜利东街5139号，联系电话为400-61-96588；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（93）厦门银行股份有限公司：地址为福建省厦门市湖里区金融大街78号，联系电话为400-858-8888；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（94）兴业银行股份有限公司：地址为中国福建省福州市台江区江滨中大道398号兴业银行大厦，联系电话为95561；</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（95）徐州农村商业银行股份有限公司：地址为徐州市铜山区北京南路26号，联系电话为96008；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（96）浙江安吉农村商业银行股份有限公司：地址为浙江省湖州市安吉县昌硕街道昌硕东路1号(自主申报)，联系电话为96596；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（97）浙江苍南农村商业银行股份有限公司：地址为浙江省苍南县灵溪镇人民大道425号，联系电话为96596；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（98）浙江长兴农村商业银行股份有限公司：地址为浙江省湖州市长兴县太湖街道明珠路1298号，联系电话为96596；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（99）浙江淳安农村商业银行股份有限公司：地址为浙江省杭州市淳安县千岛湖镇阳光路960号，联系电话为96596；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（100）浙江德清农村商业银行股份有限公司：地址为浙江省德清县武康街道沈长圩街50号，联系电话为96596；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（101）浙江东阳农村商业银行股份有限公司：地址为浙江省东阳市双岘路18号，联系电话为96596；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（102）浙江海宁农村商业银行股份有限公司：地址为浙江省海宁市海洲街道钱江西路278号，联系电话为96596；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（103）浙江海盐农村商业银行股份有限公司：地址为浙江省嘉兴市海盐县武原街道盐北东路1177号，联系电话为96596；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（104）浙江杭州余杭农村商业银行股份有限公司：地址为浙江省杭州市临平区南苑街道南大街72号，联系电话为96596；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（105）浙江禾城农村商业银行股份有限公司：地址为浙江省嘉兴市经济技术开发区文昌路1229号，联系电话为96596；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（106）浙江嘉善农村商业银行股份有限公司：地址为浙江省嘉兴市嘉善县罗星街道车站南路999号，联系电话为96596；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（107）浙江江山农村商业银行股份有限公司：地址为浙江省衢州市江山市双塔街道江滨路188号，联系电话为96596；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（108）浙江金华成泰农村商业银行股份有限公司：地址为浙江省金华市八一南街123号，联系电话为96596；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（109）浙江开化农村商业银行股份有限公司：地址为浙江省衢州市开化县华埠镇永吉二路8号，联系电话为96596；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（110）浙江兰溪农村商业银行股份有限公司：地址为浙江省兰溪市兰江街道丹溪大道18号，联系电话为96596；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（111）浙江乐清农村商业银行股份有限公司：地址为浙江省乐清市城南街道伯乐西路99号，联系电话为96596；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（112）浙江临安农村商业银行股份有限公司：地址为浙江省杭州市临安区锦城街道钱王街58号，联系电话为96596；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（113）浙江临海农村商业银行股份有限公司：地址为浙江省台州市临海市大洋街道河阳路299号，联系电话为96596；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（114）浙江龙泉农村商业银行股份有限公司：地址为浙江省丽水市龙泉市龙渊街道中山东路101号，联系电话为96596；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（115）浙江龙游农村商业银行股份有限公司：地址为浙江省衢州市龙游县龙洲街道荣昌大道683、685、687号，联系电话为96596；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（116）浙江民泰商业银行股份有限公司：地址为浙江省温岭市太平街道三星大道168号，联系电话为95343；</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（117）浙江南浔农村商业银行股份有限公司：地址为浙江省湖州市南浔区南浔镇人瑞路1188号，联系电话为96596；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（118）浙江平湖农村商业银行股份有限公司：地址为浙江省平湖市当湖街道胜利路518号，联系电话为96596；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（119）浙江浦江农村商业银行股份有限公司：地址为浙江省浦江县人民东路90号，联系电话为96596；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（120）浙江青田农村商业银行股份有限公司：地址为浙江省青田县鹤城街道鹤城东路180号，联系电话为96596；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（121）浙江瑞安农村商业银行股份有限公司：地址为浙江省温州市瑞安市莘塍街道万松东路1700-1708、1718号，联系电话为96596；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（122）浙江上虞农村商业银行股份有限公司：地址为浙江省绍兴市上虞区百官街道德盛路55号，联系电话为96596；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（123）浙江绍兴恒信农村商业银行股份有限公司：地址为浙江省绍兴市中兴中路159号，联系电话为96596；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（124）浙江绍兴瑞丰农村商业银行股份有限公司：地址为浙江省绍兴市柯桥区柯桥笛扬路1363号，联系电话为96596；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（125）浙江松阳农村商业银行股份有限公司：地址为浙江省丽水市松阳县水南街道要津南路71号，联系电话为96596；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（126）浙江遂昌农村商业银行股份有限公司：地址为浙江省丽水市遂昌县妙高街道溪边路100号，联系电话为96596；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（127）浙江台州黄岩农村商业银行股份有限公司：地址为浙江省台州市黄岩区洞天路88号，联系电话为96596；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（128）浙江台州路桥农村商业银行股份有限公司：地址为浙江省台州市路桥区路北街道中心大道5789号，联系电话为96596；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（129）浙江泰顺农村商业银行股份有限公司：地址为浙江省温州市泰顺县罗阳镇新城区文祥大道181号，联系电话为96596；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（130）浙江天台农村商业银行股份有限公司：地址为浙江省台州市天台县始丰街道唐兴大道10号，联系电话为96596；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（131）浙江桐庐农村商业银行股份有限公司：地址为浙江省杭州市桐庐县桐君街道迎春南路278号，联系电话为96596；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（132）浙江桐乡农村商业银行股份有限公司：地址为浙江省梧桐街道校场东路59号，联系电话为96596；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（133）浙江温岭农村商业银行股份有限公司：地址为浙江省台州市温岭市城东街道下保路100号，联系电话为96596；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（134）浙江温州龙湾农村商业银行股份有限公司：地址为浙江省温州市龙湾区永中街道永宁西路555号，联系电话为96596；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（135）浙江温州鹿城农村商业银行股份有限公司：地址为浙江省温州市鹿城区会展路1500号富银大厦，联系电话为96596；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（136）浙江温州瓯海农村商业银行股份有限公司：地址为浙江省温州市瓯海区瓯海大道989号，联系电话为96596；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（137）浙江文成农村商业银行股份有限公司：地址为浙江省温州市文成县大峃镇体育场路509-520号，联系电话为96596；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（138）浙江武义农村商业银行股份有限公司：地址为浙江省武义县武阳中路37号，联系电话为96596；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（139）浙江仙居农村商业银行股份有限公司：地址为浙江省台州市仙居县南峰街道庆丰南街113号，联系电话为96596；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（140）浙江萧山农村商业银行股份有限公司：地址为浙江省杭州市萧山区盈丰街道鸿宁路2288号，联系电话为96596；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（141）浙江新昌农村商业银行股份有限公司：地址为浙江省新昌县七星街道七星路18号，联系电话为96596；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（142）浙江义乌农村商业银行股份有限公司：地址为浙江省义乌市福田街道城北路677号，联系电话为96596；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（143）浙江永嘉农村商业银行股份有限公司：地址为浙江省温州市永嘉县瓯北街道阳光大道3918号，联系电话为96596；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（144）浙江永康农村商业银行股份有限公司：地址为浙江省金华市永康市九铃东路3259号，联系电话为96596；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（145）浙江舟山定海海洋农村商业银行股份有限公司：地址为浙江省舟山市定海区环城东路81号，联系电话为96596；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（146）浙江舟山普陀农村商业银行股份有限公司：地址为浙江省舟山市普陀区东港街道麒麟街225号(自贸试验区内)，联系电话为96596；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（147）浙江诸暨农村商业银行股份有限公司：地址为浙江省诸暨市暨阳街道大桥东路2号，联系电话为96596；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（148）浙江岱山农村商业银行股份有限公司：地址为浙江省舟山市岱山县高亭镇衢山大道1009号(自主申报)，联系电话为96596；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（149）浙江嵊州农村商业银行股份有限公司：地址为浙江省嵊州市剡湖街道官河路398号，联系电话为96596；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（150）浙江衢州柯城农村商业银行股份有限公司：地址为浙江省衢州市柯城区上街92号，联系电话为96596；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（151）浙江衢州衢江农村商业银行股份有限公司：地址为浙江省衢州市衢江区樟潭街道信安东路37号，联系电话为96596；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（152）浙江缙云农村商业银行股份有限公司：地址为浙江省丽水市缙云县五云镇新区仙都路68号，联系电话为96596；</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（153）浙商银行股份有限公司：地址为浙江省杭州市鸿宁路1788号，联系电话为95527；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（154）郑州银行股份有限公司：地址为河南省郑州市郑东新区商务外环路22号，联系电话为95097；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（155）中山农村商业银行股份有限公司：地址为广东省中山市东区中山三路26号之一，联系电话为020-96138；</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（156）成都银行股份有限公司：地址为四川省成都市西御街16号，联系电话为95507。</w:t>
      </w:r>
    </w:p>
    <w:p>
      <w:pPr>
        <w:pStyle w:val="26"/>
        <w:keepNext w:val="0"/>
        <w:keepLines w:val="0"/>
        <w:pageBreakBefore w:val="0"/>
        <w:widowControl w:val="0"/>
        <w:kinsoku/>
        <w:wordWrap/>
        <w:overflowPunct/>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（157）兰州银行股份有限公司：地址为甘肃省兰州市城关区酒泉路211号，联系电话为400-88-96799。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6"/>
        <w:keepNext w:val="0"/>
        <w:keepLines w:val="0"/>
        <w:pageBreakBefore w:val="0"/>
        <w:widowControl w:val="0"/>
        <w:numPr>
          <w:ilvl w:val="0"/>
          <w:numId w:val="0"/>
        </w:numPr>
        <w:bidi w:val="0"/>
        <w:spacing w:line="310" w:lineRule="exact"/>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银理财有限责任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五、名词释义</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销售代码：指本理财产品可能设置一</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或多</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产品份额，管理人在理财产品销售管理过程中对各</w:t>
      </w:r>
      <w:r>
        <w:rPr>
          <w:rFonts w:hint="eastAsia" w:ascii="楷体" w:hAnsi="楷体" w:eastAsia="楷体" w:cs="Calibri"/>
          <w:sz w:val="21"/>
          <w:szCs w:val="21"/>
          <w:highlight w:val="none"/>
          <w:lang w:val="en-US" w:eastAsia="zh-CN"/>
        </w:rPr>
        <w:t>类</w:t>
      </w:r>
      <w:r>
        <w:rPr>
          <w:rFonts w:hint="eastAsia" w:ascii="楷体" w:hAnsi="楷体" w:eastAsia="楷体" w:cs="Calibri"/>
          <w:sz w:val="21"/>
          <w:szCs w:val="21"/>
          <w:highlight w:val="none"/>
        </w:rPr>
        <w:t>份额设置的</w:t>
      </w:r>
      <w:r>
        <w:rPr>
          <w:rFonts w:hint="eastAsia" w:ascii="楷体" w:hAnsi="楷体" w:eastAsia="楷体" w:cs="Calibri"/>
          <w:sz w:val="21"/>
          <w:szCs w:val="21"/>
          <w:highlight w:val="none"/>
          <w:lang w:val="en-US" w:eastAsia="zh-CN"/>
        </w:rPr>
        <w:t>内部代</w:t>
      </w:r>
      <w:r>
        <w:rPr>
          <w:rFonts w:hint="eastAsia" w:ascii="楷体" w:hAnsi="楷体" w:eastAsia="楷体" w:cs="Calibri"/>
          <w:sz w:val="21"/>
          <w:szCs w:val="21"/>
          <w:highlight w:val="none"/>
        </w:rPr>
        <w:t>码。</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理财产品份额：指投资者持有本理财产品的单位数额。</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3.理财</w:t>
      </w:r>
      <w:r>
        <w:rPr>
          <w:rFonts w:hint="eastAsia" w:ascii="楷体" w:hAnsi="楷体" w:eastAsia="楷体" w:cs="Calibri"/>
          <w:sz w:val="21"/>
          <w:szCs w:val="21"/>
          <w:highlight w:val="none"/>
        </w:rPr>
        <w:t>产品资产总值：指产品拥有的各类有价证券、银行存款、应收款项及其他资产的价值总和。</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4.理财</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指产品运作及融资时形成的负债价值总和，包括融资资金本息、应付各项费用（包括托管费、销售服务费、</w:t>
      </w:r>
      <w:r>
        <w:rPr>
          <w:rFonts w:hint="eastAsia" w:ascii="楷体" w:hAnsi="楷体" w:eastAsia="楷体" w:cs="楷体"/>
          <w:color w:val="auto"/>
          <w:sz w:val="21"/>
          <w:szCs w:val="21"/>
          <w:highlight w:val="none"/>
          <w:lang w:val="en-US" w:eastAsia="zh-CN"/>
        </w:rPr>
        <w:t>固定</w:t>
      </w:r>
      <w:r>
        <w:rPr>
          <w:rFonts w:hint="eastAsia" w:ascii="楷体" w:hAnsi="楷体" w:eastAsia="楷体" w:cs="楷体"/>
          <w:color w:val="auto"/>
          <w:sz w:val="21"/>
          <w:szCs w:val="21"/>
          <w:highlight w:val="none"/>
        </w:rPr>
        <w:t>管理费、</w:t>
      </w:r>
      <w:r>
        <w:rPr>
          <w:rFonts w:hint="eastAsia" w:ascii="楷体" w:hAnsi="楷体" w:eastAsia="楷体" w:cs="楷体"/>
          <w:color w:val="auto"/>
          <w:sz w:val="21"/>
          <w:szCs w:val="21"/>
          <w:highlight w:val="none"/>
          <w:lang w:val="en-US" w:eastAsia="zh-CN"/>
        </w:rPr>
        <w:t>信息技术服务费、浮动管理费</w:t>
      </w:r>
      <w:r>
        <w:rPr>
          <w:rFonts w:hint="eastAsia" w:ascii="楷体" w:hAnsi="楷体" w:eastAsia="楷体" w:cs="楷体"/>
          <w:color w:val="auto"/>
          <w:sz w:val="21"/>
          <w:szCs w:val="21"/>
          <w:highlight w:val="none"/>
        </w:rPr>
        <w:t>、其他费用等）、应付税金及其他应付款项等。</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5.</w:t>
      </w:r>
      <w:r>
        <w:rPr>
          <w:rFonts w:hint="eastAsia" w:ascii="楷体" w:hAnsi="楷体" w:eastAsia="楷体" w:cs="楷体"/>
          <w:color w:val="auto"/>
          <w:sz w:val="21"/>
          <w:szCs w:val="21"/>
          <w:highlight w:val="none"/>
        </w:rPr>
        <w:t>理财产品资产净值/</w:t>
      </w:r>
      <w:r>
        <w:rPr>
          <w:rFonts w:hint="eastAsia" w:ascii="楷体" w:hAnsi="楷体" w:eastAsia="楷体" w:cs="楷体"/>
          <w:color w:val="auto"/>
          <w:sz w:val="21"/>
          <w:szCs w:val="21"/>
          <w:highlight w:val="none"/>
          <w:lang w:val="en-US" w:eastAsia="zh-CN"/>
        </w:rPr>
        <w:t>净资产</w:t>
      </w:r>
      <w:r>
        <w:rPr>
          <w:rFonts w:hint="eastAsia" w:ascii="楷体" w:hAnsi="楷体" w:eastAsia="楷体" w:cs="楷体"/>
          <w:color w:val="auto"/>
          <w:sz w:val="21"/>
          <w:szCs w:val="21"/>
          <w:highlight w:val="none"/>
        </w:rPr>
        <w:t>：</w:t>
      </w:r>
      <w:r>
        <w:rPr>
          <w:rFonts w:hint="eastAsia" w:ascii="楷体" w:hAnsi="楷体" w:eastAsia="楷体" w:cs="楷体"/>
          <w:color w:val="auto"/>
          <w:sz w:val="21"/>
          <w:szCs w:val="21"/>
          <w:highlight w:val="none"/>
          <w:lang w:val="en-US" w:eastAsia="zh-CN"/>
        </w:rPr>
        <w:t>指产品</w:t>
      </w:r>
      <w:r>
        <w:rPr>
          <w:rFonts w:hint="eastAsia" w:ascii="楷体" w:hAnsi="楷体" w:eastAsia="楷体" w:cs="楷体"/>
          <w:color w:val="auto"/>
          <w:sz w:val="21"/>
          <w:szCs w:val="21"/>
          <w:highlight w:val="none"/>
        </w:rPr>
        <w:t>资产总值</w:t>
      </w:r>
      <w:r>
        <w:rPr>
          <w:rFonts w:hint="eastAsia" w:ascii="楷体" w:hAnsi="楷体" w:eastAsia="楷体" w:cs="楷体"/>
          <w:color w:val="auto"/>
          <w:sz w:val="21"/>
          <w:szCs w:val="21"/>
          <w:highlight w:val="none"/>
          <w:lang w:val="en-US" w:eastAsia="zh-CN"/>
        </w:rPr>
        <w:t>减去</w:t>
      </w:r>
      <w:r>
        <w:rPr>
          <w:rFonts w:hint="eastAsia" w:ascii="楷体" w:hAnsi="楷体" w:eastAsia="楷体" w:cs="楷体"/>
          <w:color w:val="auto"/>
          <w:sz w:val="21"/>
          <w:szCs w:val="21"/>
          <w:highlight w:val="none"/>
        </w:rPr>
        <w:t>产品负债总值</w:t>
      </w:r>
      <w:r>
        <w:rPr>
          <w:rFonts w:hint="eastAsia" w:ascii="楷体" w:hAnsi="楷体" w:eastAsia="楷体" w:cs="楷体"/>
          <w:color w:val="auto"/>
          <w:sz w:val="21"/>
          <w:szCs w:val="21"/>
          <w:highlight w:val="none"/>
          <w:lang w:val="en-US" w:eastAsia="zh-CN"/>
        </w:rPr>
        <w:t>后的价值</w:t>
      </w:r>
      <w:r>
        <w:rPr>
          <w:rFonts w:hint="eastAsia" w:ascii="楷体" w:hAnsi="楷体" w:eastAsia="楷体" w:cs="楷体"/>
          <w:color w:val="auto"/>
          <w:sz w:val="21"/>
          <w:szCs w:val="21"/>
          <w:highlight w:val="none"/>
        </w:rPr>
        <w:t>。</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7.</w:t>
      </w:r>
      <w:r>
        <w:rPr>
          <w:rFonts w:hint="eastAsia" w:ascii="楷体" w:hAnsi="楷体" w:eastAsia="楷体" w:cs="楷体"/>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sz w:val="21"/>
          <w:szCs w:val="21"/>
          <w:highlight w:val="none"/>
          <w:lang w:val="en-US" w:eastAsia="zh-CN"/>
        </w:rPr>
        <w:t>8.流动性受限资产：</w:t>
      </w:r>
      <w:r>
        <w:rPr>
          <w:rFonts w:hint="eastAsia" w:ascii="楷体" w:hAnsi="楷体" w:eastAsia="楷体" w:cs="楷体"/>
          <w:sz w:val="21"/>
          <w:szCs w:val="21"/>
          <w:highlight w:val="none"/>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9.</w:t>
      </w:r>
      <w:r>
        <w:rPr>
          <w:rFonts w:hint="eastAsia" w:ascii="楷体" w:hAnsi="楷体" w:eastAsia="楷体" w:cs="楷体"/>
          <w:sz w:val="21"/>
          <w:szCs w:val="21"/>
          <w:highlight w:val="none"/>
        </w:rPr>
        <w:t>7个工作日可变现资产</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投资周期：指投资者持有理财产品份额所对应的理财资金由产品管理人进行投资运作的一段完整期间，每一个投资周期为该投资周期起始日至该投资周期终止日的理财期间。</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开放日：指投资周期终止日。开放计划内的申购、赎回申请，将以开放日的净值进行确认。</w:t>
      </w:r>
    </w:p>
    <w:p>
      <w:pPr>
        <w:keepNext w:val="0"/>
        <w:keepLines w:val="0"/>
        <w:pageBreakBefore w:val="0"/>
        <w:widowControl w:val="0"/>
        <w:numPr>
          <w:ilvl w:val="0"/>
          <w:numId w:val="0"/>
        </w:numPr>
        <w:tabs>
          <w:tab w:val="left" w:pos="851"/>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产品存续期：指自理财产品成立日起，至理财产品终止日的期间。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7.产品终止日/到期日：指理财产品终止的日期。</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六、投资管理</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（一）拟投资非标准化债权类资产</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非标准化债权类资产：融资人为高邮市交通产业投资集团有限公司。融资人经营正常，是依法设立的国有公司，主要股东为高邮市国有资产投资管理控股(集团)有限公司，实际控制人为高邮市财政局(高邮市政府国有资产监督管理办公室)。 （2）非标准化债权类资产：融资人为海安市城建开发投资集团有限公司。融资人经营正常，是依法设立的国有公司，主要股东为海安市政府国有资产监督管理办公室，实际控制人为海安市政府国有资产监督管理办公室。 （3）非标准化债权类资产：融资人为杭州富阳城市建设投资集团有限公司。融资人经营正常，是依法设立的国有公司，主要股东为杭州市富阳区人民政府国有资产监督管理办公室，实际控制人为杭州市富阳区人民政府国有资产监督管理办公室。 （4）非标准化债权类资产：融资人为湖州经开投资发展集团有限公司。融资人经营正常，是依法设立的国有公司，主要股东为湖州南太湖国有控股集团有限公司，实际控制人为湖州市人民政府国有资产监督管理委员会。 （5）非标准化债权类资产：融资人为湖州吴兴城市投资发展集团有限公司。融资人经营正常，是依法设立的国有公司，主要股东为湖州吴兴国控投资运营发展集团有限公司，实际控制人为湖州市吴兴区财政局。 （6）非标准化债权类资产：融资人为江苏皋开投资发展集团有限公司。融资人经营正常，是依法设立的国有公司，主要股东为如皋市人民政府，实际控制人为如皋市人民政府。 （7）非标准化债权类资产：融资人为兰溪市城市投资集团有限公司。融资人经营正常，是依法设立的国有公司，主要股东为兰溪市城市发展集团有限公司，实际控制人为兰溪市人民政府国有资产监督管理办公室。 （8）非标准化债权类资产：融资人为绍兴市上虞区国有资本投资运营有限公司。融资人经营正常，是依法设立的国有公司，主要股东为绍兴市上虞区国有资产发展集团有限公司，实际控制人为绍兴市上虞区人民政府国有资产监督管理委员会。 （9）非标准化债权类资产：融资人为绍兴市越城区城市发展建设集团有限公司。融资人经营正常，是依法设立的国有公司，主要股东为绍兴市越城区财政局，实际控制人为绍兴市越城区财政局。 （10）非标准化债权类资产：融资人为台州循环经济发展有限公司。融资人经营正常，是依法设立的国有公司，主要股东为台州市商贸核心区开发建设投资集团有限公司、台州市路桥公共资产投资管理集团有限公司、台州市城市建设投资发展集团有限公司，台州市开投城市开发有限公司，实际控制人为台州市人民政府。 （11）非标准化债权类资产：融资人为泰州高教投资发展有限公司。融资人经营正常，是依法设立的国有公司，主要股东为泰州市城市建设投资控股有限公司、工银金融资产投资有限公司，实际控制人为泰州市政府国有资产监督管理委员会。 （12）非标准化债权类资产：融资人为桐庐县城市建设投资集团有限公司。融资人经营正常，是依法设立的国有公司，主要股东为桐庐投资建设发展集团有限公司，实际控制人为桐庐县人民政府国有资产监督管理委员会。 （13）非标准化债权类资产：融资人为无锡市高发投资发展集团有限公司。融资人经营正常，是依法设立的国有公司，主要股东为江苏省无锡市新吴区人民政府，实际控制人为江苏省无锡市新吴区人民政府。 （14）非标准化债权类资产：融资人为徐州金龙湖控股集团有限公司。融资人经营正常，是依法设立的国有公司，主要股东为徐州市产业发展控股集团有限公司，实际控制人为徐州市人民政府国有资产监督管理委员会。 （15）非标准化债权类资产：融资人为盐城市城镇化建设投资集团有限公司。融资人经营正常，是依法设立的国有公司，主要股东为盐城市人民政府，实际控制人为盐城市人民政府。 （16）非标准化债权类资产：融资人为盐城市盐都区国有资产控股集团有限公司。融资人经营正常，是依法设立的国有公司，主要股东为盐城市盐都区政府国有资产监督管理办公室，实际控制人为盐城市盐都区政府国有资产监督管理办公室。 （17）非标准化债权类资产：融资人为燕舞集团有限公司。融资人经营正常，是依法设立的国有公司，主要股东为盐城市人民政府、盐城市城市资产投资集团有限公司、江苏悦达集团有限公司，实际控制人为盐城市人民政府。 （18）非标准化债权类资产：融资人为扬州江淮建设发展有限公司。融资人经营正常，是依法设立的国有公司，主要股东为扬州市国联控股集团有限公司，实际控制人为扬州市人民政府。 （19）非标准化债权类资产：融资人为扬州新盛投资集团有限公司。融资人经营正常，是依法设立的国有公司，主要股东为扬州市城建国有资产控股(集团)有限责任公司、扬州易盛德产业投资集团有限公司、扬州市扬子江文旅投资发展集团有限责任公司，实际控制人为扬州市人民政府国有资产监督管理委员会。 （20）非标准化债权类资产：融资人为张家港市高铁投资发展(集团)有限公司。融资人经营正常，是依法设立的国有公司，主要股东为张家港市交通控股有限公司、张家港市城市投资发展集团有限公司、张家港高新区投资控股有限公司，张家港市城镇发展集团有限公司，实际控制人为张家港市国有资产管理中心。 （21）收益凭证：融资人为财通证券股份有限公司。融资人经营正常，是依法设立的持牌金融机构，主要股东为浙江省创新投资集团有限公司、浙江省财开集团有限公司、台州市金融投资集团有限公司，实际控制人为浙江省财政厅。 （22）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23）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24）收益凭证：融资人为东方证券股份有限公司。融资人经营正常，是依法设立的国有公司，主要股东为申能（集团）有限公司、香港中央结算（代理人）有限公司、上海海烟投资管理有限公司，实际控制人为上海市国有资产监督管理委员会。 （25）收益凭证：融资人为东海证券股份有限公司。融资人经营正常，是依法设立的持牌金融机构，主要股东为常州投资集团有限公司、山东金控资本管理有限公司，实际控制人为常州投资集团有限公司。 （26）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27）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28）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29）收益凭证：融资人为广发证券股份有限公司。融资人经营正常，是依法设立的持牌金融机构，主要股东为香港中央结算（代理人）有限公司、吉林敖东药业集团股份有限公司、辽宁成大股份有限公司，无实际控制人。 （30）收益凭证：融资人为国都证券股份有限公司。融资人经营正常，是依法设立的持牌金融机构，主要股东为浙商证券股份有限公司、中诚信托有限责任公司、北京国际信托有限公司，实际控制人为浙江省交通投资集团有限公司。 （31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32）收益凭证：融资人为国泰海通证券股份有限公司。融资人经营正常，是依法设立的国有公司，主要股东为香港中央结算（代理人）有限公司、上海国有资产经营有限公司、上海国际集团有限公司，实际控制人为上海市国有资产监督管理委员会。 （33）收益凭证：融资人为国投证券股份有限公司。融资人经营正常，是依法设立的国有公司，主要股东为国投资本股份有限公司、上海毅胜投资有限公司，实际控制人为国家开发投资集团有限公司。 （34）收益凭证：融资人为华泰证券股份有限公司。融资人经营正常，是依法设立的国有公司，主要股东为江苏省国信集团有限公司、香港中央结算（代理人）有限公司、江苏交通控股有限公司，无实际控制人。 （35）收益凭证：融资人为华鑫证券有限责任公司。融资人经营正常，是依法设立的持牌金融机构，主要股东为上海华鑫股份有限公司，实际控制人为上海市国有资产监督管理委员会。 （36）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37）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38）收益凭证：融资人为山西证券股份有限公司。融资人经营正常，是依法设立的持牌金融机构，主要股东为山西金融投资控股集团有限公司、太原钢铁（集团）有限公司、山西国际电力集团有限公司，实际控制人为山西省财政厅。 （39）收益凭证：融资人为申万宏源证券有限公司。融资人经营正常，是依法设立的国有公司，主要股东为申万宏源集团股份有限公司，实际控制人为中央汇金投资有限责</w:t>
      </w:r>
      <w:r>
        <w:rPr>
          <w:rFonts w:hint="eastAsia" w:ascii="楷体" w:hAnsi="楷体" w:eastAsia="楷体" w:cs="楷体"/>
          <w:b w:val="0"/>
          <w:bCs w:val="0"/>
          <w:sz w:val="21"/>
          <w:szCs w:val="21"/>
          <w:highlight w:val="none"/>
          <w:u w:val="none"/>
          <w:lang w:val="en-US" w:eastAsia="zh-CN"/>
        </w:rPr>
        <w:t xml:space="preserve">任公司。 （40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41）收益凭证：融资人为兴业证券股份有限公司。融资人经营正常，是依法设立的持牌金融机构，主要股东为福建省财政厅、福建省投资开发集团有限责任公司、上海申新（集团）有限公司，实际控制人为福建省财政厅。 （42）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 （43）收益凭证：融资人为浙商证券股份有限公司。融资人经营正常，是依法设立的国有公司，主要股东为浙江上三高速公路有限公司、台州市金融投资集团有限公司，实际控制人为浙江省交通投资集团有限公司。 （44）收益凭证：融资人为中国国际金融股份有限公司。融资人经营正常，是依法设立的国有公司，主要股东为中央汇金投资有限责任公司、香港中央结算（代理人）有限公司、香港中央结算有限公司，实际控制人中央汇金投资有限责任公司。 （45）收益凭证：融资人为中国银河证券股份有限公司。融资人经营正常，是依法设立的国有公司，主要股东为中国银河金融控股有限责任公司、香港中央结算（代理人）有限公司、香港中央结算有限公司，实际控制人为中央汇金投资有限责任公司。 （46）收益凭证：融资人为中国中金财富证券有限公司。融资人经营正常，是依法设立的持牌金融机构，主要股东为中国国际金融股份有限公司，实际控制人为中央汇金投资有限责任公司。 （47）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48）收益凭证：融资人为中信建投证券股份有限公司。融资人经营正常，是依法设立的国有公司，主要股东为北京金融控股集团有限公司、中央汇金投资有限责任公司、香港中央结算（代理人）有限公司，实际控制人为中央汇金投资有限责任公司。 （49）收益凭证：融资人为中信证券股份有限公司。融资人经营正常，是依法设立的国有公司，主要股东为中国中信金融控股有限公司、香港中央结算（代理人）有限公司、广州越秀资本控股集团有限公司，实际控制人为中国中信集团有限公司。 （50）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51）同业借款：融资人为中国东方资产管理股份有限公司。融资人经营正常，是依法成立的国有公司，主要股东为中央汇金投资有限责任公司、全国社会保障基金理事会、中国电信集团有限公司，实际控制人为国务院。 （52）同业借款：融资人为中国信达资产管理股份有限公司。融资人经营正常，是依法成立的国有公司，主要股东为中央汇金投资有限责任公司，实际控制人为国务院。 （53）同业借款：融资人为中国中信金融资产管理股份有限公司。融资人经营正常，是依法成立的国有公司，主要股东为中国中信集团有限公司、财政局、中国融信私募基金有限公司，实际控制人为财政部。 </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非标准化债权类资产到期日不超过开放式理财产品投资周期终止日或封闭式理财产品终止日，定期付息、到期一次性还本。</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收益凭证类资产到期日不超过开放式理财产品投资周期终止日或封闭式理财产品终止日，到期一次性还本付息。</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同业借款类资产到期日不超过开放式理财产品投资周期终止日或封闭式理财产品终止日，定期付息、到期一次性还本。</w:t>
      </w:r>
    </w:p>
    <w:p>
      <w:pPr>
        <w:pStyle w:val="26"/>
        <w:keepNext w:val="0"/>
        <w:keepLines w:val="0"/>
        <w:pageBreakBefore w:val="0"/>
        <w:widowControl w:val="0"/>
        <w:kinsoku/>
        <w:wordWrap/>
        <w:overflowPunct w:val="0"/>
        <w:topLinePunct w:val="0"/>
        <w:autoSpaceDE/>
        <w:autoSpaceDN/>
        <w:bidi w:val="0"/>
        <w:adjustRightInd/>
        <w:snapToGrid/>
        <w:spacing w:line="310" w:lineRule="exact"/>
        <w:ind w:left="0" w:firstLine="420"/>
        <w:textAlignment w:val="auto"/>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产品存续期内若本理财产品投资的非标准化债权类资产有所调整，管理人将选择优质企业作为融资人，且融资项目已履行管理人内部审批流程，融资人业务经营正常，融资项目还款来源明确，并在本理财产品的定期报告中披露。</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（二）投资合作机构</w:t>
      </w:r>
    </w:p>
    <w:p>
      <w:pPr>
        <w:keepNext w:val="0"/>
        <w:keepLines w:val="0"/>
        <w:pageBreakBefore w:val="0"/>
        <w:numPr>
          <w:ilvl w:val="0"/>
          <w:numId w:val="0"/>
        </w:numPr>
        <w:bidi w:val="0"/>
        <w:spacing w:line="310" w:lineRule="exact"/>
        <w:ind w:firstLine="420"/>
        <w:rPr>
          <w:rFonts w:hint="eastAsia"/>
          <w:color w:val="auto"/>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①江苏省国际信托有限责任公司：江苏省国际信托有限责任公司成立于1992年6月5日，是江苏省国信集团的主要成员企业之一，专业从事金融信托业务。</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②创金合信基金管理有限公司：创金合信基金管理有限公司成立于2014年7月9日，由第一创业证券股份有限公司、深圳市金合信投资合伙企业（有限合伙）共同发起设立，注册地为深圳。</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③华鑫国际信托有限公司：华鑫国际信托有限公司于2010年2月获准重新登记，并于同年3月正式挂牌开业，实际控制人为中国华电集团有限公司，注册资本73.95亿元。</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④中国国际金融股份有限公司：中国国际金融股份有限公司于1995年7月31日成立，实际控制人为中央汇金投资有限责任公司，注册资本4,827,256,868元。</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⑤中粮信托有限责任公司：中粮信托有限责任公司成立于2009年7月27日，注册资本28.3095亿元，前三大股东分别为中粮资本投资有限公司、蒙特利尔银行、中粮财务有限责任公司。</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⑥中国对外经济贸易信托有限公司：中国对外经济贸易信托有限公司成立于1987年9月30日，注册资本80亿元，股东为中化资本有限公司和中化集团财务有限责任公司。</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⑧建信保险资产管理有限公司：建信保险资产管理有限公司成立于2016年4月7日，注册资本3亿元，股东为建信人寿保险股份有限公司和建银国际（中国）有限公司</w:t>
      </w:r>
      <w:r>
        <w:rPr>
          <w:rFonts w:hint="eastAsia" w:ascii="楷体" w:hAnsi="楷体" w:eastAsia="楷体" w:cs="楷体"/>
          <w:color w:val="auto"/>
          <w:sz w:val="21"/>
          <w:szCs w:val="21"/>
          <w:highlight w:val="none"/>
          <w:lang w:val="en-US" w:eastAsia="zh-CN" w:bidi="ar-SA"/>
        </w:rPr>
        <w:t>。</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（三）投资限制</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1.</w:t>
      </w: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2.</w:t>
      </w: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3.</w:t>
      </w: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spacing w:line="310" w:lineRule="exact"/>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不超过140%。</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5.</w:t>
      </w:r>
      <w:r>
        <w:rPr>
          <w:rFonts w:hint="eastAsia" w:ascii="楷体" w:hAnsi="楷体" w:eastAsia="楷体"/>
          <w:color w:val="auto"/>
          <w:sz w:val="21"/>
          <w:szCs w:val="21"/>
          <w:highlight w:val="none"/>
        </w:rPr>
        <w:t>本理财产品在开放日及开放日前7个工作日内持有不低于产品资产净值5%的现金或者到期日在一年以内的国债、中央银行票据和政策性金融债券。</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本理财产品直接投资于流动性受限资产的市值在开放日不得超过本产品净资产的15%。因证券市场波动、理财产品规模变动等因素导致不符合前述比例限制的，本理财产品不得主动新增投资流动性受限资产。</w:t>
      </w:r>
    </w:p>
    <w:p>
      <w:pPr>
        <w:keepNext w:val="0"/>
        <w:keepLines w:val="0"/>
        <w:pageBreakBefore w:val="0"/>
        <w:widowControl w:val="0"/>
        <w:numPr>
          <w:ilvl w:val="0"/>
          <w:numId w:val="0"/>
        </w:numPr>
        <w:tabs>
          <w:tab w:val="left" w:pos="0"/>
        </w:tabs>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lang w:val="en-US" w:eastAsia="zh-CN"/>
        </w:rPr>
        <w:t>7.</w:t>
      </w:r>
      <w:r>
        <w:rPr>
          <w:rFonts w:hint="eastAsia" w:ascii="楷体" w:hAnsi="楷体" w:eastAsia="楷体"/>
          <w:color w:val="auto"/>
          <w:sz w:val="21"/>
          <w:szCs w:val="21"/>
          <w:highlight w:val="none"/>
        </w:rPr>
        <w:t>在开放日前一工作日内，本理财产品7个工作日可变现资产的可变现价值应当不低于本产品净资产的10%。</w:t>
      </w:r>
    </w:p>
    <w:p>
      <w:pPr>
        <w:keepNext w:val="0"/>
        <w:keepLines w:val="0"/>
        <w:pageBreakBefore w:val="0"/>
        <w:numPr>
          <w:ilvl w:val="0"/>
          <w:numId w:val="0"/>
        </w:numPr>
        <w:tabs>
          <w:tab w:val="left" w:pos="993"/>
        </w:tabs>
        <w:bidi w:val="0"/>
        <w:spacing w:line="310" w:lineRule="exact"/>
        <w:ind w:left="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（四）投资管理调整</w:t>
      </w:r>
    </w:p>
    <w:p>
      <w:pPr>
        <w:pStyle w:val="13"/>
        <w:keepNext w:val="0"/>
        <w:keepLines w:val="0"/>
        <w:pageBreakBefore w:val="0"/>
        <w:widowControl w:val="0"/>
        <w:bidi w:val="0"/>
        <w:spacing w:before="0" w:line="310" w:lineRule="exact"/>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5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3"/>
        <w:keepNext w:val="0"/>
        <w:keepLines w:val="0"/>
        <w:pageBreakBefore w:val="0"/>
        <w:widowControl w:val="0"/>
        <w:bidi w:val="0"/>
        <w:spacing w:before="0" w:line="310" w:lineRule="exact"/>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七、产品申购、赎回</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（一）投资周期、开放计划</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本产品在每个投资周期结束前设置开放计划，时间为投资周期终止日前</w:t>
      </w:r>
      <w:r>
        <w:rPr>
          <w:rFonts w:hint="eastAsia" w:ascii="楷体" w:hAnsi="楷体" w:eastAsia="楷体"/>
          <w:sz w:val="21"/>
          <w:szCs w:val="21"/>
          <w:highlight w:val="none"/>
          <w:lang w:val="en-US" w:eastAsia="zh-CN"/>
        </w:rPr>
        <w:t>7个工作</w:t>
      </w:r>
      <w:r>
        <w:rPr>
          <w:rFonts w:hint="eastAsia" w:ascii="楷体" w:hAnsi="楷体" w:eastAsia="楷体"/>
          <w:sz w:val="21"/>
          <w:szCs w:val="21"/>
          <w:highlight w:val="none"/>
        </w:rPr>
        <w:t>日（含投资周期终止日），开放计划最后一日（即投资周期终止日）为开放日。投资者可在开放计划时间内通过销售机构提出申购/赎回申请（以各销售机构设置的开放时间为准），</w:t>
      </w:r>
      <w:r>
        <w:rPr>
          <w:rFonts w:hint="eastAsia" w:ascii="楷体" w:hAnsi="楷体" w:eastAsia="楷体"/>
          <w:b/>
          <w:sz w:val="21"/>
          <w:szCs w:val="21"/>
          <w:highlight w:val="none"/>
          <w:u w:val="single"/>
        </w:rPr>
        <w:t>除开放计划外的其他时间，管理人不接受投资者申购、赎回申请。</w:t>
      </w:r>
      <w:r>
        <w:rPr>
          <w:rFonts w:hint="eastAsia" w:ascii="楷体" w:hAnsi="楷体" w:eastAsia="楷体" w:cs="Calibri"/>
          <w:sz w:val="21"/>
          <w:szCs w:val="21"/>
          <w:highlight w:val="none"/>
        </w:rPr>
        <w:t>后续投资周期及开放计划受资产运作情况、节假日安排等要素限制，管理人将在每个投资周期结束前通过本理财产品说明书约定的方式披露下一周期开放计划。</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（二）申购、赎回的规则</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1.</w:t>
      </w:r>
      <w:r>
        <w:rPr>
          <w:rFonts w:hint="eastAsia" w:ascii="楷体" w:hAnsi="楷体" w:eastAsia="楷体" w:cs="Calibri"/>
          <w:sz w:val="21"/>
          <w:szCs w:val="21"/>
          <w:highlight w:val="none"/>
        </w:rPr>
        <w:t>申购、赎回的原则：投资者必须在产品开放计划内提出申购、赎回申请</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采用金额申购、份额赎回的原则，即申购以金额申请，赎回以份额申请。投资者提出申购申请时，须备足购买资金</w:t>
      </w:r>
      <w:r>
        <w:rPr>
          <w:rFonts w:hint="eastAsia" w:ascii="楷体" w:hAnsi="楷体" w:eastAsia="楷体" w:cs="Calibri"/>
          <w:sz w:val="21"/>
          <w:szCs w:val="21"/>
          <w:highlight w:val="none"/>
          <w:lang w:val="en-US" w:eastAsia="zh-CN"/>
        </w:rPr>
        <w:t>；</w:t>
      </w:r>
      <w:r>
        <w:rPr>
          <w:rFonts w:hint="eastAsia" w:ascii="楷体" w:hAnsi="楷体" w:eastAsia="楷体" w:cs="Calibri"/>
          <w:sz w:val="21"/>
          <w:szCs w:val="21"/>
          <w:highlight w:val="none"/>
        </w:rPr>
        <w:t>投资者提出赎回申请时，须有足够的理财产品份额余额。在开放计划内提交的申购/赎回申请可以在产品开放日</w:t>
      </w:r>
      <w:r>
        <w:rPr>
          <w:rFonts w:hint="eastAsia" w:ascii="楷体" w:hAnsi="楷体" w:eastAsia="楷体" w:cs="Calibri"/>
          <w:sz w:val="21"/>
          <w:szCs w:val="21"/>
          <w:highlight w:val="none"/>
          <w:lang w:val="en-US" w:eastAsia="zh-CN"/>
        </w:rPr>
        <w:t>闭市</w:t>
      </w:r>
      <w:r>
        <w:rPr>
          <w:rFonts w:hint="eastAsia" w:ascii="楷体" w:hAnsi="楷体" w:eastAsia="楷体" w:cs="Calibri"/>
          <w:sz w:val="21"/>
          <w:szCs w:val="21"/>
          <w:highlight w:val="none"/>
        </w:rPr>
        <w:t>前撤销，之后不得撤销。</w:t>
      </w:r>
      <w:r>
        <w:rPr>
          <w:rFonts w:hint="eastAsia" w:ascii="楷体" w:hAnsi="楷体" w:eastAsia="楷体"/>
          <w:sz w:val="21"/>
          <w:szCs w:val="21"/>
          <w:highlight w:val="none"/>
        </w:rPr>
        <w:t>（</w:t>
      </w:r>
      <w:r>
        <w:rPr>
          <w:rFonts w:hint="eastAsia" w:ascii="楷体" w:hAnsi="楷体" w:eastAsia="楷体" w:cs="Calibri"/>
          <w:sz w:val="21"/>
          <w:szCs w:val="21"/>
          <w:highlight w:val="none"/>
          <w:lang w:val="en-US" w:eastAsia="zh-CN"/>
        </w:rPr>
        <w:t>闭市时间</w:t>
      </w:r>
      <w:r>
        <w:rPr>
          <w:rFonts w:hint="eastAsia" w:ascii="楷体" w:hAnsi="楷体" w:eastAsia="楷体"/>
          <w:sz w:val="21"/>
          <w:szCs w:val="21"/>
          <w:highlight w:val="none"/>
        </w:rPr>
        <w:t>以各销售机构设置为准）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lang w:val="en-US" w:eastAsia="zh-CN"/>
        </w:rPr>
        <w:t>2.</w:t>
      </w:r>
      <w:r>
        <w:rPr>
          <w:rFonts w:hint="eastAsia" w:ascii="楷体" w:hAnsi="楷体" w:eastAsia="楷体" w:cs="Calibri"/>
          <w:sz w:val="21"/>
          <w:szCs w:val="21"/>
          <w:highlight w:val="none"/>
        </w:rPr>
        <w:t>申购、赎回的确认：投资者申购/赎回本产品时采用“未知价”原则，投资者在开放计划时间内通过销售机构提出的申购/赎回申请，管理人于开放日后1个工作日按开放日单位净值对申购/赎回申请予以统一确认，未赎回的份额自动进入下一个投资周期。</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cs="Calibri"/>
          <w:sz w:val="21"/>
          <w:szCs w:val="21"/>
          <w:highlight w:val="none"/>
          <w:lang w:val="en-US" w:eastAsia="zh-CN"/>
        </w:rPr>
        <w:t>管理人在份额登记日对投资者的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申请登记成功后并收到投资者全额交付的款项，视为投资者的</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申请生效。投资者应在</w:t>
      </w:r>
      <w:r>
        <w:rPr>
          <w:rFonts w:hint="eastAsia" w:ascii="楷体" w:hAnsi="楷体" w:eastAsia="楷体"/>
          <w:sz w:val="21"/>
          <w:szCs w:val="21"/>
          <w:highlight w:val="none"/>
        </w:rPr>
        <w:t>开放日后</w:t>
      </w:r>
      <w:r>
        <w:rPr>
          <w:rFonts w:hint="eastAsia" w:ascii="楷体" w:hAnsi="楷体" w:eastAsia="楷体" w:cs="Calibri"/>
          <w:sz w:val="21"/>
          <w:szCs w:val="21"/>
          <w:highlight w:val="none"/>
          <w:lang w:val="en-US" w:eastAsia="zh-CN"/>
        </w:rPr>
        <w:t>及时查询最终的成交情况以及</w:t>
      </w:r>
      <w:r>
        <w:rPr>
          <w:rFonts w:hint="eastAsia" w:ascii="楷体" w:hAnsi="楷体" w:eastAsia="楷体"/>
          <w:sz w:val="21"/>
          <w:szCs w:val="21"/>
          <w:highlight w:val="none"/>
        </w:rPr>
        <w:t>申购</w:t>
      </w:r>
      <w:r>
        <w:rPr>
          <w:rFonts w:hint="eastAsia" w:ascii="楷体" w:hAnsi="楷体" w:eastAsia="楷体" w:cs="Calibri"/>
          <w:sz w:val="21"/>
          <w:szCs w:val="21"/>
          <w:highlight w:val="none"/>
          <w:lang w:val="en-US" w:eastAsia="zh-CN"/>
        </w:rPr>
        <w:t>的份额。</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和销售机构的事由出现，造成申购</w:t>
      </w:r>
      <w:r>
        <w:rPr>
          <w:rFonts w:hint="eastAsia" w:ascii="楷体" w:hAnsi="楷体" w:eastAsia="楷体" w:cs="Calibri"/>
          <w:sz w:val="21"/>
          <w:szCs w:val="21"/>
          <w:highlight w:val="none"/>
          <w:lang w:val="en-US" w:eastAsia="zh-CN"/>
        </w:rPr>
        <w:t>申请</w:t>
      </w:r>
      <w:r>
        <w:rPr>
          <w:rFonts w:hint="eastAsia" w:ascii="楷体" w:hAnsi="楷体" w:eastAsia="楷体"/>
          <w:sz w:val="21"/>
          <w:szCs w:val="21"/>
          <w:highlight w:val="none"/>
        </w:rPr>
        <w:t>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投资者赎回资金将在确认日后2个工作日内到达投资者资金账户。</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（三）申购份额的计算</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申购份额=申购金额/开放日产品单位净值</w:t>
      </w:r>
      <w:r>
        <w:rPr>
          <w:rFonts w:hint="eastAsia" w:ascii="楷体" w:hAnsi="楷体" w:eastAsia="楷体"/>
          <w:sz w:val="21"/>
          <w:szCs w:val="21"/>
          <w:highlight w:val="none"/>
          <w:lang w:eastAsia="zh-CN"/>
        </w:rPr>
        <w:t>，</w:t>
      </w:r>
      <w:r>
        <w:rPr>
          <w:rFonts w:hint="eastAsia" w:ascii="楷体" w:hAnsi="楷体" w:eastAsia="楷体"/>
          <w:sz w:val="21"/>
          <w:szCs w:val="21"/>
          <w:highlight w:val="none"/>
        </w:rPr>
        <w:t>申购份额以四舍五入的方法保留到小数点后两位。</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（四）赎回金额的计算</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赎回金额=赎回份额*开放日产品单位净值</w:t>
      </w:r>
      <w:r>
        <w:rPr>
          <w:rFonts w:hint="eastAsia" w:ascii="楷体" w:hAnsi="楷体" w:eastAsia="楷体"/>
          <w:sz w:val="21"/>
          <w:szCs w:val="21"/>
          <w:highlight w:val="none"/>
          <w:lang w:val="en-US" w:eastAsia="zh-CN"/>
        </w:rPr>
        <w:t>-超额业绩报酬（如有）</w:t>
      </w:r>
      <w:r>
        <w:rPr>
          <w:rFonts w:hint="eastAsia" w:ascii="楷体" w:hAnsi="楷体" w:eastAsia="楷体"/>
          <w:sz w:val="21"/>
          <w:szCs w:val="21"/>
          <w:highlight w:val="none"/>
          <w:lang w:eastAsia="zh-CN"/>
        </w:rPr>
        <w:t>，</w:t>
      </w:r>
      <w:r>
        <w:rPr>
          <w:rFonts w:hint="eastAsia" w:ascii="楷体" w:hAnsi="楷体" w:eastAsia="楷体"/>
          <w:sz w:val="21"/>
          <w:szCs w:val="21"/>
          <w:highlight w:val="none"/>
        </w:rPr>
        <w:t>赎回金额以四舍五入的方法保留到小数点后两位。</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（五）巨额赎回：详见“关键要素”。</w:t>
      </w:r>
    </w:p>
    <w:p>
      <w:pPr>
        <w:keepNext w:val="0"/>
        <w:keepLines w:val="0"/>
        <w:pageBreakBefore w:val="0"/>
        <w:numPr>
          <w:ilvl w:val="0"/>
          <w:numId w:val="0"/>
        </w:numPr>
        <w:bidi w:val="0"/>
        <w:spacing w:line="310" w:lineRule="exact"/>
        <w:ind w:firstLine="420"/>
        <w:outlineLvl w:val="2"/>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（六）特殊情形及处理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1.</w:t>
      </w:r>
      <w:r>
        <w:rPr>
          <w:rFonts w:hint="eastAsia" w:ascii="楷体" w:hAnsi="楷体" w:eastAsia="楷体"/>
          <w:b w:val="0"/>
          <w:bCs w:val="0"/>
          <w:sz w:val="21"/>
          <w:szCs w:val="21"/>
          <w:highlight w:val="none"/>
        </w:rPr>
        <w:t>除以下情形外，管理人不得拒绝接受或暂停接受投资者的申购申请：</w:t>
      </w:r>
    </w:p>
    <w:p>
      <w:pPr>
        <w:keepNext w:val="0"/>
        <w:keepLines w:val="0"/>
        <w:pageBreakBefore w:val="0"/>
        <w:numPr>
          <w:ilvl w:val="0"/>
          <w:numId w:val="0"/>
        </w:numPr>
        <w:tabs>
          <w:tab w:val="left" w:pos="728"/>
        </w:tabs>
        <w:bidi w:val="0"/>
        <w:spacing w:line="310" w:lineRule="exact"/>
        <w:ind w:left="0"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（1）不可抗力的原因导致产品无法正常运作</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（2）超出产品单一投资者持有上限</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3</w:t>
      </w:r>
      <w:r>
        <w:rPr>
          <w:rFonts w:hint="eastAsia" w:ascii="楷体" w:hAnsi="楷体" w:eastAsia="楷体" w:cs="Calibri"/>
          <w:sz w:val="21"/>
          <w:szCs w:val="21"/>
          <w:highlight w:val="none"/>
        </w:rPr>
        <w:t>）发生《理财产品说明书》约定的暂停估值的情形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4</w:t>
      </w:r>
      <w:r>
        <w:rPr>
          <w:rFonts w:hint="eastAsia" w:ascii="楷体" w:hAnsi="楷体" w:eastAsia="楷体" w:cs="Calibri"/>
          <w:sz w:val="21"/>
          <w:szCs w:val="21"/>
          <w:highlight w:val="none"/>
        </w:rPr>
        <w:t>）管理人接受某笔或者某些申购申请有可能导致单一投资者持有理财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份额的比例达到或者超过50%的情形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5</w:t>
      </w:r>
      <w:r>
        <w:rPr>
          <w:rFonts w:hint="eastAsia" w:ascii="楷体" w:hAnsi="楷体" w:eastAsia="楷体" w:cs="Calibri"/>
          <w:sz w:val="21"/>
          <w:szCs w:val="21"/>
          <w:highlight w:val="none"/>
        </w:rPr>
        <w:t>）当接受某笔或某些申购申请可能对存量理财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w:t>
      </w:r>
      <w:r>
        <w:rPr>
          <w:rFonts w:hint="eastAsia" w:ascii="楷体" w:hAnsi="楷体" w:eastAsia="楷体" w:cs="Calibri"/>
          <w:sz w:val="21"/>
          <w:szCs w:val="21"/>
          <w:highlight w:val="none"/>
          <w:lang w:val="en-US" w:eastAsia="zh-CN"/>
        </w:rPr>
        <w:t>6</w:t>
      </w:r>
      <w:r>
        <w:rPr>
          <w:rFonts w:hint="eastAsia" w:ascii="楷体" w:hAnsi="楷体" w:eastAsia="楷体" w:cs="Calibri"/>
          <w:sz w:val="21"/>
          <w:szCs w:val="21"/>
          <w:highlight w:val="none"/>
        </w:rPr>
        <w:t>）法律、法规规定认定的其他情形。</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若管理人决定拒绝接受或暂停接受投资者的申购申请，则将会在3个交易日内根据《理财产品说明书》约定的信息披露方式向投资者进行信息披露。若投资者的全部或部分申购申请被拒绝，被拒绝申购款项本金将退还给投资者。在上述暂停或拒绝申购的情况消除后，管理人将及时恢复申购业务的办理。</w:t>
      </w:r>
    </w:p>
    <w:p>
      <w:pPr>
        <w:keepNext w:val="0"/>
        <w:keepLines w:val="0"/>
        <w:pageBreakBefore w:val="0"/>
        <w:bidi w:val="0"/>
        <w:spacing w:line="310" w:lineRule="exact"/>
        <w:ind w:firstLine="420"/>
        <w:rPr>
          <w:rFonts w:ascii="楷体" w:hAnsi="楷体" w:eastAsia="楷体"/>
          <w:b w:val="0"/>
          <w:bCs w:val="0"/>
          <w:sz w:val="21"/>
          <w:szCs w:val="21"/>
          <w:highlight w:val="none"/>
        </w:rPr>
      </w:pPr>
      <w:r>
        <w:rPr>
          <w:rFonts w:ascii="楷体" w:hAnsi="楷体" w:eastAsia="楷体"/>
          <w:b w:val="0"/>
          <w:bCs w:val="0"/>
          <w:sz w:val="21"/>
          <w:szCs w:val="21"/>
          <w:highlight w:val="none"/>
        </w:rPr>
        <w:t>2.</w:t>
      </w:r>
      <w:r>
        <w:rPr>
          <w:rFonts w:hint="eastAsia" w:ascii="楷体" w:hAnsi="楷体" w:eastAsia="楷体"/>
          <w:b w:val="0"/>
          <w:bCs w:val="0"/>
          <w:sz w:val="21"/>
          <w:szCs w:val="21"/>
          <w:highlight w:val="none"/>
        </w:rPr>
        <w:t>除以下情形外，管理人不得暂停接受投资者的赎回申请或延缓支付赎回款项：</w:t>
      </w:r>
    </w:p>
    <w:p>
      <w:pPr>
        <w:keepNext w:val="0"/>
        <w:keepLines w:val="0"/>
        <w:pageBreakBefore w:val="0"/>
        <w:numPr>
          <w:ilvl w:val="0"/>
          <w:numId w:val="0"/>
        </w:numPr>
        <w:tabs>
          <w:tab w:val="left" w:pos="728"/>
        </w:tabs>
        <w:bidi w:val="0"/>
        <w:spacing w:line="310" w:lineRule="exact"/>
        <w:ind w:firstLine="420"/>
        <w:rPr>
          <w:rFonts w:ascii="楷体" w:hAnsi="楷体" w:eastAsia="楷体" w:cs="Calibri"/>
          <w:sz w:val="21"/>
          <w:szCs w:val="21"/>
          <w:highlight w:val="none"/>
        </w:rPr>
      </w:pPr>
      <w:r>
        <w:rPr>
          <w:rFonts w:hint="eastAsia" w:ascii="楷体" w:hAnsi="楷体" w:eastAsia="楷体" w:cs="Calibri"/>
          <w:sz w:val="21"/>
          <w:szCs w:val="21"/>
          <w:highlight w:val="none"/>
        </w:rPr>
        <w:t>（1）不可抗力的原因导致管理人不能支付赎回款项</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（2）触发巨额赎回条款</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（3）发生《理财产品说明书》约定的暂停估值的情形</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（4）当接受某笔或某些赎回申请可能对存量理财</w:t>
      </w:r>
      <w:r>
        <w:rPr>
          <w:rFonts w:hint="eastAsia" w:ascii="楷体" w:hAnsi="楷体" w:eastAsia="楷体" w:cs="Calibri"/>
          <w:sz w:val="21"/>
          <w:szCs w:val="21"/>
          <w:highlight w:val="none"/>
          <w:lang w:val="en-US" w:eastAsia="zh-CN"/>
        </w:rPr>
        <w:t>产品</w:t>
      </w:r>
      <w:r>
        <w:rPr>
          <w:rFonts w:hint="eastAsia" w:ascii="楷体" w:hAnsi="楷体" w:eastAsia="楷体" w:cs="Calibri"/>
          <w:sz w:val="21"/>
          <w:szCs w:val="21"/>
          <w:highlight w:val="none"/>
        </w:rPr>
        <w:t>份额持有人利益构成潜在重大不利影响时</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rPr>
        <w:t>（5）法律、法规规定认定的其他情形。</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Calibri"/>
          <w:sz w:val="21"/>
          <w:szCs w:val="21"/>
          <w:highlight w:val="none"/>
        </w:rPr>
      </w:pPr>
      <w:r>
        <w:rPr>
          <w:rFonts w:hint="eastAsia" w:ascii="楷体" w:hAnsi="楷体" w:eastAsia="楷体" w:cs="Calibri"/>
          <w:sz w:val="21"/>
          <w:szCs w:val="21"/>
          <w:highlight w:val="none"/>
        </w:rPr>
        <w:t>若管理人决定</w:t>
      </w:r>
      <w:r>
        <w:rPr>
          <w:rFonts w:hint="eastAsia" w:ascii="楷体" w:hAnsi="楷体" w:eastAsia="楷体"/>
          <w:sz w:val="21"/>
          <w:szCs w:val="21"/>
          <w:highlight w:val="none"/>
        </w:rPr>
        <w:t>暂停接受投资者的赎回申请或延缓支付赎回款项</w:t>
      </w:r>
      <w:r>
        <w:rPr>
          <w:rFonts w:hint="eastAsia" w:ascii="楷体" w:hAnsi="楷体" w:eastAsia="楷体" w:cs="Calibri"/>
          <w:sz w:val="21"/>
          <w:szCs w:val="21"/>
          <w:highlight w:val="none"/>
        </w:rPr>
        <w:t>，则将会在3个交易日内根据《理财产品说明书》约定的信息披露方式向投资者进行信息披露。若投资者的全部或部分赎回申请被拒绝，投资者可将当日未能受理部分予以撤销。在上述</w:t>
      </w:r>
      <w:r>
        <w:rPr>
          <w:rFonts w:hint="eastAsia" w:ascii="楷体" w:hAnsi="楷体" w:eastAsia="楷体"/>
          <w:sz w:val="21"/>
          <w:szCs w:val="21"/>
          <w:highlight w:val="none"/>
        </w:rPr>
        <w:t>暂停接受投资者的赎回申请或延缓支付赎回款项的情况消除后</w:t>
      </w:r>
      <w:r>
        <w:rPr>
          <w:rFonts w:hint="eastAsia" w:ascii="楷体" w:hAnsi="楷体" w:eastAsia="楷体" w:cs="Calibri"/>
          <w:sz w:val="21"/>
          <w:szCs w:val="21"/>
          <w:highlight w:val="none"/>
        </w:rPr>
        <w:t>，管理人将及时恢复</w:t>
      </w:r>
      <w:r>
        <w:rPr>
          <w:rFonts w:hint="eastAsia" w:ascii="楷体" w:hAnsi="楷体" w:eastAsia="楷体" w:cs="Calibri"/>
          <w:sz w:val="21"/>
          <w:szCs w:val="21"/>
          <w:highlight w:val="none"/>
          <w:lang w:val="en-US" w:eastAsia="zh-CN"/>
        </w:rPr>
        <w:t>赎回</w:t>
      </w:r>
      <w:r>
        <w:rPr>
          <w:rFonts w:hint="eastAsia" w:ascii="楷体" w:hAnsi="楷体" w:eastAsia="楷体" w:cs="Calibri"/>
          <w:sz w:val="21"/>
          <w:szCs w:val="21"/>
          <w:highlight w:val="none"/>
        </w:rPr>
        <w:t>业务的办理。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八、期间收益分配</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本产品</w:t>
      </w:r>
      <w:r>
        <w:rPr>
          <w:rFonts w:hint="eastAsia" w:ascii="楷体" w:hAnsi="楷体" w:eastAsia="楷体"/>
          <w:sz w:val="21"/>
          <w:szCs w:val="21"/>
          <w:highlight w:val="none"/>
          <w:lang w:val="en-US" w:eastAsia="zh-CN"/>
        </w:rPr>
        <w:t>计划</w:t>
      </w:r>
      <w:r>
        <w:rPr>
          <w:rFonts w:hint="eastAsia" w:ascii="楷体" w:hAnsi="楷体" w:eastAsia="楷体"/>
          <w:sz w:val="21"/>
          <w:szCs w:val="21"/>
          <w:highlight w:val="none"/>
        </w:rPr>
        <w:t>按投资周期进行现金分红。当一个投资周期结束，在满足投资周期终止日理财产品单位净值大于面值的条件下，管理人可进行现金分红，现金分红金额为单个投资周期投资产生的收益扣除固定费用（包括托管费、销售服务费、固定管理费等）、运作产品所必须缴纳的税费、提取超额业绩报酬（如有）后的部分，现金分红将于投资周期终止日后2个工作日内分配至投资者资金账户。</w:t>
      </w:r>
    </w:p>
    <w:p>
      <w:pPr>
        <w:keepNext w:val="0"/>
        <w:keepLines w:val="0"/>
        <w:pageBreakBefore w:val="0"/>
        <w:bidi w:val="0"/>
        <w:spacing w:line="310" w:lineRule="exact"/>
        <w:ind w:firstLine="422"/>
        <w:rPr>
          <w:rFonts w:hint="eastAsia" w:ascii="楷体" w:hAnsi="楷体" w:eastAsia="楷体"/>
          <w:sz w:val="21"/>
          <w:szCs w:val="21"/>
          <w:highlight w:val="none"/>
          <w:lang w:eastAsia="zh-CN"/>
        </w:rPr>
      </w:pPr>
      <w:r>
        <w:rPr>
          <w:rFonts w:hint="eastAsia" w:ascii="楷体" w:hAnsi="楷体" w:eastAsia="楷体"/>
          <w:b/>
          <w:sz w:val="21"/>
          <w:szCs w:val="21"/>
          <w:highlight w:val="none"/>
          <w:u w:val="single"/>
        </w:rPr>
        <w:t>以下示例均为假设情况，不代表本产品实际投资业绩</w:t>
      </w:r>
      <w:r>
        <w:rPr>
          <w:rFonts w:hint="eastAsia" w:ascii="楷体" w:hAnsi="楷体" w:eastAsia="楷体"/>
          <w:b/>
          <w:sz w:val="21"/>
          <w:szCs w:val="21"/>
          <w:highlight w:val="none"/>
          <w:u w:val="single"/>
          <w:lang w:eastAsia="zh-CN"/>
        </w:rPr>
        <w:t>。</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1.情景一</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在投资周期终止日扣除固定费用（包括托管费、销售服务费、固定管理费等）、运作产品所必须缴纳的税费、提取超额业绩报酬（如有）后，产品单位净值为1.0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2000。理财产品单位净值大于面值，管理人可进行现金分红，每份额可获得的现金分红为0.0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该投资周期投资者可得分红=10,000.00×0.0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w:t>
      </w:r>
      <w:r>
        <w:rPr>
          <w:rFonts w:hint="eastAsia" w:ascii="楷体" w:hAnsi="楷体" w:eastAsia="楷体"/>
          <w:sz w:val="21"/>
          <w:szCs w:val="21"/>
          <w:highlight w:val="none"/>
          <w:lang w:val="en-US" w:eastAsia="zh-CN"/>
        </w:rPr>
        <w:t>2</w:t>
      </w:r>
      <w:r>
        <w:rPr>
          <w:rFonts w:hint="eastAsia" w:ascii="楷体" w:hAnsi="楷体" w:eastAsia="楷体"/>
          <w:sz w:val="21"/>
          <w:szCs w:val="21"/>
          <w:highlight w:val="none"/>
        </w:rPr>
        <w:t>20.00（元）</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2.情景二</w:t>
      </w:r>
    </w:p>
    <w:p>
      <w:pPr>
        <w:keepNext w:val="0"/>
        <w:keepLines w:val="0"/>
        <w:pageBreakBefore w:val="0"/>
        <w:bidi w:val="0"/>
        <w:spacing w:line="310" w:lineRule="exact"/>
        <w:ind w:firstLine="420"/>
        <w:rPr>
          <w:rFonts w:hint="eastAsia" w:ascii="楷体" w:hAnsi="楷体" w:eastAsia="楷体"/>
          <w:sz w:val="21"/>
          <w:szCs w:val="21"/>
          <w:highlight w:val="none"/>
        </w:rPr>
      </w:pPr>
      <w:r>
        <w:rPr>
          <w:rFonts w:hint="eastAsia" w:ascii="楷体" w:hAnsi="楷体" w:eastAsia="楷体"/>
          <w:sz w:val="21"/>
          <w:szCs w:val="21"/>
          <w:highlight w:val="none"/>
        </w:rPr>
        <w:t>假定投资者在该投资周期持有该产品的份额为10,000.00份，在投资周期终止日扣除固定费用（包括托管费、销售服务费、固定管理费等）、运作产品所必须缴纳的税费、提取超额业绩报酬（如有）后，产品单位净值为0.997500。理财产品单位净值小于面值，该投资周期无现金分红。</w:t>
      </w:r>
    </w:p>
    <w:p>
      <w:pPr>
        <w:keepNext w:val="0"/>
        <w:keepLines w:val="0"/>
        <w:pageBreakBefore w:val="0"/>
        <w:bidi w:val="0"/>
        <w:spacing w:line="310" w:lineRule="exact"/>
        <w:ind w:firstLine="422"/>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上述情况假设仅用于向投资者示例现金分红计算方法之用，并不代表管理人对实际分红情况的预期判断，也不代表以上所有情形或某一情形一定会发生，或管理人认为发生的可能性很大。投资者获得的最终</w:t>
      </w:r>
      <w:r>
        <w:rPr>
          <w:rFonts w:hint="eastAsia" w:ascii="楷体" w:hAnsi="楷体" w:eastAsia="楷体"/>
          <w:b/>
          <w:sz w:val="21"/>
          <w:szCs w:val="21"/>
          <w:highlight w:val="none"/>
          <w:u w:val="single"/>
          <w:lang w:val="en-US" w:eastAsia="zh-CN"/>
        </w:rPr>
        <w:t>收益</w:t>
      </w:r>
      <w:r>
        <w:rPr>
          <w:rFonts w:hint="eastAsia" w:ascii="楷体" w:hAnsi="楷体" w:eastAsia="楷体"/>
          <w:b/>
          <w:sz w:val="21"/>
          <w:szCs w:val="21"/>
          <w:highlight w:val="none"/>
          <w:u w:val="single"/>
        </w:rPr>
        <w:t>以产品实际运作表现及管理人实际支付为准。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九、产品终止</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（一）提前终止</w:t>
      </w:r>
    </w:p>
    <w:p>
      <w:pPr>
        <w:keepNext w:val="0"/>
        <w:keepLines w:val="0"/>
        <w:pageBreakBefore w:val="0"/>
        <w:numPr>
          <w:ilvl w:val="0"/>
          <w:numId w:val="0"/>
        </w:numPr>
        <w:bidi w:val="0"/>
        <w:spacing w:line="310" w:lineRule="exact"/>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（二）正常终止</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（三）延期终止</w:t>
      </w:r>
    </w:p>
    <w:p>
      <w:pPr>
        <w:keepNext w:val="0"/>
        <w:keepLines w:val="0"/>
        <w:pageBreakBefore w:val="0"/>
        <w:bidi w:val="0"/>
        <w:spacing w:line="310" w:lineRule="exact"/>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（四）投资者可得资金计算</w:t>
      </w:r>
    </w:p>
    <w:p>
      <w:pPr>
        <w:keepNext w:val="0"/>
        <w:keepLines w:val="0"/>
        <w:pageBreakBefore w:val="0"/>
        <w:bidi w:val="0"/>
        <w:spacing w:line="310" w:lineRule="exact"/>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（五）终止清算</w:t>
      </w:r>
    </w:p>
    <w:p>
      <w:pPr>
        <w:keepNext w:val="0"/>
        <w:keepLines w:val="0"/>
        <w:pageBreakBefore w:val="0"/>
        <w:pBdr>
          <w:top w:val="none" w:color="000000" w:sz="0" w:space="0"/>
          <w:left w:val="none" w:color="000000" w:sz="0" w:space="0"/>
          <w:bottom w:val="none" w:color="000000" w:sz="0" w:space="0"/>
          <w:right w:val="none" w:color="000000" w:sz="0" w:space="0"/>
        </w:pBdr>
        <w:spacing w:line="310" w:lineRule="exact"/>
        <w:ind w:firstLine="420"/>
      </w:pPr>
      <w:r>
        <w:rPr>
          <w:rFonts w:hint="eastAsia" w:ascii="楷体" w:hAnsi="楷体" w:eastAsia="楷体" w:cs="楷体"/>
          <w:b w:val="0"/>
          <w:bCs w:val="0"/>
          <w:color w:val="auto"/>
          <w:sz w:val="21"/>
          <w:szCs w:val="21"/>
          <w:highlight w:val="none"/>
        </w:rPr>
        <w:t>投资者的投资本金和收益（如有）将于产品到期日</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产品终止日）</w:t>
      </w:r>
      <w:r>
        <w:rPr>
          <w:rFonts w:hint="eastAsia" w:ascii="楷体" w:hAnsi="楷体" w:eastAsia="楷体" w:cs="楷体"/>
          <w:b w:val="0"/>
          <w:bCs w:val="0"/>
          <w:color w:val="auto"/>
          <w:sz w:val="21"/>
          <w:szCs w:val="21"/>
          <w:highlight w:val="none"/>
        </w:rPr>
        <w:t>后5个工作日以内划至投资者指定账户，如遇</w:t>
      </w:r>
      <w:r>
        <w:rPr>
          <w:rFonts w:hint="eastAsia" w:ascii="楷体" w:hAnsi="楷体" w:eastAsia="楷体" w:cs="楷体"/>
          <w:b w:val="0"/>
          <w:bCs w:val="0"/>
          <w:color w:val="auto"/>
          <w:sz w:val="21"/>
          <w:szCs w:val="21"/>
          <w:highlight w:val="none"/>
          <w:lang w:val="en-US" w:eastAsia="zh-CN"/>
        </w:rPr>
        <w:t>非工作日</w:t>
      </w:r>
      <w:r>
        <w:rPr>
          <w:rFonts w:hint="eastAsia" w:ascii="楷体" w:hAnsi="楷体" w:eastAsia="楷体" w:cs="楷体"/>
          <w:b w:val="0"/>
          <w:bCs w:val="0"/>
          <w:color w:val="auto"/>
          <w:sz w:val="21"/>
          <w:szCs w:val="21"/>
          <w:highlight w:val="none"/>
        </w:rPr>
        <w:t>则相应顺延。信息披露方式详见下文“信息披露-到期公告”。如预期无法</w:t>
      </w:r>
      <w:r>
        <w:rPr>
          <w:rFonts w:hint="eastAsia" w:ascii="楷体" w:hAnsi="楷体" w:eastAsia="楷体" w:cs="楷体"/>
          <w:b w:val="0"/>
          <w:bCs w:val="0"/>
          <w:color w:val="auto"/>
          <w:sz w:val="21"/>
          <w:szCs w:val="21"/>
          <w:highlight w:val="none"/>
          <w:lang w:val="en-US" w:eastAsia="zh-CN"/>
        </w:rPr>
        <w:t>在</w:t>
      </w:r>
      <w:r>
        <w:rPr>
          <w:rFonts w:hint="eastAsia" w:ascii="楷体" w:hAnsi="楷体" w:eastAsia="楷体" w:cs="楷体"/>
          <w:b w:val="0"/>
          <w:bCs w:val="0"/>
          <w:color w:val="auto"/>
          <w:sz w:val="21"/>
          <w:szCs w:val="21"/>
          <w:highlight w:val="none"/>
        </w:rPr>
        <w:t>规定的清算期内完成清算，管理人</w:t>
      </w:r>
      <w:r>
        <w:rPr>
          <w:rFonts w:hint="eastAsia" w:ascii="楷体" w:hAnsi="楷体" w:eastAsia="楷体" w:cs="楷体"/>
          <w:b w:val="0"/>
          <w:bCs w:val="0"/>
          <w:color w:val="auto"/>
          <w:sz w:val="21"/>
          <w:szCs w:val="21"/>
          <w:highlight w:val="none"/>
          <w:lang w:val="en-US" w:eastAsia="zh-CN"/>
        </w:rPr>
        <w:t>将</w:t>
      </w:r>
      <w:r>
        <w:rPr>
          <w:rFonts w:hint="eastAsia" w:ascii="楷体" w:hAnsi="楷体" w:eastAsia="楷体" w:cs="楷体"/>
          <w:b w:val="0"/>
          <w:bCs w:val="0"/>
          <w:color w:val="auto"/>
          <w:sz w:val="21"/>
          <w:szCs w:val="21"/>
          <w:highlight w:val="none"/>
        </w:rPr>
        <w:t>在原清算期结束前向投资者进行披露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理财产品终止清算后，因发生无法预期事项</w:t>
      </w:r>
      <w:r>
        <w:rPr>
          <w:rFonts w:hint="eastAsia" w:ascii="楷体" w:hAnsi="楷体" w:eastAsia="楷体" w:cs="楷体"/>
          <w:b w:val="0"/>
          <w:bCs w:val="0"/>
          <w:color w:val="auto"/>
          <w:sz w:val="21"/>
          <w:szCs w:val="21"/>
          <w:highlight w:val="none"/>
          <w:lang w:val="en-US" w:eastAsia="zh-CN"/>
        </w:rPr>
        <w:t>须</w:t>
      </w:r>
      <w:r>
        <w:rPr>
          <w:rFonts w:hint="eastAsia" w:ascii="楷体" w:hAnsi="楷体" w:eastAsia="楷体" w:cs="楷体"/>
          <w:b w:val="0"/>
          <w:bCs w:val="0"/>
          <w:color w:val="auto"/>
          <w:sz w:val="21"/>
          <w:szCs w:val="21"/>
          <w:highlight w:val="none"/>
        </w:rPr>
        <w:t>再次清算的，</w:t>
      </w:r>
      <w:r>
        <w:rPr>
          <w:rFonts w:hint="eastAsia" w:ascii="楷体" w:hAnsi="楷体" w:eastAsia="楷体" w:cs="楷体"/>
          <w:b w:val="0"/>
          <w:bCs w:val="0"/>
          <w:color w:val="auto"/>
          <w:sz w:val="21"/>
          <w:szCs w:val="21"/>
          <w:highlight w:val="none"/>
          <w:lang w:val="en-US" w:eastAsia="zh-CN"/>
        </w:rPr>
        <w:t>管理人将</w:t>
      </w:r>
      <w:r>
        <w:rPr>
          <w:rFonts w:hint="eastAsia" w:ascii="楷体" w:hAnsi="楷体" w:eastAsia="楷体" w:cs="楷体"/>
          <w:b w:val="0"/>
          <w:bCs w:val="0"/>
          <w:color w:val="auto"/>
          <w:sz w:val="21"/>
          <w:szCs w:val="21"/>
          <w:highlight w:val="none"/>
        </w:rPr>
        <w:t>在完成再次清算之日起</w:t>
      </w:r>
      <w:r>
        <w:rPr>
          <w:rFonts w:hint="eastAsia" w:ascii="楷体" w:hAnsi="楷体" w:eastAsia="楷体" w:cs="楷体"/>
          <w:b w:val="0"/>
          <w:bCs w:val="0"/>
          <w:color w:val="auto"/>
          <w:sz w:val="21"/>
          <w:szCs w:val="21"/>
          <w:highlight w:val="none"/>
          <w:lang w:val="en-US" w:eastAsia="zh-CN"/>
        </w:rPr>
        <w:t>2</w:t>
      </w:r>
      <w:r>
        <w:rPr>
          <w:rFonts w:hint="eastAsia" w:ascii="楷体" w:hAnsi="楷体" w:eastAsia="楷体" w:cs="楷体"/>
          <w:b w:val="0"/>
          <w:bCs w:val="0"/>
          <w:color w:val="auto"/>
          <w:sz w:val="21"/>
          <w:szCs w:val="21"/>
          <w:highlight w:val="none"/>
        </w:rPr>
        <w:t>个工作日内，向投资者披露清算资金分配情况等信息。信息披露方式详见下文“信息披露”</w:t>
      </w:r>
      <w:r>
        <w:rPr>
          <w:rFonts w:ascii="楷体" w:hAnsi="楷体" w:eastAsia="楷体" w:cs="楷体"/>
          <w:color w:val="000000"/>
          <w:sz w:val="22"/>
        </w:rPr>
        <w:t>。</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十、情景示例</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keepNext w:val="0"/>
        <w:keepLines w:val="0"/>
        <w:pageBreakBefore w:val="0"/>
        <w:bidi w:val="0"/>
        <w:spacing w:line="310" w:lineRule="exact"/>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keepNext w:val="0"/>
        <w:keepLines w:val="0"/>
        <w:pageBreakBefore w:val="0"/>
        <w:bidi w:val="0"/>
        <w:spacing w:line="310" w:lineRule="exact"/>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十一、产品估值</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（一）估值对象</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（二）估值目的和估值原则</w:t>
      </w:r>
    </w:p>
    <w:p>
      <w:pPr>
        <w:keepNext w:val="0"/>
        <w:keepLines w:val="0"/>
        <w:pageBreakBefore w:val="0"/>
        <w:numPr>
          <w:ilvl w:val="0"/>
          <w:numId w:val="0"/>
        </w:numPr>
        <w:tabs>
          <w:tab w:val="left" w:pos="728"/>
        </w:tabs>
        <w:bidi w:val="0"/>
        <w:spacing w:line="310" w:lineRule="exact"/>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（三）估值方法</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（四）估值错误的处理</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（五）暂停估值</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（六）产品单位净值的计算</w:t>
      </w:r>
    </w:p>
    <w:p>
      <w:pPr>
        <w:keepNext w:val="0"/>
        <w:keepLines w:val="0"/>
        <w:pageBreakBefore w:val="0"/>
        <w:numPr>
          <w:ilvl w:val="0"/>
          <w:numId w:val="0"/>
        </w:numPr>
        <w:tabs>
          <w:tab w:val="left" w:pos="728"/>
        </w:tabs>
        <w:bidi w:val="0"/>
        <w:spacing w:line="310" w:lineRule="exact"/>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十二、风险提示</w:t>
      </w:r>
    </w:p>
    <w:p>
      <w:pPr>
        <w:keepNext w:val="0"/>
        <w:keepLines w:val="0"/>
        <w:pageBreakBefore w:val="0"/>
        <w:bidi w:val="0"/>
        <w:spacing w:line="310" w:lineRule="exact"/>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一）</w:t>
      </w: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二）</w:t>
      </w: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三）</w:t>
      </w: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四）</w:t>
      </w: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r>
        <w:rPr>
          <w:rFonts w:hint="eastAsia" w:ascii="楷体" w:hAnsi="楷体" w:eastAsia="楷体"/>
          <w:b/>
          <w:bCs w:val="0"/>
          <w:color w:val="auto"/>
          <w:sz w:val="21"/>
          <w:szCs w:val="21"/>
          <w:highlight w:val="none"/>
          <w:u w:val="single"/>
        </w:rPr>
        <w:t>在理财产品开放日净赎回额（赎回申请份额总数扣除申购申请份额总数）超过理财产品存续份额10%时，即为发生巨额赎回，此时苏银理财有权拒绝赎回申请，这可能影响投资者的资金安排，带来流动性风险。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五）</w:t>
      </w: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六）</w:t>
      </w: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（七）理财产品不成立风险：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八）</w:t>
      </w: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九）</w:t>
      </w: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w:t>
      </w: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sz w:val="21"/>
          <w:szCs w:val="21"/>
          <w:highlight w:val="none"/>
        </w:rPr>
      </w:pP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十一）</w:t>
      </w: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十二）</w:t>
      </w: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lang w:eastAsia="zh-CN"/>
        </w:rPr>
        <w:t>（</w:t>
      </w:r>
      <w:r>
        <w:rPr>
          <w:rFonts w:hint="eastAsia" w:ascii="楷体" w:hAnsi="楷体" w:eastAsia="楷体" w:cs="Times New Roman"/>
          <w:b/>
          <w:bCs/>
          <w:color w:val="auto"/>
          <w:sz w:val="21"/>
          <w:szCs w:val="21"/>
          <w:highlight w:val="none"/>
          <w:lang w:val="en-US" w:eastAsia="zh-CN"/>
        </w:rPr>
        <w:t>十三）</w:t>
      </w: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widowControl w:val="0"/>
        <w:numPr>
          <w:ilvl w:val="0"/>
          <w:numId w:val="0"/>
        </w:numPr>
        <w:tabs>
          <w:tab w:val="left" w:pos="993"/>
        </w:tabs>
        <w:bidi w:val="0"/>
        <w:spacing w:line="310" w:lineRule="exact"/>
        <w:ind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lang w:eastAsia="zh-CN"/>
        </w:rPr>
        <w:t>（</w:t>
      </w:r>
      <w:r>
        <w:rPr>
          <w:rFonts w:hint="eastAsia" w:ascii="楷体" w:hAnsi="楷体" w:eastAsia="楷体"/>
          <w:b/>
          <w:color w:val="auto"/>
          <w:sz w:val="21"/>
          <w:szCs w:val="21"/>
          <w:highlight w:val="none"/>
          <w:lang w:val="en-US" w:eastAsia="zh-CN"/>
        </w:rPr>
        <w:t>十四）</w:t>
      </w: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1.非标准化债权的特殊风险：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①融资方还款履约能力可能的变化导致的信用风险。②债务人提前还款或逾期还款的风险。③保证人未履行保证义务的风险等。</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2.股票投资的特殊风险：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3.黄金、黄金主题股票、黄金ETF基金等黄金类资产的特殊风险：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影响黄金类资产的价格的主要因素包括但不限于：①黄金的供给与需求；②投资者的黄金交易行为；③外汇汇率；④全球和地区性政治经济环境的变化等。</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4.结构性存款的特殊风险：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5.债券投资的特殊风险：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6.资产管理计划或基金产品的特殊风险：</w:t>
      </w:r>
    </w:p>
    <w:p>
      <w:pPr>
        <w:keepNext w:val="0"/>
        <w:keepLines w:val="0"/>
        <w:pageBreakBefore w:val="0"/>
        <w:widowControl w:val="0"/>
        <w:tabs>
          <w:tab w:val="left" w:pos="742"/>
        </w:tabs>
        <w:kinsoku/>
        <w:wordWrap/>
        <w:overflowPunct/>
        <w:topLinePunct w:val="0"/>
        <w:autoSpaceDE/>
        <w:autoSpaceDN/>
        <w:bidi w:val="0"/>
        <w:adjustRightInd/>
        <w:snapToGrid/>
        <w:spacing w:line="310" w:lineRule="exact"/>
        <w:ind w:left="0" w:firstLine="420"/>
        <w:textAlignment w:val="auto"/>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bidi w:val="0"/>
        <w:spacing w:line="310" w:lineRule="exact"/>
        <w:ind w:firstLine="420"/>
        <w:rPr>
          <w:rFonts w:hint="default"/>
          <w:highlight w:val="none"/>
          <w:lang w:val="en-US" w:eastAsia="zh-CN"/>
        </w:rPr>
      </w:pPr>
      <w:r>
        <w:rPr>
          <w:rFonts w:hint="eastAsia" w:ascii="楷体" w:hAnsi="楷体" w:eastAsia="楷体"/>
          <w:color w:val="auto"/>
          <w:sz w:val="21"/>
          <w:szCs w:val="21"/>
          <w:highlight w:val="none"/>
          <w:lang w:val="en-US" w:eastAsia="zh-CN"/>
        </w:rPr>
        <w:t xml:space="preserve">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 </w:t>
      </w:r>
    </w:p>
    <w:p>
      <w:pPr>
        <w:keepNext w:val="0"/>
        <w:keepLines w:val="0"/>
        <w:pageBreakBefore w:val="0"/>
        <w:numPr>
          <w:ilvl w:val="0"/>
          <w:numId w:val="0"/>
        </w:numPr>
        <w:tabs>
          <w:tab w:val="left" w:pos="1134"/>
        </w:tabs>
        <w:bidi w:val="0"/>
        <w:spacing w:line="310" w:lineRule="exact"/>
        <w:ind w:firstLine="420"/>
        <w:contextualSpacing w:val="0"/>
        <w:jc w:val="both"/>
        <w:outlineLvl w:val="1"/>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十三、信息披露</w:t>
      </w:r>
      <w:bookmarkEnd w:id="0"/>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（一）信息披露渠道</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1.管理人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2.管理人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keepNext w:val="0"/>
        <w:keepLines w:val="0"/>
        <w:pageBreakBefore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（二）信息披露内容及时间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1.</w:t>
      </w: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3.</w:t>
      </w:r>
      <w:r>
        <w:rPr>
          <w:rFonts w:hint="eastAsia" w:ascii="楷体" w:hAnsi="楷体" w:eastAsia="楷体" w:cs="楷体"/>
          <w:color w:val="auto"/>
          <w:sz w:val="21"/>
          <w:szCs w:val="21"/>
          <w:highlight w:val="none"/>
        </w:rPr>
        <w:t>定期公告：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w:t>
      </w:r>
      <w:r>
        <w:rPr>
          <w:rFonts w:hint="eastAsia" w:ascii="楷体" w:hAnsi="楷体" w:eastAsia="楷体" w:cs="楷体"/>
          <w:color w:val="auto"/>
          <w:sz w:val="21"/>
          <w:szCs w:val="21"/>
          <w:highlight w:val="none"/>
          <w:lang w:val="en-US" w:eastAsia="zh-CN"/>
        </w:rPr>
        <w:t>90</w:t>
      </w:r>
      <w:r>
        <w:rPr>
          <w:rFonts w:hint="eastAsia" w:ascii="楷体" w:hAnsi="楷体" w:eastAsia="楷体" w:cs="楷体"/>
          <w:color w:val="auto"/>
          <w:sz w:val="21"/>
          <w:szCs w:val="21"/>
          <w:highlight w:val="none"/>
        </w:rPr>
        <w:t>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4.</w:t>
      </w: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5.事前临时性信息披露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（2）增设份额类别。</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（4）法律法规、监管规定及管理人认为需要向投资者事前披露的其他临时事项。</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6.事后临时性信息披露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7.</w:t>
      </w:r>
      <w:r>
        <w:rPr>
          <w:rFonts w:hint="eastAsia" w:ascii="楷体" w:hAnsi="楷体" w:eastAsia="楷体" w:cs="楷体"/>
          <w:color w:val="auto"/>
          <w:sz w:val="21"/>
          <w:szCs w:val="21"/>
          <w:highlight w:val="none"/>
        </w:rPr>
        <w:t>半年度整体报告：每半年披露从事理财业务活动的有关信息。</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楷体"/>
          <w:sz w:val="21"/>
          <w:szCs w:val="21"/>
          <w:highlight w:val="none"/>
        </w:rPr>
      </w:pPr>
      <w:r>
        <w:rPr>
          <w:rFonts w:hint="eastAsia" w:ascii="楷体" w:hAnsi="楷体" w:eastAsia="楷体" w:cs="楷体"/>
          <w:color w:val="auto"/>
          <w:sz w:val="21"/>
          <w:szCs w:val="21"/>
          <w:highlight w:val="none"/>
          <w:lang w:val="en-US" w:eastAsia="zh-CN"/>
        </w:rPr>
        <w:t>8.</w:t>
      </w: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0"/>
        </w:numPr>
        <w:tabs>
          <w:tab w:val="left" w:pos="1134"/>
        </w:tabs>
        <w:bidi w:val="0"/>
        <w:spacing w:line="310" w:lineRule="exact"/>
        <w:ind w:firstLine="420"/>
        <w:contextualSpacing w:val="0"/>
        <w:jc w:val="both"/>
        <w:rPr>
          <w:rFonts w:hint="eastAsia" w:ascii="楷体" w:hAnsi="楷体" w:eastAsia="楷体" w:cs="楷体"/>
          <w:b/>
          <w:bCs/>
          <w:color w:val="auto"/>
          <w:sz w:val="21"/>
          <w:szCs w:val="21"/>
          <w:highlight w:val="none"/>
          <w:lang w:val="en-US" w:eastAsia="zh-CN"/>
        </w:rPr>
      </w:pPr>
      <w:r>
        <w:rPr>
          <w:rFonts w:hint="eastAsia" w:ascii="楷体" w:hAnsi="楷体" w:eastAsia="楷体" w:cs="楷体"/>
          <w:b/>
          <w:bCs/>
          <w:color w:val="auto"/>
          <w:sz w:val="21"/>
          <w:szCs w:val="21"/>
          <w:highlight w:val="none"/>
          <w:lang w:val="en-US" w:eastAsia="zh-CN"/>
        </w:rPr>
        <w:t>十四、其他</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（一）追索条款</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（二）信息安全</w:t>
      </w:r>
    </w:p>
    <w:p>
      <w:pPr>
        <w:keepNext w:val="0"/>
        <w:keepLines w:val="0"/>
        <w:pageBreakBefore w:val="0"/>
        <w:bidi w:val="0"/>
        <w:spacing w:line="310" w:lineRule="exact"/>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keepNext w:val="0"/>
        <w:keepLines w:val="0"/>
        <w:pageBreakBefore w:val="0"/>
        <w:numPr>
          <w:ilvl w:val="0"/>
          <w:numId w:val="0"/>
        </w:numPr>
        <w:bidi w:val="0"/>
        <w:spacing w:line="310" w:lineRule="exact"/>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（三）争议解决</w:t>
      </w:r>
    </w:p>
    <w:p>
      <w:pPr>
        <w:keepNext w:val="0"/>
        <w:keepLines w:val="0"/>
        <w:pageBreakBefore w:val="0"/>
        <w:bidi w:val="0"/>
        <w:spacing w:line="310" w:lineRule="exact"/>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1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123"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21"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24"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0"/>
  <w:bordersDoNotSurroundFooter w:val="0"/>
  <w:doNotTrackMoves/>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41929"/>
    <w:rsid w:val="04AE64BD"/>
    <w:rsid w:val="050C383C"/>
    <w:rsid w:val="0703059E"/>
    <w:rsid w:val="0A41782C"/>
    <w:rsid w:val="0A572E95"/>
    <w:rsid w:val="14F1597F"/>
    <w:rsid w:val="14FF1631"/>
    <w:rsid w:val="15440CD3"/>
    <w:rsid w:val="156E44B7"/>
    <w:rsid w:val="1776521B"/>
    <w:rsid w:val="1B0D1E12"/>
    <w:rsid w:val="1CA00935"/>
    <w:rsid w:val="1F7A3CB3"/>
    <w:rsid w:val="21066CBD"/>
    <w:rsid w:val="226520FC"/>
    <w:rsid w:val="26002E88"/>
    <w:rsid w:val="2601599D"/>
    <w:rsid w:val="2ACB3B4E"/>
    <w:rsid w:val="2F225677"/>
    <w:rsid w:val="32FB03C0"/>
    <w:rsid w:val="33DA2656"/>
    <w:rsid w:val="34D936EA"/>
    <w:rsid w:val="36CC24F7"/>
    <w:rsid w:val="398A6B77"/>
    <w:rsid w:val="39AC4B2D"/>
    <w:rsid w:val="3A1920BB"/>
    <w:rsid w:val="3C464471"/>
    <w:rsid w:val="3D3A3FFF"/>
    <w:rsid w:val="45B26DE2"/>
    <w:rsid w:val="4937128B"/>
    <w:rsid w:val="50D774F1"/>
    <w:rsid w:val="528F18AE"/>
    <w:rsid w:val="53514ABF"/>
    <w:rsid w:val="539E6582"/>
    <w:rsid w:val="5A005253"/>
    <w:rsid w:val="62803628"/>
    <w:rsid w:val="634773BE"/>
    <w:rsid w:val="68BF1AEF"/>
    <w:rsid w:val="6ABA1CCC"/>
    <w:rsid w:val="6C7E17F4"/>
    <w:rsid w:val="71D31184"/>
    <w:rsid w:val="7B114D77"/>
    <w:rsid w:val="7C6C37A9"/>
    <w:rsid w:val="7D5F658F"/>
    <w:rsid w:val="7EFA2E8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宋体" w:hAnsi="宋体" w:eastAsia="宋体" w:cs="宋体"/>
      <w:sz w:val="28"/>
      <w:szCs w:val="22"/>
      <w:lang w:val="en-US" w:eastAsia="zh-CN" w:bidi="ar-SA"/>
    </w:rPr>
  </w:style>
  <w:style w:type="paragraph" w:styleId="2">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3">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06"/>
    <w:qFormat/>
    <w:uiPriority w:val="1"/>
    <w:pPr>
      <w:spacing w:before="34"/>
      <w:ind w:left="120"/>
      <w:jc w:val="left"/>
      <w:outlineLvl w:val="2"/>
    </w:pPr>
    <w:rPr>
      <w:rFonts w:ascii="宋体"/>
      <w:b/>
      <w:bCs/>
      <w:sz w:val="20"/>
      <w:szCs w:val="21"/>
    </w:rPr>
  </w:style>
  <w:style w:type="paragraph" w:styleId="5">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6">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7">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2">
    <w:name w:val="annotation text"/>
    <w:basedOn w:val="1"/>
    <w:unhideWhenUsed/>
    <w:qFormat/>
    <w:uiPriority w:val="99"/>
    <w:pPr>
      <w:jc w:val="left"/>
    </w:pPr>
  </w:style>
  <w:style w:type="paragraph" w:styleId="13">
    <w:name w:val="Body Text"/>
    <w:basedOn w:val="1"/>
    <w:next w:val="1"/>
    <w:qFormat/>
    <w:uiPriority w:val="1"/>
    <w:pPr>
      <w:spacing w:before="162"/>
      <w:ind w:left="120"/>
      <w:jc w:val="left"/>
    </w:pPr>
    <w:rPr>
      <w:rFonts w:ascii="宋体"/>
      <w:sz w:val="20"/>
      <w:szCs w:val="21"/>
    </w:rPr>
  </w:style>
  <w:style w:type="paragraph" w:styleId="14">
    <w:name w:val="Date"/>
    <w:basedOn w:val="1"/>
    <w:next w:val="1"/>
    <w:unhideWhenUsed/>
    <w:qFormat/>
    <w:uiPriority w:val="99"/>
    <w:pPr>
      <w:ind w:left="100"/>
    </w:pPr>
  </w:style>
  <w:style w:type="paragraph" w:styleId="15">
    <w:name w:val="endnote text"/>
    <w:basedOn w:val="1"/>
    <w:semiHidden/>
    <w:unhideWhenUsed/>
    <w:qFormat/>
    <w:uiPriority w:val="99"/>
    <w:pPr>
      <w:spacing w:after="0" w:line="240" w:lineRule="auto"/>
    </w:pPr>
    <w:rPr>
      <w:sz w:val="20"/>
      <w:szCs w:val="20"/>
    </w:rPr>
  </w:style>
  <w:style w:type="paragraph" w:styleId="16">
    <w:name w:val="Balloon Text"/>
    <w:basedOn w:val="1"/>
    <w:unhideWhenUsed/>
    <w:qFormat/>
    <w:uiPriority w:val="99"/>
    <w:rPr>
      <w:sz w:val="18"/>
      <w:szCs w:val="18"/>
    </w:rPr>
  </w:style>
  <w:style w:type="paragraph" w:styleId="17">
    <w:name w:val="footer"/>
    <w:basedOn w:val="1"/>
    <w:unhideWhenUsed/>
    <w:qFormat/>
    <w:uiPriority w:val="99"/>
    <w:pPr>
      <w:tabs>
        <w:tab w:val="center" w:pos="4153"/>
        <w:tab w:val="right" w:pos="8306"/>
      </w:tabs>
      <w:jc w:val="left"/>
    </w:pPr>
    <w:rPr>
      <w:sz w:val="18"/>
      <w:szCs w:val="18"/>
    </w:rPr>
  </w:style>
  <w:style w:type="paragraph" w:styleId="18">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9">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0">
    <w:name w:val="footnote text"/>
    <w:basedOn w:val="1"/>
    <w:semiHidden/>
    <w:unhideWhenUsed/>
    <w:qFormat/>
    <w:uiPriority w:val="99"/>
    <w:pPr>
      <w:jc w:val="left"/>
    </w:pPr>
    <w:rPr>
      <w:sz w:val="18"/>
      <w:szCs w:val="18"/>
    </w:rPr>
  </w:style>
  <w:style w:type="paragraph" w:styleId="21">
    <w:name w:val="table of figures"/>
    <w:basedOn w:val="1"/>
    <w:next w:val="1"/>
    <w:unhideWhenUsed/>
    <w:qFormat/>
    <w:uiPriority w:val="99"/>
    <w:pPr>
      <w:spacing w:after="0" w:afterAutospacing="0"/>
    </w:pPr>
  </w:style>
  <w:style w:type="paragraph" w:styleId="2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3">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4">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5">
    <w:name w:val="annotation subject"/>
    <w:basedOn w:val="12"/>
    <w:next w:val="12"/>
    <w:unhideWhenUsed/>
    <w:qFormat/>
    <w:uiPriority w:val="99"/>
    <w:rPr>
      <w:b/>
      <w:bCs/>
    </w:rPr>
  </w:style>
  <w:style w:type="paragraph" w:styleId="26">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8">
    <w:name w:val="Table Grid"/>
    <w:basedOn w:val="2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2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FFFFF" w:fill="F2F2F2"/>
      </w:tcPr>
    </w:tblStylePr>
    <w:tblStylePr w:type="band2Vert"/>
    <w:tblStylePr w:type="band1Horz">
      <w:tcPr>
        <w:shd w:val="clear" w:color="FFFFFF" w:fill="F2F2F2"/>
      </w:tcPr>
    </w:tblStylePr>
    <w:tblStylePr w:type="band2Horz"/>
    <w:tblStylePr w:type="neCell"/>
    <w:tblStylePr w:type="nwCell"/>
    <w:tblStylePr w:type="seCell"/>
    <w:tblStylePr w:type="swCell"/>
  </w:style>
  <w:style w:type="table" w:customStyle="1" w:styleId="39">
    <w:name w:val="Plain Table 2"/>
    <w:basedOn w:val="27"/>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2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1">
    <w:name w:val="Plain Table 4"/>
    <w:basedOn w:val="2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2">
    <w:name w:val="Plain Table 5"/>
    <w:basedOn w:val="2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FFFFF" w:fill="F2F2F2"/>
      </w:tcPr>
    </w:tblStylePr>
    <w:tblStylePr w:type="band2Vert"/>
    <w:tblStylePr w:type="band1Horz">
      <w:rPr>
        <w:rFonts w:ascii="Arial" w:hAnsi="Arial"/>
        <w:color w:val="404040"/>
        <w:sz w:val="22"/>
      </w:rPr>
      <w:tcPr>
        <w:shd w:val="clear" w:color="FFFFFF" w:fill="F2F2F2"/>
      </w:tcPr>
    </w:tblStylePr>
    <w:tblStylePr w:type="band2Horz"/>
    <w:tblStylePr w:type="neCell"/>
    <w:tblStylePr w:type="nwCell"/>
    <w:tblStylePr w:type="seCell"/>
    <w:tblStylePr w:type="swCell"/>
  </w:style>
  <w:style w:type="table" w:customStyle="1" w:styleId="43">
    <w:name w:val="Grid Table 1 Light"/>
    <w:basedOn w:val="2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1">
    <w:name w:val="Grid Table 2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2">
    <w:name w:val="Grid Table 2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53">
    <w:name w:val="Grid Table 2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54">
    <w:name w:val="Grid Table 2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55">
    <w:name w:val="Grid Table 2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56">
    <w:name w:val="Grid Table 2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57">
    <w:name w:val="Grid Table 3"/>
    <w:basedOn w:val="2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58">
    <w:name w:val="Grid Table 3 - Accent 1"/>
    <w:basedOn w:val="27"/>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EEBF6"/>
      </w:tcPr>
    </w:tblStylePr>
    <w:tblStylePr w:type="band2Vert"/>
    <w:tblStylePr w:type="band1Horz">
      <w:rPr>
        <w:rFonts w:ascii="Arial" w:hAnsi="Arial"/>
        <w:color w:val="404040"/>
        <w:sz w:val="22"/>
      </w:rPr>
      <w:tcPr>
        <w:shd w:val="clear" w:color="FFFFFF" w:fill="DEEBF6"/>
      </w:tcPr>
    </w:tblStylePr>
    <w:tblStylePr w:type="band2Horz"/>
    <w:tblStylePr w:type="neCell"/>
    <w:tblStylePr w:type="nwCell"/>
    <w:tblStylePr w:type="seCell"/>
    <w:tblStylePr w:type="swCell"/>
  </w:style>
  <w:style w:type="table" w:customStyle="1" w:styleId="59">
    <w:name w:val="Grid Table 3 - Accent 2"/>
    <w:basedOn w:val="27"/>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0">
    <w:name w:val="Grid Table 3 - Accent 3"/>
    <w:basedOn w:val="27"/>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1">
    <w:name w:val="Grid Table 3 - Accent 4"/>
    <w:basedOn w:val="27"/>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2">
    <w:name w:val="Grid Table 3 - Accent 5"/>
    <w:basedOn w:val="27"/>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63">
    <w:name w:val="Grid Table 3 - Accent 6"/>
    <w:basedOn w:val="27"/>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64">
    <w:name w:val="Grid Table 4"/>
    <w:basedOn w:val="2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CBCBCB"/>
      </w:tcPr>
    </w:tblStylePr>
    <w:tblStylePr w:type="band2Vert"/>
    <w:tblStylePr w:type="band1Horz">
      <w:rPr>
        <w:rFonts w:ascii="Arial" w:hAnsi="Arial"/>
        <w:color w:val="404040"/>
        <w:sz w:val="22"/>
      </w:rPr>
      <w:tcPr>
        <w:shd w:val="clear" w:color="FFFFFF" w:fill="CBCBCB"/>
      </w:tcPr>
    </w:tblStylePr>
    <w:tblStylePr w:type="band2Horz"/>
    <w:tblStylePr w:type="neCell"/>
    <w:tblStylePr w:type="nwCell"/>
    <w:tblStylePr w:type="seCell"/>
    <w:tblStylePr w:type="swCell"/>
  </w:style>
  <w:style w:type="table" w:customStyle="1" w:styleId="65">
    <w:name w:val="Grid Table 4 - Accent 1"/>
    <w:basedOn w:val="27"/>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FFFFFF" w:fill="69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FEBF7"/>
      </w:tcPr>
    </w:tblStylePr>
    <w:tblStylePr w:type="band2Vert"/>
    <w:tblStylePr w:type="band1Horz">
      <w:rPr>
        <w:rFonts w:ascii="Arial" w:hAnsi="Arial"/>
        <w:color w:val="404040"/>
        <w:sz w:val="22"/>
      </w:rPr>
      <w:tcPr>
        <w:shd w:val="clear" w:color="FFFFFF" w:fill="DFEBF7"/>
      </w:tcPr>
    </w:tblStylePr>
    <w:tblStylePr w:type="band2Horz"/>
    <w:tblStylePr w:type="neCell"/>
    <w:tblStylePr w:type="nwCell"/>
    <w:tblStylePr w:type="seCell"/>
    <w:tblStylePr w:type="swCell"/>
  </w:style>
  <w:style w:type="table" w:customStyle="1" w:styleId="66">
    <w:name w:val="Grid Table 4 - Accent 2"/>
    <w:basedOn w:val="27"/>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FFFFF"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BE6D7"/>
      </w:tcPr>
    </w:tblStylePr>
    <w:tblStylePr w:type="band2Vert"/>
    <w:tblStylePr w:type="band1Horz">
      <w:rPr>
        <w:rFonts w:ascii="Arial" w:hAnsi="Arial"/>
        <w:color w:val="404040"/>
        <w:sz w:val="22"/>
      </w:rPr>
      <w:tcPr>
        <w:shd w:val="clear" w:color="FFFFFF" w:fill="FBE6D7"/>
      </w:tcPr>
    </w:tblStylePr>
    <w:tblStylePr w:type="band2Horz"/>
    <w:tblStylePr w:type="neCell"/>
    <w:tblStylePr w:type="nwCell"/>
    <w:tblStylePr w:type="seCell"/>
    <w:tblStylePr w:type="swCell"/>
  </w:style>
  <w:style w:type="table" w:customStyle="1" w:styleId="67">
    <w:name w:val="Grid Table 4 - Accent 3"/>
    <w:basedOn w:val="27"/>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FFFFFF"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DEDED"/>
      </w:tcPr>
    </w:tblStylePr>
    <w:tblStylePr w:type="band2Vert"/>
    <w:tblStylePr w:type="band1Horz">
      <w:rPr>
        <w:rFonts w:ascii="Arial" w:hAnsi="Arial"/>
        <w:color w:val="404040"/>
        <w:sz w:val="22"/>
      </w:rPr>
      <w:tcPr>
        <w:shd w:val="clear" w:color="FFFFFF" w:fill="EDEDED"/>
      </w:tcPr>
    </w:tblStylePr>
    <w:tblStylePr w:type="band2Horz"/>
    <w:tblStylePr w:type="neCell"/>
    <w:tblStylePr w:type="nwCell"/>
    <w:tblStylePr w:type="seCell"/>
    <w:tblStylePr w:type="swCell"/>
  </w:style>
  <w:style w:type="table" w:customStyle="1" w:styleId="68">
    <w:name w:val="Grid Table 4 - Accent 4"/>
    <w:basedOn w:val="27"/>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FFFF" w:fill="FFD965"/>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F2CB"/>
      </w:tcPr>
    </w:tblStylePr>
    <w:tblStylePr w:type="band2Vert"/>
    <w:tblStylePr w:type="band1Horz">
      <w:rPr>
        <w:rFonts w:ascii="Arial" w:hAnsi="Arial"/>
        <w:color w:val="404040"/>
        <w:sz w:val="22"/>
      </w:rPr>
      <w:tcPr>
        <w:shd w:val="clear" w:color="FFFFFF" w:fill="FFF2CB"/>
      </w:tcPr>
    </w:tblStylePr>
    <w:tblStylePr w:type="band2Horz"/>
    <w:tblStylePr w:type="neCell"/>
    <w:tblStylePr w:type="nwCell"/>
    <w:tblStylePr w:type="seCell"/>
    <w:tblStylePr w:type="swCell"/>
  </w:style>
  <w:style w:type="table" w:customStyle="1" w:styleId="69">
    <w:name w:val="Grid Table 4 - Accent 5"/>
    <w:basedOn w:val="27"/>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FFFFFF"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9E2F3"/>
      </w:tcPr>
    </w:tblStylePr>
    <w:tblStylePr w:type="band2Vert"/>
    <w:tblStylePr w:type="band1Horz">
      <w:rPr>
        <w:rFonts w:ascii="Arial" w:hAnsi="Arial"/>
        <w:color w:val="404040"/>
        <w:sz w:val="22"/>
      </w:rPr>
      <w:tcPr>
        <w:shd w:val="clear" w:color="FFFFFF" w:fill="D9E2F3"/>
      </w:tcPr>
    </w:tblStylePr>
    <w:tblStylePr w:type="band2Horz"/>
    <w:tblStylePr w:type="neCell"/>
    <w:tblStylePr w:type="nwCell"/>
    <w:tblStylePr w:type="seCell"/>
    <w:tblStylePr w:type="swCell"/>
  </w:style>
  <w:style w:type="table" w:customStyle="1" w:styleId="70">
    <w:name w:val="Grid Table 4 - Accent 6"/>
    <w:basedOn w:val="27"/>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FFFFFF"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2EFD9"/>
      </w:tcPr>
    </w:tblStylePr>
    <w:tblStylePr w:type="band2Vert"/>
    <w:tblStylePr w:type="band1Horz">
      <w:rPr>
        <w:rFonts w:ascii="Arial" w:hAnsi="Arial"/>
        <w:color w:val="404040"/>
        <w:sz w:val="22"/>
      </w:rPr>
      <w:tcPr>
        <w:shd w:val="clear" w:color="FFFFFF" w:fill="E2EFD9"/>
      </w:tcPr>
    </w:tblStylePr>
    <w:tblStylePr w:type="band2Horz"/>
    <w:tblStylePr w:type="neCell"/>
    <w:tblStylePr w:type="nwCell"/>
    <w:tblStylePr w:type="seCell"/>
    <w:tblStylePr w:type="swCell"/>
  </w:style>
  <w:style w:type="table" w:customStyle="1" w:styleId="71">
    <w:name w:val="Grid Table 5 Dark"/>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000000"/>
      </w:tcPr>
    </w:tblStylePr>
    <w:tblStylePr w:type="lastRow">
      <w:rPr>
        <w:rFonts w:ascii="Arial" w:hAnsi="Arial"/>
        <w:b/>
        <w:color w:val="FFFFFF"/>
        <w:sz w:val="22"/>
      </w:rPr>
      <w:tcPr>
        <w:tcBorders>
          <w:top w:val="single" w:color="FFFFFF" w:themeColor="light1" w:sz="4" w:space="0"/>
        </w:tcBorders>
        <w:shd w:val="clear" w:color="FFFFFF" w:fill="000000"/>
      </w:tcPr>
    </w:tblStylePr>
    <w:tblStylePr w:type="firstCol">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band1Vert">
      <w:tcPr>
        <w:shd w:val="clear" w:color="FFFFFF" w:fill="8A8A8A"/>
      </w:tcPr>
    </w:tblStylePr>
    <w:tblStylePr w:type="band2Vert"/>
    <w:tblStylePr w:type="band1Horz">
      <w:tcPr>
        <w:shd w:val="clear" w:color="FFFFFF" w:fill="8A8A8A"/>
      </w:tcPr>
    </w:tblStylePr>
    <w:tblStylePr w:type="band2Horz"/>
    <w:tblStylePr w:type="neCell"/>
    <w:tblStylePr w:type="nwCell"/>
    <w:tblStylePr w:type="seCell"/>
    <w:tblStylePr w:type="swCell"/>
  </w:style>
  <w:style w:type="table" w:customStyle="1" w:styleId="72">
    <w:name w:val="Grid Table 5 Dark- Accent 1"/>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5B9BD5"/>
      </w:tcPr>
    </w:tblStylePr>
    <w:tblStylePr w:type="lastRow">
      <w:rPr>
        <w:rFonts w:ascii="Arial" w:hAnsi="Arial"/>
        <w:b/>
        <w:color w:val="FFFFFF"/>
        <w:sz w:val="22"/>
      </w:rPr>
      <w:tcPr>
        <w:tcBorders>
          <w:top w:val="single" w:color="FFFFFF" w:themeColor="light1" w:sz="4" w:space="0"/>
        </w:tcBorders>
        <w:shd w:val="clear" w:color="FFFFFF" w:fill="5B9BD5"/>
      </w:tcPr>
    </w:tblStylePr>
    <w:tblStylePr w:type="firstCol">
      <w:rPr>
        <w:rFonts w:ascii="Arial" w:hAnsi="Arial"/>
        <w:b/>
        <w:color w:val="FFFFFF"/>
        <w:sz w:val="22"/>
      </w:rPr>
      <w:tcPr>
        <w:shd w:val="clear" w:color="FFFFFF" w:fill="5B9BD5"/>
      </w:tcPr>
    </w:tblStylePr>
    <w:tblStylePr w:type="lastCol">
      <w:rPr>
        <w:rFonts w:ascii="Arial" w:hAnsi="Arial"/>
        <w:b/>
        <w:color w:val="FFFFFF"/>
        <w:sz w:val="22"/>
      </w:rPr>
      <w:tcPr>
        <w:shd w:val="clear" w:color="FFFFFF" w:fill="5B9BD5"/>
      </w:tcPr>
    </w:tblStylePr>
    <w:tblStylePr w:type="band1Vert">
      <w:tcPr>
        <w:shd w:val="clear" w:color="FFFFFF" w:fill="B4D1EC"/>
      </w:tcPr>
    </w:tblStylePr>
    <w:tblStylePr w:type="band2Vert"/>
    <w:tblStylePr w:type="band1Horz">
      <w:tcPr>
        <w:shd w:val="clear" w:color="FFFFFF" w:fill="B4D1EC"/>
      </w:tcPr>
    </w:tblStylePr>
    <w:tblStylePr w:type="band2Horz"/>
    <w:tblStylePr w:type="neCell"/>
    <w:tblStylePr w:type="nwCell"/>
    <w:tblStylePr w:type="seCell"/>
    <w:tblStylePr w:type="swCell"/>
  </w:style>
  <w:style w:type="table" w:customStyle="1" w:styleId="73">
    <w:name w:val="Grid Table 5 Dark - Accent 2"/>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ED7D31"/>
      </w:tcPr>
    </w:tblStylePr>
    <w:tblStylePr w:type="lastRow">
      <w:rPr>
        <w:rFonts w:ascii="Arial" w:hAnsi="Arial"/>
        <w:b/>
        <w:color w:val="FFFFFF"/>
        <w:sz w:val="22"/>
      </w:rPr>
      <w:tcPr>
        <w:tcBorders>
          <w:top w:val="single" w:color="FFFFFF" w:themeColor="light1" w:sz="4" w:space="0"/>
        </w:tcBorders>
        <w:shd w:val="clear" w:color="FFFFFF" w:fill="ED7D31"/>
      </w:tcPr>
    </w:tblStylePr>
    <w:tblStylePr w:type="firstCol">
      <w:rPr>
        <w:rFonts w:ascii="Arial" w:hAnsi="Arial"/>
        <w:b/>
        <w:color w:val="FFFFFF"/>
        <w:sz w:val="22"/>
      </w:rPr>
      <w:tcPr>
        <w:shd w:val="clear" w:color="FFFFFF" w:fill="ED7D31"/>
      </w:tcPr>
    </w:tblStylePr>
    <w:tblStylePr w:type="lastCol">
      <w:rPr>
        <w:rFonts w:ascii="Arial" w:hAnsi="Arial"/>
        <w:b/>
        <w:color w:val="FFFFFF"/>
        <w:sz w:val="22"/>
      </w:rPr>
      <w:tcPr>
        <w:shd w:val="clear" w:color="FFFFFF" w:fill="ED7D31"/>
      </w:tcPr>
    </w:tblStylePr>
    <w:tblStylePr w:type="band1Vert">
      <w:tcPr>
        <w:shd w:val="clear" w:color="FFFFFF" w:fill="F7C3A0"/>
      </w:tcPr>
    </w:tblStylePr>
    <w:tblStylePr w:type="band2Vert"/>
    <w:tblStylePr w:type="band1Horz">
      <w:tcPr>
        <w:shd w:val="clear" w:color="FFFFFF" w:fill="F7C3A0"/>
      </w:tcPr>
    </w:tblStylePr>
    <w:tblStylePr w:type="band2Horz"/>
    <w:tblStylePr w:type="neCell"/>
    <w:tblStylePr w:type="nwCell"/>
    <w:tblStylePr w:type="seCell"/>
    <w:tblStylePr w:type="swCell"/>
  </w:style>
  <w:style w:type="table" w:customStyle="1" w:styleId="74">
    <w:name w:val="Grid Table 5 Dark - Accent 3"/>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A5A5A5"/>
      </w:tcPr>
    </w:tblStylePr>
    <w:tblStylePr w:type="lastRow">
      <w:rPr>
        <w:rFonts w:ascii="Arial" w:hAnsi="Arial"/>
        <w:b/>
        <w:color w:val="FFFFFF"/>
        <w:sz w:val="22"/>
      </w:rPr>
      <w:tcPr>
        <w:tcBorders>
          <w:top w:val="single" w:color="FFFFFF" w:themeColor="light1" w:sz="4" w:space="0"/>
        </w:tcBorders>
        <w:shd w:val="clear" w:color="FFFFFF" w:fill="A5A5A5"/>
      </w:tcPr>
    </w:tblStylePr>
    <w:tblStylePr w:type="firstCol">
      <w:rPr>
        <w:rFonts w:ascii="Arial" w:hAnsi="Arial"/>
        <w:b/>
        <w:color w:val="FFFFFF"/>
        <w:sz w:val="22"/>
      </w:rPr>
      <w:tcPr>
        <w:shd w:val="clear" w:color="FFFFFF" w:fill="A5A5A5"/>
      </w:tcPr>
    </w:tblStylePr>
    <w:tblStylePr w:type="lastCol">
      <w:rPr>
        <w:rFonts w:ascii="Arial" w:hAnsi="Arial"/>
        <w:b/>
        <w:color w:val="FFFFFF"/>
        <w:sz w:val="22"/>
      </w:rPr>
      <w:tcPr>
        <w:shd w:val="clear" w:color="FFFFFF" w:fill="A5A5A5"/>
      </w:tcPr>
    </w:tblStylePr>
    <w:tblStylePr w:type="band1Vert">
      <w:tcPr>
        <w:shd w:val="clear" w:color="FFFFFF" w:fill="D6D6D6"/>
      </w:tcPr>
    </w:tblStylePr>
    <w:tblStylePr w:type="band2Vert"/>
    <w:tblStylePr w:type="band1Horz">
      <w:tcPr>
        <w:shd w:val="clear" w:color="FFFFFF" w:fill="D6D6D6"/>
      </w:tcPr>
    </w:tblStylePr>
    <w:tblStylePr w:type="band2Horz"/>
    <w:tblStylePr w:type="neCell"/>
    <w:tblStylePr w:type="nwCell"/>
    <w:tblStylePr w:type="seCell"/>
    <w:tblStylePr w:type="swCell"/>
  </w:style>
  <w:style w:type="table" w:customStyle="1" w:styleId="75">
    <w:name w:val="Grid Table 5 Dark- Accent 4"/>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FFC000"/>
      </w:tcPr>
    </w:tblStylePr>
    <w:tblStylePr w:type="lastRow">
      <w:rPr>
        <w:rFonts w:ascii="Arial" w:hAnsi="Arial"/>
        <w:b/>
        <w:color w:val="FFFFFF"/>
        <w:sz w:val="22"/>
      </w:rPr>
      <w:tcPr>
        <w:tcBorders>
          <w:top w:val="single" w:color="FFFFFF" w:themeColor="light1" w:sz="4" w:space="0"/>
        </w:tcBorders>
        <w:shd w:val="clear" w:color="FFFFFF" w:fill="FFC000"/>
      </w:tcPr>
    </w:tblStylePr>
    <w:tblStylePr w:type="firstCol">
      <w:rPr>
        <w:rFonts w:ascii="Arial" w:hAnsi="Arial"/>
        <w:b/>
        <w:color w:val="FFFFFF"/>
        <w:sz w:val="22"/>
      </w:rPr>
      <w:tcPr>
        <w:shd w:val="clear" w:color="FFFFFF" w:fill="FFC000"/>
      </w:tcPr>
    </w:tblStylePr>
    <w:tblStylePr w:type="lastCol">
      <w:rPr>
        <w:rFonts w:ascii="Arial" w:hAnsi="Arial"/>
        <w:b/>
        <w:color w:val="FFFFFF"/>
        <w:sz w:val="22"/>
      </w:rPr>
      <w:tcPr>
        <w:shd w:val="clear" w:color="FFFFFF" w:fill="FFC000"/>
      </w:tcPr>
    </w:tblStylePr>
    <w:tblStylePr w:type="band1Vert">
      <w:tcPr>
        <w:shd w:val="clear" w:color="FFFFFF" w:fill="FFE28A"/>
      </w:tcPr>
    </w:tblStylePr>
    <w:tblStylePr w:type="band2Vert"/>
    <w:tblStylePr w:type="band1Horz">
      <w:tcPr>
        <w:shd w:val="clear" w:color="FFFFFF" w:fill="FFE28A"/>
      </w:tcPr>
    </w:tblStylePr>
    <w:tblStylePr w:type="band2Horz"/>
    <w:tblStylePr w:type="neCell"/>
    <w:tblStylePr w:type="nwCell"/>
    <w:tblStylePr w:type="seCell"/>
    <w:tblStylePr w:type="swCell"/>
  </w:style>
  <w:style w:type="table" w:customStyle="1" w:styleId="76">
    <w:name w:val="Grid Table 5 Dark - Accent 5"/>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4472C4"/>
      </w:tcPr>
    </w:tblStylePr>
    <w:tblStylePr w:type="lastRow">
      <w:rPr>
        <w:rFonts w:ascii="Arial" w:hAnsi="Arial"/>
        <w:b/>
        <w:color w:val="FFFFFF"/>
        <w:sz w:val="22"/>
      </w:rPr>
      <w:tcPr>
        <w:tcBorders>
          <w:top w:val="single" w:color="FFFFFF" w:themeColor="light1" w:sz="4" w:space="0"/>
        </w:tcBorders>
        <w:shd w:val="clear" w:color="FFFFFF" w:fill="4472C4"/>
      </w:tcPr>
    </w:tblStylePr>
    <w:tblStylePr w:type="firstCol">
      <w:rPr>
        <w:rFonts w:ascii="Arial" w:hAnsi="Arial"/>
        <w:b/>
        <w:color w:val="FFFFFF"/>
        <w:sz w:val="22"/>
      </w:rPr>
      <w:tcPr>
        <w:shd w:val="clear" w:color="FFFFFF" w:fill="4472C4"/>
      </w:tcPr>
    </w:tblStylePr>
    <w:tblStylePr w:type="lastCol">
      <w:rPr>
        <w:rFonts w:ascii="Arial" w:hAnsi="Arial"/>
        <w:b/>
        <w:color w:val="FFFFFF"/>
        <w:sz w:val="22"/>
      </w:rPr>
      <w:tcPr>
        <w:shd w:val="clear" w:color="FFFFFF" w:fill="4472C4"/>
      </w:tcPr>
    </w:tblStylePr>
    <w:tblStylePr w:type="band1Vert">
      <w:tcPr>
        <w:shd w:val="clear" w:color="FFFFFF" w:fill="A9BEE4"/>
      </w:tcPr>
    </w:tblStylePr>
    <w:tblStylePr w:type="band2Vert"/>
    <w:tblStylePr w:type="band1Horz">
      <w:tcPr>
        <w:shd w:val="clear" w:color="FFFFFF" w:fill="A9BEE4"/>
      </w:tcPr>
    </w:tblStylePr>
    <w:tblStylePr w:type="band2Horz"/>
    <w:tblStylePr w:type="neCell"/>
    <w:tblStylePr w:type="nwCell"/>
    <w:tblStylePr w:type="seCell"/>
    <w:tblStylePr w:type="swCell"/>
  </w:style>
  <w:style w:type="table" w:customStyle="1" w:styleId="77">
    <w:name w:val="Grid Table 5 Dark - Accent 6"/>
    <w:basedOn w:val="2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FFFF" w:fill="70AD47"/>
      </w:tcPr>
    </w:tblStylePr>
    <w:tblStylePr w:type="lastRow">
      <w:rPr>
        <w:rFonts w:ascii="Arial" w:hAnsi="Arial"/>
        <w:b/>
        <w:color w:val="FFFFFF"/>
        <w:sz w:val="22"/>
      </w:rPr>
      <w:tcPr>
        <w:tcBorders>
          <w:top w:val="single" w:color="FFFFFF" w:themeColor="light1" w:sz="4" w:space="0"/>
        </w:tcBorders>
        <w:shd w:val="clear" w:color="FFFFFF" w:fill="70AD47"/>
      </w:tcPr>
    </w:tblStylePr>
    <w:tblStylePr w:type="firstCol">
      <w:rPr>
        <w:rFonts w:ascii="Arial" w:hAnsi="Arial"/>
        <w:b/>
        <w:color w:val="FFFFFF"/>
        <w:sz w:val="22"/>
      </w:rPr>
      <w:tcPr>
        <w:shd w:val="clear" w:color="FFFFFF" w:fill="70AD47"/>
      </w:tcPr>
    </w:tblStylePr>
    <w:tblStylePr w:type="lastCol">
      <w:rPr>
        <w:rFonts w:ascii="Arial" w:hAnsi="Arial"/>
        <w:b/>
        <w:color w:val="FFFFFF"/>
        <w:sz w:val="22"/>
      </w:rPr>
      <w:tcPr>
        <w:shd w:val="clear" w:color="FFFFFF" w:fill="70AD47"/>
      </w:tcPr>
    </w:tblStylePr>
    <w:tblStylePr w:type="band1Vert">
      <w:tcPr>
        <w:shd w:val="clear" w:color="FFFFFF" w:fill="BDDBA8"/>
      </w:tcPr>
    </w:tblStylePr>
    <w:tblStylePr w:type="band2Vert"/>
    <w:tblStylePr w:type="band1Horz">
      <w:tcPr>
        <w:shd w:val="clear" w:color="FFFFFF" w:fill="BDDBA8"/>
      </w:tcPr>
    </w:tblStylePr>
    <w:tblStylePr w:type="band2Horz"/>
    <w:tblStylePr w:type="neCell"/>
    <w:tblStylePr w:type="nwCell"/>
    <w:tblStylePr w:type="seCell"/>
    <w:tblStylePr w:type="swCell"/>
  </w:style>
  <w:style w:type="table" w:customStyle="1" w:styleId="78">
    <w:name w:val="Grid Table 6 Colorful"/>
    <w:basedOn w:val="27"/>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FFFFFF" w:fill="CBCBCB"/>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CBCBCB"/>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27"/>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27"/>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27"/>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27"/>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FFFFFF" w:fill="E2EFD9"/>
      </w:tcPr>
    </w:tblStylePr>
    <w:tblStylePr w:type="band2Vert"/>
    <w:tblStylePr w:type="band1Horz">
      <w:rPr>
        <w:rFonts w:ascii="Arial" w:hAnsi="Arial"/>
        <w:color w:val="254174" w:themeColor="accent5" w:themeShade="94"/>
        <w:sz w:val="22"/>
      </w:rPr>
      <w:tcPr>
        <w:shd w:val="clear" w:color="FFFFFF" w:fill="E2EFD9"/>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27"/>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F2F2F2"/>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F2F2F2"/>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27"/>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FFFFFF" w:fill="DEEB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FFFFFF" w:fill="DEEB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27"/>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BE6D7"/>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BE6D7"/>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27"/>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FFFFFF" w:fill="EDEDED"/>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FFFFFF" w:fill="EDEDED"/>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27"/>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F2CB"/>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F2CB"/>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27"/>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FFFFFF" w:fill="D9E2F3"/>
      </w:tcPr>
    </w:tblStylePr>
    <w:tblStylePr w:type="band2Vert"/>
    <w:tblStylePr w:type="band1Horz">
      <w:rPr>
        <w:rFonts w:ascii="Arial" w:hAnsi="Arial"/>
        <w:color w:val="254174" w:themeColor="accent5" w:themeShade="94"/>
        <w:sz w:val="22"/>
      </w:rPr>
      <w:tcPr>
        <w:shd w:val="clear" w:color="FFFFFF" w:fill="D9E2F3"/>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27"/>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FFFFFF" w:fill="E2EFD9"/>
      </w:tcPr>
    </w:tblStylePr>
    <w:tblStylePr w:type="band2Vert"/>
    <w:tblStylePr w:type="band1Horz">
      <w:rPr>
        <w:rFonts w:ascii="Arial" w:hAnsi="Arial"/>
        <w:color w:val="416429" w:themeColor="accent6" w:themeShade="94"/>
        <w:sz w:val="22"/>
      </w:rPr>
      <w:tcPr>
        <w:shd w:val="clear" w:color="FFFFFF" w:fill="E2EFD9"/>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27"/>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BFBFBF"/>
      </w:tcPr>
    </w:tblStylePr>
    <w:tblStylePr w:type="band2Vert"/>
    <w:tblStylePr w:type="band1Horz">
      <w:tcPr>
        <w:shd w:val="clear" w:color="FFFFFF" w:fill="BFBFBF"/>
      </w:tcPr>
    </w:tblStylePr>
    <w:tblStylePr w:type="band2Horz"/>
    <w:tblStylePr w:type="neCell"/>
    <w:tblStylePr w:type="nwCell"/>
    <w:tblStylePr w:type="seCell"/>
    <w:tblStylePr w:type="swCell"/>
  </w:style>
  <w:style w:type="table" w:customStyle="1" w:styleId="93">
    <w:name w:val="List Table 1 Light - Accent 1"/>
    <w:basedOn w:val="27"/>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6E6F4"/>
      </w:tcPr>
    </w:tblStylePr>
    <w:tblStylePr w:type="band2Vert"/>
    <w:tblStylePr w:type="band1Horz">
      <w:tcPr>
        <w:shd w:val="clear" w:color="FFFFFF" w:fill="D6E6F4"/>
      </w:tcPr>
    </w:tblStylePr>
    <w:tblStylePr w:type="band2Horz"/>
    <w:tblStylePr w:type="neCell"/>
    <w:tblStylePr w:type="nwCell"/>
    <w:tblStylePr w:type="seCell"/>
    <w:tblStylePr w:type="swCell"/>
  </w:style>
  <w:style w:type="table" w:customStyle="1" w:styleId="94">
    <w:name w:val="List Table 1 Light - Accent 2"/>
    <w:basedOn w:val="27"/>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ADECB"/>
      </w:tcPr>
    </w:tblStylePr>
    <w:tblStylePr w:type="band2Vert"/>
    <w:tblStylePr w:type="band1Horz">
      <w:tcPr>
        <w:shd w:val="clear" w:color="FFFFFF" w:fill="FADECB"/>
      </w:tcPr>
    </w:tblStylePr>
    <w:tblStylePr w:type="band2Horz"/>
    <w:tblStylePr w:type="neCell"/>
    <w:tblStylePr w:type="nwCell"/>
    <w:tblStylePr w:type="seCell"/>
    <w:tblStylePr w:type="swCell"/>
  </w:style>
  <w:style w:type="table" w:customStyle="1" w:styleId="95">
    <w:name w:val="List Table 1 Light - Accent 3"/>
    <w:basedOn w:val="27"/>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E8E8E8"/>
      </w:tcPr>
    </w:tblStylePr>
    <w:tblStylePr w:type="band2Vert"/>
    <w:tblStylePr w:type="band1Horz">
      <w:tcPr>
        <w:shd w:val="clear" w:color="FFFFFF" w:fill="E8E8E8"/>
      </w:tcPr>
    </w:tblStylePr>
    <w:tblStylePr w:type="band2Horz"/>
    <w:tblStylePr w:type="neCell"/>
    <w:tblStylePr w:type="nwCell"/>
    <w:tblStylePr w:type="seCell"/>
    <w:tblStylePr w:type="swCell"/>
  </w:style>
  <w:style w:type="table" w:customStyle="1" w:styleId="96">
    <w:name w:val="List Table 1 Light - Accent 4"/>
    <w:basedOn w:val="27"/>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FFEFBF"/>
      </w:tcPr>
    </w:tblStylePr>
    <w:tblStylePr w:type="band2Vert"/>
    <w:tblStylePr w:type="band1Horz">
      <w:tcPr>
        <w:shd w:val="clear" w:color="FFFFFF" w:fill="FFEFBF"/>
      </w:tcPr>
    </w:tblStylePr>
    <w:tblStylePr w:type="band2Horz"/>
    <w:tblStylePr w:type="neCell"/>
    <w:tblStylePr w:type="nwCell"/>
    <w:tblStylePr w:type="seCell"/>
    <w:tblStylePr w:type="swCell"/>
  </w:style>
  <w:style w:type="table" w:customStyle="1" w:styleId="97">
    <w:name w:val="List Table 1 Light - Accent 5"/>
    <w:basedOn w:val="27"/>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0DCF0"/>
      </w:tcPr>
    </w:tblStylePr>
    <w:tblStylePr w:type="band2Vert"/>
    <w:tblStylePr w:type="band1Horz">
      <w:tcPr>
        <w:shd w:val="clear" w:color="FFFFFF" w:fill="D0DCF0"/>
      </w:tcPr>
    </w:tblStylePr>
    <w:tblStylePr w:type="band2Horz"/>
    <w:tblStylePr w:type="neCell"/>
    <w:tblStylePr w:type="nwCell"/>
    <w:tblStylePr w:type="seCell"/>
    <w:tblStylePr w:type="swCell"/>
  </w:style>
  <w:style w:type="table" w:customStyle="1" w:styleId="98">
    <w:name w:val="List Table 1 Light - Accent 6"/>
    <w:basedOn w:val="27"/>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FFFF" w:fill="DBECD0"/>
      </w:tcPr>
    </w:tblStylePr>
    <w:tblStylePr w:type="band2Vert"/>
    <w:tblStylePr w:type="band1Horz">
      <w:tcPr>
        <w:shd w:val="clear" w:color="FFFFFF" w:fill="DBECD0"/>
      </w:tcPr>
    </w:tblStylePr>
    <w:tblStylePr w:type="band2Horz"/>
    <w:tblStylePr w:type="neCell"/>
    <w:tblStylePr w:type="nwCell"/>
    <w:tblStylePr w:type="seCell"/>
    <w:tblStylePr w:type="swCell"/>
  </w:style>
  <w:style w:type="table" w:customStyle="1" w:styleId="99">
    <w:name w:val="List Table 2"/>
    <w:basedOn w:val="27"/>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00">
    <w:name w:val="List Table 2 - Accent 1"/>
    <w:basedOn w:val="27"/>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01">
    <w:name w:val="List Table 2 - Accent 2"/>
    <w:basedOn w:val="27"/>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02">
    <w:name w:val="List Table 2 - Accent 3"/>
    <w:basedOn w:val="27"/>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03">
    <w:name w:val="List Table 2 - Accent 4"/>
    <w:basedOn w:val="27"/>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04">
    <w:name w:val="List Table 2 - Accent 5"/>
    <w:basedOn w:val="27"/>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05">
    <w:name w:val="List Table 2 - Accent 6"/>
    <w:basedOn w:val="27"/>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06">
    <w:name w:val="List Table 3"/>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27"/>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27"/>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FFFFF"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27"/>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FFFFFF"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27"/>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FFFF" w:fill="FFD9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27"/>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FFFFFF" w:fill="8EAA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27"/>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FFFFFF" w:fill="A9D18F"/>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27"/>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BFBFBF"/>
      </w:tcPr>
    </w:tblStylePr>
    <w:tblStylePr w:type="band2Vert"/>
    <w:tblStylePr w:type="band1Horz">
      <w:rPr>
        <w:rFonts w:ascii="Arial" w:hAnsi="Arial"/>
        <w:color w:val="404040"/>
        <w:sz w:val="22"/>
      </w:rPr>
      <w:tcPr>
        <w:shd w:val="clear" w:color="FFFFFF" w:fill="BFBFBF"/>
      </w:tcPr>
    </w:tblStylePr>
    <w:tblStylePr w:type="band2Horz"/>
    <w:tblStylePr w:type="neCell"/>
    <w:tblStylePr w:type="nwCell"/>
    <w:tblStylePr w:type="seCell"/>
    <w:tblStylePr w:type="swCell"/>
  </w:style>
  <w:style w:type="table" w:customStyle="1" w:styleId="114">
    <w:name w:val="List Table 4 - Accent 1"/>
    <w:basedOn w:val="27"/>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6E6F4"/>
      </w:tcPr>
    </w:tblStylePr>
    <w:tblStylePr w:type="band2Vert"/>
    <w:tblStylePr w:type="band1Horz">
      <w:rPr>
        <w:rFonts w:ascii="Arial" w:hAnsi="Arial"/>
        <w:color w:val="404040"/>
        <w:sz w:val="22"/>
      </w:rPr>
      <w:tcPr>
        <w:shd w:val="clear" w:color="FFFFFF" w:fill="D6E6F4"/>
      </w:tcPr>
    </w:tblStylePr>
    <w:tblStylePr w:type="band2Horz"/>
    <w:tblStylePr w:type="neCell"/>
    <w:tblStylePr w:type="nwCell"/>
    <w:tblStylePr w:type="seCell"/>
    <w:tblStylePr w:type="swCell"/>
  </w:style>
  <w:style w:type="table" w:customStyle="1" w:styleId="115">
    <w:name w:val="List Table 4 - Accent 2"/>
    <w:basedOn w:val="27"/>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FFFFFF"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ADECB"/>
      </w:tcPr>
    </w:tblStylePr>
    <w:tblStylePr w:type="band2Vert"/>
    <w:tblStylePr w:type="band1Horz">
      <w:rPr>
        <w:rFonts w:ascii="Arial" w:hAnsi="Arial"/>
        <w:color w:val="404040"/>
        <w:sz w:val="22"/>
      </w:rPr>
      <w:tcPr>
        <w:shd w:val="clear" w:color="FFFFFF" w:fill="FADECB"/>
      </w:tcPr>
    </w:tblStylePr>
    <w:tblStylePr w:type="band2Horz"/>
    <w:tblStylePr w:type="neCell"/>
    <w:tblStylePr w:type="nwCell"/>
    <w:tblStylePr w:type="seCell"/>
    <w:tblStylePr w:type="swCell"/>
  </w:style>
  <w:style w:type="table" w:customStyle="1" w:styleId="116">
    <w:name w:val="List Table 4 - Accent 3"/>
    <w:basedOn w:val="27"/>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FFFFFF"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E8E8E8"/>
      </w:tcPr>
    </w:tblStylePr>
    <w:tblStylePr w:type="band2Vert"/>
    <w:tblStylePr w:type="band1Horz">
      <w:rPr>
        <w:rFonts w:ascii="Arial" w:hAnsi="Arial"/>
        <w:color w:val="404040"/>
        <w:sz w:val="22"/>
      </w:rPr>
      <w:tcPr>
        <w:shd w:val="clear" w:color="FFFFFF" w:fill="E8E8E8"/>
      </w:tcPr>
    </w:tblStylePr>
    <w:tblStylePr w:type="band2Horz"/>
    <w:tblStylePr w:type="neCell"/>
    <w:tblStylePr w:type="nwCell"/>
    <w:tblStylePr w:type="seCell"/>
    <w:tblStylePr w:type="swCell"/>
  </w:style>
  <w:style w:type="table" w:customStyle="1" w:styleId="117">
    <w:name w:val="List Table 4 - Accent 4"/>
    <w:basedOn w:val="27"/>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FFFF"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FFEFBF"/>
      </w:tcPr>
    </w:tblStylePr>
    <w:tblStylePr w:type="band2Vert"/>
    <w:tblStylePr w:type="band1Horz">
      <w:rPr>
        <w:rFonts w:ascii="Arial" w:hAnsi="Arial"/>
        <w:color w:val="404040"/>
        <w:sz w:val="22"/>
      </w:rPr>
      <w:tcPr>
        <w:shd w:val="clear" w:color="FFFFFF" w:fill="FFEFBF"/>
      </w:tcPr>
    </w:tblStylePr>
    <w:tblStylePr w:type="band2Horz"/>
    <w:tblStylePr w:type="neCell"/>
    <w:tblStylePr w:type="nwCell"/>
    <w:tblStylePr w:type="seCell"/>
    <w:tblStylePr w:type="swCell"/>
  </w:style>
  <w:style w:type="table" w:customStyle="1" w:styleId="118">
    <w:name w:val="List Table 4 - Accent 5"/>
    <w:basedOn w:val="27"/>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FFFFFF"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0DCF0"/>
      </w:tcPr>
    </w:tblStylePr>
    <w:tblStylePr w:type="band2Vert"/>
    <w:tblStylePr w:type="band1Horz">
      <w:rPr>
        <w:rFonts w:ascii="Arial" w:hAnsi="Arial"/>
        <w:color w:val="404040"/>
        <w:sz w:val="22"/>
      </w:rPr>
      <w:tcPr>
        <w:shd w:val="clear" w:color="FFFFFF" w:fill="D0DCF0"/>
      </w:tcPr>
    </w:tblStylePr>
    <w:tblStylePr w:type="band2Horz"/>
    <w:tblStylePr w:type="neCell"/>
    <w:tblStylePr w:type="nwCell"/>
    <w:tblStylePr w:type="seCell"/>
    <w:tblStylePr w:type="swCell"/>
  </w:style>
  <w:style w:type="table" w:customStyle="1" w:styleId="119">
    <w:name w:val="List Table 4 - Accent 6"/>
    <w:basedOn w:val="27"/>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FFFFFF"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FFFF" w:fill="DBECD0"/>
      </w:tcPr>
    </w:tblStylePr>
    <w:tblStylePr w:type="band2Vert"/>
    <w:tblStylePr w:type="band1Horz">
      <w:rPr>
        <w:rFonts w:ascii="Arial" w:hAnsi="Arial"/>
        <w:color w:val="404040"/>
        <w:sz w:val="22"/>
      </w:rPr>
      <w:tcPr>
        <w:shd w:val="clear" w:color="FFFFFF" w:fill="DBECD0"/>
      </w:tcPr>
    </w:tblStylePr>
    <w:tblStylePr w:type="band2Horz"/>
    <w:tblStylePr w:type="neCell"/>
    <w:tblStylePr w:type="nwCell"/>
    <w:tblStylePr w:type="seCell"/>
    <w:tblStylePr w:type="swCell"/>
  </w:style>
  <w:style w:type="table" w:customStyle="1" w:styleId="120">
    <w:name w:val="List Table 5 Dark"/>
    <w:basedOn w:val="27"/>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FFFFFF" w:fill="7F7F7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FFFFFF" w:fill="7F7F7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7F7F7F"/>
      </w:tcPr>
    </w:tblStylePr>
    <w:tblStylePr w:type="band2Horz">
      <w:tcPr>
        <w:tcBorders>
          <w:top w:val="single" w:color="FFFFFF" w:themeColor="light1" w:sz="4" w:space="0"/>
          <w:bottom w:val="single" w:color="FFFFFF" w:themeColor="light1" w:sz="4" w:space="0"/>
        </w:tcBorders>
        <w:shd w:val="clear" w:color="FFFFFF" w:fill="7F7F7F"/>
      </w:tcPr>
    </w:tblStylePr>
    <w:tblStylePr w:type="neCell"/>
    <w:tblStylePr w:type="nwCell"/>
    <w:tblStylePr w:type="seCell"/>
    <w:tblStylePr w:type="swCell"/>
  </w:style>
  <w:style w:type="table" w:customStyle="1" w:styleId="121">
    <w:name w:val="List Table 5 Dark - Accent 1"/>
    <w:basedOn w:val="27"/>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FFFFFF"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FFFFFF"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5B9BD5"/>
      </w:tcPr>
    </w:tblStylePr>
    <w:tblStylePr w:type="band2Horz">
      <w:tcPr>
        <w:tcBorders>
          <w:top w:val="single" w:color="FFFFFF" w:themeColor="light1" w:sz="4" w:space="0"/>
          <w:bottom w:val="single" w:color="FFFFFF" w:themeColor="light1" w:sz="4" w:space="0"/>
        </w:tcBorders>
        <w:shd w:val="clear" w:color="FFFFFF" w:fill="5B9BD5"/>
      </w:tcPr>
    </w:tblStylePr>
    <w:tblStylePr w:type="neCell"/>
    <w:tblStylePr w:type="nwCell"/>
    <w:tblStylePr w:type="seCell"/>
    <w:tblStylePr w:type="swCell"/>
  </w:style>
  <w:style w:type="table" w:customStyle="1" w:styleId="122">
    <w:name w:val="List Table 5 Dark - Accent 2"/>
    <w:basedOn w:val="27"/>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FFFFF"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FFFFF"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4B285"/>
      </w:tcPr>
    </w:tblStylePr>
    <w:tblStylePr w:type="band2Horz">
      <w:tcPr>
        <w:tcBorders>
          <w:top w:val="single" w:color="FFFFFF" w:themeColor="light1" w:sz="4" w:space="0"/>
          <w:bottom w:val="single" w:color="FFFFFF" w:themeColor="light1" w:sz="4" w:space="0"/>
        </w:tcBorders>
        <w:shd w:val="clear" w:color="FFFFFF" w:fill="F4B285"/>
      </w:tcPr>
    </w:tblStylePr>
    <w:tblStylePr w:type="neCell"/>
    <w:tblStylePr w:type="nwCell"/>
    <w:tblStylePr w:type="seCell"/>
    <w:tblStylePr w:type="swCell"/>
  </w:style>
  <w:style w:type="table" w:customStyle="1" w:styleId="123">
    <w:name w:val="List Table 5 Dark - Accent 3"/>
    <w:basedOn w:val="27"/>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FFFFFF"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FFFFFF"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C9C9C9"/>
      </w:tcPr>
    </w:tblStylePr>
    <w:tblStylePr w:type="band2Horz">
      <w:tcPr>
        <w:tcBorders>
          <w:top w:val="single" w:color="FFFFFF" w:themeColor="light1" w:sz="4" w:space="0"/>
          <w:bottom w:val="single" w:color="FFFFFF" w:themeColor="light1" w:sz="4" w:space="0"/>
        </w:tcBorders>
        <w:shd w:val="clear" w:color="FFFFFF" w:fill="C9C9C9"/>
      </w:tcPr>
    </w:tblStylePr>
    <w:tblStylePr w:type="neCell"/>
    <w:tblStylePr w:type="nwCell"/>
    <w:tblStylePr w:type="seCell"/>
    <w:tblStylePr w:type="swCell"/>
  </w:style>
  <w:style w:type="table" w:customStyle="1" w:styleId="124">
    <w:name w:val="List Table 5 Dark - Accent 4"/>
    <w:basedOn w:val="27"/>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FFFF" w:fill="FFD96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FFFF" w:fill="FFD96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FFD965"/>
      </w:tcPr>
    </w:tblStylePr>
    <w:tblStylePr w:type="band2Horz">
      <w:tcPr>
        <w:tcBorders>
          <w:top w:val="single" w:color="FFFFFF" w:themeColor="light1" w:sz="4" w:space="0"/>
          <w:bottom w:val="single" w:color="FFFFFF" w:themeColor="light1" w:sz="4" w:space="0"/>
        </w:tcBorders>
        <w:shd w:val="clear" w:color="FFFFFF" w:fill="FFD965"/>
      </w:tcPr>
    </w:tblStylePr>
    <w:tblStylePr w:type="neCell"/>
    <w:tblStylePr w:type="nwCell"/>
    <w:tblStylePr w:type="seCell"/>
    <w:tblStylePr w:type="swCell"/>
  </w:style>
  <w:style w:type="table" w:customStyle="1" w:styleId="125">
    <w:name w:val="List Table 5 Dark - Accent 5"/>
    <w:basedOn w:val="27"/>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FFFFFF" w:fill="8EAA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FFFFFF" w:fill="8EAA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8EAADB"/>
      </w:tcPr>
    </w:tblStylePr>
    <w:tblStylePr w:type="band2Horz">
      <w:tcPr>
        <w:tcBorders>
          <w:top w:val="single" w:color="FFFFFF" w:themeColor="light1" w:sz="4" w:space="0"/>
          <w:bottom w:val="single" w:color="FFFFFF" w:themeColor="light1" w:sz="4" w:space="0"/>
        </w:tcBorders>
        <w:shd w:val="clear" w:color="FFFFFF" w:fill="8EAADB"/>
      </w:tcPr>
    </w:tblStylePr>
    <w:tblStylePr w:type="neCell"/>
    <w:tblStylePr w:type="nwCell"/>
    <w:tblStylePr w:type="seCell"/>
    <w:tblStylePr w:type="swCell"/>
  </w:style>
  <w:style w:type="table" w:customStyle="1" w:styleId="126">
    <w:name w:val="List Table 5 Dark - Accent 6"/>
    <w:basedOn w:val="27"/>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FFFFFF" w:fill="A9D18F"/>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FFFFFF" w:fill="A9D18F"/>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FFFF" w:fill="A9D18F"/>
      </w:tcPr>
    </w:tblStylePr>
    <w:tblStylePr w:type="band2Horz">
      <w:tcPr>
        <w:tcBorders>
          <w:top w:val="single" w:color="FFFFFF" w:themeColor="light1" w:sz="4" w:space="0"/>
          <w:bottom w:val="single" w:color="FFFFFF" w:themeColor="light1" w:sz="4" w:space="0"/>
        </w:tcBorders>
        <w:shd w:val="clear" w:color="FFFFFF" w:fill="A9D18F"/>
      </w:tcPr>
    </w:tblStylePr>
    <w:tblStylePr w:type="neCell"/>
    <w:tblStylePr w:type="nwCell"/>
    <w:tblStylePr w:type="seCell"/>
    <w:tblStylePr w:type="swCell"/>
  </w:style>
  <w:style w:type="table" w:customStyle="1" w:styleId="127">
    <w:name w:val="List Table 6 Colorful"/>
    <w:basedOn w:val="27"/>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FFFFFF" w:fill="BFBFBF"/>
      </w:tcPr>
    </w:tblStylePr>
    <w:tblStylePr w:type="band2Vert"/>
    <w:tblStylePr w:type="band1Horz">
      <w:rPr>
        <w:rFonts w:ascii="Arial" w:hAnsi="Arial"/>
        <w:color w:val="000000" w:themeColor="text1"/>
        <w:sz w:val="22"/>
        <w14:textFill>
          <w14:solidFill>
            <w14:schemeClr w14:val="tx1"/>
          </w14:solidFill>
        </w14:textFill>
      </w:rPr>
      <w:tcPr>
        <w:shd w:val="clear" w:color="FFFFFF" w:fill="BFBFBF"/>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27"/>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27"/>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27"/>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27"/>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27"/>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27"/>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2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FFFFF" w:fill="BFBFBF"/>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FFFFF" w:fill="BFBFBF"/>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27"/>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FFFFFF" w:fill="D6E6F4"/>
      </w:tcPr>
    </w:tblStylePr>
    <w:tblStylePr w:type="band2Vert"/>
    <w:tblStylePr w:type="band1Horz">
      <w:rPr>
        <w:rFonts w:ascii="Arial" w:hAnsi="Arial"/>
        <w:color w:val="245B8C" w:themeColor="accent1" w:themeShade="94"/>
        <w:sz w:val="22"/>
      </w:rPr>
      <w:tcPr>
        <w:shd w:val="clear" w:color="FFFFFF" w:fill="D6E6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27"/>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FFFFF"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FFFFF"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27"/>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FFFFFF"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FFFFFF"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27"/>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FFFF" w:fill="FFEFBF"/>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FFFF" w:fill="FFEFBF"/>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27"/>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FFFFFF" w:fill="D0DC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FFFFFF" w:fill="D0DC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27"/>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FFFFFF" w:fill="DBECD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FFFFFF" w:fill="DBECD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27"/>
    <w:qFormat/>
    <w:uiPriority w:val="99"/>
    <w:pPr>
      <w:spacing w:after="0" w:line="240" w:lineRule="auto"/>
    </w:pPr>
    <w:rPr>
      <w:color w:val="404040"/>
    </w:r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2">
    <w:name w:val="Lined - Accent 1"/>
    <w:basedOn w:val="27"/>
    <w:qFormat/>
    <w:uiPriority w:val="99"/>
    <w:pPr>
      <w:spacing w:after="0" w:line="240" w:lineRule="auto"/>
    </w:pPr>
    <w:rPr>
      <w:color w:val="404040"/>
    </w:r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43">
    <w:name w:val="Lined - Accent 2"/>
    <w:basedOn w:val="27"/>
    <w:qFormat/>
    <w:uiPriority w:val="99"/>
    <w:pPr>
      <w:spacing w:after="0" w:line="240" w:lineRule="auto"/>
    </w:pPr>
    <w:rPr>
      <w:color w:val="404040"/>
    </w:r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44">
    <w:name w:val="Lined - Accent 3"/>
    <w:basedOn w:val="27"/>
    <w:qFormat/>
    <w:uiPriority w:val="99"/>
    <w:pPr>
      <w:spacing w:after="0" w:line="240" w:lineRule="auto"/>
    </w:pPr>
    <w:rPr>
      <w:color w:val="404040"/>
    </w:r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45">
    <w:name w:val="Lined - Accent 4"/>
    <w:basedOn w:val="27"/>
    <w:qFormat/>
    <w:uiPriority w:val="99"/>
    <w:pPr>
      <w:spacing w:after="0" w:line="240" w:lineRule="auto"/>
    </w:pPr>
    <w:rPr>
      <w:color w:val="404040"/>
    </w:r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46">
    <w:name w:val="Lined - Accent 5"/>
    <w:basedOn w:val="27"/>
    <w:qFormat/>
    <w:uiPriority w:val="99"/>
    <w:pPr>
      <w:spacing w:after="0" w:line="240" w:lineRule="auto"/>
    </w:pPr>
    <w:rPr>
      <w:color w:val="404040"/>
    </w:r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47">
    <w:name w:val="Lined - Accent 6"/>
    <w:basedOn w:val="27"/>
    <w:qFormat/>
    <w:uiPriority w:val="99"/>
    <w:pPr>
      <w:spacing w:after="0" w:line="240" w:lineRule="auto"/>
    </w:pPr>
    <w:rPr>
      <w:color w:val="404040"/>
    </w:r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48">
    <w:name w:val="Bordered &amp; Lined - Accent"/>
    <w:basedOn w:val="27"/>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firstCol">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band1Vert">
      <w:rPr>
        <w:rFonts w:ascii="Arial" w:hAnsi="Arial"/>
        <w:color w:val="404040"/>
        <w:sz w:val="22"/>
      </w:rPr>
    </w:tblStylePr>
    <w:tblStylePr w:type="band2Vert">
      <w:rPr>
        <w:rFonts w:ascii="Arial" w:hAnsi="Arial"/>
        <w:color w:val="404040"/>
        <w:sz w:val="22"/>
      </w:rPr>
      <w:tcPr>
        <w:shd w:val="clear" w:color="FFFFFF" w:fill="F2F2F2"/>
      </w:tcPr>
    </w:tblStylePr>
    <w:tblStylePr w:type="band1Horz">
      <w:rPr>
        <w:rFonts w:ascii="Arial" w:hAnsi="Arial"/>
        <w:color w:val="404040"/>
        <w:sz w:val="22"/>
      </w:rPr>
    </w:tblStylePr>
    <w:tblStylePr w:type="band2Horz">
      <w:rPr>
        <w:rFonts w:ascii="Arial" w:hAnsi="Arial"/>
        <w:color w:val="404040"/>
        <w:sz w:val="22"/>
      </w:rPr>
      <w:tcPr>
        <w:shd w:val="clear" w:color="FFFFFF" w:fill="F2F2F2"/>
      </w:tcPr>
    </w:tblStylePr>
    <w:tblStylePr w:type="neCell"/>
    <w:tblStylePr w:type="nwCell"/>
    <w:tblStylePr w:type="seCell"/>
    <w:tblStylePr w:type="swCell"/>
  </w:style>
  <w:style w:type="table" w:customStyle="1" w:styleId="149">
    <w:name w:val="Bordered &amp; Lined - Accent 1"/>
    <w:basedOn w:val="27"/>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FFFFFF" w:fill="69A3D8"/>
      </w:tcPr>
    </w:tblStylePr>
    <w:tblStylePr w:type="lastRow">
      <w:rPr>
        <w:rFonts w:ascii="Arial" w:hAnsi="Arial"/>
        <w:color w:val="F2F2F2"/>
        <w:sz w:val="22"/>
      </w:rPr>
      <w:tcPr>
        <w:shd w:val="clear" w:color="FFFFFF" w:fill="69A3D8"/>
      </w:tcPr>
    </w:tblStylePr>
    <w:tblStylePr w:type="firstCol">
      <w:rPr>
        <w:rFonts w:ascii="Arial" w:hAnsi="Arial"/>
        <w:color w:val="F2F2F2"/>
        <w:sz w:val="22"/>
      </w:rPr>
      <w:tcPr>
        <w:shd w:val="clear" w:color="FFFFFF" w:fill="69A3D8"/>
      </w:tcPr>
    </w:tblStylePr>
    <w:tblStylePr w:type="lastCol">
      <w:rPr>
        <w:rFonts w:ascii="Arial" w:hAnsi="Arial"/>
        <w:color w:val="F2F2F2"/>
        <w:sz w:val="22"/>
      </w:rPr>
      <w:tcPr>
        <w:shd w:val="clear" w:color="FFFFFF" w:fill="69A3D8"/>
      </w:tcPr>
    </w:tblStylePr>
    <w:tblStylePr w:type="band1Vert">
      <w:rPr>
        <w:rFonts w:ascii="Arial" w:hAnsi="Arial"/>
        <w:color w:val="404040"/>
        <w:sz w:val="22"/>
      </w:rPr>
    </w:tblStylePr>
    <w:tblStylePr w:type="band2Vert">
      <w:rPr>
        <w:rFonts w:ascii="Arial" w:hAnsi="Arial"/>
        <w:color w:val="404040"/>
        <w:sz w:val="22"/>
      </w:rPr>
      <w:tcPr>
        <w:shd w:val="clear" w:color="FFFFFF" w:fill="CCE0F2"/>
      </w:tcPr>
    </w:tblStylePr>
    <w:tblStylePr w:type="band1Horz">
      <w:rPr>
        <w:rFonts w:ascii="Arial" w:hAnsi="Arial"/>
        <w:color w:val="404040"/>
        <w:sz w:val="22"/>
      </w:rPr>
    </w:tblStylePr>
    <w:tblStylePr w:type="band2Horz">
      <w:rPr>
        <w:rFonts w:ascii="Arial" w:hAnsi="Arial"/>
        <w:color w:val="404040"/>
        <w:sz w:val="22"/>
      </w:rPr>
      <w:tcPr>
        <w:shd w:val="clear" w:color="FFFFFF" w:fill="CCE0F2"/>
      </w:tcPr>
    </w:tblStylePr>
    <w:tblStylePr w:type="neCell"/>
    <w:tblStylePr w:type="nwCell"/>
    <w:tblStylePr w:type="seCell"/>
    <w:tblStylePr w:type="swCell"/>
  </w:style>
  <w:style w:type="table" w:customStyle="1" w:styleId="150">
    <w:name w:val="Bordered &amp; Lined - Accent 2"/>
    <w:basedOn w:val="27"/>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FFFFF" w:fill="F4B285"/>
      </w:tcPr>
    </w:tblStylePr>
    <w:tblStylePr w:type="lastRow">
      <w:rPr>
        <w:rFonts w:ascii="Arial" w:hAnsi="Arial"/>
        <w:color w:val="F2F2F2"/>
        <w:sz w:val="22"/>
      </w:rPr>
      <w:tcPr>
        <w:shd w:val="clear" w:color="FFFFFF" w:fill="F4B285"/>
      </w:tcPr>
    </w:tblStylePr>
    <w:tblStylePr w:type="firstCol">
      <w:rPr>
        <w:rFonts w:ascii="Arial" w:hAnsi="Arial"/>
        <w:color w:val="F2F2F2"/>
        <w:sz w:val="22"/>
      </w:rPr>
      <w:tcPr>
        <w:shd w:val="clear" w:color="FFFFFF" w:fill="F4B285"/>
      </w:tcPr>
    </w:tblStylePr>
    <w:tblStylePr w:type="lastCol">
      <w:rPr>
        <w:rFonts w:ascii="Arial" w:hAnsi="Arial"/>
        <w:color w:val="F2F2F2"/>
        <w:sz w:val="22"/>
      </w:rPr>
      <w:tcPr>
        <w:shd w:val="clear" w:color="FFFFFF" w:fill="F4B285"/>
      </w:tcPr>
    </w:tblStylePr>
    <w:tblStylePr w:type="band1Vert">
      <w:rPr>
        <w:rFonts w:ascii="Arial" w:hAnsi="Arial"/>
        <w:color w:val="404040"/>
        <w:sz w:val="22"/>
      </w:rPr>
    </w:tblStylePr>
    <w:tblStylePr w:type="band2Vert">
      <w:rPr>
        <w:rFonts w:ascii="Arial" w:hAnsi="Arial"/>
        <w:color w:val="404040"/>
        <w:sz w:val="22"/>
      </w:rPr>
      <w:tcPr>
        <w:shd w:val="clear" w:color="FFFFFF" w:fill="FBE6D7"/>
      </w:tcPr>
    </w:tblStylePr>
    <w:tblStylePr w:type="band1Horz">
      <w:rPr>
        <w:rFonts w:ascii="Arial" w:hAnsi="Arial"/>
        <w:color w:val="404040"/>
        <w:sz w:val="22"/>
      </w:rPr>
    </w:tblStylePr>
    <w:tblStylePr w:type="band2Horz">
      <w:rPr>
        <w:rFonts w:ascii="Arial" w:hAnsi="Arial"/>
        <w:color w:val="404040"/>
        <w:sz w:val="22"/>
      </w:rPr>
      <w:tcPr>
        <w:shd w:val="clear" w:color="FFFFFF" w:fill="FBE6D7"/>
      </w:tcPr>
    </w:tblStylePr>
    <w:tblStylePr w:type="neCell"/>
    <w:tblStylePr w:type="nwCell"/>
    <w:tblStylePr w:type="seCell"/>
    <w:tblStylePr w:type="swCell"/>
  </w:style>
  <w:style w:type="table" w:customStyle="1" w:styleId="151">
    <w:name w:val="Bordered &amp; Lined - Accent 3"/>
    <w:basedOn w:val="27"/>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FFFFFF" w:fill="A5A5A5"/>
      </w:tcPr>
    </w:tblStylePr>
    <w:tblStylePr w:type="lastRow">
      <w:rPr>
        <w:rFonts w:ascii="Arial" w:hAnsi="Arial"/>
        <w:color w:val="F2F2F2"/>
        <w:sz w:val="22"/>
      </w:rPr>
      <w:tcPr>
        <w:shd w:val="clear" w:color="FFFFFF" w:fill="A5A5A5"/>
      </w:tcPr>
    </w:tblStylePr>
    <w:tblStylePr w:type="firstCol">
      <w:rPr>
        <w:rFonts w:ascii="Arial" w:hAnsi="Arial"/>
        <w:color w:val="F2F2F2"/>
        <w:sz w:val="22"/>
      </w:rPr>
      <w:tcPr>
        <w:shd w:val="clear" w:color="FFFFFF" w:fill="A5A5A5"/>
      </w:tcPr>
    </w:tblStylePr>
    <w:tblStylePr w:type="lastCol">
      <w:rPr>
        <w:rFonts w:ascii="Arial" w:hAnsi="Arial"/>
        <w:color w:val="F2F2F2"/>
        <w:sz w:val="22"/>
      </w:rPr>
      <w:tcPr>
        <w:shd w:val="clear" w:color="FFFFFF" w:fill="A5A5A5"/>
      </w:tcPr>
    </w:tblStylePr>
    <w:tblStylePr w:type="band1Vert">
      <w:rPr>
        <w:rFonts w:ascii="Arial" w:hAnsi="Arial"/>
        <w:color w:val="404040"/>
        <w:sz w:val="22"/>
      </w:rPr>
    </w:tblStylePr>
    <w:tblStylePr w:type="band2Vert">
      <w:rPr>
        <w:rFonts w:ascii="Arial" w:hAnsi="Arial"/>
        <w:color w:val="404040"/>
        <w:sz w:val="22"/>
      </w:rPr>
      <w:tcPr>
        <w:shd w:val="clear" w:color="FFFFFF" w:fill="EDEDED"/>
      </w:tcPr>
    </w:tblStylePr>
    <w:tblStylePr w:type="band1Horz">
      <w:rPr>
        <w:rFonts w:ascii="Arial" w:hAnsi="Arial"/>
        <w:color w:val="404040"/>
        <w:sz w:val="22"/>
      </w:rPr>
    </w:tblStylePr>
    <w:tblStylePr w:type="band2Horz">
      <w:rPr>
        <w:rFonts w:ascii="Arial" w:hAnsi="Arial"/>
        <w:color w:val="404040"/>
        <w:sz w:val="22"/>
      </w:rPr>
      <w:tcPr>
        <w:shd w:val="clear" w:color="FFFFFF" w:fill="EDEDED"/>
      </w:tcPr>
    </w:tblStylePr>
    <w:tblStylePr w:type="neCell"/>
    <w:tblStylePr w:type="nwCell"/>
    <w:tblStylePr w:type="seCell"/>
    <w:tblStylePr w:type="swCell"/>
  </w:style>
  <w:style w:type="table" w:customStyle="1" w:styleId="152">
    <w:name w:val="Bordered &amp; Lined - Accent 4"/>
    <w:basedOn w:val="27"/>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FFFF" w:fill="FFD965"/>
      </w:tcPr>
    </w:tblStylePr>
    <w:tblStylePr w:type="lastRow">
      <w:rPr>
        <w:rFonts w:ascii="Arial" w:hAnsi="Arial"/>
        <w:color w:val="F2F2F2"/>
        <w:sz w:val="22"/>
      </w:rPr>
      <w:tcPr>
        <w:shd w:val="clear" w:color="FFFFFF" w:fill="FFD965"/>
      </w:tcPr>
    </w:tblStylePr>
    <w:tblStylePr w:type="firstCol">
      <w:rPr>
        <w:rFonts w:ascii="Arial" w:hAnsi="Arial"/>
        <w:color w:val="F2F2F2"/>
        <w:sz w:val="22"/>
      </w:rPr>
      <w:tcPr>
        <w:shd w:val="clear" w:color="FFFFFF" w:fill="FFD965"/>
      </w:tcPr>
    </w:tblStylePr>
    <w:tblStylePr w:type="lastCol">
      <w:rPr>
        <w:rFonts w:ascii="Arial" w:hAnsi="Arial"/>
        <w:color w:val="F2F2F2"/>
        <w:sz w:val="22"/>
      </w:rPr>
      <w:tcPr>
        <w:shd w:val="clear" w:color="FFFFFF" w:fill="FFD965"/>
      </w:tcPr>
    </w:tblStylePr>
    <w:tblStylePr w:type="band1Vert">
      <w:rPr>
        <w:rFonts w:ascii="Arial" w:hAnsi="Arial"/>
        <w:color w:val="404040"/>
        <w:sz w:val="22"/>
      </w:rPr>
    </w:tblStylePr>
    <w:tblStylePr w:type="band2Vert">
      <w:rPr>
        <w:rFonts w:ascii="Arial" w:hAnsi="Arial"/>
        <w:color w:val="404040"/>
        <w:sz w:val="22"/>
      </w:rPr>
      <w:tcPr>
        <w:shd w:val="clear" w:color="FFFFFF" w:fill="FFF2CB"/>
      </w:tcPr>
    </w:tblStylePr>
    <w:tblStylePr w:type="band1Horz">
      <w:rPr>
        <w:rFonts w:ascii="Arial" w:hAnsi="Arial"/>
        <w:color w:val="404040"/>
        <w:sz w:val="22"/>
      </w:rPr>
    </w:tblStylePr>
    <w:tblStylePr w:type="band2Horz">
      <w:rPr>
        <w:rFonts w:ascii="Arial" w:hAnsi="Arial"/>
        <w:color w:val="404040"/>
        <w:sz w:val="22"/>
      </w:rPr>
      <w:tcPr>
        <w:shd w:val="clear" w:color="FFFFFF" w:fill="FFF2CB"/>
      </w:tcPr>
    </w:tblStylePr>
    <w:tblStylePr w:type="neCell"/>
    <w:tblStylePr w:type="nwCell"/>
    <w:tblStylePr w:type="seCell"/>
    <w:tblStylePr w:type="swCell"/>
  </w:style>
  <w:style w:type="table" w:customStyle="1" w:styleId="153">
    <w:name w:val="Bordered &amp; Lined - Accent 5"/>
    <w:basedOn w:val="27"/>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FFFFFF" w:fill="4472C4"/>
      </w:tcPr>
    </w:tblStylePr>
    <w:tblStylePr w:type="lastRow">
      <w:rPr>
        <w:rFonts w:ascii="Arial" w:hAnsi="Arial"/>
        <w:color w:val="F2F2F2"/>
        <w:sz w:val="22"/>
      </w:rPr>
      <w:tcPr>
        <w:shd w:val="clear" w:color="FFFFFF" w:fill="4472C4"/>
      </w:tcPr>
    </w:tblStylePr>
    <w:tblStylePr w:type="firstCol">
      <w:rPr>
        <w:rFonts w:ascii="Arial" w:hAnsi="Arial"/>
        <w:color w:val="F2F2F2"/>
        <w:sz w:val="22"/>
      </w:rPr>
      <w:tcPr>
        <w:shd w:val="clear" w:color="FFFFFF" w:fill="4472C4"/>
      </w:tcPr>
    </w:tblStylePr>
    <w:tblStylePr w:type="lastCol">
      <w:rPr>
        <w:rFonts w:ascii="Arial" w:hAnsi="Arial"/>
        <w:color w:val="F2F2F2"/>
        <w:sz w:val="22"/>
      </w:rPr>
      <w:tcPr>
        <w:shd w:val="clear" w:color="FFFFFF" w:fill="4472C4"/>
      </w:tcPr>
    </w:tblStylePr>
    <w:tblStylePr w:type="band1Vert">
      <w:rPr>
        <w:rFonts w:ascii="Arial" w:hAnsi="Arial"/>
        <w:color w:val="404040"/>
        <w:sz w:val="22"/>
      </w:rPr>
    </w:tblStylePr>
    <w:tblStylePr w:type="band2Vert">
      <w:rPr>
        <w:rFonts w:ascii="Arial" w:hAnsi="Arial"/>
        <w:color w:val="404040"/>
        <w:sz w:val="22"/>
      </w:rPr>
      <w:tcPr>
        <w:shd w:val="clear" w:color="FFFFFF" w:fill="D9E2F3"/>
      </w:tcPr>
    </w:tblStylePr>
    <w:tblStylePr w:type="band1Horz">
      <w:rPr>
        <w:rFonts w:ascii="Arial" w:hAnsi="Arial"/>
        <w:color w:val="404040"/>
        <w:sz w:val="22"/>
      </w:rPr>
    </w:tblStylePr>
    <w:tblStylePr w:type="band2Horz">
      <w:rPr>
        <w:rFonts w:ascii="Arial" w:hAnsi="Arial"/>
        <w:color w:val="404040"/>
        <w:sz w:val="22"/>
      </w:rPr>
      <w:tcPr>
        <w:shd w:val="clear" w:color="FFFFFF" w:fill="D9E2F3"/>
      </w:tcPr>
    </w:tblStylePr>
    <w:tblStylePr w:type="neCell"/>
    <w:tblStylePr w:type="nwCell"/>
    <w:tblStylePr w:type="seCell"/>
    <w:tblStylePr w:type="swCell"/>
  </w:style>
  <w:style w:type="table" w:customStyle="1" w:styleId="154">
    <w:name w:val="Bordered &amp; Lined - Accent 6"/>
    <w:basedOn w:val="27"/>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FFFFFF" w:fill="70AD47"/>
      </w:tcPr>
    </w:tblStylePr>
    <w:tblStylePr w:type="lastRow">
      <w:rPr>
        <w:rFonts w:ascii="Arial" w:hAnsi="Arial"/>
        <w:color w:val="F2F2F2"/>
        <w:sz w:val="22"/>
      </w:rPr>
      <w:tcPr>
        <w:shd w:val="clear" w:color="FFFFFF" w:fill="70AD47"/>
      </w:tcPr>
    </w:tblStylePr>
    <w:tblStylePr w:type="firstCol">
      <w:rPr>
        <w:rFonts w:ascii="Arial" w:hAnsi="Arial"/>
        <w:color w:val="F2F2F2"/>
        <w:sz w:val="22"/>
      </w:rPr>
      <w:tcPr>
        <w:shd w:val="clear" w:color="FFFFFF" w:fill="70AD47"/>
      </w:tcPr>
    </w:tblStylePr>
    <w:tblStylePr w:type="lastCol">
      <w:rPr>
        <w:rFonts w:ascii="Arial" w:hAnsi="Arial"/>
        <w:color w:val="F2F2F2"/>
        <w:sz w:val="22"/>
      </w:rPr>
      <w:tcPr>
        <w:shd w:val="clear" w:color="FFFFFF" w:fill="70AD47"/>
      </w:tcPr>
    </w:tblStylePr>
    <w:tblStylePr w:type="band1Vert">
      <w:rPr>
        <w:rFonts w:ascii="Arial" w:hAnsi="Arial"/>
        <w:color w:val="404040"/>
        <w:sz w:val="22"/>
      </w:rPr>
    </w:tblStylePr>
    <w:tblStylePr w:type="band2Vert">
      <w:rPr>
        <w:rFonts w:ascii="Arial" w:hAnsi="Arial"/>
        <w:color w:val="404040"/>
        <w:sz w:val="22"/>
      </w:rPr>
      <w:tcPr>
        <w:shd w:val="clear" w:color="FFFFFF" w:fill="E2EFD9"/>
      </w:tcPr>
    </w:tblStylePr>
    <w:tblStylePr w:type="band1Horz">
      <w:rPr>
        <w:rFonts w:ascii="Arial" w:hAnsi="Arial"/>
        <w:color w:val="404040"/>
        <w:sz w:val="22"/>
      </w:rPr>
    </w:tblStylePr>
    <w:tblStylePr w:type="band2Horz">
      <w:rPr>
        <w:rFonts w:ascii="Arial" w:hAnsi="Arial"/>
        <w:color w:val="404040"/>
        <w:sz w:val="22"/>
      </w:rPr>
      <w:tcPr>
        <w:shd w:val="clear" w:color="FFFFFF" w:fill="E2EFD9"/>
      </w:tcPr>
    </w:tblStylePr>
    <w:tblStylePr w:type="neCell"/>
    <w:tblStylePr w:type="nwCell"/>
    <w:tblStylePr w:type="seCell"/>
    <w:tblStylePr w:type="swCell"/>
  </w:style>
  <w:style w:type="table" w:customStyle="1" w:styleId="155">
    <w:name w:val="Bordered"/>
    <w:basedOn w:val="27"/>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27"/>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27"/>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27"/>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27"/>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27"/>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27"/>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29"/>
    <w:qFormat/>
    <w:uiPriority w:val="9"/>
    <w:rPr>
      <w:rFonts w:ascii="Arial" w:hAnsi="Arial" w:eastAsia="Arial" w:cs="Arial"/>
      <w:color w:val="2E75B6" w:themeColor="accent1" w:themeShade="BF"/>
      <w:sz w:val="40"/>
      <w:szCs w:val="40"/>
    </w:rPr>
  </w:style>
  <w:style w:type="character" w:customStyle="1" w:styleId="163">
    <w:name w:val="Heading 2 Char"/>
    <w:basedOn w:val="29"/>
    <w:qFormat/>
    <w:uiPriority w:val="9"/>
    <w:rPr>
      <w:rFonts w:ascii="Arial" w:hAnsi="Arial" w:eastAsia="Arial" w:cs="Arial"/>
      <w:color w:val="2E75B6" w:themeColor="accent1" w:themeShade="BF"/>
      <w:sz w:val="32"/>
      <w:szCs w:val="32"/>
    </w:rPr>
  </w:style>
  <w:style w:type="character" w:customStyle="1" w:styleId="164">
    <w:name w:val="Heading 3 Char"/>
    <w:basedOn w:val="29"/>
    <w:qFormat/>
    <w:uiPriority w:val="9"/>
    <w:rPr>
      <w:rFonts w:ascii="Arial" w:hAnsi="Arial" w:eastAsia="Arial" w:cs="Arial"/>
      <w:color w:val="2E75B6" w:themeColor="accent1" w:themeShade="BF"/>
      <w:sz w:val="28"/>
      <w:szCs w:val="28"/>
    </w:rPr>
  </w:style>
  <w:style w:type="character" w:customStyle="1" w:styleId="165">
    <w:name w:val="Heading 4 Char"/>
    <w:basedOn w:val="29"/>
    <w:link w:val="5"/>
    <w:qFormat/>
    <w:uiPriority w:val="9"/>
    <w:rPr>
      <w:rFonts w:ascii="Arial" w:hAnsi="Arial" w:eastAsia="Arial" w:cs="Arial"/>
      <w:i/>
      <w:iCs/>
      <w:color w:val="2E75B6" w:themeColor="accent1" w:themeShade="BF"/>
    </w:rPr>
  </w:style>
  <w:style w:type="character" w:customStyle="1" w:styleId="166">
    <w:name w:val="Heading 5 Char"/>
    <w:basedOn w:val="29"/>
    <w:link w:val="6"/>
    <w:qFormat/>
    <w:uiPriority w:val="9"/>
    <w:rPr>
      <w:rFonts w:ascii="Arial" w:hAnsi="Arial" w:eastAsia="Arial" w:cs="Arial"/>
      <w:color w:val="2E75B6" w:themeColor="accent1" w:themeShade="BF"/>
    </w:rPr>
  </w:style>
  <w:style w:type="character" w:customStyle="1" w:styleId="167">
    <w:name w:val="Heading 6 Char"/>
    <w:basedOn w:val="29"/>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29"/>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29"/>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29"/>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29"/>
    <w:qFormat/>
    <w:uiPriority w:val="10"/>
    <w:rPr>
      <w:rFonts w:ascii="Arial" w:hAnsi="Arial" w:eastAsia="Arial" w:cs="Arial"/>
      <w:spacing w:val="-10"/>
      <w:sz w:val="56"/>
      <w:szCs w:val="56"/>
    </w:rPr>
  </w:style>
  <w:style w:type="character" w:customStyle="1" w:styleId="172">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21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29"/>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29"/>
    <w:qFormat/>
    <w:uiPriority w:val="30"/>
    <w:rPr>
      <w:i/>
      <w:iCs/>
      <w:color w:val="2E75B6" w:themeColor="accent1" w:themeShade="BF"/>
    </w:rPr>
  </w:style>
  <w:style w:type="character" w:customStyle="1" w:styleId="178">
    <w:name w:val="Intense Reference"/>
    <w:basedOn w:val="29"/>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29"/>
    <w:qFormat/>
    <w:uiPriority w:val="33"/>
    <w:rPr>
      <w:b/>
      <w:bCs/>
      <w:i/>
      <w:iCs/>
      <w:spacing w:val="5"/>
    </w:rPr>
  </w:style>
  <w:style w:type="character" w:customStyle="1" w:styleId="183">
    <w:name w:val="Header Char"/>
    <w:basedOn w:val="29"/>
    <w:qFormat/>
    <w:uiPriority w:val="99"/>
  </w:style>
  <w:style w:type="character" w:customStyle="1" w:styleId="184">
    <w:name w:val="Footer Char"/>
    <w:basedOn w:val="29"/>
    <w:qFormat/>
    <w:uiPriority w:val="99"/>
  </w:style>
  <w:style w:type="character" w:customStyle="1" w:styleId="185">
    <w:name w:val="Footnote Text Char"/>
    <w:basedOn w:val="29"/>
    <w:semiHidden/>
    <w:qFormat/>
    <w:uiPriority w:val="99"/>
    <w:rPr>
      <w:sz w:val="20"/>
      <w:szCs w:val="20"/>
    </w:rPr>
  </w:style>
  <w:style w:type="character" w:customStyle="1" w:styleId="186">
    <w:name w:val="Endnote Text Char"/>
    <w:basedOn w:val="29"/>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29"/>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2"/>
    <w:qFormat/>
    <w:uiPriority w:val="1"/>
    <w:rPr>
      <w:rFonts w:ascii="黑体" w:hAnsi="Times New Roman" w:eastAsia="黑体" w:cs="黑体"/>
      <w:b/>
      <w:bCs/>
      <w:sz w:val="36"/>
      <w:szCs w:val="36"/>
    </w:rPr>
  </w:style>
  <w:style w:type="character" w:customStyle="1" w:styleId="205">
    <w:name w:val="标题 2 字符1"/>
    <w:link w:val="3"/>
    <w:qFormat/>
    <w:uiPriority w:val="9"/>
    <w:rPr>
      <w:rFonts w:ascii="Cambria" w:hAnsi="Cambria" w:eastAsia="宋体" w:cs="Times New Roman"/>
      <w:b/>
      <w:bCs/>
      <w:sz w:val="32"/>
      <w:szCs w:val="32"/>
    </w:rPr>
  </w:style>
  <w:style w:type="character" w:customStyle="1" w:styleId="206">
    <w:name w:val="标题 3 字符1"/>
    <w:link w:val="4"/>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29"/>
    <w:semiHidden/>
    <w:qFormat/>
    <w:uiPriority w:val="99"/>
    <w:rPr>
      <w:rFonts w:ascii="Times New Roman" w:hAnsi="Times New Roman" w:eastAsia="宋体" w:cs="Times New Roman"/>
    </w:rPr>
  </w:style>
  <w:style w:type="character" w:customStyle="1" w:styleId="210">
    <w:name w:val="批注框文本 字符1"/>
    <w:link w:val="173"/>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2.xml><?xml version="1.0" encoding="utf-8"?>
<Properties xmlns="http://schemas.openxmlformats.org/officeDocument/2006/extended-properties" xmlns:vt="http://schemas.openxmlformats.org/officeDocument/2006/docPropsVTypes">
  <Application>onlyoffice/8.1.3.4</Application>
  <DocSecurity>0</DocSecurity>
  <LinksUpToDate>false</LinksUpToDate>
  <ScaleCrop>false</ScaleCrop>
  <Template>Normal</Template>
</Properties>
</file>

<file path=customXml/item3.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匿名用户</cp:lastModifiedBy>
  <dcterms:modified xsi:type="dcterms:W3CDTF">2026-09-10T07:02:45Z</dcterms:modified>
  <cp:revision>73</cp:revision>
</cp:coreProperties>
</file>

<file path=customXml/itemProps1.xml><?xml version="1.0" encoding="utf-8"?>
<ds:datastoreItem xmlns:ds="http://schemas.openxmlformats.org/officeDocument/2006/customXml" ds:itemID="{2dada2e0-e267-4d4c-8df1-f04a0a722e19}">
  <ds:schemaRefs/>
</ds:datastoreItem>
</file>

<file path=customXml/itemProps2.xml><?xml version="1.0" encoding="utf-8"?>
<ds:datastoreItem xmlns:ds="http://schemas.openxmlformats.org/officeDocument/2006/customXml" ds:itemID="{66cf97e0-6a7c-4632-a095-daccf61fec18}">
  <ds:schemaRefs/>
</ds:datastoreItem>
</file>

<file path=customXml/itemProps3.xml><?xml version="1.0" encoding="utf-8"?>
<ds:datastoreItem xmlns:ds="http://schemas.openxmlformats.org/officeDocument/2006/customXml" ds:itemID="{b6481fdf-b279-4fce-ae27-5314d774177b}">
  <ds:schemaRefs/>
</ds:datastoreItem>
</file>

<file path=docProps/app.xml><?xml version="1.0" encoding="utf-8"?>
<Properties xmlns="http://schemas.openxmlformats.org/officeDocument/2006/extended-properties" xmlns:vt="http://schemas.openxmlformats.org/officeDocument/2006/docPropsVTypes">
  <Template>Normal</Template>
  <Pages>32</Pages>
  <Words>41114</Words>
  <Characters>44467</Characters>
  <TotalTime>7</TotalTime>
  <ScaleCrop>false</ScaleCrop>
  <LinksUpToDate>false</LinksUpToDate>
  <CharactersWithSpaces>44522</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陈哲琨</cp:lastModifiedBy>
  <dcterms:modified xsi:type="dcterms:W3CDTF">2026-09-11T10:57:11Z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369A76FB29F44150A5F782A621A182A2</vt:lpwstr>
  </property>
</Properties>
</file>