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310" w:lineRule="exact"/>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苏银理财恒源1年定开19期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3"/>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310" w:lineRule="exact"/>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310" w:lineRule="exact"/>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产品登记编码：Z7003121000118</w:t>
      </w:r>
    </w:p>
    <w:p>
      <w:pPr>
        <w:pStyle w:val="26"/>
        <w:keepNext w:val="0"/>
        <w:keepLines w:val="0"/>
        <w:pageBreakBefore w:val="0"/>
        <w:bidi w:val="0"/>
        <w:spacing w:line="310" w:lineRule="exact"/>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310" w:lineRule="exact"/>
        <w:rPr>
          <w:rFonts w:hint="eastAsia" w:ascii="楷体" w:hAnsi="楷体" w:eastAsia="楷体" w:cs="楷体"/>
          <w:b/>
          <w:color w:val="auto"/>
          <w:sz w:val="21"/>
          <w:szCs w:val="21"/>
          <w:highlight w:val="none"/>
        </w:rPr>
      </w:pPr>
    </w:p>
    <w:p>
      <w:pPr>
        <w:keepNext w:val="0"/>
        <w:keepLines w:val="0"/>
        <w:pageBreakBefore w:val="0"/>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①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②本理财产品不保证本金及收益，您的本金可能因市场变动或者交易违约等事项而蒙受相应损失，投资者应充分认识投资风险，谨慎投资。</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③本理财产品过往业绩不代表其未来表现，不等于理财产品实际收益，投资须谨慎；理财非存款、产品有风险、投资须谨慎。</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④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⑤《风险揭示书》、《理财产品说明书》、《理财产品投资协议书》、《投资者权益须知》、《理财产品（代理）销售协议书》共同构成本理财产品完整的不可分割的理财产品合同。</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eastAsia" w:ascii="楷体" w:hAnsi="楷体" w:eastAsia="楷体"/>
          <w:sz w:val="21"/>
          <w:szCs w:val="21"/>
          <w:highlight w:val="none"/>
        </w:rPr>
      </w:pPr>
      <w:r>
        <w:rPr>
          <w:rFonts w:hint="eastAsia" w:ascii="楷体" w:hAnsi="楷体" w:eastAsia="楷体"/>
          <w:sz w:val="21"/>
          <w:szCs w:val="21"/>
          <w:highlight w:val="none"/>
        </w:rPr>
        <w:t>⑥本理财产品涉及的主要风险包括政策风险、信用风险、市场风险、流动性风险、管理风险、操作风险、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延期兑付风险、提前终止风险、信息传递风险、代销风险（如有）、不可抗力风险、关联关系及关联交易风险、特定投资标的风险等。请仔细阅读《“苏银理财恒源1年定开1</w:t>
      </w:r>
      <w:r>
        <w:rPr>
          <w:rFonts w:hint="eastAsia" w:ascii="楷体" w:hAnsi="楷体" w:eastAsia="楷体"/>
          <w:sz w:val="21"/>
          <w:szCs w:val="21"/>
          <w:highlight w:val="none"/>
          <w:lang w:val="en-US" w:eastAsia="zh-CN"/>
        </w:rPr>
        <w:t>9</w:t>
      </w:r>
      <w:r>
        <w:rPr>
          <w:rFonts w:hint="eastAsia" w:ascii="楷体" w:hAnsi="楷体" w:eastAsia="楷体"/>
          <w:sz w:val="21"/>
          <w:szCs w:val="21"/>
          <w:highlight w:val="none"/>
        </w:rPr>
        <w:t>期”理财产品风险揭示书》的“风险揭示”部分。</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⑦本产品可设置多类份额，各类份额可能设置不同的销售对象、销售起点、业绩比较基准等，各类份额实际收取的销售服务费率、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hint="eastAsia" w:ascii="楷体" w:hAnsi="楷体" w:eastAsia="楷体" w:cs="楷体"/>
          <w:sz w:val="21"/>
          <w:szCs w:val="21"/>
          <w:highlight w:val="none"/>
        </w:rPr>
      </w:pPr>
      <w:r>
        <w:rPr>
          <w:rFonts w:hint="eastAsia" w:ascii="楷体" w:hAnsi="楷体" w:eastAsia="楷体"/>
          <w:b/>
          <w:sz w:val="21"/>
          <w:szCs w:val="21"/>
          <w:highlight w:val="none"/>
          <w:u w:val="single"/>
        </w:rPr>
        <w:t>⑧投资者不得使用贷款、发行债券等筹集的非自有资金投资本理财产品。</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0" w:firstLineChars="200"/>
        <w:textAlignment w:val="auto"/>
        <w:rPr>
          <w:rFonts w:hint="default" w:eastAsia="楷体"/>
          <w:highlight w:val="none"/>
          <w:lang w:val="en-US" w:eastAsia="zh-CN"/>
        </w:rPr>
      </w:pPr>
      <w:r>
        <w:rPr>
          <w:rFonts w:hint="eastAsia" w:ascii="楷体" w:hAnsi="楷体" w:eastAsia="楷体"/>
          <w:sz w:val="21"/>
          <w:szCs w:val="21"/>
          <w:highlight w:val="none"/>
        </w:rPr>
        <w:t>⑨在本产品存续期内，如因监管政策或法律法规发生变化，在不损害投资者利益的前提下，苏银理财有权单方对本产品条款进行修订，并按本理财产品说明书约定的信息披露方式予以披露。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一、关键</w:t>
      </w:r>
      <w:r>
        <w:rPr>
          <w:rFonts w:hint="eastAsia" w:ascii="楷体" w:hAnsi="楷体" w:eastAsia="楷体" w:cs="楷体"/>
          <w:b/>
          <w:color w:val="auto"/>
          <w:sz w:val="21"/>
          <w:szCs w:val="21"/>
          <w:highlight w:val="none"/>
        </w:rPr>
        <w:t>要素</w:t>
      </w:r>
    </w:p>
    <w:tbl>
      <w:tblPr>
        <w:tblStyle w:val="27"/>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Z7003121000118</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苏银理财恒源1年定开19期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A份额：J00331（销售名称：苏银理财恒源1年定开19期A）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B份额：J00332（销售名称：苏银理财恒源1年定开19期B）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D份额：J02555（销售名称：苏银理财恒源1年定开19期D）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F份额：J02556（销售名称：苏银理财恒源1年定开19期F）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G份额：J02557（销售名称：苏银理财恒源1年定开19期G）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J份额：J02558（销售名称：苏银理财恒源1年定开19期J）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ZA份额：J02559（销售名称：苏银理财恒源1年定开19期ZA鑫福款（自动赎回））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ZF份额：J02560（销售名称：苏银理财恒源1年定开19期ZF（自动赎回））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C份额：J06600（销售名称：苏银理财恒源1年定开19期C）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P份额：J06601（销售名称：苏银理财恒源1年定开19期P）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Q份额：J06602（销售名称：苏银理财恒源1年定开19期Q）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S份额：J06603（销售名称：苏银理财恒源1年定开19期S）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ZN份额：J06604（销售名称：苏银理财恒源1年定开19期ZN（自动赎回））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ZQ份额：J06605（销售名称：苏银理财恒源1年定开19期ZQ（自动赎回））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ZR份额：J06606（销售名称：苏银理财恒源1年定开19期ZR（自动赎回））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J2份额：J29345（销售名称：苏银理财恒源1年定开19期J2）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GS份额：J29346（销售名称：苏银理财恒源1年定开19期GS）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S1份额：J29347（销售名称：苏银理财恒源1年定开19期S1（专享））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U份额：J29348（销售名称：苏银理财恒源1年定开19期U）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L份额：J29349（销售名称：苏银理财恒源1年定开19期L）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Z份额：J29350（销售名称：苏银理财恒源1年定开19期Z）</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Z1份额：J29351（销售名称：苏银理财恒源1年定开19期Z1）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Z2份额：J29352（销售名称：苏银理财恒源1年定开19期Z2）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Z3份额：J29353（销售名称：苏银理财恒源1年定开19期Z3）</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ZF2份额：J29354（销售名称：苏银理财恒源1年定开19期ZF2（自动赎回））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ZF3份额：J29355（销售名称：苏银理财恒源1年定开19期ZF3（自动赎回））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ZF4份额：J29356（销售名称：苏银理财恒源1年定开19期ZF4（自动赎回））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ZJ份额：J29357（销售名称：苏银理财恒源1年定开19期ZJ（自动赎回））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ZL份额：J29358（销售名称：苏银理财恒源1年定开19期ZL（自动赎回））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天府·优选份额：J29359（销售名称：苏银理财恒源1年定开19期（天府·优选））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芙蓉锦程·优选份额：J29360（销售名称：苏银理财恒源1年定开19期芙蓉锦程·优选（自动赎回））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芙蓉锦程·优选-尊享款份额：J29361（销售名称：苏银理财恒源1年定开19期芙蓉锦程·优选-尊享款（自动赎回））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ZC份额：J29362（销售名称：苏银理财恒源1年定开19期ZC鑫福优享（自动赎回））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ZK份额：J29363（销售名称：苏银理财恒源1年定开19期ZK鑫福尊享（自动赎回））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（3）甘肃银行股份有限公司：F份额、P份额、GS份额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（7）汉口银行股份有限公司：ZF份额、ZR份额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（8）杭州联合农村商业银行股份有限公司：F份额、G份额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（9）河北银行股份有限公司：ZF份额、ZN份额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（11）华侨银行有限公司：F份额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（12）徽商银行股份有限公司：G份额、P份额、U份额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（13）嘉兴银行股份有限公司：ZF份额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（14）江门农村商业银行股份有限公司：ZF3份额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（15）江苏滨海农村商业银行股份有限公司：ZC份额、ZK份额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（16）江苏常熟农村商业银行股份有限公司：B份额、ZA份额、ZC份额、ZK份额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（17）江苏大丰农村商业银行股份有限公司：ZA份额、ZC份额、ZK份额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（18）江苏丹阳农村商业银行股份有限公司：A份额、B份额、ZA份额、ZC份额、ZK份额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（19）江苏东海农村商业银行股份有限公司：ZA份额、ZC份额、ZK份额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（20）江苏东台农村商业银行股份有限公司：A份额、B份额、ZA份额、ZC份额、ZK份额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（21）江苏丰县农村商业银行股份有限公司：ZA份额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（22）江苏阜宁农村商业银行股份有限公司：A份额、B份额、ZA份额、ZC份额、ZK份额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（24）江苏高邮农村商业银行股份有限公司：A份额、B份额、ZA份额、ZC份额、ZK份额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（25）江苏灌南农村商业银行股份有限公司：ZA份额、ZC份额、ZK份额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（26）江苏灌云农村商业银行股份有限公司：ZA份额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（27）江苏海安农村商业银行股份有限公司：A份额、B份额、ZA份额、ZC份额、ZK份额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（28）江苏海门农村商业银行股份有限公司：ZA份额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（29）江苏洪泽农村商业银行股份有限公司：A份额、B份额、ZA份额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（30）江苏淮安农村商业银行股份有限公司：A份额、B份额、ZA份额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（31）江苏建湖农村商业银行股份有限公司：ZA份额、ZC份额、ZK份额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（32）江苏姜堰农村商业银行股份有限公司：ZA份额、ZC份额、ZK份额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（33）江苏江都农村商业银行股份有限公司：ZA份额、ZC份额、ZK份额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（34）江苏江阴农村商业银行股份有限公司：A份额、D份额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（35）江苏金湖农村商业银行股份有限公司：ZA份额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（36）江苏靖江农村商业银行股份有限公司：A份额、B份额、ZA份额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（37）江苏句容农村商业银行股份有限公司：A份额、B份额、ZA份额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（38）江苏涟水农村商业银行股份有限公司：A份额、B份额、ZA份额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（39）江苏民丰农村商业银行股份有限公司：ZA份额、ZC份额、ZK份额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（40）江苏南通农村商业银行股份有限公司：A份额、B份额、ZA份额、ZK份额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（41）江苏沛县农村商业银行股份有限公司：ZC份额、ZK份额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（42）江苏启东农村商业银行股份有限公司：ZA份额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（43）江苏如东农村商业银行股份有限公司：A份额、B份额、ZA份额、ZC份额、ZK份额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（44）江苏如皋农村商业银行股份有限公司：A份额、B份额、J份额、ZA份额、ZC份额、ZK份额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（45）江苏苏州农村商业银行股份有限公司：B份额、ZA份额、ZQ份额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（46）江苏泰兴农村商业银行股份有限公司：A份额、B份额、ZA份额、ZC份额、ZK份额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（47）江苏响水农村商业银行股份有限公司：ZA份额、ZC份额、ZK份额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（48）江苏新沂农村商业银行股份有限公司：A份额、B份额、ZA份额、ZC份额、ZK份额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（49）江苏兴化农村商业银行股份有限公司：ZC份额、ZK份额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（50）江苏盐城农村商业银行股份有限公司：ZA份额、ZC份额、ZK份额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（51）江苏扬中农村商业银行股份有限公司：A份额、B份额、ZA份额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（52）江苏扬州农村商业银行股份有限公司：A份额、B份额、ZA份额、ZC份额、ZK份额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（53）江苏仪征农村商业银行股份有限公司：A份额、B份额、ZA份额、ZC份额、ZK份额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（54）江苏宜兴农村商业银行股份有限公司：A份额、B份额、ZA份额、ZC份额、ZK份额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（55）江苏银行股份有限公司：A份额、B份额、D份额、J份额、C份额、J2份额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（56）江苏张家港农村商业银行股份有限公司：ZF份额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（57）江苏镇江农村商业银行股份有限公司：ZA份额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（58）江苏紫金农村商业银行股份有限公司：A份额、B份额、ZA份额、C份额、ZC份额、ZK份额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（59）江苏邳州农村商业银行股份有限公司：A份额、B份额、ZA份额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（60）江苏沭阳农村商业银行股份有限公司：A份额、B份额、ZA份额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（61）江苏泗洪农村商业银行股份有限公司：ZA份额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（62）江苏泗阳农村商业银行股份有限公司：ZA份额、ZC份额、ZK份额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（63）江苏溧水农村商业银行股份有限公司：A份额、B份额、ZA份额、ZC份额、ZK份额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（64）江苏盱眙农村商业银行股份有限公司：A份额、B份额、ZA份额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（65）江苏睢宁农村商业银行股份有限公司：ZA份额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（66）交通银行股份有限公司：F份额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（67）晋商银行股份有限公司：S1份额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（68）九江银行股份有限公司：A份额、F份额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（69）莱商银行股份有限公司：ZF份额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（70）连云港东方农村商业银行股份有限公司：ZA份额、ZC份额、ZK份额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（71）宁波慈溪农村商业银行股份有限公司：F份额、ZF份额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（72）宁波东海银行股份有限公司：A份额、B份额、ZA份额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（73）宁波通商银行股份有限公司：F份额、G份额、ZN份额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（74）宁波余姚农村商业银行股份有限公司：F份额、ZF份额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（75）宁波镇海农村商业银行股份有限公司：F份额、ZF份额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（76）宁波甬城农村商业银行股份有限公司：ZF份额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（77）齐鲁银行股份有限公司：A份额、B份额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（78）秦皇岛银行股份有限公司：GS份额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（79）日照银行股份有限公司：GS份额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（80）山西银行股份有限公司：F份额、G份额、S1份额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（81）上海农村商业银行股份有限公司：A份额、Z份额、Z1份额、Z2份额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（82）上海浦东发展银行股份有限公司：F份额、Q份额、S份额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（83）上海银行股份有限公司：A份额、D份额、J份额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（84）深圳农村商业银行股份有限公司：F份额、G份额、L份额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（85）石嘴山银行股份有限公司：ZF2份额、ZF3份额、ZF4份额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（86）苏银理财有限责任公司：A份额、B份额、C份额、ZJ份额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（87）苏州银行股份有限公司：F份额、ZF份额、ZL份额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（88）台州银行股份有限公司：F份额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（89）泰安银行股份有限公司：F份额、P份额、ZJ份额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（90）天津滨海农村商业银行股份有限公司：F份额、GS份额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（91）威海银行股份有限公司：A份额、B份额、J份额、ZA份额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（93）厦门银行股份有限公司：ZF份额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（94）兴业银行股份有限公司：A份额、B份额、F份额、G份额、ZF份额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（95）徐州农村商业银行股份有限公司：A份额、B份额、ZA份额、ZC份额、ZK份额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（96）浙江安吉农村商业银行股份有限公司：ZJ份额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（97）浙江苍南农村商业银行股份有限公司：ZJ份额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（98）浙江长兴农村商业银行股份有限公司：F份额、ZJ份额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（99）浙江淳安农村商业银行股份有限公司：F份额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（100）浙江德清农村商业银行股份有限公司：F份额、G份额、ZF份额、ZF3份额、ZJ份额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（101）浙江东阳农村商业银行股份有限公司：ZF份额、ZF3份额、ZJ份额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（102）浙江海宁农村商业银行股份有限公司：F份额、G份额、ZJ份额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（103）浙江海盐农村商业银行股份有限公司：ZJ份额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（104）浙江杭州余杭农村商业银行股份有限公司：F份额、G份额、ZF份额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（105）浙江禾城农村商业银行股份有限公司：ZJ份额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（106）浙江嘉善农村商业银行股份有限公司：F份额、G份额、ZF份额、ZF3份额、ZJ份额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（107）浙江江山农村商业银行股份有限公司：F份额、ZF份额、ZJ份额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（108）浙江金华成泰农村商业银行股份有限公司：ZJ份额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（109）浙江开化农村商业银行股份有限公司：F份额、ZF份额、ZF3份额、ZJ份额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（110）浙江兰溪农村商业银行股份有限公司：ZF份额、ZF3份额、ZJ份额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（111）浙江乐清农村商业银行股份有限公司：F份额、ZJ份额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（112）浙江临安农村商业银行股份有限公司：ZF份额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（113）浙江临海农村商业银行股份有限公司：F份额、ZF份额、ZF3份额、ZJ份额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（114）浙江龙泉农村商业银行股份有限公司：ZF份额、ZF3份额、ZJ份额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（115）浙江龙游农村商业银行股份有限公司：ZJ份额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（116）浙江南浔农村商业银行股份有限公司：ZF份额、ZF3份额、ZJ份额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（117）浙江平湖农村商业银行股份有限公司：ZJ份额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（118）浙江浦江农村商业银行股份有限公司：ZF份额、ZF3份额、ZJ份额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（119）浙江青田农村商业银行股份有限公司：F份额、ZF份额、ZF3份额、ZJ份额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（120）浙江瑞安农村商业银行股份有限公司：ZJ份额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（121）浙江上虞农村商业银行股份有限公司：F份额、ZF份额、ZF3份额、ZJ份额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（122）浙江绍兴恒信农村商业银行股份有限公司：ZF3份额、ZJ份额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（123）浙江绍兴瑞丰农村商业银行股份有限公司：F份额、G份额、ZJ份额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（124）浙江松阳农村商业银行股份有限公司：ZF3份额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（125）浙江遂昌农村商业银行股份有限公司：ZJ份额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（126）浙江台州黄岩农村商业银行股份有限公司：ZJ份额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（127）浙江台州路桥农村商业银行股份有限公司：ZJ份额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（128）浙江泰顺农村商业银行股份有限公司：F份额、ZF份额、ZF3份额、ZJ份额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（129）浙江天台农村商业银行股份有限公司：ZJ份额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（130）浙江桐庐农村商业银行股份有限公司：F份额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（131）浙江桐乡农村商业银行股份有限公司：ZJ份额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（132）浙江温岭农村商业银行股份有限公司：ZF份额、ZF3份额、ZJ份额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（133）浙江温州龙湾农村商业银行股份有限公司：F份额、ZF份额、ZJ份额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（134）浙江温州鹿城农村商业银行股份有限公司：ZJ份额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（135）浙江温州瓯海农村商业银行股份有限公司：F份额、G份额、ZF份额、ZF3份额、ZJ份额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（136）浙江文成农村商业银行股份有限公司：ZJ份额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（137）浙江武义农村商业银行股份有限公司：F份额、ZF份额、ZF3份额、ZJ份额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（138）浙江仙居农村商业银行股份有限公司：ZJ份额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（139）浙江萧山农村商业银行股份有限公司：F份额、G份额、ZF份额、ZN份额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（140）浙江新昌农村商业银行股份有限公司：ZF份额、ZF3份额、ZJ份额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（141）浙江义乌农村商业银行股份有限公司：F份额、ZF份额、ZJ份额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（142）浙江永嘉农村商业银行股份有限公司：F份额、ZJ份额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（143）浙江永康农村商业银行股份有限公司：F份额、ZF份额、ZF3份额、ZJ份额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（144）浙江舟山定海海洋农村商业银行股份有限公司：F份额、ZJ份额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（145）浙江舟山普陀农村商业银行股份有限公司：ZJ份额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（146）浙江诸暨农村商业银行股份有限公司：ZJ份额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（147）浙江岱山农村商业银行股份有限公司：F份额、ZF份额、ZF3份额、ZJ份额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（148）浙江嵊州农村商业银行股份有限公司：ZF份额、ZF3份额、ZJ份额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（149）浙江衢州柯城农村商业银行股份有限公司：ZF份额、ZF3份额、ZJ份额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（150）浙江衢州衢江农村商业银行股份有限公司：G份额、ZF份额、ZF3份额、ZJ份额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（151）浙江缙云农村商业银行股份有限公司：ZJ份额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（152）浙商银行股份有限公司：G份额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（153）郑州银行股份有限公司：P份额、Z3份额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（154）中山农村商业银行股份有限公司：ZF3份额</w:t>
            </w:r>
          </w:p>
          <w:p>
            <w:pPr>
              <w:keepNext w:val="0"/>
              <w:keepLines w:val="0"/>
              <w:pageBreakBefore w:val="0"/>
              <w:widowControl/>
              <w:bidi w:val="0"/>
              <w:spacing w:line="240" w:lineRule="auto"/>
              <w:jc w:val="both"/>
              <w:rPr>
                <w:rFonts w:hint="eastAsia" w:ascii="楷体" w:hAnsi="楷体" w:eastAsia="楷体" w:cs="楷体"/>
                <w:color w:val="000000"/>
                <w:sz w:val="20"/>
                <w:szCs w:val="20"/>
                <w:highlight w:val="none"/>
                <w:lang w:val="en-US" w:eastAsia="zh-CN"/>
              </w:rPr>
            </w:pPr>
            <w:r>
              <w:rPr>
                <w:rFonts w:hint="eastAsia" w:ascii="楷体" w:hAnsi="楷体" w:eastAsia="楷体" w:cs="楷体"/>
                <w:color w:val="000000"/>
                <w:sz w:val="20"/>
                <w:szCs w:val="20"/>
                <w:highlight w:val="none"/>
                <w:lang w:val="en-US" w:eastAsia="zh-CN"/>
              </w:rPr>
              <w:t>（155）兰州银行股份有限公司：GS份额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（156）成都银行股份有限公司：芙蓉锦程·优选份额、芙蓉锦程·优选-尊享款份额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D份额：个人、机构；销售机构江苏银行个人投资者仅限财富客户购买，江苏银行财富客户指在江苏银行日均资产大于等于200万元的个人客户；机构投资者具体以销售机构设置为准；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ZR份额：个人、机构；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J2份额：个人、机构；销售机构江苏银行仅限白名单客户；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ZF4份额：个人、机构；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天府·优选份额：个人、机构；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ZC份额：个人、机构；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ZK份额：个人、机构。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ZK份额：个人500,000元，机构30,000,000元。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ZK份额：个人10,000元，机构10,000元。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numPr>
                <w:ilvl w:val="0"/>
                <w:numId w:val="1"/>
              </w:numPr>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开放计划</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开放申购与赎回，最新投资周期（2026年09月23日-2027年10月18日）开放申购与赎回时间为：2026年09月15日至2026年09月22日（以各销售机构设置的时间为准）。投资者可在此期间提交申购/赎回申请，投资者未赎回的部分自动进入下一个投资周期。</w:t>
            </w:r>
            <w:r>
              <w:rPr>
                <w:rFonts w:ascii="楷体" w:hAnsi="楷体" w:eastAsia="楷体" w:cs="楷体"/>
                <w:b/>
                <w:bCs/>
                <w:color w:val="000000"/>
                <w:sz w:val="20"/>
              </w:rPr>
              <w:t>(其中ZA份额/ZF份额/ZN份额/ZQ份额/ZR份额/ZF2份额/ZF3份额/ZF4份额/ZJ份额/ZL份额/天府·优选份额/芙蓉锦程·优选份额/芙蓉锦程·优选-尊享款份额/ZC份额/ZK份额由系统主动发起赎回申请，投资者无须发起赎回申请。)</w:t>
            </w:r>
            <w:r>
              <w:rPr>
                <w:rFonts w:ascii="楷体" w:hAnsi="楷体" w:eastAsia="楷体" w:cs="楷体"/>
                <w:b/>
                <w:bCs/>
                <w:color w:val="000000"/>
                <w:sz w:val="20"/>
                <w:u w:val="single"/>
              </w:rPr>
              <w:t>除开放计划外的其他时间，管理人不接受投资者申购、赎回申请</w:t>
            </w:r>
            <w:r>
              <w:rPr>
                <w:rFonts w:ascii="楷体" w:hAnsi="楷体" w:eastAsia="楷体" w:cs="楷体"/>
                <w:color w:val="000000"/>
                <w:sz w:val="20"/>
              </w:rPr>
              <w:t>。详见下文“产品申购、赎回”。</w:t>
            </w:r>
          </w:p>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管理人有权根据资产运作情况、节假日安排调整开放计划，并在调整前进行公告。</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（2）单个投资者单笔购买上限：10000万元。超过购买上限时，管理人有权拒绝投资者购买申请。产品存续期内管理人有权根据实际情况调整单个投资者单笔购买上限。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（3）单个投资者单笔赎回上限：10000万份。超过赎回上限时，管理人有权拒绝投资者赎回申请。产品存续期内管理人有权根据实际情况调整单个投资者单笔赎回上限。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4）巨额申购：本产品单个开放日投资者净申购额（申购申请份额总数扣除赎回申请份额总数）超过上一日日终份额20%时，即认为发生了巨额申购。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1.全额赎回：当管理人有能力兑付投资者的全部赎回申请时，将在申请确认日按投资者申请赎回份额执行正常赎回程序。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收益构成</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本理财产品的收益包括</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期间收益分配（如有）与终止收益分配（如有）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（1）期间分配</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本产品按投资周期进行现金分红。当一个投资周期结束，在满足投资周期终止日理财产品单位净值大于面值的条件下，管理人可进行现金分红</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现金分红金额为单个投资周期投资产生的收益扣除固定费用（包括托管费、销售服务费、</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固定</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管理费</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）、运作产品所必须缴纳的税费、提取</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超额</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业绩报酬（如有）后的部分</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eastAsia" w:ascii="楷体" w:hAnsi="楷体" w:eastAsia="楷体" w:cs="楷体"/>
                <w:b w:val="0"/>
                <w:bCs/>
                <w:color w:val="000000" w:themeColor="text1"/>
                <w:kern w:val="0"/>
                <w:sz w:val="20"/>
                <w:szCs w:val="20"/>
                <w:highlight w:val="none"/>
                <w:lang w:val="en-US" w:eastAsia="zh-CN" w:bidi="ar"/>
                <w14:textFill>
                  <w14:solidFill>
                    <w14:schemeClr w14:val="tx1"/>
                  </w14:solidFill>
                </w14:textFill>
              </w:rPr>
              <w:t>现金分红将于投资周期终止日后2个工作日内分配至投资者资金账户。</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详见下文“</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收益分配原则</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采用现金分配方式；</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每一产品同一份额享有同等分配权。</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如</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产品</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进行</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定开型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6"/>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27"/>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2021年7月27日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2031年7月29日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对于产品终止情形：T+5（此处T指产品实际终止日，5指5个工作日）。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对于赎回情形：T+2（此处T指产品赎回确认日，2指2个工作日）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最新投资周期（2026年09月23日-2027年10月18日）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如遇节假日，顺延至下一工作日，以理财产品实际投资周期天数为准。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管理人按投资周期收取超额业绩报酬。若单一投资周期产品各份额实际投资收益在扣除托管费、销售服务费、投资管理费等费用后超过各份额业绩计提基准，则该投资周期终止日后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各份额业绩计提基准（年化）：</w:t>
            </w:r>
            <w:bookmarkStart w:id="1" w:name="_GoBack"/>
            <w:bookmarkEnd w:id="1"/>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P份额：2.60%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S份额：2.38%</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ZR份额：2.35%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Z份额：2.35%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Z3份额：2.45%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ZF3份额：2.40%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ZF4份额：2.55%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ZL份额：2.50%</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芙蓉锦程·优选份额：2.65%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芙蓉锦程·优选-尊享款份额：2.75%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以前一自然日资产净值为基数，每日计提模式。</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产品管理人有权根据市场情况等调整上述各项费用费率和超额业绩报酬收取方式及比例，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4.产品存续期内管理人有权根据产品运行情况制定费率优惠措施，优惠后实际执行的费率以管理人公告为准。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中债-新综合财富(1-3年)指数收益率。</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含结构性存款）、债券、非标准化债权等资产投资收益水平，在产品说明书约定的投资范围和投资比例内，综合考虑各类份额收取的销售服务费和固定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w:t>
            </w:r>
            <w:r>
              <w:rPr>
                <w:rFonts w:hint="eastAsia" w:ascii="楷体" w:hAnsi="楷体" w:eastAsia="楷体" w:cs="楷体"/>
                <w:b/>
                <w:bCs w:val="0"/>
                <w:color w:val="000000" w:themeColor="text1"/>
                <w:sz w:val="20"/>
                <w:szCs w:val="20"/>
                <w:highlight w:val="none"/>
                <w:u w:val="single"/>
                <w14:textFill>
                  <w14:solidFill>
                    <w14:schemeClr w14:val="tx1"/>
                  </w14:solidFill>
                </w14:textFill>
              </w:rPr>
              <w:t>产品存续期内管理人有权根据市场情况调整业绩比较基准，如有调整以管理人公告为准。</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审慎、严控风险、长效增值的投资理念，依托一年定开的定期封闭运作机制，充分发挥中长期配置优势，紧密跟踪宏观经济运行态势、财政货币政策导向、中长期利率走势及信用环境演变，持续优化投资策略。产品以高流动性利率债、高等级信用债等标准化固收资产为核心底仓，适度配置多元化资产，拓宽收益来源、分散组合风险。通过动态久期管理、波段行情运作、票息收益增厚、精细化风控与仓位优化等多元策略，控制阶段性市场波动，在守住组合安全底线的基础上持续夯实收益，努力为广大投资者创造长期稳健的收益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二、</w:t>
      </w: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规定及本理财产品销售文件中约定的其他职责。</w:t>
      </w:r>
    </w:p>
    <w:p>
      <w:pPr>
        <w:keepNext w:val="0"/>
        <w:keepLines w:val="0"/>
        <w:pageBreakBefore w:val="0"/>
        <w:numPr>
          <w:ilvl w:val="0"/>
          <w:numId w:val="0"/>
        </w:numPr>
        <w:bidi w:val="0"/>
        <w:spacing w:line="310" w:lineRule="exact"/>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w:t>
      </w:r>
      <w:r>
        <w:rPr>
          <w:rFonts w:hint="eastAsia" w:ascii="楷体" w:hAnsi="楷体" w:eastAsia="楷体" w:cs="楷体"/>
          <w:color w:val="auto"/>
          <w:sz w:val="21"/>
          <w:szCs w:val="21"/>
          <w:highlight w:val="none"/>
          <w:lang w:val="en-US" w:eastAsia="zh-CN"/>
        </w:rPr>
        <w:t>产品</w:t>
      </w:r>
      <w:r>
        <w:rPr>
          <w:rFonts w:hint="eastAsia" w:ascii="楷体" w:hAnsi="楷体" w:eastAsia="楷体" w:cs="楷体"/>
          <w:color w:val="auto"/>
          <w:sz w:val="21"/>
          <w:szCs w:val="21"/>
          <w:highlight w:val="none"/>
        </w:rPr>
        <w:t>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w:t>
      </w:r>
      <w:r>
        <w:rPr>
          <w:rFonts w:hint="eastAsia" w:ascii="楷体" w:hAnsi="楷体" w:eastAsia="楷体" w:cs="楷体"/>
          <w:color w:val="auto"/>
          <w:sz w:val="21"/>
          <w:szCs w:val="21"/>
          <w:highlight w:val="none"/>
          <w:lang w:val="en-US" w:eastAsia="zh-CN"/>
        </w:rPr>
        <w:t>产品</w:t>
      </w:r>
      <w:r>
        <w:rPr>
          <w:rFonts w:hint="eastAsia" w:ascii="楷体" w:hAnsi="楷体" w:eastAsia="楷体" w:cs="楷体"/>
          <w:color w:val="auto"/>
          <w:sz w:val="21"/>
          <w:szCs w:val="21"/>
          <w:highlight w:val="none"/>
        </w:rPr>
        <w:t>文件约定的其他权利。</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三、</w:t>
      </w: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本产品托管人为江苏银行股份有限公司，地址为江苏省南京市中华路26号，联系电话为025-58588155。</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310" w:lineRule="exact"/>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四、</w:t>
      </w: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310" w:lineRule="exact"/>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（2）成都农村商业银行股份有限公司，地址为成都市武侯区科华中路88号，联系电话为95392；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（3）甘肃银行股份有限公司，地址为甘肃省兰州市城关区东岗西路525-1号，联系电话为400-869-6666；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（4）广西北部湾银行股份有限公司，地址为广西壮族自治区南宁市良庆区云英路8号五象总部大厦，联系电话为40000-96288；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（5）广州农村商业银行股份有限公司，地址为中国广州市黄埔区映日路9号，联系电话为95313；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（7）汉口银行股份有限公司，地址为湖北省武汉市江汉区建设大道933号武汉商业银行大厦，联系电话为400-609-6558；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（8）杭州联合农村商业银行股份有限公司，地址为浙江省杭州市上城区建国中路99号，联系电话为0571-96596；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（9）河北银行股份有限公司，地址为河北省石家庄市平安北大街28号，联系电话为400-612-9999；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（11）华侨银行有限公司，地址为中国(上海)自由贸易试验区源深路1155号华侨银行大厦B103,103,106A,301-308,401-408,501-508单元，联系电话为40089 40089；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（12）徽商银行股份有限公司，地址为安徽省合肥市云谷路1699号徽银大厦，联系电话为400-889-6588；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（13）嘉兴银行股份有限公司，地址为浙江省嘉兴市昌盛南路1001号，联系电话为0573-96528；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（14）江门农村商业银行股份有限公司，地址为江门市新会区会城启超大道68号，联系电话为0750-96138；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（15）江苏滨海农村商业银行股份有限公司，地址为滨海县城迎宾中路1号，联系电话为96008；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（16）江苏常熟农村商业银行股份有限公司，地址为江苏省常熟市新世纪大道58号，联系电话为956020；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（17）江苏大丰农村商业银行股份有限公司，地址为江苏省盐城市大丰区常新中路9号，联系电话为96008；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（18）江苏丹阳农村商业银行股份有限公司，地址为镇江市丹阳金陵西路152号，联系电话为96008；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（19）江苏东海农村商业银行股份有限公司，地址为连云港市东海县牛山镇海陵东路8号，联系电话为96008；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（20）江苏东台农村商业银行股份有限公司，地址为江苏省东台市东城大道10号，联系电话为96008；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（21）江苏丰县农村商业银行股份有限公司，地址为江苏省丰县人民中路9号，联系电话为96008；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（22）江苏阜宁农村商业银行股份有限公司，地址为江苏省阜宁县城南新区上海路459号，联系电话为96008；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（23）江苏高淳农村商业银行股份有限公司，地址为江苏省南京市高淳区淳溪镇宝塔路123号，联系电话为96008；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（24）江苏高邮农村商业银行股份有限公司，地址为高邮市文游中路28号，联系电话为96008；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（25）江苏灌南农村商业银行股份有限公司，地址为江苏省连云港市灌南县人民路29号，联系电话为96008；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（26）江苏灌云农村商业银行股份有限公司，地址为江苏省灌云县伊山镇水利路东侧(人民路与水利路交汇处)，联系电话为96008；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（27）江苏海安农村商业银行股份有限公司，地址为江苏省海安市长江中路88号(东楼)，联系电话为96008；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（28）江苏海门农村商业银行股份有限公司，地址为江苏省南通市海门区解放中路137号，联系电话为96008；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（29）江苏洪泽农村商业银行股份有限公司，地址为江苏省淮安市洪泽区人民路23号，联系电话为96008；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（30）江苏淮安农村商业银行股份有限公司，地址为江苏省淮安市清江浦区水渡口大道20号金融中心B1号楼，联系电话为96008；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（31）江苏建湖农村商业银行股份有限公司，地址为江苏省建湖县湖中南路958号，联系电话为96008；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（32）江苏姜堰农村商业银行股份有限公司，地址为泰州市姜堰区姜堰大道128号，联系电话为96008；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（33）江苏江都农村商业银行股份有限公司，地址为扬州市江都区龙城路21号，联系电话为96008；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（34）江苏江阴农村商业银行股份有限公司，地址为江苏省江阴市澄江中路1号，联系电话为96078；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（35）江苏金湖农村商业银行股份有限公司，地址为江苏省金湖县黎城街道神华大道299号，联系电话为96008；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（36）江苏靖江农村商业银行股份有限公司，地址为江苏省靖江市南环西路12号，联系电话为96008；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（37）江苏句容农村商业银行股份有限公司，地址为江苏省句容市福地东路66号，联系电话为96008；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（38）江苏涟水农村商业银行股份有限公司，地址为淮安市涟水县涟城镇涟州路5号，联系电话为96008；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（39）江苏民丰农村商业银行股份有限公司，地址为江苏省宿迁市宿城区高宝湖路1号，联系电话为96008；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（40）江苏南通农村商业银行股份有限公司，地址为南通市崇川区工农南路89号，联系电话为96008；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（41）江苏沛县农村商业银行股份有限公司，地址为江苏省沛县汤沐路中段11号，联系电话为96008；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（42）江苏启东农村商业银行股份有限公司，地址为江苏省启东市汇龙镇金沙江路1688号，联系电话为96008；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（43）江苏如东农村商业银行股份有限公司，地址为江苏省如东县掘港镇钟山路66号，联系电话为96008；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（44）江苏如皋农村商业银行股份有限公司，地址为江苏省南通市如皋市如城街道海阳南路999号，联系电话为96008；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（45）江苏苏州农村商业银行股份有限公司，地址为江苏省苏州市吴江区中山南路1777号，联系电话为956111；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（46）江苏泰兴农村商业银行股份有限公司，地址为泰兴市济川街道国庆东路166号，联系电话为96008；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（47）江苏响水农村商业银行股份有限公司，地址为江苏省响水县双园东路北侧，联系电话为96008；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（48）江苏新沂农村商业银行股份有限公司，地址为江苏省新沂市钟吾路163号，联系电话为96008；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（49）江苏兴化农村商业银行股份有限公司，地址为江苏省兴化市长安南路999号，联系电话为96008；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（50）江苏盐城农村商业银行股份有限公司，地址为盐城市盐南高新区新都西路8号，联系电话为0515-88880000；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（51）江苏扬中农村商业银行股份有限公司，地址为扬中市扬子西路79号，联系电话为96008；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（52）江苏扬州农村商业银行股份有限公司，地址为江苏省扬州市同泰路107号，联系电话为96008；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（53）江苏仪征农村商业银行股份有限公司，地址为江苏省仪征市真州镇解放东路818号金融集聚区1座801-811，901-911，1001-1011，2座101，联系电话为96008；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（54）江苏宜兴农村商业银行股份有限公司，地址为江苏省宜兴市宜城街道解放东路579号，联系电话为96008；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（55）江苏银行股份有限公司，地址为江苏省南京市中华路26号，联系电话为95319；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（56）江苏张家港农村商业银行股份有限公司，地址为江苏省苏州市张家港市杨舍镇人民中路66号，联系电话为96065；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（57）江苏镇江农村商业银行股份有限公司，地址为江苏省镇江市润州区长江路97号，联系电话为96008；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（58）江苏紫金农村商业银行股份有限公司，地址为江苏省南京市建邺区江东中路381号，联系电话为96008；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（59）江苏邳州农村商业银行股份有限公司，地址为江苏省邳州市建设中路16号，联系电话为96008；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（60）江苏沭阳农村商业银行股份有限公司，地址为江苏省沭阳县沭城镇苏州东路与台州南路交汇处，联系电话为96008；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（61）江苏泗洪农村商业银行股份有限公司，地址为江苏省宿迁市泗洪县长江东路17号，联系电话为96008；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（62）江苏泗阳农村商业银行股份有限公司，地址为宿迁市泗阳县众兴镇北京中路21号，联系电话为96008；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（63）江苏溧水农村商业银行股份有限公司，地址为江苏省南京市溧水县永阳镇中山路22号，联系电话为96008；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（64）江苏盱眙农村商业银行股份有限公司，地址为江苏省盱眙县合欢大道2号，联系电话为96008；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（65）江苏睢宁农村商业银行股份有限公司，地址为江苏省睢宁县元府东街99号，联系电话为96008；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（66）交通银行股份有限公司，地址为中国(上海)自由贸易试验区银城中路188号，联系电话为95559；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（67）晋商银行股份有限公司，地址为山西省太原市小店区长风街59号，联系电话为9510-5588；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（68）九江银行股份有限公司，地址为江西省九江市濂溪区长虹大道619号，联系电话为95316；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（69）莱商银行股份有限公司，地址为山东省济南市历下区洪山路1号，联系电话为40066-96629；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（70）连云港东方农村商业银行股份有限公司，地址为江苏省连云港市海州区郁洲南路10号，联系电话为96008；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（71）宁波慈溪农村商业银行股份有限公司，地址为浙江省慈溪市浒山街道南城路25号、59号5-6层，联系电话为96596；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（72）宁波东海银行股份有限公司，地址为浙江省宁波高新区新晖南路113-127号（单号），扬帆路515号2-10层，高新宝龙商业广场13-19号、22号、29号，联系电话为400-8866-345；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（73）宁波通商银行股份有限公司，地址为浙江省宁波市鄞州区民安东路337号，联系电话为400-916-6666；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（74）宁波余姚农村商业银行股份有限公司，地址为余姚市新建路69号，联系电话为96596；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（75）宁波镇海农村商业银行股份有限公司，地址为宁波市镇海区骆驼街道镇海大道中段788号，联系电话为96596；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（76）宁波甬城农村商业银行股份有限公司，地址为浙江省宁波市江北区育才路15、17号，联系电话为96596；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（77）齐鲁银行股份有限公司，地址为山东省济南市历下区经十路10817号，联系电话为400-609-6588；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（78）秦皇岛银行股份有限公司，地址为河北省秦皇岛市海港区河北大街西段560号，联系电话为0335-96336/400-105-7366；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（79）日照银行股份有限公司，地址为山东省日照市烟台路197号，联系电话为400-68-96588；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（80）山西银行股份有限公司，地址为山西转型综合改革示范区学府产业园高新街15号，联系电话为0351-96588；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（81）上海农村商业银行股份有限公司，地址为上海市黄浦区中山东二路70号，联系电话为962999/400-696-2999；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（82）上海浦东发展银行股份有限公司，地址为上海市中山东一路12号，联系电话为95528；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（83）上海银行股份有限公司，地址为上海市黄浦区中山南路688号，联系电话为95594；</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（84）深圳农村商业银行股份有限公司，地址为广东省深圳市宝安区新安街道海旺社区海秀路2028号农商银行大厦，联系电话为961200/400-196-1200；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（85）石嘴山银行股份有限公司，地址为宁夏回族自治区石嘴山市大武口区朝阳西街39号，联系电话为0951-96789；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（86）苏银理财有限责任公司，地址为南京市建邺区江山大街70号国际博览中心三期B幢11-13层，联系电话为95319-8-2；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（87）苏州银行股份有限公司，地址为江苏省苏州工业园区钟园路728号，联系电话为96067；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（88）台州银行股份有限公司，地址为台州市路桥区南官大道92号，联系电话为95371；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（89）泰安银行股份有限公司，地址为山东省泰安市长城路3号圣地大厦，联系电话为4006586588；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（90）天津滨海农村商业银行股份有限公司，地址为天津自贸试验区(空港经济区)西三道158号金融中心1号楼，联系电话为022-96156；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（91）威海银行股份有限公司，地址为山东省威海市青岛北路137A号，联系电话为400-009-6636/0631-96636；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（92）潍坊银行股份有限公司，地址为潍坊市奎文区胜利东街5139号，联系电话为400-61-96588；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（93）厦门银行股份有限公司，地址为福建省厦门市湖里区金融大街78号，联系电话为400-858-8888；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（94）兴业银行股份有限公司，地址为中国福建省福州市台江区江滨中大道398号兴业银行大厦，联系电话为95561；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（95）徐州农村商业银行股份有限公司，地址为徐州市铜山区北京南路26号，联系电话为96008；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（96）浙江安吉农村商业银行股份有限公司，地址为浙江省湖州市安吉县昌硕街道昌硕东路1号(自主申报)，联系电话为96596；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（97）浙江苍南农村商业银行股份有限公司，地址为浙江省苍南县灵溪镇人民大道425号，联系电话为96596；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（98）浙江长兴农村商业银行股份有限公司，地址为浙江省湖州市长兴县太湖街道明珠路1298号，联系电话为96596；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（99）浙江淳安农村商业银行股份有限公司，地址为浙江省杭州市淳安县千岛湖镇阳光路960号，联系电话为96596；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（100）浙江德清农村商业银行股份有限公司，地址为浙江省德清县武康街道沈长圩街50号，联系电话为96596；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（101）浙江东阳农村商业银行股份有限公司，地址为浙江省东阳市双岘路18号，联系电话为96596；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（102）浙江海宁农村商业银行股份有限公司，地址为浙江省海宁市海洲街道钱江西路278号，联系电话为96596；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（103）浙江海盐农村商业银行股份有限公司，地址为浙江省嘉兴市海盐县武原街道盐北东路1177号，联系电话为96596；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（104）浙江杭州余杭农村商业银行股份有限公司，地址为浙江省杭州市临平区南苑街道南大街72号，联系电话为96596；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（105）浙江禾城农村商业银行股份有限公司，地址为浙江省嘉兴市经济技术开发区文昌路1229号，联系电话为96596；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（106）浙江嘉善农村商业银行股份有限公司，地址为浙江省嘉兴市嘉善县罗星街道车站南路999号，联系电话为96596；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（107）浙江江山农村商业银行股份有限公司，地址为浙江省衢州市江山市双塔街道江滨路188号，联系电话为96596；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（108）浙江金华成泰农村商业银行股份有限公司，地址为浙江省金华市八一南街123号，联系电话为96596；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（109）浙江开化农村商业银行股份有限公司，地址为浙江省衢州市开化县华埠镇永吉二路8号，联系电话为96596；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（110）浙江兰溪农村商业银行股份有限公司，地址为浙江省兰溪市兰江街道丹溪大道18号，联系电话为96596；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（111）浙江乐清农村商业银行股份有限公司，地址为浙江省乐清市城南街道伯乐西路99号，联系电话为96596；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（112）浙江临安农村商业银行股份有限公司，地址为浙江省杭州市临安区锦城街道钱王街58号，联系电话为96596；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（113）浙江临海农村商业银行股份有限公司，地址为浙江省台州市临海市大洋街道河阳路299号，联系电话为96596；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（114）浙江龙泉农村商业银行股份有限公司，地址为浙江省丽水市龙泉市龙渊街道中山东路101号，联系电话为96596；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（115）浙江龙游农村商业银行股份有限公司，地址为浙江省衢州市龙游县龙洲街道荣昌大道683、685、687号，联系电话为96596；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（116）浙江南浔农村商业银行股份有限公司，地址为浙江省湖州市南浔区南浔镇人瑞路1188号，联系电话为96596；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（117）浙江平湖农村商业银行股份有限公司，地址为浙江省平湖市当湖街道胜利路518号，联系电话为96596；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（118）浙江浦江农村商业银行股份有限公司，地址为浙江省浦江县人民东路90号，联系电话为96596；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（119）浙江青田农村商业银行股份有限公司，地址为浙江省青田县鹤城街道鹤城东路180号，联系电话为96596；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（120）浙江瑞安农村商业银行股份有限公司，地址为浙江省温州市瑞安市莘塍街道万松东路1700-1708、1718号，联系电话为96596；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（121）浙江上虞农村商业银行股份有限公司，地址为浙江省绍兴市上虞区百官街道德盛路55号，联系电话为96596；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（122）浙江绍兴恒信农村商业银行股份有限公司，地址为浙江省绍兴市中兴中路159号，联系电话为96596；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（123）浙江绍兴瑞丰农村商业银行股份有限公司，地址为浙江省绍兴市柯桥区柯桥笛扬路1363号，联系电话为96596；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（124）浙江松阳农村商业银行股份有限公司，地址为浙江省丽水市松阳县水南街道要津南路71号，联系电话为96596；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（125）浙江遂昌农村商业银行股份有限公司，地址为浙江省丽水市遂昌县妙高街道溪边路100号，联系电话为96596；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（126）浙江台州黄岩农村商业银行股份有限公司，地址为浙江省台州市黄岩区洞天路88号，联系电话为96596；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（127）浙江台州路桥农村商业银行股份有限公司，地址为浙江省台州市路桥区路北街道中心大道5789号，联系电话为96596；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（128）浙江泰顺农村商业银行股份有限公司，地址为浙江省温州市泰顺县罗阳镇新城区文祥大道181号，联系电话为96596；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（129）浙江天台农村商业银行股份有限公司，地址为浙江省台州市天台县始丰街道唐兴大道10号，联系电话为96596；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（130）浙江桐庐农村商业银行股份有限公司，地址为浙江省杭州市桐庐县桐君街道迎春南路278号，联系电话为96596；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（131）浙江桐乡农村商业银行股份有限公司，地址为浙江省梧桐街道校场东路59号，联系电话为96596；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（132）浙江温岭农村商业银行股份有限公司，地址为浙江省台州市温岭市城东街道下保路100号，联系电话为96596；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（133）浙江温州龙湾农村商业银行股份有限公司，地址为浙江省温州市龙湾区永中街道永宁西路555号，联系电话为96596；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（134）浙江温州鹿城农村商业银行股份有限公司，地址为浙江省温州市鹿城区会展路1500号富银大厦，联系电话为96596；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（135）浙江温州瓯海农村商业银行股份有限公司，地址为浙江省温州市瓯海区瓯海大道989号，联系电话为96596；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（136）浙江文成农村商业银行股份有限公司，地址为浙江省温州市文成县大峃镇体育场路509-520号，联系电话为96596；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（137）浙江武义农村商业银行股份有限公司，地址为浙江省武义县武阳中路37号，联系电话为96596；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（138）浙江仙居农村商业银行股份有限公司，地址为浙江省台州市仙居县南峰街道庆丰南街113号，联系电话为96596；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（139）浙江萧山农村商业银行股份有限公司，地址为浙江省杭州市萧山区盈丰街道鸿宁路2288号，联系电话为96596；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（140）浙江新昌农村商业银行股份有限公司，地址为浙江省新昌县七星街道七星路18号，联系电话为96596；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（141）浙江义乌农村商业银行股份有限公司，地址为浙江省义乌市福田街道城北路677号，联系电话为96596；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（142）浙江永嘉农村商业银行股份有限公司，地址为浙江省温州市永嘉县瓯北街道阳光大道3918号，联系电话为96596；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（143）浙江永康农村商业银行股份有限公司，地址为浙江省金华市永康市九铃东路3259号，联系电话为96596；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（144）浙江舟山定海海洋农村商业银行股份有限公司，地址为浙江省舟山市定海区环城东路81号，联系电话为96596；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（145）浙江舟山普陀农村商业银行股份有限公司，地址为浙江省舟山市普陀区东港街道麒麟街225号(自贸试验区内)，联系电话为96596；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（146）浙江诸暨农村商业银行股份有限公司，地址为浙江省诸暨市暨阳街道大桥东路2号，联系电话为96596；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（147）浙江岱山农村商业银行股份有限公司，地址为浙江省舟山市岱山县高亭镇衢山大道1009号(自主申报)，联系电话为96596；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（148）浙江嵊州农村商业银行股份有限公司，地址为浙江省嵊州市剡湖街道官河路398号，联系电话为96596；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（149）浙江衢州柯城农村商业银行股份有限公司，地址为浙江省衢州市柯城区上街92号，联系电话为96596；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（150）浙江衢州衢江农村商业银行股份有限公司，地址为浙江省衢州市衢江区樟潭街道信安东路37号，联系电话为96596；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（151）浙江缙云农村商业银行股份有限公司，地址为浙江省丽水市缙云县五云镇新区仙都路68号，联系电话为96596；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（152）浙商银行股份有限公司，地址为浙江省杭州市鸿宁路1788号，联系电话为95527；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（153）郑州银行股份有限公司，地址为河南省郑州市郑东新区商务外环路22号，联系电话为95097；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（154）中山农村商业银行股份有限公司，地址为广东省中山市东区中山三路26号之一，联系电话为020-96138；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（155）兰州银行股份有限公司，地址为甘肃省兰州市城关区酒泉路211号，联系电话为400-88-96799；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（156）成都银行股份有限公司，地址为四川省成都市西御街16号，联系电话为95507。</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6"/>
        <w:keepNext w:val="0"/>
        <w:keepLines w:val="0"/>
        <w:pageBreakBefore w:val="0"/>
        <w:widowControl w:val="0"/>
        <w:numPr>
          <w:ilvl w:val="0"/>
          <w:numId w:val="0"/>
        </w:numPr>
        <w:bidi w:val="0"/>
        <w:spacing w:line="310" w:lineRule="exact"/>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五、名词释义</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3.理财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4.理财</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指产品运作及融资时形成的负债价值总和，包括融资资金本息、应付各项费用（包括托管费、销售服务费、</w:t>
      </w:r>
      <w:r>
        <w:rPr>
          <w:rFonts w:hint="eastAsia" w:ascii="楷体" w:hAnsi="楷体" w:eastAsia="楷体" w:cs="楷体"/>
          <w:color w:val="auto"/>
          <w:sz w:val="21"/>
          <w:szCs w:val="21"/>
          <w:highlight w:val="none"/>
          <w:lang w:val="en-US" w:eastAsia="zh-CN"/>
        </w:rPr>
        <w:t>固定</w:t>
      </w:r>
      <w:r>
        <w:rPr>
          <w:rFonts w:hint="eastAsia" w:ascii="楷体" w:hAnsi="楷体" w:eastAsia="楷体" w:cs="楷体"/>
          <w:color w:val="auto"/>
          <w:sz w:val="21"/>
          <w:szCs w:val="21"/>
          <w:highlight w:val="none"/>
        </w:rPr>
        <w:t>管理费、</w:t>
      </w:r>
      <w:r>
        <w:rPr>
          <w:rFonts w:hint="eastAsia" w:ascii="楷体" w:hAnsi="楷体" w:eastAsia="楷体" w:cs="楷体"/>
          <w:color w:val="auto"/>
          <w:sz w:val="21"/>
          <w:szCs w:val="21"/>
          <w:highlight w:val="none"/>
          <w:lang w:val="en-US" w:eastAsia="zh-CN"/>
        </w:rPr>
        <w:t>信息技术服务费、浮动管理费</w:t>
      </w:r>
      <w:r>
        <w:rPr>
          <w:rFonts w:hint="eastAsia" w:ascii="楷体" w:hAnsi="楷体" w:eastAsia="楷体" w:cs="楷体"/>
          <w:color w:val="auto"/>
          <w:sz w:val="21"/>
          <w:szCs w:val="21"/>
          <w:highlight w:val="none"/>
        </w:rPr>
        <w:t>、其他费用等）、应付税金及其他应付款项等。</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5.</w:t>
      </w:r>
      <w:r>
        <w:rPr>
          <w:rFonts w:hint="eastAsia" w:ascii="楷体" w:hAnsi="楷体" w:eastAsia="楷体" w:cs="楷体"/>
          <w:color w:val="auto"/>
          <w:sz w:val="21"/>
          <w:szCs w:val="21"/>
          <w:highlight w:val="none"/>
        </w:rPr>
        <w:t>理财产品资产净值/</w:t>
      </w:r>
      <w:r>
        <w:rPr>
          <w:rFonts w:hint="eastAsia" w:ascii="楷体" w:hAnsi="楷体" w:eastAsia="楷体" w:cs="楷体"/>
          <w:color w:val="auto"/>
          <w:sz w:val="21"/>
          <w:szCs w:val="21"/>
          <w:highlight w:val="none"/>
          <w:lang w:val="en-US" w:eastAsia="zh-CN"/>
        </w:rPr>
        <w:t>净资产</w:t>
      </w:r>
      <w:r>
        <w:rPr>
          <w:rFonts w:hint="eastAsia" w:ascii="楷体" w:hAnsi="楷体" w:eastAsia="楷体" w:cs="楷体"/>
          <w:color w:val="auto"/>
          <w:sz w:val="21"/>
          <w:szCs w:val="21"/>
          <w:highlight w:val="none"/>
        </w:rPr>
        <w:t>：</w:t>
      </w:r>
      <w:r>
        <w:rPr>
          <w:rFonts w:hint="eastAsia" w:ascii="楷体" w:hAnsi="楷体" w:eastAsia="楷体" w:cs="楷体"/>
          <w:color w:val="auto"/>
          <w:sz w:val="21"/>
          <w:szCs w:val="21"/>
          <w:highlight w:val="none"/>
          <w:lang w:val="en-US" w:eastAsia="zh-CN"/>
        </w:rPr>
        <w:t>指产品</w:t>
      </w:r>
      <w:r>
        <w:rPr>
          <w:rFonts w:hint="eastAsia" w:ascii="楷体" w:hAnsi="楷体" w:eastAsia="楷体" w:cs="楷体"/>
          <w:color w:val="auto"/>
          <w:sz w:val="21"/>
          <w:szCs w:val="21"/>
          <w:highlight w:val="none"/>
        </w:rPr>
        <w:t>资产总值</w:t>
      </w:r>
      <w:r>
        <w:rPr>
          <w:rFonts w:hint="eastAsia" w:ascii="楷体" w:hAnsi="楷体" w:eastAsia="楷体" w:cs="楷体"/>
          <w:color w:val="auto"/>
          <w:sz w:val="21"/>
          <w:szCs w:val="21"/>
          <w:highlight w:val="none"/>
          <w:lang w:val="en-US" w:eastAsia="zh-CN"/>
        </w:rPr>
        <w:t>减去</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val="en-US" w:eastAsia="zh-CN"/>
        </w:rPr>
        <w:t>后的价值</w:t>
      </w:r>
      <w:r>
        <w:rPr>
          <w:rFonts w:hint="eastAsia" w:ascii="楷体" w:hAnsi="楷体" w:eastAsia="楷体" w:cs="楷体"/>
          <w:color w:val="auto"/>
          <w:sz w:val="21"/>
          <w:szCs w:val="21"/>
          <w:highlight w:val="none"/>
        </w:rPr>
        <w:t>。</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7.</w:t>
      </w:r>
      <w:r>
        <w:rPr>
          <w:rFonts w:hint="eastAsia" w:ascii="楷体" w:hAnsi="楷体" w:eastAsia="楷体" w:cs="楷体"/>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8.流动性受限资产：</w:t>
      </w:r>
      <w:r>
        <w:rPr>
          <w:rFonts w:hint="eastAsia" w:ascii="楷体" w:hAnsi="楷体" w:eastAsia="楷体" w:cs="楷体"/>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9.</w:t>
      </w:r>
      <w:r>
        <w:rPr>
          <w:rFonts w:hint="eastAsia" w:ascii="楷体" w:hAnsi="楷体" w:eastAsia="楷体" w:cs="楷体"/>
          <w:sz w:val="21"/>
          <w:szCs w:val="21"/>
          <w:highlight w:val="none"/>
        </w:rPr>
        <w:t>7个工作日可变现资产</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7.产品终止日/到期日：指理财产品终止的日期。</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六、投资管理</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（一）拟投资非标准化债权类资产</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 （2）非标准化债权类资产：融资人为海安市城建开发投资集团有限公司。融资人经营正常，是依法设立的国有公司，主要股东为海安市政府国有资产监督管理办公室，实际控制人为海安市政府国有资产监督管理办公室。 （3）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 （4）非标准化债权类资产：融资人为湖州经开投资发展集团有限公司。融资人经营正常，是依法设立的国有公司，主要股东为湖州南太湖国有控股集团有限公司，实际控制人为湖州市人民政府国有资产监督管理委员会。 （5）非标准化债权类资产：融资人为湖州吴兴城市投资发展集团有限公司。融资人经营正常，是依法设立的国有公司，主要股东为湖州吴兴国控投资运营发展集团有限公司，实际控制人为湖州市吴兴区财政局。 （6）非标准化债权类资产：融资人为江苏皋开投资发展集团有限公司。融资人经营正常，是依法设立的国有公司，主要股东为如皋市人民政府，实际控制人为如皋市人民政府。 （7）非标准化债权类资产：融资人为兰溪市城市投资集团有限公司。融资人经营正常，是依法设立的国有公司，主要股东为兰溪市城市发展集团有限公司，实际控制人为兰溪市人民政府国有资产监督管理办公室。 （8）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 （9）非标准化债权类资产：融资人为绍兴市越城区城市发展建设集团有限公司。融资人经营正常，是依法设立的国有公司，主要股东为绍兴市越城区财政局，实际控制人为绍兴市越城区财政局。 （10）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 （11）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 （12）非标准化债权类资产：融资人为桐庐县城市建设投资集团有限公司。融资人经营正常，是依法设立的国有公司，主要股东为桐庐投资建设发展集团有限公司，实际控制人为桐庐县人民政府国有资产监督管理委员会。 （13）非标准化债权类资产：融资人为无锡市高发投资发展集团有限公司。融资人经营正常，是依法设立的国有公司，主要股东为江苏省无锡市新吴区人民政府，实际控制人为江苏省无锡市新吴区人民政府。 （14）非标准化债权类资产：融资人为徐州金龙湖控股集团有限公司。融资人经营正常，是依法设立的国有公司，主要股东为徐州市产业发展控股集团有限公司，实际控制人为徐州市人民政府国有资产监督管理委员会。 （15）非标准化债权类资产：融资人为盐城市城镇化建设投资集团有限公司。融资人经营正常，是依法设立的国有公司，主要股东为盐城市人民政府，实际控制人为盐城市人民政府。 （16）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 （17）非标准化债权类资产：融资人为燕舞集团有限公司。融资人经营正常，是依法设立的国有公司，主要股东为盐城市人民政府、盐城市城市资产投资集团有限公司、江苏悦达集团有限公司，实际控制人为盐城市人民政府。 （18）非标准化债权类资产：融资人为扬州江淮建设发展有限公司。融资人经营正常，是依法设立的国有公司，主要股东为扬州市国联控股集团有限公司，实际控制人为扬州市人民政府。 （19）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 （20）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 （21）收益凭证：融资人为财通证券股份有限公司。融资人经营正常，是依法设立的持牌金融机构，主要股东为浙江省创新投资集团有限公司、浙江省财开集团有限公司、台州市金融投资集团有限公司，实际控制人为浙江省财政厅。 （22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24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（25）收益凭证：融资人为东海证券股份有限公司。融资人经营正常，是依法设立的持牌金融机构，主要股东为常州投资集团有限公司、山东金控资本管理有限公司，实际控制人为常州投资集团有限公司。 （26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28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29）收益凭证：融资人为广发证券股份有限公司。融资人经营正常，是依法设立的持牌金融机构，主要股东为香港中央结算（代理人）有限公司、吉林敖东药业集团股份有限公司、辽宁成大股份有限公司，无实际控制人。 （30）收益凭证：融资人为国都证券股份有限公司。融资人经营正常，是依法设立的持牌金融机构，主要股东为浙商证券股份有限公司、中诚信托有限责任公司、北京国际信托有限公司，实际控制人为浙江省交通投资集团有限公司。 （31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32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（33）收益凭证：融资人为国投证券股份有限公司。融资人经营正常，是依法设立的国有公司，主要股东为国投资本股份有限公司、上海毅胜投资有限公司，实际控制人为国家开发投资集团有限公司。 （34）收益凭证：融资人为华泰证券股份有限公司。融资人经营正常，是依法设立的国有公司，主要股东为江苏省国信集团有限公司、香港中央结算（代理人）有限公司、江苏交通控股有限公司，无实际控制人。 （35）收益凭证：融资人为华鑫证券有限责任公司。融资人经营正常，是依法设立的持牌金融机构，主要股东为上海华鑫股份有限公司，实际控制人为上海市国有资产监督管理委员会。 （36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37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38）收益凭证：融资人为山西证券股份有限公司。融资人经营正常，是依法设立的持牌金融机构，主要股东为山西金融投资控股集团有限公司、太原钢铁（集团）有限公司、山西国际电力集团有限公司，实际控制人为山西省财政厅。 （39）收益凭证：融资人为申万宏源证券有限公司。融资人经营正常，是依法设立的国有公司，主要股东为申万宏源集团股份有限公司，实际控制人为中央汇金投资有限责</w:t>
      </w:r>
      <w:r>
        <w:rPr>
          <w:rFonts w:hint="eastAsia" w:ascii="楷体" w:hAnsi="楷体" w:eastAsia="楷体" w:cs="楷体"/>
          <w:b w:val="0"/>
          <w:bCs w:val="0"/>
          <w:sz w:val="21"/>
          <w:szCs w:val="21"/>
          <w:highlight w:val="none"/>
          <w:u w:val="none"/>
          <w:lang w:val="en-US" w:eastAsia="zh-CN"/>
        </w:rPr>
        <w:t xml:space="preserve">任公司。 （40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41）收益凭证：融资人为兴业证券股份有限公司。融资人经营正常，是依法设立的持牌金融机构，主要股东为福建省财政厅、福建省投资开发集团有限责任公司、上海申新（集团）有限公司，实际控制人为福建省财政厅。 （42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43）收益凭证：融资人为浙商证券股份有限公司。融资人经营正常，是依法设立的国有公司，主要股东为浙江上三高速公路有限公司、台州市金融投资集团有限公司，实际控制人为浙江省交通投资集团有限公司。 （44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45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（46）收益凭证：融资人为中国中金财富证券有限公司。融资人经营正常，是依法设立的持牌金融机构，主要股东为中国国际金融股份有限公司，实际控制人为中央汇金投资有限责任公司。 （47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48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49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50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51）同业借款：融资人为中国东方资产管理股份有限公司。融资人经营正常，是依法成立的国有公司，主要股东为中央汇金投资有限责任公司、全国社会保障基金理事会、中国电信集团有限公司，实际控制人为国务院。 （52）同业借款：融资人为中国信达资产管理股份有限公司。融资人经营正常，是依法成立的国有公司，主要股东为中央汇金投资有限责任公司，实际控制人为国务院。 （53）同业借款：融资人为中国中信金融资产管理股份有限公司。融资人经营正常，是依法成立的国有公司，主要股东为中国中信集团有限公司、财政局、中国融信私募基金有限公司，实际控制人为财政部。 </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非标准化债权类资产到期日不超过开放式理财产品投资周期终止日或封闭式理财产品终止日，定期付息、到期一次性还本。</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（二）投资合作机构</w:t>
      </w:r>
    </w:p>
    <w:p>
      <w:pPr>
        <w:keepNext w:val="0"/>
        <w:keepLines w:val="0"/>
        <w:pageBreakBefore w:val="0"/>
        <w:numPr>
          <w:ilvl w:val="0"/>
          <w:numId w:val="0"/>
        </w:numPr>
        <w:bidi w:val="0"/>
        <w:spacing w:line="310" w:lineRule="exact"/>
        <w:ind w:firstLine="420"/>
        <w:rPr>
          <w:rFonts w:hint="eastAsia"/>
          <w:color w:val="auto"/>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①江苏省国际信托有限责任公司：江苏省国际信托有限责任公司</w:t>
      </w:r>
      <w:r>
        <w:rPr>
          <w:rFonts w:hint="eastAsia" w:ascii="楷体" w:hAnsi="楷体" w:eastAsia="楷体" w:cs="楷体"/>
          <w:b w:val="0"/>
          <w:bCs w:val="0"/>
          <w:color w:val="auto"/>
          <w:sz w:val="21"/>
          <w:szCs w:val="21"/>
          <w:highlight w:val="none"/>
          <w:u w:val="none"/>
          <w:lang w:val="en-US" w:eastAsia="zh-CN" w:bidi="ar-SA"/>
        </w:rPr>
        <w:t>成立于1992年6月5日，</w:t>
      </w:r>
      <w:r>
        <w:rPr>
          <w:rFonts w:hint="default" w:ascii="楷体" w:hAnsi="楷体" w:eastAsia="楷体" w:cs="楷体"/>
          <w:b w:val="0"/>
          <w:bCs w:val="0"/>
          <w:color w:val="auto"/>
          <w:sz w:val="21"/>
          <w:szCs w:val="21"/>
          <w:highlight w:val="none"/>
          <w:u w:val="none"/>
          <w:lang w:val="en-US" w:eastAsia="zh-CN" w:bidi="ar-SA"/>
        </w:rPr>
        <w:t>是江苏省国信集团的主要成员企业之一，专业从事金融信托业务。</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②创金合信基金管理有限公司：创金合信基金管理有限公司成立于2014年7月9日，由第一创业证券股份有限公司、深圳市金合信投资合伙企业（有限合伙）共同发起设立，注册地为深圳。</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③华鑫国际信托有限公司：华鑫国际信托有限公司于2010年2月获准重新登记，并于同年3月正式挂牌开业，实际控制人为中国华电集团有限公司，注册资本73.95亿元。</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④中国国际金融股份有限公司：中国国际金融股份有限公司于1995年7月31日成立，实际控制人为中央汇金投资有限责任公司，注册资本4,827,256,868元。</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⑤中粮信托有限责任公司：中粮信托有限责任公司成立于2009年7月27日，注册资本28.3095亿元，前三大股东分别为中粮资本投资有限公司、蒙特利尔银行、中粮财务有限责任公司。</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⑥中国对外经济贸易信托有限公司：中国对外经济贸易信托有限公司成立于1987年9月30日，注册资本80亿元，股东为中化资本有限公司和中化集团财务有限责任公司。</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pStyle w:val="26"/>
        <w:keepNext w:val="0"/>
        <w:keepLines w:val="0"/>
        <w:pageBreakBefore w:val="0"/>
        <w:bidi w:val="0"/>
        <w:spacing w:line="310" w:lineRule="exact"/>
        <w:ind w:left="0" w:firstLine="420"/>
        <w:rPr>
          <w:rFonts w:hint="default" w:ascii="楷体" w:hAnsi="楷体" w:eastAsia="楷体" w:cs="楷体"/>
          <w:b w:val="0"/>
          <w:bCs w:val="0"/>
          <w:color w:val="auto"/>
          <w:sz w:val="21"/>
          <w:szCs w:val="21"/>
          <w:highlight w:val="none"/>
          <w:u w:val="none"/>
          <w:lang w:val="en-US" w:eastAsia="zh-CN" w:bidi="ar-SA"/>
        </w:rPr>
      </w:pPr>
      <w:r>
        <w:rPr>
          <w:rFonts w:hint="default" w:ascii="楷体" w:hAnsi="楷体" w:eastAsia="楷体" w:cs="楷体"/>
          <w:b w:val="0"/>
          <w:bCs w:val="0"/>
          <w:color w:val="auto"/>
          <w:sz w:val="21"/>
          <w:szCs w:val="21"/>
          <w:highlight w:val="none"/>
          <w:u w:val="none"/>
          <w:lang w:val="en-US" w:eastAsia="zh-CN" w:bidi="ar-SA"/>
        </w:rPr>
        <w:t>⑧建信保险资产管理有限公司：建信保险资产管理有限公司成立于2016年4月7日，注册资本3亿元，股东为建信人寿保险股份有限公司和建银国际（中国）有限公司。</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（三）投资限制</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1.</w:t>
      </w: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2.</w:t>
      </w: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spacing w:line="310" w:lineRule="exact"/>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5.</w:t>
      </w:r>
      <w:r>
        <w:rPr>
          <w:rFonts w:hint="eastAsia" w:ascii="楷体" w:hAnsi="楷体" w:eastAsia="楷体"/>
          <w:color w:val="auto"/>
          <w:sz w:val="21"/>
          <w:szCs w:val="21"/>
          <w:highlight w:val="none"/>
        </w:rPr>
        <w:t>本理财产品在开放日及开放日前7个工作日内持有不低于产品资产净值5%的现金或者到期日在一年以内的国债、中央银行票据和政策性金融债券。</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7.</w:t>
      </w: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（四）投资管理调整</w:t>
      </w:r>
    </w:p>
    <w:p>
      <w:pPr>
        <w:pStyle w:val="13"/>
        <w:keepNext w:val="0"/>
        <w:keepLines w:val="0"/>
        <w:pageBreakBefore w:val="0"/>
        <w:widowControl w:val="0"/>
        <w:bidi w:val="0"/>
        <w:spacing w:before="0" w:line="310" w:lineRule="exact"/>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5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3"/>
        <w:keepNext w:val="0"/>
        <w:keepLines w:val="0"/>
        <w:pageBreakBefore w:val="0"/>
        <w:widowControl w:val="0"/>
        <w:bidi w:val="0"/>
        <w:spacing w:before="0" w:line="310" w:lineRule="exact"/>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lang w:val="en-US" w:eastAsia="zh-CN"/>
        </w:rPr>
      </w:pPr>
      <w:r>
        <w:rPr>
          <w:rFonts w:hint="eastAsia" w:ascii="楷体" w:hAnsi="楷体" w:eastAsia="楷体" w:cs="楷体"/>
          <w:b/>
          <w:bCs w:val="0"/>
          <w:color w:val="auto"/>
          <w:sz w:val="21"/>
          <w:szCs w:val="21"/>
          <w:highlight w:val="none"/>
          <w:lang w:val="en-US" w:eastAsia="zh-CN"/>
        </w:rPr>
        <w:t>七、产品申购、赎回</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（一）投资周期、开放计划</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（二）申购、赎回的规则</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（三）申购份额的计算</w:t>
      </w:r>
    </w:p>
    <w:p>
      <w:pPr>
        <w:keepNext w:val="0"/>
        <w:keepLines w:val="0"/>
        <w:pageBreakBefore w:val="0"/>
        <w:bidi w:val="0"/>
        <w:spacing w:line="310" w:lineRule="exact"/>
        <w:ind w:firstLine="420"/>
        <w:rPr>
          <w:rFonts w:hint="eastAsia" w:ascii="楷体" w:hAnsi="楷体" w:eastAsia="楷体"/>
          <w:sz w:val="21"/>
          <w:szCs w:val="21"/>
          <w:highlight w:val="none"/>
          <w:lang w:eastAsia="zh-CN"/>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r>
        <w:rPr>
          <w:rFonts w:hint="eastAsia" w:ascii="楷体" w:hAnsi="楷体" w:eastAsia="楷体"/>
          <w:sz w:val="21"/>
          <w:szCs w:val="21"/>
          <w:highlight w:val="none"/>
          <w:lang w:eastAsia="zh-CN"/>
        </w:rPr>
        <w:t>。</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（四）赎回金额的计算</w:t>
      </w:r>
    </w:p>
    <w:p>
      <w:pPr>
        <w:keepNext w:val="0"/>
        <w:keepLines w:val="0"/>
        <w:pageBreakBefore w:val="0"/>
        <w:bidi w:val="0"/>
        <w:spacing w:line="310" w:lineRule="exact"/>
        <w:ind w:firstLine="420"/>
        <w:rPr>
          <w:rFonts w:hint="eastAsia" w:ascii="楷体" w:hAnsi="楷体" w:eastAsia="楷体"/>
          <w:sz w:val="21"/>
          <w:szCs w:val="21"/>
          <w:highlight w:val="none"/>
          <w:lang w:eastAsia="zh-CN"/>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r>
        <w:rPr>
          <w:rFonts w:hint="eastAsia" w:ascii="楷体" w:hAnsi="楷体" w:eastAsia="楷体"/>
          <w:sz w:val="21"/>
          <w:szCs w:val="21"/>
          <w:highlight w:val="none"/>
          <w:lang w:eastAsia="zh-CN"/>
        </w:rPr>
        <w:t>。</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（五）巨额赎回：详见“关键要素”。</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（六）特殊情形及处理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keepNext w:val="0"/>
        <w:keepLines w:val="0"/>
        <w:pageBreakBefore w:val="0"/>
        <w:numPr>
          <w:ilvl w:val="0"/>
          <w:numId w:val="0"/>
        </w:numPr>
        <w:tabs>
          <w:tab w:val="left" w:pos="728"/>
        </w:tabs>
        <w:bidi w:val="0"/>
        <w:spacing w:line="310" w:lineRule="exact"/>
        <w:ind w:left="0"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bCs w:val="0"/>
          <w:color w:val="auto"/>
          <w:sz w:val="21"/>
          <w:szCs w:val="21"/>
          <w:highlight w:val="none"/>
          <w:lang w:val="en-US" w:eastAsia="zh-CN"/>
        </w:rPr>
      </w:pPr>
      <w:r>
        <w:rPr>
          <w:rFonts w:hint="eastAsia" w:ascii="楷体" w:hAnsi="楷体" w:eastAsia="楷体" w:cs="楷体"/>
          <w:b/>
          <w:bCs w:val="0"/>
          <w:color w:val="auto"/>
          <w:sz w:val="21"/>
          <w:szCs w:val="21"/>
          <w:highlight w:val="none"/>
          <w:lang w:val="en-US" w:eastAsia="zh-CN"/>
        </w:rPr>
        <w:t>八、期间收益分配</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业绩报酬（如有）后的部分，</w:t>
      </w:r>
      <w:r>
        <w:rPr>
          <w:rFonts w:hint="eastAsia" w:ascii="楷体" w:hAnsi="楷体" w:eastAsia="楷体"/>
          <w:sz w:val="21"/>
          <w:szCs w:val="21"/>
        </w:rPr>
        <w:t>现金分红</w:t>
      </w:r>
      <w:r>
        <w:rPr>
          <w:rFonts w:hint="eastAsia" w:ascii="楷体" w:hAnsi="楷体" w:eastAsia="楷体"/>
          <w:sz w:val="21"/>
          <w:szCs w:val="21"/>
          <w:highlight w:val="none"/>
        </w:rPr>
        <w:t>将于投资周期终止日后2个工作日内分配至投资者资金账户。</w:t>
      </w:r>
    </w:p>
    <w:p>
      <w:pPr>
        <w:keepNext w:val="0"/>
        <w:keepLines w:val="0"/>
        <w:pageBreakBefore w:val="0"/>
        <w:bidi w:val="0"/>
        <w:spacing w:line="310" w:lineRule="exact"/>
        <w:ind w:firstLine="422"/>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1.情景一</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w:t>
      </w:r>
      <w:r>
        <w:rPr>
          <w:rFonts w:hint="eastAsia" w:ascii="楷体" w:hAnsi="楷体" w:eastAsia="楷体"/>
          <w:sz w:val="21"/>
          <w:szCs w:val="21"/>
        </w:rPr>
        <w:t>在投资周期终止日</w:t>
      </w:r>
      <w:r>
        <w:rPr>
          <w:rFonts w:hint="eastAsia" w:ascii="楷体" w:hAnsi="楷体" w:eastAsia="楷体"/>
          <w:sz w:val="21"/>
          <w:szCs w:val="21"/>
          <w:highlight w:val="none"/>
        </w:rPr>
        <w:t>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2.情景二</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w:t>
      </w:r>
      <w:r>
        <w:rPr>
          <w:rFonts w:hint="eastAsia" w:ascii="楷体" w:hAnsi="楷体" w:eastAsia="楷体"/>
          <w:sz w:val="21"/>
          <w:szCs w:val="21"/>
        </w:rPr>
        <w:t>在投资周期终止日</w:t>
      </w:r>
      <w:r>
        <w:rPr>
          <w:rFonts w:hint="eastAsia" w:ascii="楷体" w:hAnsi="楷体" w:eastAsia="楷体"/>
          <w:sz w:val="21"/>
          <w:szCs w:val="21"/>
          <w:highlight w:val="none"/>
        </w:rPr>
        <w:t>扣除固定费用（包括托管费、销售服务费、</w:t>
      </w:r>
      <w:r>
        <w:rPr>
          <w:rFonts w:hint="eastAsia" w:ascii="楷体" w:hAnsi="楷体" w:eastAsia="楷体"/>
          <w:sz w:val="21"/>
          <w:szCs w:val="21"/>
          <w:highlight w:val="none"/>
          <w:lang w:val="en-US" w:eastAsia="zh-CN"/>
        </w:rPr>
        <w:t>固定</w:t>
      </w:r>
      <w:r>
        <w:rPr>
          <w:rFonts w:hint="eastAsia" w:ascii="楷体" w:hAnsi="楷体" w:eastAsia="楷体"/>
          <w:sz w:val="21"/>
          <w:szCs w:val="21"/>
          <w:highlight w:val="none"/>
        </w:rPr>
        <w:t>管理费</w:t>
      </w:r>
      <w:r>
        <w:rPr>
          <w:rFonts w:hint="eastAsia" w:ascii="楷体" w:hAnsi="楷体" w:eastAsia="楷体"/>
          <w:sz w:val="21"/>
          <w:szCs w:val="21"/>
          <w:highlight w:val="none"/>
          <w:lang w:val="en-US" w:eastAsia="zh-CN"/>
        </w:rPr>
        <w:t>等</w:t>
      </w:r>
      <w:r>
        <w:rPr>
          <w:rFonts w:hint="eastAsia" w:ascii="楷体" w:hAnsi="楷体" w:eastAsia="楷体"/>
          <w:sz w:val="21"/>
          <w:szCs w:val="21"/>
          <w:highlight w:val="none"/>
        </w:rPr>
        <w:t>）、运作产品所必须缴纳的税费、提取</w:t>
      </w:r>
      <w:r>
        <w:rPr>
          <w:rFonts w:hint="eastAsia" w:ascii="楷体" w:hAnsi="楷体" w:eastAsia="楷体"/>
          <w:sz w:val="21"/>
          <w:szCs w:val="21"/>
          <w:highlight w:val="none"/>
          <w:lang w:val="en-US" w:eastAsia="zh-CN"/>
        </w:rPr>
        <w:t>超额</w:t>
      </w:r>
      <w:r>
        <w:rPr>
          <w:rFonts w:hint="eastAsia" w:ascii="楷体" w:hAnsi="楷体" w:eastAsia="楷体"/>
          <w:sz w:val="21"/>
          <w:szCs w:val="21"/>
          <w:highlight w:val="none"/>
        </w:rPr>
        <w:t>业绩报酬（如有）后，产品单位净值为0.9975</w:t>
      </w:r>
      <w:r>
        <w:rPr>
          <w:rFonts w:hint="eastAsia" w:ascii="楷体" w:hAnsi="楷体" w:eastAsia="楷体"/>
          <w:sz w:val="21"/>
          <w:szCs w:val="21"/>
          <w:highlight w:val="none"/>
          <w:lang w:val="en-US" w:eastAsia="zh-CN"/>
        </w:rPr>
        <w:t>00</w:t>
      </w:r>
      <w:r>
        <w:rPr>
          <w:rFonts w:hint="eastAsia" w:ascii="楷体" w:hAnsi="楷体" w:eastAsia="楷体"/>
          <w:sz w:val="21"/>
          <w:szCs w:val="21"/>
          <w:highlight w:val="none"/>
        </w:rPr>
        <w:t>。理财产品单位净值小于面值，该投资周期无现金分红。</w:t>
      </w:r>
    </w:p>
    <w:p>
      <w:pPr>
        <w:keepNext w:val="0"/>
        <w:keepLines w:val="0"/>
        <w:pageBreakBefore w:val="0"/>
        <w:bidi w:val="0"/>
        <w:spacing w:line="310" w:lineRule="exact"/>
        <w:ind w:firstLine="422"/>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九、</w:t>
      </w:r>
      <w:r>
        <w:rPr>
          <w:rFonts w:hint="eastAsia" w:ascii="楷体" w:hAnsi="楷体" w:eastAsia="楷体" w:cs="楷体"/>
          <w:b/>
          <w:color w:val="auto"/>
          <w:sz w:val="21"/>
          <w:szCs w:val="21"/>
          <w:highlight w:val="none"/>
        </w:rPr>
        <w:t>产品终止</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（一）提前终止</w:t>
      </w:r>
    </w:p>
    <w:p>
      <w:pPr>
        <w:keepNext w:val="0"/>
        <w:keepLines w:val="0"/>
        <w:pageBreakBefore w:val="0"/>
        <w:numPr>
          <w:ilvl w:val="0"/>
          <w:numId w:val="0"/>
        </w:numPr>
        <w:bidi w:val="0"/>
        <w:spacing w:line="310" w:lineRule="exact"/>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（二）正常终止</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（三）延期终止</w:t>
      </w:r>
    </w:p>
    <w:p>
      <w:pPr>
        <w:keepNext w:val="0"/>
        <w:keepLines w:val="0"/>
        <w:pageBreakBefore w:val="0"/>
        <w:bidi w:val="0"/>
        <w:spacing w:line="310" w:lineRule="exact"/>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（四）投资者可得资金计算</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（五）终止清算</w:t>
      </w:r>
    </w:p>
    <w:p>
      <w:pPr>
        <w:keepNext w:val="0"/>
        <w:keepLines w:val="0"/>
        <w:pageBreakBefore w:val="0"/>
        <w:pBdr>
          <w:top w:val="none" w:color="000000" w:sz="0" w:space="0"/>
          <w:left w:val="none" w:color="000000" w:sz="0" w:space="0"/>
          <w:bottom w:val="none" w:color="000000" w:sz="0" w:space="0"/>
          <w:right w:val="none" w:color="000000" w:sz="0" w:space="0"/>
        </w:pBdr>
        <w:spacing w:line="310" w:lineRule="exact"/>
        <w:ind w:firstLine="420"/>
      </w:pPr>
      <w:r>
        <w:rPr>
          <w:rFonts w:hint="eastAsia" w:ascii="楷体" w:hAnsi="楷体" w:eastAsia="楷体" w:cs="楷体"/>
          <w:b w:val="0"/>
          <w:bCs w:val="0"/>
          <w:color w:val="auto"/>
          <w:sz w:val="21"/>
          <w:szCs w:val="21"/>
          <w:highlight w:val="none"/>
        </w:rPr>
        <w:t>投资者的投资本金和收益（如有）将于产品到期日</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产品终止日）</w:t>
      </w:r>
      <w:r>
        <w:rPr>
          <w:rFonts w:hint="eastAsia" w:ascii="楷体" w:hAnsi="楷体" w:eastAsia="楷体" w:cs="楷体"/>
          <w:b w:val="0"/>
          <w:bCs w:val="0"/>
          <w:color w:val="auto"/>
          <w:sz w:val="21"/>
          <w:szCs w:val="21"/>
          <w:highlight w:val="none"/>
        </w:rPr>
        <w:t>后5个工作日以内划至投资者指定账户，如遇</w:t>
      </w:r>
      <w:r>
        <w:rPr>
          <w:rFonts w:hint="eastAsia" w:ascii="楷体" w:hAnsi="楷体" w:eastAsia="楷体" w:cs="楷体"/>
          <w:b w:val="0"/>
          <w:bCs w:val="0"/>
          <w:color w:val="auto"/>
          <w:sz w:val="21"/>
          <w:szCs w:val="21"/>
          <w:highlight w:val="none"/>
          <w:lang w:val="en-US" w:eastAsia="zh-CN"/>
        </w:rPr>
        <w:t>非工作日</w:t>
      </w:r>
      <w:r>
        <w:rPr>
          <w:rFonts w:hint="eastAsia" w:ascii="楷体" w:hAnsi="楷体" w:eastAsia="楷体" w:cs="楷体"/>
          <w:b w:val="0"/>
          <w:bCs w:val="0"/>
          <w:color w:val="auto"/>
          <w:sz w:val="21"/>
          <w:szCs w:val="21"/>
          <w:highlight w:val="none"/>
        </w:rPr>
        <w:t>则相应顺延。信息披露方式详见下文“信息披露-到期公告”。如预期无法</w:t>
      </w:r>
      <w:r>
        <w:rPr>
          <w:rFonts w:hint="eastAsia" w:ascii="楷体" w:hAnsi="楷体" w:eastAsia="楷体" w:cs="楷体"/>
          <w:b w:val="0"/>
          <w:bCs w:val="0"/>
          <w:color w:val="auto"/>
          <w:sz w:val="21"/>
          <w:szCs w:val="21"/>
          <w:highlight w:val="none"/>
          <w:lang w:val="en-US" w:eastAsia="zh-CN"/>
        </w:rPr>
        <w:t>在</w:t>
      </w:r>
      <w:r>
        <w:rPr>
          <w:rFonts w:hint="eastAsia" w:ascii="楷体" w:hAnsi="楷体" w:eastAsia="楷体" w:cs="楷体"/>
          <w:b w:val="0"/>
          <w:bCs w:val="0"/>
          <w:color w:val="auto"/>
          <w:sz w:val="21"/>
          <w:szCs w:val="21"/>
          <w:highlight w:val="none"/>
        </w:rPr>
        <w:t>规定的清算期内完成清算，管理人</w:t>
      </w:r>
      <w:r>
        <w:rPr>
          <w:rFonts w:hint="eastAsia" w:ascii="楷体" w:hAnsi="楷体" w:eastAsia="楷体" w:cs="楷体"/>
          <w:b w:val="0"/>
          <w:bCs w:val="0"/>
          <w:color w:val="auto"/>
          <w:sz w:val="21"/>
          <w:szCs w:val="21"/>
          <w:highlight w:val="none"/>
          <w:lang w:val="en-US" w:eastAsia="zh-CN"/>
        </w:rPr>
        <w:t>将</w:t>
      </w:r>
      <w:r>
        <w:rPr>
          <w:rFonts w:hint="eastAsia" w:ascii="楷体" w:hAnsi="楷体" w:eastAsia="楷体" w:cs="楷体"/>
          <w:b w:val="0"/>
          <w:bCs w:val="0"/>
          <w:color w:val="auto"/>
          <w:sz w:val="21"/>
          <w:szCs w:val="21"/>
          <w:highlight w:val="none"/>
        </w:rPr>
        <w:t>在原清算期结束前向投资者进行披露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理财产品终止清算后，因发生无法预期事项</w:t>
      </w:r>
      <w:r>
        <w:rPr>
          <w:rFonts w:hint="eastAsia" w:ascii="楷体" w:hAnsi="楷体" w:eastAsia="楷体" w:cs="楷体"/>
          <w:b w:val="0"/>
          <w:bCs w:val="0"/>
          <w:color w:val="auto"/>
          <w:sz w:val="21"/>
          <w:szCs w:val="21"/>
          <w:highlight w:val="none"/>
          <w:lang w:val="en-US" w:eastAsia="zh-CN"/>
        </w:rPr>
        <w:t>须</w:t>
      </w:r>
      <w:r>
        <w:rPr>
          <w:rFonts w:hint="eastAsia" w:ascii="楷体" w:hAnsi="楷体" w:eastAsia="楷体" w:cs="楷体"/>
          <w:b w:val="0"/>
          <w:bCs w:val="0"/>
          <w:color w:val="auto"/>
          <w:sz w:val="21"/>
          <w:szCs w:val="21"/>
          <w:highlight w:val="none"/>
        </w:rPr>
        <w:t>再次清算的，</w:t>
      </w:r>
      <w:r>
        <w:rPr>
          <w:rFonts w:hint="eastAsia" w:ascii="楷体" w:hAnsi="楷体" w:eastAsia="楷体" w:cs="楷体"/>
          <w:b w:val="0"/>
          <w:bCs w:val="0"/>
          <w:color w:val="auto"/>
          <w:sz w:val="21"/>
          <w:szCs w:val="21"/>
          <w:highlight w:val="none"/>
          <w:lang w:val="en-US" w:eastAsia="zh-CN"/>
        </w:rPr>
        <w:t>管理人将</w:t>
      </w:r>
      <w:r>
        <w:rPr>
          <w:rFonts w:hint="eastAsia" w:ascii="楷体" w:hAnsi="楷体" w:eastAsia="楷体" w:cs="楷体"/>
          <w:b w:val="0"/>
          <w:bCs w:val="0"/>
          <w:color w:val="auto"/>
          <w:sz w:val="21"/>
          <w:szCs w:val="21"/>
          <w:highlight w:val="none"/>
        </w:rPr>
        <w:t>在完成再次清算之日起</w:t>
      </w:r>
      <w:r>
        <w:rPr>
          <w:rFonts w:hint="eastAsia" w:ascii="楷体" w:hAnsi="楷体" w:eastAsia="楷体" w:cs="楷体"/>
          <w:b w:val="0"/>
          <w:bCs w:val="0"/>
          <w:color w:val="auto"/>
          <w:sz w:val="21"/>
          <w:szCs w:val="21"/>
          <w:highlight w:val="none"/>
          <w:lang w:val="en-US" w:eastAsia="zh-CN"/>
        </w:rPr>
        <w:t>2</w:t>
      </w:r>
      <w:r>
        <w:rPr>
          <w:rFonts w:hint="eastAsia" w:ascii="楷体" w:hAnsi="楷体" w:eastAsia="楷体" w:cs="楷体"/>
          <w:b w:val="0"/>
          <w:bCs w:val="0"/>
          <w:color w:val="auto"/>
          <w:sz w:val="21"/>
          <w:szCs w:val="21"/>
          <w:highlight w:val="none"/>
        </w:rPr>
        <w:t>个工作日内，向投资者披露清算资金分配情况等信息。信息披露方式详见下文“信息披露”</w:t>
      </w:r>
      <w:r>
        <w:rPr>
          <w:rFonts w:ascii="楷体" w:hAnsi="楷体" w:eastAsia="楷体" w:cs="楷体"/>
          <w:color w:val="000000"/>
          <w:sz w:val="22"/>
        </w:rPr>
        <w:t>。</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十、情景示例</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keepNext w:val="0"/>
        <w:keepLines w:val="0"/>
        <w:pageBreakBefore w:val="0"/>
        <w:bidi w:val="0"/>
        <w:spacing w:line="310" w:lineRule="exact"/>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十一、</w:t>
      </w:r>
      <w:r>
        <w:rPr>
          <w:rFonts w:hint="eastAsia" w:ascii="楷体" w:hAnsi="楷体" w:eastAsia="楷体" w:cs="楷体"/>
          <w:b/>
          <w:color w:val="auto"/>
          <w:sz w:val="21"/>
          <w:szCs w:val="21"/>
          <w:highlight w:val="none"/>
        </w:rPr>
        <w:t>产品估值</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（一）估值对象</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（二）估值目的和估值原则</w:t>
      </w:r>
    </w:p>
    <w:p>
      <w:pPr>
        <w:keepNext w:val="0"/>
        <w:keepLines w:val="0"/>
        <w:pageBreakBefore w:val="0"/>
        <w:numPr>
          <w:ilvl w:val="0"/>
          <w:numId w:val="0"/>
        </w:numPr>
        <w:tabs>
          <w:tab w:val="left" w:pos="728"/>
        </w:tabs>
        <w:bidi w:val="0"/>
        <w:spacing w:line="310" w:lineRule="exact"/>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（三）估值方法</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（四）估值错误的处理</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（五）暂停估值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（六）产品单位净值的计算</w:t>
      </w:r>
    </w:p>
    <w:p>
      <w:pPr>
        <w:keepNext w:val="0"/>
        <w:keepLines w:val="0"/>
        <w:pageBreakBefore w:val="0"/>
        <w:numPr>
          <w:ilvl w:val="0"/>
          <w:numId w:val="0"/>
        </w:numPr>
        <w:tabs>
          <w:tab w:val="left" w:pos="728"/>
        </w:tabs>
        <w:bidi w:val="0"/>
        <w:spacing w:line="310" w:lineRule="exact"/>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十二、风险提示</w:t>
      </w:r>
    </w:p>
    <w:p>
      <w:pPr>
        <w:keepNext w:val="0"/>
        <w:keepLines w:val="0"/>
        <w:pageBreakBefore w:val="0"/>
        <w:bidi w:val="0"/>
        <w:spacing w:line="310" w:lineRule="exact"/>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numPr>
          <w:ilvl w:val="0"/>
          <w:numId w:val="0"/>
        </w:numPr>
        <w:tabs>
          <w:tab w:val="left" w:pos="742"/>
        </w:tabs>
        <w:ind w:leftChars="200"/>
        <w:rPr>
          <w:rFonts w:hint="eastAsia" w:ascii="楷体" w:hAnsi="楷体" w:eastAsia="楷体"/>
          <w:color w:val="auto"/>
          <w:sz w:val="21"/>
          <w:szCs w:val="21"/>
        </w:rPr>
      </w:pPr>
      <w:r>
        <w:rPr>
          <w:rFonts w:hint="eastAsia" w:ascii="楷体" w:hAnsi="楷体" w:eastAsia="楷体"/>
          <w:color w:val="auto"/>
          <w:sz w:val="21"/>
          <w:szCs w:val="21"/>
          <w:lang w:val="en-US" w:eastAsia="zh-CN"/>
        </w:rPr>
        <w:t>1.</w:t>
      </w:r>
      <w:r>
        <w:rPr>
          <w:rFonts w:hint="eastAsia" w:ascii="楷体" w:hAnsi="楷体" w:eastAsia="楷体"/>
          <w:color w:val="auto"/>
          <w:sz w:val="21"/>
          <w:szCs w:val="21"/>
        </w:rPr>
        <w:t>债券投资的特殊风险</w:t>
      </w:r>
    </w:p>
    <w:p>
      <w:pPr>
        <w:numPr>
          <w:ilvl w:val="-1"/>
          <w:numId w:val="0"/>
        </w:numPr>
        <w:tabs>
          <w:tab w:val="left" w:pos="109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w:t>
      </w:r>
      <w:r>
        <w:rPr>
          <w:rFonts w:hint="eastAsia" w:ascii="楷体" w:hAnsi="楷体" w:eastAsia="楷体" w:cs="楷体"/>
          <w:color w:val="auto"/>
          <w:sz w:val="21"/>
          <w:szCs w:val="21"/>
          <w:lang w:val="en-US" w:eastAsia="zh-CN"/>
        </w:rPr>
        <w:t>较</w:t>
      </w:r>
      <w:r>
        <w:rPr>
          <w:rFonts w:hint="eastAsia" w:ascii="楷体" w:hAnsi="楷体" w:eastAsia="楷体" w:cs="楷体"/>
          <w:color w:val="auto"/>
          <w:sz w:val="21"/>
          <w:szCs w:val="21"/>
        </w:rPr>
        <w:t>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numPr>
          <w:ilvl w:val="0"/>
          <w:numId w:val="0"/>
        </w:numPr>
        <w:tabs>
          <w:tab w:val="left" w:pos="742"/>
        </w:tabs>
        <w:ind w:left="480" w:leftChars="0"/>
        <w:rPr>
          <w:rFonts w:hint="eastAsia" w:ascii="楷体" w:hAnsi="楷体" w:eastAsia="楷体"/>
          <w:b/>
          <w:bCs w:val="0"/>
          <w:color w:val="auto"/>
          <w:sz w:val="21"/>
          <w:szCs w:val="21"/>
        </w:rPr>
      </w:pPr>
      <w:r>
        <w:rPr>
          <w:rFonts w:hint="eastAsia" w:ascii="楷体" w:hAnsi="楷体" w:eastAsia="楷体"/>
          <w:color w:val="auto"/>
          <w:sz w:val="21"/>
          <w:szCs w:val="21"/>
          <w:lang w:val="en-US" w:eastAsia="zh-CN"/>
        </w:rPr>
        <w:t>2.</w:t>
      </w:r>
      <w:r>
        <w:rPr>
          <w:rFonts w:hint="eastAsia" w:ascii="楷体" w:hAnsi="楷体" w:eastAsia="楷体"/>
          <w:color w:val="auto"/>
          <w:sz w:val="21"/>
          <w:szCs w:val="21"/>
        </w:rPr>
        <w:t>非标准化债权的特殊风险</w:t>
      </w:r>
    </w:p>
    <w:p>
      <w:pPr>
        <w:numPr>
          <w:ilvl w:val="-1"/>
          <w:numId w:val="0"/>
        </w:numPr>
        <w:tabs>
          <w:tab w:val="left" w:pos="1092"/>
        </w:tabs>
        <w:ind w:left="0" w:leftChars="0" w:firstLine="422" w:firstLineChars="200"/>
        <w:rPr>
          <w:rFonts w:hint="eastAsia" w:ascii="楷体" w:hAnsi="楷体" w:eastAsia="楷体" w:cs="楷体"/>
          <w:b/>
          <w:bCs w:val="0"/>
          <w:color w:val="auto"/>
          <w:sz w:val="21"/>
          <w:szCs w:val="21"/>
        </w:rPr>
      </w:pPr>
      <w:r>
        <w:rPr>
          <w:rFonts w:hint="eastAsia" w:ascii="楷体" w:hAnsi="楷体" w:eastAsia="楷体" w:cs="楷体"/>
          <w:b/>
          <w:bCs w:val="0"/>
          <w:color w:val="auto"/>
          <w:sz w:val="21"/>
          <w:szCs w:val="21"/>
        </w:rPr>
        <w:t>①融资方还款履约能力可能的变化导致的信用风险。②债务人提前还款或逾期还款的风险。③保证人未履行保证义务的风险等。</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3.</w:t>
      </w:r>
      <w:r>
        <w:rPr>
          <w:rFonts w:hint="eastAsia" w:ascii="楷体" w:hAnsi="楷体" w:eastAsia="楷体"/>
          <w:color w:val="auto"/>
          <w:sz w:val="21"/>
          <w:szCs w:val="21"/>
        </w:rPr>
        <w:t>股票投资的特殊风险</w:t>
      </w:r>
    </w:p>
    <w:p>
      <w:pPr>
        <w:numPr>
          <w:ilvl w:val="0"/>
          <w:numId w:val="0"/>
        </w:numPr>
        <w:tabs>
          <w:tab w:val="left" w:pos="742"/>
        </w:tabs>
        <w:ind w:left="0" w:leftChars="0" w:firstLine="422" w:firstLineChars="200"/>
        <w:rPr>
          <w:rFonts w:hint="eastAsia" w:ascii="楷体" w:hAnsi="楷体" w:eastAsia="楷体"/>
          <w:b/>
          <w:bCs w:val="0"/>
          <w:color w:val="auto"/>
          <w:sz w:val="21"/>
          <w:szCs w:val="21"/>
        </w:rPr>
      </w:pPr>
      <w:r>
        <w:rPr>
          <w:rFonts w:hint="default" w:ascii="楷体" w:hAnsi="楷体" w:eastAsia="楷体"/>
          <w:b/>
          <w:bCs w:val="0"/>
          <w:color w:val="auto"/>
          <w:sz w:val="21"/>
          <w:szCs w:val="21"/>
        </w:rPr>
        <w:t>①</w:t>
      </w:r>
      <w:r>
        <w:rPr>
          <w:rFonts w:hint="eastAsia" w:ascii="楷体" w:hAnsi="楷体" w:eastAsia="楷体"/>
          <w:b/>
          <w:bCs w:val="0"/>
          <w:color w:val="auto"/>
          <w:sz w:val="21"/>
          <w:szCs w:val="21"/>
        </w:rPr>
        <w:t>国家货币政策、财政政策、产业政策等的变化对证券市场产生一定的影响，导致市场价格水平波动的风险。</w:t>
      </w:r>
      <w:r>
        <w:rPr>
          <w:rFonts w:hint="default" w:ascii="楷体" w:hAnsi="楷体" w:eastAsia="楷体"/>
          <w:b/>
          <w:bCs w:val="0"/>
          <w:color w:val="auto"/>
          <w:sz w:val="21"/>
          <w:szCs w:val="21"/>
        </w:rPr>
        <w:t>②</w:t>
      </w:r>
      <w:r>
        <w:rPr>
          <w:rFonts w:hint="eastAsia" w:ascii="楷体" w:hAnsi="楷体" w:eastAsia="楷体"/>
          <w:b/>
          <w:bCs w:val="0"/>
          <w:color w:val="auto"/>
          <w:sz w:val="21"/>
          <w:szCs w:val="21"/>
        </w:rPr>
        <w:t>宏观经济运行周期性波动，对股票市场的收益水平产生影响的风险。</w:t>
      </w:r>
      <w:r>
        <w:rPr>
          <w:rFonts w:hint="default" w:ascii="楷体" w:hAnsi="楷体" w:eastAsia="楷体"/>
          <w:b/>
          <w:bCs w:val="0"/>
          <w:color w:val="auto"/>
          <w:sz w:val="21"/>
          <w:szCs w:val="21"/>
        </w:rPr>
        <w:t>③</w:t>
      </w:r>
      <w:r>
        <w:rPr>
          <w:rFonts w:hint="eastAsia" w:ascii="楷体" w:hAnsi="楷体" w:eastAsia="楷体"/>
          <w:b/>
          <w:bCs w:val="0"/>
          <w:color w:val="auto"/>
          <w:sz w:val="21"/>
          <w:szCs w:val="21"/>
        </w:rPr>
        <w:t>上市公司的经营状况受多种因素影响，如市场、技术、竞争、管理、财务等都会导致公司盈利发生变化，从而导致股票价格变动的风险。</w:t>
      </w:r>
    </w:p>
    <w:p>
      <w:pPr>
        <w:numPr>
          <w:ilvl w:val="0"/>
          <w:numId w:val="0"/>
        </w:numPr>
        <w:tabs>
          <w:tab w:val="left" w:pos="742"/>
        </w:tabs>
        <w:ind w:left="480" w:leftChars="0"/>
        <w:rPr>
          <w:rFonts w:hint="eastAsia" w:ascii="楷体" w:hAnsi="楷体" w:eastAsia="楷体"/>
          <w:color w:val="auto"/>
          <w:sz w:val="21"/>
          <w:szCs w:val="21"/>
        </w:rPr>
      </w:pPr>
      <w:r>
        <w:rPr>
          <w:rFonts w:hint="eastAsia" w:ascii="楷体" w:hAnsi="楷体" w:eastAsia="楷体"/>
          <w:color w:val="auto"/>
          <w:sz w:val="21"/>
          <w:szCs w:val="21"/>
          <w:lang w:val="en-US" w:eastAsia="zh-CN"/>
        </w:rPr>
        <w:t>4.</w:t>
      </w:r>
      <w:r>
        <w:rPr>
          <w:rFonts w:hint="eastAsia" w:ascii="楷体" w:hAnsi="楷体" w:eastAsia="楷体"/>
          <w:color w:val="auto"/>
          <w:sz w:val="21"/>
          <w:szCs w:val="21"/>
        </w:rPr>
        <w:t>资产管理计划或</w:t>
      </w:r>
      <w:r>
        <w:rPr>
          <w:rFonts w:hint="eastAsia" w:ascii="楷体" w:hAnsi="楷体" w:eastAsia="楷体"/>
          <w:color w:val="auto"/>
          <w:sz w:val="21"/>
          <w:szCs w:val="21"/>
          <w:lang w:val="en-US" w:eastAsia="zh-CN"/>
        </w:rPr>
        <w:t>基金产品</w:t>
      </w:r>
      <w:r>
        <w:rPr>
          <w:rFonts w:hint="eastAsia" w:ascii="楷体" w:hAnsi="楷体" w:eastAsia="楷体"/>
          <w:color w:val="auto"/>
          <w:sz w:val="21"/>
          <w:szCs w:val="21"/>
        </w:rPr>
        <w:t>的特殊风险</w:t>
      </w:r>
    </w:p>
    <w:p>
      <w:pPr>
        <w:numPr>
          <w:ilvl w:val="-1"/>
          <w:numId w:val="0"/>
        </w:numPr>
        <w:tabs>
          <w:tab w:val="left" w:pos="1092"/>
        </w:tabs>
        <w:ind w:left="0" w:leftChars="0" w:firstLine="420" w:firstLineChars="200"/>
        <w:rPr>
          <w:rFonts w:hint="eastAsia" w:ascii="楷体" w:hAnsi="楷体" w:eastAsia="楷体"/>
          <w:color w:val="auto"/>
          <w:sz w:val="21"/>
          <w:szCs w:val="21"/>
        </w:rPr>
      </w:pPr>
      <w:r>
        <w:rPr>
          <w:rFonts w:hint="eastAsia" w:ascii="楷体" w:hAnsi="楷体" w:eastAsia="楷体" w:cs="楷体"/>
          <w:color w:val="auto"/>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w:t>
      </w:r>
      <w:r>
        <w:rPr>
          <w:rFonts w:hint="eastAsia" w:ascii="楷体" w:hAnsi="楷体" w:eastAsia="楷体"/>
          <w:color w:val="auto"/>
          <w:sz w:val="21"/>
          <w:szCs w:val="21"/>
        </w:rPr>
        <w:t>将本理财产品交付的资金运用于违反相关</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约定的投资范围，导致本理财产品项下委托财产的损失等风险。</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5.结构性存款的特殊风险</w:t>
      </w:r>
    </w:p>
    <w:p>
      <w:pPr>
        <w:numPr>
          <w:ilvl w:val="0"/>
          <w:numId w:val="0"/>
        </w:numPr>
        <w:tabs>
          <w:tab w:val="left" w:pos="1092"/>
        </w:tabs>
        <w:ind w:left="0" w:leftChars="0" w:firstLine="422" w:firstLineChars="200"/>
        <w:rPr>
          <w:rFonts w:hint="default" w:ascii="楷体" w:hAnsi="楷体" w:eastAsia="楷体"/>
          <w:b/>
          <w:bCs w:val="0"/>
          <w:color w:val="auto"/>
          <w:sz w:val="21"/>
          <w:szCs w:val="21"/>
          <w:highlight w:val="none"/>
          <w:lang w:val="en-US" w:eastAsia="zh-CN"/>
        </w:rPr>
      </w:pPr>
      <w:r>
        <w:rPr>
          <w:rFonts w:hint="default" w:ascii="楷体" w:hAnsi="楷体" w:eastAsia="楷体"/>
          <w:b/>
          <w:bCs w:val="0"/>
          <w:color w:val="auto"/>
          <w:sz w:val="21"/>
          <w:szCs w:val="21"/>
        </w:rPr>
        <w:t>①</w:t>
      </w:r>
      <w:r>
        <w:rPr>
          <w:rFonts w:hint="default" w:ascii="楷体" w:hAnsi="楷体" w:eastAsia="楷体"/>
          <w:b/>
          <w:bCs w:val="0"/>
          <w:color w:val="auto"/>
          <w:sz w:val="21"/>
          <w:szCs w:val="21"/>
          <w:highlight w:val="none"/>
          <w:lang w:val="en-US" w:eastAsia="zh-CN"/>
        </w:rPr>
        <w:t>市场风险。结构性存款挂钩的境内外债券、股票、利率、汇率、指数等标的受相关国家或地区的金融市场和经济趋势的影响，收益存在不确定性。</w:t>
      </w:r>
      <w:r>
        <w:rPr>
          <w:rFonts w:hint="default" w:ascii="楷体" w:hAnsi="楷体" w:eastAsia="楷体"/>
          <w:b/>
          <w:bCs w:val="0"/>
          <w:color w:val="auto"/>
          <w:sz w:val="21"/>
          <w:szCs w:val="21"/>
        </w:rPr>
        <w:t>②</w:t>
      </w:r>
      <w:r>
        <w:rPr>
          <w:rFonts w:hint="default" w:ascii="楷体" w:hAnsi="楷体" w:eastAsia="楷体"/>
          <w:b/>
          <w:bCs w:val="0"/>
          <w:color w:val="auto"/>
          <w:sz w:val="21"/>
          <w:szCs w:val="21"/>
          <w:highlight w:val="none"/>
          <w:lang w:val="en-US" w:eastAsia="zh-CN"/>
        </w:rPr>
        <w:t>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w:t>
      </w:r>
      <w:r>
        <w:rPr>
          <w:rFonts w:hint="default" w:ascii="楷体" w:hAnsi="楷体" w:eastAsia="楷体"/>
          <w:b/>
          <w:bCs w:val="0"/>
          <w:color w:val="auto"/>
          <w:sz w:val="21"/>
          <w:szCs w:val="21"/>
        </w:rPr>
        <w:t>③</w:t>
      </w:r>
      <w:r>
        <w:rPr>
          <w:rFonts w:hint="default" w:ascii="楷体" w:hAnsi="楷体" w:eastAsia="楷体"/>
          <w:b/>
          <w:bCs w:val="0"/>
          <w:color w:val="auto"/>
          <w:sz w:val="21"/>
          <w:szCs w:val="21"/>
          <w:highlight w:val="none"/>
          <w:lang w:val="en-US" w:eastAsia="zh-CN"/>
        </w:rPr>
        <w:t>利率风险。结构性存款如挂钩特定债券或债券指数，可能因相关利率变动而导致产品收益发生变化。</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4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④</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汇率风险。结构性存款如挂钩境外证券资产，可能面临以非人民币计价的各类资产受汇率波动影响而引起人民币估值下的理财产品资产净值波动的风险。</w:t>
      </w:r>
      <w:r>
        <w:rPr>
          <w:rFonts w:hint="eastAsia" w:ascii="楷体" w:hAnsi="楷体" w:eastAsia="楷体" w:cs="楷体"/>
          <w:b/>
          <w:bCs/>
          <w:color w:val="auto"/>
          <w:sz w:val="18"/>
          <w:szCs w:val="18"/>
          <w:highlight w:val="none"/>
          <w:lang w:val="en-US" w:eastAsia="zh-CN"/>
        </w:rPr>
        <w:fldChar w:fldCharType="begin"/>
      </w:r>
      <w:r>
        <w:rPr>
          <w:rFonts w:hint="eastAsia" w:ascii="楷体" w:hAnsi="楷体" w:eastAsia="楷体" w:cs="楷体"/>
          <w:b/>
          <w:bCs/>
          <w:color w:val="auto"/>
          <w:sz w:val="18"/>
          <w:szCs w:val="18"/>
          <w:highlight w:val="none"/>
          <w:lang w:val="en-US" w:eastAsia="zh-CN"/>
        </w:rPr>
        <w:instrText xml:space="preserve"> = 5 \* GB3 \* MERGEFORMAT </w:instrText>
      </w:r>
      <w:r>
        <w:rPr>
          <w:rFonts w:hint="eastAsia" w:ascii="楷体" w:hAnsi="楷体" w:eastAsia="楷体" w:cs="楷体"/>
          <w:b/>
          <w:bCs/>
          <w:color w:val="auto"/>
          <w:sz w:val="18"/>
          <w:szCs w:val="18"/>
          <w:highlight w:val="none"/>
          <w:lang w:val="en-US" w:eastAsia="zh-CN"/>
        </w:rPr>
        <w:fldChar w:fldCharType="separate"/>
      </w:r>
      <w:r>
        <w:rPr>
          <w:rFonts w:hint="eastAsia" w:ascii="楷体" w:hAnsi="楷体" w:eastAsia="楷体" w:cs="楷体"/>
          <w:b/>
          <w:bCs/>
          <w:sz w:val="22"/>
          <w:szCs w:val="20"/>
          <w:highlight w:val="none"/>
        </w:rPr>
        <w:t>⑤</w:t>
      </w:r>
      <w:r>
        <w:rPr>
          <w:rFonts w:hint="eastAsia" w:ascii="楷体" w:hAnsi="楷体" w:eastAsia="楷体" w:cs="楷体"/>
          <w:b/>
          <w:bCs/>
          <w:color w:val="auto"/>
          <w:sz w:val="18"/>
          <w:szCs w:val="18"/>
          <w:highlight w:val="none"/>
          <w:lang w:val="en-US" w:eastAsia="zh-CN"/>
        </w:rPr>
        <w:fldChar w:fldCharType="end"/>
      </w:r>
      <w:r>
        <w:rPr>
          <w:rFonts w:hint="default" w:ascii="楷体" w:hAnsi="楷体" w:eastAsia="楷体"/>
          <w:b/>
          <w:bCs w:val="0"/>
          <w:color w:val="auto"/>
          <w:sz w:val="21"/>
          <w:szCs w:val="21"/>
          <w:highlight w:val="none"/>
          <w:lang w:val="en-US" w:eastAsia="zh-CN"/>
        </w:rPr>
        <w:t>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numPr>
          <w:ilvl w:val="0"/>
          <w:numId w:val="0"/>
        </w:numPr>
        <w:tabs>
          <w:tab w:val="left" w:pos="742"/>
        </w:tabs>
        <w:ind w:leftChars="200"/>
        <w:rPr>
          <w:rFonts w:hint="eastAsia" w:ascii="楷体" w:hAnsi="楷体" w:eastAsia="楷体"/>
          <w:color w:val="auto"/>
          <w:sz w:val="21"/>
          <w:szCs w:val="21"/>
          <w:lang w:val="en-US" w:eastAsia="zh-CN"/>
        </w:rPr>
      </w:pPr>
      <w:r>
        <w:rPr>
          <w:rFonts w:hint="eastAsia" w:ascii="楷体" w:hAnsi="楷体" w:eastAsia="楷体"/>
          <w:color w:val="auto"/>
          <w:sz w:val="21"/>
          <w:szCs w:val="21"/>
          <w:lang w:val="en-US" w:eastAsia="zh-CN"/>
        </w:rPr>
        <w:t>6.黄金、黄金主题股票、黄金ETF基金等黄金类资产的特殊风险</w:t>
      </w:r>
    </w:p>
    <w:p>
      <w:pPr>
        <w:pStyle w:val="23"/>
        <w:keepNext w:val="0"/>
        <w:keepLines w:val="0"/>
        <w:pageBreakBefore w:val="0"/>
        <w:bidi w:val="0"/>
        <w:spacing w:before="0" w:beforeAutospacing="0" w:after="0" w:afterAutospacing="0" w:line="310" w:lineRule="exact"/>
        <w:ind w:firstLine="420"/>
        <w:jc w:val="both"/>
        <w:rPr>
          <w:rFonts w:hint="eastAsia" w:ascii="楷体" w:hAnsi="楷体" w:eastAsia="楷体"/>
          <w:b/>
          <w:color w:val="auto"/>
          <w:sz w:val="21"/>
          <w:szCs w:val="21"/>
          <w:highlight w:val="none"/>
          <w:u w:val="single"/>
        </w:rPr>
      </w:pPr>
      <w:r>
        <w:rPr>
          <w:rFonts w:hint="eastAsia" w:ascii="楷体" w:hAnsi="楷体" w:eastAsia="楷体"/>
          <w:b/>
          <w:color w:val="auto"/>
          <w:sz w:val="21"/>
          <w:szCs w:val="21"/>
          <w:u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bidi w:val="0"/>
        <w:spacing w:line="310" w:lineRule="exact"/>
        <w:ind w:firstLine="420"/>
        <w:rPr>
          <w:rFonts w:hint="default"/>
          <w:highlight w:val="none"/>
          <w:lang w:val="en-US" w:eastAsia="zh-CN"/>
        </w:rPr>
      </w:pPr>
      <w:r>
        <w:rPr>
          <w:rFonts w:hint="eastAsia" w:ascii="楷体" w:hAnsi="楷体" w:eastAsia="楷体"/>
          <w:color w:val="auto"/>
          <w:sz w:val="21"/>
          <w:szCs w:val="21"/>
          <w:highlight w:val="none"/>
          <w:lang w:val="en-US" w:eastAsia="zh-CN"/>
        </w:rPr>
        <w:t xml:space="preserve">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 </w:t>
      </w:r>
    </w:p>
    <w:p>
      <w:pPr>
        <w:keepNext w:val="0"/>
        <w:keepLines w:val="0"/>
        <w:pageBreakBefore w:val="0"/>
        <w:numPr>
          <w:ilvl w:val="0"/>
          <w:numId w:val="0"/>
        </w:numPr>
        <w:tabs>
          <w:tab w:val="left" w:pos="1134"/>
        </w:tabs>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十三、</w:t>
      </w:r>
      <w:r>
        <w:rPr>
          <w:rFonts w:hint="eastAsia" w:ascii="楷体" w:hAnsi="楷体" w:eastAsia="楷体" w:cs="楷体"/>
          <w:b/>
          <w:color w:val="auto"/>
          <w:sz w:val="21"/>
          <w:szCs w:val="21"/>
          <w:highlight w:val="none"/>
        </w:rPr>
        <w:t>信息披露</w:t>
      </w:r>
      <w:bookmarkEnd w:id="0"/>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（一）信息披露渠道</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1.管理人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2.管理人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（二）信息披露内容及时间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定期公告：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w:t>
      </w: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5.事前临时性信息披露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 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 法律法规、监管规定及管理人认为需要向投资者事前披露的其他临时事项。</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6.事后临时性信息披露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w:t>
      </w:r>
      <w:r>
        <w:rPr>
          <w:rFonts w:hint="eastAsia" w:ascii="楷体" w:hAnsi="楷体" w:eastAsia="楷体" w:cs="楷体"/>
          <w:color w:val="auto"/>
          <w:sz w:val="21"/>
          <w:szCs w:val="21"/>
          <w:highlight w:val="none"/>
        </w:rPr>
        <w:t>半年度整体报告：每半年披露从事理财业务活动的有关信息。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8.</w:t>
      </w: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0"/>
        </w:numPr>
        <w:tabs>
          <w:tab w:val="left" w:pos="1134"/>
        </w:tabs>
        <w:bidi w:val="0"/>
        <w:spacing w:line="310" w:lineRule="exact"/>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十四、</w:t>
      </w:r>
      <w:r>
        <w:rPr>
          <w:rFonts w:hint="eastAsia" w:ascii="楷体" w:hAnsi="楷体" w:eastAsia="楷体" w:cs="楷体"/>
          <w:b/>
          <w:color w:val="auto"/>
          <w:sz w:val="21"/>
          <w:szCs w:val="21"/>
          <w:highlight w:val="none"/>
        </w:rPr>
        <w:t>其他</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（一）追索条款</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（二）信息安全</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（三）争议解决</w:t>
      </w:r>
    </w:p>
    <w:p>
      <w:pPr>
        <w:keepNext w:val="0"/>
        <w:keepLines w:val="0"/>
        <w:pageBreakBefore w:val="0"/>
        <w:bidi w:val="0"/>
        <w:spacing w:line="310" w:lineRule="exact"/>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5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552"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550"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553"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NotTrackMoves/>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E6A7D"/>
    <w:rsid w:val="015C4E4C"/>
    <w:rsid w:val="025E7BD5"/>
    <w:rsid w:val="030E0127"/>
    <w:rsid w:val="038C50E0"/>
    <w:rsid w:val="08A01C35"/>
    <w:rsid w:val="096E5786"/>
    <w:rsid w:val="0AF575AE"/>
    <w:rsid w:val="0B151350"/>
    <w:rsid w:val="0E1D0F6F"/>
    <w:rsid w:val="0E247362"/>
    <w:rsid w:val="0EBB04E9"/>
    <w:rsid w:val="110F618C"/>
    <w:rsid w:val="11207B05"/>
    <w:rsid w:val="1470329A"/>
    <w:rsid w:val="14F1597F"/>
    <w:rsid w:val="15173AA9"/>
    <w:rsid w:val="15AD52A1"/>
    <w:rsid w:val="15BD051D"/>
    <w:rsid w:val="174775C1"/>
    <w:rsid w:val="178E40F5"/>
    <w:rsid w:val="182529C1"/>
    <w:rsid w:val="18771ECC"/>
    <w:rsid w:val="19836A95"/>
    <w:rsid w:val="1A291C76"/>
    <w:rsid w:val="1A9510EA"/>
    <w:rsid w:val="1AF76A4D"/>
    <w:rsid w:val="1FA72791"/>
    <w:rsid w:val="23DF2175"/>
    <w:rsid w:val="26211BE6"/>
    <w:rsid w:val="28463E61"/>
    <w:rsid w:val="28B736B4"/>
    <w:rsid w:val="29431740"/>
    <w:rsid w:val="2B6A25AA"/>
    <w:rsid w:val="2C26057E"/>
    <w:rsid w:val="2CF134CA"/>
    <w:rsid w:val="2E2E73F7"/>
    <w:rsid w:val="2E4F0E88"/>
    <w:rsid w:val="2E8438E1"/>
    <w:rsid w:val="2E913BBE"/>
    <w:rsid w:val="2E990003"/>
    <w:rsid w:val="2F3A148B"/>
    <w:rsid w:val="2FB0329E"/>
    <w:rsid w:val="315870AD"/>
    <w:rsid w:val="31C157DF"/>
    <w:rsid w:val="31CE6AFD"/>
    <w:rsid w:val="3292088A"/>
    <w:rsid w:val="34976CD4"/>
    <w:rsid w:val="352E3489"/>
    <w:rsid w:val="38D03EC5"/>
    <w:rsid w:val="39390072"/>
    <w:rsid w:val="39410711"/>
    <w:rsid w:val="39F668BD"/>
    <w:rsid w:val="3A22009D"/>
    <w:rsid w:val="3AC868D9"/>
    <w:rsid w:val="3B4F775C"/>
    <w:rsid w:val="3BA6699F"/>
    <w:rsid w:val="3BF5596C"/>
    <w:rsid w:val="3D686143"/>
    <w:rsid w:val="42672AE3"/>
    <w:rsid w:val="426B1712"/>
    <w:rsid w:val="4359650D"/>
    <w:rsid w:val="43A52520"/>
    <w:rsid w:val="441C07CA"/>
    <w:rsid w:val="44890DFE"/>
    <w:rsid w:val="44C94DA0"/>
    <w:rsid w:val="44ED4085"/>
    <w:rsid w:val="483E5279"/>
    <w:rsid w:val="48DD6BB8"/>
    <w:rsid w:val="4A17781B"/>
    <w:rsid w:val="4A23660E"/>
    <w:rsid w:val="4A8536D2"/>
    <w:rsid w:val="4FAE359B"/>
    <w:rsid w:val="4FE54213"/>
    <w:rsid w:val="50D11769"/>
    <w:rsid w:val="52497B10"/>
    <w:rsid w:val="548A0D12"/>
    <w:rsid w:val="56766566"/>
    <w:rsid w:val="57F80C60"/>
    <w:rsid w:val="597204CD"/>
    <w:rsid w:val="60AD5CAC"/>
    <w:rsid w:val="613C265E"/>
    <w:rsid w:val="6314191D"/>
    <w:rsid w:val="66594565"/>
    <w:rsid w:val="67FC4329"/>
    <w:rsid w:val="696163E8"/>
    <w:rsid w:val="70D16026"/>
    <w:rsid w:val="73D87D66"/>
    <w:rsid w:val="76D51D7B"/>
    <w:rsid w:val="770E74B4"/>
    <w:rsid w:val="795C1B5F"/>
    <w:rsid w:val="7F5D294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3">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06"/>
    <w:qFormat/>
    <w:uiPriority w:val="1"/>
    <w:pPr>
      <w:spacing w:before="34"/>
      <w:ind w:left="120"/>
      <w:jc w:val="left"/>
      <w:outlineLvl w:val="2"/>
    </w:pPr>
    <w:rPr>
      <w:rFonts w:ascii="宋体"/>
      <w:b/>
      <w:bCs/>
      <w:sz w:val="20"/>
      <w:szCs w:val="21"/>
    </w:rPr>
  </w:style>
  <w:style w:type="paragraph" w:styleId="5">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6">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7">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next w:val="1"/>
    <w:qFormat/>
    <w:uiPriority w:val="1"/>
    <w:pPr>
      <w:spacing w:before="162"/>
      <w:ind w:left="120"/>
      <w:jc w:val="left"/>
    </w:pPr>
    <w:rPr>
      <w:rFonts w:ascii="宋体"/>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semiHidden/>
    <w:unhideWhenUsed/>
    <w:qFormat/>
    <w:uiPriority w:val="99"/>
    <w:pPr>
      <w:jc w:val="left"/>
    </w:pPr>
    <w:rPr>
      <w:sz w:val="18"/>
      <w:szCs w:val="18"/>
    </w:rPr>
  </w:style>
  <w:style w:type="paragraph" w:styleId="21">
    <w:name w:val="table of figures"/>
    <w:basedOn w:val="1"/>
    <w:next w:val="1"/>
    <w:unhideWhenUsed/>
    <w:qFormat/>
    <w:uiPriority w:val="99"/>
    <w:pPr>
      <w:spacing w:after="0" w:afterAutospacing="0"/>
    </w:p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3">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4">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5">
    <w:name w:val="annotation subject"/>
    <w:basedOn w:val="12"/>
    <w:next w:val="12"/>
    <w:unhideWhenUsed/>
    <w:qFormat/>
    <w:uiPriority w:val="99"/>
    <w:rPr>
      <w:b/>
      <w:bCs/>
    </w:rPr>
  </w:style>
  <w:style w:type="paragraph" w:styleId="26">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8">
    <w:name w:val="Table Grid"/>
    <w:basedOn w:val="2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27"/>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2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2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2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2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2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1"/>
    <w:basedOn w:val="27"/>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table" w:customStyle="1" w:styleId="66">
    <w:name w:val="Grid Table 4 - Accent 2"/>
    <w:basedOn w:val="27"/>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27"/>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27"/>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27"/>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27"/>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2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27"/>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27"/>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27"/>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27"/>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2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27"/>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27"/>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27"/>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27"/>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27"/>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27"/>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2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27"/>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27"/>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27"/>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27"/>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27"/>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27"/>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2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27"/>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27"/>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27"/>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27"/>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27"/>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27"/>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27"/>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27"/>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27"/>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27"/>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27"/>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27"/>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27"/>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27"/>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27"/>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27"/>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2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27"/>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27"/>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27"/>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27"/>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27"/>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27"/>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2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27"/>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27"/>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27"/>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27"/>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27"/>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27"/>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2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27"/>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27"/>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27"/>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27"/>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27"/>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27"/>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27"/>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27"/>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27"/>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27"/>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27"/>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27"/>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27"/>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27"/>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27"/>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27"/>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27"/>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27"/>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27"/>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27"/>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27"/>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29"/>
    <w:qFormat/>
    <w:uiPriority w:val="9"/>
    <w:rPr>
      <w:rFonts w:ascii="Arial" w:hAnsi="Arial" w:eastAsia="Arial" w:cs="Arial"/>
      <w:color w:val="2E75B6" w:themeColor="accent1" w:themeShade="BF"/>
      <w:sz w:val="40"/>
      <w:szCs w:val="40"/>
    </w:rPr>
  </w:style>
  <w:style w:type="character" w:customStyle="1" w:styleId="163">
    <w:name w:val="Heading 2 Char"/>
    <w:basedOn w:val="29"/>
    <w:qFormat/>
    <w:uiPriority w:val="9"/>
    <w:rPr>
      <w:rFonts w:ascii="Arial" w:hAnsi="Arial" w:eastAsia="Arial" w:cs="Arial"/>
      <w:color w:val="2E75B6" w:themeColor="accent1" w:themeShade="BF"/>
      <w:sz w:val="32"/>
      <w:szCs w:val="32"/>
    </w:rPr>
  </w:style>
  <w:style w:type="character" w:customStyle="1" w:styleId="164">
    <w:name w:val="Heading 3 Char"/>
    <w:basedOn w:val="29"/>
    <w:qFormat/>
    <w:uiPriority w:val="9"/>
    <w:rPr>
      <w:rFonts w:ascii="Arial" w:hAnsi="Arial" w:eastAsia="Arial" w:cs="Arial"/>
      <w:color w:val="2E75B6" w:themeColor="accent1" w:themeShade="BF"/>
      <w:sz w:val="28"/>
      <w:szCs w:val="28"/>
    </w:rPr>
  </w:style>
  <w:style w:type="character" w:customStyle="1" w:styleId="165">
    <w:name w:val="Heading 4 Char"/>
    <w:basedOn w:val="29"/>
    <w:link w:val="5"/>
    <w:qFormat/>
    <w:uiPriority w:val="9"/>
    <w:rPr>
      <w:rFonts w:ascii="Arial" w:hAnsi="Arial" w:eastAsia="Arial" w:cs="Arial"/>
      <w:i/>
      <w:iCs/>
      <w:color w:val="2E75B6" w:themeColor="accent1" w:themeShade="BF"/>
    </w:rPr>
  </w:style>
  <w:style w:type="character" w:customStyle="1" w:styleId="166">
    <w:name w:val="Heading 5 Char"/>
    <w:basedOn w:val="29"/>
    <w:link w:val="6"/>
    <w:qFormat/>
    <w:uiPriority w:val="9"/>
    <w:rPr>
      <w:rFonts w:ascii="Arial" w:hAnsi="Arial" w:eastAsia="Arial" w:cs="Arial"/>
      <w:color w:val="2E75B6" w:themeColor="accent1" w:themeShade="BF"/>
    </w:rPr>
  </w:style>
  <w:style w:type="character" w:customStyle="1" w:styleId="167">
    <w:name w:val="Heading 6 Char"/>
    <w:basedOn w:val="29"/>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29"/>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29"/>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29"/>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29"/>
    <w:qFormat/>
    <w:uiPriority w:val="10"/>
    <w:rPr>
      <w:rFonts w:ascii="Arial" w:hAnsi="Arial" w:eastAsia="Arial" w:cs="Arial"/>
      <w:spacing w:val="-10"/>
      <w:sz w:val="56"/>
      <w:szCs w:val="56"/>
    </w:rPr>
  </w:style>
  <w:style w:type="character" w:customStyle="1" w:styleId="172">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21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29"/>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29"/>
    <w:qFormat/>
    <w:uiPriority w:val="30"/>
    <w:rPr>
      <w:i/>
      <w:iCs/>
      <w:color w:val="2E75B6" w:themeColor="accent1" w:themeShade="BF"/>
    </w:rPr>
  </w:style>
  <w:style w:type="character" w:customStyle="1" w:styleId="178">
    <w:name w:val="Intense Reference"/>
    <w:basedOn w:val="29"/>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29"/>
    <w:qFormat/>
    <w:uiPriority w:val="33"/>
    <w:rPr>
      <w:b/>
      <w:bCs/>
      <w:i/>
      <w:iCs/>
      <w:spacing w:val="5"/>
    </w:rPr>
  </w:style>
  <w:style w:type="character" w:customStyle="1" w:styleId="183">
    <w:name w:val="Header Char"/>
    <w:basedOn w:val="29"/>
    <w:qFormat/>
    <w:uiPriority w:val="99"/>
  </w:style>
  <w:style w:type="character" w:customStyle="1" w:styleId="184">
    <w:name w:val="Footer Char"/>
    <w:basedOn w:val="29"/>
    <w:qFormat/>
    <w:uiPriority w:val="99"/>
  </w:style>
  <w:style w:type="character" w:customStyle="1" w:styleId="185">
    <w:name w:val="Footnote Text Char"/>
    <w:basedOn w:val="29"/>
    <w:semiHidden/>
    <w:qFormat/>
    <w:uiPriority w:val="99"/>
    <w:rPr>
      <w:sz w:val="20"/>
      <w:szCs w:val="20"/>
    </w:rPr>
  </w:style>
  <w:style w:type="character" w:customStyle="1" w:styleId="186">
    <w:name w:val="Endnote Text Char"/>
    <w:basedOn w:val="29"/>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29"/>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2"/>
    <w:qFormat/>
    <w:uiPriority w:val="1"/>
    <w:rPr>
      <w:rFonts w:ascii="黑体" w:hAnsi="Times New Roman" w:eastAsia="黑体" w:cs="黑体"/>
      <w:b/>
      <w:bCs/>
      <w:sz w:val="36"/>
      <w:szCs w:val="36"/>
    </w:rPr>
  </w:style>
  <w:style w:type="character" w:customStyle="1" w:styleId="205">
    <w:name w:val="标题 2 字符1"/>
    <w:link w:val="3"/>
    <w:qFormat/>
    <w:uiPriority w:val="9"/>
    <w:rPr>
      <w:rFonts w:ascii="Cambria" w:hAnsi="Cambria" w:eastAsia="宋体" w:cs="Times New Roman"/>
      <w:b/>
      <w:bCs/>
      <w:sz w:val="32"/>
      <w:szCs w:val="32"/>
    </w:rPr>
  </w:style>
  <w:style w:type="character" w:customStyle="1" w:styleId="206">
    <w:name w:val="标题 3 字符1"/>
    <w:link w:val="4"/>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29"/>
    <w:semiHidden/>
    <w:qFormat/>
    <w:uiPriority w:val="99"/>
    <w:rPr>
      <w:rFonts w:ascii="Times New Roman" w:hAnsi="Times New Roman" w:eastAsia="宋体" w:cs="Times New Roman"/>
    </w:rPr>
  </w:style>
  <w:style w:type="character" w:customStyle="1" w:styleId="210">
    <w:name w:val="批注框文本 字符1"/>
    <w:link w:val="173"/>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Template>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匿名用户</cp:lastModifiedBy>
  <dcterms:modified xsi:type="dcterms:W3CDTF">2026-09-09T03:22:03Z</dcterms:modified>
  <cp:revision>60</cp:revision>
</cp:coreProperties>
</file>

<file path=customXml/itemProps1.xml><?xml version="1.0" encoding="utf-8"?>
<ds:datastoreItem xmlns:ds="http://schemas.openxmlformats.org/officeDocument/2006/customXml" ds:itemID="{6f8b5c9a-8662-4e0b-be26-664a99049d45}">
  <ds:schemaRefs/>
</ds:datastoreItem>
</file>

<file path=customXml/itemProps2.xml><?xml version="1.0" encoding="utf-8"?>
<ds:datastoreItem xmlns:ds="http://schemas.openxmlformats.org/officeDocument/2006/customXml" ds:itemID="{e5505a77-2ad7-4797-ba4f-3cbabb867bab}">
  <ds:schemaRefs/>
</ds:datastoreItem>
</file>

<file path=customXml/itemProps3.xml><?xml version="1.0" encoding="utf-8"?>
<ds:datastoreItem xmlns:ds="http://schemas.openxmlformats.org/officeDocument/2006/customXml" ds:itemID="{42637b02-56ff-4906-a81f-f49cf3523633}">
  <ds:schemaRefs/>
</ds:datastoreItem>
</file>

<file path=docProps/app.xml><?xml version="1.0" encoding="utf-8"?>
<Properties xmlns="http://schemas.openxmlformats.org/officeDocument/2006/extended-properties" xmlns:vt="http://schemas.openxmlformats.org/officeDocument/2006/docPropsVTypes">
  <Template>Normal</Template>
  <Pages>32</Pages>
  <Words>40897</Words>
  <Characters>44302</Characters>
  <TotalTime>5</TotalTime>
  <ScaleCrop>false</ScaleCrop>
  <LinksUpToDate>false</LinksUpToDate>
  <CharactersWithSpaces>44360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陈哲琨</cp:lastModifiedBy>
  <dcterms:modified xsi:type="dcterms:W3CDTF">2026-09-10T02:33:32Z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BE98059EB0E94C39B866C8C119A0118C</vt:lpwstr>
  </property>
</Properties>
</file>