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C40A91">
      <w:pPr>
        <w:spacing w:line="300" w:lineRule="exact"/>
        <w:jc w:val="both"/>
        <w:rPr>
          <w:color w:val="000000" w:themeColor="text1"/>
          <w:highlight w:val="none"/>
          <w14:textFill>
            <w14:solidFill>
              <w14:schemeClr w14:val="tx1"/>
            </w14:solidFill>
          </w14:textFill>
        </w:rPr>
      </w:pPr>
      <w:bookmarkStart w:id="0" w:name="_GoBack"/>
      <w:bookmarkEnd w:id="0"/>
      <w:r>
        <w:rPr>
          <w:rFonts w:hint="eastAsia" w:ascii="黑体" w:eastAsia="黑体" w:cs="黑体"/>
          <w:b/>
          <w:bCs/>
          <w:color w:val="000000" w:themeColor="text1"/>
          <w:highlight w:val="none"/>
          <w14:textFill>
            <w14:solidFill>
              <w14:schemeClr w14:val="tx1"/>
            </w14:solidFill>
          </w14:textFill>
        </w:rPr>
        <w:t>理财产品登记编码: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Z7002626002122】</w:t>
      </w:r>
    </w:p>
    <w:p w14:paraId="14894ADD">
      <w:pPr>
        <w:spacing w:line="300" w:lineRule="exact"/>
        <w:ind w:right="89" w:rightChars="37"/>
        <w:rPr>
          <w:rFonts w:ascii="黑体" w:hAnsi="黑体" w:eastAsia="黑体"/>
          <w:sz w:val="21"/>
          <w:szCs w:val="21"/>
          <w:highlight w:val="none"/>
        </w:rPr>
      </w:pPr>
      <w:r>
        <w:rPr>
          <w:rFonts w:hint="eastAsia" w:ascii="黑体" w:hAnsi="黑体" w:eastAsia="黑体"/>
          <w:sz w:val="21"/>
          <w:szCs w:val="21"/>
          <w:highlight w:val="none"/>
        </w:rPr>
        <w:t>理财产品登记编码为本产品在全国银行业理财信息登记系统取得的理财产品登记编码，投资者可以依据该理财产品登记编码在金融产品查询平台（www.jrcpcx.cn）或中国理财网（</w:t>
      </w:r>
      <w:r>
        <w:rPr>
          <w:rFonts w:ascii="黑体" w:hAnsi="黑体" w:eastAsia="黑体"/>
          <w:sz w:val="21"/>
          <w:szCs w:val="21"/>
          <w:highlight w:val="none"/>
        </w:rPr>
        <w:t>www.chinawealth.com.cn）上查询本产品相关信息。</w:t>
      </w:r>
    </w:p>
    <w:p w14:paraId="11882F74">
      <w:pPr>
        <w:spacing w:line="300" w:lineRule="exact"/>
        <w:ind w:right="89" w:rightChars="37"/>
        <w:rPr>
          <w:rFonts w:ascii="黑体" w:hAnsi="黑体" w:eastAsia="黑体"/>
          <w:sz w:val="21"/>
          <w:szCs w:val="21"/>
          <w:highlight w:val="none"/>
        </w:rPr>
      </w:pPr>
    </w:p>
    <w:p w14:paraId="60039533">
      <w:pPr>
        <w:spacing w:line="300" w:lineRule="exact"/>
        <w:ind w:right="89" w:rightChars="37"/>
        <w:rPr>
          <w:rFonts w:ascii="黑体" w:hAnsi="黑体" w:eastAsia="黑体"/>
          <w:b/>
          <w:sz w:val="28"/>
          <w:szCs w:val="28"/>
          <w:highlight w:val="none"/>
        </w:rPr>
      </w:pPr>
      <w:r>
        <w:rPr>
          <w:rFonts w:hint="eastAsia" w:ascii="黑体" w:hAnsi="黑体" w:eastAsia="黑体"/>
          <w:b/>
          <w:sz w:val="28"/>
          <w:szCs w:val="28"/>
          <w:highlight w:val="none"/>
        </w:rPr>
        <w:t>郑重提示：理财产品登记编码是全国银行业理财信息登记系统赋予所有银行（及银行理财子公司）理财产品的标识码，每个登记编码具有唯一性，是您判断理财产品是否合法合规、是否真实可靠的重要依据。如您购买的理财产品未公示登记编码，或通过其公示的登记编码无法在金融产品查询平台（www.jrcpcx.cn）或中国理财网（</w:t>
      </w:r>
      <w:r>
        <w:rPr>
          <w:rFonts w:ascii="黑体" w:hAnsi="黑体" w:eastAsia="黑体"/>
          <w:b/>
          <w:sz w:val="28"/>
          <w:szCs w:val="28"/>
          <w:highlight w:val="none"/>
        </w:rPr>
        <w:t>www.chinawealth.com.cn）上查询到产品相关信息，则该产品非信银理财发行产品。</w:t>
      </w:r>
    </w:p>
    <w:p w14:paraId="6AFAA48A">
      <w:pPr>
        <w:spacing w:line="300" w:lineRule="exact"/>
        <w:ind w:right="-792" w:rightChars="-330"/>
        <w:rPr>
          <w:rFonts w:ascii="黑体" w:hAnsi="黑体" w:eastAsia="黑体"/>
          <w:color w:val="000000" w:themeColor="text1"/>
          <w:sz w:val="21"/>
          <w:szCs w:val="21"/>
          <w:highlight w:val="none"/>
          <w14:textFill>
            <w14:solidFill>
              <w14:schemeClr w14:val="tx1"/>
            </w14:solidFill>
          </w14:textFill>
        </w:rPr>
      </w:pPr>
    </w:p>
    <w:p w14:paraId="2006040B">
      <w:pPr>
        <w:spacing w:line="300" w:lineRule="exact"/>
        <w:ind w:right="-792" w:rightChars="-330"/>
        <w:jc w:val="center"/>
        <w:rPr>
          <w:rFonts w:ascii="黑体" w:eastAsia="黑体" w:cs="黑体"/>
          <w:b/>
          <w:bCs/>
          <w:color w:val="000000" w:themeColor="text1"/>
          <w:sz w:val="28"/>
          <w:szCs w:val="28"/>
          <w:highlight w:val="none"/>
          <w14:textFill>
            <w14:solidFill>
              <w14:schemeClr w14:val="tx1"/>
            </w14:solidFill>
          </w14:textFill>
        </w:rPr>
      </w:pPr>
      <w:r>
        <w:rPr>
          <w:rFonts w:hint="eastAsia" w:ascii="黑体" w:eastAsia="黑体" w:cs="黑体"/>
          <w:b/>
          <w:bCs/>
          <w:color w:val="000000" w:themeColor="text1"/>
          <w:sz w:val="28"/>
          <w:szCs w:val="28"/>
          <w:highlight w:val="none"/>
          <w14:textFill>
            <w14:solidFill>
              <w14:schemeClr w14:val="tx1"/>
            </w14:solidFill>
          </w14:textFill>
        </w:rPr>
        <w:t>信银理财理财产品说明书</w:t>
      </w:r>
    </w:p>
    <w:p w14:paraId="0D7ED81A">
      <w:pPr>
        <w:widowControl w:val="0"/>
        <w:spacing w:line="300" w:lineRule="exact"/>
        <w:ind w:right="-792" w:rightChars="-330"/>
        <w:jc w:val="center"/>
        <w:rPr>
          <w:rFonts w:ascii="黑体" w:hAnsi="Calibri" w:eastAsia="黑体" w:cs="黑体"/>
          <w:b/>
          <w:bCs/>
          <w:color w:val="000000" w:themeColor="text1"/>
          <w:sz w:val="28"/>
          <w:szCs w:val="28"/>
          <w:highlight w:val="none"/>
          <w14:textFill>
            <w14:solidFill>
              <w14:schemeClr w14:val="tx1"/>
            </w14:solidFill>
          </w14:textFill>
        </w:rPr>
      </w:pPr>
      <w:r>
        <w:rPr>
          <w:rFonts w:hint="eastAsia" w:ascii="黑体" w:hAnsi="Calibri" w:eastAsia="黑体" w:cs="黑体"/>
          <w:b/>
          <w:bCs/>
          <w:color w:val="000000" w:themeColor="text1"/>
          <w:sz w:val="28"/>
          <w:szCs w:val="28"/>
          <w:highlight w:val="none"/>
          <w14:textFill>
            <w14:solidFill>
              <w14:schemeClr w14:val="tx1"/>
            </w14:solidFill>
          </w14:textFill>
        </w:rPr>
        <w:t>产品</w:t>
      </w:r>
      <w:r>
        <w:rPr>
          <w:rFonts w:hint="eastAsia" w:ascii="黑体" w:hAnsi="Times New Roman" w:eastAsia="黑体" w:cs="黑体"/>
          <w:b/>
          <w:bCs/>
          <w:color w:val="000000" w:themeColor="text1"/>
          <w:sz w:val="28"/>
          <w:szCs w:val="28"/>
          <w:highlight w:val="none"/>
          <w14:textFill>
            <w14:solidFill>
              <w14:schemeClr w14:val="tx1"/>
            </w14:solidFill>
          </w14:textFill>
        </w:rPr>
        <w:t>名称：</w:t>
      </w:r>
      <w:r>
        <w:rPr>
          <w:rFonts w:hint="eastAsia" w:ascii="黑体" w:hAnsi="Calibri" w:eastAsia="黑体" w:cs="黑体"/>
          <w:b/>
          <w:bCs/>
          <w:color w:val="000000" w:themeColor="text1"/>
          <w:sz w:val="28"/>
          <w:szCs w:val="28"/>
          <w:highlight w:val="none"/>
          <w14:textFill>
            <w14:solidFill>
              <w14:schemeClr w14:val="tx1"/>
            </w14:solidFill>
          </w14:textFill>
        </w:rPr>
        <w:t>【</w:t>
      </w:r>
      <w:r>
        <w:rPr>
          <w:rFonts w:hint="eastAsia" w:ascii="黑体" w:hAnsi="Calibri" w:eastAsia="黑体" w:cs="黑体"/>
          <w:b/>
          <w:bCs/>
          <w:sz w:val="28"/>
          <w:szCs w:val="28"/>
          <w:highlight w:val="none"/>
        </w:rPr>
        <w:t>信银理财安盈象固收稳利十四个月封闭式290号理财产品</w:t>
      </w:r>
      <w:r>
        <w:rPr>
          <w:rFonts w:hint="eastAsia" w:ascii="黑体" w:hAnsi="Calibri" w:eastAsia="黑体" w:cs="黑体"/>
          <w:b/>
          <w:bCs/>
          <w:color w:val="000000" w:themeColor="text1"/>
          <w:sz w:val="28"/>
          <w:szCs w:val="28"/>
          <w:highlight w:val="none"/>
          <w14:textFill>
            <w14:solidFill>
              <w14:schemeClr w14:val="tx1"/>
            </w14:solidFill>
          </w14:textFill>
        </w:rPr>
        <w:t xml:space="preserve">】  </w:t>
      </w:r>
    </w:p>
    <w:p w14:paraId="6F12700F">
      <w:pPr>
        <w:widowControl w:val="0"/>
        <w:spacing w:line="300" w:lineRule="exact"/>
        <w:ind w:right="-792" w:rightChars="-330"/>
        <w:jc w:val="center"/>
        <w:rPr>
          <w:rFonts w:ascii="黑体" w:hAnsi="Times New Roman" w:eastAsia="黑体" w:cs="黑体"/>
          <w:b/>
          <w:bCs/>
          <w:color w:val="000000" w:themeColor="text1"/>
          <w:sz w:val="28"/>
          <w:szCs w:val="28"/>
          <w:highlight w:val="none"/>
          <w14:textFill>
            <w14:solidFill>
              <w14:schemeClr w14:val="tx1"/>
            </w14:solidFill>
          </w14:textFill>
        </w:rPr>
      </w:pPr>
      <w:r>
        <w:rPr>
          <w:rFonts w:hint="eastAsia" w:ascii="黑体" w:hAnsi="Calibri" w:eastAsia="黑体" w:cs="黑体"/>
          <w:b/>
          <w:bCs/>
          <w:color w:val="000000" w:themeColor="text1"/>
          <w:sz w:val="28"/>
          <w:szCs w:val="28"/>
          <w:highlight w:val="none"/>
          <w14:textFill>
            <w14:solidFill>
              <w14:schemeClr w14:val="tx1"/>
            </w14:solidFill>
          </w14:textFill>
        </w:rPr>
        <w:t>产品代码</w:t>
      </w:r>
      <w:r>
        <w:rPr>
          <w:rFonts w:ascii="黑体" w:hAnsi="Calibri" w:eastAsia="黑体" w:cs="黑体"/>
          <w:b/>
          <w:bCs/>
          <w:color w:val="000000" w:themeColor="text1"/>
          <w:sz w:val="28"/>
          <w:szCs w:val="28"/>
          <w:highlight w:val="none"/>
          <w14:textFill>
            <w14:solidFill>
              <w14:schemeClr w14:val="tx1"/>
            </w14:solidFill>
          </w14:textFill>
        </w:rPr>
        <w:t>：【</w:t>
      </w:r>
      <w:r>
        <w:rPr>
          <w:rFonts w:ascii="黑体" w:hAnsi="Calibri" w:eastAsia="黑体" w:cs="黑体"/>
          <w:b/>
          <w:bCs/>
          <w:sz w:val="28"/>
          <w:szCs w:val="28"/>
          <w:highlight w:val="none"/>
        </w:rPr>
        <w:t>AF266137</w:t>
      </w:r>
      <w:r>
        <w:rPr>
          <w:rFonts w:ascii="黑体" w:hAnsi="Calibri" w:eastAsia="黑体" w:cs="黑体"/>
          <w:b/>
          <w:bCs/>
          <w:color w:val="000000" w:themeColor="text1"/>
          <w:sz w:val="28"/>
          <w:szCs w:val="28"/>
          <w:highlight w:val="none"/>
          <w14:textFill>
            <w14:solidFill>
              <w14:schemeClr w14:val="tx1"/>
            </w14:solidFill>
          </w14:textFill>
        </w:rPr>
        <w:t>】</w:t>
      </w:r>
    </w:p>
    <w:p w14:paraId="7FE49EE9">
      <w:pPr>
        <w:spacing w:line="300" w:lineRule="exact"/>
        <w:ind w:right="-792" w:rightChars="-330"/>
        <w:rPr>
          <w:color w:val="000000" w:themeColor="text1"/>
          <w:highlight w:val="none"/>
          <w14:textFill>
            <w14:solidFill>
              <w14:schemeClr w14:val="tx1"/>
            </w14:solidFill>
          </w14:textFill>
        </w:rPr>
      </w:pPr>
    </w:p>
    <w:tbl>
      <w:tblPr>
        <w:tblStyle w:val="9"/>
        <w:tblW w:w="9604" w:type="dxa"/>
        <w:tblInd w:w="-693" w:type="dxa"/>
        <w:tblLayout w:type="autofit"/>
        <w:tblCellMar>
          <w:top w:w="0" w:type="dxa"/>
          <w:left w:w="108" w:type="dxa"/>
          <w:bottom w:w="0" w:type="dxa"/>
          <w:right w:w="108" w:type="dxa"/>
        </w:tblCellMar>
      </w:tblPr>
      <w:tblGrid>
        <w:gridCol w:w="2842"/>
        <w:gridCol w:w="6762"/>
      </w:tblGrid>
      <w:tr w14:paraId="33F4B7C6">
        <w:tblPrEx>
          <w:tblCellMar>
            <w:top w:w="0" w:type="dxa"/>
            <w:left w:w="108" w:type="dxa"/>
            <w:bottom w:w="0" w:type="dxa"/>
            <w:right w:w="108" w:type="dxa"/>
          </w:tblCellMar>
        </w:tblPrEx>
        <w:trPr>
          <w:trHeight w:val="538" w:hRule="atLeast"/>
        </w:trPr>
        <w:tc>
          <w:tcPr>
            <w:tcW w:w="9604" w:type="dxa"/>
            <w:gridSpan w:val="2"/>
            <w:tcBorders>
              <w:top w:val="single" w:color="000000" w:sz="8" w:space="0"/>
              <w:left w:val="single" w:color="000000" w:sz="8" w:space="0"/>
              <w:bottom w:val="single" w:color="000000" w:sz="4" w:space="0"/>
              <w:right w:val="single" w:color="000000" w:sz="8" w:space="0"/>
            </w:tcBorders>
            <w:vAlign w:val="center"/>
          </w:tcPr>
          <w:p w14:paraId="219D8B46">
            <w:pPr>
              <w:spacing w:line="300" w:lineRule="exact"/>
              <w:ind w:right="89" w:rightChars="37"/>
              <w:jc w:val="center"/>
              <w:rPr>
                <w:rFonts w:hint="eastAsia" w:ascii="方正小标宋简体" w:hAnsi="方正小标宋简体" w:eastAsia="方正小标宋简体" w:cs="方正小标宋简体"/>
                <w:color w:val="000000"/>
                <w:sz w:val="40"/>
                <w:szCs w:val="40"/>
                <w:highlight w:val="none"/>
              </w:rPr>
            </w:pPr>
            <w:r>
              <w:rPr>
                <w:rFonts w:hint="eastAsia" w:ascii="黑体" w:hAnsi="黑体" w:eastAsia="黑体"/>
                <w:b/>
                <w:sz w:val="28"/>
                <w:szCs w:val="28"/>
                <w:highlight w:val="none"/>
              </w:rPr>
              <w:t>理财产品说明书关键要素</w:t>
            </w:r>
          </w:p>
        </w:tc>
      </w:tr>
      <w:tr w14:paraId="47CA608D">
        <w:tblPrEx>
          <w:tblCellMar>
            <w:top w:w="0" w:type="dxa"/>
            <w:left w:w="108" w:type="dxa"/>
            <w:bottom w:w="0" w:type="dxa"/>
            <w:right w:w="108" w:type="dxa"/>
          </w:tblCellMar>
        </w:tblPrEx>
        <w:trPr>
          <w:trHeight w:val="747" w:hRule="atLeast"/>
        </w:trPr>
        <w:tc>
          <w:tcPr>
            <w:tcW w:w="9604" w:type="dxa"/>
            <w:gridSpan w:val="2"/>
            <w:tcBorders>
              <w:top w:val="single" w:color="000000" w:sz="4" w:space="0"/>
              <w:left w:val="single" w:color="000000" w:sz="8" w:space="0"/>
              <w:bottom w:val="single" w:color="auto" w:sz="4" w:space="0"/>
              <w:right w:val="single" w:color="000000" w:sz="8" w:space="0"/>
            </w:tcBorders>
            <w:vAlign w:val="center"/>
          </w:tcPr>
          <w:p w14:paraId="4E3AFB60">
            <w:pPr>
              <w:ind w:firstLine="400" w:firstLineChars="200"/>
              <w:jc w:val="center"/>
              <w:rPr>
                <w:rFonts w:hint="eastAsia" w:ascii="仿宋_GB2312" w:hAnsi="等线" w:eastAsia="仿宋_GB2312" w:cs="仿宋_GB2312"/>
                <w:color w:val="000000"/>
                <w:sz w:val="24"/>
                <w:highlight w:val="none"/>
              </w:rPr>
            </w:pPr>
            <w:r>
              <w:rPr>
                <w:rFonts w:hint="eastAsia" w:ascii="楷体_GB2312" w:hAnsi="Arial" w:eastAsia="楷体_GB2312" w:cs="楷体_GB2312"/>
                <w:color w:val="000000" w:themeColor="text1"/>
                <w:sz w:val="20"/>
                <w:szCs w:val="20"/>
                <w:highlight w:val="none"/>
                <w14:textFill>
                  <w14:solidFill>
                    <w14:schemeClr w14:val="tx1"/>
                  </w14:solidFill>
                </w14:textFill>
              </w:rPr>
              <w:t>本表格提供本理财产品的重要信息，是理财产品说明书的一部分。</w:t>
            </w:r>
            <w:r>
              <w:rPr>
                <w:rFonts w:hint="eastAsia" w:ascii="楷体_GB2312" w:hAnsi="Arial" w:eastAsia="楷体_GB2312" w:cs="楷体_GB2312"/>
                <w:color w:val="000000" w:themeColor="text1"/>
                <w:sz w:val="20"/>
                <w:szCs w:val="20"/>
                <w:highlight w:val="none"/>
                <w14:textFill>
                  <w14:solidFill>
                    <w14:schemeClr w14:val="tx1"/>
                  </w14:solidFill>
                </w14:textFill>
              </w:rPr>
              <w:br w:type="textWrapping"/>
            </w:r>
            <w:r>
              <w:rPr>
                <w:rFonts w:hint="eastAsia" w:ascii="楷体_GB2312" w:hAnsi="Arial" w:eastAsia="楷体_GB2312" w:cs="楷体_GB2312"/>
                <w:color w:val="000000" w:themeColor="text1"/>
                <w:sz w:val="20"/>
                <w:szCs w:val="20"/>
                <w:highlight w:val="none"/>
                <w14:textFill>
                  <w14:solidFill>
                    <w14:schemeClr w14:val="tx1"/>
                  </w14:solidFill>
                </w14:textFill>
              </w:rPr>
              <w:t>作出投资决定前，请阅读完整的理财产品说明书等销售文件。</w:t>
            </w:r>
          </w:p>
        </w:tc>
      </w:tr>
      <w:tr w14:paraId="66D698D9">
        <w:tblPrEx>
          <w:tblCellMar>
            <w:top w:w="0" w:type="dxa"/>
            <w:left w:w="108" w:type="dxa"/>
            <w:bottom w:w="0" w:type="dxa"/>
            <w:right w:w="108" w:type="dxa"/>
          </w:tblCellMar>
        </w:tblPrEx>
        <w:trPr>
          <w:trHeight w:val="270" w:hRule="atLeast"/>
        </w:trPr>
        <w:tc>
          <w:tcPr>
            <w:tcW w:w="9604" w:type="dxa"/>
            <w:gridSpan w:val="2"/>
            <w:tcBorders>
              <w:top w:val="single" w:color="auto" w:sz="4" w:space="0"/>
              <w:left w:val="single" w:color="000000" w:sz="8" w:space="0"/>
              <w:bottom w:val="nil"/>
              <w:right w:val="single" w:color="000000" w:sz="8" w:space="0"/>
            </w:tcBorders>
            <w:vAlign w:val="center"/>
          </w:tcPr>
          <w:p w14:paraId="39E6D06C">
            <w:pPr>
              <w:widowControl/>
              <w:spacing w:line="400" w:lineRule="exact"/>
              <w:jc w:val="center"/>
              <w:textAlignment w:val="center"/>
              <w:rPr>
                <w:rFonts w:hint="eastAsia" w:ascii="楷体_GB2312" w:hAnsi="等线" w:eastAsia="楷体_GB2312" w:cs="楷体_GB2312"/>
                <w:b/>
                <w:bCs/>
                <w:color w:val="000000"/>
                <w:sz w:val="24"/>
                <w:highlight w:val="none"/>
              </w:rPr>
            </w:pPr>
            <w:r>
              <w:rPr>
                <w:rFonts w:hint="eastAsia" w:ascii="楷体_GB2312" w:hAnsi="等线" w:eastAsia="楷体_GB2312" w:cs="楷体_GB2312"/>
                <w:b/>
                <w:bCs/>
                <w:color w:val="000000"/>
                <w:kern w:val="0"/>
                <w:sz w:val="24"/>
                <w:highlight w:val="none"/>
                <w:lang w:bidi="ar"/>
              </w:rPr>
              <w:t>（一）理财产品基本信息</w:t>
            </w:r>
          </w:p>
        </w:tc>
      </w:tr>
      <w:tr w14:paraId="4D1B661A">
        <w:tblPrEx>
          <w:tblCellMar>
            <w:top w:w="0" w:type="dxa"/>
            <w:left w:w="108" w:type="dxa"/>
            <w:bottom w:w="0" w:type="dxa"/>
            <w:right w:w="108" w:type="dxa"/>
          </w:tblCellMar>
        </w:tblPrEx>
        <w:trPr>
          <w:trHeight w:val="810" w:hRule="atLeast"/>
        </w:trPr>
        <w:tc>
          <w:tcPr>
            <w:tcW w:w="2842" w:type="dxa"/>
            <w:tcBorders>
              <w:top w:val="single" w:color="000000" w:sz="4" w:space="0"/>
              <w:left w:val="single" w:color="000000" w:sz="8" w:space="0"/>
              <w:bottom w:val="single" w:color="auto" w:sz="4" w:space="0"/>
              <w:right w:val="single" w:color="auto" w:sz="4" w:space="0"/>
            </w:tcBorders>
            <w:vAlign w:val="center"/>
          </w:tcPr>
          <w:p w14:paraId="51B29FF6">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产品登记编码</w:t>
            </w:r>
          </w:p>
        </w:tc>
        <w:tc>
          <w:tcPr>
            <w:tcW w:w="6762" w:type="dxa"/>
            <w:tcBorders>
              <w:top w:val="single" w:color="000000" w:sz="4" w:space="0"/>
              <w:left w:val="single" w:color="auto" w:sz="4" w:space="0"/>
              <w:bottom w:val="single" w:color="auto" w:sz="4" w:space="0"/>
              <w:right w:val="single" w:color="000000" w:sz="8" w:space="0"/>
            </w:tcBorders>
            <w:vAlign w:val="center"/>
          </w:tcPr>
          <w:p w14:paraId="04B920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Z7002626002122】</w:t>
            </w:r>
          </w:p>
          <w:p w14:paraId="0A6129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（重要提示：可依据该登记编码在中国理财网www.chinawealth.com.cn查询产品信息）</w:t>
            </w:r>
          </w:p>
        </w:tc>
      </w:tr>
      <w:tr w14:paraId="36189232">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2F28D6E0">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产品名称</w:t>
            </w:r>
          </w:p>
        </w:tc>
        <w:tc>
          <w:tcPr>
            <w:tcW w:w="6762" w:type="dxa"/>
            <w:tcBorders>
              <w:top w:val="single" w:color="auto" w:sz="4" w:space="0"/>
              <w:left w:val="single" w:color="auto" w:sz="4" w:space="0"/>
              <w:bottom w:val="single" w:color="auto" w:sz="4" w:space="0"/>
              <w:right w:val="single" w:color="000000" w:sz="8" w:space="0"/>
            </w:tcBorders>
            <w:vAlign w:val="center"/>
          </w:tcPr>
          <w:p w14:paraId="4CC82AA3">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【信银理财安盈象固收稳利十四个月封闭式290号理财产品】</w:t>
            </w:r>
          </w:p>
        </w:tc>
      </w:tr>
      <w:tr w14:paraId="40A3119D">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67AD5FFA">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份额代码</w:t>
            </w:r>
          </w:p>
        </w:tc>
        <w:tc>
          <w:tcPr>
            <w:tcW w:w="6762" w:type="dxa"/>
            <w:tcBorders>
              <w:top w:val="single" w:color="auto" w:sz="4" w:space="0"/>
              <w:left w:val="single" w:color="auto" w:sz="4" w:space="0"/>
              <w:bottom w:val="single" w:color="auto" w:sz="4" w:space="0"/>
              <w:right w:val="single" w:color="000000" w:sz="8" w:space="0"/>
            </w:tcBorders>
            <w:vAlign w:val="center"/>
          </w:tcPr>
          <w:p w14:paraId="4B44BB31">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【A】类份额：份额代码【AF266137A】</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【B】类份额：份额代码【AF266137B】</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【D】类份额：份额代码【AF266137D】</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【G】类份额：份额代码【AF266137G】</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【H】类份额：份额代码【AF266137H】</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【K】类份额：份额代码【AF266137K】</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【M】类份额：份额代码【AF266137M】</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【S】类份额：份额代码【AF266137S】</w:t>
            </w:r>
          </w:p>
          <w:p w14:paraId="0FD559CD">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2965237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后续理财产品份额类型如有新增、减少和变更，信银理财将按照本说明书约定的方式告知投资者。</w:t>
            </w:r>
          </w:p>
        </w:tc>
      </w:tr>
      <w:tr w14:paraId="697529AB">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4AE77825">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发行机构名称</w:t>
            </w:r>
          </w:p>
        </w:tc>
        <w:tc>
          <w:tcPr>
            <w:tcW w:w="6762" w:type="dxa"/>
            <w:tcBorders>
              <w:top w:val="single" w:color="auto" w:sz="4" w:space="0"/>
              <w:left w:val="single" w:color="auto" w:sz="4" w:space="0"/>
              <w:bottom w:val="single" w:color="auto" w:sz="4" w:space="0"/>
              <w:right w:val="single" w:color="000000" w:sz="8" w:space="0"/>
            </w:tcBorders>
            <w:vAlign w:val="center"/>
          </w:tcPr>
          <w:p w14:paraId="6041FF69">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企业名称：【信银理财有限责任公司】</w:t>
            </w:r>
          </w:p>
          <w:p w14:paraId="27AC77C7">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住所：【上海市黄浦区中山东二路600号1幢35层、36层】</w:t>
            </w:r>
          </w:p>
          <w:p w14:paraId="72B165C7">
            <w:pPr>
              <w:widowControl/>
              <w:spacing w:line="400" w:lineRule="exact"/>
              <w:jc w:val="both"/>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客户服务热线：【950950】</w:t>
            </w:r>
          </w:p>
        </w:tc>
      </w:tr>
      <w:tr w14:paraId="0273B9F9">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4ECC6F72">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销售机构名称</w:t>
            </w:r>
          </w:p>
        </w:tc>
        <w:tc>
          <w:tcPr>
            <w:tcW w:w="6762" w:type="dxa"/>
            <w:tcBorders>
              <w:top w:val="single" w:color="auto" w:sz="4" w:space="0"/>
              <w:left w:val="single" w:color="auto" w:sz="4" w:space="0"/>
              <w:bottom w:val="single" w:color="auto" w:sz="4" w:space="0"/>
              <w:right w:val="single" w:color="000000" w:sz="8" w:space="0"/>
            </w:tcBorders>
            <w:vAlign w:val="center"/>
          </w:tcPr>
          <w:p w14:paraId="13DC3897">
            <w:pPr>
              <w:widowControl/>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【A】类份额（份额代码【AF266137A】）合作销售机构信息：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【B】类份额（份额代码【AF266137B】）合作销售机构信息：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1.企业名称：【江苏高淳农村商业银行股份有限公司】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住所：【江苏省南京市高淳区宝塔路123号】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客户服务热线：【025-96008】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2.企业名称：【内蒙古农村商业银行股份有限公司】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住所：【内蒙古自治区呼和浩特市赛罕区陶利西街1号】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客户服务热线：【0471-96688】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3.企业名称：【江苏扬中农村商业银行股份有限公司】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住所：【扬中市扬子西路79号】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4.企业名称：【江苏句容农村商业银行股份有限公司】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住所：【江苏省句容市福地东路66号】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客户服务热线：【0511-96008】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5.企业名称：【江苏海门农村商业银行股份有限公司】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住所：【江苏省南通市海门区解放中路137号】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6.企业名称：【江苏启东农村商业银行股份有限公司】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住所：【江苏省启东市汇龙镇金沙江路1688号】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7.企业名称：【江苏如东农村商业银行股份有限公司】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住所：【江苏省如东县掘港镇钟山路66号】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8.企业名称：【江苏镇江农村商业银行股份有限公司】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住所：【江苏省镇江市润州区长江路97号】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9.企业名称：【江苏宝应农村商业银行股份有限公司】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住所：【江苏省宝应县文津路1号】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客户服务热线：【0514-96008】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10.企业名称：【江苏建湖农村商业银行股份有限公司】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住所：【江苏省建湖县湖南中路958号】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11.企业名称：【江苏阜宁农村商业银行股份有限公司】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住所：【江苏省阜宁县城南新区上海路459号】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12.企业名称：【江苏滨海农村商业银行股份有限公司】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住所：【滨海县城迎宾中路1号】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客户服务热线：【0515-96008】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13.企业名称：【江苏泰州农村商业银行股份有限公司】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住所：【江苏省泰州市海陵区西仓路36号】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客户服务热线：【0523-96008】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14.企业名称：【浙江东阳农村商业银行股份有限公司】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住所：【东阳市双岘路18号】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15.企业名称：【浙江乐清农村商业银行股份有限公司】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住所：【乐清市城南街道伯乐西路99号】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16.企业名称：【宁波余姚农村商业银行股份有限公司】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住所：【余姚市新建路69号】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17.企业名称：【宁波镇海农村商业银行股份有限公司】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住所：【宁波市镇海区骆驼街道镇海大道中段788号】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18.企业名称：【宁波宁海农村商业银行股份有限公司】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住所：【宁海县跃龙街道学勉路1号（金融中心）】</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19.企业名称：【浙江丽水莲都农村商业银行股份有限公司】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住所：【浙江丽水市解放街438号】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20.企业名称：【浙江三门农村商业银行股份有限公司】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住所：【浙江省三门县海游街道上洋路68号】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21.企业名称：【浙江衢州柯城农村商业银行股份有限公司】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住所：【浙江省上街92号】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22.企业名称：【浙江云和农村商业银行股份有限公司】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住所：【浙江省丽水市云和县浮云街道新建路72号】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23.企业名称：【浙江庆元农村商业银行股份有限公司】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住所：【浙江省丽水市庆元县濛洲街道云鹤路3号】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24.企业名称：【浙江景宁农村商业银行股份有限公司】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住所：【浙江省丽水市景宁畲族自治县红星街道人民中路201号】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25.企业名称：【浙江松阳农村商业银行股份有限公司】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住所：【浙江省丽水市松阳县水南街道要津南路71号】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26.企业名称：【浙江缙云农村商业银行股份有限公司】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住所：【浙江省丽水市缙云县五云镇新区仙都路68号】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27.企业名称：【浙江遂昌农村商业银行股份有限公司】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住所：【浙江省丽水市遂昌县妙高街道溪边路100号】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28.企业名称：【浙江龙泉农村商业银行股份有限公司】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住所：【浙江省丽水市龙泉市中山东路101号】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29.企业名称：【浙江义乌农村商业银行股份有限公司】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住所：【浙江省义乌市福田街道城北路677号】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30.企业名称：【浙江仙居农村商业银行股份有限公司】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住所：【浙江省仙居县南峰街道穿城中路21号】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31.企业名称：【浙江兰溪农村商业银行股份有限公司】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住所：【浙江省兰溪市兰江街道丹溪大道18号】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32.企业名称：【浙江临海农村商业银行股份有限公司】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住所：【浙江省台州市临海市大洋街道河阳路299号】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33.企业名称：【浙江台州椒江农村商业银行股份有限公司】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住所：【浙江省台州市椒江区工人东路322号】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34.企业名称：【浙江温岭农村商业银行股份有限公司】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住所：【浙江省台州市温岭市城东街道下保路100号】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35.企业名称：【浙江台州路桥农村商业银行股份有限公司】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住所：【浙江省台州市路桥区西路桥大道328号】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36.企业名称：【浙江台州黄岩农村商业银行股份有限公司】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住所：【浙江省台州市黄岩区洞天路88号】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37.企业名称：【浙江嘉善农村商业银行股份有限公司】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住所：【浙江省嘉兴市嘉善县罗星街道车站南路999号】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38.企业名称：【浙江桐乡农村商业银行股份有限公司】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住所：【浙江省嘉兴市桐乡市梧桐街道校场东路59号】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39.企业名称：【浙江禾城农村商业银行股份有限公司】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住所：【浙江省嘉兴市经济技术开发区文昌路1229号】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40.企业名称：【浙江天台农村商业银行股份有限公司】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住所：【浙江省天台县赤城街道飞鹤路358号】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41.企业名称：【宁波北仑农村商业银行股份有限公司】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住所：【浙江省宁波市北仑区新碶宝山路69号（凤凰国际商务广场）1幢69号、63号（凤凰国际商务广场）1幢（2-26层）】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42.企业名称：【宁波奉化农村商业银行股份有限公司】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住所：【浙江省宁波市奉化区锦屏街道中山路27号】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43.企业名称：【宁波甬城农村商业银行股份有限公司】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住所：【浙江省宁波市江北区育才路15、17号】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44.企业名称：【浙江嵊州农村商业银行股份有限公司】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住所：【浙江省嵊州市剡湖街道官河路398号】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45.企业名称：【浙江嵊泗农村商业银行股份有限公司】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住所：【浙江省嵊泗县菜园镇沙河路110号】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46.企业名称：【浙江平湖农村商业银行股份有限公司】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住所：【浙江省平湖市当湖街道胜利路518号】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47.企业名称：【浙江平阳农村商业银行股份有限公司】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住所：【浙江省平阳县鳌江镇车站大道999号】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48.企业名称：【浙江建德农村商业银行股份有限公司】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住所：【浙江省建德市新安江街道江滨中路176号】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49.企业名称：【浙江德清农村商业银行股份有限公司】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住所：【浙江省德清县武康街道沈长圩街50号】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50.企业名称：【宁波慈溪农村商业银行股份有限公司】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住所：【浙江省慈溪市浒山街道南城路 25 号、59 号 5-6 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51.企业名称：【浙江新昌农村商业银行股份有限公司】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住所：【浙江省新昌县七星街道七星路18号】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52.企业名称：【杭州联合农村商业银行股份有限公司】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住所：【浙江省杭州市上城区建国中路99号】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53.企业名称：【浙江临安农村商业银行股份有限公司】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住所：【浙江省杭州市临安区锦城街道城中街442号】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54.企业名称：【浙江杭州余杭农村商业银行股份有限公司】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住所：【浙江省杭州市临平区南苑街道南大街72号】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55.企业名称：【浙江富阳农村商业银行股份有限公司】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住所：【浙江省杭州市富阳区鹿山街道依江路501号第1幢】</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56.企业名称：【浙江桐庐农村商业银行股份有限公司】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住所：【浙江省杭州市桐庐县城迎春南路278号】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57.企业名称：【浙江淳安农村商业银行股份有限公司】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住所：【浙江省杭州市淳安县千岛湖镇环湖北路369号】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58.企业名称：【浙江萧山农村商业银行股份有限公司】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住所：【浙江省杭州市萧山区人民路258号】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59.企业名称：【浙江武义农村商业银行股份有限公司】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住所：【浙江省武义县城武阳中路37号】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60.企业名称：【浙江江山农村商业银行股份有限公司】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住所：【浙江省江山市双塔街道江滨路188号】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61.企业名称：【浙江浦江农村商业银行股份有限公司】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住所：【浙江省浦江县人民东路90号】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62.企业名称：【浙江海宁农村商业银行股份有限公司】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住所：【浙江省海宁市海洲街道钱江西路278号】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63.企业名称：【浙江海盐农村商业银行股份有限公司】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住所：【浙江省海盐县武原街道枣园西路176号】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64.企业名称：【浙江文成农村商业银行股份有限公司】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住所：【浙江省温州市文成县大峃镇伯温路6号】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65.企业名称：【浙江永嘉农村商业银行股份有限公司】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住所：【浙江省温州市永嘉县瓯北街道阳光大道3918号101室、201室、301室、401室、501室、1101室、1801室、2201室】</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66.企业名称：【浙江泰顺农村商业银行股份有限公司】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住所：【浙江省温州市泰顺县罗阳镇新城区文祥大道181号】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67.企业名称：【浙江温州瓯海农村商业银行股份有限公司】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住所：【浙江省温州市瓯海区瓯海大道989号】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68.企业名称：【浙江温州鹿城农村商业银行股份有限公司】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住所：【浙江省温州市鹿城区会展路1500号富银大厦】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69.企业名称：【浙江温州龙湾农村商业银行股份有限公司】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住所：【浙江省温州市龙湾区永中街道永宁西路555号】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70.企业名称：【湖州吴兴农村商业银行股份有限公司】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住所：【浙江省湖州市东街55号】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71.企业名称：【浙江南浔农村商业银行股份有限公司】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住所：【浙江省湖州市南浔区南浔镇人瑞路1188号】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72.企业名称：【浙江安吉农村商业银行股份有限公司】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住所：【浙江省湖州市安吉县昌硕街道昌硕东路1号(自主申报)】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73.企业名称：【浙江长兴农村商业银行股份有限公司】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住所：【浙江省湖州市长兴县太湖街道明珠路1298号】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74.企业名称：【浙江玉环农村商业银行股份有限公司】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住所：【浙江省玉环市玉城街道珠港大道26号】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75.企业名称：【浙江上虞农村商业银行股份有限公司】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住所：【浙江省百官街道德盛路55号】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76.企业名称：【浙江绍兴恒信农村商业银行股份有限公司】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住所：【浙江省绍兴市中兴中路159号】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77.企业名称：【浙江绍兴瑞丰农村商业银行股份有限公司】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住所：【浙江省绍兴市柯桥区柯桥笛扬路1363号】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78.企业名称：【浙江舟山定海海洋农村商业银行股份有限公司】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住所：【浙江省舟山市定海区环城东路81号】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79.企业名称：【浙江岱山农村商业银行股份有限公司】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住所：【浙江省舟山市岱山县高亭镇衢山大道1009号(自主申报)】</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80.企业名称：【浙江舟山普陀农村商业银行股份有限公司】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住所：【浙江省舟山市普陀区东港街道麒麟街225号（自贸试验区内）】</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81.企业名称：【浙江苍南农村商业银行股份有限公司】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住所：【浙江省苍南县灵溪镇人民大道425号】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82.企业名称：【浙江常山农村商业银行股份有限公司】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住所：【浙江省衢州市常山县天马街道人民路125号】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83.企业名称：【浙江开化农村商业银行股份有限公司】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住所：【浙江省衢州市开化县华埠镇永吉二路8号】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84.企业名称：【浙江衢州衢江农村商业银行股份有限公司】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住所：【浙江省衢州市衢江区樟潭街道信安东路37号】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85.企业名称：【浙江龙游农村商业银行股份有限公司】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住所：【浙江省衢州市龙游县龙洲街道荣昌大道683、685、687号】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86.企业名称：【浙江诸暨农村商业银行股份有限公司】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住所：【浙江省诸暨市暨阳街道大桥东路2号】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87.企业名称：【浙江金华成泰农村商业银行股份有限公司】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住所：【浙江省金华市八一南街123号】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88.企业名称：【浙江永康农村商业银行股份有限公司】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住所：【浙江省金华市永康市九铃东路3259号】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89.企业名称：【浙江青田农村商业银行股份有限公司】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住所：【浙江省青田县鹤城街道鹤城东路180号】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90.企业名称：【浙江瑞安农村商业银行股份有限公司】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住所：【瑞安市安阳街道万松东路148号】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客户服务热线：【0571-96596】</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91.企业名称：【鄂尔多斯银行股份有限公司】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住所：【内蒙古自治区鄂尔多斯市东胜区乌审西街6号】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客户服务热线：【4000096622】</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92.企业名称：【江苏宜兴农村商业银行股份有限公司】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住所：【江苏省宜兴市宜城街道解放东路579号】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93.企业名称：【江苏海安农村商业银行股份有限公司】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住所：【江苏省海安市长江中路88号(东楼)】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94.企业名称：【江苏淮安农村商业银行股份有限公司】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住所：【江苏省淮安市清江浦区水渡口大道20号金融中心B1号楼】</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95.企业名称：【江苏响水农村商业银行股份有限公司】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住所：【江苏省盐城市响水县双园路84号】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96.企业名称：【江苏姜堰农村商业银行股份有限公司】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住所：【泰州市姜堰区姜堰大道128号】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【D】类份额（份额代码【AF266137D】）合作销售机构信息：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【G】类份额（份额代码【AF266137G】）合作销售机构信息：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【H】类份额（份额代码【AF266137H】）合作销售机构信息：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【K】类份额（份额代码【AF266137K】）合作销售机构信息：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【M】类份额（份额代码【AF266137M】）合作销售机构信息：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1.企业名称：【江苏如皋农村商业银行股份有限公司】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住所：【江苏省如皋市如城街道海阳南路 999 号】</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客户服务热线：【0513-96008】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【S】类份额（份额代码【AF266137S】）合作销售机构信息：</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1.企业名称：【信银理财有限责任公司】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住所：【上海市黄浦区中山东二路600号1幢35层、36层】</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客户服务热线：【950950】</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2.企业名称：【中信银行股份有限公司】</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住所：【北京市朝阳区光华路10号中信大厦】</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客户服务热线：【95558】</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 xml:space="preserve">    </w:t>
            </w:r>
            <w:r>
              <w:rPr>
                <w:rFonts w:ascii="楷体_GB2312" w:eastAsia="楷体_GB2312" w:cs="楷体_GB2312"/>
                <w:color w:val="000000" w:themeColor="text1"/>
                <w:sz w:val="20"/>
                <w:szCs w:val="20"/>
                <w:highlight w:val="none"/>
                <w14:textFill>
                  <w14:solidFill>
                    <w14:schemeClr w14:val="tx1"/>
                  </w14:solidFill>
                </w14:textFill>
              </w:rPr>
              <w:br w:type="textWrapping"/>
            </w:r>
            <w:r>
              <w:rPr>
                <w:rFonts w:ascii="楷体_GB2312" w:eastAsia="楷体_GB2312" w:cs="楷体_GB2312"/>
                <w:color w:val="000000" w:themeColor="text1"/>
                <w:sz w:val="20"/>
                <w:szCs w:val="20"/>
                <w:highlight w:val="none"/>
                <w14:textFill>
                  <w14:solidFill>
                    <w14:schemeClr w14:val="tx1"/>
                  </w14:solidFill>
                </w14:textFill>
              </w:rPr>
              <w:t>后续合作销售机构如有新增、减少和变更，信银理财将按照本说明书约定的方式告知投资者。</w:t>
            </w:r>
          </w:p>
        </w:tc>
      </w:tr>
      <w:tr w14:paraId="1F621D2B">
        <w:tblPrEx>
          <w:tblCellMar>
            <w:top w:w="0" w:type="dxa"/>
            <w:left w:w="108" w:type="dxa"/>
            <w:bottom w:w="0" w:type="dxa"/>
            <w:right w:w="108" w:type="dxa"/>
          </w:tblCellMar>
        </w:tblPrEx>
        <w:trPr>
          <w:trHeight w:val="476" w:hRule="atLeast"/>
        </w:trPr>
        <w:tc>
          <w:tcPr>
            <w:tcW w:w="2842" w:type="dxa"/>
            <w:tcBorders>
              <w:top w:val="single" w:color="auto" w:sz="4" w:space="0"/>
              <w:left w:val="single" w:color="000000" w:sz="8" w:space="0"/>
              <w:bottom w:val="single" w:color="auto" w:sz="4" w:space="0"/>
              <w:right w:val="single" w:color="auto" w:sz="4" w:space="0"/>
            </w:tcBorders>
            <w:vAlign w:val="center"/>
          </w:tcPr>
          <w:p w14:paraId="2CB23304">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境内托管机构名称</w:t>
            </w:r>
          </w:p>
        </w:tc>
        <w:tc>
          <w:tcPr>
            <w:tcW w:w="6762" w:type="dxa"/>
            <w:tcBorders>
              <w:top w:val="single" w:color="auto" w:sz="4" w:space="0"/>
              <w:left w:val="single" w:color="auto" w:sz="4" w:space="0"/>
              <w:bottom w:val="single" w:color="auto" w:sz="4" w:space="0"/>
              <w:right w:val="single" w:color="000000" w:sz="8" w:space="0"/>
            </w:tcBorders>
            <w:vAlign w:val="center"/>
          </w:tcPr>
          <w:p w14:paraId="4B5BE4B7">
            <w:pPr>
              <w:widowControl/>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sz w:val="20"/>
                <w:szCs w:val="20"/>
                <w:highlight w:val="none"/>
              </w:rPr>
              <w:t>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p>
        </w:tc>
      </w:tr>
      <w:tr w14:paraId="3EEB386C">
        <w:tblPrEx>
          <w:tblCellMar>
            <w:top w:w="0" w:type="dxa"/>
            <w:left w:w="108" w:type="dxa"/>
            <w:bottom w:w="0" w:type="dxa"/>
            <w:right w:w="108" w:type="dxa"/>
          </w:tblCellMar>
        </w:tblPrEx>
        <w:trPr>
          <w:trHeight w:val="540" w:hRule="atLeast"/>
        </w:trPr>
        <w:tc>
          <w:tcPr>
            <w:tcW w:w="2842" w:type="dxa"/>
            <w:tcBorders>
              <w:top w:val="nil"/>
              <w:left w:val="single" w:color="000000" w:sz="8" w:space="0"/>
              <w:bottom w:val="nil"/>
              <w:right w:val="single" w:color="auto" w:sz="4" w:space="0"/>
            </w:tcBorders>
            <w:vAlign w:val="center"/>
          </w:tcPr>
          <w:p w14:paraId="5722C1AB">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销售对象</w:t>
            </w:r>
          </w:p>
        </w:tc>
        <w:tc>
          <w:tcPr>
            <w:tcW w:w="6762" w:type="dxa"/>
            <w:tcBorders>
              <w:top w:val="nil"/>
              <w:left w:val="single" w:color="auto" w:sz="4" w:space="0"/>
              <w:bottom w:val="nil"/>
              <w:right w:val="single" w:color="000000" w:sz="8" w:space="0"/>
            </w:tcBorders>
            <w:shd w:val="clear" w:color="auto" w:fill="auto"/>
            <w:vAlign w:val="center"/>
          </w:tcPr>
          <w:p w14:paraId="4B92DDA4">
            <w:pPr>
              <w:keepNext w:val="0"/>
              <w:keepLines w:val="0"/>
              <w:widowControl/>
              <w:suppressLineNumbers w:val="0"/>
              <w:jc w:val="left"/>
              <w:textAlignment w:val="center"/>
              <w:rPr>
                <w:rFonts w:hint="eastAsia"/>
                <w:highlight w:val="none"/>
                <w:lang w:val="en-US" w:eastAsia="zh-CN"/>
              </w:rPr>
            </w:pPr>
            <w:r>
              <w:rPr>
                <w:rFonts w:hint="eastAsia" w:ascii="楷体_GB2312" w:eastAsia="楷体_GB2312" w:cs="楷体_GB2312"/>
                <w:color w:val="000000" w:themeColor="text1"/>
                <w:sz w:val="20"/>
                <w:szCs w:val="20"/>
                <w:highlight w:val="none"/>
                <w14:textFill>
                  <w14:solidFill>
                    <w14:schemeClr w14:val="tx1"/>
                  </w14:solidFill>
                </w14:textFill>
              </w:rPr>
              <w:t>【个人/机构】客户</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sz w:val="20"/>
                <w:szCs w:val="20"/>
                <w:highlight w:val="none"/>
              </w:rPr>
              <w:t>适合</w:t>
            </w:r>
            <w:r>
              <w:rPr>
                <w:rFonts w:hint="eastAsia" w:ascii="楷体_GB2312" w:eastAsia="楷体_GB2312" w:cs="Times New Roman"/>
                <w:sz w:val="20"/>
                <w:szCs w:val="20"/>
                <w:highlight w:val="none"/>
              </w:rPr>
              <w:t>【稳健型】、【平衡型】、【进取型】、【激进型】</w:t>
            </w:r>
            <w:r>
              <w:rPr>
                <w:rFonts w:hint="eastAsia" w:ascii="楷体_GB2312" w:eastAsia="楷体_GB2312" w:cs="楷体_GB2312"/>
                <w:color w:val="000000"/>
                <w:sz w:val="20"/>
                <w:szCs w:val="20"/>
                <w:highlight w:val="none"/>
              </w:rPr>
              <w:t>投资者。</w:t>
            </w:r>
            <w:r>
              <w:rPr>
                <w:rFonts w:hint="eastAsia" w:ascii="楷体_GB2312" w:eastAsia="楷体_GB2312" w:cs="楷体_GB2312"/>
                <w:sz w:val="20"/>
                <w:szCs w:val="20"/>
                <w:highlight w:val="none"/>
              </w:rPr>
              <w:t>代销机构对产品的发行对象与信银理财不一致的，以代销机构为准</w:t>
            </w:r>
            <w:r>
              <w:rPr>
                <w:rFonts w:hint="eastAsia" w:ascii="楷体_GB2312" w:eastAsia="楷体_GB2312" w:cs="楷体_GB2312"/>
                <w:b w:val="0"/>
                <w:bCs w:val="0"/>
                <w:sz w:val="20"/>
                <w:szCs w:val="20"/>
                <w:highlight w:val="none"/>
                <w:lang w:eastAsia="zh-CN"/>
              </w:rPr>
              <w:t>，</w:t>
            </w:r>
            <w:r>
              <w:rPr>
                <w:rFonts w:hint="eastAsia" w:ascii="楷体_GB2312" w:eastAsia="楷体_GB2312" w:cs="楷体_GB2312"/>
                <w:b w:val="0"/>
                <w:bCs w:val="0"/>
                <w:sz w:val="20"/>
                <w:szCs w:val="20"/>
                <w:highlight w:val="none"/>
                <w:lang w:val="en-US" w:eastAsia="zh-CN"/>
              </w:rPr>
              <w:t>但不得超出上述发行对象范围</w:t>
            </w:r>
            <w:r>
              <w:rPr>
                <w:rFonts w:hint="eastAsia" w:ascii="楷体_GB2312" w:eastAsia="楷体_GB2312" w:cs="楷体_GB2312"/>
                <w:b w:val="0"/>
                <w:bCs w:val="0"/>
                <w:sz w:val="20"/>
                <w:szCs w:val="20"/>
                <w:highlight w:val="none"/>
              </w:rPr>
              <w:t>。</w:t>
            </w:r>
          </w:p>
        </w:tc>
      </w:tr>
      <w:tr w14:paraId="17C88C4E">
        <w:tblPrEx>
          <w:tblCellMar>
            <w:top w:w="0" w:type="dxa"/>
            <w:left w:w="108" w:type="dxa"/>
            <w:bottom w:w="0" w:type="dxa"/>
            <w:right w:w="108" w:type="dxa"/>
          </w:tblCellMar>
        </w:tblPrEx>
        <w:trPr>
          <w:trHeight w:val="380" w:hRule="atLeast"/>
        </w:trPr>
        <w:tc>
          <w:tcPr>
            <w:tcW w:w="9604" w:type="dxa"/>
            <w:gridSpan w:val="2"/>
            <w:tcBorders>
              <w:top w:val="single" w:color="000000" w:sz="4" w:space="0"/>
              <w:left w:val="single" w:color="000000" w:sz="8" w:space="0"/>
              <w:bottom w:val="single" w:color="000000" w:sz="4" w:space="0"/>
              <w:right w:val="single" w:color="000000" w:sz="4" w:space="0"/>
            </w:tcBorders>
            <w:vAlign w:val="center"/>
          </w:tcPr>
          <w:p w14:paraId="60E04BCB">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（二）交易规则</w:t>
            </w:r>
          </w:p>
        </w:tc>
      </w:tr>
      <w:tr w14:paraId="1803476B">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vAlign w:val="center"/>
          </w:tcPr>
          <w:p w14:paraId="03BB52D9">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募集币种</w:t>
            </w:r>
          </w:p>
        </w:tc>
        <w:tc>
          <w:tcPr>
            <w:tcW w:w="6762" w:type="dxa"/>
            <w:tcBorders>
              <w:top w:val="nil"/>
              <w:left w:val="single" w:color="auto" w:sz="4" w:space="0"/>
              <w:bottom w:val="single" w:color="auto" w:sz="4" w:space="0"/>
              <w:right w:val="single" w:color="000000" w:sz="8" w:space="0"/>
            </w:tcBorders>
            <w:vAlign w:val="center"/>
          </w:tcPr>
          <w:p w14:paraId="4465FF63">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本产品投资与收益币种为【人民币</w:t>
            </w:r>
            <w:r>
              <w:rPr>
                <w:rFonts w:ascii="楷体_GB2312" w:eastAsia="楷体_GB2312" w:cs="楷体_GB2312"/>
                <w:color w:val="000000" w:themeColor="text1"/>
                <w:sz w:val="20"/>
                <w:szCs w:val="20"/>
                <w:highlight w:val="none"/>
                <w14:textFill>
                  <w14:solidFill>
                    <w14:schemeClr w14:val="tx1"/>
                  </w14:solidFill>
                </w14:textFill>
              </w:rPr>
              <w:t>】</w:t>
            </w:r>
          </w:p>
        </w:tc>
      </w:tr>
      <w:tr w14:paraId="59692ACD">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50D78E2A">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起点销售金额</w:t>
            </w:r>
          </w:p>
        </w:tc>
        <w:tc>
          <w:tcPr>
            <w:tcW w:w="6762" w:type="dxa"/>
            <w:tcBorders>
              <w:top w:val="single" w:color="auto" w:sz="4" w:space="0"/>
              <w:left w:val="single" w:color="auto" w:sz="4" w:space="0"/>
              <w:bottom w:val="single" w:color="auto" w:sz="4" w:space="0"/>
              <w:right w:val="single" w:color="000000" w:sz="8" w:space="0"/>
            </w:tcBorders>
            <w:vAlign w:val="center"/>
          </w:tcPr>
          <w:p w14:paraId="57F0E3B1">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rPr>
              <w:t>【A】类份额初始认购金额不低于【人民币】【1】元，以【人民币】【0.01】元的整数倍增加。追加认购金额不低于【人民币】【0.01】元，以【人民币】【0.01】元的整数倍增加。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【B】类份额初始认购金额不低于【人民币】【1】元，以【人民币】【0.01】元的整数倍增加。追加认购金额不低于【人民币】【0.01】元，以【人民币】【0.01】元的整数倍增加。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【D】类份额初始认购金额不低于【人民币】【100】万元，以【人民币】【0.01】元的整数倍增加。追加认购金额不低于【人民币】【0.01】元，以【人民币】【0.01】元的整数倍增加。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【G】类份额初始认购金额不低于【人民币】【1】元，以【人民币】【0.01】元的整数倍增加。追加认购金额不低于【人民币】【0.01】元，以【人民币】【0.01】元的整数倍增加。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【H】类份额初始认购金额不低于【人民币】【1000】元，以【人民币】【0.01】元的整数倍增加。追加认购金额不低于【人民币】【0.01】元，以【人民币】【0.01】元的整数倍增加。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【K】类份额初始认购金额不低于【人民币】【1】元，以【人民币】【0.01】元的整数倍增加。追加认购金额不低于【人民币】【0.01】元，以【人民币】【0.01】元的整数倍增加。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【M】类份额初始认购金额不低于【人民币】【1】元，以【人民币】【0.01】元的整数倍增加。追加认购金额不低于【人民币】【0.01】元，以【人民币】【0.01】元的整数倍增加。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【S】类份额初始认购金额不低于【人民币】【1】元，以【人民币】【0.01】元的整数倍增加。追加认购金额不低于【人民币】【0.01】元，以【人民币】【0.01】元的整数倍增加。</w:t>
            </w:r>
          </w:p>
          <w:p w14:paraId="08EA2943">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p>
          <w:p w14:paraId="632CDBBD">
            <w:pPr>
              <w:widowControl/>
              <w:spacing w:line="300" w:lineRule="exact"/>
              <w:ind w:left="-2" w:leftChars="-1" w:right="36" w:rightChars="15"/>
              <w:jc w:val="left"/>
              <w:textAlignment w:val="auto"/>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代销机构对产品的认购起点及追加认购金额的要求与信银理财不一致的，以代销机构为准，但不得低于上述对应金额。</w:t>
            </w:r>
          </w:p>
        </w:tc>
      </w:tr>
      <w:tr w14:paraId="1DC0AB00">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05206D93">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计划募集金额上限</w:t>
            </w:r>
          </w:p>
        </w:tc>
        <w:tc>
          <w:tcPr>
            <w:tcW w:w="6762" w:type="dxa"/>
            <w:tcBorders>
              <w:top w:val="single" w:color="auto" w:sz="4" w:space="0"/>
              <w:left w:val="single" w:color="auto" w:sz="4" w:space="0"/>
              <w:bottom w:val="single" w:color="auto" w:sz="4" w:space="0"/>
              <w:right w:val="single" w:color="000000" w:sz="8" w:space="0"/>
            </w:tcBorders>
            <w:vAlign w:val="center"/>
          </w:tcPr>
          <w:p w14:paraId="1A7536B6">
            <w:pPr>
              <w:spacing w:line="300" w:lineRule="exact"/>
              <w:ind w:right="36" w:rightChars="15"/>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无。</w:t>
            </w:r>
          </w:p>
        </w:tc>
      </w:tr>
      <w:tr w14:paraId="0F344F7F">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shd w:val="clear" w:color="auto" w:fill="auto"/>
            <w:vAlign w:val="center"/>
          </w:tcPr>
          <w:p w14:paraId="0B967A70">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计划募集金额下限</w:t>
            </w:r>
          </w:p>
        </w:tc>
        <w:tc>
          <w:tcPr>
            <w:tcW w:w="6762" w:type="dxa"/>
            <w:tcBorders>
              <w:top w:val="single" w:color="auto" w:sz="4" w:space="0"/>
              <w:left w:val="single" w:color="auto" w:sz="4" w:space="0"/>
              <w:bottom w:val="single" w:color="auto" w:sz="4" w:space="0"/>
              <w:right w:val="single" w:color="000000" w:sz="8" w:space="0"/>
            </w:tcBorders>
            <w:vAlign w:val="center"/>
          </w:tcPr>
          <w:p w14:paraId="14C735E6">
            <w:pPr>
              <w:spacing w:line="300" w:lineRule="exact"/>
              <w:ind w:left="-2" w:leftChars="-1" w:right="36" w:rightChars="15"/>
              <w:rPr>
                <w:rFonts w:hint="eastAsia" w:ascii="仿宋" w:hAnsi="仿宋" w:eastAsia="仿宋" w:cs="宋体"/>
                <w:bCs/>
                <w:color w:val="000000" w:themeColor="text1"/>
                <w:kern w:val="0"/>
                <w:sz w:val="24"/>
                <w:highlight w:val="none"/>
                <w:lang w:bidi="ar"/>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43B54B43">
        <w:tblPrEx>
          <w:tblCellMar>
            <w:top w:w="0" w:type="dxa"/>
            <w:left w:w="108" w:type="dxa"/>
            <w:bottom w:w="0" w:type="dxa"/>
            <w:right w:w="108" w:type="dxa"/>
          </w:tblCellMar>
        </w:tblPrEx>
        <w:trPr>
          <w:trHeight w:val="1140" w:hRule="atLeast"/>
        </w:trPr>
        <w:tc>
          <w:tcPr>
            <w:tcW w:w="2842" w:type="dxa"/>
            <w:tcBorders>
              <w:top w:val="single" w:color="auto" w:sz="4" w:space="0"/>
              <w:left w:val="single" w:color="000000" w:sz="8" w:space="0"/>
              <w:bottom w:val="nil"/>
              <w:right w:val="single" w:color="auto" w:sz="4" w:space="0"/>
            </w:tcBorders>
            <w:vAlign w:val="center"/>
          </w:tcPr>
          <w:p w14:paraId="77C8957C">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认购、申购、赎回安排</w:t>
            </w:r>
          </w:p>
        </w:tc>
        <w:tc>
          <w:tcPr>
            <w:tcW w:w="6762" w:type="dxa"/>
            <w:tcBorders>
              <w:top w:val="single" w:color="auto" w:sz="4" w:space="0"/>
              <w:left w:val="single" w:color="auto" w:sz="4" w:space="0"/>
              <w:bottom w:val="nil"/>
              <w:right w:val="single" w:color="000000" w:sz="8" w:space="0"/>
            </w:tcBorders>
            <w:vAlign w:val="center"/>
          </w:tcPr>
          <w:p w14:paraId="01C180B9">
            <w:pPr>
              <w:ind w:right="96" w:rightChars="4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1.本产品募集期为</w:t>
            </w:r>
            <w:r>
              <w:rPr>
                <w:rFonts w:hint="eastAsia" w:ascii="楷体_GB2312" w:eastAsia="楷体_GB2312" w:cs="楷体_GB2312"/>
                <w:color w:val="000000" w:themeColor="text1"/>
                <w:sz w:val="20"/>
                <w:szCs w:val="20"/>
                <w:highlight w:val="none"/>
                <w14:textFill>
                  <w14:solidFill>
                    <w14:schemeClr w14:val="tx1"/>
                  </w14:solidFill>
                </w14:textFill>
              </w:rPr>
              <w:t>【2026】年【9】月【1】日至【2026】年【9】月【7】日，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信银理财有权提前结束募集期并提前成立产品或者延长募集期。</w:t>
            </w:r>
          </w:p>
          <w:p w14:paraId="12DC9547">
            <w:pPr>
              <w:keepNext w:val="0"/>
              <w:keepLines w:val="0"/>
              <w:pageBreakBefore w:val="0"/>
              <w:widowControl/>
              <w:kinsoku/>
              <w:wordWrap/>
              <w:overflowPunct/>
              <w:topLinePunct w:val="0"/>
              <w:autoSpaceDE/>
              <w:autoSpaceDN/>
              <w:bidi w:val="0"/>
              <w:adjustRightInd/>
              <w:snapToGrid/>
              <w:spacing w:line="300" w:lineRule="exact"/>
              <w:ind w:left="0" w:leftChars="0" w:right="96" w:rightChars="40"/>
              <w:textAlignment w:val="auto"/>
              <w:rPr>
                <w:rFonts w:hint="default" w:ascii="楷体_GB2312" w:hAnsi="宋体" w:eastAsia="楷体_GB2312" w:cs="楷体_GB2312"/>
                <w:bCs w:val="0"/>
                <w:color w:val="000000" w:themeColor="text1"/>
                <w:kern w:val="0"/>
                <w:sz w:val="20"/>
                <w:szCs w:val="20"/>
                <w:highlight w:val="none"/>
                <w:lang w:val="en-US" w:eastAsia="zh-CN" w:bidi="ar"/>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本产品不开放申购和赎回。</w:t>
            </w:r>
          </w:p>
        </w:tc>
      </w:tr>
      <w:tr w14:paraId="641558E5">
        <w:tblPrEx>
          <w:tblCellMar>
            <w:top w:w="0" w:type="dxa"/>
            <w:left w:w="108" w:type="dxa"/>
            <w:bottom w:w="0" w:type="dxa"/>
            <w:right w:w="108" w:type="dxa"/>
          </w:tblCellMar>
        </w:tblPrEx>
        <w:trPr>
          <w:trHeight w:val="1140" w:hRule="atLeast"/>
        </w:trPr>
        <w:tc>
          <w:tcPr>
            <w:tcW w:w="2842" w:type="dxa"/>
            <w:tcBorders>
              <w:top w:val="single" w:color="auto" w:sz="4" w:space="0"/>
              <w:left w:val="single" w:color="000000" w:sz="8" w:space="0"/>
              <w:bottom w:val="nil"/>
              <w:right w:val="single" w:color="auto" w:sz="4" w:space="0"/>
            </w:tcBorders>
            <w:vAlign w:val="center"/>
          </w:tcPr>
          <w:p w14:paraId="4E6077F5">
            <w:pPr>
              <w:widowControl/>
              <w:spacing w:line="400" w:lineRule="exact"/>
              <w:jc w:val="center"/>
              <w:textAlignment w:val="center"/>
              <w:rPr>
                <w:rFonts w:hint="eastAsia" w:ascii="仿宋_GB2312" w:hAnsi="等线" w:eastAsia="仿宋_GB2312" w:cs="仿宋_GB2312"/>
                <w:color w:val="000000" w:themeColor="text1"/>
                <w:sz w:val="24"/>
                <w:highlight w:val="none"/>
                <w:lang w:bidi="ar"/>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收益分配方式</w:t>
            </w:r>
          </w:p>
        </w:tc>
        <w:tc>
          <w:tcPr>
            <w:tcW w:w="6762" w:type="dxa"/>
            <w:tcBorders>
              <w:top w:val="single" w:color="auto" w:sz="4" w:space="0"/>
              <w:left w:val="single" w:color="auto" w:sz="4" w:space="0"/>
              <w:bottom w:val="nil"/>
              <w:right w:val="single" w:color="000000" w:sz="8" w:space="0"/>
            </w:tcBorders>
            <w:vAlign w:val="center"/>
          </w:tcPr>
          <w:p w14:paraId="5295EEB5">
            <w:pPr>
              <w:pStyle w:val="20"/>
              <w:numPr>
                <w:ilvl w:val="0"/>
                <w:numId w:val="0"/>
              </w:numPr>
              <w:spacing w:line="300" w:lineRule="exact"/>
              <w:ind w:right="96" w:rightChars="40" w:firstLine="0" w:firstLineChars="0"/>
              <w:rPr>
                <w:rFonts w:ascii="黑体" w:eastAsia="黑体" w:cs="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（一）</w:t>
            </w:r>
            <w:r>
              <w:rPr>
                <w:rFonts w:hint="eastAsia" w:ascii="黑体" w:eastAsia="黑体" w:cs="黑体"/>
                <w:color w:val="000000" w:themeColor="text1"/>
                <w:sz w:val="20"/>
                <w:szCs w:val="20"/>
                <w:highlight w:val="none"/>
                <w14:textFill>
                  <w14:solidFill>
                    <w14:schemeClr w14:val="tx1"/>
                  </w14:solidFill>
                </w14:textFill>
              </w:rPr>
              <w:t>期间</w:t>
            </w:r>
            <w:r>
              <w:rPr>
                <w:rFonts w:ascii="黑体" w:eastAsia="黑体" w:cs="黑体"/>
                <w:color w:val="000000" w:themeColor="text1"/>
                <w:sz w:val="20"/>
                <w:szCs w:val="20"/>
                <w:highlight w:val="none"/>
                <w14:textFill>
                  <w14:solidFill>
                    <w14:schemeClr w14:val="tx1"/>
                  </w14:solidFill>
                </w14:textFill>
              </w:rPr>
              <w:t>分配</w:t>
            </w:r>
          </w:p>
          <w:p w14:paraId="7221626F">
            <w:pPr>
              <w:spacing w:line="400" w:lineRule="exact"/>
              <w:ind w:right="0" w:rightChars="0" w:firstLine="0" w:firstLineChars="0"/>
              <w:textAlignment w:val="center"/>
              <w:rPr>
                <w:rFonts w:ascii="楷体_GB2312" w:eastAsia="楷体_GB2312" w:cs="楷体_GB2312"/>
                <w:b/>
                <w:bCs/>
                <w:color w:val="000000" w:themeColor="text1"/>
                <w:sz w:val="20"/>
                <w:szCs w:val="20"/>
                <w:highlight w:val="none"/>
                <w14:textFill>
                  <w14:solidFill>
                    <w14:schemeClr w14:val="tx1"/>
                  </w14:solidFill>
                </w14:textFill>
              </w:rPr>
            </w:pPr>
            <w:r>
              <w:rPr>
                <w:rFonts w:hint="default" w:ascii="楷体_GB2312" w:eastAsia="楷体_GB2312" w:cs="楷体_GB2312"/>
                <w:b/>
                <w:bCs/>
                <w:color w:val="000000" w:themeColor="text1"/>
                <w:sz w:val="20"/>
                <w:szCs w:val="20"/>
                <w:highlight w:val="none"/>
                <w14:textFill>
                  <w14:solidFill>
                    <w14:schemeClr w14:val="tx1"/>
                  </w14:solidFill>
                </w14:textFill>
              </w:rPr>
              <w:t>无。</w:t>
            </w:r>
          </w:p>
          <w:p w14:paraId="00E441A4">
            <w:pPr>
              <w:pStyle w:val="20"/>
              <w:numPr>
                <w:ilvl w:val="0"/>
                <w:numId w:val="0"/>
              </w:numPr>
              <w:spacing w:line="300" w:lineRule="exact"/>
              <w:ind w:right="96" w:rightChars="40" w:firstLine="0" w:firstLineChars="0"/>
              <w:rPr>
                <w:rFonts w:hint="eastAsia" w:ascii="黑体" w:eastAsia="黑体" w:cs="黑体"/>
                <w:color w:val="000000" w:themeColor="text1"/>
                <w:sz w:val="20"/>
                <w:szCs w:val="20"/>
                <w:highlight w:val="none"/>
                <w:lang w:eastAsia="zh-CN"/>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（二）终止分配</w:t>
            </w:r>
          </w:p>
          <w:p w14:paraId="5C47B9BA">
            <w:pPr>
              <w:keepNext w:val="0"/>
              <w:keepLines w:val="0"/>
              <w:pageBreakBefore w:val="0"/>
              <w:widowControl/>
              <w:kinsoku/>
              <w:wordWrap/>
              <w:overflowPunct/>
              <w:topLinePunct w:val="0"/>
              <w:autoSpaceDE/>
              <w:autoSpaceDN/>
              <w:bidi w:val="0"/>
              <w:adjustRightInd/>
              <w:snapToGrid/>
              <w:spacing w:line="300" w:lineRule="exact"/>
              <w:ind w:right="0" w:rightChars="0" w:firstLine="0" w:firstLineChars="0"/>
              <w:textAlignment w:val="center"/>
              <w:rPr>
                <w:rFonts w:ascii="楷体_GB2312" w:eastAsia="楷体_GB2312" w:cs="楷体_GB2312"/>
                <w:color w:val="000000" w:themeColor="text1"/>
                <w:sz w:val="20"/>
                <w:szCs w:val="20"/>
                <w:highlight w:val="none"/>
                <w14:textFill>
                  <w14:solidFill>
                    <w14:schemeClr w14:val="tx1"/>
                  </w14:solidFill>
                </w14:textFill>
              </w:rPr>
            </w:pPr>
            <w:r>
              <w:rPr>
                <w:rFonts w:hint="default" w:ascii="楷体_GB2312" w:eastAsia="楷体_GB2312" w:cs="楷体_GB2312"/>
                <w:color w:val="000000" w:themeColor="text1"/>
                <w:sz w:val="20"/>
                <w:szCs w:val="20"/>
                <w:highlight w:val="none"/>
                <w14:textFill>
                  <w14:solidFill>
                    <w14:schemeClr w14:val="tx1"/>
                  </w14:solidFill>
                </w14:textFill>
              </w:rPr>
              <w:t>本产品在扣除信银理财</w:t>
            </w:r>
            <w:r>
              <w:rPr>
                <w:rFonts w:ascii="楷体_GB2312" w:eastAsia="楷体_GB2312" w:cs="楷体_GB2312"/>
                <w:color w:val="000000" w:themeColor="text1"/>
                <w:sz w:val="20"/>
                <w:szCs w:val="20"/>
                <w:highlight w:val="none"/>
                <w14:textFill>
                  <w14:solidFill>
                    <w14:schemeClr w14:val="tx1"/>
                  </w14:solidFill>
                </w14:textFill>
              </w:rPr>
              <w:t>应收取费用</w:t>
            </w:r>
            <w:r>
              <w:rPr>
                <w:rFonts w:hint="default" w:ascii="楷体_GB2312" w:eastAsia="楷体_GB2312" w:cs="楷体_GB2312"/>
                <w:color w:val="000000" w:themeColor="text1"/>
                <w:sz w:val="20"/>
                <w:szCs w:val="20"/>
                <w:highlight w:val="none"/>
                <w14:textFill>
                  <w14:solidFill>
                    <w14:schemeClr w14:val="tx1"/>
                  </w14:solidFill>
                </w14:textFill>
              </w:rPr>
              <w:t>及其他应由产品承担的税费后的投资损益全部归属投资者。</w:t>
            </w:r>
            <w:r>
              <w:rPr>
                <w:rFonts w:hint="eastAsia" w:ascii="楷体_GB2312" w:eastAsia="楷体_GB2312" w:cs="楷体_GB2312"/>
                <w:color w:val="000000" w:themeColor="text1"/>
                <w:sz w:val="20"/>
                <w:szCs w:val="20"/>
                <w:highlight w:val="none"/>
                <w14:textFill>
                  <w14:solidFill>
                    <w14:schemeClr w14:val="tx1"/>
                  </w14:solidFill>
                </w14:textFill>
              </w:rPr>
              <w:t>投资者到期日应得资金计算公式如下：</w:t>
            </w:r>
          </w:p>
          <w:p w14:paraId="0D0CD04D">
            <w:pPr>
              <w:keepNext w:val="0"/>
              <w:keepLines w:val="0"/>
              <w:pageBreakBefore w:val="0"/>
              <w:widowControl/>
              <w:kinsoku/>
              <w:wordWrap/>
              <w:overflowPunct/>
              <w:topLinePunct w:val="0"/>
              <w:autoSpaceDE/>
              <w:autoSpaceDN/>
              <w:bidi w:val="0"/>
              <w:adjustRightInd/>
              <w:snapToGrid/>
              <w:spacing w:line="300" w:lineRule="exact"/>
              <w:ind w:right="0" w:rightChars="0" w:firstLine="0" w:firstLineChars="0"/>
              <w:textAlignment w:val="center"/>
              <w:rPr>
                <w:rFonts w:hint="eastAsia" w:ascii="楷体_GB2312" w:eastAsia="楷体_GB2312" w:cs="楷体_GB2312"/>
                <w:color w:val="000000" w:themeColor="text1"/>
                <w:sz w:val="20"/>
                <w:szCs w:val="20"/>
                <w:highlight w:val="none"/>
                <w:lang w:eastAsia="zh-CN"/>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投资者应得资金</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到期日产品可分配的总金额</w:t>
            </w:r>
            <w:r>
              <w:rPr>
                <w:rFonts w:ascii="楷体_GB2312" w:eastAsia="楷体_GB2312" w:cs="楷体_GB2312"/>
                <w:color w:val="000000" w:themeColor="text1"/>
                <w:sz w:val="20"/>
                <w:szCs w:val="20"/>
                <w:highlight w:val="none"/>
                <w14:textFill>
                  <w14:solidFill>
                    <w14:schemeClr w14:val="tx1"/>
                  </w14:solidFill>
                </w14:textFill>
              </w:rPr>
              <w:t>/产品的总份额*投资者的持有份额</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p>
          <w:p w14:paraId="65E6D8B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val="0"/>
                <w:color w:val="000000" w:themeColor="text1"/>
                <w:sz w:val="24"/>
                <w:highlight w:val="none"/>
                <w:lang w:bidi="ar"/>
                <w14:textFill>
                  <w14:solidFill>
                    <w14:schemeClr w14:val="tx1"/>
                  </w14:solidFill>
                </w14:textFill>
              </w:rPr>
            </w:pPr>
            <w:r>
              <w:rPr>
                <w:rFonts w:hint="default" w:ascii="楷体_GB2312" w:hAnsi="宋体" w:eastAsia="楷体_GB2312" w:cs="楷体_GB2312"/>
                <w:bCs w:val="0"/>
                <w:color w:val="000000" w:themeColor="text1"/>
                <w:kern w:val="0"/>
                <w:sz w:val="20"/>
                <w:szCs w:val="20"/>
                <w:highlight w:val="none"/>
                <w:lang w:val="en-US" w:eastAsia="zh-CN" w:bidi="ar"/>
                <w14:textFill>
                  <w14:solidFill>
                    <w14:schemeClr w14:val="tx1"/>
                  </w14:solidFill>
                </w14:textFill>
              </w:rPr>
              <w:t>详见《产品说明书》之“理财资金分配”</w:t>
            </w:r>
            <w:r>
              <w:rPr>
                <w:rFonts w:hint="eastAsia" w:ascii="楷体_GB2312" w:eastAsia="楷体_GB2312" w:cs="楷体_GB2312"/>
                <w:bCs w:val="0"/>
                <w:color w:val="000000" w:themeColor="text1"/>
                <w:kern w:val="0"/>
                <w:sz w:val="20"/>
                <w:szCs w:val="20"/>
                <w:highlight w:val="none"/>
                <w:lang w:val="en-US" w:eastAsia="zh-CN" w:bidi="ar"/>
                <w14:textFill>
                  <w14:solidFill>
                    <w14:schemeClr w14:val="tx1"/>
                  </w14:solidFill>
                </w14:textFill>
              </w:rPr>
              <w:t>。</w:t>
            </w:r>
          </w:p>
        </w:tc>
      </w:tr>
      <w:tr w14:paraId="7D3DD9B1">
        <w:tblPrEx>
          <w:tblCellMar>
            <w:top w:w="0" w:type="dxa"/>
            <w:left w:w="108" w:type="dxa"/>
            <w:bottom w:w="0" w:type="dxa"/>
            <w:right w:w="108" w:type="dxa"/>
          </w:tblCellMar>
        </w:tblPrEx>
        <w:trPr>
          <w:trHeight w:val="270" w:hRule="atLeast"/>
        </w:trPr>
        <w:tc>
          <w:tcPr>
            <w:tcW w:w="9604" w:type="dxa"/>
            <w:gridSpan w:val="2"/>
            <w:tcBorders>
              <w:top w:val="single" w:color="000000" w:sz="4" w:space="0"/>
              <w:left w:val="single" w:color="000000" w:sz="8" w:space="0"/>
              <w:bottom w:val="nil"/>
              <w:right w:val="single" w:color="000000" w:sz="8" w:space="0"/>
            </w:tcBorders>
            <w:vAlign w:val="center"/>
          </w:tcPr>
          <w:p w14:paraId="220036AA">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（三）产品性质与类型</w:t>
            </w:r>
          </w:p>
        </w:tc>
      </w:tr>
      <w:tr w14:paraId="5E286AC6">
        <w:tblPrEx>
          <w:tblCellMar>
            <w:top w:w="0" w:type="dxa"/>
            <w:left w:w="108" w:type="dxa"/>
            <w:bottom w:w="0" w:type="dxa"/>
            <w:right w:w="108" w:type="dxa"/>
          </w:tblCellMar>
        </w:tblPrEx>
        <w:trPr>
          <w:trHeight w:val="540" w:hRule="atLeast"/>
        </w:trPr>
        <w:tc>
          <w:tcPr>
            <w:tcW w:w="2842" w:type="dxa"/>
            <w:tcBorders>
              <w:top w:val="single" w:color="000000" w:sz="4" w:space="0"/>
              <w:left w:val="single" w:color="000000" w:sz="8" w:space="0"/>
              <w:bottom w:val="single" w:color="auto" w:sz="4" w:space="0"/>
              <w:right w:val="single" w:color="auto" w:sz="4" w:space="0"/>
            </w:tcBorders>
            <w:vAlign w:val="center"/>
          </w:tcPr>
          <w:p w14:paraId="48D55582">
            <w:pPr>
              <w:widowControl/>
              <w:spacing w:line="400" w:lineRule="exact"/>
              <w:jc w:val="center"/>
              <w:textAlignment w:val="center"/>
              <w:rPr>
                <w:rFonts w:hint="default" w:ascii="仿宋_GB2312" w:hAnsi="等线" w:eastAsia="仿宋_GB2312" w:cs="仿宋_GB2312"/>
                <w:color w:val="000000" w:themeColor="text1"/>
                <w:sz w:val="24"/>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募集方式、投资性质、运作模式</w:t>
            </w:r>
          </w:p>
        </w:tc>
        <w:tc>
          <w:tcPr>
            <w:tcW w:w="6762" w:type="dxa"/>
            <w:tcBorders>
              <w:top w:val="single" w:color="000000" w:sz="4" w:space="0"/>
              <w:left w:val="single" w:color="auto" w:sz="4" w:space="0"/>
              <w:bottom w:val="single" w:color="auto" w:sz="4" w:space="0"/>
              <w:right w:val="single" w:color="000000" w:sz="8" w:space="0"/>
            </w:tcBorders>
            <w:vAlign w:val="center"/>
          </w:tcPr>
          <w:p w14:paraId="3B3E3FF5">
            <w:pPr>
              <w:widowControl/>
              <w:spacing w:line="400" w:lineRule="exact"/>
              <w:jc w:val="center"/>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公募、【固定收益类】、封闭式</w:t>
            </w:r>
          </w:p>
        </w:tc>
      </w:tr>
      <w:tr w14:paraId="5267432C">
        <w:tblPrEx>
          <w:tblCellMar>
            <w:top w:w="0" w:type="dxa"/>
            <w:left w:w="108" w:type="dxa"/>
            <w:bottom w:w="0" w:type="dxa"/>
            <w:right w:w="108" w:type="dxa"/>
          </w:tblCellMar>
        </w:tblPrEx>
        <w:trPr>
          <w:trHeight w:val="81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0A2BC4B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风险等级</w:t>
            </w:r>
          </w:p>
        </w:tc>
        <w:tc>
          <w:tcPr>
            <w:tcW w:w="6762" w:type="dxa"/>
            <w:tcBorders>
              <w:top w:val="single" w:color="auto" w:sz="4" w:space="0"/>
              <w:left w:val="single" w:color="auto" w:sz="4" w:space="0"/>
              <w:bottom w:val="single" w:color="auto" w:sz="4" w:space="0"/>
              <w:right w:val="single" w:color="000000" w:sz="8" w:space="0"/>
            </w:tcBorders>
            <w:vAlign w:val="center"/>
          </w:tcPr>
          <w:p w14:paraId="3A372E36">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sz w:val="20"/>
                <w:szCs w:val="20"/>
                <w:highlight w:val="none"/>
              </w:rPr>
              <w:t>PR</w:t>
            </w:r>
            <w:r>
              <w:rPr>
                <w:rFonts w:hint="eastAsia" w:ascii="楷体_GB2312" w:eastAsia="楷体_GB2312" w:cs="楷体_GB2312"/>
                <w:sz w:val="20"/>
                <w:szCs w:val="20"/>
                <w:highlight w:val="none"/>
              </w:rPr>
              <w:t>【2】级（【稳健】</w:t>
            </w:r>
            <w:r>
              <w:rPr>
                <w:rFonts w:ascii="楷体_GB2312" w:eastAsia="楷体_GB2312" w:cs="楷体_GB2312"/>
                <w:sz w:val="20"/>
                <w:szCs w:val="20"/>
                <w:highlight w:val="none"/>
              </w:rPr>
              <w:t>型</w:t>
            </w:r>
            <w:r>
              <w:rPr>
                <w:rFonts w:hint="eastAsia" w:ascii="楷体_GB2312" w:eastAsia="楷体_GB2312" w:cs="楷体_GB2312"/>
                <w:sz w:val="20"/>
                <w:szCs w:val="20"/>
                <w:highlight w:val="none"/>
              </w:rPr>
              <w:t>）</w:t>
            </w:r>
            <w:r>
              <w:rPr>
                <w:rFonts w:hint="eastAsia" w:ascii="楷体_GB2312" w:eastAsia="楷体_GB2312" w:cs="楷体_GB2312"/>
                <w:color w:val="000000" w:themeColor="text1"/>
                <w:sz w:val="20"/>
                <w:szCs w:val="20"/>
                <w:highlight w:val="none"/>
                <w14:textFill>
                  <w14:solidFill>
                    <w14:schemeClr w14:val="tx1"/>
                  </w14:solidFill>
                </w14:textFill>
              </w:rPr>
              <w:t>。本风险分级为信银理财自行评定，仅供参考。</w:t>
            </w:r>
          </w:p>
          <w:p w14:paraId="6122E30E">
            <w:pPr>
              <w:spacing w:line="300" w:lineRule="exact"/>
              <w:ind w:left="-2" w:leftChars="-1" w:right="36" w:rightChars="15"/>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信银理财有权根据市场变化对产品风险等级进行调整，</w:t>
            </w:r>
            <w:r>
              <w:rPr>
                <w:rFonts w:ascii="楷体_GB2312" w:eastAsia="楷体_GB2312" w:cs="楷体_GB2312"/>
                <w:color w:val="000000" w:themeColor="text1"/>
                <w:sz w:val="20"/>
                <w:szCs w:val="20"/>
                <w:highlight w:val="none"/>
                <w14:textFill>
                  <w14:solidFill>
                    <w14:schemeClr w14:val="tx1"/>
                  </w14:solidFill>
                </w14:textFill>
              </w:rPr>
              <w:t>并最迟于调整生效前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本说明书约定的方式</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w:t>
            </w:r>
          </w:p>
          <w:p w14:paraId="4C256A2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产品通过代销机构销售的，代销机构将</w:t>
            </w:r>
            <w:r>
              <w:rPr>
                <w:rFonts w:hint="eastAsia" w:ascii="楷体_GB2312" w:eastAsia="楷体_GB2312" w:cs="楷体_GB2312"/>
                <w:color w:val="000000" w:themeColor="text1"/>
                <w:sz w:val="20"/>
                <w:szCs w:val="20"/>
                <w:highlight w:val="none"/>
                <w14:textFill>
                  <w14:solidFill>
                    <w14:schemeClr w14:val="tx1"/>
                  </w14:solidFill>
                </w14:textFill>
              </w:rPr>
              <w:t>对</w:t>
            </w:r>
            <w:r>
              <w:rPr>
                <w:rFonts w:ascii="楷体_GB2312" w:eastAsia="楷体_GB2312" w:cs="楷体_GB2312"/>
                <w:color w:val="000000" w:themeColor="text1"/>
                <w:sz w:val="20"/>
                <w:szCs w:val="20"/>
                <w:highlight w:val="none"/>
                <w14:textFill>
                  <w14:solidFill>
                    <w14:schemeClr w14:val="tx1"/>
                  </w14:solidFill>
                </w14:textFill>
              </w:rPr>
              <w:t>理财产品进行风险评级</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对投资者进行风险</w:t>
            </w:r>
            <w:r>
              <w:rPr>
                <w:rFonts w:hint="eastAsia" w:ascii="楷体_GB2312" w:eastAsia="楷体_GB2312" w:cs="楷体_GB2312"/>
                <w:color w:val="000000" w:themeColor="text1"/>
                <w:sz w:val="20"/>
                <w:szCs w:val="20"/>
                <w:highlight w:val="none"/>
                <w14:textFill>
                  <w14:solidFill>
                    <w14:schemeClr w14:val="tx1"/>
                  </w14:solidFill>
                </w14:textFill>
              </w:rPr>
              <w:t>承受能力</w:t>
            </w:r>
            <w:r>
              <w:rPr>
                <w:rFonts w:ascii="楷体_GB2312" w:eastAsia="楷体_GB2312" w:cs="楷体_GB2312"/>
                <w:color w:val="000000" w:themeColor="text1"/>
                <w:sz w:val="20"/>
                <w:szCs w:val="20"/>
                <w:highlight w:val="none"/>
                <w14:textFill>
                  <w14:solidFill>
                    <w14:schemeClr w14:val="tx1"/>
                  </w14:solidFill>
                </w14:textFill>
              </w:rPr>
              <w:t>测评</w:t>
            </w:r>
            <w:r>
              <w:rPr>
                <w:rFonts w:hint="eastAsia"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理财产品评级应当以代销机构最终披露的评级结果为准</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代销</w:t>
            </w:r>
            <w:r>
              <w:rPr>
                <w:rFonts w:ascii="楷体_GB2312" w:eastAsia="楷体_GB2312" w:cs="楷体_GB2312"/>
                <w:color w:val="000000" w:themeColor="text1"/>
                <w:sz w:val="20"/>
                <w:szCs w:val="20"/>
                <w:highlight w:val="none"/>
                <w14:textFill>
                  <w14:solidFill>
                    <w14:schemeClr w14:val="tx1"/>
                  </w14:solidFill>
                </w14:textFill>
              </w:rPr>
              <w:t>机构对</w:t>
            </w:r>
            <w:r>
              <w:rPr>
                <w:rFonts w:hint="eastAsia" w:ascii="楷体_GB2312" w:eastAsia="楷体_GB2312" w:cs="楷体_GB2312"/>
                <w:color w:val="000000" w:themeColor="text1"/>
                <w:sz w:val="20"/>
                <w:szCs w:val="20"/>
                <w:highlight w:val="none"/>
                <w14:textFill>
                  <w14:solidFill>
                    <w14:schemeClr w14:val="tx1"/>
                  </w14:solidFill>
                </w14:textFill>
              </w:rPr>
              <w:t>产品的</w:t>
            </w:r>
            <w:r>
              <w:rPr>
                <w:rFonts w:ascii="楷体_GB2312" w:eastAsia="楷体_GB2312" w:cs="楷体_GB2312"/>
                <w:color w:val="000000" w:themeColor="text1"/>
                <w:sz w:val="20"/>
                <w:szCs w:val="20"/>
                <w:highlight w:val="none"/>
                <w14:textFill>
                  <w14:solidFill>
                    <w14:schemeClr w14:val="tx1"/>
                  </w14:solidFill>
                </w14:textFill>
              </w:rPr>
              <w:t>风险</w:t>
            </w:r>
            <w:r>
              <w:rPr>
                <w:rFonts w:hint="eastAsia" w:ascii="楷体_GB2312" w:eastAsia="楷体_GB2312" w:cs="楷体_GB2312"/>
                <w:color w:val="000000" w:themeColor="text1"/>
                <w:sz w:val="20"/>
                <w:szCs w:val="20"/>
                <w:highlight w:val="none"/>
                <w14:textFill>
                  <w14:solidFill>
                    <w14:schemeClr w14:val="tx1"/>
                  </w14:solidFill>
                </w14:textFill>
              </w:rPr>
              <w:t>评级</w:t>
            </w:r>
            <w:r>
              <w:rPr>
                <w:rFonts w:ascii="楷体_GB2312" w:eastAsia="楷体_GB2312" w:cs="楷体_GB2312"/>
                <w:color w:val="000000" w:themeColor="text1"/>
                <w:sz w:val="20"/>
                <w:szCs w:val="20"/>
                <w:highlight w:val="none"/>
                <w14:textFill>
                  <w14:solidFill>
                    <w14:schemeClr w14:val="tx1"/>
                  </w14:solidFill>
                </w14:textFill>
              </w:rPr>
              <w:t>结果与信银理财不一致的，将采用对应较高风险</w:t>
            </w:r>
            <w:r>
              <w:rPr>
                <w:rFonts w:hint="eastAsia" w:ascii="楷体_GB2312" w:eastAsia="楷体_GB2312" w:cs="楷体_GB2312"/>
                <w:color w:val="000000" w:themeColor="text1"/>
                <w:sz w:val="20"/>
                <w:szCs w:val="20"/>
                <w:highlight w:val="none"/>
                <w14:textFill>
                  <w14:solidFill>
                    <w14:schemeClr w14:val="tx1"/>
                  </w14:solidFill>
                </w14:textFill>
              </w:rPr>
              <w:t>等级</w:t>
            </w:r>
            <w:r>
              <w:rPr>
                <w:rFonts w:ascii="楷体_GB2312" w:eastAsia="楷体_GB2312" w:cs="楷体_GB2312"/>
                <w:color w:val="000000" w:themeColor="text1"/>
                <w:sz w:val="20"/>
                <w:szCs w:val="20"/>
                <w:highlight w:val="none"/>
                <w14:textFill>
                  <w14:solidFill>
                    <w14:schemeClr w14:val="tx1"/>
                  </w14:solidFill>
                </w14:textFill>
              </w:rPr>
              <w:t>的评级结果。</w:t>
            </w:r>
            <w:r>
              <w:rPr>
                <w:rFonts w:hint="eastAsia" w:ascii="仿宋_GB2312" w:hAnsi="等线" w:eastAsia="仿宋_GB2312" w:cs="仿宋_GB2312"/>
                <w:bCs/>
                <w:color w:val="000000" w:themeColor="text1"/>
                <w:kern w:val="0"/>
                <w:sz w:val="24"/>
                <w:highlight w:val="none"/>
                <w:lang w:bidi="ar"/>
                <w14:textFill>
                  <w14:solidFill>
                    <w14:schemeClr w14:val="tx1"/>
                  </w14:solidFill>
                </w14:textFill>
              </w:rPr>
              <w:br w:type="textWrapping"/>
            </w:r>
            <w:r>
              <w:rPr>
                <w:rFonts w:hint="default" w:ascii="楷体_GB2312" w:hAnsi="宋体" w:eastAsia="楷体_GB2312" w:cs="楷体_GB2312"/>
                <w:b/>
                <w:bCs/>
                <w:color w:val="000000" w:themeColor="text1"/>
                <w:kern w:val="0"/>
                <w:sz w:val="20"/>
                <w:szCs w:val="20"/>
                <w:highlight w:val="none"/>
                <w:lang w:bidi="ar"/>
                <w14:textFill>
                  <w14:solidFill>
                    <w14:schemeClr w14:val="tx1"/>
                  </w14:solidFill>
                </w14:textFill>
              </w:rPr>
              <w:t>（重要提示：该等级为理财产品发行机构评定结果，该产品通过代理销售机构渠道销售的，理财产品评级应当以代理销售机构最终披露的评级结果为准。）</w:t>
            </w:r>
          </w:p>
        </w:tc>
      </w:tr>
      <w:tr w14:paraId="60459D73">
        <w:tblPrEx>
          <w:tblCellMar>
            <w:top w:w="0" w:type="dxa"/>
            <w:left w:w="108" w:type="dxa"/>
            <w:bottom w:w="0" w:type="dxa"/>
            <w:right w:w="108" w:type="dxa"/>
          </w:tblCellMar>
        </w:tblPrEx>
        <w:trPr>
          <w:trHeight w:val="90" w:hRule="atLeast"/>
        </w:trPr>
        <w:tc>
          <w:tcPr>
            <w:tcW w:w="2842" w:type="dxa"/>
            <w:tcBorders>
              <w:top w:val="single" w:color="auto" w:sz="4" w:space="0"/>
              <w:left w:val="single" w:color="auto" w:sz="4" w:space="0"/>
              <w:bottom w:val="nil"/>
              <w:right w:val="single" w:color="auto" w:sz="4" w:space="0"/>
            </w:tcBorders>
            <w:vAlign w:val="center"/>
          </w:tcPr>
          <w:p w14:paraId="5E88CE5E">
            <w:pPr>
              <w:widowControl/>
              <w:spacing w:line="400" w:lineRule="exact"/>
              <w:jc w:val="center"/>
              <w:textAlignment w:val="center"/>
              <w:rPr>
                <w:rFonts w:hint="eastAsia" w:ascii="仿宋_GB2312" w:hAnsi="等线" w:eastAsia="仿宋_GB2312" w:cs="仿宋_GB2312"/>
                <w:color w:val="000000" w:themeColor="text1"/>
                <w:kern w:val="0"/>
                <w:sz w:val="24"/>
                <w:highlight w:val="none"/>
                <w:lang w:bidi="ar"/>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是否为现金管理类产品</w:t>
            </w:r>
          </w:p>
        </w:tc>
        <w:tc>
          <w:tcPr>
            <w:tcW w:w="6762" w:type="dxa"/>
            <w:tcBorders>
              <w:top w:val="single" w:color="auto" w:sz="4" w:space="0"/>
              <w:left w:val="single" w:color="auto" w:sz="4" w:space="0"/>
              <w:bottom w:val="nil"/>
              <w:right w:val="single" w:color="auto" w:sz="4" w:space="0"/>
            </w:tcBorders>
            <w:shd w:val="clear" w:color="auto" w:fill="auto"/>
            <w:vAlign w:val="center"/>
          </w:tcPr>
          <w:p w14:paraId="4161CEC1">
            <w:pPr>
              <w:keepNext w:val="0"/>
              <w:keepLines w:val="0"/>
              <w:widowControl/>
              <w:suppressLineNumbers w:val="0"/>
              <w:jc w:val="center"/>
              <w:textAlignment w:val="center"/>
              <w:rPr>
                <w:rFonts w:hint="eastAsia"/>
                <w:highlight w:val="none"/>
                <w:lang w:val="en-US" w:eastAsia="zh-CN"/>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否</w:t>
            </w:r>
          </w:p>
        </w:tc>
      </w:tr>
      <w:tr w14:paraId="0D2B6945">
        <w:tblPrEx>
          <w:tblCellMar>
            <w:top w:w="0" w:type="dxa"/>
            <w:left w:w="108" w:type="dxa"/>
            <w:bottom w:w="0" w:type="dxa"/>
            <w:right w:w="108" w:type="dxa"/>
          </w:tblCellMar>
        </w:tblPrEx>
        <w:trPr>
          <w:trHeight w:val="270" w:hRule="atLeast"/>
        </w:trPr>
        <w:tc>
          <w:tcPr>
            <w:tcW w:w="9604" w:type="dxa"/>
            <w:gridSpan w:val="2"/>
            <w:tcBorders>
              <w:top w:val="single" w:color="auto" w:sz="4" w:space="0"/>
              <w:left w:val="single" w:color="auto" w:sz="4" w:space="0"/>
              <w:bottom w:val="single" w:color="auto" w:sz="4" w:space="0"/>
              <w:right w:val="single" w:color="auto" w:sz="4" w:space="0"/>
            </w:tcBorders>
            <w:vAlign w:val="center"/>
          </w:tcPr>
          <w:p w14:paraId="69B62EB9">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（四）产品期限</w:t>
            </w:r>
          </w:p>
        </w:tc>
      </w:tr>
      <w:tr w14:paraId="3829C006">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vAlign w:val="center"/>
          </w:tcPr>
          <w:p w14:paraId="55722B6C">
            <w:pPr>
              <w:widowControl/>
              <w:spacing w:line="56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募集</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期</w:t>
            </w:r>
          </w:p>
        </w:tc>
        <w:tc>
          <w:tcPr>
            <w:tcW w:w="6762" w:type="dxa"/>
            <w:tcBorders>
              <w:top w:val="nil"/>
              <w:left w:val="single" w:color="auto" w:sz="4" w:space="0"/>
              <w:bottom w:val="single" w:color="auto" w:sz="4" w:space="0"/>
              <w:right w:val="single" w:color="000000" w:sz="8" w:space="0"/>
            </w:tcBorders>
            <w:vAlign w:val="center"/>
          </w:tcPr>
          <w:p w14:paraId="17F8A049">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【2026】年【9】月【1】日至【2026】年【9】月【7】日</w:t>
            </w:r>
          </w:p>
        </w:tc>
      </w:tr>
      <w:tr w14:paraId="235593F7">
        <w:tblPrEx>
          <w:tblCellMar>
            <w:top w:w="0" w:type="dxa"/>
            <w:left w:w="108" w:type="dxa"/>
            <w:bottom w:w="0" w:type="dxa"/>
            <w:right w:w="108" w:type="dxa"/>
          </w:tblCellMar>
        </w:tblPrEx>
        <w:trPr>
          <w:trHeight w:val="9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505C5453">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产品成立日期</w:t>
            </w:r>
          </w:p>
        </w:tc>
        <w:tc>
          <w:tcPr>
            <w:tcW w:w="6762" w:type="dxa"/>
            <w:tcBorders>
              <w:top w:val="single" w:color="auto" w:sz="4" w:space="0"/>
              <w:left w:val="single" w:color="auto" w:sz="4" w:space="0"/>
              <w:bottom w:val="single" w:color="auto" w:sz="4" w:space="0"/>
              <w:right w:val="single" w:color="000000" w:sz="8" w:space="0"/>
            </w:tcBorders>
            <w:vAlign w:val="center"/>
          </w:tcPr>
          <w:p w14:paraId="011BD20B">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imes New Roman" w:eastAsia="楷体_GB2312" w:cs="Times New Roman"/>
                <w:color w:val="000000" w:themeColor="text1"/>
                <w:sz w:val="20"/>
                <w:szCs w:val="20"/>
                <w:highlight w:val="none"/>
                <w14:textFill>
                  <w14:solidFill>
                    <w14:schemeClr w14:val="tx1"/>
                  </w14:solidFill>
                </w14:textFill>
              </w:rPr>
              <w:t>【2026】年【9】月【8】日</w:t>
            </w:r>
          </w:p>
        </w:tc>
      </w:tr>
      <w:tr w14:paraId="2E4F5724">
        <w:tblPrEx>
          <w:tblCellMar>
            <w:top w:w="0" w:type="dxa"/>
            <w:left w:w="108" w:type="dxa"/>
            <w:bottom w:w="0" w:type="dxa"/>
            <w:right w:w="108" w:type="dxa"/>
          </w:tblCellMar>
        </w:tblPrEx>
        <w:trPr>
          <w:trHeight w:val="54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251A2567">
            <w:pPr>
              <w:widowControl/>
              <w:spacing w:line="560" w:lineRule="exact"/>
              <w:jc w:val="center"/>
              <w:textAlignment w:val="center"/>
              <w:rPr>
                <w:rFonts w:hint="default"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产品到期日期</w:t>
            </w: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/产品终止日期</w:t>
            </w:r>
          </w:p>
        </w:tc>
        <w:tc>
          <w:tcPr>
            <w:tcW w:w="6762" w:type="dxa"/>
            <w:tcBorders>
              <w:top w:val="single" w:color="auto" w:sz="4" w:space="0"/>
              <w:left w:val="single" w:color="auto" w:sz="4" w:space="0"/>
              <w:bottom w:val="single" w:color="auto" w:sz="4" w:space="0"/>
              <w:right w:val="single" w:color="000000" w:sz="8" w:space="0"/>
            </w:tcBorders>
            <w:vAlign w:val="center"/>
          </w:tcPr>
          <w:p w14:paraId="7719A8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【2027】年【11】月【2】日</w:t>
            </w:r>
            <w:r>
              <w:rPr>
                <w:rFonts w:hint="eastAsia" w:ascii="楷体_GB2312" w:eastAsia="楷体_GB2312" w:cs="楷体_GB2312"/>
                <w:color w:val="000000" w:themeColor="text1"/>
                <w:sz w:val="20"/>
                <w:szCs w:val="20"/>
                <w:highlight w:val="none"/>
                <w14:textFill>
                  <w14:solidFill>
                    <w14:schemeClr w14:val="tx1"/>
                  </w14:solidFill>
                </w14:textFill>
              </w:rPr>
              <w:t>（受运作</w:t>
            </w:r>
            <w:r>
              <w:rPr>
                <w:rFonts w:ascii="楷体_GB2312" w:eastAsia="楷体_GB2312" w:cs="楷体_GB2312"/>
                <w:color w:val="000000" w:themeColor="text1"/>
                <w:sz w:val="20"/>
                <w:szCs w:val="20"/>
                <w:highlight w:val="none"/>
                <w14:textFill>
                  <w14:solidFill>
                    <w14:schemeClr w14:val="tx1"/>
                  </w14:solidFill>
                </w14:textFill>
              </w:rPr>
              <w:t>起始</w:t>
            </w:r>
            <w:r>
              <w:rPr>
                <w:rFonts w:hint="eastAsia" w:ascii="楷体_GB2312" w:eastAsia="楷体_GB2312" w:cs="楷体_GB2312"/>
                <w:color w:val="000000" w:themeColor="text1"/>
                <w:sz w:val="20"/>
                <w:szCs w:val="20"/>
                <w:highlight w:val="none"/>
                <w14:textFill>
                  <w14:solidFill>
                    <w14:schemeClr w14:val="tx1"/>
                  </w14:solidFill>
                </w14:textFill>
              </w:rPr>
              <w:t>日、提前终止条款等约束，遇非工作日则顺延至下一工作日）</w:t>
            </w:r>
          </w:p>
        </w:tc>
      </w:tr>
      <w:tr w14:paraId="26F2B111">
        <w:tblPrEx>
          <w:tblCellMar>
            <w:top w:w="0" w:type="dxa"/>
            <w:left w:w="108" w:type="dxa"/>
            <w:bottom w:w="0" w:type="dxa"/>
            <w:right w:w="108" w:type="dxa"/>
          </w:tblCellMar>
        </w:tblPrEx>
        <w:trPr>
          <w:trHeight w:val="473" w:hRule="atLeast"/>
        </w:trPr>
        <w:tc>
          <w:tcPr>
            <w:tcW w:w="2842" w:type="dxa"/>
            <w:tcBorders>
              <w:top w:val="single" w:color="auto" w:sz="4" w:space="0"/>
              <w:left w:val="single" w:color="000000" w:sz="8" w:space="0"/>
              <w:bottom w:val="single" w:color="auto" w:sz="4" w:space="0"/>
              <w:right w:val="single" w:color="auto" w:sz="4" w:space="0"/>
            </w:tcBorders>
            <w:vAlign w:val="center"/>
          </w:tcPr>
          <w:p w14:paraId="34CECC6E">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资金到账日</w:t>
            </w:r>
          </w:p>
        </w:tc>
        <w:tc>
          <w:tcPr>
            <w:tcW w:w="6762" w:type="dxa"/>
            <w:tcBorders>
              <w:top w:val="single" w:color="auto" w:sz="4" w:space="0"/>
              <w:left w:val="single" w:color="auto" w:sz="4" w:space="0"/>
              <w:bottom w:val="single" w:color="auto" w:sz="4" w:space="0"/>
              <w:right w:val="single" w:color="auto" w:sz="4" w:space="0"/>
            </w:tcBorders>
            <w:vAlign w:val="center"/>
          </w:tcPr>
          <w:p w14:paraId="7C857551">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到期日</w:t>
            </w:r>
            <w:r>
              <w:rPr>
                <w:rFonts w:hint="eastAsia" w:ascii="楷体_GB2312" w:eastAsia="楷体_GB2312" w:cs="楷体_GB2312"/>
                <w:color w:val="000000" w:themeColor="text1"/>
                <w:sz w:val="20"/>
                <w:szCs w:val="20"/>
                <w:highlight w:val="none"/>
                <w14:textFill>
                  <w14:solidFill>
                    <w14:schemeClr w14:val="tx1"/>
                  </w14:solidFill>
                </w14:textFill>
              </w:rPr>
              <w:t>后【5】个工作日内</w:t>
            </w:r>
          </w:p>
        </w:tc>
      </w:tr>
      <w:tr w14:paraId="0F287ABF">
        <w:tblPrEx>
          <w:tblCellMar>
            <w:top w:w="0" w:type="dxa"/>
            <w:left w:w="108" w:type="dxa"/>
            <w:bottom w:w="0" w:type="dxa"/>
            <w:right w:w="108" w:type="dxa"/>
          </w:tblCellMar>
        </w:tblPrEx>
        <w:trPr>
          <w:trHeight w:val="165" w:hRule="atLeast"/>
        </w:trPr>
        <w:tc>
          <w:tcPr>
            <w:tcW w:w="2842" w:type="dxa"/>
            <w:tcBorders>
              <w:top w:val="single" w:color="auto" w:sz="4" w:space="0"/>
              <w:left w:val="single" w:color="000000" w:sz="8" w:space="0"/>
              <w:bottom w:val="nil"/>
              <w:right w:val="single" w:color="auto" w:sz="4" w:space="0"/>
            </w:tcBorders>
            <w:vAlign w:val="center"/>
          </w:tcPr>
          <w:p w14:paraId="09F112CA">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投资周期</w:t>
            </w:r>
          </w:p>
        </w:tc>
        <w:tc>
          <w:tcPr>
            <w:tcW w:w="6762" w:type="dxa"/>
            <w:tcBorders>
              <w:top w:val="single" w:color="auto" w:sz="4" w:space="0"/>
              <w:left w:val="single" w:color="auto" w:sz="4" w:space="0"/>
              <w:bottom w:val="nil"/>
              <w:right w:val="single" w:color="000000" w:sz="8" w:space="0"/>
            </w:tcBorders>
            <w:vAlign w:val="center"/>
          </w:tcPr>
          <w:p w14:paraId="006A7573">
            <w:pPr>
              <w:widowControl/>
              <w:spacing w:line="400" w:lineRule="exact"/>
              <w:jc w:val="left"/>
              <w:textAlignment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本理财产品的产品期限为【420】天，到期日为【2027】年【11】月【2】日（受运作起始日、提前终止条款等约束，遇非工作日则顺延至下一工作日）。</w:t>
            </w:r>
          </w:p>
        </w:tc>
      </w:tr>
      <w:tr w14:paraId="6B75A11A">
        <w:tblPrEx>
          <w:tblCellMar>
            <w:top w:w="0" w:type="dxa"/>
            <w:left w:w="108" w:type="dxa"/>
            <w:bottom w:w="0" w:type="dxa"/>
            <w:right w:w="108" w:type="dxa"/>
          </w:tblCellMar>
        </w:tblPrEx>
        <w:trPr>
          <w:trHeight w:val="270" w:hRule="atLeast"/>
        </w:trPr>
        <w:tc>
          <w:tcPr>
            <w:tcW w:w="9604" w:type="dxa"/>
            <w:gridSpan w:val="2"/>
            <w:tcBorders>
              <w:top w:val="single" w:color="000000" w:sz="4" w:space="0"/>
              <w:left w:val="single" w:color="000000" w:sz="8" w:space="0"/>
              <w:bottom w:val="single" w:color="000000" w:sz="4" w:space="0"/>
              <w:right w:val="single" w:color="000000" w:sz="4" w:space="0"/>
            </w:tcBorders>
            <w:vAlign w:val="center"/>
          </w:tcPr>
          <w:p w14:paraId="1EF9AD2F">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（五）产品费用</w:t>
            </w:r>
          </w:p>
        </w:tc>
      </w:tr>
      <w:tr w14:paraId="39F23E1A">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72FC4293">
            <w:pPr>
              <w:widowControl/>
              <w:spacing w:line="400" w:lineRule="exact"/>
              <w:jc w:val="center"/>
              <w:textAlignment w:val="center"/>
              <w:rPr>
                <w:rFonts w:hint="eastAsia"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销售服务费率（年化）</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3A8C407E">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A】类份额费率【0.20%】/年，【B】类份额费率【0.20%】/年，【D】类份额费率【0.05%】/年，【G】类份额费率【0.05%】/年，【H】类份额费率【0.10%】/年，【K】类份额费率【0.05%】/年，【M】类份额费率【0.30%】/年，【S】类份额费率【0.05%】/年。</w:t>
            </w:r>
          </w:p>
        </w:tc>
      </w:tr>
      <w:tr w14:paraId="5AEE31BA">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52EBD4AB">
            <w:pPr>
              <w:widowControl/>
              <w:spacing w:line="400" w:lineRule="exact"/>
              <w:jc w:val="center"/>
              <w:textAlignment w:val="center"/>
              <w:rPr>
                <w:rFonts w:hint="eastAsia"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托管费率（年化）</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57F79624">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费率【0.05%】/年。</w:t>
            </w:r>
          </w:p>
        </w:tc>
      </w:tr>
      <w:tr w14:paraId="06251F24">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1378A5B0">
            <w:pPr>
              <w:widowControl/>
              <w:spacing w:line="400" w:lineRule="exact"/>
              <w:jc w:val="center"/>
              <w:textAlignment w:val="center"/>
              <w:rPr>
                <w:rFonts w:hint="eastAsia"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固定管理费率（年化）</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55E9E06E">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费率【0.10%】/年。</w:t>
            </w:r>
          </w:p>
        </w:tc>
      </w:tr>
      <w:tr w14:paraId="43E44467">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082A026E">
            <w:pPr>
              <w:widowControl/>
              <w:spacing w:line="400" w:lineRule="exact"/>
              <w:jc w:val="center"/>
              <w:textAlignment w:val="center"/>
              <w:rPr>
                <w:rFonts w:hint="eastAsia"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浮动管理费</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662F2615">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【A】类份额设立业绩比较基准，在产品到期日或提前终止日时，如计提浮动管理费前年化收益率超过【2.65%】的，管理人将收取超额部分的【50%】作为浮动管理费。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【B】类份额设立业绩比较基准，在产品到期日或提前终止日时，如计提浮动管理费前年化收益率超过【2.65%】的，管理人将收取超额部分的【50%】作为浮动管理费。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【D】类份额设立业绩比较基准，在产品到期日或提前终止日时，如计提浮动管理费前年化收益率超过【2.80%】的，管理人将收取超额部分的【50%】作为浮动管理费。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【G】类份额设立业绩比较基准，在产品到期日或提前终止日时，如计提浮动管理费前年化收益率超过【2.80%】的，管理人将收取超额部分的【50%】作为浮动管理费。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【H】类份额设立业绩比较基准，在产品到期日或提前终止日时，如计提浮动管理费前年化收益率超过【2.75%】的，管理人将收取超额部分的【50%】作为浮动管理费。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【K】类份额设立业绩比较基准，在产品到期日或提前终止日时，如计提浮动管理费前年化收益率超过【2.80%】的，管理人将收取超额部分的【50%】作为浮动管理费。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【M】类份额设立业绩比较基准，在产品到期日或提前终止日时，如计提浮动管理费前年化收益率超过【2.55%】的，管理人将收取超额部分的【50%】作为浮动管理费。</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br w:type="textWrapping"/>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【S】类份额设立业绩比较基准，在产品到期日或提前终止日时，如计提浮动管理费前年化收益率超过【2.80%】的，管理人将收取超额部分的【50%】作为浮动管理费。</w:t>
            </w:r>
          </w:p>
        </w:tc>
      </w:tr>
      <w:tr w14:paraId="7EDFBBEE">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5B780C6C">
            <w:pPr>
              <w:widowControl/>
              <w:spacing w:line="400" w:lineRule="exact"/>
              <w:jc w:val="center"/>
              <w:textAlignment w:val="center"/>
              <w:rPr>
                <w:rFonts w:hint="default" w:ascii="Times New Roman" w:hAnsi="宋体" w:eastAsia="楷体_GB2312" w:cs="楷体_GB2312"/>
                <w:color w:val="000000" w:themeColor="text1"/>
                <w:sz w:val="20"/>
                <w:szCs w:val="20"/>
                <w:highlight w:val="none"/>
                <w:lang w:val="en-US" w:eastAsia="zh-CN" w:bidi="ar-SA"/>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认购费率</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3DE19F23">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A】类份额不收取认购费，【B】类份额不收取认购费，【D】类份额不收取认购费，【G】类份额不收取认购费，【H】类份额不收取认购费，【K】类份额不收取认购费，【M】类份额不收取认购费，【S】类份额不收取认购费。</w:t>
            </w:r>
          </w:p>
        </w:tc>
      </w:tr>
      <w:tr w14:paraId="7A7A4811">
        <w:tblPrEx>
          <w:tblCellMar>
            <w:top w:w="0" w:type="dxa"/>
            <w:left w:w="108" w:type="dxa"/>
            <w:bottom w:w="0" w:type="dxa"/>
            <w:right w:w="108" w:type="dxa"/>
          </w:tblCellMar>
        </w:tblPrEx>
        <w:trPr>
          <w:trHeight w:val="540" w:hRule="atLeast"/>
        </w:trPr>
        <w:tc>
          <w:tcPr>
            <w:tcW w:w="2842" w:type="dxa"/>
            <w:tcBorders>
              <w:top w:val="nil"/>
              <w:left w:val="single" w:color="000000" w:sz="8" w:space="0"/>
              <w:bottom w:val="single" w:color="auto" w:sz="4" w:space="0"/>
              <w:right w:val="single" w:color="auto" w:sz="4" w:space="0"/>
            </w:tcBorders>
            <w:shd w:val="clear" w:color="auto" w:fill="auto"/>
            <w:vAlign w:val="center"/>
          </w:tcPr>
          <w:p w14:paraId="50BE4117">
            <w:pPr>
              <w:widowControl/>
              <w:spacing w:line="400" w:lineRule="exact"/>
              <w:jc w:val="center"/>
              <w:textAlignment w:val="center"/>
              <w:rPr>
                <w:rFonts w:hint="eastAsia" w:ascii="Times New Roman" w:eastAsia="楷体_GB2312" w:cs="楷体_GB2312"/>
                <w:color w:val="000000" w:themeColor="text1"/>
                <w:sz w:val="20"/>
                <w:szCs w:val="20"/>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信息技术服务费</w:t>
            </w:r>
          </w:p>
        </w:tc>
        <w:tc>
          <w:tcPr>
            <w:tcW w:w="6762" w:type="dxa"/>
            <w:tcBorders>
              <w:top w:val="nil"/>
              <w:left w:val="single" w:color="auto" w:sz="4" w:space="0"/>
              <w:bottom w:val="single" w:color="auto" w:sz="4" w:space="0"/>
              <w:right w:val="single" w:color="000000" w:sz="8" w:space="0"/>
            </w:tcBorders>
            <w:shd w:val="clear" w:color="auto" w:fill="auto"/>
            <w:vAlign w:val="center"/>
          </w:tcPr>
          <w:p w14:paraId="6437E532">
            <w:pPr>
              <w:widowControl/>
              <w:spacing w:line="400" w:lineRule="exact"/>
              <w:jc w:val="left"/>
              <w:textAlignment w:val="cente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费率【0.002%】/年。</w:t>
            </w:r>
          </w:p>
        </w:tc>
      </w:tr>
      <w:tr w14:paraId="3799BB25">
        <w:tblPrEx>
          <w:tblCellMar>
            <w:top w:w="0" w:type="dxa"/>
            <w:left w:w="108" w:type="dxa"/>
            <w:bottom w:w="0" w:type="dxa"/>
            <w:right w:w="108" w:type="dxa"/>
          </w:tblCellMar>
        </w:tblPrEx>
        <w:trPr>
          <w:trHeight w:val="540" w:hRule="atLeast"/>
        </w:trPr>
        <w:tc>
          <w:tcPr>
            <w:tcW w:w="2842" w:type="dxa"/>
            <w:tcBorders>
              <w:top w:val="nil"/>
              <w:left w:val="single" w:color="000000" w:sz="8" w:space="0"/>
              <w:bottom w:val="nil"/>
              <w:right w:val="single" w:color="auto" w:sz="4" w:space="0"/>
            </w:tcBorders>
            <w:vAlign w:val="center"/>
          </w:tcPr>
          <w:p w14:paraId="1AB24D68">
            <w:pPr>
              <w:widowControl/>
              <w:spacing w:line="400" w:lineRule="exact"/>
              <w:jc w:val="center"/>
              <w:textAlignment w:val="center"/>
              <w:rPr>
                <w:rFonts w:hint="default" w:ascii="仿宋_GB2312" w:hAnsi="等线" w:eastAsia="楷体_GB2312" w:cs="仿宋_GB2312"/>
                <w:color w:val="000000" w:themeColor="text1"/>
                <w:sz w:val="24"/>
                <w:highlight w:val="none"/>
                <w:lang w:val="en-US" w:eastAsia="zh-CN"/>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其他费用说明</w:t>
            </w:r>
          </w:p>
        </w:tc>
        <w:tc>
          <w:tcPr>
            <w:tcW w:w="6762" w:type="dxa"/>
            <w:tcBorders>
              <w:top w:val="nil"/>
              <w:left w:val="single" w:color="auto" w:sz="4" w:space="0"/>
              <w:bottom w:val="nil"/>
              <w:right w:val="single" w:color="000000" w:sz="8" w:space="0"/>
            </w:tcBorders>
            <w:vAlign w:val="center"/>
          </w:tcPr>
          <w:p w14:paraId="4B51C8CF">
            <w:pPr>
              <w:snapToGrid w:val="0"/>
              <w:spacing w:line="300" w:lineRule="exact"/>
              <w:ind w:left="0" w:leftChars="0" w:right="53" w:rightChars="22"/>
              <w:jc w:val="left"/>
              <w:outlineLvl w:val="0"/>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本产品的费用包括认购费、销售服务费、托管费、固定管理费、浮动管理费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信息技术服务费</w:t>
            </w:r>
            <w:r>
              <w:rPr>
                <w:rFonts w:ascii="楷体_GB2312" w:eastAsia="楷体_GB2312" w:cs="楷体_GB2312"/>
                <w:b/>
                <w:color w:val="000000" w:themeColor="text1"/>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，以及按照国家规定可以列入的其他费用</w:t>
            </w:r>
            <w:r>
              <w:rPr>
                <w:rFonts w:hint="eastAsia" w:ascii="楷体_GB2312" w:eastAsia="楷体_GB2312" w:cs="楷体_GB2312"/>
                <w:b/>
                <w:color w:val="000000" w:themeColor="text1"/>
                <w:sz w:val="20"/>
                <w:szCs w:val="20"/>
                <w:highlight w:val="none"/>
                <w14:textFill>
                  <w14:solidFill>
                    <w14:schemeClr w14:val="tx1"/>
                  </w14:solidFill>
                </w14:textFill>
              </w:rPr>
              <w:t>，按照实际发生时列支</w:t>
            </w:r>
            <w:r>
              <w:rPr>
                <w:rFonts w:ascii="楷体_GB2312" w:eastAsia="楷体_GB2312" w:cs="楷体_GB2312"/>
                <w:b/>
                <w:color w:val="000000" w:themeColor="text1"/>
                <w:sz w:val="20"/>
                <w:szCs w:val="20"/>
                <w:highlight w:val="none"/>
                <w14:textFill>
                  <w14:solidFill>
                    <w14:schemeClr w14:val="tx1"/>
                  </w14:solidFill>
                </w14:textFill>
              </w:rPr>
              <w:t>。管理人因管理、运营理财产品发生的税费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0812BFCA">
            <w:pPr>
              <w:snapToGrid w:val="0"/>
              <w:spacing w:line="300" w:lineRule="exact"/>
              <w:ind w:right="53" w:rightChars="22"/>
              <w:jc w:val="left"/>
              <w:outlineLvl w:val="0"/>
              <w:rPr>
                <w:rFonts w:ascii="楷体_GB2312" w:eastAsia="楷体_GB2312" w:cs="楷体_GB2312"/>
                <w:b/>
                <w:color w:val="000000" w:themeColor="text1"/>
                <w:sz w:val="20"/>
                <w:szCs w:val="20"/>
                <w:highlight w:val="none"/>
                <w14:textFill>
                  <w14:solidFill>
                    <w14:schemeClr w14:val="tx1"/>
                  </w14:solidFill>
                </w14:textFill>
              </w:rPr>
            </w:pPr>
          </w:p>
          <w:p w14:paraId="73C0B242">
            <w:pPr>
              <w:snapToGrid w:val="0"/>
              <w:spacing w:line="300" w:lineRule="exact"/>
              <w:ind w:right="53" w:rightChars="22"/>
              <w:jc w:val="left"/>
              <w:outlineLvl w:val="0"/>
              <w:rPr>
                <w:rFonts w:ascii="楷体_GB2312" w:eastAsia="楷体_GB2312"/>
                <w:b/>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以上项费用</w:t>
            </w:r>
            <w:r>
              <w:rPr>
                <w:rFonts w:ascii="楷体_GB2312" w:eastAsia="楷体_GB2312" w:cs="楷体_GB2312"/>
                <w:b/>
                <w:color w:val="000000" w:themeColor="text1"/>
                <w:sz w:val="20"/>
                <w:szCs w:val="20"/>
                <w:highlight w:val="none"/>
                <w14:textFill>
                  <w14:solidFill>
                    <w14:schemeClr w14:val="tx1"/>
                  </w14:solidFill>
                </w14:textFill>
              </w:rPr>
              <w:t>金额均</w:t>
            </w:r>
            <w:r>
              <w:rPr>
                <w:rFonts w:hint="eastAsia" w:ascii="楷体_GB2312" w:eastAsia="楷体_GB2312" w:cs="楷体_GB2312"/>
                <w:b/>
                <w:color w:val="000000" w:themeColor="text1"/>
                <w:sz w:val="20"/>
                <w:szCs w:val="20"/>
                <w:highlight w:val="none"/>
                <w14:textFill>
                  <w14:solidFill>
                    <w14:schemeClr w14:val="tx1"/>
                  </w14:solidFill>
                </w14:textFill>
              </w:rPr>
              <w:t>四舍五入</w:t>
            </w:r>
            <w:r>
              <w:rPr>
                <w:rFonts w:ascii="楷体_GB2312" w:eastAsia="楷体_GB2312" w:cs="楷体_GB2312"/>
                <w:b/>
                <w:color w:val="000000" w:themeColor="text1"/>
                <w:sz w:val="20"/>
                <w:szCs w:val="20"/>
                <w:highlight w:val="none"/>
                <w14:textFill>
                  <w14:solidFill>
                    <w14:schemeClr w14:val="tx1"/>
                  </w14:solidFill>
                </w14:textFill>
              </w:rPr>
              <w:t>保留小数点后</w:t>
            </w:r>
            <w:r>
              <w:rPr>
                <w:rFonts w:hint="eastAsia" w:ascii="楷体_GB2312" w:eastAsia="楷体_GB2312" w:cs="楷体_GB2312"/>
                <w:b/>
                <w:color w:val="000000" w:themeColor="text1"/>
                <w:sz w:val="20"/>
                <w:szCs w:val="20"/>
                <w:highlight w:val="none"/>
                <w14:textFill>
                  <w14:solidFill>
                    <w14:schemeClr w14:val="tx1"/>
                  </w14:solidFill>
                </w14:textFill>
              </w:rPr>
              <w:t>【</w:t>
            </w:r>
            <w:r>
              <w:rPr>
                <w:rFonts w:ascii="楷体_GB2312" w:eastAsia="楷体_GB2312" w:cs="楷体_GB2312"/>
                <w:b/>
                <w:color w:val="000000" w:themeColor="text1"/>
                <w:sz w:val="20"/>
                <w:szCs w:val="20"/>
                <w:highlight w:val="none"/>
                <w14:textFill>
                  <w14:solidFill>
                    <w14:schemeClr w14:val="tx1"/>
                  </w14:solidFill>
                </w14:textFill>
              </w:rPr>
              <w:t>2】位。</w:t>
            </w:r>
          </w:p>
          <w:p w14:paraId="2D3C1839">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hint="eastAsia" w:ascii="仿宋_GB2312" w:hAnsi="等线" w:eastAsia="仿宋_GB2312" w:cs="仿宋_GB2312"/>
                <w:bCs/>
                <w:color w:val="000000" w:themeColor="text1"/>
                <w:sz w:val="24"/>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具体请参见本说明书“</w:t>
            </w:r>
            <w:r>
              <w:rPr>
                <w:rFonts w:hint="eastAsia" w:ascii="黑体" w:eastAsia="黑体" w:cs="黑体"/>
                <w:b/>
                <w:color w:val="000000" w:themeColor="text1"/>
                <w:sz w:val="20"/>
                <w:szCs w:val="20"/>
                <w:highlight w:val="none"/>
                <w14:textFill>
                  <w14:solidFill>
                    <w14:schemeClr w14:val="tx1"/>
                  </w14:solidFill>
                </w14:textFill>
              </w:rPr>
              <w:t>理财产品的费用</w:t>
            </w:r>
            <w:r>
              <w:rPr>
                <w:rFonts w:ascii="楷体_GB2312" w:eastAsia="楷体_GB2312" w:cs="楷体_GB2312"/>
                <w:b/>
                <w:color w:val="000000" w:themeColor="text1"/>
                <w:sz w:val="20"/>
                <w:szCs w:val="20"/>
                <w:highlight w:val="none"/>
                <w14:textFill>
                  <w14:solidFill>
                    <w14:schemeClr w14:val="tx1"/>
                  </w14:solidFill>
                </w14:textFill>
              </w:rPr>
              <w:t>”部分。</w:t>
            </w:r>
          </w:p>
        </w:tc>
      </w:tr>
      <w:tr w14:paraId="2B3B7A05">
        <w:tblPrEx>
          <w:tblCellMar>
            <w:top w:w="0" w:type="dxa"/>
            <w:left w:w="108" w:type="dxa"/>
            <w:bottom w:w="0" w:type="dxa"/>
            <w:right w:w="108" w:type="dxa"/>
          </w:tblCellMar>
        </w:tblPrEx>
        <w:trPr>
          <w:trHeight w:val="270" w:hRule="atLeast"/>
        </w:trPr>
        <w:tc>
          <w:tcPr>
            <w:tcW w:w="9604" w:type="dxa"/>
            <w:gridSpan w:val="2"/>
            <w:tcBorders>
              <w:top w:val="single" w:color="000000" w:sz="4" w:space="0"/>
              <w:left w:val="single" w:color="000000" w:sz="8" w:space="0"/>
              <w:bottom w:val="single" w:color="auto" w:sz="4" w:space="0"/>
              <w:right w:val="single" w:color="000000" w:sz="8" w:space="0"/>
            </w:tcBorders>
            <w:vAlign w:val="center"/>
          </w:tcPr>
          <w:p w14:paraId="26627BFE">
            <w:pPr>
              <w:widowControl/>
              <w:spacing w:line="400" w:lineRule="exact"/>
              <w:jc w:val="center"/>
              <w:textAlignment w:val="center"/>
              <w:rPr>
                <w:rFonts w:hint="eastAsia" w:ascii="楷体_GB2312" w:hAnsi="等线" w:eastAsia="楷体_GB2312" w:cs="楷体_GB2312"/>
                <w:b/>
                <w:bCs/>
                <w:color w:val="000000" w:themeColor="text1"/>
                <w:sz w:val="24"/>
                <w:highlight w:val="none"/>
                <w14:textFill>
                  <w14:solidFill>
                    <w14:schemeClr w14:val="tx1"/>
                  </w14:solidFill>
                </w14:textFill>
              </w:rPr>
            </w:pPr>
            <w:r>
              <w:rPr>
                <w:rFonts w:hint="eastAsia" w:ascii="楷体_GB2312" w:hAnsi="等线" w:eastAsia="楷体_GB2312" w:cs="楷体_GB2312"/>
                <w:b/>
                <w:bCs/>
                <w:color w:val="000000" w:themeColor="text1"/>
                <w:kern w:val="0"/>
                <w:sz w:val="24"/>
                <w:highlight w:val="none"/>
                <w:lang w:bidi="ar"/>
                <w14:textFill>
                  <w14:solidFill>
                    <w14:schemeClr w14:val="tx1"/>
                  </w14:solidFill>
                </w14:textFill>
              </w:rPr>
              <w:t>（六）业绩比较基准</w:t>
            </w:r>
          </w:p>
        </w:tc>
      </w:tr>
      <w:tr w14:paraId="7426DD04">
        <w:tblPrEx>
          <w:tblCellMar>
            <w:top w:w="0" w:type="dxa"/>
            <w:left w:w="108" w:type="dxa"/>
            <w:bottom w:w="0" w:type="dxa"/>
            <w:right w:w="108" w:type="dxa"/>
          </w:tblCellMar>
        </w:tblPrEx>
        <w:trPr>
          <w:trHeight w:val="1180" w:hRule="atLeast"/>
        </w:trPr>
        <w:tc>
          <w:tcPr>
            <w:tcW w:w="2842" w:type="dxa"/>
            <w:tcBorders>
              <w:top w:val="single" w:color="auto" w:sz="4" w:space="0"/>
              <w:left w:val="single" w:color="auto" w:sz="4" w:space="0"/>
              <w:bottom w:val="nil"/>
              <w:right w:val="single" w:color="auto" w:sz="4" w:space="0"/>
            </w:tcBorders>
            <w:vAlign w:val="center"/>
          </w:tcPr>
          <w:p w14:paraId="23C4D4E1">
            <w:pPr>
              <w:widowControl/>
              <w:spacing w:line="40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业绩比较基准</w:t>
            </w:r>
          </w:p>
        </w:tc>
        <w:tc>
          <w:tcPr>
            <w:tcW w:w="6762" w:type="dxa"/>
            <w:tcBorders>
              <w:top w:val="single" w:color="auto" w:sz="4" w:space="0"/>
              <w:left w:val="single" w:color="auto" w:sz="4" w:space="0"/>
              <w:bottom w:val="nil"/>
              <w:right w:val="single" w:color="auto" w:sz="4" w:space="0"/>
            </w:tcBorders>
            <w:vAlign w:val="center"/>
          </w:tcPr>
          <w:p w14:paraId="53BCA0C7">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【A】类份额：【2.20%-3.10%】</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【B】类份额：【2.20%-3.10%】</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【D】类份额：【2.35%-3.25%】</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【G】类份额：【2.35%-3.25%】</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【H】类份额：【2.30%-3.20%】</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【K】类份额：【2.35%-3.25%】</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【M】类份额：【2.10%-3.00%】</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【S】类份额：【2.35%-3.25%】</w:t>
            </w:r>
          </w:p>
          <w:p w14:paraId="1A727316">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p>
          <w:p w14:paraId="359EB349">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业绩</w:t>
            </w:r>
            <w:r>
              <w:rPr>
                <w:rFonts w:hint="eastAsia" w:ascii="Times New Roman" w:eastAsia="楷体_GB2312" w:cs="楷体_GB2312"/>
                <w:b/>
                <w:bCs/>
                <w:color w:val="000000" w:themeColor="text1"/>
                <w:sz w:val="20"/>
                <w:szCs w:val="20"/>
                <w:highlight w:val="none"/>
                <w14:textFill>
                  <w14:solidFill>
                    <w14:schemeClr w14:val="tx1"/>
                  </w14:solidFill>
                </w14:textFill>
              </w:rPr>
              <w:t>比较</w:t>
            </w:r>
            <w:r>
              <w:rPr>
                <w:rFonts w:hint="eastAsia" w:ascii="楷体_GB2312" w:eastAsia="楷体_GB2312" w:cs="楷体_GB2312"/>
                <w:b/>
                <w:bCs/>
                <w:color w:val="000000" w:themeColor="text1"/>
                <w:sz w:val="20"/>
                <w:szCs w:val="20"/>
                <w:highlight w:val="none"/>
                <w14:textFill>
                  <w14:solidFill>
                    <w14:schemeClr w14:val="tx1"/>
                  </w14:solidFill>
                </w14:textFill>
              </w:rPr>
              <w:t>基准测算依据：【本理财产品为固定收益类产品，主要投向为同业存单、短融、中票、PPN、公司债、资产支持证券等标准化债权类资产以及非标准化债权类资产。根据当前市场利率水平、组合目标久期、可投资资产的收益率等因素作为测算依据，扣除相关税费等成本后，综合得出产品的业绩基准。业绩比较基准是基于产品性质、投资策略、过往经验等因素对产品设定的投资目标。业绩比较基准不是预期收益率，不代表产品的未来表现和实际收益，不构成对产品收益的承诺，投资须谨慎。】</w:t>
            </w:r>
          </w:p>
          <w:p w14:paraId="17119C7B">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hint="default" w:ascii="楷体_GB2312" w:hAnsi="宋体" w:eastAsia="楷体_GB2312" w:cs="楷体_GB2312"/>
                <w:b/>
                <w:bCs w:val="0"/>
                <w:color w:val="000000" w:themeColor="text1"/>
                <w:sz w:val="20"/>
                <w:szCs w:val="20"/>
                <w:highlight w:val="none"/>
                <w14:textFill>
                  <w14:solidFill>
                    <w14:schemeClr w14:val="tx1"/>
                  </w14:solidFill>
                </w14:textFill>
              </w:rPr>
            </w:pPr>
            <w:r>
              <w:rPr>
                <w:rFonts w:hint="default" w:ascii="楷体_GB2312" w:hAnsi="宋体" w:eastAsia="楷体_GB2312" w:cs="楷体_GB2312"/>
                <w:b/>
                <w:bCs w:val="0"/>
                <w:color w:val="000000" w:themeColor="text1"/>
                <w:sz w:val="20"/>
                <w:szCs w:val="20"/>
                <w:highlight w:val="none"/>
                <w14:textFill>
                  <w14:solidFill>
                    <w14:schemeClr w14:val="tx1"/>
                  </w14:solidFill>
                </w14:textFill>
              </w:rPr>
              <w:t>本产品收取的销售服务费可能因销售机构不同有所差异，从而导致测算的业绩比较基准有所差异，请投资者关注管理人及销售机构相关信息披露。</w:t>
            </w:r>
          </w:p>
          <w:p w14:paraId="2C4B3768">
            <w:pPr>
              <w:keepNext w:val="0"/>
              <w:keepLines w:val="0"/>
              <w:pageBreakBefore w:val="0"/>
              <w:widowControl/>
              <w:kinsoku/>
              <w:wordWrap/>
              <w:overflowPunct/>
              <w:topLinePunct w:val="0"/>
              <w:autoSpaceDE/>
              <w:autoSpaceDN/>
              <w:bidi w:val="0"/>
              <w:adjustRightInd/>
              <w:snapToGrid w:val="0"/>
              <w:spacing w:line="300" w:lineRule="exact"/>
              <w:ind w:right="53" w:rightChars="22"/>
              <w:jc w:val="left"/>
              <w:textAlignment w:val="auto"/>
              <w:outlineLvl w:val="0"/>
              <w:rPr>
                <w:rFonts w:hint="eastAsia" w:ascii="仿宋_GB2312" w:hAnsi="等线" w:eastAsia="仿宋_GB2312" w:cs="仿宋_GB2312"/>
                <w:bCs/>
                <w:color w:val="000000" w:themeColor="text1"/>
                <w:sz w:val="24"/>
                <w:highlight w:val="none"/>
                <w14:textFill>
                  <w14:solidFill>
                    <w14:schemeClr w14:val="tx1"/>
                  </w14:solidFill>
                </w14:textFill>
              </w:rPr>
            </w:pPr>
            <w:r>
              <w:rPr>
                <w:rFonts w:hint="default" w:ascii="楷体_GB2312" w:hAnsi="宋体" w:eastAsia="楷体_GB2312" w:cs="楷体_GB2312"/>
                <w:b w:val="0"/>
                <w:bCs/>
                <w:color w:val="000000" w:themeColor="text1"/>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38E98AAE">
        <w:tblPrEx>
          <w:tblCellMar>
            <w:top w:w="0" w:type="dxa"/>
            <w:left w:w="108" w:type="dxa"/>
            <w:bottom w:w="0" w:type="dxa"/>
            <w:right w:w="108" w:type="dxa"/>
          </w:tblCellMar>
        </w:tblPrEx>
        <w:trPr>
          <w:trHeight w:val="270" w:hRule="atLeast"/>
        </w:trPr>
        <w:tc>
          <w:tcPr>
            <w:tcW w:w="9604" w:type="dxa"/>
            <w:gridSpan w:val="2"/>
            <w:tcBorders>
              <w:top w:val="single" w:color="auto" w:sz="4" w:space="0"/>
              <w:left w:val="single" w:color="000000" w:sz="8" w:space="0"/>
              <w:bottom w:val="single" w:color="000000" w:sz="4" w:space="0"/>
              <w:right w:val="single" w:color="000000" w:sz="8" w:space="0"/>
            </w:tcBorders>
            <w:vAlign w:val="center"/>
          </w:tcPr>
          <w:p w14:paraId="11F9D83E">
            <w:pPr>
              <w:widowControl/>
              <w:spacing w:line="40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（七）投资范围与策略</w:t>
            </w:r>
          </w:p>
        </w:tc>
      </w:tr>
      <w:tr w14:paraId="273301A4">
        <w:tblPrEx>
          <w:tblCellMar>
            <w:top w:w="0" w:type="dxa"/>
            <w:left w:w="108" w:type="dxa"/>
            <w:bottom w:w="0" w:type="dxa"/>
            <w:right w:w="108" w:type="dxa"/>
          </w:tblCellMar>
        </w:tblPrEx>
        <w:trPr>
          <w:trHeight w:val="1420" w:hRule="atLeast"/>
        </w:trPr>
        <w:tc>
          <w:tcPr>
            <w:tcW w:w="2842" w:type="dxa"/>
            <w:tcBorders>
              <w:top w:val="nil"/>
              <w:left w:val="single" w:color="000000" w:sz="8" w:space="0"/>
              <w:bottom w:val="single" w:color="auto" w:sz="4" w:space="0"/>
              <w:right w:val="single" w:color="auto" w:sz="4" w:space="0"/>
            </w:tcBorders>
            <w:vAlign w:val="center"/>
          </w:tcPr>
          <w:p w14:paraId="727A0BFA">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投资范围</w:t>
            </w:r>
          </w:p>
        </w:tc>
        <w:tc>
          <w:tcPr>
            <w:tcW w:w="6762" w:type="dxa"/>
            <w:tcBorders>
              <w:top w:val="nil"/>
              <w:left w:val="single" w:color="auto" w:sz="4" w:space="0"/>
              <w:bottom w:val="single" w:color="auto" w:sz="4" w:space="0"/>
              <w:right w:val="single" w:color="000000" w:sz="8" w:space="0"/>
            </w:tcBorders>
            <w:vAlign w:val="center"/>
          </w:tcPr>
          <w:p w14:paraId="0AB26FB1">
            <w:pPr>
              <w:spacing w:line="300" w:lineRule="exact"/>
              <w:ind w:right="36" w:rightChars="15" w:firstLine="400" w:firstLineChars="200"/>
              <w:jc w:val="left"/>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（1）债权类资产</w:t>
            </w:r>
          </w:p>
          <w:p w14:paraId="00212952">
            <w:pPr>
              <w:spacing w:line="300" w:lineRule="exact"/>
              <w:ind w:right="36" w:rightChars="15"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a</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货币市场类：现金、存款、大额</w:t>
            </w:r>
            <w:r>
              <w:rPr>
                <w:rFonts w:ascii="楷体_GB2312" w:eastAsia="楷体_GB2312"/>
                <w:color w:val="000000" w:themeColor="text1"/>
                <w:sz w:val="20"/>
                <w:szCs w:val="20"/>
                <w:highlight w:val="none"/>
                <w14:textFill>
                  <w14:solidFill>
                    <w14:schemeClr w14:val="tx1"/>
                  </w14:solidFill>
                </w14:textFill>
              </w:rPr>
              <w:t>存单、同业存单、</w:t>
            </w:r>
            <w:r>
              <w:rPr>
                <w:rFonts w:hint="eastAsia" w:ascii="楷体_GB2312" w:eastAsia="楷体_GB2312"/>
                <w:color w:val="000000" w:themeColor="text1"/>
                <w:sz w:val="20"/>
                <w:szCs w:val="20"/>
                <w:highlight w:val="none"/>
                <w14:textFill>
                  <w14:solidFill>
                    <w14:schemeClr w14:val="tx1"/>
                  </w14:solidFill>
                </w14:textFill>
              </w:rPr>
              <w:t>货币基金、质押式回购和其他货币市场类资产；</w:t>
            </w:r>
          </w:p>
          <w:p w14:paraId="5BB96F7B">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b.固定收益类：国债</w:t>
            </w:r>
            <w:r>
              <w:rPr>
                <w:rFonts w:ascii="楷体_GB2312" w:eastAsia="楷体_GB2312"/>
                <w:color w:val="000000" w:themeColor="text1"/>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hint="eastAsia" w:ascii="楷体_GB2312" w:eastAsia="楷体_GB2312"/>
                <w:color w:val="000000" w:themeColor="text1"/>
                <w:sz w:val="20"/>
                <w:szCs w:val="20"/>
                <w:highlight w:val="none"/>
                <w14:textFill>
                  <w14:solidFill>
                    <w14:schemeClr w14:val="tx1"/>
                  </w14:solidFill>
                </w14:textFill>
              </w:rPr>
              <w:t>资产支持证券、非公开定向债务融资工具、债券型</w:t>
            </w:r>
            <w:r>
              <w:rPr>
                <w:rFonts w:ascii="楷体_GB2312" w:eastAsia="楷体_GB2312"/>
                <w:color w:val="000000" w:themeColor="text1"/>
                <w:sz w:val="20"/>
                <w:szCs w:val="20"/>
                <w:highlight w:val="none"/>
                <w14:textFill>
                  <w14:solidFill>
                    <w14:schemeClr w14:val="tx1"/>
                  </w14:solidFill>
                </w14:textFill>
              </w:rPr>
              <w:t>证券投资</w:t>
            </w:r>
            <w:r>
              <w:rPr>
                <w:rFonts w:hint="eastAsia" w:ascii="楷体_GB2312" w:eastAsia="楷体_GB2312"/>
                <w:color w:val="000000" w:themeColor="text1"/>
                <w:sz w:val="20"/>
                <w:szCs w:val="20"/>
                <w:highlight w:val="none"/>
                <w14:textFill>
                  <w14:solidFill>
                    <w14:schemeClr w14:val="tx1"/>
                  </w14:solidFill>
                </w14:textFill>
              </w:rPr>
              <w:t>基金、</w:t>
            </w:r>
            <w:r>
              <w:rPr>
                <w:rFonts w:ascii="楷体_GB2312" w:eastAsia="楷体_GB2312"/>
                <w:color w:val="000000" w:themeColor="text1"/>
                <w:sz w:val="20"/>
                <w:szCs w:val="20"/>
                <w:highlight w:val="none"/>
                <w14:textFill>
                  <w14:solidFill>
                    <w14:schemeClr w14:val="tx1"/>
                  </w14:solidFill>
                </w14:textFill>
              </w:rPr>
              <w:t>非标准化债权类资产</w:t>
            </w:r>
            <w:r>
              <w:rPr>
                <w:rFonts w:hint="eastAsia" w:ascii="楷体_GB2312" w:eastAsia="楷体_GB2312"/>
                <w:color w:val="000000" w:themeColor="text1"/>
                <w:sz w:val="20"/>
                <w:szCs w:val="20"/>
                <w:highlight w:val="none"/>
                <w14:textFill>
                  <w14:solidFill>
                    <w14:schemeClr w14:val="tx1"/>
                  </w14:solidFill>
                </w14:textFill>
              </w:rPr>
              <w:t>和其他固定收益类资产；</w:t>
            </w:r>
          </w:p>
          <w:p w14:paraId="43E9815C">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2）</w:t>
            </w:r>
            <w:r>
              <w:rPr>
                <w:rFonts w:hint="eastAsia" w:ascii="Times New Roman" w:hAnsi="Times New Roman" w:eastAsia="楷体_GB2312"/>
                <w:color w:val="000000" w:themeColor="text1"/>
                <w:sz w:val="20"/>
                <w:szCs w:val="20"/>
                <w:highlight w:val="none"/>
                <w14:textFill>
                  <w14:solidFill>
                    <w14:schemeClr w14:val="tx1"/>
                  </w14:solidFill>
                </w14:textFill>
              </w:rPr>
              <w:t>权益</w:t>
            </w:r>
            <w:r>
              <w:rPr>
                <w:rFonts w:ascii="Times New Roman" w:hAnsi="Times New Roman" w:eastAsia="楷体_GB2312"/>
                <w:color w:val="000000" w:themeColor="text1"/>
                <w:sz w:val="20"/>
                <w:szCs w:val="20"/>
                <w:highlight w:val="none"/>
                <w14:textFill>
                  <w14:solidFill>
                    <w14:schemeClr w14:val="tx1"/>
                  </w14:solidFill>
                </w14:textFill>
              </w:rPr>
              <w:t>类</w:t>
            </w:r>
            <w:r>
              <w:rPr>
                <w:rFonts w:hint="eastAsia" w:ascii="Times New Roman" w:hAnsi="Times New Roman" w:eastAsia="楷体_GB2312"/>
                <w:color w:val="000000" w:themeColor="text1"/>
                <w:sz w:val="20"/>
                <w:szCs w:val="20"/>
                <w:highlight w:val="none"/>
                <w14:textFill>
                  <w14:solidFill>
                    <w14:schemeClr w14:val="tx1"/>
                  </w14:solidFill>
                </w14:textFill>
              </w:rPr>
              <w:t>资产</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上市</w:t>
            </w:r>
            <w:r>
              <w:rPr>
                <w:rFonts w:ascii="楷体_GB2312" w:eastAsia="楷体_GB2312" w:cs="楷体_GB2312"/>
                <w:color w:val="000000" w:themeColor="text1"/>
                <w:sz w:val="20"/>
                <w:szCs w:val="20"/>
                <w:highlight w:val="none"/>
                <w14:textFill>
                  <w14:solidFill>
                    <w14:schemeClr w14:val="tx1"/>
                  </w14:solidFill>
                </w14:textFill>
              </w:rPr>
              <w:t>交易</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股票以及法律法规允许或监管部门批准的其他具备权益特征的资产和资产组合</w:t>
            </w:r>
            <w:r>
              <w:rPr>
                <w:rFonts w:ascii="Times New Roman" w:hAnsi="Times New Roman" w:eastAsia="楷体_GB2312"/>
                <w:color w:val="000000" w:themeColor="text1"/>
                <w:sz w:val="20"/>
                <w:szCs w:val="20"/>
                <w:highlight w:val="none"/>
                <w14:textFill>
                  <w14:solidFill>
                    <w14:schemeClr w14:val="tx1"/>
                  </w14:solidFill>
                </w14:textFill>
              </w:rPr>
              <w:t>。</w:t>
            </w:r>
          </w:p>
          <w:p w14:paraId="4FC5486A">
            <w:pPr>
              <w:spacing w:line="300" w:lineRule="exact"/>
              <w:ind w:left="-2" w:leftChars="-1" w:right="36" w:rightChars="15" w:firstLine="422"/>
              <w:jc w:val="both"/>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3</w:t>
            </w:r>
            <w:r>
              <w:rPr>
                <w:rFonts w:hint="eastAsia" w:ascii="Times New Roman" w:hAnsi="Times New Roman" w:eastAsia="楷体_GB2312"/>
                <w:color w:val="000000" w:themeColor="text1"/>
                <w:sz w:val="20"/>
                <w:szCs w:val="20"/>
                <w:highlight w:val="none"/>
                <w14:textFill>
                  <w14:solidFill>
                    <w14:schemeClr w14:val="tx1"/>
                  </w14:solidFill>
                </w14:textFill>
              </w:rPr>
              <w:t>）商品</w:t>
            </w:r>
            <w:r>
              <w:rPr>
                <w:rFonts w:ascii="Times New Roman" w:hAnsi="Times New Roman" w:eastAsia="楷体_GB2312"/>
                <w:color w:val="000000" w:themeColor="text1"/>
                <w:sz w:val="20"/>
                <w:szCs w:val="20"/>
                <w:highlight w:val="none"/>
                <w14:textFill>
                  <w14:solidFill>
                    <w14:schemeClr w14:val="tx1"/>
                  </w14:solidFill>
                </w14:textFill>
              </w:rPr>
              <w:t>及</w:t>
            </w:r>
            <w:r>
              <w:rPr>
                <w:rFonts w:hint="eastAsia" w:ascii="Times New Roman" w:hAnsi="Times New Roman" w:eastAsia="楷体_GB2312"/>
                <w:color w:val="000000" w:themeColor="text1"/>
                <w:sz w:val="20"/>
                <w:szCs w:val="20"/>
                <w:highlight w:val="none"/>
                <w14:textFill>
                  <w14:solidFill>
                    <w14:schemeClr w14:val="tx1"/>
                  </w14:solidFill>
                </w14:textFill>
              </w:rPr>
              <w:t>金融</w:t>
            </w:r>
            <w:r>
              <w:rPr>
                <w:rFonts w:ascii="Times New Roman" w:hAnsi="Times New Roman" w:eastAsia="楷体_GB2312"/>
                <w:color w:val="000000" w:themeColor="text1"/>
                <w:sz w:val="20"/>
                <w:szCs w:val="20"/>
                <w:highlight w:val="none"/>
                <w14:textFill>
                  <w14:solidFill>
                    <w14:schemeClr w14:val="tx1"/>
                  </w14:solidFill>
                </w14:textFill>
              </w:rPr>
              <w:t>衍生品类资产：</w:t>
            </w:r>
            <w:r>
              <w:rPr>
                <w:rFonts w:hint="eastAsia" w:ascii="Times New Roman" w:hAnsi="Times New Roman" w:eastAsia="楷体_GB2312"/>
                <w:color w:val="000000" w:themeColor="text1"/>
                <w:sz w:val="20"/>
                <w:szCs w:val="20"/>
                <w:highlight w:val="none"/>
                <w14:textFill>
                  <w14:solidFill>
                    <w14:schemeClr w14:val="tx1"/>
                  </w14:solidFill>
                </w14:textFill>
              </w:rPr>
              <w:t>商品现货，互换</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olor w:val="000000" w:themeColor="text1"/>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tc>
      </w:tr>
      <w:tr w14:paraId="6E2B0927">
        <w:tblPrEx>
          <w:tblCellMar>
            <w:top w:w="0" w:type="dxa"/>
            <w:left w:w="108" w:type="dxa"/>
            <w:bottom w:w="0" w:type="dxa"/>
            <w:right w:w="108" w:type="dxa"/>
          </w:tblCellMar>
        </w:tblPrEx>
        <w:trPr>
          <w:trHeight w:val="780" w:hRule="atLeast"/>
        </w:trPr>
        <w:tc>
          <w:tcPr>
            <w:tcW w:w="2842" w:type="dxa"/>
            <w:tcBorders>
              <w:top w:val="single" w:color="auto" w:sz="4" w:space="0"/>
              <w:left w:val="single" w:color="000000" w:sz="8" w:space="0"/>
              <w:bottom w:val="single" w:color="auto" w:sz="4" w:space="0"/>
              <w:right w:val="single" w:color="auto" w:sz="4" w:space="0"/>
            </w:tcBorders>
            <w:vAlign w:val="center"/>
          </w:tcPr>
          <w:p w14:paraId="6AD2B669">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投资策略</w:t>
            </w:r>
          </w:p>
        </w:tc>
        <w:tc>
          <w:tcPr>
            <w:tcW w:w="6762" w:type="dxa"/>
            <w:tcBorders>
              <w:top w:val="single" w:color="auto" w:sz="4" w:space="0"/>
              <w:left w:val="single" w:color="auto" w:sz="4" w:space="0"/>
              <w:bottom w:val="single" w:color="auto" w:sz="4" w:space="0"/>
              <w:right w:val="single" w:color="000000" w:sz="8" w:space="0"/>
            </w:tcBorders>
            <w:vAlign w:val="center"/>
          </w:tcPr>
          <w:p w14:paraId="22987BDA">
            <w:pPr>
              <w:spacing w:line="300" w:lineRule="exact"/>
              <w:ind w:firstLine="400"/>
              <w:jc w:val="both"/>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_GB2312" w:hAnsi="楷体_GB2312" w:eastAsia="楷体_GB2312"/>
                <w:color w:val="000000" w:themeColor="text1"/>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p>
        </w:tc>
      </w:tr>
      <w:tr w14:paraId="4F8C35FD">
        <w:tblPrEx>
          <w:tblCellMar>
            <w:top w:w="0" w:type="dxa"/>
            <w:left w:w="108" w:type="dxa"/>
            <w:bottom w:w="0" w:type="dxa"/>
            <w:right w:w="108" w:type="dxa"/>
          </w:tblCellMar>
        </w:tblPrEx>
        <w:trPr>
          <w:trHeight w:val="555" w:hRule="atLeast"/>
        </w:trPr>
        <w:tc>
          <w:tcPr>
            <w:tcW w:w="2842" w:type="dxa"/>
            <w:tcBorders>
              <w:top w:val="single" w:color="auto" w:sz="4" w:space="0"/>
              <w:left w:val="single" w:color="000000" w:sz="8" w:space="0"/>
              <w:bottom w:val="single" w:color="auto" w:sz="4" w:space="0"/>
              <w:right w:val="single" w:color="auto" w:sz="4" w:space="0"/>
            </w:tcBorders>
            <w:vAlign w:val="center"/>
          </w:tcPr>
          <w:p w14:paraId="040B016D">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b/>
                <w:bCs/>
                <w:color w:val="000000" w:themeColor="text1"/>
                <w:sz w:val="20"/>
                <w:szCs w:val="20"/>
                <w:highlight w:val="none"/>
                <w14:textFill>
                  <w14:solidFill>
                    <w14:schemeClr w14:val="tx1"/>
                  </w14:solidFill>
                </w14:textFill>
              </w:rPr>
              <w:t>资产种类</w:t>
            </w:r>
          </w:p>
        </w:tc>
        <w:tc>
          <w:tcPr>
            <w:tcW w:w="6762" w:type="dxa"/>
            <w:tcBorders>
              <w:top w:val="single" w:color="auto" w:sz="4" w:space="0"/>
              <w:left w:val="single" w:color="auto" w:sz="4" w:space="0"/>
              <w:bottom w:val="single" w:color="auto" w:sz="4" w:space="0"/>
              <w:right w:val="single" w:color="000000" w:sz="8" w:space="0"/>
            </w:tcBorders>
            <w:vAlign w:val="center"/>
          </w:tcPr>
          <w:p w14:paraId="35426793">
            <w:pPr>
              <w:ind w:right="29" w:rightChars="12"/>
              <w:jc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 w:hAnsi="楷体" w:eastAsia="楷体"/>
                <w:b/>
                <w:bCs/>
                <w:color w:val="000000"/>
                <w:sz w:val="20"/>
                <w:szCs w:val="20"/>
                <w:highlight w:val="none"/>
              </w:rPr>
              <w:t>投资比例</w:t>
            </w:r>
          </w:p>
        </w:tc>
      </w:tr>
      <w:tr w14:paraId="27A1AC2B">
        <w:tblPrEx>
          <w:tblCellMar>
            <w:top w:w="0" w:type="dxa"/>
            <w:left w:w="108" w:type="dxa"/>
            <w:bottom w:w="0" w:type="dxa"/>
            <w:right w:w="108" w:type="dxa"/>
          </w:tblCellMar>
        </w:tblPrEx>
        <w:trPr>
          <w:trHeight w:val="555" w:hRule="atLeast"/>
        </w:trPr>
        <w:tc>
          <w:tcPr>
            <w:tcW w:w="2842" w:type="dxa"/>
            <w:tcBorders>
              <w:top w:val="single" w:color="auto" w:sz="4" w:space="0"/>
              <w:left w:val="single" w:color="000000" w:sz="8" w:space="0"/>
              <w:bottom w:val="single" w:color="auto" w:sz="4" w:space="0"/>
              <w:right w:val="single" w:color="auto" w:sz="4" w:space="0"/>
            </w:tcBorders>
            <w:vAlign w:val="center"/>
          </w:tcPr>
          <w:p w14:paraId="4AB1A2B9">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债权类资产</w:t>
            </w:r>
          </w:p>
        </w:tc>
        <w:tc>
          <w:tcPr>
            <w:tcW w:w="6762" w:type="dxa"/>
            <w:tcBorders>
              <w:top w:val="single" w:color="auto" w:sz="4" w:space="0"/>
              <w:left w:val="single" w:color="auto" w:sz="4" w:space="0"/>
              <w:bottom w:val="single" w:color="auto" w:sz="4" w:space="0"/>
              <w:right w:val="single" w:color="000000" w:sz="8" w:space="0"/>
            </w:tcBorders>
            <w:vAlign w:val="center"/>
          </w:tcPr>
          <w:p w14:paraId="1BBC7358">
            <w:pPr>
              <w:ind w:right="29" w:rightChars="12"/>
              <w:jc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 w:hAnsi="楷体" w:eastAsia="楷体"/>
                <w:sz w:val="20"/>
                <w:szCs w:val="20"/>
                <w:highlight w:val="none"/>
              </w:rPr>
              <w:t>【80%-100%】</w:t>
            </w:r>
          </w:p>
        </w:tc>
      </w:tr>
      <w:tr w14:paraId="301D6BAD">
        <w:tblPrEx>
          <w:tblCellMar>
            <w:top w:w="0" w:type="dxa"/>
            <w:left w:w="108" w:type="dxa"/>
            <w:bottom w:w="0" w:type="dxa"/>
            <w:right w:w="108" w:type="dxa"/>
          </w:tblCellMar>
        </w:tblPrEx>
        <w:trPr>
          <w:trHeight w:val="555" w:hRule="atLeast"/>
        </w:trPr>
        <w:tc>
          <w:tcPr>
            <w:tcW w:w="2842" w:type="dxa"/>
            <w:tcBorders>
              <w:top w:val="single" w:color="auto" w:sz="4" w:space="0"/>
              <w:left w:val="single" w:color="000000" w:sz="8" w:space="0"/>
              <w:bottom w:val="single" w:color="auto" w:sz="4" w:space="0"/>
              <w:right w:val="single" w:color="auto" w:sz="4" w:space="0"/>
            </w:tcBorders>
            <w:vAlign w:val="center"/>
          </w:tcPr>
          <w:p w14:paraId="5B65B9AB">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其中，非标准化债权类资产</w:t>
            </w:r>
          </w:p>
        </w:tc>
        <w:tc>
          <w:tcPr>
            <w:tcW w:w="6762" w:type="dxa"/>
            <w:tcBorders>
              <w:top w:val="single" w:color="auto" w:sz="4" w:space="0"/>
              <w:left w:val="single" w:color="auto" w:sz="4" w:space="0"/>
              <w:bottom w:val="single" w:color="auto" w:sz="4" w:space="0"/>
              <w:right w:val="single" w:color="000000" w:sz="8" w:space="0"/>
            </w:tcBorders>
            <w:vAlign w:val="center"/>
          </w:tcPr>
          <w:p w14:paraId="3B193294">
            <w:pPr>
              <w:ind w:right="29" w:rightChars="12"/>
              <w:jc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楷体" w:hAnsi="楷体" w:eastAsia="楷体"/>
                <w:sz w:val="20"/>
                <w:szCs w:val="20"/>
                <w:highlight w:val="none"/>
              </w:rPr>
              <w:t>【0%-49%</w:t>
            </w:r>
            <w:r>
              <w:rPr>
                <w:rFonts w:ascii="楷体" w:hAnsi="楷体" w:eastAsia="楷体"/>
                <w:sz w:val="20"/>
                <w:szCs w:val="20"/>
                <w:highlight w:val="none"/>
              </w:rPr>
              <w:t>】</w:t>
            </w:r>
          </w:p>
        </w:tc>
      </w:tr>
      <w:tr w14:paraId="4F43549D">
        <w:tblPrEx>
          <w:tblCellMar>
            <w:top w:w="0" w:type="dxa"/>
            <w:left w:w="108" w:type="dxa"/>
            <w:bottom w:w="0" w:type="dxa"/>
            <w:right w:w="108" w:type="dxa"/>
          </w:tblCellMar>
        </w:tblPrEx>
        <w:trPr>
          <w:trHeight w:val="406" w:hRule="atLeast"/>
        </w:trPr>
        <w:tc>
          <w:tcPr>
            <w:tcW w:w="2842" w:type="dxa"/>
            <w:tcBorders>
              <w:top w:val="single" w:color="auto" w:sz="4" w:space="0"/>
              <w:left w:val="single" w:color="000000" w:sz="8" w:space="0"/>
              <w:bottom w:val="single" w:color="auto" w:sz="4" w:space="0"/>
              <w:right w:val="single" w:color="auto" w:sz="4" w:space="0"/>
            </w:tcBorders>
            <w:vAlign w:val="center"/>
          </w:tcPr>
          <w:p w14:paraId="05D558DF">
            <w:pPr>
              <w:widowControl/>
              <w:spacing w:line="560" w:lineRule="exact"/>
              <w:jc w:val="center"/>
              <w:textAlignment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权益类资产</w:t>
            </w:r>
          </w:p>
        </w:tc>
        <w:tc>
          <w:tcPr>
            <w:tcW w:w="6762" w:type="dxa"/>
            <w:tcBorders>
              <w:top w:val="single" w:color="auto" w:sz="4" w:space="0"/>
              <w:left w:val="single" w:color="auto" w:sz="4" w:space="0"/>
              <w:bottom w:val="single" w:color="auto" w:sz="4" w:space="0"/>
              <w:right w:val="single" w:color="000000" w:sz="8" w:space="0"/>
            </w:tcBorders>
            <w:vAlign w:val="center"/>
          </w:tcPr>
          <w:p w14:paraId="51CC628B">
            <w:pPr>
              <w:ind w:right="29" w:rightChars="12"/>
              <w:jc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楷体" w:hAnsi="楷体" w:eastAsia="楷体"/>
                <w:sz w:val="20"/>
                <w:szCs w:val="20"/>
                <w:highlight w:val="none"/>
              </w:rPr>
              <w:t>【0%】</w:t>
            </w:r>
          </w:p>
        </w:tc>
      </w:tr>
      <w:tr w14:paraId="73E987F1">
        <w:tblPrEx>
          <w:tblCellMar>
            <w:top w:w="0" w:type="dxa"/>
            <w:left w:w="108" w:type="dxa"/>
            <w:bottom w:w="0" w:type="dxa"/>
            <w:right w:w="108" w:type="dxa"/>
          </w:tblCellMar>
        </w:tblPrEx>
        <w:trPr>
          <w:trHeight w:val="555" w:hRule="atLeast"/>
        </w:trPr>
        <w:tc>
          <w:tcPr>
            <w:tcW w:w="2842" w:type="dxa"/>
            <w:tcBorders>
              <w:top w:val="nil"/>
              <w:left w:val="single" w:color="000000" w:sz="8" w:space="0"/>
              <w:bottom w:val="single" w:color="auto" w:sz="4" w:space="0"/>
              <w:right w:val="single" w:color="auto" w:sz="4" w:space="0"/>
            </w:tcBorders>
            <w:vAlign w:val="center"/>
          </w:tcPr>
          <w:p w14:paraId="4B6F1CB5">
            <w:pPr>
              <w:spacing w:line="300" w:lineRule="exact"/>
              <w:ind w:left="-2" w:leftChars="-1" w:right="36" w:rightChars="15"/>
              <w:jc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商品及金融衍生品类资产：持仓合约价值</w:t>
            </w:r>
          </w:p>
        </w:tc>
        <w:tc>
          <w:tcPr>
            <w:tcW w:w="6762" w:type="dxa"/>
            <w:tcBorders>
              <w:top w:val="nil"/>
              <w:left w:val="single" w:color="auto" w:sz="4" w:space="0"/>
              <w:bottom w:val="single" w:color="auto" w:sz="4" w:space="0"/>
              <w:right w:val="single" w:color="000000" w:sz="8" w:space="0"/>
            </w:tcBorders>
            <w:vAlign w:val="center"/>
          </w:tcPr>
          <w:p w14:paraId="1158FB9E">
            <w:pPr>
              <w:ind w:right="29" w:rightChars="12"/>
              <w:jc w:val="center"/>
              <w:rPr>
                <w:rFonts w:hint="eastAsia" w:ascii="仿宋" w:hAnsi="仿宋" w:eastAsia="仿宋" w:cs="宋体"/>
                <w:bCs/>
                <w:color w:val="000000" w:themeColor="text1"/>
                <w:kern w:val="0"/>
                <w:sz w:val="24"/>
                <w:highlight w:val="none"/>
                <w:lang w:bidi="ar"/>
                <w14:textFill>
                  <w14:solidFill>
                    <w14:schemeClr w14:val="tx1"/>
                  </w14:solidFill>
                </w14:textFill>
              </w:rPr>
            </w:pPr>
            <w:r>
              <w:rPr>
                <w:rFonts w:hint="eastAsia" w:ascii="楷体" w:hAnsi="楷体" w:eastAsia="楷体"/>
                <w:sz w:val="20"/>
                <w:szCs w:val="20"/>
                <w:highlight w:val="none"/>
              </w:rPr>
              <w:t>【0%-20%】</w:t>
            </w:r>
          </w:p>
        </w:tc>
      </w:tr>
      <w:tr w14:paraId="0DFFFBF1">
        <w:tblPrEx>
          <w:tblCellMar>
            <w:top w:w="0" w:type="dxa"/>
            <w:left w:w="108" w:type="dxa"/>
            <w:bottom w:w="0" w:type="dxa"/>
            <w:right w:w="108" w:type="dxa"/>
          </w:tblCellMar>
        </w:tblPrEx>
        <w:trPr>
          <w:trHeight w:val="555" w:hRule="atLeast"/>
        </w:trPr>
        <w:tc>
          <w:tcPr>
            <w:tcW w:w="2842" w:type="dxa"/>
            <w:tcBorders>
              <w:top w:val="single" w:color="auto" w:sz="4" w:space="0"/>
              <w:left w:val="single" w:color="000000" w:sz="8" w:space="0"/>
              <w:bottom w:val="nil"/>
              <w:right w:val="single" w:color="auto" w:sz="4" w:space="0"/>
            </w:tcBorders>
            <w:vAlign w:val="center"/>
          </w:tcPr>
          <w:p w14:paraId="5697BBA4">
            <w:pPr>
              <w:spacing w:line="300" w:lineRule="exact"/>
              <w:ind w:left="-2" w:leftChars="-1" w:right="36" w:rightChars="15"/>
              <w:jc w:val="center"/>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商品及金融衍生品类资产：衍生品账户权益</w:t>
            </w:r>
          </w:p>
        </w:tc>
        <w:tc>
          <w:tcPr>
            <w:tcW w:w="6762" w:type="dxa"/>
            <w:tcBorders>
              <w:top w:val="single" w:color="auto" w:sz="4" w:space="0"/>
              <w:left w:val="single" w:color="auto" w:sz="4" w:space="0"/>
              <w:bottom w:val="nil"/>
              <w:right w:val="single" w:color="000000" w:sz="8" w:space="0"/>
            </w:tcBorders>
            <w:vAlign w:val="center"/>
          </w:tcPr>
          <w:p w14:paraId="16066290">
            <w:pPr>
              <w:ind w:right="29" w:rightChars="12"/>
              <w:jc w:val="center"/>
              <w:rPr>
                <w:rFonts w:hint="eastAsia" w:ascii="仿宋_GB2312" w:hAnsi="等线" w:eastAsia="仿宋_GB2312" w:cs="仿宋_GB2312"/>
                <w:bCs/>
                <w:color w:val="000000" w:themeColor="text1"/>
                <w:sz w:val="24"/>
                <w:highlight w:val="none"/>
                <w14:textFill>
                  <w14:solidFill>
                    <w14:schemeClr w14:val="tx1"/>
                  </w14:solidFill>
                </w14:textFill>
              </w:rPr>
            </w:pPr>
            <w:r>
              <w:rPr>
                <w:rFonts w:hint="eastAsia" w:ascii="楷体" w:hAnsi="楷体" w:eastAsia="楷体"/>
                <w:sz w:val="20"/>
                <w:szCs w:val="20"/>
                <w:highlight w:val="none"/>
              </w:rPr>
              <w:t>【0%-20%】</w:t>
            </w:r>
          </w:p>
        </w:tc>
      </w:tr>
      <w:tr w14:paraId="31C86B3B">
        <w:tblPrEx>
          <w:tblCellMar>
            <w:top w:w="0" w:type="dxa"/>
            <w:left w:w="108" w:type="dxa"/>
            <w:bottom w:w="0" w:type="dxa"/>
            <w:right w:w="108" w:type="dxa"/>
          </w:tblCellMar>
        </w:tblPrEx>
        <w:trPr>
          <w:trHeight w:val="270" w:hRule="atLeast"/>
        </w:trPr>
        <w:tc>
          <w:tcPr>
            <w:tcW w:w="9604" w:type="dxa"/>
            <w:gridSpan w:val="2"/>
            <w:tcBorders>
              <w:top w:val="single" w:color="000000" w:sz="4" w:space="0"/>
              <w:left w:val="single" w:color="000000" w:sz="8" w:space="0"/>
              <w:bottom w:val="single" w:color="000000" w:sz="4" w:space="0"/>
              <w:right w:val="single" w:color="000000" w:sz="4" w:space="0"/>
            </w:tcBorders>
            <w:vAlign w:val="center"/>
          </w:tcPr>
          <w:p w14:paraId="19998678">
            <w:pPr>
              <w:widowControl/>
              <w:spacing w:line="560" w:lineRule="exact"/>
              <w:jc w:val="center"/>
              <w:textAlignment w:val="center"/>
              <w:rPr>
                <w:rFonts w:hint="eastAsia" w:ascii="楷体_GB2312" w:hAnsi="等线" w:eastAsia="楷体_GB2312" w:cs="楷体_GB2312"/>
                <w:bCs/>
                <w:color w:val="000000" w:themeColor="text1"/>
                <w:sz w:val="24"/>
                <w:highlight w:val="none"/>
                <w14:textFill>
                  <w14:solidFill>
                    <w14:schemeClr w14:val="tx1"/>
                  </w14:solidFill>
                </w14:textFill>
              </w:rPr>
            </w:pPr>
            <w:r>
              <w:rPr>
                <w:rFonts w:hint="eastAsia" w:ascii="楷体_GB2312" w:hAnsi="等线" w:eastAsia="楷体_GB2312" w:cs="楷体_GB2312"/>
                <w:b/>
                <w:color w:val="000000" w:themeColor="text1"/>
                <w:kern w:val="0"/>
                <w:sz w:val="24"/>
                <w:highlight w:val="none"/>
                <w:lang w:bidi="ar"/>
                <w14:textFill>
                  <w14:solidFill>
                    <w14:schemeClr w14:val="tx1"/>
                  </w14:solidFill>
                </w14:textFill>
              </w:rPr>
              <w:t>（八）其他约定</w:t>
            </w:r>
          </w:p>
        </w:tc>
      </w:tr>
      <w:tr w14:paraId="54FA536C">
        <w:tblPrEx>
          <w:tblCellMar>
            <w:top w:w="0" w:type="dxa"/>
            <w:left w:w="108" w:type="dxa"/>
            <w:bottom w:w="0" w:type="dxa"/>
            <w:right w:w="108" w:type="dxa"/>
          </w:tblCellMar>
        </w:tblPrEx>
        <w:trPr>
          <w:trHeight w:val="334" w:hRule="atLeast"/>
        </w:trPr>
        <w:tc>
          <w:tcPr>
            <w:tcW w:w="2842" w:type="dxa"/>
            <w:tcBorders>
              <w:top w:val="single" w:color="000000" w:sz="4" w:space="0"/>
              <w:left w:val="single" w:color="000000" w:sz="8" w:space="0"/>
              <w:bottom w:val="single" w:color="000000" w:sz="8" w:space="0"/>
              <w:right w:val="single" w:color="auto" w:sz="4" w:space="0"/>
            </w:tcBorders>
            <w:vAlign w:val="center"/>
          </w:tcPr>
          <w:p w14:paraId="70C694C4">
            <w:pPr>
              <w:widowControl/>
              <w:spacing w:line="560" w:lineRule="exact"/>
              <w:jc w:val="center"/>
              <w:textAlignment w:val="center"/>
              <w:rPr>
                <w:rFonts w:hint="eastAsia" w:ascii="仿宋_GB2312" w:hAnsi="等线" w:eastAsia="仿宋_GB2312" w:cs="仿宋_GB2312"/>
                <w:color w:val="000000" w:themeColor="text1"/>
                <w:sz w:val="24"/>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其他约定</w:t>
            </w:r>
          </w:p>
        </w:tc>
        <w:tc>
          <w:tcPr>
            <w:tcW w:w="6762" w:type="dxa"/>
            <w:tcBorders>
              <w:top w:val="single" w:color="000000" w:sz="4" w:space="0"/>
              <w:left w:val="single" w:color="auto" w:sz="4" w:space="0"/>
              <w:bottom w:val="single" w:color="000000" w:sz="8" w:space="0"/>
              <w:right w:val="single" w:color="000000" w:sz="8" w:space="0"/>
            </w:tcBorders>
            <w:shd w:val="clear" w:color="auto" w:fill="auto"/>
            <w:vAlign w:val="center"/>
          </w:tcPr>
          <w:p w14:paraId="0D4617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Times New Roman" w:eastAsia="楷体_GB2312" w:cs="楷体_GB2312"/>
                <w:i w:val="0"/>
                <w:iCs w:val="0"/>
                <w:color w:val="000000" w:themeColor="text1"/>
                <w:kern w:val="0"/>
                <w:sz w:val="20"/>
                <w:szCs w:val="20"/>
                <w:highlight w:val="none"/>
                <w:u w:val="none"/>
                <w:lang w:val="en-US" w:eastAsia="zh-CN" w:bidi="ar"/>
                <w14:textFill>
                  <w14:solidFill>
                    <w14:schemeClr w14:val="tx1"/>
                  </w14:solidFill>
                </w14:textFill>
              </w:rPr>
              <w:t>详见产品说明书。</w:t>
            </w:r>
          </w:p>
        </w:tc>
      </w:tr>
    </w:tbl>
    <w:p w14:paraId="01E33576">
      <w:pPr>
        <w:spacing w:line="300" w:lineRule="exact"/>
        <w:ind w:right="-792" w:rightChars="-330"/>
        <w:rPr>
          <w:color w:val="000000" w:themeColor="text1"/>
          <w:highlight w:val="none"/>
          <w14:textFill>
            <w14:solidFill>
              <w14:schemeClr w14:val="tx1"/>
            </w14:solidFill>
          </w14:textFill>
        </w:rPr>
      </w:pPr>
    </w:p>
    <w:p w14:paraId="0D4AD127">
      <w:pPr>
        <w:spacing w:line="300" w:lineRule="exact"/>
        <w:ind w:right="-792" w:rightChars="-330"/>
        <w:rPr>
          <w:color w:val="000000" w:themeColor="text1"/>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重要须知</w:t>
      </w:r>
      <w:r>
        <w:rPr>
          <w:rFonts w:hint="eastAsia" w:ascii="黑体" w:hAnsi="Times New Roman" w:eastAsia="黑体" w:cs="黑体"/>
          <w:color w:val="000000" w:themeColor="text1"/>
          <w:sz w:val="20"/>
          <w:szCs w:val="20"/>
          <w:highlight w:val="none"/>
          <w14:textFill>
            <w14:solidFill>
              <w14:schemeClr w14:val="tx1"/>
            </w14:solidFill>
          </w14:textFill>
        </w:rPr>
        <w:t>：</w:t>
      </w:r>
    </w:p>
    <w:p w14:paraId="575147D5">
      <w:pPr>
        <w:snapToGrid w:val="0"/>
        <w:ind w:firstLine="402" w:firstLineChars="200"/>
        <w:jc w:val="both"/>
        <w:rPr>
          <w:b/>
          <w:color w:val="000000" w:themeColor="text1"/>
          <w:highlight w:val="none"/>
          <w14:textFill>
            <w14:solidFill>
              <w14:schemeClr w14:val="tx1"/>
            </w14:solidFill>
          </w14:textFill>
        </w:rPr>
      </w:pPr>
      <w:r>
        <w:rPr>
          <w:rFonts w:ascii="黑体" w:hAnsi="Times New Roman" w:eastAsia="黑体" w:cs="黑体"/>
          <w:b/>
          <w:color w:val="000000" w:themeColor="text1"/>
          <w:sz w:val="20"/>
          <w:szCs w:val="20"/>
          <w:highlight w:val="none"/>
          <w14:textFill>
            <w14:solidFill>
              <w14:schemeClr w14:val="tx1"/>
            </w14:solidFill>
          </w14:textFill>
        </w:rPr>
        <w:t>1</w:t>
      </w:r>
      <w:r>
        <w:rPr>
          <w:rFonts w:hint="eastAsia" w:ascii="黑体" w:hAnsi="Times New Roman" w:eastAsia="黑体" w:cs="黑体"/>
          <w:b/>
          <w:color w:val="000000" w:themeColor="text1"/>
          <w:sz w:val="20"/>
          <w:szCs w:val="20"/>
          <w:highlight w:val="none"/>
          <w14:textFill>
            <w14:solidFill>
              <w14:schemeClr w14:val="tx1"/>
            </w14:solidFill>
          </w14:textFill>
        </w:rPr>
        <w:t>．本理财产品的产品期限为【</w:t>
      </w:r>
      <w:r>
        <w:rPr>
          <w:rFonts w:ascii="黑体" w:hAnsi="Times New Roman" w:eastAsia="黑体" w:cs="黑体"/>
          <w:b/>
          <w:color w:val="000000" w:themeColor="text1"/>
          <w:sz w:val="20"/>
          <w:szCs w:val="20"/>
          <w:highlight w:val="none"/>
          <w14:textFill>
            <w14:solidFill>
              <w14:schemeClr w14:val="tx1"/>
            </w14:solidFill>
          </w14:textFill>
        </w:rPr>
        <w:t>420</w:t>
      </w:r>
      <w:r>
        <w:rPr>
          <w:rFonts w:hint="eastAsia" w:ascii="黑体" w:hAnsi="Times New Roman" w:eastAsia="黑体" w:cs="黑体"/>
          <w:b/>
          <w:color w:val="000000" w:themeColor="text1"/>
          <w:sz w:val="20"/>
          <w:szCs w:val="20"/>
          <w:highlight w:val="none"/>
          <w14:textFill>
            <w14:solidFill>
              <w14:schemeClr w14:val="tx1"/>
            </w14:solidFill>
          </w14:textFill>
        </w:rPr>
        <w:t>】天，到期日为</w:t>
      </w:r>
      <w:r>
        <w:rPr>
          <w:rFonts w:ascii="黑体" w:hAnsi="Times New Roman" w:eastAsia="黑体" w:cs="黑体"/>
          <w:b/>
          <w:color w:val="000000" w:themeColor="text1"/>
          <w:sz w:val="20"/>
          <w:szCs w:val="20"/>
          <w:highlight w:val="none"/>
          <w14:textFill>
            <w14:solidFill>
              <w14:schemeClr w14:val="tx1"/>
            </w14:solidFill>
          </w14:textFill>
        </w:rPr>
        <w:t>【2027】年【11】月【2】日</w:t>
      </w:r>
      <w:r>
        <w:rPr>
          <w:rFonts w:hint="eastAsia" w:ascii="黑体" w:hAnsi="Times New Roman" w:eastAsia="黑体" w:cs="黑体"/>
          <w:b/>
          <w:color w:val="000000" w:themeColor="text1"/>
          <w:sz w:val="20"/>
          <w:szCs w:val="20"/>
          <w:highlight w:val="none"/>
          <w14:textFill>
            <w14:solidFill>
              <w14:schemeClr w14:val="tx1"/>
            </w14:solidFill>
          </w14:textFill>
        </w:rPr>
        <w:t>（受运作起始日、提前终止条款等约束，遇非工作日则顺延至下一工作日）。</w:t>
      </w:r>
    </w:p>
    <w:p w14:paraId="0702A631">
      <w:pPr>
        <w:snapToGrid w:val="0"/>
        <w:ind w:firstLine="400" w:firstLineChars="200"/>
        <w:jc w:val="both"/>
        <w:rPr>
          <w:rFonts w:ascii="黑体" w:hAnsi="Times New Roman" w:eastAsia="黑体" w:cs="黑体"/>
          <w:color w:val="000000" w:themeColor="text1"/>
          <w:sz w:val="20"/>
          <w:szCs w:val="20"/>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2</w:t>
      </w:r>
      <w:r>
        <w:rPr>
          <w:rFonts w:hint="eastAsia" w:ascii="黑体" w:hAnsi="Times New Roman" w:eastAsia="黑体" w:cs="黑体"/>
          <w:color w:val="000000" w:themeColor="text1"/>
          <w:sz w:val="20"/>
          <w:szCs w:val="20"/>
          <w:highlight w:val="none"/>
          <w14:textFill>
            <w14:solidFill>
              <w14:schemeClr w14:val="tx1"/>
            </w14:solidFill>
          </w14:textFill>
        </w:rPr>
        <w:t>．</w:t>
      </w:r>
      <w:r>
        <w:rPr>
          <w:rFonts w:ascii="黑体" w:hAnsi="Times New Roman" w:eastAsia="黑体" w:cs="黑体"/>
          <w:color w:val="000000" w:themeColor="text1"/>
          <w:sz w:val="20"/>
          <w:szCs w:val="20"/>
          <w:highlight w:val="none"/>
          <w14:textFill>
            <w14:solidFill>
              <w14:schemeClr w14:val="tx1"/>
            </w14:solidFill>
          </w14:textFill>
        </w:rPr>
        <w:t>本</w:t>
      </w:r>
      <w:r>
        <w:rPr>
          <w:rFonts w:hint="eastAsia" w:ascii="黑体" w:hAnsi="Times New Roman" w:eastAsia="黑体" w:cs="黑体"/>
          <w:color w:val="000000" w:themeColor="text1"/>
          <w:sz w:val="20"/>
          <w:szCs w:val="20"/>
          <w:highlight w:val="none"/>
          <w14:textFill>
            <w14:solidFill>
              <w14:schemeClr w14:val="tx1"/>
            </w14:solidFill>
          </w14:textFill>
        </w:rPr>
        <w:t>理财产品的《信银理财理财</w:t>
      </w:r>
      <w:r>
        <w:rPr>
          <w:rFonts w:ascii="黑体" w:hAnsi="Times New Roman" w:eastAsia="黑体" w:cs="黑体"/>
          <w:color w:val="000000" w:themeColor="text1"/>
          <w:sz w:val="20"/>
          <w:szCs w:val="20"/>
          <w:highlight w:val="none"/>
          <w14:textFill>
            <w14:solidFill>
              <w14:schemeClr w14:val="tx1"/>
            </w14:solidFill>
          </w14:textFill>
        </w:rPr>
        <w:t>产品说明书</w:t>
      </w:r>
      <w:r>
        <w:rPr>
          <w:rFonts w:hint="eastAsia" w:ascii="黑体" w:hAnsi="Times New Roman" w:eastAsia="黑体" w:cs="黑体"/>
          <w:color w:val="000000" w:themeColor="text1"/>
          <w:sz w:val="20"/>
          <w:szCs w:val="20"/>
          <w:highlight w:val="none"/>
          <w14:textFill>
            <w14:solidFill>
              <w14:schemeClr w14:val="tx1"/>
            </w14:solidFill>
          </w14:textFill>
        </w:rPr>
        <w:t>》、</w:t>
      </w:r>
      <w:r>
        <w:rPr>
          <w:rFonts w:ascii="黑体" w:hAnsi="Times New Roman" w:eastAsia="黑体" w:cs="黑体"/>
          <w:color w:val="000000" w:themeColor="text1"/>
          <w:sz w:val="20"/>
          <w:szCs w:val="20"/>
          <w:highlight w:val="none"/>
          <w14:textFill>
            <w14:solidFill>
              <w14:schemeClr w14:val="tx1"/>
            </w14:solidFill>
          </w14:textFill>
        </w:rPr>
        <w:t>《</w:t>
      </w:r>
      <w:r>
        <w:rPr>
          <w:rFonts w:hint="eastAsia" w:ascii="黑体" w:hAnsi="Times New Roman" w:eastAsia="黑体" w:cs="黑体"/>
          <w:color w:val="000000" w:themeColor="text1"/>
          <w:sz w:val="20"/>
          <w:szCs w:val="20"/>
          <w:highlight w:val="none"/>
          <w14:textFill>
            <w14:solidFill>
              <w14:schemeClr w14:val="tx1"/>
            </w14:solidFill>
          </w14:textFill>
        </w:rPr>
        <w:t>信银</w:t>
      </w:r>
      <w:r>
        <w:rPr>
          <w:rFonts w:ascii="黑体" w:hAnsi="Times New Roman" w:eastAsia="黑体" w:cs="黑体"/>
          <w:color w:val="000000" w:themeColor="text1"/>
          <w:sz w:val="20"/>
          <w:szCs w:val="20"/>
          <w:highlight w:val="none"/>
          <w14:textFill>
            <w14:solidFill>
              <w14:schemeClr w14:val="tx1"/>
            </w14:solidFill>
          </w14:textFill>
        </w:rPr>
        <w:t>理财理财产品风险揭示书》</w:t>
      </w:r>
      <w:r>
        <w:rPr>
          <w:rFonts w:hint="eastAsia" w:ascii="黑体" w:hAnsi="Times New Roman" w:eastAsia="黑体" w:cs="黑体"/>
          <w:color w:val="000000" w:themeColor="text1"/>
          <w:sz w:val="20"/>
          <w:szCs w:val="20"/>
          <w:highlight w:val="none"/>
          <w14:textFill>
            <w14:solidFill>
              <w14:schemeClr w14:val="tx1"/>
            </w14:solidFill>
          </w14:textFill>
        </w:rPr>
        <w:t>、《信银理财理财产品投资协议书》</w:t>
      </w:r>
      <w:r>
        <w:rPr>
          <w:rFonts w:ascii="黑体" w:hAnsi="Times New Roman" w:eastAsia="黑体" w:cs="黑体"/>
          <w:color w:val="000000" w:themeColor="text1"/>
          <w:sz w:val="20"/>
          <w:szCs w:val="20"/>
          <w:highlight w:val="none"/>
          <w14:textFill>
            <w14:solidFill>
              <w14:schemeClr w14:val="tx1"/>
            </w14:solidFill>
          </w14:textFill>
        </w:rPr>
        <w:t>与《信银理财理财产品销售总协议》（含附件：客户权益须知专页）（或合作销售机构向投资者提供的理财产品销售协议文本）</w:t>
      </w:r>
      <w:r>
        <w:rPr>
          <w:rFonts w:hint="eastAsia" w:ascii="黑体" w:hAnsi="Times New Roman" w:eastAsia="黑体" w:cs="黑体"/>
          <w:color w:val="000000" w:themeColor="text1"/>
          <w:sz w:val="20"/>
          <w:szCs w:val="20"/>
          <w:highlight w:val="none"/>
          <w14:textFill>
            <w14:solidFill>
              <w14:schemeClr w14:val="tx1"/>
            </w14:solidFill>
          </w14:textFill>
        </w:rPr>
        <w:t>等文件及其不时有效修订与补充</w:t>
      </w:r>
      <w:r>
        <w:rPr>
          <w:rFonts w:ascii="黑体" w:hAnsi="Times New Roman" w:eastAsia="黑体" w:cs="黑体"/>
          <w:color w:val="000000" w:themeColor="text1"/>
          <w:sz w:val="20"/>
          <w:szCs w:val="20"/>
          <w:highlight w:val="none"/>
          <w14:textFill>
            <w14:solidFill>
              <w14:schemeClr w14:val="tx1"/>
            </w14:solidFill>
          </w14:textFill>
        </w:rPr>
        <w:t>共同构成</w:t>
      </w:r>
      <w:r>
        <w:rPr>
          <w:rFonts w:hint="eastAsia" w:ascii="黑体" w:hAnsi="Times New Roman" w:eastAsia="黑体" w:cs="黑体"/>
          <w:color w:val="000000" w:themeColor="text1"/>
          <w:sz w:val="20"/>
          <w:szCs w:val="20"/>
          <w:highlight w:val="none"/>
          <w14:textFill>
            <w14:solidFill>
              <w14:schemeClr w14:val="tx1"/>
            </w14:solidFill>
          </w14:textFill>
        </w:rPr>
        <w:t>理财产品销售文件</w:t>
      </w:r>
      <w:r>
        <w:rPr>
          <w:rFonts w:ascii="黑体" w:hAnsi="Times New Roman" w:eastAsia="黑体" w:cs="黑体"/>
          <w:color w:val="000000" w:themeColor="text1"/>
          <w:sz w:val="20"/>
          <w:szCs w:val="20"/>
          <w:highlight w:val="none"/>
          <w14:textFill>
            <w14:solidFill>
              <w14:schemeClr w14:val="tx1"/>
            </w14:solidFill>
          </w14:textFill>
        </w:rPr>
        <w:t>。</w:t>
      </w:r>
    </w:p>
    <w:p w14:paraId="3297E997">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3</w:t>
      </w:r>
      <w:r>
        <w:rPr>
          <w:rFonts w:hint="eastAsia" w:ascii="黑体" w:hAnsi="Times New Roman" w:eastAsia="黑体" w:cs="黑体"/>
          <w:color w:val="000000" w:themeColor="text1"/>
          <w:sz w:val="20"/>
          <w:szCs w:val="20"/>
          <w:highlight w:val="none"/>
          <w14:textFill>
            <w14:solidFill>
              <w14:schemeClr w14:val="tx1"/>
            </w14:solidFill>
          </w14:textFill>
        </w:rPr>
        <w:t>．本理财产品不等同于银行存款。</w:t>
      </w:r>
    </w:p>
    <w:p w14:paraId="56DCE517">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4</w:t>
      </w:r>
      <w:r>
        <w:rPr>
          <w:rFonts w:hint="eastAsia" w:ascii="黑体" w:hAnsi="Times New Roman" w:eastAsia="黑体" w:cs="黑体"/>
          <w:color w:val="000000" w:themeColor="text1"/>
          <w:sz w:val="20"/>
          <w:szCs w:val="20"/>
          <w:highlight w:val="none"/>
          <w14:textFill>
            <w14:solidFill>
              <w14:schemeClr w14:val="tx1"/>
            </w14:solidFill>
          </w14:textFill>
        </w:rPr>
        <w:t>．在购买本理财产品前，请投资者确保完全明白本理财产品的性质、其中涉及的风险以及投资者的自身情况。投资者若对本产品说明书的内容有任何疑问，请向信银理财或代销</w:t>
      </w:r>
      <w:r>
        <w:rPr>
          <w:rFonts w:ascii="黑体" w:hAnsi="Times New Roman" w:eastAsia="黑体" w:cs="黑体"/>
          <w:color w:val="000000" w:themeColor="text1"/>
          <w:sz w:val="20"/>
          <w:szCs w:val="20"/>
          <w:highlight w:val="none"/>
          <w14:textFill>
            <w14:solidFill>
              <w14:schemeClr w14:val="tx1"/>
            </w14:solidFill>
          </w14:textFill>
        </w:rPr>
        <w:t>机构</w:t>
      </w:r>
      <w:r>
        <w:rPr>
          <w:rFonts w:hint="eastAsia" w:ascii="黑体" w:hAnsi="Times New Roman" w:eastAsia="黑体" w:cs="黑体"/>
          <w:color w:val="000000" w:themeColor="text1"/>
          <w:sz w:val="20"/>
          <w:szCs w:val="20"/>
          <w:highlight w:val="none"/>
          <w14:textFill>
            <w14:solidFill>
              <w14:schemeClr w14:val="tx1"/>
            </w14:solidFill>
          </w14:textFill>
        </w:rPr>
        <w:t>各营业场所或营业</w:t>
      </w:r>
      <w:r>
        <w:rPr>
          <w:rFonts w:ascii="黑体" w:hAnsi="Times New Roman" w:eastAsia="黑体" w:cs="黑体"/>
          <w:color w:val="000000" w:themeColor="text1"/>
          <w:sz w:val="20"/>
          <w:szCs w:val="20"/>
          <w:highlight w:val="none"/>
          <w14:textFill>
            <w14:solidFill>
              <w14:schemeClr w14:val="tx1"/>
            </w14:solidFill>
          </w14:textFill>
        </w:rPr>
        <w:t>网点</w:t>
      </w:r>
      <w:r>
        <w:rPr>
          <w:rFonts w:hint="eastAsia" w:ascii="黑体" w:hAnsi="Times New Roman" w:eastAsia="黑体" w:cs="黑体"/>
          <w:color w:val="000000" w:themeColor="text1"/>
          <w:sz w:val="20"/>
          <w:szCs w:val="20"/>
          <w:highlight w:val="none"/>
          <w14:textFill>
            <w14:solidFill>
              <w14:schemeClr w14:val="tx1"/>
            </w14:solidFill>
          </w14:textFill>
        </w:rPr>
        <w:t>咨询。</w:t>
      </w:r>
    </w:p>
    <w:p w14:paraId="422532DF">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t>5</w:t>
      </w:r>
      <w:r>
        <w:rPr>
          <w:rFonts w:hint="eastAsia" w:ascii="黑体" w:hAnsi="Times New Roman" w:eastAsia="黑体" w:cs="黑体"/>
          <w:color w:val="000000" w:themeColor="text1"/>
          <w:sz w:val="20"/>
          <w:szCs w:val="20"/>
          <w:highlight w:val="none"/>
          <w14:textFill>
            <w14:solidFill>
              <w14:schemeClr w14:val="tx1"/>
            </w14:solidFill>
          </w14:textFill>
        </w:rPr>
        <w:t>．除本产品说明书中明确规定的收益及收益分配方式外，任何预期收益、预计收益、测算收益或类似表述均属不具有法律约束力的用语，不代表投资者可能获得的实际收益，亦不构成信银理财对本理财产品的任何收益承诺。投资者所能获得的最终收益以信银理财实际支付的为准，且不超过按照本产品期末总净值计算得出的收益。</w:t>
      </w:r>
    </w:p>
    <w:p w14:paraId="7AF58C98">
      <w:pPr>
        <w:snapToGrid w:val="0"/>
        <w:ind w:firstLine="402" w:firstLineChars="200"/>
        <w:jc w:val="both"/>
        <w:rPr>
          <w:b/>
          <w:color w:val="000000" w:themeColor="text1"/>
          <w:highlight w:val="none"/>
          <w14:textFill>
            <w14:solidFill>
              <w14:schemeClr w14:val="tx1"/>
            </w14:solidFill>
          </w14:textFill>
        </w:rPr>
      </w:pPr>
      <w:r>
        <w:rPr>
          <w:rFonts w:ascii="黑体" w:hAnsi="Times New Roman" w:eastAsia="黑体" w:cs="黑体"/>
          <w:b/>
          <w:color w:val="000000" w:themeColor="text1"/>
          <w:sz w:val="20"/>
          <w:szCs w:val="20"/>
          <w:highlight w:val="none"/>
          <w14:textFill>
            <w14:solidFill>
              <w14:schemeClr w14:val="tx1"/>
            </w14:solidFill>
          </w14:textFill>
        </w:rPr>
        <w:t>6</w:t>
      </w:r>
      <w:r>
        <w:rPr>
          <w:rFonts w:hint="eastAsia" w:ascii="黑体" w:hAnsi="Times New Roman" w:eastAsia="黑体" w:cs="黑体"/>
          <w:b/>
          <w:color w:val="000000" w:themeColor="text1"/>
          <w:sz w:val="20"/>
          <w:szCs w:val="20"/>
          <w:highlight w:val="none"/>
          <w14:textFill>
            <w14:solidFill>
              <w14:schemeClr w14:val="tx1"/>
            </w14:solidFill>
          </w14:textFill>
        </w:rPr>
        <w:t>．本理财产品不保障理财本金和收益，投资者所能获得的最终收益以理财产品最终清算的投资者可得收益为准。产品过往业绩不代表其未来表现，不构成新发理财产品业绩表现的保证。</w:t>
      </w:r>
    </w:p>
    <w:p w14:paraId="76901DA7">
      <w:pPr>
        <w:snapToGrid w:val="0"/>
        <w:ind w:firstLine="400" w:firstLineChars="200"/>
        <w:jc w:val="both"/>
        <w:rPr>
          <w:color w:val="000000" w:themeColor="text1"/>
          <w:highlight w:val="none"/>
          <w14:textFill>
            <w14:solidFill>
              <w14:schemeClr w14:val="tx1"/>
            </w14:solidFill>
          </w14:textFill>
        </w:rPr>
      </w:pPr>
      <w:r>
        <w:rPr>
          <w:rFonts w:ascii="黑体" w:hAnsi="Times New Roman" w:eastAsia="黑体"/>
          <w:color w:val="000000" w:themeColor="text1"/>
          <w:sz w:val="20"/>
          <w:szCs w:val="20"/>
          <w:highlight w:val="none"/>
          <w14:textFill>
            <w14:solidFill>
              <w14:schemeClr w14:val="tx1"/>
            </w14:solidFill>
          </w14:textFill>
        </w:rPr>
        <w:t> </w:t>
      </w:r>
    </w:p>
    <w:p w14:paraId="25097462">
      <w:pPr>
        <w:snapToGrid w:val="0"/>
        <w:ind w:firstLine="200"/>
        <w:jc w:val="both"/>
        <w:rPr>
          <w:b/>
          <w:color w:val="000000" w:themeColor="text1"/>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风险提示：</w:t>
      </w:r>
    </w:p>
    <w:p w14:paraId="7B53214D">
      <w:pPr>
        <w:snapToGrid w:val="0"/>
        <w:ind w:firstLine="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本产品不保证本金和收益，投资者的本金有可能蒙受损失，极端情况下，可能全部或部分受损。投资者应充分认识投资风险，谨慎投资。具体风险如下：</w:t>
      </w:r>
    </w:p>
    <w:p w14:paraId="4583C248">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1．信用风险：本产品收益来源于产品项下投资对象的回报。如果投资对象发生信用违约事件，在此情况下，本产品收益将根据基于其偿还比率测算出的投资资产价格予以确定，同时，本产品将保留向发生违约事件的发行主体或融资主体的追索权利，信银理财有权以产品管理人名义代表投资者利益行使诉讼权利或实施其他法律行为，若这些权利在未来得以实现，在扣除相关费用后，将继续向投资者进行清偿。</w:t>
      </w:r>
    </w:p>
    <w:p w14:paraId="2900DAC3">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2．市场风险：由于金融市场存在波动性，投资者投资本产品将承担一定投资资产市值下跌的市场风险，包括但不限于投资债券面临的利率变化及债券价格波动带来的风险，投资股票面临的股票价格波动带来的风险，投资商品及金融衍生品面临的持仓风险等。产品投资涉及外币资产时，存在汇率波动带来的风险。</w:t>
      </w:r>
    </w:p>
    <w:p w14:paraId="5D91A15F">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3．流动性风险：投资者不能随时提前终止本产品，在本产品存续期内，投资者不得赎回，可能导致投资者在需要资金时无法随时变现，并可能导致投资者丧失其他投资机会。为应对流动性风险，保护投资者利益，管理人可以综合运用以下理财产品认购风险应对措施，包括：设定单一投资者认购金额上限、设定理财产品单日净认购比例上限、拒绝大额认购、暂停认购，以及国务院银行业监督管理机构规定的其他措施。</w:t>
      </w:r>
    </w:p>
    <w:p w14:paraId="0A210A9B">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4．提前终止风险：如发生提前终止条款约定情形，可能导致本产品提前终止。</w:t>
      </w:r>
      <w:r>
        <w:rPr>
          <w:rFonts w:hint="eastAsia" w:ascii="黑体" w:eastAsia="黑体"/>
          <w:b/>
          <w:color w:val="000000" w:themeColor="text1"/>
          <w:sz w:val="20"/>
          <w:szCs w:val="20"/>
          <w:highlight w:val="none"/>
          <w14:textFill>
            <w14:solidFill>
              <w14:schemeClr w14:val="tx1"/>
            </w14:solidFill>
          </w14:textFill>
        </w:rPr>
        <w:t>如本理财产品提前终止，则投资者实际理财投资期可能小于预定期限。</w:t>
      </w:r>
    </w:p>
    <w:p w14:paraId="46F34613">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5．政策风险：本产品是根据当前的相关法律法规和国家政策设计的，如国家政策以及相关法律法规等发生变化，可能影响本产品的投资、兑付等环节的正常进行，从而可能对本产品造成重大影响，导致投资收益降低或无法取得任何收益，甚至导致投资本金部分或全部损失。</w:t>
      </w:r>
    </w:p>
    <w:p w14:paraId="15EA8822">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6．</w:t>
      </w:r>
      <w:r>
        <w:rPr>
          <w:rFonts w:hint="eastAsia" w:ascii="黑体" w:hAnsi="Times New Roman" w:eastAsia="黑体"/>
          <w:b/>
          <w:color w:val="000000" w:themeColor="text1"/>
          <w:sz w:val="20"/>
          <w:szCs w:val="20"/>
          <w:highlight w:val="none"/>
          <w14:textFill>
            <w14:solidFill>
              <w14:schemeClr w14:val="tx1"/>
            </w14:solidFill>
          </w14:textFill>
        </w:rPr>
        <w:t>信息传递风险：投资者应根据本产品说明书载明的信息披露方式及时查询相关信息。信银理财按照法律法规、监管规定要求及本产品说明书有关信息披露条款的约定，向投资者发布理财产品信息，投资者应根据信息披露条款的约定及时到本说明书约定的发布信息的渠道查询，以获知有关本理财产品相关信息。</w:t>
      </w:r>
      <w:r>
        <w:rPr>
          <w:rFonts w:hint="eastAsia" w:ascii="黑体" w:eastAsia="黑体"/>
          <w:b/>
          <w:color w:val="000000" w:themeColor="text1"/>
          <w:sz w:val="20"/>
          <w:szCs w:val="20"/>
          <w:highlight w:val="none"/>
          <w14:textFill>
            <w14:solidFill>
              <w14:schemeClr w14:val="tx1"/>
            </w14:solidFill>
          </w14:textFill>
        </w:rPr>
        <w:t>如果投资者未及时查询，或由于通讯故障、系统故障以及其他不可抗力等因素的影响使得投资者无法及时了解产品信息，因此而产生的责任和风险由投资者自行承担。另外，投资者预留在信银理财或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的有效联系方式变更的，应及时通知信银理财或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。如投资者未及时告知信银理财或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联系方式变更的，或因投资者其他原因导致信银理财或</w:t>
      </w:r>
      <w:r>
        <w:rPr>
          <w:rFonts w:ascii="黑体" w:eastAsia="黑体"/>
          <w:b/>
          <w:color w:val="000000" w:themeColor="text1"/>
          <w:sz w:val="20"/>
          <w:szCs w:val="20"/>
          <w:highlight w:val="none"/>
          <w14:textFill>
            <w14:solidFill>
              <w14:schemeClr w14:val="tx1"/>
            </w14:solidFill>
          </w14:textFill>
        </w:rPr>
        <w:t>代销机构</w:t>
      </w:r>
      <w:r>
        <w:rPr>
          <w:rFonts w:hint="eastAsia" w:ascii="黑体" w:eastAsia="黑体"/>
          <w:b/>
          <w:color w:val="000000" w:themeColor="text1"/>
          <w:sz w:val="20"/>
          <w:szCs w:val="20"/>
          <w:highlight w:val="none"/>
          <w14:textFill>
            <w14:solidFill>
              <w14:schemeClr w14:val="tx1"/>
            </w14:solidFill>
          </w14:textFill>
        </w:rPr>
        <w:t>在其需联系时无法及时联系上投资者，可能会由此影响投资者的投资决策，由此而产生的责任和风险由投资者自行承担。</w:t>
      </w:r>
    </w:p>
    <w:p w14:paraId="4B65DE19">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7．管理风险：由于产品管理人、所投资资管产品的受托人/管理人、投资顾问等受经验、技能等因素的限制，可能会影响本理财产品的管理，导致本产品项下的理财收益降低。</w:t>
      </w:r>
    </w:p>
    <w:p w14:paraId="288DB26D">
      <w:pPr>
        <w:snapToGrid w:val="0"/>
        <w:ind w:firstLine="402" w:firstLineChars="200"/>
        <w:jc w:val="both"/>
        <w:rPr>
          <w:rFonts w:ascii="黑体" w:eastAsia="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8．延期清算风险：</w:t>
      </w:r>
      <w:r>
        <w:rPr>
          <w:rFonts w:hint="eastAsia" w:ascii="黑体" w:eastAsia="黑体"/>
          <w:b/>
          <w:color w:val="000000" w:themeColor="text1"/>
          <w:sz w:val="20"/>
          <w:szCs w:val="20"/>
          <w:highlight w:val="none"/>
          <w14:textFill>
            <w14:solidFill>
              <w14:schemeClr w14:val="tx1"/>
            </w14:solidFill>
          </w14:textFill>
        </w:rPr>
        <w:t>如在产品到期时本产品所投资资产市场流动性不足或受限导致未能正常买卖结算，或投资资产正常到期发行人或融资主体未能及时偿付本息，从而导致所投资工具不能全部变现，则本产品存在延期清算的风险。</w:t>
      </w:r>
    </w:p>
    <w:p w14:paraId="5E6D0C61">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ascii="黑体" w:eastAsia="黑体"/>
          <w:b/>
          <w:color w:val="000000" w:themeColor="text1"/>
          <w:sz w:val="20"/>
          <w:szCs w:val="20"/>
          <w:highlight w:val="none"/>
          <w14:textFill>
            <w14:solidFill>
              <w14:schemeClr w14:val="tx1"/>
            </w14:solidFill>
          </w14:textFill>
        </w:rPr>
        <w:t>9</w:t>
      </w:r>
      <w:r>
        <w:rPr>
          <w:rFonts w:hint="eastAsia" w:ascii="黑体" w:eastAsia="黑体"/>
          <w:b/>
          <w:color w:val="000000" w:themeColor="text1"/>
          <w:sz w:val="20"/>
          <w:szCs w:val="20"/>
          <w:highlight w:val="none"/>
          <w14:textFill>
            <w14:solidFill>
              <w14:schemeClr w14:val="tx1"/>
            </w14:solidFill>
          </w14:textFill>
        </w:rPr>
        <w:t>．</w:t>
      </w:r>
      <w:r>
        <w:rPr>
          <w:rFonts w:ascii="黑体" w:eastAsia="黑体"/>
          <w:b/>
          <w:color w:val="000000" w:themeColor="text1"/>
          <w:sz w:val="20"/>
          <w:szCs w:val="20"/>
          <w:highlight w:val="none"/>
          <w14:textFill>
            <w14:solidFill>
              <w14:schemeClr w14:val="tx1"/>
            </w14:solidFill>
          </w14:textFill>
        </w:rPr>
        <w:t>理财产品不成立风险：如发生理财产品不成立条款约定之情形，信银理财有权通知</w:t>
      </w:r>
      <w:r>
        <w:rPr>
          <w:rFonts w:hint="eastAsia" w:ascii="黑体" w:eastAsia="黑体"/>
          <w:b/>
          <w:color w:val="000000" w:themeColor="text1"/>
          <w:sz w:val="20"/>
          <w:szCs w:val="20"/>
          <w:highlight w:val="none"/>
          <w14:textFill>
            <w14:solidFill>
              <w14:schemeClr w14:val="tx1"/>
            </w14:solidFill>
          </w14:textFill>
        </w:rPr>
        <w:t>（或</w:t>
      </w:r>
      <w:r>
        <w:rPr>
          <w:rFonts w:ascii="黑体" w:eastAsia="黑体"/>
          <w:b/>
          <w:color w:val="000000" w:themeColor="text1"/>
          <w:sz w:val="20"/>
          <w:szCs w:val="20"/>
          <w:highlight w:val="none"/>
          <w14:textFill>
            <w14:solidFill>
              <w14:schemeClr w14:val="tx1"/>
            </w14:solidFill>
          </w14:textFill>
        </w:rPr>
        <w:t>通过代销机构通知）投资者产品不成立。</w:t>
      </w:r>
    </w:p>
    <w:p w14:paraId="57F91A89">
      <w:pPr>
        <w:snapToGrid w:val="0"/>
        <w:ind w:firstLine="402" w:firstLineChars="200"/>
        <w:jc w:val="both"/>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10．不可抗力及意外事件风险：由于自然灾害、战争等不可抗力因素的出现或系统故障、通讯故障、投资市场停止交易</w:t>
      </w:r>
      <w:r>
        <w:rPr>
          <w:rFonts w:hint="eastAsia" w:ascii="黑体" w:hAnsi="Times New Roman" w:eastAsia="黑体" w:cs="黑体"/>
          <w:b/>
          <w:color w:val="000000" w:themeColor="text1"/>
          <w:sz w:val="20"/>
          <w:szCs w:val="20"/>
          <w:highlight w:val="none"/>
          <w:lang w:eastAsia="zh-CN"/>
          <w14:textFill>
            <w14:solidFill>
              <w14:schemeClr w14:val="tx1"/>
            </w14:solidFill>
          </w14:textFill>
        </w:rPr>
        <w:t>、</w:t>
      </w:r>
      <w:r>
        <w:rPr>
          <w:rFonts w:hint="eastAsia" w:ascii="黑体" w:hAnsi="Times New Roman" w:eastAsia="黑体" w:cs="黑体"/>
          <w:b/>
          <w:color w:val="000000" w:themeColor="text1"/>
          <w:sz w:val="20"/>
          <w:szCs w:val="20"/>
          <w:highlight w:val="none"/>
          <w14:textFill>
            <w14:solidFill>
              <w14:schemeClr w14:val="tx1"/>
            </w14:solidFill>
          </w14:textFill>
        </w:rPr>
        <w:t>金融市场危机等意外事件的出现，将严重影响金融市场的正常运行，从而导致本产品投资收益降低或损失，甚至影响本产品的成立、受理、投资、兑付、信息披露等的正常进行，进而影响本产品的资金安全。投资者将面临本金和收益遭受损失的风险。对于由不可抗力及意外事件风险导致的任何损失，投资者须自行承担，信银理财对此不承担任何责任，但因信银理财故意或重大过失造成的系统故障、通讯故障的除外。</w:t>
      </w:r>
    </w:p>
    <w:p w14:paraId="4281B1B8">
      <w:pPr>
        <w:snapToGrid w:val="0"/>
        <w:ind w:firstLine="402" w:firstLineChars="200"/>
        <w:jc w:val="both"/>
        <w:rPr>
          <w:rFonts w:ascii="黑体" w:hAnsi="黑体" w:eastAsia="黑体"/>
          <w:b/>
          <w:color w:val="000000" w:themeColor="text1"/>
          <w:sz w:val="20"/>
          <w:szCs w:val="20"/>
          <w:highlight w:val="none"/>
          <w14:textFill>
            <w14:solidFill>
              <w14:schemeClr w14:val="tx1"/>
            </w14:solidFill>
          </w14:textFill>
        </w:rPr>
      </w:pPr>
      <w:r>
        <w:rPr>
          <w:rFonts w:ascii="黑体" w:hAnsi="黑体" w:eastAsia="黑体"/>
          <w:b/>
          <w:color w:val="000000" w:themeColor="text1"/>
          <w:sz w:val="20"/>
          <w:szCs w:val="20"/>
          <w:highlight w:val="none"/>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1</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合作销售机构</w:t>
      </w:r>
      <w:r>
        <w:rPr>
          <w:rFonts w:hint="eastAsia" w:ascii="黑体" w:hAnsi="黑体" w:eastAsia="黑体"/>
          <w:b/>
          <w:color w:val="000000" w:themeColor="text1"/>
          <w:sz w:val="20"/>
          <w:szCs w:val="20"/>
          <w:highlight w:val="none"/>
          <w14:textFill>
            <w14:solidFill>
              <w14:schemeClr w14:val="tx1"/>
            </w14:solidFill>
          </w14:textFill>
        </w:rPr>
        <w:t>（代销</w:t>
      </w:r>
      <w:r>
        <w:rPr>
          <w:rFonts w:ascii="黑体" w:hAnsi="黑体" w:eastAsia="黑体"/>
          <w:b/>
          <w:color w:val="000000" w:themeColor="text1"/>
          <w:sz w:val="20"/>
          <w:szCs w:val="20"/>
          <w:highlight w:val="none"/>
          <w14:textFill>
            <w14:solidFill>
              <w14:schemeClr w14:val="tx1"/>
            </w14:solidFill>
          </w14:textFill>
        </w:rPr>
        <w:t>机构）风险：投资者</w:t>
      </w:r>
      <w:r>
        <w:rPr>
          <w:rFonts w:hint="eastAsia" w:ascii="黑体" w:hAnsi="黑体" w:eastAsia="黑体"/>
          <w:b/>
          <w:color w:val="000000" w:themeColor="text1"/>
          <w:sz w:val="20"/>
          <w:szCs w:val="20"/>
          <w:highlight w:val="none"/>
          <w14:textFill>
            <w14:solidFill>
              <w14:schemeClr w14:val="tx1"/>
            </w14:solidFill>
          </w14:textFill>
        </w:rPr>
        <w:t>通过</w:t>
      </w:r>
      <w:r>
        <w:rPr>
          <w:rFonts w:ascii="黑体" w:hAnsi="黑体" w:eastAsia="黑体"/>
          <w:b/>
          <w:color w:val="000000" w:themeColor="text1"/>
          <w:sz w:val="20"/>
          <w:szCs w:val="20"/>
          <w:highlight w:val="none"/>
          <w14:textFill>
            <w14:solidFill>
              <w14:schemeClr w14:val="tx1"/>
            </w14:solidFill>
          </w14:textFill>
        </w:rPr>
        <w:t>合作销售机构购买本理财产品</w:t>
      </w:r>
      <w:r>
        <w:rPr>
          <w:rFonts w:hint="eastAsia" w:ascii="黑体" w:hAnsi="黑体" w:eastAsia="黑体"/>
          <w:b/>
          <w:color w:val="000000" w:themeColor="text1"/>
          <w:sz w:val="20"/>
          <w:szCs w:val="20"/>
          <w:highlight w:val="none"/>
          <w14:textFill>
            <w14:solidFill>
              <w14:schemeClr w14:val="tx1"/>
            </w14:solidFill>
          </w14:textFill>
        </w:rPr>
        <w:t>的</w:t>
      </w:r>
      <w:r>
        <w:rPr>
          <w:rFonts w:ascii="黑体" w:hAnsi="黑体" w:eastAsia="黑体"/>
          <w:b/>
          <w:color w:val="000000" w:themeColor="text1"/>
          <w:sz w:val="20"/>
          <w:szCs w:val="20"/>
          <w:highlight w:val="none"/>
          <w14:textFill>
            <w14:solidFill>
              <w14:schemeClr w14:val="tx1"/>
            </w14:solidFill>
          </w14:textFill>
        </w:rPr>
        <w:t>，资金清算将通过合作销售机构进行</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如因合作销售机构</w:t>
      </w:r>
      <w:r>
        <w:rPr>
          <w:rFonts w:hint="eastAsia" w:ascii="黑体" w:hAnsi="黑体" w:eastAsia="黑体"/>
          <w:b/>
          <w:color w:val="000000" w:themeColor="text1"/>
          <w:sz w:val="20"/>
          <w:szCs w:val="20"/>
          <w:highlight w:val="none"/>
          <w14:textFill>
            <w14:solidFill>
              <w14:schemeClr w14:val="tx1"/>
            </w14:solidFill>
          </w14:textFill>
        </w:rPr>
        <w:t>资金清算</w:t>
      </w:r>
      <w:r>
        <w:rPr>
          <w:rFonts w:ascii="黑体" w:hAnsi="黑体" w:eastAsia="黑体"/>
          <w:b/>
          <w:color w:val="000000" w:themeColor="text1"/>
          <w:sz w:val="20"/>
          <w:szCs w:val="20"/>
          <w:highlight w:val="none"/>
          <w14:textFill>
            <w14:solidFill>
              <w14:schemeClr w14:val="tx1"/>
            </w14:solidFill>
          </w14:textFill>
        </w:rPr>
        <w:t>账户余额不足或合作销售机构未及时办理资金清算或违背相关合作协议约定、处理事务不当等，可能导致</w:t>
      </w:r>
      <w:r>
        <w:rPr>
          <w:rFonts w:hint="eastAsia" w:ascii="黑体" w:hAnsi="黑体" w:eastAsia="黑体"/>
          <w:b/>
          <w:color w:val="000000" w:themeColor="text1"/>
          <w:sz w:val="20"/>
          <w:szCs w:val="20"/>
          <w:highlight w:val="none"/>
          <w14:textFill>
            <w14:solidFill>
              <w14:schemeClr w14:val="tx1"/>
            </w14:solidFill>
          </w14:textFill>
        </w:rPr>
        <w:t>投资者</w:t>
      </w:r>
      <w:r>
        <w:rPr>
          <w:rFonts w:ascii="黑体" w:hAnsi="黑体" w:eastAsia="黑体"/>
          <w:b/>
          <w:color w:val="000000" w:themeColor="text1"/>
          <w:sz w:val="20"/>
          <w:szCs w:val="20"/>
          <w:highlight w:val="none"/>
          <w14:textFill>
            <w14:solidFill>
              <w14:schemeClr w14:val="tx1"/>
            </w14:solidFill>
          </w14:textFill>
        </w:rPr>
        <w:t>认购失败或</w:t>
      </w:r>
      <w:r>
        <w:rPr>
          <w:rFonts w:hint="eastAsia" w:ascii="黑体" w:hAnsi="黑体" w:eastAsia="黑体"/>
          <w:b/>
          <w:color w:val="000000" w:themeColor="text1"/>
          <w:sz w:val="20"/>
          <w:szCs w:val="20"/>
          <w:highlight w:val="none"/>
          <w14:textFill>
            <w14:solidFill>
              <w14:schemeClr w14:val="tx1"/>
            </w14:solidFill>
          </w14:textFill>
        </w:rPr>
        <w:t>理财</w:t>
      </w:r>
      <w:r>
        <w:rPr>
          <w:rFonts w:ascii="黑体" w:hAnsi="黑体" w:eastAsia="黑体"/>
          <w:b/>
          <w:color w:val="000000" w:themeColor="text1"/>
          <w:sz w:val="20"/>
          <w:szCs w:val="20"/>
          <w:highlight w:val="none"/>
          <w14:textFill>
            <w14:solidFill>
              <w14:schemeClr w14:val="tx1"/>
            </w14:solidFill>
          </w14:textFill>
        </w:rPr>
        <w:t>资金遭受损失。</w:t>
      </w:r>
      <w:r>
        <w:rPr>
          <w:rFonts w:hint="eastAsia" w:ascii="黑体" w:hAnsi="黑体" w:eastAsia="黑体"/>
          <w:b/>
          <w:color w:val="000000" w:themeColor="text1"/>
          <w:sz w:val="20"/>
          <w:szCs w:val="20"/>
          <w:highlight w:val="none"/>
          <w14:textFill>
            <w14:solidFill>
              <w14:schemeClr w14:val="tx1"/>
            </w14:solidFill>
          </w14:textFill>
        </w:rPr>
        <w:t>在</w:t>
      </w:r>
      <w:r>
        <w:rPr>
          <w:rFonts w:ascii="黑体" w:hAnsi="黑体" w:eastAsia="黑体"/>
          <w:b/>
          <w:color w:val="000000" w:themeColor="text1"/>
          <w:sz w:val="20"/>
          <w:szCs w:val="20"/>
          <w:highlight w:val="none"/>
          <w14:textFill>
            <w14:solidFill>
              <w14:schemeClr w14:val="tx1"/>
            </w14:solidFill>
          </w14:textFill>
        </w:rPr>
        <w:t>认购时，如果投资者在合作销售机构的资金账户余额</w:t>
      </w:r>
      <w:r>
        <w:rPr>
          <w:rFonts w:hint="eastAsia" w:ascii="黑体" w:hAnsi="黑体" w:eastAsia="黑体"/>
          <w:b/>
          <w:color w:val="000000" w:themeColor="text1"/>
          <w:sz w:val="20"/>
          <w:szCs w:val="20"/>
          <w:highlight w:val="none"/>
          <w14:textFill>
            <w14:solidFill>
              <w14:schemeClr w14:val="tx1"/>
            </w14:solidFill>
          </w14:textFill>
        </w:rPr>
        <w:t>不足</w:t>
      </w:r>
      <w:r>
        <w:rPr>
          <w:rFonts w:ascii="黑体" w:hAnsi="黑体" w:eastAsia="黑体"/>
          <w:b/>
          <w:color w:val="000000" w:themeColor="text1"/>
          <w:sz w:val="20"/>
          <w:szCs w:val="20"/>
          <w:highlight w:val="none"/>
          <w14:textFill>
            <w14:solidFill>
              <w14:schemeClr w14:val="tx1"/>
            </w14:solidFill>
          </w14:textFill>
        </w:rPr>
        <w:t>，或合作销售机构</w:t>
      </w:r>
      <w:r>
        <w:rPr>
          <w:rFonts w:hint="eastAsia" w:ascii="黑体" w:hAnsi="黑体" w:eastAsia="黑体"/>
          <w:b/>
          <w:color w:val="000000" w:themeColor="text1"/>
          <w:sz w:val="20"/>
          <w:szCs w:val="20"/>
          <w:highlight w:val="none"/>
          <w14:textFill>
            <w14:solidFill>
              <w14:schemeClr w14:val="tx1"/>
            </w14:solidFill>
          </w14:textFill>
        </w:rPr>
        <w:t>未及时将投资者认购</w:t>
      </w:r>
      <w:r>
        <w:rPr>
          <w:rFonts w:ascii="黑体" w:hAnsi="黑体" w:eastAsia="黑体"/>
          <w:b/>
          <w:color w:val="000000" w:themeColor="text1"/>
          <w:sz w:val="20"/>
          <w:szCs w:val="20"/>
          <w:highlight w:val="none"/>
          <w14:textFill>
            <w14:solidFill>
              <w14:schemeClr w14:val="tx1"/>
            </w14:solidFill>
          </w14:textFill>
        </w:rPr>
        <w:t>资金划转至信银理财，将导致投资者无法完成认购，因此造成的损失信银理财不承担责任；在</w:t>
      </w:r>
      <w:r>
        <w:rPr>
          <w:rFonts w:hint="eastAsia" w:ascii="黑体" w:hAnsi="黑体" w:eastAsia="黑体"/>
          <w:b/>
          <w:color w:val="000000" w:themeColor="text1"/>
          <w:sz w:val="20"/>
          <w:szCs w:val="20"/>
          <w:highlight w:val="none"/>
          <w14:textFill>
            <w14:solidFill>
              <w14:schemeClr w14:val="tx1"/>
            </w14:solidFill>
          </w14:textFill>
        </w:rPr>
        <w:t>赎回和</w:t>
      </w:r>
      <w:r>
        <w:rPr>
          <w:rFonts w:ascii="黑体" w:hAnsi="黑体" w:eastAsia="黑体"/>
          <w:b/>
          <w:color w:val="000000" w:themeColor="text1"/>
          <w:sz w:val="20"/>
          <w:szCs w:val="20"/>
          <w:highlight w:val="none"/>
          <w14:textFill>
            <w14:solidFill>
              <w14:schemeClr w14:val="tx1"/>
            </w14:solidFill>
          </w14:textFill>
        </w:rPr>
        <w:t>到期时，信银理财将投资者应得资金划转至合作</w:t>
      </w:r>
      <w:r>
        <w:rPr>
          <w:rFonts w:hint="eastAsia" w:ascii="黑体" w:hAnsi="黑体" w:eastAsia="黑体"/>
          <w:b/>
          <w:color w:val="000000" w:themeColor="text1"/>
          <w:sz w:val="20"/>
          <w:szCs w:val="20"/>
          <w:highlight w:val="none"/>
          <w14:textFill>
            <w14:solidFill>
              <w14:schemeClr w14:val="tx1"/>
            </w14:solidFill>
          </w14:textFill>
        </w:rPr>
        <w:t>销售</w:t>
      </w:r>
      <w:r>
        <w:rPr>
          <w:rFonts w:ascii="黑体" w:hAnsi="黑体" w:eastAsia="黑体"/>
          <w:b/>
          <w:color w:val="000000" w:themeColor="text1"/>
          <w:sz w:val="20"/>
          <w:szCs w:val="20"/>
          <w:highlight w:val="none"/>
          <w14:textFill>
            <w14:solidFill>
              <w14:schemeClr w14:val="tx1"/>
            </w14:solidFill>
          </w14:textFill>
        </w:rPr>
        <w:t>机构</w:t>
      </w:r>
      <w:r>
        <w:rPr>
          <w:rFonts w:hint="eastAsia" w:ascii="黑体" w:hAnsi="黑体" w:eastAsia="黑体"/>
          <w:b/>
          <w:color w:val="000000" w:themeColor="text1"/>
          <w:sz w:val="20"/>
          <w:szCs w:val="20"/>
          <w:highlight w:val="none"/>
          <w14:textFill>
            <w14:solidFill>
              <w14:schemeClr w14:val="tx1"/>
            </w14:solidFill>
          </w14:textFill>
        </w:rPr>
        <w:t>指定账户</w:t>
      </w:r>
      <w:r>
        <w:rPr>
          <w:rFonts w:ascii="黑体" w:hAnsi="黑体" w:eastAsia="黑体"/>
          <w:b/>
          <w:color w:val="000000" w:themeColor="text1"/>
          <w:sz w:val="20"/>
          <w:szCs w:val="20"/>
          <w:highlight w:val="none"/>
          <w14:textFill>
            <w14:solidFill>
              <w14:schemeClr w14:val="tx1"/>
            </w14:solidFill>
          </w14:textFill>
        </w:rPr>
        <w:t>后，由合作销售机构将相应应得资金划转至投资者账户</w:t>
      </w:r>
      <w:r>
        <w:rPr>
          <w:rFonts w:hint="eastAsia" w:ascii="黑体" w:hAnsi="黑体" w:eastAsia="黑体"/>
          <w:b/>
          <w:color w:val="000000" w:themeColor="text1"/>
          <w:sz w:val="20"/>
          <w:szCs w:val="20"/>
          <w:highlight w:val="none"/>
          <w14:textFill>
            <w14:solidFill>
              <w14:schemeClr w14:val="tx1"/>
            </w14:solidFill>
          </w14:textFill>
        </w:rPr>
        <w:t>。</w:t>
      </w:r>
      <w:r>
        <w:rPr>
          <w:rFonts w:ascii="黑体" w:hAnsi="黑体" w:eastAsia="黑体"/>
          <w:b/>
          <w:color w:val="000000" w:themeColor="text1"/>
          <w:sz w:val="20"/>
          <w:szCs w:val="20"/>
          <w:highlight w:val="none"/>
          <w14:textFill>
            <w14:solidFill>
              <w14:schemeClr w14:val="tx1"/>
            </w14:solidFill>
          </w14:textFill>
        </w:rPr>
        <w:t>若</w:t>
      </w:r>
      <w:r>
        <w:rPr>
          <w:rFonts w:hint="eastAsia" w:ascii="黑体" w:hAnsi="黑体" w:eastAsia="黑体"/>
          <w:b/>
          <w:color w:val="000000" w:themeColor="text1"/>
          <w:sz w:val="20"/>
          <w:szCs w:val="20"/>
          <w:highlight w:val="none"/>
          <w14:textFill>
            <w14:solidFill>
              <w14:schemeClr w14:val="tx1"/>
            </w14:solidFill>
          </w14:textFill>
        </w:rPr>
        <w:t>合作</w:t>
      </w:r>
      <w:r>
        <w:rPr>
          <w:rFonts w:ascii="黑体" w:hAnsi="黑体" w:eastAsia="黑体"/>
          <w:b/>
          <w:color w:val="000000" w:themeColor="text1"/>
          <w:sz w:val="20"/>
          <w:szCs w:val="20"/>
          <w:highlight w:val="none"/>
          <w14:textFill>
            <w14:solidFill>
              <w14:schemeClr w14:val="tx1"/>
            </w14:solidFill>
          </w14:textFill>
        </w:rPr>
        <w:t>销售机构未及时进行划付，因此造成的</w:t>
      </w:r>
      <w:r>
        <w:rPr>
          <w:rFonts w:hint="eastAsia" w:ascii="黑体" w:hAnsi="黑体" w:eastAsia="黑体"/>
          <w:b/>
          <w:color w:val="000000" w:themeColor="text1"/>
          <w:sz w:val="20"/>
          <w:szCs w:val="20"/>
          <w:highlight w:val="none"/>
          <w14:textFill>
            <w14:solidFill>
              <w14:schemeClr w14:val="tx1"/>
            </w14:solidFill>
          </w14:textFill>
        </w:rPr>
        <w:t>损失</w:t>
      </w:r>
      <w:r>
        <w:rPr>
          <w:rFonts w:ascii="黑体" w:hAnsi="黑体" w:eastAsia="黑体"/>
          <w:b/>
          <w:color w:val="000000" w:themeColor="text1"/>
          <w:sz w:val="20"/>
          <w:szCs w:val="20"/>
          <w:highlight w:val="none"/>
          <w14:textFill>
            <w14:solidFill>
              <w14:schemeClr w14:val="tx1"/>
            </w14:solidFill>
          </w14:textFill>
        </w:rPr>
        <w:t>信银理财不承担任何责任。</w:t>
      </w:r>
    </w:p>
    <w:p w14:paraId="74EAAF49">
      <w:pPr>
        <w:spacing w:line="300" w:lineRule="atLeast"/>
        <w:ind w:firstLine="402" w:firstLineChars="200"/>
        <w:jc w:val="both"/>
        <w:rPr>
          <w:rFonts w:ascii="黑体" w:hAnsi="黑体" w:eastAsia="黑体"/>
          <w:b/>
          <w:color w:val="000000" w:themeColor="text1"/>
          <w:sz w:val="20"/>
          <w:szCs w:val="20"/>
          <w:highlight w:val="none"/>
          <w14:textFill>
            <w14:solidFill>
              <w14:schemeClr w14:val="tx1"/>
            </w14:solidFill>
          </w14:textFill>
        </w:rPr>
      </w:pPr>
      <w:r>
        <w:rPr>
          <w:rFonts w:ascii="黑体" w:hAnsi="黑体" w:eastAsia="黑体"/>
          <w:b/>
          <w:color w:val="000000" w:themeColor="text1"/>
          <w:sz w:val="20"/>
          <w:szCs w:val="20"/>
          <w:highlight w:val="none"/>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2</w:t>
      </w:r>
      <w:r>
        <w:rPr>
          <w:rFonts w:hint="eastAsia" w:ascii="黑体" w:hAnsi="黑体" w:eastAsia="黑体"/>
          <w:b/>
          <w:color w:val="000000" w:themeColor="text1"/>
          <w:sz w:val="20"/>
          <w:szCs w:val="20"/>
          <w:highlight w:val="none"/>
          <w14:textFill>
            <w14:solidFill>
              <w14:schemeClr w14:val="tx1"/>
            </w14:solidFill>
          </w14:textFill>
        </w:rPr>
        <w:t>．操作风险：如本理财产品管理人、</w:t>
      </w:r>
      <w:r>
        <w:rPr>
          <w:rFonts w:ascii="黑体" w:hAnsi="黑体" w:eastAsia="黑体"/>
          <w:b/>
          <w:color w:val="000000" w:themeColor="text1"/>
          <w:sz w:val="20"/>
          <w:szCs w:val="20"/>
          <w:highlight w:val="none"/>
          <w14:textFill>
            <w14:solidFill>
              <w14:schemeClr w14:val="tx1"/>
            </w14:solidFill>
          </w14:textFill>
        </w:rPr>
        <w:t>代销机构</w:t>
      </w:r>
      <w:r>
        <w:rPr>
          <w:rFonts w:hint="eastAsia" w:ascii="黑体" w:hAnsi="黑体" w:eastAsia="黑体"/>
          <w:b/>
          <w:color w:val="000000" w:themeColor="text1"/>
          <w:sz w:val="20"/>
          <w:szCs w:val="20"/>
          <w:highlight w:val="none"/>
          <w14:textFill>
            <w14:solidFill>
              <w14:schemeClr w14:val="tx1"/>
            </w14:solidFill>
          </w14:textFill>
        </w:rPr>
        <w:t>由于内部作业、人员管理、系统操作及事务处理不当或失误等，可能导致本理财产品的本金及收益遭受损失。</w:t>
      </w:r>
    </w:p>
    <w:p w14:paraId="7D4352F1">
      <w:pPr>
        <w:spacing w:line="300" w:lineRule="atLeast"/>
        <w:ind w:firstLine="428" w:firstLineChars="213"/>
        <w:jc w:val="both"/>
        <w:rPr>
          <w:rFonts w:hint="eastAsia" w:ascii="黑体" w:hAnsi="黑体" w:eastAsia="黑体"/>
          <w:b/>
          <w:color w:val="000000" w:themeColor="text1"/>
          <w:sz w:val="20"/>
          <w:szCs w:val="20"/>
          <w:highlight w:val="none"/>
          <w:lang w:eastAsia="zh-CN"/>
          <w14:textFill>
            <w14:solidFill>
              <w14:schemeClr w14:val="tx1"/>
            </w14:solidFill>
          </w14:textFill>
        </w:rPr>
      </w:pPr>
      <w:r>
        <w:rPr>
          <w:rFonts w:hint="eastAsia" w:ascii="黑体" w:hAnsi="黑体" w:eastAsia="黑体"/>
          <w:b/>
          <w:color w:val="000000" w:themeColor="text1"/>
          <w:sz w:val="20"/>
          <w:szCs w:val="20"/>
          <w:highlight w:val="none"/>
          <w:lang w:eastAsia="zh-CN"/>
          <w14:textFill>
            <w14:solidFill>
              <w14:schemeClr w14:val="tx1"/>
            </w14:solidFill>
          </w14:textFill>
        </w:rPr>
        <w:t>1</w:t>
      </w:r>
      <w:r>
        <w:rPr>
          <w:rFonts w:hint="eastAsia" w:ascii="黑体" w:hAnsi="黑体" w:eastAsia="黑体"/>
          <w:b/>
          <w:color w:val="000000" w:themeColor="text1"/>
          <w:sz w:val="20"/>
          <w:szCs w:val="20"/>
          <w:highlight w:val="none"/>
          <w:lang w:val="en-US" w:eastAsia="zh-CN"/>
          <w14:textFill>
            <w14:solidFill>
              <w14:schemeClr w14:val="tx1"/>
            </w14:solidFill>
          </w14:textFill>
        </w:rPr>
        <w:t>3</w:t>
      </w:r>
      <w:r>
        <w:rPr>
          <w:rFonts w:hint="eastAsia" w:ascii="黑体" w:hAnsi="黑体" w:eastAsia="黑体"/>
          <w:b/>
          <w:color w:val="000000" w:themeColor="text1"/>
          <w:sz w:val="20"/>
          <w:szCs w:val="20"/>
          <w:highlight w:val="none"/>
          <w:lang w:eastAsia="zh-CN"/>
          <w14:textFill>
            <w14:solidFill>
              <w14:schemeClr w14:val="tx1"/>
            </w14:solidFill>
          </w14:textFill>
        </w:rPr>
        <w:t>.关联交易风险：在合法合规且履行应履行的内外部程序后，理财产品可能与管理人及其控股股东、实际控制人等发生关联交易。本理财产品可能通过管理人的关联方进行托管、销售或作为投资顾问（如有），本理财产品的销售机构、托管人及投资顾问（如有）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106F76B6">
      <w:pPr>
        <w:snapToGrid w:val="0"/>
        <w:ind w:firstLine="402" w:firstLineChars="200"/>
        <w:jc w:val="both"/>
        <w:rPr>
          <w:rFonts w:hint="eastAsia" w:ascii="黑体" w:hAnsi="黑体" w:eastAsia="黑体"/>
          <w:b/>
          <w:color w:val="000000" w:themeColor="text1"/>
          <w:sz w:val="20"/>
          <w:szCs w:val="20"/>
          <w:highlight w:val="none"/>
          <w:lang w:eastAsia="zh-CN"/>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1</w:t>
      </w:r>
      <w:r>
        <w:rPr>
          <w:rFonts w:hint="eastAsia" w:ascii="黑体" w:hAnsi="Times New Roman" w:eastAsia="黑体" w:cs="黑体"/>
          <w:b/>
          <w:color w:val="000000" w:themeColor="text1"/>
          <w:sz w:val="20"/>
          <w:szCs w:val="20"/>
          <w:highlight w:val="none"/>
          <w:lang w:val="en-US" w:eastAsia="zh-CN"/>
          <w14:textFill>
            <w14:solidFill>
              <w14:schemeClr w14:val="tx1"/>
            </w14:solidFill>
          </w14:textFill>
        </w:rPr>
        <w:t>4</w:t>
      </w:r>
      <w:r>
        <w:rPr>
          <w:rFonts w:hint="eastAsia" w:ascii="黑体" w:hAnsi="Times New Roman" w:eastAsia="黑体" w:cs="黑体"/>
          <w:b/>
          <w:color w:val="000000" w:themeColor="text1"/>
          <w:sz w:val="20"/>
          <w:szCs w:val="20"/>
          <w:highlight w:val="none"/>
          <w14:textFill>
            <w14:solidFill>
              <w14:schemeClr w14:val="tx1"/>
            </w14:solidFill>
          </w14:textFill>
        </w:rPr>
        <w:t>．</w:t>
      </w:r>
      <w:r>
        <w:rPr>
          <w:rFonts w:hint="eastAsia" w:ascii="黑体" w:hAnsi="Times New Roman" w:eastAsia="黑体" w:cs="黑体"/>
          <w:b/>
          <w:color w:val="000000" w:themeColor="text1"/>
          <w:sz w:val="20"/>
          <w:szCs w:val="20"/>
          <w:highlight w:val="none"/>
          <w:lang w:val="en-US" w:eastAsia="zh-CN"/>
          <w14:textFill>
            <w14:solidFill>
              <w14:schemeClr w14:val="tx1"/>
            </w14:solidFill>
          </w14:textFill>
        </w:rPr>
        <w:t>理财本金全部损失风险（</w:t>
      </w:r>
      <w:r>
        <w:rPr>
          <w:rFonts w:hint="eastAsia" w:ascii="黑体" w:eastAsia="黑体"/>
          <w:b/>
          <w:color w:val="000000" w:themeColor="text1"/>
          <w:sz w:val="20"/>
          <w:szCs w:val="20"/>
          <w:highlight w:val="none"/>
          <w:lang w:val="en-US" w:eastAsia="zh-CN"/>
          <w14:textFill>
            <w14:solidFill>
              <w14:schemeClr w14:val="tx1"/>
            </w14:solidFill>
          </w14:textFill>
        </w:rPr>
        <w:t>最不利投资情形下的投资结果）</w:t>
      </w:r>
      <w:r>
        <w:rPr>
          <w:rFonts w:ascii="黑体" w:eastAsia="黑体"/>
          <w:b/>
          <w:color w:val="000000" w:themeColor="text1"/>
          <w:sz w:val="20"/>
          <w:szCs w:val="20"/>
          <w:highlight w:val="none"/>
          <w14:textFill>
            <w14:solidFill>
              <w14:schemeClr w14:val="tx1"/>
            </w14:solidFill>
          </w14:textFill>
        </w:rPr>
        <w:t>：</w:t>
      </w:r>
      <w:r>
        <w:rPr>
          <w:rFonts w:hint="eastAsia" w:ascii="黑体" w:hAnsi="Times New Roman" w:eastAsia="黑体" w:cs="黑体"/>
          <w:b/>
          <w:color w:val="000000" w:themeColor="text1"/>
          <w:sz w:val="20"/>
          <w:szCs w:val="20"/>
          <w:highlight w:val="none"/>
          <w14:textFill>
            <w14:solidFill>
              <w14:schemeClr w14:val="tx1"/>
            </w14:solidFill>
          </w14:textFill>
        </w:rPr>
        <w:t>本产品不保证本金和收益，由于发生本产品风险提示的相应风险，包括但不限于市场价格波动导致本产品投资工具贬值，或者投资工具发生信用违约，或不可抗力风险导致相应损失，则有可能造成本产品投资资金部分或全部损失</w:t>
      </w:r>
      <w:r>
        <w:rPr>
          <w:rFonts w:hint="eastAsia" w:ascii="黑体" w:hAnsi="Times New Roman" w:eastAsia="黑体" w:cs="黑体"/>
          <w:b/>
          <w:color w:val="000000" w:themeColor="text1"/>
          <w:sz w:val="20"/>
          <w:szCs w:val="20"/>
          <w:highlight w:val="none"/>
          <w:lang w:eastAsia="zh-CN"/>
          <w14:textFill>
            <w14:solidFill>
              <w14:schemeClr w14:val="tx1"/>
            </w14:solidFill>
          </w14:textFill>
        </w:rPr>
        <w:t>，</w:t>
      </w:r>
      <w:r>
        <w:rPr>
          <w:rFonts w:hint="eastAsia" w:ascii="黑体" w:hAnsi="Times New Roman" w:eastAsia="黑体" w:cs="黑体"/>
          <w:b/>
          <w:color w:val="000000" w:themeColor="text1"/>
          <w:sz w:val="20"/>
          <w:szCs w:val="20"/>
          <w:highlight w:val="none"/>
          <w:lang w:val="en-US" w:eastAsia="zh-CN"/>
          <w14:textFill>
            <w14:solidFill>
              <w14:schemeClr w14:val="tx1"/>
            </w14:solidFill>
          </w14:textFill>
        </w:rPr>
        <w:t>最不利情形下投资者将可能损失全部本金及收益（如有）。</w:t>
      </w:r>
    </w:p>
    <w:p w14:paraId="597E3557">
      <w:pPr>
        <w:spacing w:line="300" w:lineRule="atLeast"/>
        <w:ind w:firstLine="402" w:firstLineChars="200"/>
        <w:jc w:val="both"/>
        <w:rPr>
          <w:rFonts w:hint="eastAsia" w:ascii="黑体" w:hAnsi="黑体" w:eastAsia="黑体"/>
          <w:b/>
          <w:color w:val="000000" w:themeColor="text1"/>
          <w:sz w:val="20"/>
          <w:szCs w:val="20"/>
          <w:highlight w:val="none"/>
          <w14:textFill>
            <w14:solidFill>
              <w14:schemeClr w14:val="tx1"/>
            </w14:solidFill>
          </w14:textFill>
        </w:rPr>
      </w:pPr>
      <w:r>
        <w:rPr>
          <w:rFonts w:hint="eastAsia" w:ascii="黑体" w:hAnsi="黑体" w:eastAsia="黑体"/>
          <w:b/>
          <w:color w:val="000000" w:themeColor="text1"/>
          <w:sz w:val="20"/>
          <w:szCs w:val="20"/>
          <w:highlight w:val="none"/>
          <w14:textFill>
            <w14:solidFill>
              <w14:schemeClr w14:val="tx1"/>
            </w14:solidFill>
          </w14:textFill>
        </w:rPr>
        <w:t>以上风险事项仅为列举性质，未能详尽列明投资本产品可能面临的全部风险和可能导致投资者投资本金及收益损失的所有因素，请投资者充分评估投资风险。理财产品管理人承诺以诚实守信、勤勉尽职的原则管理和运用理财产品资金，在理财产品募集、存续、终止各环节实施全面风险管理，对产品面临的上述风险持续进行识别、评估、监测、报告，对不同风险特性采用分散、对冲、转移、规避、补偿或缓释等手段对风险进行控制。管理人上述风险管控措施为管理人基于正常市场环境及合理预期而设，不构成管理人对理财产品风险的完全消除或对理财产品本金安全和理财产品收益的任何承诺与保证。理财产品在实际运作中仍可能因市场、政策、不可抗力等各类因素而遭受超出管理人风险控制措施覆盖范围的风险事件，从而导致理财产品净值波动乃至本金损失。</w:t>
      </w:r>
    </w:p>
    <w:p w14:paraId="3115A60B">
      <w:pPr>
        <w:spacing w:line="300" w:lineRule="atLeast"/>
        <w:ind w:right="36"/>
        <w:rPr>
          <w:rFonts w:ascii="黑体" w:hAnsi="黑体" w:eastAsia="黑体"/>
          <w:color w:val="000000" w:themeColor="text1"/>
          <w:sz w:val="20"/>
          <w:szCs w:val="20"/>
          <w:highlight w:val="none"/>
          <w14:textFill>
            <w14:solidFill>
              <w14:schemeClr w14:val="tx1"/>
            </w14:solidFill>
          </w14:textFill>
        </w:rPr>
      </w:pPr>
    </w:p>
    <w:p w14:paraId="2A932026">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r>
        <w:rPr>
          <w:rFonts w:hint="eastAsia" w:ascii="黑体" w:hAnsi="Times New Roman" w:eastAsia="黑体" w:cs="黑体"/>
          <w:b/>
          <w:bCs/>
          <w:color w:val="000000" w:themeColor="text1"/>
          <w:sz w:val="20"/>
          <w:szCs w:val="20"/>
          <w:highlight w:val="none"/>
          <w14:textFill>
            <w14:solidFill>
              <w14:schemeClr w14:val="tx1"/>
            </w14:solidFill>
          </w14:textFill>
        </w:rPr>
        <w:t>释义与</w:t>
      </w:r>
      <w:r>
        <w:rPr>
          <w:rFonts w:ascii="黑体" w:hAnsi="Times New Roman" w:eastAsia="黑体" w:cs="黑体"/>
          <w:b/>
          <w:bCs/>
          <w:color w:val="000000" w:themeColor="text1"/>
          <w:sz w:val="20"/>
          <w:szCs w:val="20"/>
          <w:highlight w:val="none"/>
          <w14:textFill>
            <w14:solidFill>
              <w14:schemeClr w14:val="tx1"/>
            </w14:solidFill>
          </w14:textFill>
        </w:rPr>
        <w:t>定义：</w:t>
      </w:r>
    </w:p>
    <w:p w14:paraId="1E80C41F">
      <w:p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在</w:t>
      </w:r>
      <w:r>
        <w:rPr>
          <w:rFonts w:ascii="黑体" w:hAnsi="黑体" w:eastAsia="黑体"/>
          <w:color w:val="000000" w:themeColor="text1"/>
          <w:sz w:val="20"/>
          <w:szCs w:val="20"/>
          <w:highlight w:val="none"/>
          <w14:textFill>
            <w14:solidFill>
              <w14:schemeClr w14:val="tx1"/>
            </w14:solidFill>
          </w14:textFill>
        </w:rPr>
        <w:t>本产品说明书中，除非上下文另有明确约定，下列用词将具有如下含义：</w:t>
      </w:r>
    </w:p>
    <w:p w14:paraId="1DDFA2EE">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1．信银理财有限责任公司（简称“信银理财”）：为中信银行股份有限公司经国务院银行业监督管理机构批准设立的主要从事理财业务的金融机构。</w:t>
      </w:r>
    </w:p>
    <w:p w14:paraId="27887EE3">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2．理财业务：指信银理财接受投资者委托，按照与投资者约定的投资策略、风险承担和收益分配方式，对受托的投资者财产进行投资和管理的金融服务。</w:t>
      </w:r>
    </w:p>
    <w:p w14:paraId="377F7C0D">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3．理财产品/产品：是指信银理财按照约定条件和实际投资收益情况向投资者支付收益、不保证本金支付和收益水平的非保本理财产品。根据募集方式、运作方式、投资性质的不同，理财产品分为多种类型。</w:t>
      </w:r>
    </w:p>
    <w:p w14:paraId="240E5D86">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4．投资者/客户：指符合相关法律法规、监管规定要求的，可以购买理财产品的自然人、法人和非法人组织。其中，个人投资者指符合相关法律法规、监管规定要求的，经管理人或代销机构的个人投资者投资风险承受能力评估体系评定为适合的自然人；机构投资者指符合相关法律法规、监管规定要求的法人和非法人组织。个人投资者和机构投资者合称投资者。</w:t>
      </w:r>
    </w:p>
    <w:p w14:paraId="0DFE77E7">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5．理财产品资产净值</w:t>
      </w:r>
      <w:r>
        <w:rPr>
          <w:rFonts w:ascii="黑体" w:hAnsi="黑体" w:eastAsia="黑体"/>
          <w:color w:val="000000" w:themeColor="text1"/>
          <w:sz w:val="20"/>
          <w:szCs w:val="20"/>
          <w:highlight w:val="none"/>
          <w14:textFill>
            <w14:solidFill>
              <w14:schemeClr w14:val="tx1"/>
            </w14:solidFill>
          </w14:textFill>
        </w:rPr>
        <w:t>/资产净值</w:t>
      </w:r>
      <w:r>
        <w:rPr>
          <w:rFonts w:hint="eastAsia" w:ascii="黑体" w:hAnsi="黑体" w:eastAsia="黑体"/>
          <w:color w:val="000000" w:themeColor="text1"/>
          <w:sz w:val="20"/>
          <w:szCs w:val="20"/>
          <w:highlight w:val="none"/>
          <w14:textFill>
            <w14:solidFill>
              <w14:schemeClr w14:val="tx1"/>
            </w14:solidFill>
          </w14:textFill>
        </w:rPr>
        <w:t>/净资产</w:t>
      </w:r>
      <w:r>
        <w:rPr>
          <w:rFonts w:ascii="黑体" w:hAnsi="黑体" w:eastAsia="黑体"/>
          <w:color w:val="000000" w:themeColor="text1"/>
          <w:sz w:val="20"/>
          <w:szCs w:val="20"/>
          <w:highlight w:val="none"/>
          <w14:textFill>
            <w14:solidFill>
              <w14:schemeClr w14:val="tx1"/>
            </w14:solidFill>
          </w14:textFill>
        </w:rPr>
        <w:t>：资产净值=产品资产总值-产品负</w:t>
      </w:r>
      <w:r>
        <w:rPr>
          <w:rFonts w:hint="eastAsia" w:ascii="黑体" w:hAnsi="黑体" w:eastAsia="黑体"/>
          <w:color w:val="000000" w:themeColor="text1"/>
          <w:sz w:val="20"/>
          <w:szCs w:val="20"/>
          <w:highlight w:val="none"/>
          <w14:textFill>
            <w14:solidFill>
              <w14:schemeClr w14:val="tx1"/>
            </w14:solidFill>
          </w14:textFill>
        </w:rPr>
        <w:t>债总值。产品资产总值是指产品拥有的各类有价证券、银行存款、应收款项及其他资产的价值总和。产品负债总值是指产品运作及融资时形成的负债价值总和，包括融资资金本息、应付各项费用、应付税金及其他应付款项等。</w:t>
      </w:r>
    </w:p>
    <w:p w14:paraId="00FF5B37">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6．</w:t>
      </w:r>
      <w:r>
        <w:rPr>
          <w:rFonts w:ascii="黑体" w:hAnsi="黑体" w:eastAsia="黑体"/>
          <w:color w:val="000000" w:themeColor="text1"/>
          <w:sz w:val="20"/>
          <w:szCs w:val="20"/>
          <w:highlight w:val="none"/>
          <w14:textFill>
            <w14:solidFill>
              <w14:schemeClr w14:val="tx1"/>
            </w14:solidFill>
          </w14:textFill>
        </w:rPr>
        <w:t>理财产品单位净值/单位净值/</w:t>
      </w:r>
      <w:r>
        <w:rPr>
          <w:rFonts w:hint="eastAsia" w:ascii="黑体" w:hAnsi="黑体" w:eastAsia="黑体"/>
          <w:color w:val="000000" w:themeColor="text1"/>
          <w:sz w:val="20"/>
          <w:szCs w:val="20"/>
          <w:highlight w:val="none"/>
          <w14:textFill>
            <w14:solidFill>
              <w14:schemeClr w14:val="tx1"/>
            </w14:solidFill>
          </w14:textFill>
        </w:rPr>
        <w:t>份额净值</w:t>
      </w:r>
      <w:r>
        <w:rPr>
          <w:rFonts w:ascii="黑体" w:hAnsi="黑体" w:eastAsia="黑体"/>
          <w:color w:val="000000" w:themeColor="text1"/>
          <w:sz w:val="20"/>
          <w:szCs w:val="20"/>
          <w:highlight w:val="none"/>
          <w14:textFill>
            <w14:solidFill>
              <w14:schemeClr w14:val="tx1"/>
            </w14:solidFill>
          </w14:textFill>
        </w:rPr>
        <w:t>：指理财产品份额的单位净值，即每1</w:t>
      </w:r>
      <w:r>
        <w:rPr>
          <w:rFonts w:hint="eastAsia" w:ascii="黑体" w:hAnsi="黑体" w:eastAsia="黑体"/>
          <w:color w:val="000000" w:themeColor="text1"/>
          <w:sz w:val="20"/>
          <w:szCs w:val="20"/>
          <w:highlight w:val="none"/>
          <w14:textFill>
            <w14:solidFill>
              <w14:schemeClr w14:val="tx1"/>
            </w14:solidFill>
          </w14:textFill>
        </w:rPr>
        <w:t>份理财产品份额以人民币计价的价格。理财产品单位净值</w:t>
      </w:r>
      <w:r>
        <w:rPr>
          <w:rFonts w:ascii="黑体" w:hAnsi="黑体" w:eastAsia="黑体"/>
          <w:color w:val="000000" w:themeColor="text1"/>
          <w:sz w:val="20"/>
          <w:szCs w:val="20"/>
          <w:highlight w:val="none"/>
          <w14:textFill>
            <w14:solidFill>
              <w14:schemeClr w14:val="tx1"/>
            </w14:solidFill>
          </w14:textFill>
        </w:rPr>
        <w:t>=当日理财产品资产净值/当日理财产品存续份额</w:t>
      </w:r>
      <w:r>
        <w:rPr>
          <w:rFonts w:hint="eastAsia" w:ascii="黑体" w:hAnsi="黑体" w:eastAsia="黑体"/>
          <w:color w:val="000000" w:themeColor="text1"/>
          <w:sz w:val="20"/>
          <w:szCs w:val="20"/>
          <w:highlight w:val="none"/>
          <w14:textFill>
            <w14:solidFill>
              <w14:schemeClr w14:val="tx1"/>
            </w14:solidFill>
          </w14:textFill>
        </w:rPr>
        <w:t>。</w:t>
      </w:r>
    </w:p>
    <w:p w14:paraId="1B1F5FC5">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7．理财</w:t>
      </w:r>
      <w:r>
        <w:rPr>
          <w:rFonts w:ascii="黑体" w:hAnsi="黑体" w:eastAsia="黑体"/>
          <w:color w:val="000000" w:themeColor="text1"/>
          <w:sz w:val="20"/>
          <w:szCs w:val="20"/>
          <w:highlight w:val="none"/>
          <w14:textFill>
            <w14:solidFill>
              <w14:schemeClr w14:val="tx1"/>
            </w14:solidFill>
          </w14:textFill>
        </w:rPr>
        <w:t>产品本金</w:t>
      </w:r>
      <w:r>
        <w:rPr>
          <w:rFonts w:hint="eastAsia" w:ascii="黑体" w:hAnsi="黑体" w:eastAsia="黑体"/>
          <w:color w:val="000000" w:themeColor="text1"/>
          <w:sz w:val="20"/>
          <w:szCs w:val="20"/>
          <w:highlight w:val="none"/>
          <w14:textFill>
            <w14:solidFill>
              <w14:schemeClr w14:val="tx1"/>
            </w14:solidFill>
          </w14:textFill>
        </w:rPr>
        <w:t>/投资本金/本金</w:t>
      </w:r>
      <w:r>
        <w:rPr>
          <w:rFonts w:ascii="黑体" w:hAnsi="黑体" w:eastAsia="黑体"/>
          <w:color w:val="000000" w:themeColor="text1"/>
          <w:sz w:val="20"/>
          <w:szCs w:val="20"/>
          <w:highlight w:val="none"/>
          <w14:textFill>
            <w14:solidFill>
              <w14:schemeClr w14:val="tx1"/>
            </w14:solidFill>
          </w14:textFill>
        </w:rPr>
        <w:t>：指投资者为认购理财</w:t>
      </w:r>
      <w:r>
        <w:rPr>
          <w:rFonts w:hint="eastAsia" w:ascii="黑体" w:hAnsi="黑体" w:eastAsia="黑体"/>
          <w:color w:val="000000" w:themeColor="text1"/>
          <w:sz w:val="20"/>
          <w:szCs w:val="20"/>
          <w:highlight w:val="none"/>
          <w14:textFill>
            <w14:solidFill>
              <w14:schemeClr w14:val="tx1"/>
            </w14:solidFill>
          </w14:textFill>
        </w:rPr>
        <w:t>产品</w:t>
      </w:r>
      <w:r>
        <w:rPr>
          <w:rFonts w:ascii="黑体" w:hAnsi="黑体" w:eastAsia="黑体"/>
          <w:color w:val="000000" w:themeColor="text1"/>
          <w:sz w:val="20"/>
          <w:szCs w:val="20"/>
          <w:highlight w:val="none"/>
          <w14:textFill>
            <w14:solidFill>
              <w14:schemeClr w14:val="tx1"/>
            </w14:solidFill>
          </w14:textFill>
        </w:rPr>
        <w:t>份额而向理财产品管理人交付的货币资金</w:t>
      </w:r>
      <w:r>
        <w:rPr>
          <w:rFonts w:hint="eastAsia" w:ascii="黑体" w:hAnsi="黑体" w:eastAsia="黑体"/>
          <w:color w:val="000000" w:themeColor="text1"/>
          <w:sz w:val="20"/>
          <w:szCs w:val="20"/>
          <w:highlight w:val="none"/>
          <w14:textFill>
            <w14:solidFill>
              <w14:schemeClr w14:val="tx1"/>
            </w14:solidFill>
          </w14:textFill>
        </w:rPr>
        <w:t>，扣除认购费后</w:t>
      </w:r>
      <w:r>
        <w:rPr>
          <w:rFonts w:ascii="黑体" w:hAnsi="黑体" w:eastAsia="黑体"/>
          <w:color w:val="000000" w:themeColor="text1"/>
          <w:sz w:val="20"/>
          <w:szCs w:val="20"/>
          <w:highlight w:val="none"/>
          <w14:textFill>
            <w14:solidFill>
              <w14:schemeClr w14:val="tx1"/>
            </w14:solidFill>
          </w14:textFill>
        </w:rPr>
        <w:t>即投资者的投资</w:t>
      </w:r>
      <w:r>
        <w:rPr>
          <w:rFonts w:hint="eastAsia" w:ascii="黑体" w:hAnsi="黑体" w:eastAsia="黑体"/>
          <w:color w:val="000000" w:themeColor="text1"/>
          <w:sz w:val="20"/>
          <w:szCs w:val="20"/>
          <w:highlight w:val="none"/>
          <w14:textFill>
            <w14:solidFill>
              <w14:schemeClr w14:val="tx1"/>
            </w14:solidFill>
          </w14:textFill>
        </w:rPr>
        <w:t>本金。</w:t>
      </w:r>
      <w:r>
        <w:rPr>
          <w:rFonts w:ascii="黑体" w:hAnsi="黑体" w:eastAsia="黑体"/>
          <w:color w:val="000000" w:themeColor="text1"/>
          <w:sz w:val="20"/>
          <w:szCs w:val="20"/>
          <w:highlight w:val="none"/>
          <w14:textFill>
            <w14:solidFill>
              <w14:schemeClr w14:val="tx1"/>
            </w14:solidFill>
          </w14:textFill>
        </w:rPr>
        <w:t>本金</w:t>
      </w:r>
      <w:r>
        <w:rPr>
          <w:rFonts w:hint="eastAsia" w:ascii="黑体" w:hAnsi="黑体" w:eastAsia="黑体"/>
          <w:color w:val="000000" w:themeColor="text1"/>
          <w:sz w:val="20"/>
          <w:szCs w:val="20"/>
          <w:highlight w:val="none"/>
          <w14:textFill>
            <w14:solidFill>
              <w14:schemeClr w14:val="tx1"/>
            </w14:solidFill>
          </w14:textFill>
        </w:rPr>
        <w:t>的</w:t>
      </w:r>
      <w:r>
        <w:rPr>
          <w:rFonts w:ascii="黑体" w:hAnsi="黑体" w:eastAsia="黑体"/>
          <w:color w:val="000000" w:themeColor="text1"/>
          <w:sz w:val="20"/>
          <w:szCs w:val="20"/>
          <w:highlight w:val="none"/>
          <w14:textFill>
            <w14:solidFill>
              <w14:schemeClr w14:val="tx1"/>
            </w14:solidFill>
          </w14:textFill>
        </w:rPr>
        <w:t>称谓</w:t>
      </w:r>
      <w:r>
        <w:rPr>
          <w:rFonts w:ascii="黑体" w:hAnsi="黑体" w:eastAsia="黑体"/>
          <w:sz w:val="20"/>
          <w:szCs w:val="20"/>
          <w:highlight w:val="none"/>
        </w:rPr>
        <w:t>仅为产品估值和核算方便而设，</w:t>
      </w:r>
      <w:r>
        <w:rPr>
          <w:rFonts w:hint="eastAsia" w:ascii="黑体" w:hAnsi="黑体" w:eastAsia="黑体"/>
          <w:color w:val="000000" w:themeColor="text1"/>
          <w:sz w:val="20"/>
          <w:szCs w:val="20"/>
          <w:highlight w:val="none"/>
          <w14:textFill>
            <w14:solidFill>
              <w14:schemeClr w14:val="tx1"/>
            </w14:solidFill>
          </w14:textFill>
        </w:rPr>
        <w:t>不代表对</w:t>
      </w:r>
      <w:r>
        <w:rPr>
          <w:rFonts w:ascii="黑体" w:hAnsi="黑体" w:eastAsia="黑体"/>
          <w:color w:val="000000" w:themeColor="text1"/>
          <w:sz w:val="20"/>
          <w:szCs w:val="20"/>
          <w:highlight w:val="none"/>
          <w14:textFill>
            <w14:solidFill>
              <w14:schemeClr w14:val="tx1"/>
            </w14:solidFill>
          </w14:textFill>
        </w:rPr>
        <w:t>投资资金不受损失的承诺。</w:t>
      </w:r>
    </w:p>
    <w:p w14:paraId="777990EA">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8．理财产品</w:t>
      </w:r>
      <w:r>
        <w:rPr>
          <w:rFonts w:ascii="黑体" w:hAnsi="黑体" w:eastAsia="黑体"/>
          <w:color w:val="000000" w:themeColor="text1"/>
          <w:sz w:val="20"/>
          <w:szCs w:val="20"/>
          <w:highlight w:val="none"/>
          <w14:textFill>
            <w14:solidFill>
              <w14:schemeClr w14:val="tx1"/>
            </w14:solidFill>
          </w14:textFill>
        </w:rPr>
        <w:t>收益</w:t>
      </w:r>
      <w:r>
        <w:rPr>
          <w:rFonts w:hint="eastAsia" w:ascii="黑体" w:hAnsi="黑体" w:eastAsia="黑体"/>
          <w:color w:val="000000" w:themeColor="text1"/>
          <w:sz w:val="20"/>
          <w:szCs w:val="20"/>
          <w:highlight w:val="none"/>
          <w14:textFill>
            <w14:solidFill>
              <w14:schemeClr w14:val="tx1"/>
            </w14:solidFill>
          </w14:textFill>
        </w:rPr>
        <w:t>/投资</w:t>
      </w:r>
      <w:r>
        <w:rPr>
          <w:rFonts w:ascii="黑体" w:hAnsi="黑体" w:eastAsia="黑体"/>
          <w:color w:val="000000" w:themeColor="text1"/>
          <w:sz w:val="20"/>
          <w:szCs w:val="20"/>
          <w:highlight w:val="none"/>
          <w14:textFill>
            <w14:solidFill>
              <w14:schemeClr w14:val="tx1"/>
            </w14:solidFill>
          </w14:textFill>
        </w:rPr>
        <w:t>收益</w:t>
      </w:r>
      <w:r>
        <w:rPr>
          <w:rFonts w:hint="eastAsia" w:ascii="黑体" w:hAnsi="黑体" w:eastAsia="黑体"/>
          <w:color w:val="000000" w:themeColor="text1"/>
          <w:sz w:val="20"/>
          <w:szCs w:val="20"/>
          <w:highlight w:val="none"/>
          <w14:textFill>
            <w14:solidFill>
              <w14:schemeClr w14:val="tx1"/>
            </w14:solidFill>
          </w14:textFill>
        </w:rPr>
        <w:t>/收益</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指</w:t>
      </w:r>
      <w:r>
        <w:rPr>
          <w:rFonts w:ascii="黑体" w:hAnsi="黑体" w:eastAsia="黑体"/>
          <w:color w:val="000000" w:themeColor="text1"/>
          <w:sz w:val="20"/>
          <w:szCs w:val="20"/>
          <w:highlight w:val="none"/>
          <w14:textFill>
            <w14:solidFill>
              <w14:schemeClr w14:val="tx1"/>
            </w14:solidFill>
          </w14:textFill>
        </w:rPr>
        <w:t>投资者投资理财产品获得的投资收益。</w:t>
      </w:r>
    </w:p>
    <w:p w14:paraId="4508E9F2">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9</w:t>
      </w:r>
      <w:r>
        <w:rPr>
          <w:rFonts w:hint="eastAsia" w:ascii="黑体" w:hAnsi="黑体" w:eastAsia="黑体"/>
          <w:color w:val="000000" w:themeColor="text1"/>
          <w:sz w:val="20"/>
          <w:szCs w:val="20"/>
          <w:highlight w:val="none"/>
          <w14:textFill>
            <w14:solidFill>
              <w14:schemeClr w14:val="tx1"/>
            </w14:solidFill>
          </w14:textFill>
        </w:rPr>
        <w:t>．合作销售机构/代销机构：指</w:t>
      </w:r>
      <w:r>
        <w:rPr>
          <w:rFonts w:ascii="黑体" w:hAnsi="黑体" w:eastAsia="黑体"/>
          <w:color w:val="000000" w:themeColor="text1"/>
          <w:sz w:val="20"/>
          <w:szCs w:val="20"/>
          <w:highlight w:val="none"/>
          <w14:textFill>
            <w14:solidFill>
              <w14:schemeClr w14:val="tx1"/>
            </w14:solidFill>
          </w14:textFill>
        </w:rPr>
        <w:t>接受</w:t>
      </w:r>
      <w:r>
        <w:rPr>
          <w:rFonts w:hint="eastAsia" w:ascii="黑体" w:hAnsi="黑体" w:eastAsia="黑体"/>
          <w:color w:val="000000" w:themeColor="text1"/>
          <w:sz w:val="20"/>
          <w:szCs w:val="20"/>
          <w:highlight w:val="none"/>
          <w14:textFill>
            <w14:solidFill>
              <w14:schemeClr w14:val="tx1"/>
            </w14:solidFill>
          </w14:textFill>
        </w:rPr>
        <w:t>信银</w:t>
      </w:r>
      <w:r>
        <w:rPr>
          <w:rFonts w:ascii="黑体" w:hAnsi="黑体" w:eastAsia="黑体"/>
          <w:color w:val="000000" w:themeColor="text1"/>
          <w:sz w:val="20"/>
          <w:szCs w:val="20"/>
          <w:highlight w:val="none"/>
          <w14:textFill>
            <w14:solidFill>
              <w14:schemeClr w14:val="tx1"/>
            </w14:solidFill>
          </w14:textFill>
        </w:rPr>
        <w:t>理财委托</w:t>
      </w:r>
      <w:r>
        <w:rPr>
          <w:rFonts w:hint="eastAsia" w:ascii="黑体" w:hAnsi="黑体" w:eastAsia="黑体"/>
          <w:color w:val="000000" w:themeColor="text1"/>
          <w:sz w:val="20"/>
          <w:szCs w:val="20"/>
          <w:highlight w:val="none"/>
          <w14:textFill>
            <w14:solidFill>
              <w14:schemeClr w14:val="tx1"/>
            </w14:solidFill>
          </w14:textFill>
        </w:rPr>
        <w:t>在</w:t>
      </w:r>
      <w:r>
        <w:rPr>
          <w:rFonts w:ascii="黑体" w:hAnsi="黑体" w:eastAsia="黑体"/>
          <w:color w:val="000000" w:themeColor="text1"/>
          <w:sz w:val="20"/>
          <w:szCs w:val="20"/>
          <w:highlight w:val="none"/>
          <w14:textFill>
            <w14:solidFill>
              <w14:schemeClr w14:val="tx1"/>
            </w14:solidFill>
          </w14:textFill>
        </w:rPr>
        <w:t>其销售渠道</w:t>
      </w:r>
      <w:r>
        <w:rPr>
          <w:rFonts w:hint="eastAsia" w:ascii="黑体" w:hAnsi="黑体" w:eastAsia="黑体"/>
          <w:color w:val="000000" w:themeColor="text1"/>
          <w:sz w:val="20"/>
          <w:szCs w:val="20"/>
          <w:highlight w:val="none"/>
          <w14:textFill>
            <w14:solidFill>
              <w14:schemeClr w14:val="tx1"/>
            </w14:solidFill>
          </w14:textFill>
        </w:rPr>
        <w:t>代理</w:t>
      </w:r>
      <w:r>
        <w:rPr>
          <w:rFonts w:ascii="黑体" w:hAnsi="黑体" w:eastAsia="黑体"/>
          <w:color w:val="000000" w:themeColor="text1"/>
          <w:sz w:val="20"/>
          <w:szCs w:val="20"/>
          <w:highlight w:val="none"/>
          <w14:textFill>
            <w14:solidFill>
              <w14:schemeClr w14:val="tx1"/>
            </w14:solidFill>
          </w14:textFill>
        </w:rPr>
        <w:t>销售信银理财依法发行的理财产品的机构。</w:t>
      </w:r>
    </w:p>
    <w:p w14:paraId="48AD85FA">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10</w:t>
      </w:r>
      <w:r>
        <w:rPr>
          <w:rFonts w:hint="eastAsia" w:ascii="黑体" w:hAnsi="黑体" w:eastAsia="黑体"/>
          <w:color w:val="000000" w:themeColor="text1"/>
          <w:sz w:val="20"/>
          <w:szCs w:val="20"/>
          <w:highlight w:val="none"/>
          <w14:textFill>
            <w14:solidFill>
              <w14:schemeClr w14:val="tx1"/>
            </w14:solidFill>
          </w14:textFill>
        </w:rPr>
        <w:t>．监管</w:t>
      </w:r>
      <w:r>
        <w:rPr>
          <w:rFonts w:ascii="黑体" w:hAnsi="黑体" w:eastAsia="黑体"/>
          <w:color w:val="000000" w:themeColor="text1"/>
          <w:sz w:val="20"/>
          <w:szCs w:val="20"/>
          <w:highlight w:val="none"/>
          <w14:textFill>
            <w14:solidFill>
              <w14:schemeClr w14:val="tx1"/>
            </w14:solidFill>
          </w14:textFill>
        </w:rPr>
        <w:t>机构：</w:t>
      </w:r>
      <w:r>
        <w:rPr>
          <w:rFonts w:hint="eastAsia" w:ascii="黑体" w:hAnsi="黑体" w:eastAsia="黑体"/>
          <w:color w:val="000000" w:themeColor="text1"/>
          <w:sz w:val="20"/>
          <w:szCs w:val="20"/>
          <w:highlight w:val="none"/>
          <w14:textFill>
            <w14:solidFill>
              <w14:schemeClr w14:val="tx1"/>
            </w14:solidFill>
          </w14:textFill>
        </w:rPr>
        <w:t>指对管理人（包括理财产品管理人、理财</w:t>
      </w:r>
      <w:r>
        <w:rPr>
          <w:rFonts w:ascii="黑体" w:hAnsi="黑体" w:eastAsia="黑体"/>
          <w:color w:val="000000" w:themeColor="text1"/>
          <w:sz w:val="20"/>
          <w:szCs w:val="20"/>
          <w:highlight w:val="none"/>
          <w14:textFill>
            <w14:solidFill>
              <w14:schemeClr w14:val="tx1"/>
            </w14:solidFill>
          </w14:textFill>
        </w:rPr>
        <w:t>产品</w:t>
      </w:r>
      <w:r>
        <w:rPr>
          <w:rFonts w:hint="eastAsia" w:ascii="黑体" w:hAnsi="黑体" w:eastAsia="黑体"/>
          <w:color w:val="000000" w:themeColor="text1"/>
          <w:sz w:val="20"/>
          <w:szCs w:val="20"/>
          <w:highlight w:val="none"/>
          <w14:textFill>
            <w14:solidFill>
              <w14:schemeClr w14:val="tx1"/>
            </w14:solidFill>
          </w14:textFill>
        </w:rPr>
        <w:t>所投资的资管产品的管理人</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受托人、相关投资顾问（如有）等）实施监督管理的机构，包括但不限于中国人民银行、国家金融监督管理总局、中国证券监督管理委员会、外汇管理局、银行业理财登记托管中心等</w:t>
      </w:r>
      <w:r>
        <w:rPr>
          <w:rFonts w:ascii="黑体" w:hAnsi="黑体" w:eastAsia="黑体"/>
          <w:color w:val="000000" w:themeColor="text1"/>
          <w:sz w:val="20"/>
          <w:szCs w:val="20"/>
          <w:highlight w:val="none"/>
          <w14:textFill>
            <w14:solidFill>
              <w14:schemeClr w14:val="tx1"/>
            </w14:solidFill>
          </w14:textFill>
        </w:rPr>
        <w:t>。</w:t>
      </w:r>
    </w:p>
    <w:p w14:paraId="29BC2341">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11</w:t>
      </w:r>
      <w:r>
        <w:rPr>
          <w:rFonts w:hint="eastAsia" w:ascii="黑体" w:hAnsi="黑体" w:eastAsia="黑体"/>
          <w:color w:val="000000" w:themeColor="text1"/>
          <w:sz w:val="20"/>
          <w:szCs w:val="20"/>
          <w:highlight w:val="none"/>
          <w14:textFill>
            <w14:solidFill>
              <w14:schemeClr w14:val="tx1"/>
            </w14:solidFill>
          </w14:textFill>
        </w:rPr>
        <w:t>．适用</w:t>
      </w:r>
      <w:r>
        <w:rPr>
          <w:rFonts w:ascii="黑体" w:hAnsi="黑体" w:eastAsia="黑体"/>
          <w:color w:val="000000" w:themeColor="text1"/>
          <w:sz w:val="20"/>
          <w:szCs w:val="20"/>
          <w:highlight w:val="none"/>
          <w14:textFill>
            <w14:solidFill>
              <w14:schemeClr w14:val="tx1"/>
            </w14:solidFill>
          </w14:textFill>
        </w:rPr>
        <w:t>法律：</w:t>
      </w:r>
      <w:r>
        <w:rPr>
          <w:rFonts w:hint="eastAsia" w:ascii="黑体" w:hAnsi="黑体" w:eastAsia="黑体"/>
          <w:color w:val="000000" w:themeColor="text1"/>
          <w:sz w:val="20"/>
          <w:szCs w:val="20"/>
          <w:highlight w:val="none"/>
          <w14:textFill>
            <w14:solidFill>
              <w14:schemeClr w14:val="tx1"/>
            </w14:solidFill>
          </w14:textFill>
        </w:rPr>
        <w:t>指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3664E837">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ascii="黑体" w:hAnsi="黑体" w:eastAsia="黑体"/>
          <w:color w:val="000000" w:themeColor="text1"/>
          <w:sz w:val="20"/>
          <w:szCs w:val="20"/>
          <w:highlight w:val="none"/>
          <w14:textFill>
            <w14:solidFill>
              <w14:schemeClr w14:val="tx1"/>
            </w14:solidFill>
          </w14:textFill>
        </w:rPr>
        <w:t>12</w:t>
      </w:r>
      <w:r>
        <w:rPr>
          <w:rFonts w:hint="eastAsia" w:ascii="黑体" w:hAnsi="黑体" w:eastAsia="黑体"/>
          <w:color w:val="000000" w:themeColor="text1"/>
          <w:sz w:val="20"/>
          <w:szCs w:val="20"/>
          <w:highlight w:val="none"/>
          <w14:textFill>
            <w14:solidFill>
              <w14:schemeClr w14:val="tx1"/>
            </w14:solidFill>
          </w14:textFill>
        </w:rPr>
        <w:t>．不可抗力：指理财</w:t>
      </w:r>
      <w:r>
        <w:rPr>
          <w:rFonts w:ascii="黑体" w:hAnsi="黑体" w:eastAsia="黑体"/>
          <w:color w:val="000000" w:themeColor="text1"/>
          <w:sz w:val="20"/>
          <w:szCs w:val="20"/>
          <w:highlight w:val="none"/>
          <w14:textFill>
            <w14:solidFill>
              <w14:schemeClr w14:val="tx1"/>
            </w14:solidFill>
          </w14:textFill>
        </w:rPr>
        <w:t>产品</w:t>
      </w:r>
      <w:r>
        <w:rPr>
          <w:rFonts w:hint="eastAsia" w:ascii="黑体" w:hAnsi="黑体" w:eastAsia="黑体"/>
          <w:color w:val="000000" w:themeColor="text1"/>
          <w:sz w:val="20"/>
          <w:szCs w:val="20"/>
          <w:highlight w:val="none"/>
          <w14:textFill>
            <w14:solidFill>
              <w14:schemeClr w14:val="tx1"/>
            </w14:solidFill>
          </w14:textFill>
        </w:rPr>
        <w:t>当事各方不能预见、不能避免且不能克服的客观情况，该事件妨碍、影响或延误任何一方依相关理财产品文件履行其全部或部分义务。该事件包括但不限于：</w:t>
      </w:r>
    </w:p>
    <w:p w14:paraId="74DD3C47">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1</w:t>
      </w:r>
      <w:r>
        <w:rPr>
          <w:rFonts w:hint="eastAsia" w:ascii="黑体" w:hAnsi="黑体" w:eastAsia="黑体"/>
          <w:color w:val="000000" w:themeColor="text1"/>
          <w:sz w:val="20"/>
          <w:szCs w:val="20"/>
          <w:highlight w:val="none"/>
          <w14:textFill>
            <w14:solidFill>
              <w14:schemeClr w14:val="tx1"/>
            </w14:solidFill>
          </w14:textFill>
        </w:rPr>
        <w:t>）地震、台风、海啸、洪水、火灾、停电、瘟疫；</w:t>
      </w:r>
    </w:p>
    <w:p w14:paraId="4E153AAC">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2</w:t>
      </w:r>
      <w:r>
        <w:rPr>
          <w:rFonts w:hint="eastAsia" w:ascii="黑体" w:hAnsi="黑体" w:eastAsia="黑体"/>
          <w:color w:val="000000" w:themeColor="text1"/>
          <w:sz w:val="20"/>
          <w:szCs w:val="20"/>
          <w:highlight w:val="none"/>
          <w14:textFill>
            <w14:solidFill>
              <w14:schemeClr w14:val="tx1"/>
            </w14:solidFill>
          </w14:textFill>
        </w:rPr>
        <w:t>）战争、政变、恐怖主义行动、骚乱、罢工；</w:t>
      </w:r>
    </w:p>
    <w:p w14:paraId="7E3AD067">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3</w:t>
      </w:r>
      <w:r>
        <w:rPr>
          <w:rFonts w:hint="eastAsia" w:ascii="黑体" w:hAnsi="黑体" w:eastAsia="黑体"/>
          <w:color w:val="000000" w:themeColor="text1"/>
          <w:sz w:val="20"/>
          <w:szCs w:val="20"/>
          <w:highlight w:val="none"/>
          <w14:textFill>
            <w14:solidFill>
              <w14:schemeClr w14:val="tx1"/>
            </w14:solidFill>
          </w14:textFill>
        </w:rPr>
        <w:t>）新的适用法律或国家政策的颁布或实施、对原适用法律或国家政策的修改；</w:t>
      </w:r>
    </w:p>
    <w:p w14:paraId="7138C285">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4</w:t>
      </w:r>
      <w:r>
        <w:rPr>
          <w:rFonts w:hint="eastAsia" w:ascii="黑体" w:hAnsi="黑体" w:eastAsia="黑体"/>
          <w:color w:val="000000" w:themeColor="text1"/>
          <w:sz w:val="20"/>
          <w:szCs w:val="20"/>
          <w:highlight w:val="none"/>
          <w14:textFill>
            <w14:solidFill>
              <w14:schemeClr w14:val="tx1"/>
            </w14:solidFill>
          </w14:textFill>
        </w:rPr>
        <w:t>）金融管理部门强制要求（该等强制要求不可归咎于任何一方）；</w:t>
      </w:r>
    </w:p>
    <w:p w14:paraId="74C60AB6">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5</w:t>
      </w:r>
      <w:r>
        <w:rPr>
          <w:rFonts w:hint="eastAsia" w:ascii="黑体" w:hAnsi="黑体" w:eastAsia="黑体"/>
          <w:color w:val="000000" w:themeColor="text1"/>
          <w:sz w:val="20"/>
          <w:szCs w:val="20"/>
          <w:highlight w:val="none"/>
          <w14:textFill>
            <w14:solidFill>
              <w14:schemeClr w14:val="tx1"/>
            </w14:solidFill>
          </w14:textFill>
        </w:rPr>
        <w:t>）因理财产品各方和</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或其关联方运营网络系统遭受黑客攻击、电信部门技术调整或故障等原因而造成的理财产品各方和</w:t>
      </w:r>
      <w:r>
        <w:rPr>
          <w:rFonts w:ascii="黑体" w:hAnsi="黑体" w:eastAsia="黑体"/>
          <w:color w:val="000000" w:themeColor="text1"/>
          <w:sz w:val="20"/>
          <w:szCs w:val="20"/>
          <w:highlight w:val="none"/>
          <w14:textFill>
            <w14:solidFill>
              <w14:schemeClr w14:val="tx1"/>
            </w14:solidFill>
          </w14:textFill>
        </w:rPr>
        <w:t>/</w:t>
      </w:r>
      <w:r>
        <w:rPr>
          <w:rFonts w:hint="eastAsia" w:ascii="黑体" w:hAnsi="黑体" w:eastAsia="黑体"/>
          <w:color w:val="000000" w:themeColor="text1"/>
          <w:sz w:val="20"/>
          <w:szCs w:val="20"/>
          <w:highlight w:val="none"/>
          <w14:textFill>
            <w14:solidFill>
              <w14:schemeClr w14:val="tx1"/>
            </w14:solidFill>
          </w14:textFill>
        </w:rPr>
        <w:t>或其关联方之服务、营业的中断或者延迟。</w:t>
      </w:r>
    </w:p>
    <w:p w14:paraId="2272F832">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13．流动性受限资产：是指由于法律法规、监管、合同或操作障碍等原因无法以合理价格予以变现的资产，包括到期日在</w:t>
      </w:r>
      <w:r>
        <w:rPr>
          <w:rFonts w:ascii="黑体" w:hAnsi="黑体" w:eastAsia="黑体"/>
          <w:color w:val="000000" w:themeColor="text1"/>
          <w:sz w:val="20"/>
          <w:szCs w:val="20"/>
          <w:highlight w:val="none"/>
          <w14:textFill>
            <w14:solidFill>
              <w14:schemeClr w14:val="tx1"/>
            </w14:solidFill>
          </w14:textFill>
        </w:rPr>
        <w:t>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14:paraId="1BA21A24">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14．信银理财电子渠道：指信银理财官方网站（</w:t>
      </w:r>
      <w:r>
        <w:rPr>
          <w:rStyle w:val="12"/>
          <w:rFonts w:ascii="黑体" w:hAnsi="黑体" w:eastAsia="黑体"/>
          <w:sz w:val="20"/>
          <w:szCs w:val="20"/>
          <w:highlight w:val="none"/>
        </w:rPr>
        <w:fldChar w:fldCharType="begin"/>
      </w:r>
      <w:r>
        <w:rPr>
          <w:rStyle w:val="12"/>
          <w:rFonts w:ascii="黑体" w:hAnsi="黑体" w:eastAsia="黑体"/>
          <w:sz w:val="20"/>
          <w:szCs w:val="20"/>
          <w:highlight w:val="none"/>
        </w:rPr>
        <w:instrText xml:space="preserve"> HYPERLINK "http://www.citic-wealth.com" </w:instrText>
      </w:r>
      <w:r>
        <w:rPr>
          <w:rStyle w:val="12"/>
          <w:rFonts w:ascii="黑体" w:hAnsi="黑体" w:eastAsia="黑体"/>
          <w:sz w:val="20"/>
          <w:szCs w:val="20"/>
          <w:highlight w:val="none"/>
        </w:rPr>
        <w:fldChar w:fldCharType="separate"/>
      </w:r>
      <w:r>
        <w:rPr>
          <w:rStyle w:val="12"/>
          <w:rFonts w:ascii="黑体" w:hAnsi="黑体" w:eastAsia="黑体"/>
          <w:sz w:val="20"/>
          <w:szCs w:val="20"/>
          <w:highlight w:val="none"/>
        </w:rPr>
        <w:t>http://www.citic-wealth.com</w:t>
      </w:r>
      <w:r>
        <w:rPr>
          <w:rStyle w:val="12"/>
          <w:rFonts w:ascii="黑体" w:hAnsi="黑体" w:eastAsia="黑体"/>
          <w:sz w:val="20"/>
          <w:szCs w:val="20"/>
          <w:highlight w:val="none"/>
        </w:rPr>
        <w:fldChar w:fldCharType="end"/>
      </w:r>
      <w:r>
        <w:rPr>
          <w:rFonts w:hint="eastAsia" w:ascii="黑体" w:hAnsi="黑体" w:eastAsia="黑体"/>
          <w:color w:val="000000" w:themeColor="text1"/>
          <w:sz w:val="20"/>
          <w:szCs w:val="20"/>
          <w:highlight w:val="none"/>
          <w14:textFill>
            <w14:solidFill>
              <w14:schemeClr w14:val="tx1"/>
            </w14:solidFill>
          </w14:textFill>
        </w:rPr>
        <w:t>）</w:t>
      </w:r>
      <w:r>
        <w:rPr>
          <w:rFonts w:ascii="黑体" w:hAnsi="黑体" w:eastAsia="黑体"/>
          <w:color w:val="000000" w:themeColor="text1"/>
          <w:sz w:val="20"/>
          <w:szCs w:val="20"/>
          <w:highlight w:val="none"/>
          <w14:textFill>
            <w14:solidFill>
              <w14:schemeClr w14:val="tx1"/>
            </w14:solidFill>
          </w14:textFill>
        </w:rPr>
        <w:t>、信银理财APP。</w:t>
      </w:r>
    </w:p>
    <w:p w14:paraId="4FCE737A">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15．信银理财直销渠道：指信银理财电子渠道及营业场所。</w:t>
      </w:r>
    </w:p>
    <w:p w14:paraId="6B4EF93D">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16．销售机构：指信银理财及代销机构</w:t>
      </w:r>
      <w:r>
        <w:rPr>
          <w:rFonts w:hint="eastAsia" w:ascii="黑体" w:hAnsi="黑体" w:eastAsia="黑体"/>
          <w:color w:val="000000" w:themeColor="text1"/>
          <w:sz w:val="20"/>
          <w:szCs w:val="20"/>
          <w:highlight w:val="none"/>
          <w:lang w:eastAsia="zh-CN"/>
          <w14:textFill>
            <w14:solidFill>
              <w14:schemeClr w14:val="tx1"/>
            </w14:solidFill>
          </w14:textFill>
        </w:rPr>
        <w:t>，</w:t>
      </w:r>
      <w:r>
        <w:rPr>
          <w:rFonts w:hint="eastAsia" w:ascii="黑体" w:hAnsi="黑体" w:eastAsia="黑体"/>
          <w:color w:val="000000" w:themeColor="text1"/>
          <w:sz w:val="20"/>
          <w:szCs w:val="20"/>
          <w:highlight w:val="none"/>
          <w:lang w:val="en-US" w:eastAsia="zh-CN"/>
          <w14:textFill>
            <w14:solidFill>
              <w14:schemeClr w14:val="tx1"/>
            </w14:solidFill>
          </w14:textFill>
        </w:rPr>
        <w:t>具体</w:t>
      </w:r>
      <w:r>
        <w:rPr>
          <w:rFonts w:hint="eastAsia" w:ascii="黑体" w:hAnsi="黑体" w:eastAsia="黑体"/>
          <w:b w:val="0"/>
          <w:color w:val="000000" w:themeColor="text1"/>
          <w:sz w:val="20"/>
          <w:szCs w:val="20"/>
          <w:highlight w:val="none"/>
          <w:lang w:val="en-US" w:eastAsia="zh-CN"/>
          <w14:textFill>
            <w14:solidFill>
              <w14:schemeClr w14:val="tx1"/>
            </w14:solidFill>
          </w14:textFill>
        </w:rPr>
        <w:t>详见说明书披露。</w:t>
      </w:r>
    </w:p>
    <w:p w14:paraId="77627480">
      <w:pPr>
        <w:pStyle w:val="20"/>
        <w:numPr>
          <w:ilvl w:val="255"/>
          <w:numId w:val="0"/>
        </w:numPr>
        <w:spacing w:line="300" w:lineRule="atLeast"/>
        <w:ind w:firstLine="400" w:firstLineChars="200"/>
        <w:jc w:val="both"/>
        <w:rPr>
          <w:rFonts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17．理财产品合同：指本理财产品的《信银理财理财产品说明书》、《信银理财理财产品风险揭示书》和《信银理财理财产品投资协议书》及其不时有效修订与补充。</w:t>
      </w:r>
    </w:p>
    <w:p w14:paraId="264BEF87">
      <w:pPr>
        <w:pStyle w:val="20"/>
        <w:numPr>
          <w:ilvl w:val="255"/>
          <w:numId w:val="0"/>
        </w:numPr>
        <w:spacing w:line="300" w:lineRule="atLeast"/>
        <w:ind w:firstLine="400" w:firstLineChars="200"/>
        <w:jc w:val="both"/>
        <w:rPr>
          <w:rFonts w:hint="eastAsia"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14:textFill>
            <w14:solidFill>
              <w14:schemeClr w14:val="tx1"/>
            </w14:solidFill>
          </w14:textFill>
        </w:rPr>
        <w:t>18．销售文件：指本理财产品的理财产品合同及《信银理财理财产品销售总协议》（含附件：客户权益须知专页）（或合作销售机构向投资者提供的理财产品销售协议文本）等文件及其不时有效修订与补充。</w:t>
      </w:r>
    </w:p>
    <w:p w14:paraId="4D3D6CBC">
      <w:pPr>
        <w:pStyle w:val="20"/>
        <w:numPr>
          <w:ilvl w:val="255"/>
          <w:numId w:val="0"/>
        </w:numPr>
        <w:spacing w:line="300" w:lineRule="atLeast"/>
        <w:ind w:right="36" w:firstLine="400" w:firstLineChars="200"/>
        <w:jc w:val="left"/>
        <w:rPr>
          <w:rFonts w:hint="eastAsia" w:ascii="黑体" w:hAnsi="黑体" w:eastAsia="黑体"/>
          <w:color w:val="000000" w:themeColor="text1"/>
          <w:sz w:val="20"/>
          <w:szCs w:val="20"/>
          <w:highlight w:val="none"/>
          <w14:textFill>
            <w14:solidFill>
              <w14:schemeClr w14:val="tx1"/>
            </w14:solidFill>
          </w14:textFill>
        </w:rPr>
      </w:pPr>
      <w:r>
        <w:rPr>
          <w:rFonts w:hint="eastAsia" w:ascii="黑体" w:hAnsi="黑体" w:eastAsia="黑体"/>
          <w:color w:val="000000" w:themeColor="text1"/>
          <w:sz w:val="20"/>
          <w:szCs w:val="20"/>
          <w:highlight w:val="none"/>
          <w:lang w:val="en-US" w:eastAsia="zh-CN"/>
          <w14:textFill>
            <w14:solidFill>
              <w14:schemeClr w14:val="tx1"/>
            </w14:solidFill>
          </w14:textFill>
        </w:rPr>
        <w:t>19</w:t>
      </w:r>
      <w:r>
        <w:rPr>
          <w:rFonts w:ascii="黑体" w:hAnsi="黑体" w:eastAsia="黑体"/>
          <w:color w:val="000000" w:themeColor="text1"/>
          <w:sz w:val="20"/>
          <w:szCs w:val="20"/>
          <w:highlight w:val="none"/>
          <w14:textFill>
            <w14:solidFill>
              <w14:schemeClr w14:val="tx1"/>
            </w14:solidFill>
          </w14:textFill>
        </w:rPr>
        <w:t>．收益分配基准日：指本理财产品管理人以该日日终产品份额净值计算并确定可供分配的投资收益的日期。</w:t>
      </w:r>
      <w:r>
        <w:rPr>
          <w:rFonts w:ascii="黑体" w:hAnsi="黑体" w:eastAsia="黑体"/>
          <w:color w:val="000000" w:themeColor="text1"/>
          <w:sz w:val="20"/>
          <w:szCs w:val="20"/>
          <w:highlight w:val="none"/>
          <w14:textFill>
            <w14:solidFill>
              <w14:schemeClr w14:val="tx1"/>
            </w14:solidFill>
          </w14:textFill>
        </w:rPr>
        <w:br w:type="textWrapping"/>
      </w:r>
      <w:r>
        <w:rPr>
          <w:rFonts w:ascii="黑体" w:hAnsi="黑体" w:eastAsia="黑体"/>
          <w:color w:val="000000" w:themeColor="text1"/>
          <w:sz w:val="20"/>
          <w:szCs w:val="20"/>
          <w:highlight w:val="none"/>
          <w14:textFill>
            <w14:solidFill>
              <w14:schemeClr w14:val="tx1"/>
            </w14:solidFill>
          </w14:textFill>
        </w:rPr>
        <w:t xml:space="preserve">    2</w:t>
      </w:r>
      <w:r>
        <w:rPr>
          <w:rFonts w:hint="eastAsia" w:ascii="黑体" w:hAnsi="黑体" w:eastAsia="黑体"/>
          <w:color w:val="000000" w:themeColor="text1"/>
          <w:sz w:val="20"/>
          <w:szCs w:val="20"/>
          <w:highlight w:val="none"/>
          <w:lang w:val="en-US" w:eastAsia="zh-CN"/>
          <w14:textFill>
            <w14:solidFill>
              <w14:schemeClr w14:val="tx1"/>
            </w14:solidFill>
          </w14:textFill>
        </w:rPr>
        <w:t>0</w:t>
      </w:r>
      <w:r>
        <w:rPr>
          <w:rFonts w:ascii="黑体" w:hAnsi="黑体" w:eastAsia="黑体"/>
          <w:color w:val="000000" w:themeColor="text1"/>
          <w:sz w:val="20"/>
          <w:szCs w:val="20"/>
          <w:highlight w:val="none"/>
          <w14:textFill>
            <w14:solidFill>
              <w14:schemeClr w14:val="tx1"/>
            </w14:solidFill>
          </w14:textFill>
        </w:rPr>
        <w:t>．权益登记日：指本理财产品管理人以该日日终登记在册的本理财产品份额全体持有人确定收益分配对象的日期。</w:t>
      </w:r>
    </w:p>
    <w:p w14:paraId="0F96C1C8">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r>
        <w:rPr>
          <w:rFonts w:ascii="黑体" w:hAnsi="Times New Roman" w:eastAsia="黑体" w:cs="黑体"/>
          <w:b/>
          <w:bCs/>
          <w:color w:val="000000" w:themeColor="text1"/>
          <w:sz w:val="20"/>
          <w:szCs w:val="20"/>
          <w:highlight w:val="none"/>
          <w14:textFill>
            <w14:solidFill>
              <w14:schemeClr w14:val="tx1"/>
            </w14:solidFill>
          </w14:textFill>
        </w:rPr>
        <w:t> </w:t>
      </w:r>
      <w:r>
        <w:rPr>
          <w:rFonts w:hint="eastAsia" w:ascii="黑体" w:hAnsi="Times New Roman" w:eastAsia="黑体" w:cs="黑体"/>
          <w:b/>
          <w:bCs/>
          <w:color w:val="000000" w:themeColor="text1"/>
          <w:sz w:val="20"/>
          <w:szCs w:val="20"/>
          <w:highlight w:val="none"/>
          <w14:textFill>
            <w14:solidFill>
              <w14:schemeClr w14:val="tx1"/>
            </w14:solidFill>
          </w14:textFill>
        </w:rPr>
        <w:t>理财产品风险评级及</w:t>
      </w:r>
      <w:r>
        <w:rPr>
          <w:rFonts w:ascii="黑体" w:hAnsi="Times New Roman" w:eastAsia="黑体" w:cs="黑体"/>
          <w:b/>
          <w:bCs/>
          <w:color w:val="000000" w:themeColor="text1"/>
          <w:sz w:val="20"/>
          <w:szCs w:val="20"/>
          <w:highlight w:val="none"/>
          <w14:textFill>
            <w14:solidFill>
              <w14:schemeClr w14:val="tx1"/>
            </w14:solidFill>
          </w14:textFill>
        </w:rPr>
        <w:t>与投资者</w:t>
      </w:r>
      <w:r>
        <w:rPr>
          <w:rFonts w:hint="eastAsia" w:ascii="黑体" w:hAnsi="Times New Roman" w:eastAsia="黑体" w:cs="黑体"/>
          <w:b/>
          <w:bCs/>
          <w:color w:val="000000" w:themeColor="text1"/>
          <w:sz w:val="20"/>
          <w:szCs w:val="20"/>
          <w:highlight w:val="none"/>
          <w14:textFill>
            <w14:solidFill>
              <w14:schemeClr w14:val="tx1"/>
            </w14:solidFill>
          </w14:textFill>
        </w:rPr>
        <w:t>类型</w:t>
      </w:r>
      <w:r>
        <w:rPr>
          <w:rFonts w:ascii="黑体" w:hAnsi="Times New Roman" w:eastAsia="黑体" w:cs="黑体"/>
          <w:b/>
          <w:bCs/>
          <w:color w:val="000000" w:themeColor="text1"/>
          <w:sz w:val="20"/>
          <w:szCs w:val="20"/>
          <w:highlight w:val="none"/>
          <w14:textFill>
            <w14:solidFill>
              <w14:schemeClr w14:val="tx1"/>
            </w14:solidFill>
          </w14:textFill>
        </w:rPr>
        <w:t>对应关系</w:t>
      </w:r>
      <w:r>
        <w:rPr>
          <w:rFonts w:hint="eastAsia" w:ascii="黑体" w:hAnsi="Times New Roman" w:eastAsia="黑体" w:cs="黑体"/>
          <w:b/>
          <w:bCs/>
          <w:color w:val="000000" w:themeColor="text1"/>
          <w:sz w:val="20"/>
          <w:szCs w:val="20"/>
          <w:highlight w:val="none"/>
          <w14:textFill>
            <w14:solidFill>
              <w14:schemeClr w14:val="tx1"/>
            </w14:solidFill>
          </w14:textFill>
        </w:rPr>
        <w:t>：</w:t>
      </w:r>
    </w:p>
    <w:p w14:paraId="525AFA1F">
      <w:pPr>
        <w:snapToGrid w:val="0"/>
        <w:ind w:left="-2" w:leftChars="-1" w:right="53" w:rightChars="22"/>
        <w:rPr>
          <w:rFonts w:ascii="黑体" w:hAnsi="Times New Roman" w:eastAsia="黑体" w:cs="黑体"/>
          <w:b/>
          <w:bCs/>
          <w:color w:val="000000" w:themeColor="text1"/>
          <w:sz w:val="20"/>
          <w:szCs w:val="20"/>
          <w:highlight w:val="none"/>
          <w14:textFill>
            <w14:solidFill>
              <w14:schemeClr w14:val="tx1"/>
            </w14:solidFill>
          </w14:textFill>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2370"/>
        <w:gridCol w:w="3770"/>
      </w:tblGrid>
      <w:tr w14:paraId="0860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10" w:type="dxa"/>
            <w:vAlign w:val="center"/>
          </w:tcPr>
          <w:p w14:paraId="2F62CB8A">
            <w:pPr>
              <w:adjustRightInd w:val="0"/>
              <w:jc w:val="center"/>
              <w:textAlignment w:val="baseline"/>
              <w:outlineLvl w:val="0"/>
              <w:rPr>
                <w:rFonts w:ascii="楷体" w:hAnsi="楷体" w:eastAsia="楷体" w:cs="楷体"/>
                <w:b/>
                <w:color w:val="000000"/>
                <w:highlight w:val="none"/>
              </w:rPr>
            </w:pPr>
            <w:r>
              <w:rPr>
                <w:rFonts w:hint="eastAsia" w:ascii="楷体" w:hAnsi="楷体" w:eastAsia="楷体" w:cs="楷体"/>
                <w:b/>
                <w:color w:val="000000"/>
                <w:highlight w:val="none"/>
              </w:rPr>
              <w:t>产品</w:t>
            </w:r>
            <w:r>
              <w:rPr>
                <w:rFonts w:ascii="楷体" w:hAnsi="楷体" w:eastAsia="楷体" w:cs="楷体"/>
                <w:b/>
                <w:color w:val="000000"/>
                <w:highlight w:val="none"/>
              </w:rPr>
              <w:t>风险评级</w:t>
            </w:r>
          </w:p>
        </w:tc>
        <w:tc>
          <w:tcPr>
            <w:tcW w:w="2710" w:type="dxa"/>
            <w:vAlign w:val="center"/>
          </w:tcPr>
          <w:p w14:paraId="1695DDE9">
            <w:pPr>
              <w:adjustRightInd w:val="0"/>
              <w:jc w:val="center"/>
              <w:textAlignment w:val="baseline"/>
              <w:outlineLvl w:val="0"/>
              <w:rPr>
                <w:rFonts w:ascii="楷体" w:hAnsi="楷体" w:eastAsia="楷体" w:cs="楷体"/>
                <w:b/>
                <w:color w:val="000000"/>
                <w:highlight w:val="none"/>
              </w:rPr>
            </w:pPr>
            <w:r>
              <w:rPr>
                <w:rFonts w:ascii="楷体" w:hAnsi="楷体" w:eastAsia="楷体" w:cs="楷体"/>
                <w:b/>
                <w:color w:val="000000"/>
                <w:highlight w:val="none"/>
              </w:rPr>
              <w:t>风险程度</w:t>
            </w:r>
          </w:p>
        </w:tc>
        <w:tc>
          <w:tcPr>
            <w:tcW w:w="4327" w:type="dxa"/>
            <w:vAlign w:val="center"/>
          </w:tcPr>
          <w:p w14:paraId="1029746E">
            <w:pPr>
              <w:adjustRightInd w:val="0"/>
              <w:jc w:val="center"/>
              <w:textAlignment w:val="baseline"/>
              <w:outlineLvl w:val="0"/>
              <w:rPr>
                <w:rFonts w:ascii="楷体" w:hAnsi="楷体" w:eastAsia="楷体" w:cs="楷体"/>
                <w:b/>
                <w:color w:val="000000"/>
                <w:highlight w:val="none"/>
              </w:rPr>
            </w:pPr>
            <w:r>
              <w:rPr>
                <w:rFonts w:hint="eastAsia" w:ascii="楷体" w:hAnsi="楷体" w:eastAsia="楷体" w:cs="楷体"/>
                <w:b/>
                <w:color w:val="000000"/>
                <w:kern w:val="2"/>
                <w:highlight w:val="none"/>
              </w:rPr>
              <w:t>适合投资者类型</w:t>
            </w:r>
          </w:p>
        </w:tc>
      </w:tr>
      <w:tr w14:paraId="326A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710" w:type="dxa"/>
            <w:vAlign w:val="center"/>
          </w:tcPr>
          <w:p w14:paraId="55713153">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PR1级</w:t>
            </w:r>
          </w:p>
        </w:tc>
        <w:tc>
          <w:tcPr>
            <w:tcW w:w="2710" w:type="dxa"/>
            <w:vAlign w:val="center"/>
          </w:tcPr>
          <w:p w14:paraId="7EBF8FBC">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低</w:t>
            </w:r>
          </w:p>
        </w:tc>
        <w:tc>
          <w:tcPr>
            <w:tcW w:w="4327" w:type="dxa"/>
            <w:vAlign w:val="center"/>
          </w:tcPr>
          <w:p w14:paraId="48987A97">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谨慎型、稳健型、平衡型、进取型、激进型</w:t>
            </w:r>
          </w:p>
        </w:tc>
      </w:tr>
      <w:tr w14:paraId="70A7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10" w:type="dxa"/>
            <w:vAlign w:val="center"/>
          </w:tcPr>
          <w:p w14:paraId="055A059B">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PR2级</w:t>
            </w:r>
          </w:p>
        </w:tc>
        <w:tc>
          <w:tcPr>
            <w:tcW w:w="2710" w:type="dxa"/>
            <w:vAlign w:val="center"/>
          </w:tcPr>
          <w:p w14:paraId="1DA79A45">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中低</w:t>
            </w:r>
          </w:p>
        </w:tc>
        <w:tc>
          <w:tcPr>
            <w:tcW w:w="4327" w:type="dxa"/>
            <w:vAlign w:val="center"/>
          </w:tcPr>
          <w:p w14:paraId="5FB6EADF">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稳健型、平衡型、进取型、激进型</w:t>
            </w:r>
          </w:p>
        </w:tc>
      </w:tr>
      <w:tr w14:paraId="19CD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10" w:type="dxa"/>
            <w:vAlign w:val="center"/>
          </w:tcPr>
          <w:p w14:paraId="69D1EA47">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PR3级</w:t>
            </w:r>
          </w:p>
        </w:tc>
        <w:tc>
          <w:tcPr>
            <w:tcW w:w="2710" w:type="dxa"/>
            <w:vAlign w:val="center"/>
          </w:tcPr>
          <w:p w14:paraId="4AAA9B0A">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szCs w:val="21"/>
                <w:highlight w:val="none"/>
              </w:rPr>
              <w:t>中等</w:t>
            </w:r>
          </w:p>
        </w:tc>
        <w:tc>
          <w:tcPr>
            <w:tcW w:w="4327" w:type="dxa"/>
            <w:vAlign w:val="center"/>
          </w:tcPr>
          <w:p w14:paraId="5CFE2FEB">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平衡型、进取型、激进型</w:t>
            </w:r>
          </w:p>
        </w:tc>
      </w:tr>
      <w:tr w14:paraId="2750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10" w:type="dxa"/>
            <w:vAlign w:val="center"/>
          </w:tcPr>
          <w:p w14:paraId="63150E7D">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PR4级</w:t>
            </w:r>
          </w:p>
        </w:tc>
        <w:tc>
          <w:tcPr>
            <w:tcW w:w="2710" w:type="dxa"/>
            <w:vAlign w:val="center"/>
          </w:tcPr>
          <w:p w14:paraId="7198B426">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szCs w:val="21"/>
                <w:highlight w:val="none"/>
              </w:rPr>
              <w:t>中高</w:t>
            </w:r>
          </w:p>
        </w:tc>
        <w:tc>
          <w:tcPr>
            <w:tcW w:w="4327" w:type="dxa"/>
            <w:vAlign w:val="center"/>
          </w:tcPr>
          <w:p w14:paraId="7746408B">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进取型、激进型</w:t>
            </w:r>
          </w:p>
        </w:tc>
      </w:tr>
      <w:tr w14:paraId="623C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710" w:type="dxa"/>
            <w:vAlign w:val="center"/>
          </w:tcPr>
          <w:p w14:paraId="5D09A3A2">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PR5级</w:t>
            </w:r>
          </w:p>
        </w:tc>
        <w:tc>
          <w:tcPr>
            <w:tcW w:w="2710" w:type="dxa"/>
            <w:vAlign w:val="center"/>
          </w:tcPr>
          <w:p w14:paraId="7BD6D5DA">
            <w:pPr>
              <w:adjustRightInd w:val="0"/>
              <w:jc w:val="center"/>
              <w:textAlignment w:val="baseline"/>
              <w:outlineLvl w:val="0"/>
              <w:rPr>
                <w:rFonts w:ascii="楷体" w:hAnsi="楷体" w:eastAsia="楷体" w:cs="楷体"/>
                <w:color w:val="000000"/>
                <w:szCs w:val="21"/>
                <w:highlight w:val="none"/>
              </w:rPr>
            </w:pPr>
            <w:r>
              <w:rPr>
                <w:rFonts w:ascii="楷体" w:hAnsi="楷体" w:eastAsia="楷体" w:cs="楷体"/>
                <w:color w:val="000000"/>
                <w:szCs w:val="21"/>
                <w:highlight w:val="none"/>
              </w:rPr>
              <w:t>高</w:t>
            </w:r>
          </w:p>
        </w:tc>
        <w:tc>
          <w:tcPr>
            <w:tcW w:w="4327" w:type="dxa"/>
            <w:vAlign w:val="center"/>
          </w:tcPr>
          <w:p w14:paraId="762AD7B7">
            <w:pPr>
              <w:adjustRightInd w:val="0"/>
              <w:jc w:val="center"/>
              <w:textAlignment w:val="baseline"/>
              <w:outlineLvl w:val="0"/>
              <w:rPr>
                <w:rFonts w:ascii="楷体" w:hAnsi="楷体" w:eastAsia="楷体" w:cs="楷体"/>
                <w:color w:val="000000"/>
                <w:szCs w:val="21"/>
                <w:highlight w:val="none"/>
              </w:rPr>
            </w:pPr>
            <w:r>
              <w:rPr>
                <w:rFonts w:hint="eastAsia" w:ascii="楷体" w:hAnsi="楷体" w:eastAsia="楷体" w:cs="楷体"/>
                <w:color w:val="000000"/>
                <w:kern w:val="2"/>
                <w:sz w:val="21"/>
                <w:szCs w:val="21"/>
                <w:highlight w:val="none"/>
              </w:rPr>
              <w:t>激进型</w:t>
            </w:r>
          </w:p>
        </w:tc>
      </w:tr>
    </w:tbl>
    <w:p w14:paraId="590B0D59">
      <w:pPr>
        <w:snapToGrid w:val="0"/>
        <w:ind w:left="-2" w:leftChars="-1" w:right="53" w:rightChars="22" w:firstLine="0"/>
        <w:outlineLvl w:val="9"/>
        <w:rPr>
          <w:rFonts w:hint="eastAsia" w:ascii="黑体" w:hAnsi="Times New Roman" w:eastAsia="黑体" w:cs="黑体"/>
          <w:b/>
          <w:bCs/>
          <w:color w:val="auto"/>
          <w:sz w:val="20"/>
          <w:szCs w:val="20"/>
          <w:highlight w:val="none"/>
          <w:lang w:val="en-US" w:eastAsia="zh-CN"/>
        </w:rPr>
      </w:pPr>
      <w:r>
        <w:rPr>
          <w:rFonts w:hint="eastAsia" w:ascii="黑体" w:hAnsi="Times New Roman" w:eastAsia="黑体" w:cs="黑体"/>
          <w:b/>
          <w:bCs/>
          <w:color w:val="auto"/>
          <w:sz w:val="20"/>
          <w:szCs w:val="20"/>
          <w:highlight w:val="none"/>
          <w:lang w:val="en-US" w:eastAsia="zh-CN"/>
        </w:rPr>
        <w:t>投资者通过本产品合作销售机构办理的，以合作销售机构的投资者风险测评结果、产品风险评级以及二者的对应关系为准。</w:t>
      </w:r>
    </w:p>
    <w:p w14:paraId="4643FD06">
      <w:pPr>
        <w:snapToGrid w:val="0"/>
        <w:ind w:left="433" w:right="53" w:rightChars="22" w:hanging="435"/>
        <w:outlineLvl w:val="0"/>
        <w:rPr>
          <w:rFonts w:hint="default" w:ascii="黑体" w:hAnsi="Times New Roman" w:eastAsia="黑体" w:cs="黑体"/>
          <w:color w:val="000000" w:themeColor="text1"/>
          <w:sz w:val="20"/>
          <w:szCs w:val="20"/>
          <w:highlight w:val="none"/>
          <w:lang w:val="en-US" w:eastAsia="zh-CN"/>
          <w14:textFill>
            <w14:solidFill>
              <w14:schemeClr w14:val="tx1"/>
            </w14:solidFill>
          </w14:textFill>
        </w:rPr>
      </w:pPr>
    </w:p>
    <w:p w14:paraId="5DA403D6">
      <w:pPr>
        <w:snapToGrid w:val="0"/>
        <w:ind w:left="433" w:right="53" w:rightChars="22" w:hanging="435"/>
        <w:outlineLvl w:val="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一、</w:t>
      </w:r>
      <w:r>
        <w:rPr>
          <w:rFonts w:ascii="Times New Roman" w:hAnsi="Times New Roman" w:eastAsia="黑体"/>
          <w:color w:val="000000" w:themeColor="text1"/>
          <w:sz w:val="14"/>
          <w:szCs w:val="14"/>
          <w:highlight w:val="none"/>
          <w14:textFill>
            <w14:solidFill>
              <w14:schemeClr w14:val="tx1"/>
            </w14:solidFill>
          </w14:textFill>
        </w:rPr>
        <w:t xml:space="preserve"> </w:t>
      </w:r>
      <w:r>
        <w:rPr>
          <w:rFonts w:hint="eastAsia" w:ascii="黑体" w:hAnsi="Times New Roman" w:eastAsia="黑体" w:cs="黑体"/>
          <w:color w:val="000000" w:themeColor="text1"/>
          <w:sz w:val="20"/>
          <w:szCs w:val="20"/>
          <w:highlight w:val="none"/>
          <w14:textFill>
            <w14:solidFill>
              <w14:schemeClr w14:val="tx1"/>
            </w14:solidFill>
          </w14:textFill>
        </w:rPr>
        <w:t>产品投资范围</w:t>
      </w:r>
    </w:p>
    <w:p w14:paraId="683DC93B">
      <w:pPr>
        <w:snapToGrid w:val="0"/>
        <w:ind w:left="433" w:right="53" w:rightChars="22" w:firstLine="0" w:firstLineChars="0"/>
        <w:outlineLvl w:val="0"/>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1</w:t>
      </w:r>
      <w:r>
        <w:rPr>
          <w:rFonts w:hint="eastAsia" w:ascii="楷体_GB2312" w:eastAsia="楷体_GB2312"/>
          <w:color w:val="000000" w:themeColor="text1"/>
          <w:sz w:val="20"/>
          <w:szCs w:val="20"/>
          <w:highlight w:val="none"/>
          <w14:textFill>
            <w14:solidFill>
              <w14:schemeClr w14:val="tx1"/>
            </w14:solidFill>
          </w14:textFill>
        </w:rPr>
        <w:t>．产品投资策略：</w:t>
      </w:r>
    </w:p>
    <w:p w14:paraId="2E9FE289">
      <w:pPr>
        <w:spacing w:line="300" w:lineRule="exact"/>
        <w:ind w:left="-2" w:leftChars="-1" w:right="36" w:rightChars="15" w:firstLine="422"/>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产品主要投资于债券为主的固收类资产，通过积极主动的投资管理，在严控组合风险的基础上，精选信用资质较好的发行人，获取相对稳定的票息收入，同时积极把握市场波动，获取交易性收入，力争获取超越业绩比较基准的投资回报。</w:t>
      </w:r>
    </w:p>
    <w:p w14:paraId="032DBAE6">
      <w:pPr>
        <w:spacing w:line="300" w:lineRule="exact"/>
        <w:ind w:left="-2" w:leftChars="0" w:right="36" w:rightChars="15" w:firstLine="420" w:firstLineChars="0"/>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2</w:t>
      </w:r>
      <w:r>
        <w:rPr>
          <w:rFonts w:hint="eastAsia" w:ascii="楷体_GB2312" w:eastAsia="楷体_GB2312"/>
          <w:color w:val="000000" w:themeColor="text1"/>
          <w:sz w:val="20"/>
          <w:szCs w:val="20"/>
          <w:highlight w:val="none"/>
          <w14:textFill>
            <w14:solidFill>
              <w14:schemeClr w14:val="tx1"/>
            </w14:solidFill>
          </w14:textFill>
        </w:rPr>
        <w:t>．本理财产品存续期间，投资于以下投资对象：</w:t>
      </w:r>
    </w:p>
    <w:p w14:paraId="37379198">
      <w:pPr>
        <w:spacing w:line="300" w:lineRule="exact"/>
        <w:ind w:right="36" w:rightChars="15"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（1）债权类资产</w:t>
      </w:r>
    </w:p>
    <w:p w14:paraId="04B61E15">
      <w:pPr>
        <w:spacing w:line="300" w:lineRule="exact"/>
        <w:ind w:right="36" w:rightChars="15"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a</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货币市场类：现金、存款、大额</w:t>
      </w:r>
      <w:r>
        <w:rPr>
          <w:rFonts w:ascii="楷体_GB2312" w:eastAsia="楷体_GB2312"/>
          <w:color w:val="000000" w:themeColor="text1"/>
          <w:sz w:val="20"/>
          <w:szCs w:val="20"/>
          <w:highlight w:val="none"/>
          <w14:textFill>
            <w14:solidFill>
              <w14:schemeClr w14:val="tx1"/>
            </w14:solidFill>
          </w14:textFill>
        </w:rPr>
        <w:t>存单、同业存单、</w:t>
      </w:r>
      <w:r>
        <w:rPr>
          <w:rFonts w:hint="eastAsia" w:ascii="楷体_GB2312" w:eastAsia="楷体_GB2312"/>
          <w:color w:val="000000" w:themeColor="text1"/>
          <w:sz w:val="20"/>
          <w:szCs w:val="20"/>
          <w:highlight w:val="none"/>
          <w14:textFill>
            <w14:solidFill>
              <w14:schemeClr w14:val="tx1"/>
            </w14:solidFill>
          </w14:textFill>
        </w:rPr>
        <w:t>货币基金、质押式回购和其他货币市场类资产；</w:t>
      </w:r>
    </w:p>
    <w:p w14:paraId="710C6F30">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b.固定收益类：国债</w:t>
      </w:r>
      <w:r>
        <w:rPr>
          <w:rFonts w:ascii="楷体_GB2312" w:eastAsia="楷体_GB2312"/>
          <w:color w:val="000000" w:themeColor="text1"/>
          <w:sz w:val="20"/>
          <w:szCs w:val="20"/>
          <w:highlight w:val="none"/>
          <w14:textFill>
            <w14:solidFill>
              <w14:schemeClr w14:val="tx1"/>
            </w14:solidFill>
          </w14:textFill>
        </w:rPr>
        <w:t>、地方政府债券、中央银行票据、政府机构债券、金融债券、公司信用类债券、在银行间市场和证券交易所市场发行的</w:t>
      </w:r>
      <w:r>
        <w:rPr>
          <w:rFonts w:hint="eastAsia" w:ascii="楷体_GB2312" w:eastAsia="楷体_GB2312"/>
          <w:color w:val="000000" w:themeColor="text1"/>
          <w:sz w:val="20"/>
          <w:szCs w:val="20"/>
          <w:highlight w:val="none"/>
          <w14:textFill>
            <w14:solidFill>
              <w14:schemeClr w14:val="tx1"/>
            </w14:solidFill>
          </w14:textFill>
        </w:rPr>
        <w:t>资产支持证券、非公开定向债务融资工具、债券型</w:t>
      </w:r>
      <w:r>
        <w:rPr>
          <w:rFonts w:ascii="楷体_GB2312" w:eastAsia="楷体_GB2312"/>
          <w:color w:val="000000" w:themeColor="text1"/>
          <w:sz w:val="20"/>
          <w:szCs w:val="20"/>
          <w:highlight w:val="none"/>
          <w14:textFill>
            <w14:solidFill>
              <w14:schemeClr w14:val="tx1"/>
            </w14:solidFill>
          </w14:textFill>
        </w:rPr>
        <w:t>证券投资</w:t>
      </w:r>
      <w:r>
        <w:rPr>
          <w:rFonts w:hint="eastAsia" w:ascii="楷体_GB2312" w:eastAsia="楷体_GB2312"/>
          <w:color w:val="000000" w:themeColor="text1"/>
          <w:sz w:val="20"/>
          <w:szCs w:val="20"/>
          <w:highlight w:val="none"/>
          <w14:textFill>
            <w14:solidFill>
              <w14:schemeClr w14:val="tx1"/>
            </w14:solidFill>
          </w14:textFill>
        </w:rPr>
        <w:t>基金、</w:t>
      </w:r>
      <w:r>
        <w:rPr>
          <w:rFonts w:ascii="楷体_GB2312" w:eastAsia="楷体_GB2312"/>
          <w:color w:val="000000" w:themeColor="text1"/>
          <w:sz w:val="20"/>
          <w:szCs w:val="20"/>
          <w:highlight w:val="none"/>
          <w14:textFill>
            <w14:solidFill>
              <w14:schemeClr w14:val="tx1"/>
            </w14:solidFill>
          </w14:textFill>
        </w:rPr>
        <w:t>非标准化债权类资产</w:t>
      </w:r>
      <w:r>
        <w:rPr>
          <w:rFonts w:hint="eastAsia" w:ascii="楷体_GB2312" w:eastAsia="楷体_GB2312"/>
          <w:color w:val="000000" w:themeColor="text1"/>
          <w:sz w:val="20"/>
          <w:szCs w:val="20"/>
          <w:highlight w:val="none"/>
          <w14:textFill>
            <w14:solidFill>
              <w14:schemeClr w14:val="tx1"/>
            </w14:solidFill>
          </w14:textFill>
        </w:rPr>
        <w:t>和其他固定收益类资产；</w:t>
      </w:r>
    </w:p>
    <w:p w14:paraId="76EF9675">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2）</w:t>
      </w:r>
      <w:r>
        <w:rPr>
          <w:rFonts w:hint="eastAsia" w:ascii="Times New Roman" w:hAnsi="Times New Roman" w:eastAsia="楷体_GB2312"/>
          <w:color w:val="000000" w:themeColor="text1"/>
          <w:sz w:val="20"/>
          <w:szCs w:val="20"/>
          <w:highlight w:val="none"/>
          <w14:textFill>
            <w14:solidFill>
              <w14:schemeClr w14:val="tx1"/>
            </w14:solidFill>
          </w14:textFill>
        </w:rPr>
        <w:t>权益</w:t>
      </w:r>
      <w:r>
        <w:rPr>
          <w:rFonts w:ascii="Times New Roman" w:hAnsi="Times New Roman" w:eastAsia="楷体_GB2312"/>
          <w:color w:val="000000" w:themeColor="text1"/>
          <w:sz w:val="20"/>
          <w:szCs w:val="20"/>
          <w:highlight w:val="none"/>
          <w14:textFill>
            <w14:solidFill>
              <w14:schemeClr w14:val="tx1"/>
            </w14:solidFill>
          </w14:textFill>
        </w:rPr>
        <w:t>类</w:t>
      </w:r>
      <w:r>
        <w:rPr>
          <w:rFonts w:hint="eastAsia" w:ascii="Times New Roman" w:hAnsi="Times New Roman" w:eastAsia="楷体_GB2312"/>
          <w:color w:val="000000" w:themeColor="text1"/>
          <w:sz w:val="20"/>
          <w:szCs w:val="20"/>
          <w:highlight w:val="none"/>
          <w14:textFill>
            <w14:solidFill>
              <w14:schemeClr w14:val="tx1"/>
            </w14:solidFill>
          </w14:textFill>
        </w:rPr>
        <w:t>资产</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上市</w:t>
      </w:r>
      <w:r>
        <w:rPr>
          <w:rFonts w:ascii="楷体_GB2312" w:eastAsia="楷体_GB2312" w:cs="楷体_GB2312"/>
          <w:color w:val="000000" w:themeColor="text1"/>
          <w:sz w:val="20"/>
          <w:szCs w:val="20"/>
          <w:highlight w:val="none"/>
          <w14:textFill>
            <w14:solidFill>
              <w14:schemeClr w14:val="tx1"/>
            </w14:solidFill>
          </w14:textFill>
        </w:rPr>
        <w:t>交易</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股票以及法律法规允许或监管部门批准的其他具备权益特征的资产和资产组合</w:t>
      </w:r>
      <w:r>
        <w:rPr>
          <w:rFonts w:ascii="Times New Roman" w:hAnsi="Times New Roman" w:eastAsia="楷体_GB2312"/>
          <w:color w:val="000000" w:themeColor="text1"/>
          <w:sz w:val="20"/>
          <w:szCs w:val="20"/>
          <w:highlight w:val="none"/>
          <w14:textFill>
            <w14:solidFill>
              <w14:schemeClr w14:val="tx1"/>
            </w14:solidFill>
          </w14:textFill>
        </w:rPr>
        <w:t>。</w:t>
      </w:r>
    </w:p>
    <w:p w14:paraId="6C290A87">
      <w:pPr>
        <w:spacing w:line="300" w:lineRule="exact"/>
        <w:ind w:left="-2" w:leftChars="-1" w:right="36" w:rightChars="15" w:firstLine="422"/>
        <w:jc w:val="both"/>
        <w:rPr>
          <w:rFonts w:ascii="Times New Roman" w:hAnsi="Times New Roman"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w:t>
      </w:r>
      <w:r>
        <w:rPr>
          <w:rFonts w:ascii="Times New Roman" w:hAnsi="Times New Roman" w:eastAsia="楷体_GB2312"/>
          <w:color w:val="000000" w:themeColor="text1"/>
          <w:sz w:val="20"/>
          <w:szCs w:val="20"/>
          <w:highlight w:val="none"/>
          <w14:textFill>
            <w14:solidFill>
              <w14:schemeClr w14:val="tx1"/>
            </w14:solidFill>
          </w14:textFill>
        </w:rPr>
        <w:t>3</w:t>
      </w:r>
      <w:r>
        <w:rPr>
          <w:rFonts w:hint="eastAsia" w:ascii="Times New Roman" w:hAnsi="Times New Roman" w:eastAsia="楷体_GB2312"/>
          <w:color w:val="000000" w:themeColor="text1"/>
          <w:sz w:val="20"/>
          <w:szCs w:val="20"/>
          <w:highlight w:val="none"/>
          <w14:textFill>
            <w14:solidFill>
              <w14:schemeClr w14:val="tx1"/>
            </w14:solidFill>
          </w14:textFill>
        </w:rPr>
        <w:t>）商品</w:t>
      </w:r>
      <w:r>
        <w:rPr>
          <w:rFonts w:ascii="Times New Roman" w:hAnsi="Times New Roman" w:eastAsia="楷体_GB2312"/>
          <w:color w:val="000000" w:themeColor="text1"/>
          <w:sz w:val="20"/>
          <w:szCs w:val="20"/>
          <w:highlight w:val="none"/>
          <w14:textFill>
            <w14:solidFill>
              <w14:schemeClr w14:val="tx1"/>
            </w14:solidFill>
          </w14:textFill>
        </w:rPr>
        <w:t>及</w:t>
      </w:r>
      <w:r>
        <w:rPr>
          <w:rFonts w:hint="eastAsia" w:ascii="Times New Roman" w:hAnsi="Times New Roman" w:eastAsia="楷体_GB2312"/>
          <w:color w:val="000000" w:themeColor="text1"/>
          <w:sz w:val="20"/>
          <w:szCs w:val="20"/>
          <w:highlight w:val="none"/>
          <w14:textFill>
            <w14:solidFill>
              <w14:schemeClr w14:val="tx1"/>
            </w14:solidFill>
          </w14:textFill>
        </w:rPr>
        <w:t>金融</w:t>
      </w:r>
      <w:r>
        <w:rPr>
          <w:rFonts w:ascii="Times New Roman" w:hAnsi="Times New Roman" w:eastAsia="楷体_GB2312"/>
          <w:color w:val="000000" w:themeColor="text1"/>
          <w:sz w:val="20"/>
          <w:szCs w:val="20"/>
          <w:highlight w:val="none"/>
          <w14:textFill>
            <w14:solidFill>
              <w14:schemeClr w14:val="tx1"/>
            </w14:solidFill>
          </w14:textFill>
        </w:rPr>
        <w:t>衍生品类资产：</w:t>
      </w:r>
      <w:r>
        <w:rPr>
          <w:rFonts w:hint="eastAsia" w:ascii="Times New Roman" w:hAnsi="Times New Roman" w:eastAsia="楷体_GB2312"/>
          <w:color w:val="000000" w:themeColor="text1"/>
          <w:sz w:val="20"/>
          <w:szCs w:val="20"/>
          <w:highlight w:val="none"/>
          <w14:textFill>
            <w14:solidFill>
              <w14:schemeClr w14:val="tx1"/>
            </w14:solidFill>
          </w14:textFill>
        </w:rPr>
        <w:t>商品现货，互换</w:t>
      </w:r>
      <w:r>
        <w:rPr>
          <w:rFonts w:ascii="Times New Roman" w:hAnsi="Times New Roman"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olor w:val="000000" w:themeColor="text1"/>
          <w:sz w:val="20"/>
          <w:szCs w:val="20"/>
          <w:highlight w:val="none"/>
          <w14:textFill>
            <w14:solidFill>
              <w14:schemeClr w14:val="tx1"/>
            </w14:solidFill>
          </w14:textFill>
        </w:rPr>
        <w:t>远期、掉期、期货、期权、信用风险缓释工具等衍生工具及其他资产或者资产组合（管理人将通过其他资产管理产品以及其他符合法律法规的投资渠道和方式实现对商品及金融衍生品类资产的投资）。</w:t>
      </w:r>
    </w:p>
    <w:p w14:paraId="060F24D1">
      <w:pPr>
        <w:spacing w:line="300" w:lineRule="exact"/>
        <w:ind w:right="36" w:rightChars="15" w:firstLine="420" w:firstLineChars="0"/>
        <w:jc w:val="both"/>
        <w:rPr>
          <w:rFonts w:ascii="Times New Roman" w:hAnsi="Times New Roman"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3</w:t>
      </w:r>
      <w:r>
        <w:rPr>
          <w:rFonts w:hint="eastAsia" w:ascii="楷体_GB2312"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olor w:val="000000" w:themeColor="text1"/>
          <w:sz w:val="20"/>
          <w:szCs w:val="20"/>
          <w:highlight w:val="none"/>
          <w14:textFill>
            <w14:solidFill>
              <w14:schemeClr w14:val="tx1"/>
            </w14:solidFill>
          </w14:textFill>
        </w:rPr>
        <w:t>各</w:t>
      </w:r>
      <w:r>
        <w:rPr>
          <w:rFonts w:ascii="Times New Roman" w:hAnsi="Times New Roman" w:eastAsia="楷体_GB2312"/>
          <w:color w:val="000000" w:themeColor="text1"/>
          <w:sz w:val="20"/>
          <w:szCs w:val="20"/>
          <w:highlight w:val="none"/>
          <w14:textFill>
            <w14:solidFill>
              <w14:schemeClr w14:val="tx1"/>
            </w14:solidFill>
          </w14:textFill>
        </w:rPr>
        <w:t>投资对象投资比例为：</w:t>
      </w:r>
    </w:p>
    <w:tbl>
      <w:tblPr>
        <w:tblStyle w:val="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13"/>
        <w:gridCol w:w="3815"/>
      </w:tblGrid>
      <w:tr w14:paraId="4CFBB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4DF0D605">
            <w:pPr>
              <w:ind w:right="29" w:rightChars="12"/>
              <w:jc w:val="center"/>
              <w:rPr>
                <w:rFonts w:ascii="楷体" w:hAnsi="楷体" w:eastAsia="楷体"/>
                <w:b/>
                <w:bCs/>
                <w:color w:val="000000" w:themeColor="text1"/>
                <w:sz w:val="20"/>
                <w:szCs w:val="20"/>
                <w:highlight w:val="none"/>
                <w14:textFill>
                  <w14:solidFill>
                    <w14:schemeClr w14:val="tx1"/>
                  </w14:solidFill>
                </w14:textFill>
              </w:rPr>
            </w:pPr>
            <w:r>
              <w:rPr>
                <w:rFonts w:hint="eastAsia" w:ascii="楷体" w:hAnsi="楷体" w:eastAsia="楷体"/>
                <w:b/>
                <w:bCs/>
                <w:color w:val="000000" w:themeColor="text1"/>
                <w:sz w:val="20"/>
                <w:szCs w:val="20"/>
                <w:highlight w:val="none"/>
                <w14:textFill>
                  <w14:solidFill>
                    <w14:schemeClr w14:val="tx1"/>
                  </w14:solidFill>
                </w14:textFill>
              </w:rPr>
              <w:t>资产种类</w:t>
            </w:r>
          </w:p>
        </w:tc>
        <w:tc>
          <w:tcPr>
            <w:tcW w:w="2237" w:type="pct"/>
            <w:vAlign w:val="center"/>
          </w:tcPr>
          <w:p w14:paraId="1BA084F8">
            <w:pPr>
              <w:ind w:right="29" w:rightChars="12"/>
              <w:jc w:val="center"/>
              <w:rPr>
                <w:rFonts w:ascii="楷体" w:hAnsi="楷体" w:eastAsia="楷体"/>
                <w:b/>
                <w:bCs/>
                <w:color w:val="000000" w:themeColor="text1"/>
                <w:sz w:val="20"/>
                <w:szCs w:val="20"/>
                <w:highlight w:val="none"/>
                <w14:textFill>
                  <w14:solidFill>
                    <w14:schemeClr w14:val="tx1"/>
                  </w14:solidFill>
                </w14:textFill>
              </w:rPr>
            </w:pPr>
            <w:r>
              <w:rPr>
                <w:rFonts w:hint="eastAsia" w:ascii="楷体" w:hAnsi="楷体" w:eastAsia="楷体"/>
                <w:b/>
                <w:bCs/>
                <w:color w:val="000000" w:themeColor="text1"/>
                <w:sz w:val="20"/>
                <w:szCs w:val="20"/>
                <w:highlight w:val="none"/>
                <w14:textFill>
                  <w14:solidFill>
                    <w14:schemeClr w14:val="tx1"/>
                  </w14:solidFill>
                </w14:textFill>
              </w:rPr>
              <w:t>投资比例</w:t>
            </w:r>
          </w:p>
        </w:tc>
      </w:tr>
      <w:tr w14:paraId="06148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23BD7430">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债权类资产</w:t>
            </w:r>
          </w:p>
        </w:tc>
        <w:tc>
          <w:tcPr>
            <w:tcW w:w="2237" w:type="pct"/>
            <w:vAlign w:val="center"/>
          </w:tcPr>
          <w:p w14:paraId="002CA2BD">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【80%-100%】</w:t>
            </w:r>
          </w:p>
        </w:tc>
      </w:tr>
      <w:tr w14:paraId="2066F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4C95E97D">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其中</w:t>
            </w:r>
            <w:r>
              <w:rPr>
                <w:rFonts w:ascii="楷体" w:hAnsi="楷体" w:eastAsia="楷体"/>
                <w:color w:val="000000" w:themeColor="text1"/>
                <w:sz w:val="20"/>
                <w:szCs w:val="20"/>
                <w:highlight w:val="none"/>
                <w14:textFill>
                  <w14:solidFill>
                    <w14:schemeClr w14:val="tx1"/>
                  </w14:solidFill>
                </w14:textFill>
              </w:rPr>
              <w:t>，非标准化债权类资产</w:t>
            </w:r>
          </w:p>
        </w:tc>
        <w:tc>
          <w:tcPr>
            <w:tcW w:w="2237" w:type="pct"/>
            <w:vAlign w:val="center"/>
          </w:tcPr>
          <w:p w14:paraId="06CBEEFC">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【0%-49%</w:t>
            </w:r>
            <w:r>
              <w:rPr>
                <w:rFonts w:ascii="楷体" w:hAnsi="楷体" w:eastAsia="楷体"/>
                <w:color w:val="000000" w:themeColor="text1"/>
                <w:sz w:val="20"/>
                <w:szCs w:val="20"/>
                <w:highlight w:val="none"/>
                <w14:textFill>
                  <w14:solidFill>
                    <w14:schemeClr w14:val="tx1"/>
                  </w14:solidFill>
                </w14:textFill>
              </w:rPr>
              <w:t>】</w:t>
            </w:r>
          </w:p>
        </w:tc>
      </w:tr>
      <w:tr w14:paraId="76D43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01F568B0">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权益类资产</w:t>
            </w:r>
          </w:p>
        </w:tc>
        <w:tc>
          <w:tcPr>
            <w:tcW w:w="2237" w:type="pct"/>
            <w:vAlign w:val="center"/>
          </w:tcPr>
          <w:p w14:paraId="4CAD7C05">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w:t>
            </w:r>
          </w:p>
        </w:tc>
      </w:tr>
      <w:tr w14:paraId="6F4EE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1BFAE4AE">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商品</w:t>
            </w:r>
            <w:r>
              <w:rPr>
                <w:rFonts w:ascii="楷体" w:hAnsi="楷体" w:eastAsia="楷体"/>
                <w:color w:val="000000" w:themeColor="text1"/>
                <w:sz w:val="20"/>
                <w:szCs w:val="20"/>
                <w:highlight w:val="none"/>
                <w14:textFill>
                  <w14:solidFill>
                    <w14:schemeClr w14:val="tx1"/>
                  </w14:solidFill>
                </w14:textFill>
              </w:rPr>
              <w:t>及</w:t>
            </w:r>
            <w:r>
              <w:rPr>
                <w:rFonts w:hint="eastAsia" w:ascii="楷体" w:hAnsi="楷体" w:eastAsia="楷体"/>
                <w:color w:val="000000" w:themeColor="text1"/>
                <w:sz w:val="20"/>
                <w:szCs w:val="20"/>
                <w:highlight w:val="none"/>
                <w14:textFill>
                  <w14:solidFill>
                    <w14:schemeClr w14:val="tx1"/>
                  </w14:solidFill>
                </w14:textFill>
              </w:rPr>
              <w:t>金融</w:t>
            </w:r>
            <w:r>
              <w:rPr>
                <w:rFonts w:ascii="楷体" w:hAnsi="楷体" w:eastAsia="楷体"/>
                <w:color w:val="000000" w:themeColor="text1"/>
                <w:sz w:val="20"/>
                <w:szCs w:val="20"/>
                <w:highlight w:val="none"/>
                <w14:textFill>
                  <w14:solidFill>
                    <w14:schemeClr w14:val="tx1"/>
                  </w14:solidFill>
                </w14:textFill>
              </w:rPr>
              <w:t>衍生品类</w:t>
            </w:r>
            <w:r>
              <w:rPr>
                <w:rFonts w:hint="eastAsia" w:ascii="楷体" w:hAnsi="楷体" w:eastAsia="楷体"/>
                <w:color w:val="000000" w:themeColor="text1"/>
                <w:sz w:val="20"/>
                <w:szCs w:val="20"/>
                <w:highlight w:val="none"/>
                <w14:textFill>
                  <w14:solidFill>
                    <w14:schemeClr w14:val="tx1"/>
                  </w14:solidFill>
                </w14:textFill>
              </w:rPr>
              <w:t>资产：持仓合约价值</w:t>
            </w:r>
          </w:p>
        </w:tc>
        <w:tc>
          <w:tcPr>
            <w:tcW w:w="2237" w:type="pct"/>
            <w:vAlign w:val="center"/>
          </w:tcPr>
          <w:p w14:paraId="6612C441">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【0%-20%】</w:t>
            </w:r>
          </w:p>
        </w:tc>
      </w:tr>
      <w:tr w14:paraId="67AD8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3" w:type="pct"/>
            <w:vAlign w:val="center"/>
          </w:tcPr>
          <w:p w14:paraId="361AB169">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商品</w:t>
            </w:r>
            <w:r>
              <w:rPr>
                <w:rFonts w:ascii="楷体" w:hAnsi="楷体" w:eastAsia="楷体"/>
                <w:color w:val="000000" w:themeColor="text1"/>
                <w:sz w:val="20"/>
                <w:szCs w:val="20"/>
                <w:highlight w:val="none"/>
                <w14:textFill>
                  <w14:solidFill>
                    <w14:schemeClr w14:val="tx1"/>
                  </w14:solidFill>
                </w14:textFill>
              </w:rPr>
              <w:t>及</w:t>
            </w:r>
            <w:r>
              <w:rPr>
                <w:rFonts w:hint="eastAsia" w:ascii="楷体" w:hAnsi="楷体" w:eastAsia="楷体"/>
                <w:color w:val="000000" w:themeColor="text1"/>
                <w:sz w:val="20"/>
                <w:szCs w:val="20"/>
                <w:highlight w:val="none"/>
                <w14:textFill>
                  <w14:solidFill>
                    <w14:schemeClr w14:val="tx1"/>
                  </w14:solidFill>
                </w14:textFill>
              </w:rPr>
              <w:t>金融</w:t>
            </w:r>
            <w:r>
              <w:rPr>
                <w:rFonts w:ascii="楷体" w:hAnsi="楷体" w:eastAsia="楷体"/>
                <w:color w:val="000000" w:themeColor="text1"/>
                <w:sz w:val="20"/>
                <w:szCs w:val="20"/>
                <w:highlight w:val="none"/>
                <w14:textFill>
                  <w14:solidFill>
                    <w14:schemeClr w14:val="tx1"/>
                  </w14:solidFill>
                </w14:textFill>
              </w:rPr>
              <w:t>衍生品类</w:t>
            </w:r>
            <w:r>
              <w:rPr>
                <w:rFonts w:hint="eastAsia" w:ascii="楷体" w:hAnsi="楷体" w:eastAsia="楷体"/>
                <w:color w:val="000000" w:themeColor="text1"/>
                <w:sz w:val="20"/>
                <w:szCs w:val="20"/>
                <w:highlight w:val="none"/>
                <w14:textFill>
                  <w14:solidFill>
                    <w14:schemeClr w14:val="tx1"/>
                  </w14:solidFill>
                </w14:textFill>
              </w:rPr>
              <w:t>资产：衍生品账户权益</w:t>
            </w:r>
          </w:p>
        </w:tc>
        <w:tc>
          <w:tcPr>
            <w:tcW w:w="2237" w:type="pct"/>
            <w:vAlign w:val="center"/>
          </w:tcPr>
          <w:p w14:paraId="486BB9BA">
            <w:pPr>
              <w:ind w:right="29" w:rightChars="12"/>
              <w:jc w:val="center"/>
              <w:rPr>
                <w:rFonts w:ascii="楷体" w:hAnsi="楷体" w:eastAsia="楷体"/>
                <w:color w:val="000000" w:themeColor="text1"/>
                <w:sz w:val="20"/>
                <w:szCs w:val="20"/>
                <w:highlight w:val="none"/>
                <w14:textFill>
                  <w14:solidFill>
                    <w14:schemeClr w14:val="tx1"/>
                  </w14:solidFill>
                </w14:textFill>
              </w:rPr>
            </w:pPr>
            <w:r>
              <w:rPr>
                <w:rFonts w:hint="eastAsia" w:ascii="楷体" w:hAnsi="楷体" w:eastAsia="楷体"/>
                <w:color w:val="000000" w:themeColor="text1"/>
                <w:sz w:val="20"/>
                <w:szCs w:val="20"/>
                <w:highlight w:val="none"/>
                <w14:textFill>
                  <w14:solidFill>
                    <w14:schemeClr w14:val="tx1"/>
                  </w14:solidFill>
                </w14:textFill>
              </w:rPr>
              <w:t>【0%-20%】</w:t>
            </w:r>
          </w:p>
        </w:tc>
      </w:tr>
    </w:tbl>
    <w:p w14:paraId="065AA9BC">
      <w:pPr>
        <w:spacing w:line="300" w:lineRule="exact"/>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若本产品为商品及金融衍生品类产品，则上表中“持仓合约价值”及“衍生品账户权益”两项比例应同时满足；若本产品为其他类型产品，则上表中“持仓合约价值”及“衍生品账户权益”两项比例仅须满足其一。）</w:t>
      </w:r>
    </w:p>
    <w:p w14:paraId="4535435B">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本产品可通过信托、证券</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基金</w:t>
      </w:r>
      <w:r>
        <w:rPr>
          <w:rFonts w:ascii="Times New Roman" w:hAnsi="Times New Roman" w:eastAsia="楷体_GB2312" w:cs="楷体_GB2312"/>
          <w:color w:val="000000" w:themeColor="text1"/>
          <w:sz w:val="20"/>
          <w:szCs w:val="20"/>
          <w:highlight w:val="none"/>
          <w14:textFill>
            <w14:solidFill>
              <w14:schemeClr w14:val="tx1"/>
            </w14:solidFill>
          </w14:textFill>
        </w:rPr>
        <w:t>、期货</w:t>
      </w: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保险资产管理机构等依法设立的资产管理产品</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以及其他符合国家相关政策、法律法规的投资渠道和方式实现对上述投资品种的投资，且可以由资产</w:t>
      </w:r>
      <w:r>
        <w:rPr>
          <w:rFonts w:hint="eastAsia" w:ascii="Times New Roman" w:hAnsi="Times New Roman" w:eastAsia="楷体_GB2312" w:cs="楷体_GB2312"/>
          <w:color w:val="000000" w:themeColor="text1"/>
          <w:sz w:val="20"/>
          <w:szCs w:val="20"/>
          <w:highlight w:val="none"/>
          <w:lang w:val="en-US" w:eastAsia="zh-CN"/>
          <w14:textFill>
            <w14:solidFill>
              <w14:schemeClr w14:val="tx1"/>
            </w14:solidFill>
          </w14:textFill>
        </w:rPr>
        <w:t>名义</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持有人按公允价格转让本产品所投资的全部或部分投资标的。</w:t>
      </w:r>
    </w:p>
    <w:p w14:paraId="42F021DF">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产品管理人应确保本产品建仓期后投资比例符合前述要求，</w:t>
      </w:r>
      <w:r>
        <w:rPr>
          <w:rFonts w:hint="eastAsia" w:ascii="Times New Roman" w:hAnsi="Times New Roman" w:eastAsia="楷体_GB2312" w:cs="楷体_GB2312"/>
          <w:color w:val="000000" w:themeColor="text1"/>
          <w:sz w:val="20"/>
          <w:szCs w:val="20"/>
          <w:highlight w:val="none"/>
          <w14:textFill>
            <w14:solidFill>
              <w14:schemeClr w14:val="tx1"/>
            </w14:solidFill>
          </w14:textFill>
        </w:rPr>
        <w:t>非因管理人主观因素导致突破前述比例限制的，管理人应在流动性受限资产可出售、可转让或者恢复交易的15个</w:t>
      </w:r>
      <w:r>
        <w:rPr>
          <w:rFonts w:ascii="Times New Roman" w:hAnsi="Times New Roman" w:eastAsia="楷体_GB2312" w:cs="楷体_GB2312"/>
          <w:color w:val="000000" w:themeColor="text1"/>
          <w:sz w:val="20"/>
          <w:szCs w:val="20"/>
          <w:highlight w:val="none"/>
          <w14:textFill>
            <w14:solidFill>
              <w14:schemeClr w14:val="tx1"/>
            </w14:solidFill>
          </w14:textFill>
        </w:rPr>
        <w:t>交易日内调整</w:t>
      </w:r>
      <w:r>
        <w:rPr>
          <w:rFonts w:hint="eastAsia" w:ascii="Times New Roman" w:hAnsi="Times New Roman" w:eastAsia="楷体_GB2312" w:cs="楷体_GB2312"/>
          <w:color w:val="000000" w:themeColor="text1"/>
          <w:sz w:val="20"/>
          <w:szCs w:val="20"/>
          <w:highlight w:val="none"/>
          <w14:textFill>
            <w14:solidFill>
              <w14:schemeClr w14:val="tx1"/>
            </w14:solidFill>
          </w14:textFill>
        </w:rPr>
        <w:t>至符合</w:t>
      </w:r>
      <w:r>
        <w:rPr>
          <w:rFonts w:ascii="Times New Roman" w:hAnsi="Times New Roman" w:eastAsia="楷体_GB2312" w:cs="楷体_GB2312"/>
          <w:color w:val="000000" w:themeColor="text1"/>
          <w:sz w:val="20"/>
          <w:szCs w:val="20"/>
          <w:highlight w:val="none"/>
          <w14:textFill>
            <w14:solidFill>
              <w14:schemeClr w14:val="tx1"/>
            </w14:solidFill>
          </w14:textFill>
        </w:rPr>
        <w:t>要求</w:t>
      </w: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国务院银行业监督管理机构规定的特殊情形除外</w:t>
      </w: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p>
    <w:p w14:paraId="3B0557B5">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本产品的上述投资范围将有可能随国家法律法规及监管政策的变化而进行调整，或信银理财基于勤勉尽职从投资者利益出发，对投资范围进行调整。在本产品存续期间，信银理财</w:t>
      </w:r>
      <w:r>
        <w:rPr>
          <w:rFonts w:ascii="楷体_GB2312" w:eastAsia="楷体_GB2312" w:cs="楷体_GB2312"/>
          <w:color w:val="000000" w:themeColor="text1"/>
          <w:sz w:val="20"/>
          <w:szCs w:val="20"/>
          <w:highlight w:val="none"/>
          <w14:textFill>
            <w14:solidFill>
              <w14:schemeClr w14:val="tx1"/>
            </w14:solidFill>
          </w14:textFill>
        </w:rPr>
        <w:t>有权根据市场情况，在不损害投资者利益且根据</w:t>
      </w: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说明书约定提前</w:t>
      </w:r>
      <w:r>
        <w:rPr>
          <w:rFonts w:hint="eastAsia" w:ascii="楷体_GB2312" w:eastAsia="楷体_GB2312" w:cs="楷体_GB2312"/>
          <w:color w:val="000000" w:themeColor="text1"/>
          <w:sz w:val="20"/>
          <w:szCs w:val="20"/>
          <w:highlight w:val="none"/>
          <w14:textFill>
            <w14:solidFill>
              <w14:schemeClr w14:val="tx1"/>
            </w14:solidFill>
          </w14:textFill>
        </w:rPr>
        <w:t>通知</w:t>
      </w:r>
      <w:r>
        <w:rPr>
          <w:rFonts w:ascii="楷体_GB2312" w:eastAsia="楷体_GB2312" w:cs="楷体_GB2312"/>
          <w:color w:val="000000" w:themeColor="text1"/>
          <w:sz w:val="20"/>
          <w:szCs w:val="20"/>
          <w:highlight w:val="none"/>
          <w14:textFill>
            <w14:solidFill>
              <w14:schemeClr w14:val="tx1"/>
            </w14:solidFill>
          </w14:textFill>
        </w:rPr>
        <w:t>投资者的情况下，对本</w:t>
      </w:r>
      <w:r>
        <w:rPr>
          <w:rFonts w:hint="eastAsia" w:ascii="楷体_GB2312" w:eastAsia="楷体_GB2312" w:cs="楷体_GB2312"/>
          <w:color w:val="000000" w:themeColor="text1"/>
          <w:sz w:val="20"/>
          <w:szCs w:val="20"/>
          <w:highlight w:val="none"/>
          <w14:textFill>
            <w14:solidFill>
              <w14:schemeClr w14:val="tx1"/>
            </w14:solidFill>
          </w14:textFill>
        </w:rPr>
        <w:t>产品</w:t>
      </w:r>
      <w:r>
        <w:rPr>
          <w:rFonts w:ascii="楷体_GB2312" w:eastAsia="楷体_GB2312" w:cs="楷体_GB2312"/>
          <w:color w:val="000000" w:themeColor="text1"/>
          <w:sz w:val="20"/>
          <w:szCs w:val="20"/>
          <w:highlight w:val="none"/>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投资范围、投资品种或投资比例进行</w:t>
      </w:r>
      <w:r>
        <w:rPr>
          <w:rFonts w:ascii="楷体_GB2312" w:eastAsia="楷体_GB2312" w:cs="楷体_GB2312"/>
          <w:color w:val="000000" w:themeColor="text1"/>
          <w:sz w:val="20"/>
          <w:szCs w:val="20"/>
          <w:highlight w:val="none"/>
          <w14:textFill>
            <w14:solidFill>
              <w14:schemeClr w14:val="tx1"/>
            </w14:solidFill>
          </w14:textFill>
        </w:rPr>
        <w:t>调</w:t>
      </w:r>
      <w:r>
        <w:rPr>
          <w:rFonts w:ascii="楷体_GB2312" w:eastAsia="楷体_GB2312" w:cs="楷体_GB2312"/>
          <w:sz w:val="20"/>
          <w:szCs w:val="20"/>
          <w:highlight w:val="none"/>
        </w:rPr>
        <w:t>整</w:t>
      </w:r>
      <w:r>
        <w:rPr>
          <w:rFonts w:hint="eastAsia" w:ascii="楷体_GB2312" w:eastAsia="楷体_GB2312" w:cs="楷体_GB2312"/>
          <w:sz w:val="20"/>
          <w:szCs w:val="20"/>
          <w:highlight w:val="none"/>
        </w:rPr>
        <w:t>。投资者</w:t>
      </w:r>
      <w:r>
        <w:rPr>
          <w:rFonts w:ascii="楷体_GB2312" w:eastAsia="楷体_GB2312" w:cs="楷体_GB2312"/>
          <w:sz w:val="20"/>
          <w:szCs w:val="20"/>
          <w:highlight w:val="none"/>
        </w:rPr>
        <w:t>不接受的，可</w:t>
      </w:r>
      <w:r>
        <w:rPr>
          <w:rFonts w:hint="eastAsia" w:ascii="楷体_GB2312" w:eastAsia="楷体_GB2312" w:cs="楷体_GB2312"/>
          <w:sz w:val="20"/>
          <w:szCs w:val="20"/>
          <w:highlight w:val="none"/>
        </w:rPr>
        <w:t>提前</w:t>
      </w:r>
      <w:r>
        <w:rPr>
          <w:rFonts w:ascii="楷体_GB2312" w:eastAsia="楷体_GB2312" w:cs="楷体_GB2312"/>
          <w:sz w:val="20"/>
          <w:szCs w:val="20"/>
          <w:highlight w:val="none"/>
        </w:rPr>
        <w:t>赎回理财产品，</w:t>
      </w:r>
      <w:r>
        <w:rPr>
          <w:rFonts w:hint="eastAsia" w:ascii="楷体_GB2312" w:eastAsia="楷体_GB2312" w:cs="楷体_GB2312"/>
          <w:sz w:val="20"/>
          <w:szCs w:val="20"/>
          <w:highlight w:val="none"/>
        </w:rPr>
        <w:t>信银理财有权根据情况设立临时的赎回开放日</w:t>
      </w:r>
      <w:r>
        <w:rPr>
          <w:rFonts w:ascii="楷体_GB2312" w:eastAsia="楷体_GB2312" w:cs="楷体_GB2312"/>
          <w:sz w:val="20"/>
          <w:szCs w:val="20"/>
          <w:highlight w:val="none"/>
        </w:rPr>
        <w:t>。</w:t>
      </w:r>
      <w:r>
        <w:rPr>
          <w:rFonts w:hint="eastAsia" w:ascii="楷体_GB2312" w:eastAsia="楷体_GB2312" w:cs="楷体_GB2312"/>
          <w:color w:val="000000" w:themeColor="text1"/>
          <w:sz w:val="20"/>
          <w:szCs w:val="20"/>
          <w:highlight w:val="none"/>
          <w14:textFill>
            <w14:solidFill>
              <w14:schemeClr w14:val="tx1"/>
            </w14:solidFill>
          </w14:textFill>
        </w:rPr>
        <w:t>除</w:t>
      </w:r>
      <w:r>
        <w:rPr>
          <w:rFonts w:ascii="楷体_GB2312" w:eastAsia="楷体_GB2312" w:cs="楷体_GB2312"/>
          <w:color w:val="000000" w:themeColor="text1"/>
          <w:sz w:val="20"/>
          <w:szCs w:val="20"/>
          <w:highlight w:val="none"/>
          <w14:textFill>
            <w14:solidFill>
              <w14:schemeClr w14:val="tx1"/>
            </w14:solidFill>
          </w14:textFill>
        </w:rPr>
        <w:t>高风险类型的产品超出比例范围投资较低风险资产外，</w:t>
      </w:r>
      <w:r>
        <w:rPr>
          <w:rFonts w:hint="eastAsia" w:ascii="楷体_GB2312" w:eastAsia="楷体_GB2312" w:cs="楷体_GB2312"/>
          <w:color w:val="000000" w:themeColor="text1"/>
          <w:sz w:val="20"/>
          <w:szCs w:val="20"/>
          <w:highlight w:val="none"/>
          <w14:textFill>
            <w14:solidFill>
              <w14:schemeClr w14:val="tx1"/>
            </w14:solidFill>
          </w14:textFill>
        </w:rPr>
        <w:t>产品管理人应按</w:t>
      </w:r>
      <w:r>
        <w:rPr>
          <w:rFonts w:ascii="楷体_GB2312" w:eastAsia="楷体_GB2312" w:cs="楷体_GB2312"/>
          <w:color w:val="000000" w:themeColor="text1"/>
          <w:sz w:val="20"/>
          <w:szCs w:val="20"/>
          <w:highlight w:val="none"/>
          <w14:textFill>
            <w14:solidFill>
              <w14:schemeClr w14:val="tx1"/>
            </w14:solidFill>
          </w14:textFill>
        </w:rPr>
        <w:t>监管要求</w:t>
      </w:r>
      <w:r>
        <w:rPr>
          <w:rFonts w:hint="eastAsia" w:ascii="楷体_GB2312" w:eastAsia="楷体_GB2312" w:cs="楷体_GB2312"/>
          <w:color w:val="000000" w:themeColor="text1"/>
          <w:sz w:val="20"/>
          <w:szCs w:val="20"/>
          <w:highlight w:val="none"/>
          <w14:textFill>
            <w14:solidFill>
              <w14:schemeClr w14:val="tx1"/>
            </w14:solidFill>
          </w14:textFill>
        </w:rPr>
        <w:t>提前</w:t>
      </w:r>
      <w:r>
        <w:rPr>
          <w:rFonts w:ascii="楷体_GB2312" w:eastAsia="楷体_GB2312" w:cs="楷体_GB2312"/>
          <w:color w:val="000000" w:themeColor="text1"/>
          <w:sz w:val="20"/>
          <w:szCs w:val="20"/>
          <w:highlight w:val="none"/>
          <w14:textFill>
            <w14:solidFill>
              <w14:schemeClr w14:val="tx1"/>
            </w14:solidFill>
          </w14:textFill>
        </w:rPr>
        <w:t>取得投资者书面同意</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并履行登记备案等法律法规以及金融监督管理部门规定的程序。</w:t>
      </w:r>
    </w:p>
    <w:p w14:paraId="76EDFE13">
      <w:pPr>
        <w:spacing w:line="300" w:lineRule="exact"/>
        <w:ind w:firstLine="420" w:firstLineChars="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4</w:t>
      </w:r>
      <w:r>
        <w:rPr>
          <w:rFonts w:hint="eastAsia" w:ascii="楷体_GB2312"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投资</w:t>
      </w:r>
      <w:r>
        <w:rPr>
          <w:rFonts w:ascii="Times New Roman" w:hAnsi="Times New Roman" w:eastAsia="楷体_GB2312" w:cs="楷体_GB2312"/>
          <w:color w:val="000000" w:themeColor="text1"/>
          <w:sz w:val="20"/>
          <w:szCs w:val="20"/>
          <w:highlight w:val="none"/>
          <w14:textFill>
            <w14:solidFill>
              <w14:schemeClr w14:val="tx1"/>
            </w14:solidFill>
          </w14:textFill>
        </w:rPr>
        <w:t>限制：</w:t>
      </w:r>
    </w:p>
    <w:p w14:paraId="32AEEF17">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（1）本产品总资产不得超过净资产的</w:t>
      </w:r>
      <w:r>
        <w:rPr>
          <w:rFonts w:ascii="Times New Roman" w:hAnsi="Times New Roman" w:eastAsia="楷体_GB2312" w:cs="楷体_GB2312"/>
          <w:color w:val="000000" w:themeColor="text1"/>
          <w:sz w:val="20"/>
          <w:szCs w:val="20"/>
          <w:highlight w:val="none"/>
          <w14:textFill>
            <w14:solidFill>
              <w14:schemeClr w14:val="tx1"/>
            </w14:solidFill>
          </w14:textFill>
        </w:rPr>
        <w:t>200%；</w:t>
      </w:r>
    </w:p>
    <w:p w14:paraId="712A2732">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Times New Roman" w:hAnsi="Times New Roman" w:eastAsia="楷体_GB2312" w:cs="楷体_GB2312"/>
          <w:color w:val="000000" w:themeColor="text1"/>
          <w:sz w:val="20"/>
          <w:szCs w:val="20"/>
          <w:highlight w:val="none"/>
          <w14:textFill>
            <w14:solidFill>
              <w14:schemeClr w14:val="tx1"/>
            </w14:solidFill>
          </w14:textFill>
        </w:rPr>
        <w:t>（2）</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本产品投资单只证券或者单只公募证券投资基金的市值不得超过产品净资产的</w:t>
      </w:r>
      <w:r>
        <w:rPr>
          <w:rFonts w:ascii="Times New Roman" w:hAnsi="Times New Roman" w:eastAsia="楷体_GB2312" w:cs="楷体_GB2312"/>
          <w:color w:val="000000" w:themeColor="text1"/>
          <w:sz w:val="20"/>
          <w:szCs w:val="20"/>
          <w:highlight w:val="none"/>
          <w14:textFill>
            <w14:solidFill>
              <w14:schemeClr w14:val="tx1"/>
            </w14:solidFill>
          </w14:textFill>
        </w:rPr>
        <w:t>10%，投资于国债、地方政府债券、中央银行票据、政府机构债券、政策性金融债券以及完全按照有关指数的构成比例进行投资的除外；非因产品管理人主观因素导致突破前述比例限制的，产品管理人应当在流动性受限资产可出售、可转让或者恢复交易的10个交易日内调整至符合要求，国务院银行业监督管理机构规定的特殊情形除外。</w:t>
      </w:r>
    </w:p>
    <w:p w14:paraId="6717F508">
      <w:pPr>
        <w:spacing w:line="300" w:lineRule="exact"/>
        <w:ind w:firstLine="426" w:firstLineChars="213"/>
        <w:jc w:val="both"/>
        <w:rPr>
          <w:rFonts w:ascii="Times New Roman" w:hAnsi="Times New Roman" w:eastAsia="楷体_GB2312" w:cs="楷体_GB2312"/>
          <w:b/>
          <w:bCs/>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（3</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b/>
          <w:bCs/>
          <w:color w:val="000000" w:themeColor="text1"/>
          <w:sz w:val="20"/>
          <w:szCs w:val="20"/>
          <w:highlight w:val="none"/>
          <w14:textFill>
            <w14:solidFill>
              <w14:schemeClr w14:val="tx1"/>
            </w14:solidFill>
          </w14:textFill>
        </w:rPr>
        <w:t>本产品可以同时出现下述两种情形（具体以本产品说明书约定和实际运作情况为准）：</w:t>
      </w:r>
    </w:p>
    <w:p w14:paraId="4C5C2F2E">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a）计划投资不存在活跃交易市场，并且需要采用估值技术确定公允价值的资产；</w:t>
      </w:r>
    </w:p>
    <w:p w14:paraId="19A454A4">
      <w:pPr>
        <w:spacing w:line="300" w:lineRule="exact"/>
        <w:ind w:firstLine="426" w:firstLineChars="213"/>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w:t>
      </w:r>
      <w:r>
        <w:rPr>
          <w:rFonts w:ascii="Times New Roman" w:hAnsi="Times New Roman" w:eastAsia="楷体_GB2312" w:cs="楷体_GB2312"/>
          <w:color w:val="000000" w:themeColor="text1"/>
          <w:sz w:val="20"/>
          <w:szCs w:val="20"/>
          <w:highlight w:val="none"/>
          <w14:textFill>
            <w14:solidFill>
              <w14:schemeClr w14:val="tx1"/>
            </w14:solidFill>
          </w14:textFill>
        </w:rPr>
        <w:t>b）计划投资上述资产的比例达到产品净资产50%以上。</w:t>
      </w:r>
    </w:p>
    <w:p w14:paraId="2B58A500">
      <w:pPr>
        <w:spacing w:line="300" w:lineRule="exact"/>
        <w:ind w:firstLine="400" w:firstLineChars="200"/>
        <w:jc w:val="both"/>
        <w:rPr>
          <w:rFonts w:ascii="Times New Roman" w:hAnsi="Times New Roman" w:eastAsia="楷体_GB2312" w:cs="楷体_GB2312"/>
          <w:color w:val="000000" w:themeColor="text1"/>
          <w:sz w:val="20"/>
          <w:szCs w:val="20"/>
          <w:highlight w:val="none"/>
          <w:u w:val="singl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5</w:t>
      </w:r>
      <w:r>
        <w:rPr>
          <w:rFonts w:hint="eastAsia" w:ascii="楷体_GB2312"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投资合作机构指理财产品所投资资产管理产品的发行机构、根据合同约定从事理财产品受托投资的机构以及与理财产品投资管理相关的投资顾问等机构。投资合作机构的主要职责为进行受托资金的投资管理，根据合同约定从事受托投资或提供投资顾问等服务，具体职责以管理人与投资合作机构签署的合同为准。</w:t>
      </w:r>
    </w:p>
    <w:p w14:paraId="5D2AEFE2">
      <w:pPr>
        <w:spacing w:line="300" w:lineRule="exact"/>
        <w:ind w:firstLine="400" w:firstLineChars="200"/>
        <w:jc w:val="both"/>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6</w:t>
      </w:r>
      <w:r>
        <w:rPr>
          <w:rFonts w:hint="eastAsia" w:ascii="楷体_GB2312" w:eastAsia="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在合法合规且履行应履行的内外部程序后，理财产品可能与管理人及其控股股东、实际控制人等发生关联交易。</w:t>
      </w:r>
    </w:p>
    <w:p w14:paraId="62796547">
      <w:pPr>
        <w:spacing w:line="300" w:lineRule="exact"/>
        <w:ind w:firstLine="400" w:firstLineChars="200"/>
        <w:rPr>
          <w:rFonts w:ascii="Times New Roman" w:hAnsi="Times New Roman" w:eastAsia="楷体_GB2312" w:cs="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7.本产品可投资于非标准化债权类资产，信银理财将按照监管规定，向投资者披露产品投资每笔非标准化债权类资产的融资客户、项目名称、剩余融资期限、到期收益分配、交易结构、风险状况等资产信息。</w:t>
      </w:r>
    </w:p>
    <w:p w14:paraId="4C700E0C">
      <w:pPr>
        <w:spacing w:line="300" w:lineRule="exact"/>
        <w:ind w:right="48" w:rightChars="20"/>
        <w:jc w:val="both"/>
        <w:rPr>
          <w:color w:val="000000" w:themeColor="text1"/>
          <w:highlight w:val="none"/>
          <w14:textFill>
            <w14:solidFill>
              <w14:schemeClr w14:val="tx1"/>
            </w14:solidFill>
          </w14:textFill>
        </w:rPr>
      </w:pPr>
    </w:p>
    <w:p w14:paraId="23DEDF75">
      <w:pPr>
        <w:snapToGrid w:val="0"/>
        <w:ind w:left="-2" w:leftChars="-1" w:right="53" w:rightChars="22"/>
        <w:outlineLvl w:val="0"/>
        <w:rPr>
          <w:rFonts w:ascii="楷体" w:hAnsi="楷体" w:eastAsia="楷体"/>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二、产品基本要素</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0"/>
        <w:gridCol w:w="6328"/>
      </w:tblGrid>
      <w:tr w14:paraId="39D4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pct"/>
            <w:vAlign w:val="center"/>
          </w:tcPr>
          <w:p w14:paraId="6269E19B">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产品名称</w:t>
            </w:r>
          </w:p>
        </w:tc>
        <w:tc>
          <w:tcPr>
            <w:tcW w:w="3709" w:type="pct"/>
            <w:vAlign w:val="center"/>
          </w:tcPr>
          <w:p w14:paraId="76DC5EED">
            <w:pPr>
              <w:spacing w:line="300" w:lineRule="exact"/>
              <w:ind w:left="-2" w:leftChars="-1" w:right="36" w:rightChars="15"/>
              <w:rPr>
                <w:color w:val="000000" w:themeColor="text1"/>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【信银理财安盈象固收稳利十四个月封闭式290号理财产品】</w:t>
            </w:r>
          </w:p>
        </w:tc>
      </w:tr>
      <w:tr w14:paraId="67C2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7DD5E7C7">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理财产品登记编码</w:t>
            </w:r>
          </w:p>
        </w:tc>
        <w:tc>
          <w:tcPr>
            <w:tcW w:w="3709" w:type="pct"/>
            <w:vAlign w:val="center"/>
          </w:tcPr>
          <w:p w14:paraId="7BA9F0F2">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【Z7002626002122</w:t>
            </w:r>
            <w:r>
              <w:rPr>
                <w:rFonts w:ascii="楷体_GB2312" w:eastAsia="楷体_GB2312"/>
                <w:color w:val="000000" w:themeColor="text1"/>
                <w:sz w:val="20"/>
                <w:szCs w:val="20"/>
                <w:highlight w:val="none"/>
                <w14:textFill>
                  <w14:solidFill>
                    <w14:schemeClr w14:val="tx1"/>
                  </w14:solidFill>
                </w14:textFill>
              </w:rPr>
              <w:t>】</w:t>
            </w:r>
          </w:p>
        </w:tc>
      </w:tr>
      <w:tr w14:paraId="296A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37D70C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w:t>
            </w:r>
            <w:r>
              <w:rPr>
                <w:rFonts w:ascii="Times New Roman" w:eastAsia="楷体_GB2312" w:cs="楷体_GB2312"/>
                <w:color w:val="000000" w:themeColor="text1"/>
                <w:sz w:val="20"/>
                <w:szCs w:val="20"/>
                <w:highlight w:val="none"/>
                <w14:textFill>
                  <w14:solidFill>
                    <w14:schemeClr w14:val="tx1"/>
                  </w14:solidFill>
                </w14:textFill>
              </w:rPr>
              <w:t>代码</w:t>
            </w:r>
          </w:p>
        </w:tc>
        <w:tc>
          <w:tcPr>
            <w:tcW w:w="3709" w:type="pct"/>
            <w:vAlign w:val="center"/>
          </w:tcPr>
          <w:p w14:paraId="66D91F5E">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【AF266137</w:t>
            </w:r>
            <w:r>
              <w:rPr>
                <w:rFonts w:ascii="楷体_GB2312" w:eastAsia="楷体_GB2312" w:cs="楷体_GB2312"/>
                <w:color w:val="000000" w:themeColor="text1"/>
                <w:sz w:val="20"/>
                <w:szCs w:val="20"/>
                <w:highlight w:val="none"/>
                <w14:textFill>
                  <w14:solidFill>
                    <w14:schemeClr w14:val="tx1"/>
                  </w14:solidFill>
                </w14:textFill>
              </w:rPr>
              <w:t>】</w:t>
            </w:r>
          </w:p>
        </w:tc>
      </w:tr>
      <w:tr w14:paraId="0BBA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0894C47">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产品类型</w:t>
            </w:r>
          </w:p>
        </w:tc>
        <w:tc>
          <w:tcPr>
            <w:tcW w:w="3709" w:type="pct"/>
            <w:vAlign w:val="center"/>
          </w:tcPr>
          <w:p w14:paraId="33D6B887">
            <w:pPr>
              <w:spacing w:line="300" w:lineRule="exact"/>
              <w:ind w:left="-2" w:leftChars="-1" w:right="36" w:rightChars="15"/>
              <w:rPr>
                <w:highlight w:val="none"/>
              </w:rPr>
            </w:pPr>
            <w:r>
              <w:rPr>
                <w:rFonts w:hint="eastAsia" w:ascii="楷体_GB2312" w:eastAsia="楷体_GB2312" w:cs="楷体_GB2312"/>
                <w:color w:val="000000" w:themeColor="text1"/>
                <w:sz w:val="20"/>
                <w:szCs w:val="20"/>
                <w:highlight w:val="none"/>
                <w14:textFill>
                  <w14:solidFill>
                    <w14:schemeClr w14:val="tx1"/>
                  </w14:solidFill>
                </w14:textFill>
              </w:rPr>
              <w:t>公募、【固定收益类】、封闭式</w:t>
            </w:r>
          </w:p>
        </w:tc>
      </w:tr>
      <w:tr w14:paraId="1D47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23E74D3">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信银理财产品风险分级</w:t>
            </w:r>
          </w:p>
        </w:tc>
        <w:tc>
          <w:tcPr>
            <w:tcW w:w="3709" w:type="pct"/>
            <w:vAlign w:val="center"/>
          </w:tcPr>
          <w:p w14:paraId="7ED2EA72">
            <w:pPr>
              <w:spacing w:line="300" w:lineRule="exact"/>
              <w:ind w:left="-2" w:leftChars="-1" w:right="36" w:rightChars="15"/>
              <w:rPr>
                <w:rFonts w:ascii="楷体_GB2312" w:eastAsia="楷体_GB2312" w:cs="楷体_GB2312"/>
                <w:color w:val="000000"/>
                <w:sz w:val="20"/>
                <w:szCs w:val="20"/>
                <w:highlight w:val="none"/>
              </w:rPr>
            </w:pPr>
            <w:r>
              <w:rPr>
                <w:rFonts w:ascii="楷体_GB2312" w:eastAsia="楷体_GB2312" w:cs="楷体_GB2312"/>
                <w:sz w:val="20"/>
                <w:szCs w:val="20"/>
                <w:highlight w:val="none"/>
              </w:rPr>
              <w:t>PR</w:t>
            </w:r>
            <w:r>
              <w:rPr>
                <w:rFonts w:hint="eastAsia" w:ascii="楷体_GB2312" w:eastAsia="楷体_GB2312" w:cs="楷体_GB2312"/>
                <w:sz w:val="20"/>
                <w:szCs w:val="20"/>
                <w:highlight w:val="none"/>
              </w:rPr>
              <w:t>【</w:t>
            </w:r>
            <w:r>
              <w:rPr>
                <w:rFonts w:ascii="楷体_GB2312" w:eastAsia="楷体_GB2312" w:cs="楷体_GB2312"/>
                <w:sz w:val="20"/>
                <w:szCs w:val="20"/>
                <w:highlight w:val="none"/>
              </w:rPr>
              <w:t>2</w:t>
            </w:r>
            <w:r>
              <w:rPr>
                <w:rFonts w:hint="eastAsia" w:ascii="楷体_GB2312" w:eastAsia="楷体_GB2312" w:cs="楷体_GB2312"/>
                <w:sz w:val="20"/>
                <w:szCs w:val="20"/>
                <w:highlight w:val="none"/>
              </w:rPr>
              <w:t>】级（【稳健】</w:t>
            </w:r>
            <w:r>
              <w:rPr>
                <w:rFonts w:ascii="楷体_GB2312" w:eastAsia="楷体_GB2312" w:cs="楷体_GB2312"/>
                <w:sz w:val="20"/>
                <w:szCs w:val="20"/>
                <w:highlight w:val="none"/>
              </w:rPr>
              <w:t>型</w:t>
            </w:r>
            <w:r>
              <w:rPr>
                <w:rFonts w:hint="eastAsia" w:ascii="楷体_GB2312" w:eastAsia="楷体_GB2312" w:cs="楷体_GB2312"/>
                <w:sz w:val="20"/>
                <w:szCs w:val="20"/>
                <w:highlight w:val="none"/>
              </w:rPr>
              <w:t>）</w:t>
            </w:r>
            <w:r>
              <w:rPr>
                <w:rFonts w:hint="eastAsia" w:ascii="楷体_GB2312" w:eastAsia="楷体_GB2312" w:cs="楷体_GB2312"/>
                <w:color w:val="000000"/>
                <w:sz w:val="20"/>
                <w:szCs w:val="20"/>
                <w:highlight w:val="none"/>
              </w:rPr>
              <w:t>。本风险分级为信银理财自行评定，仅供参考。</w:t>
            </w:r>
          </w:p>
          <w:p w14:paraId="5142B071">
            <w:pPr>
              <w:spacing w:line="300" w:lineRule="exact"/>
              <w:ind w:left="-2" w:leftChars="-1" w:right="36" w:rightChars="15"/>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信银理财有权根据市场变化对产品风险等级进行调整，</w:t>
            </w:r>
            <w:r>
              <w:rPr>
                <w:rFonts w:ascii="楷体_GB2312" w:eastAsia="楷体_GB2312" w:cs="楷体_GB2312"/>
                <w:color w:val="000000" w:themeColor="text1"/>
                <w:sz w:val="20"/>
                <w:szCs w:val="20"/>
                <w:highlight w:val="none"/>
                <w14:textFill>
                  <w14:solidFill>
                    <w14:schemeClr w14:val="tx1"/>
                  </w14:solidFill>
                </w14:textFill>
              </w:rPr>
              <w:t>并最迟于调整生效前</w:t>
            </w: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】个工作日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本说明书约定的方式</w:t>
            </w:r>
            <w:r>
              <w:rPr>
                <w:rFonts w:hint="eastAsia" w:ascii="楷体_GB2312" w:eastAsia="楷体_GB2312" w:cs="楷体_GB2312"/>
                <w:color w:val="000000" w:themeColor="text1"/>
                <w:sz w:val="20"/>
                <w:szCs w:val="20"/>
                <w:highlight w:val="none"/>
                <w14:textFill>
                  <w14:solidFill>
                    <w14:schemeClr w14:val="tx1"/>
                  </w14:solidFill>
                </w14:textFill>
              </w:rPr>
              <w:t>向投资者发布相关信息</w:t>
            </w:r>
            <w:r>
              <w:rPr>
                <w:rFonts w:ascii="楷体_GB2312" w:eastAsia="楷体_GB2312" w:cs="楷体_GB2312"/>
                <w:color w:val="000000" w:themeColor="text1"/>
                <w:sz w:val="20"/>
                <w:szCs w:val="20"/>
                <w:highlight w:val="none"/>
                <w14:textFill>
                  <w14:solidFill>
                    <w14:schemeClr w14:val="tx1"/>
                  </w14:solidFill>
                </w14:textFill>
              </w:rPr>
              <w:t>。</w:t>
            </w:r>
          </w:p>
          <w:p w14:paraId="0C23C1AC">
            <w:pPr>
              <w:spacing w:line="300" w:lineRule="exact"/>
              <w:ind w:left="-2" w:leftChars="-1" w:right="36" w:rightChars="15"/>
              <w:rPr>
                <w:rFonts w:ascii="楷体_GB2312" w:eastAsia="楷体_GB2312"/>
                <w:b/>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产品通过代销机构销售的，代销机构将</w:t>
            </w:r>
            <w:r>
              <w:rPr>
                <w:rFonts w:hint="eastAsia" w:ascii="楷体_GB2312" w:eastAsia="楷体_GB2312" w:cs="楷体_GB2312"/>
                <w:color w:val="000000" w:themeColor="text1"/>
                <w:sz w:val="20"/>
                <w:szCs w:val="20"/>
                <w:highlight w:val="none"/>
                <w14:textFill>
                  <w14:solidFill>
                    <w14:schemeClr w14:val="tx1"/>
                  </w14:solidFill>
                </w14:textFill>
              </w:rPr>
              <w:t>对</w:t>
            </w:r>
            <w:r>
              <w:rPr>
                <w:rFonts w:ascii="楷体_GB2312" w:eastAsia="楷体_GB2312" w:cs="楷体_GB2312"/>
                <w:color w:val="000000" w:themeColor="text1"/>
                <w:sz w:val="20"/>
                <w:szCs w:val="20"/>
                <w:highlight w:val="none"/>
                <w14:textFill>
                  <w14:solidFill>
                    <w14:schemeClr w14:val="tx1"/>
                  </w14:solidFill>
                </w14:textFill>
              </w:rPr>
              <w:t>理财产品进行风险评级</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对投资者进行风险</w:t>
            </w:r>
            <w:r>
              <w:rPr>
                <w:rFonts w:hint="eastAsia" w:ascii="楷体_GB2312" w:eastAsia="楷体_GB2312" w:cs="楷体_GB2312"/>
                <w:color w:val="000000" w:themeColor="text1"/>
                <w:sz w:val="20"/>
                <w:szCs w:val="20"/>
                <w:highlight w:val="none"/>
                <w14:textFill>
                  <w14:solidFill>
                    <w14:schemeClr w14:val="tx1"/>
                  </w14:solidFill>
                </w14:textFill>
              </w:rPr>
              <w:t>承受能力</w:t>
            </w:r>
            <w:r>
              <w:rPr>
                <w:rFonts w:ascii="楷体_GB2312" w:eastAsia="楷体_GB2312" w:cs="楷体_GB2312"/>
                <w:color w:val="000000" w:themeColor="text1"/>
                <w:sz w:val="20"/>
                <w:szCs w:val="20"/>
                <w:highlight w:val="none"/>
                <w14:textFill>
                  <w14:solidFill>
                    <w14:schemeClr w14:val="tx1"/>
                  </w14:solidFill>
                </w14:textFill>
              </w:rPr>
              <w:t>测评</w:t>
            </w:r>
            <w:r>
              <w:rPr>
                <w:rFonts w:hint="eastAsia" w:ascii="楷体_GB2312" w:eastAsia="楷体_GB2312" w:cs="楷体_GB2312"/>
                <w:b w:val="0"/>
                <w:bCs w:val="0"/>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理财产品评级应当以代销机构最终披露的评级结果为准</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代销</w:t>
            </w:r>
            <w:r>
              <w:rPr>
                <w:rFonts w:ascii="楷体_GB2312" w:eastAsia="楷体_GB2312" w:cs="楷体_GB2312"/>
                <w:color w:val="000000" w:themeColor="text1"/>
                <w:sz w:val="20"/>
                <w:szCs w:val="20"/>
                <w:highlight w:val="none"/>
                <w14:textFill>
                  <w14:solidFill>
                    <w14:schemeClr w14:val="tx1"/>
                  </w14:solidFill>
                </w14:textFill>
              </w:rPr>
              <w:t>机构对</w:t>
            </w:r>
            <w:r>
              <w:rPr>
                <w:rFonts w:hint="eastAsia" w:ascii="楷体_GB2312" w:eastAsia="楷体_GB2312" w:cs="楷体_GB2312"/>
                <w:color w:val="000000" w:themeColor="text1"/>
                <w:sz w:val="20"/>
                <w:szCs w:val="20"/>
                <w:highlight w:val="none"/>
                <w14:textFill>
                  <w14:solidFill>
                    <w14:schemeClr w14:val="tx1"/>
                  </w14:solidFill>
                </w14:textFill>
              </w:rPr>
              <w:t>产品的</w:t>
            </w:r>
            <w:r>
              <w:rPr>
                <w:rFonts w:ascii="楷体_GB2312" w:eastAsia="楷体_GB2312" w:cs="楷体_GB2312"/>
                <w:color w:val="000000" w:themeColor="text1"/>
                <w:sz w:val="20"/>
                <w:szCs w:val="20"/>
                <w:highlight w:val="none"/>
                <w14:textFill>
                  <w14:solidFill>
                    <w14:schemeClr w14:val="tx1"/>
                  </w14:solidFill>
                </w14:textFill>
              </w:rPr>
              <w:t>风险</w:t>
            </w:r>
            <w:r>
              <w:rPr>
                <w:rFonts w:hint="eastAsia" w:ascii="楷体_GB2312" w:eastAsia="楷体_GB2312" w:cs="楷体_GB2312"/>
                <w:color w:val="000000" w:themeColor="text1"/>
                <w:sz w:val="20"/>
                <w:szCs w:val="20"/>
                <w:highlight w:val="none"/>
                <w14:textFill>
                  <w14:solidFill>
                    <w14:schemeClr w14:val="tx1"/>
                  </w14:solidFill>
                </w14:textFill>
              </w:rPr>
              <w:t>评级</w:t>
            </w:r>
            <w:r>
              <w:rPr>
                <w:rFonts w:ascii="楷体_GB2312" w:eastAsia="楷体_GB2312" w:cs="楷体_GB2312"/>
                <w:color w:val="000000" w:themeColor="text1"/>
                <w:sz w:val="20"/>
                <w:szCs w:val="20"/>
                <w:highlight w:val="none"/>
                <w14:textFill>
                  <w14:solidFill>
                    <w14:schemeClr w14:val="tx1"/>
                  </w14:solidFill>
                </w14:textFill>
              </w:rPr>
              <w:t>结果与信银理财不一致的，将采用对应较高风险</w:t>
            </w:r>
            <w:r>
              <w:rPr>
                <w:rFonts w:hint="eastAsia" w:ascii="楷体_GB2312" w:eastAsia="楷体_GB2312" w:cs="楷体_GB2312"/>
                <w:color w:val="000000" w:themeColor="text1"/>
                <w:sz w:val="20"/>
                <w:szCs w:val="20"/>
                <w:highlight w:val="none"/>
                <w14:textFill>
                  <w14:solidFill>
                    <w14:schemeClr w14:val="tx1"/>
                  </w14:solidFill>
                </w14:textFill>
              </w:rPr>
              <w:t>等级</w:t>
            </w:r>
            <w:r>
              <w:rPr>
                <w:rFonts w:ascii="楷体_GB2312" w:eastAsia="楷体_GB2312" w:cs="楷体_GB2312"/>
                <w:color w:val="000000" w:themeColor="text1"/>
                <w:sz w:val="20"/>
                <w:szCs w:val="20"/>
                <w:highlight w:val="none"/>
                <w14:textFill>
                  <w14:solidFill>
                    <w14:schemeClr w14:val="tx1"/>
                  </w14:solidFill>
                </w14:textFill>
              </w:rPr>
              <w:t>的评级结果。</w:t>
            </w:r>
          </w:p>
        </w:tc>
      </w:tr>
      <w:tr w14:paraId="4B7B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6FAA7E0B">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发行对象</w:t>
            </w:r>
          </w:p>
        </w:tc>
        <w:tc>
          <w:tcPr>
            <w:tcW w:w="3709" w:type="pct"/>
            <w:vAlign w:val="center"/>
          </w:tcPr>
          <w:p w14:paraId="136D36A1">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【个人/机构】客户</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sz w:val="20"/>
                <w:szCs w:val="20"/>
                <w:highlight w:val="none"/>
              </w:rPr>
              <w:t>适合</w:t>
            </w:r>
            <w:r>
              <w:rPr>
                <w:rFonts w:hint="eastAsia" w:ascii="楷体_GB2312" w:eastAsia="楷体_GB2312" w:cs="Times New Roman"/>
                <w:sz w:val="20"/>
                <w:szCs w:val="20"/>
                <w:highlight w:val="none"/>
              </w:rPr>
              <w:t>【稳健型】、【平衡型】、【进取型】、【激进型】</w:t>
            </w:r>
            <w:r>
              <w:rPr>
                <w:rFonts w:hint="eastAsia" w:ascii="楷体_GB2312" w:eastAsia="楷体_GB2312" w:cs="楷体_GB2312"/>
                <w:color w:val="000000"/>
                <w:sz w:val="20"/>
                <w:szCs w:val="20"/>
                <w:highlight w:val="none"/>
              </w:rPr>
              <w:t>投资者。</w:t>
            </w:r>
            <w:r>
              <w:rPr>
                <w:rFonts w:hint="eastAsia" w:ascii="楷体_GB2312" w:eastAsia="楷体_GB2312" w:cs="楷体_GB2312"/>
                <w:sz w:val="20"/>
                <w:szCs w:val="20"/>
                <w:highlight w:val="none"/>
              </w:rPr>
              <w:t>代销机构对产品的发行对象与信银理财不一致的，以代销机构为准</w:t>
            </w:r>
            <w:r>
              <w:rPr>
                <w:rFonts w:hint="eastAsia" w:ascii="楷体_GB2312" w:eastAsia="楷体_GB2312" w:cs="楷体_GB2312"/>
                <w:b w:val="0"/>
                <w:bCs w:val="0"/>
                <w:sz w:val="20"/>
                <w:szCs w:val="20"/>
                <w:highlight w:val="none"/>
                <w:lang w:eastAsia="zh-CN"/>
              </w:rPr>
              <w:t>，</w:t>
            </w:r>
            <w:r>
              <w:rPr>
                <w:rFonts w:hint="eastAsia" w:ascii="楷体_GB2312" w:eastAsia="楷体_GB2312" w:cs="楷体_GB2312"/>
                <w:b w:val="0"/>
                <w:bCs w:val="0"/>
                <w:sz w:val="20"/>
                <w:szCs w:val="20"/>
                <w:highlight w:val="none"/>
                <w:lang w:val="en-US" w:eastAsia="zh-CN"/>
              </w:rPr>
              <w:t>但不得超出上述发行对象范围</w:t>
            </w:r>
            <w:r>
              <w:rPr>
                <w:rFonts w:hint="eastAsia" w:ascii="楷体_GB2312" w:eastAsia="楷体_GB2312" w:cs="楷体_GB2312"/>
                <w:b w:val="0"/>
                <w:bCs w:val="0"/>
                <w:sz w:val="20"/>
                <w:szCs w:val="20"/>
                <w:highlight w:val="none"/>
              </w:rPr>
              <w:t>。</w:t>
            </w:r>
          </w:p>
        </w:tc>
      </w:tr>
      <w:tr w14:paraId="2F49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26F8B53">
            <w:pPr>
              <w:spacing w:line="300" w:lineRule="exact"/>
              <w:ind w:left="-2" w:leftChars="-1" w:right="36" w:rightChars="15"/>
              <w:rPr>
                <w:rFonts w:ascii="Times New Roman"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理财本金</w:t>
            </w:r>
          </w:p>
        </w:tc>
        <w:tc>
          <w:tcPr>
            <w:tcW w:w="3709" w:type="pct"/>
            <w:vAlign w:val="center"/>
          </w:tcPr>
          <w:p w14:paraId="7B38D788">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本理财产品不保证本金及理财收益，其理财收益随单位净值浮动。详细内容见以下“七</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理财资金分配</w:t>
            </w:r>
            <w:r>
              <w:rPr>
                <w:rFonts w:hint="eastAsia" w:ascii="楷体_GB2312" w:eastAsia="楷体_GB2312" w:cs="楷体_GB2312"/>
                <w:color w:val="000000" w:themeColor="text1"/>
                <w:sz w:val="20"/>
                <w:szCs w:val="20"/>
                <w:highlight w:val="none"/>
                <w14:textFill>
                  <w14:solidFill>
                    <w14:schemeClr w14:val="tx1"/>
                  </w14:solidFill>
                </w14:textFill>
              </w:rPr>
              <w:t>”。</w:t>
            </w:r>
          </w:p>
        </w:tc>
      </w:tr>
      <w:tr w14:paraId="77CA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AF11232">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w:t>
            </w:r>
          </w:p>
        </w:tc>
        <w:tc>
          <w:tcPr>
            <w:tcW w:w="3709" w:type="pct"/>
            <w:vAlign w:val="center"/>
          </w:tcPr>
          <w:p w14:paraId="74EAD760">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指</w:t>
            </w:r>
            <w:r>
              <w:rPr>
                <w:rFonts w:ascii="楷体_GB2312" w:eastAsia="楷体_GB2312" w:cs="楷体_GB2312"/>
                <w:color w:val="000000" w:themeColor="text1"/>
                <w:sz w:val="20"/>
                <w:szCs w:val="20"/>
                <w:highlight w:val="none"/>
                <w14:textFill>
                  <w14:solidFill>
                    <w14:schemeClr w14:val="tx1"/>
                  </w14:solidFill>
                </w14:textFill>
              </w:rPr>
              <w:t>管理人依据理财产品</w:t>
            </w:r>
            <w:r>
              <w:rPr>
                <w:rFonts w:hint="eastAsia" w:ascii="楷体_GB2312" w:eastAsia="楷体_GB2312" w:cs="楷体_GB2312"/>
                <w:color w:val="000000" w:themeColor="text1"/>
                <w:sz w:val="20"/>
                <w:szCs w:val="20"/>
                <w:highlight w:val="none"/>
                <w14:textFill>
                  <w14:solidFill>
                    <w14:schemeClr w14:val="tx1"/>
                  </w14:solidFill>
                </w14:textFill>
              </w:rPr>
              <w:t>合同</w:t>
            </w:r>
            <w:r>
              <w:rPr>
                <w:rFonts w:ascii="楷体_GB2312" w:eastAsia="楷体_GB2312" w:cs="楷体_GB2312"/>
                <w:color w:val="000000" w:themeColor="text1"/>
                <w:sz w:val="20"/>
                <w:szCs w:val="20"/>
                <w:highlight w:val="none"/>
                <w14:textFill>
                  <w14:solidFill>
                    <w14:schemeClr w14:val="tx1"/>
                  </w14:solidFill>
                </w14:textFill>
              </w:rPr>
              <w:t>向投资者发行的</w:t>
            </w:r>
            <w:r>
              <w:rPr>
                <w:rFonts w:hint="eastAsia" w:ascii="楷体_GB2312" w:eastAsia="楷体_GB2312" w:cs="楷体_GB2312"/>
                <w:color w:val="000000" w:themeColor="text1"/>
                <w:sz w:val="20"/>
                <w:szCs w:val="20"/>
                <w:highlight w:val="none"/>
                <w14:textFill>
                  <w14:solidFill>
                    <w14:schemeClr w14:val="tx1"/>
                  </w14:solidFill>
                </w14:textFill>
              </w:rPr>
              <w:t>理财产品</w:t>
            </w:r>
            <w:r>
              <w:rPr>
                <w:rFonts w:ascii="楷体_GB2312" w:eastAsia="楷体_GB2312" w:cs="楷体_GB2312"/>
                <w:color w:val="000000" w:themeColor="text1"/>
                <w:sz w:val="20"/>
                <w:szCs w:val="20"/>
                <w:highlight w:val="none"/>
                <w14:textFill>
                  <w14:solidFill>
                    <w14:schemeClr w14:val="tx1"/>
                  </w14:solidFill>
                </w14:textFill>
              </w:rPr>
              <w:t>受益凭证。理财产品</w:t>
            </w:r>
            <w:r>
              <w:rPr>
                <w:rFonts w:hint="eastAsia" w:ascii="楷体_GB2312" w:eastAsia="楷体_GB2312" w:cs="楷体_GB2312"/>
                <w:color w:val="000000" w:themeColor="text1"/>
                <w:sz w:val="20"/>
                <w:szCs w:val="20"/>
                <w:highlight w:val="none"/>
                <w14:textFill>
                  <w14:solidFill>
                    <w14:schemeClr w14:val="tx1"/>
                  </w14:solidFill>
                </w14:textFill>
              </w:rPr>
              <w:t>份额</w:t>
            </w:r>
            <w:r>
              <w:rPr>
                <w:rFonts w:ascii="楷体_GB2312" w:eastAsia="楷体_GB2312" w:cs="楷体_GB2312"/>
                <w:color w:val="000000" w:themeColor="text1"/>
                <w:sz w:val="20"/>
                <w:szCs w:val="20"/>
                <w:highlight w:val="none"/>
                <w14:textFill>
                  <w14:solidFill>
                    <w14:schemeClr w14:val="tx1"/>
                  </w14:solidFill>
                </w14:textFill>
              </w:rPr>
              <w:t>持有人基于其所持有的理财产品份额享有理财产品利益、承担理财产品资产风险。</w:t>
            </w:r>
          </w:p>
        </w:tc>
      </w:tr>
      <w:tr w14:paraId="673D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7E2C0F9F">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产品份额面值</w:t>
            </w:r>
          </w:p>
        </w:tc>
        <w:tc>
          <w:tcPr>
            <w:tcW w:w="3709" w:type="pct"/>
            <w:vAlign w:val="center"/>
          </w:tcPr>
          <w:p w14:paraId="547247BC">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产品份额面值为</w:t>
            </w:r>
            <w:r>
              <w:rPr>
                <w:rFonts w:hint="eastAsia" w:ascii="楷体_GB2312" w:eastAsia="楷体_GB2312" w:cs="楷体_GB2312"/>
                <w:color w:val="000000" w:themeColor="text1"/>
                <w:sz w:val="20"/>
                <w:szCs w:val="20"/>
                <w:highlight w:val="none"/>
                <w14:textFill>
                  <w14:solidFill>
                    <w14:schemeClr w14:val="tx1"/>
                  </w14:solidFill>
                </w14:textFill>
              </w:rPr>
              <w:t>【人民币</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1元。</w:t>
            </w:r>
          </w:p>
        </w:tc>
      </w:tr>
      <w:tr w14:paraId="5B2F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41C447F">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w:t>
            </w:r>
            <w:r>
              <w:rPr>
                <w:rFonts w:ascii="Times New Roman" w:eastAsia="楷体_GB2312" w:cs="楷体_GB2312"/>
                <w:color w:val="000000" w:themeColor="text1"/>
                <w:sz w:val="20"/>
                <w:szCs w:val="20"/>
                <w:highlight w:val="none"/>
                <w14:textFill>
                  <w14:solidFill>
                    <w14:schemeClr w14:val="tx1"/>
                  </w14:solidFill>
                </w14:textFill>
              </w:rPr>
              <w:t>产品份额类型</w:t>
            </w:r>
          </w:p>
        </w:tc>
        <w:tc>
          <w:tcPr>
            <w:tcW w:w="3709" w:type="pct"/>
            <w:vAlign w:val="center"/>
          </w:tcPr>
          <w:p w14:paraId="0F8D0FF3">
            <w:pPr>
              <w:spacing w:line="300" w:lineRule="exact"/>
              <w:ind w:right="36" w:rightChars="15"/>
              <w:rPr>
                <w:rFonts w:ascii="楷体_GB2312" w:eastAsia="楷体_GB2312" w:cs="楷体_GB2312"/>
                <w:sz w:val="20"/>
                <w:szCs w:val="20"/>
                <w:highlight w:val="none"/>
              </w:rPr>
            </w:pPr>
            <w:r>
              <w:rPr>
                <w:rFonts w:hint="eastAsia" w:ascii="楷体_GB2312" w:eastAsia="楷体_GB2312" w:cs="楷体_GB2312"/>
                <w:sz w:val="20"/>
                <w:szCs w:val="20"/>
                <w:highlight w:val="none"/>
              </w:rPr>
              <w:t>【A】类份额：份额代码【AF266137A】</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【B】类份额：份额代码【AF266137B】</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【D】类份额：份额代码【AF266137D】</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【G】类份额：份额代码【AF266137G】</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【H】类份额：份额代码【AF266137H】</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【K】类份额：份额代码【AF266137K】</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【M】类份额：份额代码【AF266137M】</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【S】类份额：份额代码【AF266137S】</w:t>
            </w:r>
          </w:p>
          <w:p w14:paraId="585FCACA">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p>
          <w:p w14:paraId="66B5979E">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后续理财产品份额类型如有新增、减少和变更，信银理财将按照本说明书约定的方式告知投资者。</w:t>
            </w:r>
          </w:p>
        </w:tc>
      </w:tr>
      <w:tr w14:paraId="25B5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589387CE">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工作日</w:t>
            </w:r>
          </w:p>
        </w:tc>
        <w:tc>
          <w:tcPr>
            <w:tcW w:w="3709" w:type="pct"/>
            <w:vAlign w:val="center"/>
          </w:tcPr>
          <w:p w14:paraId="078AC594">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指除中国法定节假日和公休日外的其他日。</w:t>
            </w:r>
          </w:p>
        </w:tc>
      </w:tr>
      <w:tr w14:paraId="3CEC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F14243A">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募集期</w:t>
            </w:r>
          </w:p>
        </w:tc>
        <w:tc>
          <w:tcPr>
            <w:tcW w:w="3709" w:type="pct"/>
            <w:vAlign w:val="center"/>
          </w:tcPr>
          <w:p w14:paraId="33B6B195">
            <w:pPr>
              <w:pStyle w:val="20"/>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【2026】年【9】月【1】日至【2026】年【9】月【7】日</w:t>
            </w:r>
            <w:r>
              <w:rPr>
                <w:rFonts w:hint="eastAsia" w:ascii="楷体_GB2312"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信银理财</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有权提前结束募集期并提前成立产品或者延长募集期。</w:t>
            </w:r>
          </w:p>
          <w:p w14:paraId="52A3ED1F">
            <w:pPr>
              <w:pStyle w:val="20"/>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ascii="Times New Roman" w:hAnsi="Times New Roman" w:eastAsia="楷体_GB2312" w:cs="Times New Roman"/>
                <w:color w:val="000000" w:themeColor="text1"/>
                <w:sz w:val="20"/>
                <w:szCs w:val="20"/>
                <w:highlight w:val="none"/>
                <w14:textFill>
                  <w14:solidFill>
                    <w14:schemeClr w14:val="tx1"/>
                  </w14:solidFill>
                </w14:textFill>
              </w:rPr>
              <w:t>投资者在</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信银</w:t>
            </w:r>
            <w:r>
              <w:rPr>
                <w:rFonts w:ascii="Times New Roman" w:hAnsi="Times New Roman" w:eastAsia="楷体_GB2312" w:cs="Times New Roman"/>
                <w:color w:val="000000" w:themeColor="text1"/>
                <w:sz w:val="20"/>
                <w:szCs w:val="20"/>
                <w:highlight w:val="none"/>
                <w14:textFill>
                  <w14:solidFill>
                    <w14:schemeClr w14:val="tx1"/>
                  </w14:solidFill>
                </w14:textFill>
              </w:rPr>
              <w:t>理财直销渠道购买</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产品</w:t>
            </w:r>
            <w:r>
              <w:rPr>
                <w:rFonts w:ascii="Times New Roman" w:hAnsi="Times New Roman" w:eastAsia="楷体_GB2312" w:cs="Times New Roman"/>
                <w:color w:val="000000" w:themeColor="text1"/>
                <w:sz w:val="20"/>
                <w:szCs w:val="20"/>
                <w:highlight w:val="none"/>
                <w14:textFill>
                  <w14:solidFill>
                    <w14:schemeClr w14:val="tx1"/>
                  </w14:solidFill>
                </w14:textFill>
              </w:rPr>
              <w:t>的，募集期内可以撤单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。撤单</w:t>
            </w:r>
            <w:r>
              <w:rPr>
                <w:rFonts w:ascii="Times New Roman" w:hAnsi="Times New Roman" w:eastAsia="楷体_GB2312" w:cs="Times New Roman"/>
                <w:color w:val="000000" w:themeColor="text1"/>
                <w:sz w:val="20"/>
                <w:szCs w:val="20"/>
                <w:highlight w:val="none"/>
                <w14:textFill>
                  <w14:solidFill>
                    <w14:schemeClr w14:val="tx1"/>
                  </w14:solidFill>
                </w14:textFill>
              </w:rPr>
              <w:t>具体规则</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以</w:t>
            </w:r>
            <w:r>
              <w:rPr>
                <w:rFonts w:ascii="Times New Roman" w:hAnsi="Times New Roman" w:eastAsia="楷体_GB2312" w:cs="Times New Roman"/>
                <w:color w:val="000000" w:themeColor="text1"/>
                <w:sz w:val="20"/>
                <w:szCs w:val="20"/>
                <w:highlight w:val="none"/>
                <w14:textFill>
                  <w14:solidFill>
                    <w14:schemeClr w14:val="tx1"/>
                  </w14:solidFill>
                </w14:textFill>
              </w:rPr>
              <w:t>信银理财</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说明</w:t>
            </w:r>
            <w:r>
              <w:rPr>
                <w:rFonts w:ascii="Times New Roman" w:hAnsi="Times New Roman" w:eastAsia="楷体_GB2312" w:cs="Times New Roman"/>
                <w:color w:val="000000" w:themeColor="text1"/>
                <w:sz w:val="20"/>
                <w:szCs w:val="20"/>
                <w:highlight w:val="none"/>
                <w14:textFill>
                  <w14:solidFill>
                    <w14:schemeClr w14:val="tx1"/>
                  </w14:solidFill>
                </w14:textFill>
              </w:rPr>
              <w:t>或公布的操作方式为准。</w:t>
            </w:r>
          </w:p>
          <w:p w14:paraId="7908389D">
            <w:pPr>
              <w:pStyle w:val="20"/>
              <w:spacing w:line="300" w:lineRule="exact"/>
              <w:ind w:left="358" w:right="36" w:rightChars="15" w:firstLine="0"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投资者在</w:t>
            </w:r>
            <w:r>
              <w:rPr>
                <w:rFonts w:ascii="Times New Roman" w:hAnsi="Times New Roman" w:eastAsia="楷体_GB2312" w:cs="Times New Roman"/>
                <w:color w:val="000000" w:themeColor="text1"/>
                <w:sz w:val="20"/>
                <w:szCs w:val="20"/>
                <w:highlight w:val="none"/>
                <w14:textFill>
                  <w14:solidFill>
                    <w14:schemeClr w14:val="tx1"/>
                  </w14:solidFill>
                </w14:textFill>
              </w:rPr>
              <w:t>代销</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机构</w:t>
            </w:r>
            <w:r>
              <w:rPr>
                <w:rFonts w:ascii="Times New Roman" w:hAnsi="Times New Roman" w:eastAsia="楷体_GB2312" w:cs="Times New Roman"/>
                <w:color w:val="000000" w:themeColor="text1"/>
                <w:sz w:val="20"/>
                <w:szCs w:val="20"/>
                <w:highlight w:val="none"/>
                <w14:textFill>
                  <w14:solidFill>
                    <w14:schemeClr w14:val="tx1"/>
                  </w14:solidFill>
                </w14:textFill>
              </w:rPr>
              <w:t>购买理财产品的，</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募集期</w:t>
            </w:r>
            <w:r>
              <w:rPr>
                <w:rFonts w:ascii="Times New Roman" w:hAnsi="Times New Roman" w:eastAsia="楷体_GB2312" w:cs="Times New Roman"/>
                <w:color w:val="000000" w:themeColor="text1"/>
                <w:sz w:val="20"/>
                <w:szCs w:val="20"/>
                <w:highlight w:val="none"/>
                <w14:textFill>
                  <w14:solidFill>
                    <w14:schemeClr w14:val="tx1"/>
                  </w14:solidFill>
                </w14:textFill>
              </w:rPr>
              <w:t>内是否可以撤单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以及</w:t>
            </w:r>
            <w:r>
              <w:rPr>
                <w:rFonts w:ascii="Times New Roman" w:hAnsi="Times New Roman" w:eastAsia="楷体_GB2312" w:cs="Times New Roman"/>
                <w:color w:val="000000" w:themeColor="text1"/>
                <w:sz w:val="20"/>
                <w:szCs w:val="20"/>
                <w:highlight w:val="none"/>
                <w14:textFill>
                  <w14:solidFill>
                    <w14:schemeClr w14:val="tx1"/>
                  </w14:solidFill>
                </w14:textFill>
              </w:rPr>
              <w:t>撤单规则，以代销机构说明或公布的操作方式为准。</w:t>
            </w:r>
          </w:p>
          <w:p w14:paraId="624B8A1F">
            <w:pPr>
              <w:pStyle w:val="20"/>
              <w:spacing w:line="300" w:lineRule="exact"/>
              <w:ind w:left="358" w:right="36" w:rightChars="15" w:firstLine="0"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“可以</w:t>
            </w:r>
            <w:r>
              <w:rPr>
                <w:rFonts w:ascii="Times New Roman" w:hAnsi="Times New Roman" w:eastAsia="楷体_GB2312" w:cs="Times New Roman"/>
                <w:color w:val="000000" w:themeColor="text1"/>
                <w:sz w:val="20"/>
                <w:szCs w:val="20"/>
                <w:highlight w:val="none"/>
                <w14:textFill>
                  <w14:solidFill>
                    <w14:schemeClr w14:val="tx1"/>
                  </w14:solidFill>
                </w14:textFill>
              </w:rPr>
              <w:t>撤单</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”则</w:t>
            </w:r>
            <w:r>
              <w:rPr>
                <w:rFonts w:ascii="Times New Roman" w:hAnsi="Times New Roman" w:eastAsia="楷体_GB2312" w:cs="Times New Roman"/>
                <w:color w:val="000000" w:themeColor="text1"/>
                <w:sz w:val="20"/>
                <w:szCs w:val="20"/>
                <w:highlight w:val="none"/>
                <w14:textFill>
                  <w14:solidFill>
                    <w14:schemeClr w14:val="tx1"/>
                  </w14:solidFill>
                </w14:textFill>
              </w:rPr>
              <w:t>意味着</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投资者有权撤销其已向信银理财或代销机构提交的认购申请。</w:t>
            </w:r>
          </w:p>
          <w:p w14:paraId="2B55BFA6">
            <w:pPr>
              <w:pStyle w:val="20"/>
              <w:numPr>
                <w:ilvl w:val="0"/>
                <w:numId w:val="1"/>
              </w:numPr>
              <w:spacing w:line="300" w:lineRule="exact"/>
              <w:ind w:right="36" w:rightChars="15" w:firstLineChars="0"/>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募集期内投资者认购款项在管理人募集账户不产生利息，是否计付利息以及利息计付规则以销售机构为准。</w:t>
            </w:r>
          </w:p>
        </w:tc>
      </w:tr>
      <w:tr w14:paraId="3AB6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CD3BBF5">
            <w:pPr>
              <w:spacing w:line="300" w:lineRule="atLeast"/>
              <w:ind w:left="-2" w:right="31"/>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运作</w:t>
            </w:r>
            <w:r>
              <w:rPr>
                <w:rFonts w:ascii="Times New Roman" w:hAnsi="Times New Roman" w:eastAsia="楷体_GB2312" w:cs="Times New Roman"/>
                <w:color w:val="000000" w:themeColor="text1"/>
                <w:sz w:val="20"/>
                <w:szCs w:val="20"/>
                <w:highlight w:val="none"/>
                <w14:textFill>
                  <w14:solidFill>
                    <w14:schemeClr w14:val="tx1"/>
                  </w14:solidFill>
                </w14:textFill>
              </w:rPr>
              <w:t>起始</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日</w:t>
            </w:r>
          </w:p>
        </w:tc>
        <w:tc>
          <w:tcPr>
            <w:tcW w:w="3709" w:type="pct"/>
            <w:vAlign w:val="center"/>
          </w:tcPr>
          <w:p w14:paraId="2D30CB65">
            <w:pPr>
              <w:spacing w:line="300" w:lineRule="atLeast"/>
              <w:ind w:left="-2" w:right="31"/>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eastAsia="楷体_GB2312" w:cs="Times New Roman"/>
                <w:color w:val="000000" w:themeColor="text1"/>
                <w:sz w:val="20"/>
                <w:szCs w:val="20"/>
                <w:highlight w:val="none"/>
                <w14:textFill>
                  <w14:solidFill>
                    <w14:schemeClr w14:val="tx1"/>
                  </w14:solidFill>
                </w14:textFill>
              </w:rPr>
              <w:t>【2026】年【9】月【8】日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（如</w:t>
            </w: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信银理财</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调整募集期，则运作</w:t>
            </w:r>
            <w:r>
              <w:rPr>
                <w:rFonts w:ascii="Times New Roman" w:hAnsi="Times New Roman" w:eastAsia="楷体_GB2312" w:cs="Times New Roman"/>
                <w:color w:val="000000" w:themeColor="text1"/>
                <w:sz w:val="20"/>
                <w:szCs w:val="20"/>
                <w:highlight w:val="none"/>
                <w14:textFill>
                  <w14:solidFill>
                    <w14:schemeClr w14:val="tx1"/>
                  </w14:solidFill>
                </w14:textFill>
              </w:rPr>
              <w:t>起始</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日将相应调整。）</w:t>
            </w:r>
          </w:p>
        </w:tc>
      </w:tr>
      <w:tr w14:paraId="4686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CE1C3EA">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产品建仓期</w:t>
            </w:r>
          </w:p>
        </w:tc>
        <w:tc>
          <w:tcPr>
            <w:tcW w:w="3709" w:type="pct"/>
            <w:vAlign w:val="center"/>
          </w:tcPr>
          <w:p w14:paraId="15383D91">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【2026】年【9】月【8】日</w:t>
            </w:r>
            <w:r>
              <w:rPr>
                <w:rFonts w:hint="eastAsia" w:ascii="楷体_GB2312" w:eastAsia="楷体_GB2312" w:cs="楷体_GB2312"/>
                <w:color w:val="000000" w:themeColor="text1"/>
                <w:sz w:val="20"/>
                <w:szCs w:val="20"/>
                <w:highlight w:val="none"/>
                <w14:textFill>
                  <w14:solidFill>
                    <w14:schemeClr w14:val="tx1"/>
                  </w14:solidFill>
                </w14:textFill>
              </w:rPr>
              <w:t>至【2027】年【3】月【7】日。</w:t>
            </w:r>
          </w:p>
        </w:tc>
      </w:tr>
      <w:tr w14:paraId="6676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649C0CA">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到期日</w:t>
            </w:r>
          </w:p>
        </w:tc>
        <w:tc>
          <w:tcPr>
            <w:tcW w:w="3709" w:type="pct"/>
            <w:vAlign w:val="center"/>
          </w:tcPr>
          <w:p w14:paraId="161A27DB">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【2027】年【11】月【2】日</w:t>
            </w:r>
            <w:r>
              <w:rPr>
                <w:rFonts w:hint="eastAsia" w:ascii="楷体_GB2312" w:eastAsia="楷体_GB2312" w:cs="楷体_GB2312"/>
                <w:color w:val="000000" w:themeColor="text1"/>
                <w:sz w:val="20"/>
                <w:szCs w:val="20"/>
                <w:highlight w:val="none"/>
                <w14:textFill>
                  <w14:solidFill>
                    <w14:schemeClr w14:val="tx1"/>
                  </w14:solidFill>
                </w14:textFill>
              </w:rPr>
              <w:t>（受运作</w:t>
            </w:r>
            <w:r>
              <w:rPr>
                <w:rFonts w:ascii="楷体_GB2312" w:eastAsia="楷体_GB2312" w:cs="楷体_GB2312"/>
                <w:color w:val="000000" w:themeColor="text1"/>
                <w:sz w:val="20"/>
                <w:szCs w:val="20"/>
                <w:highlight w:val="none"/>
                <w14:textFill>
                  <w14:solidFill>
                    <w14:schemeClr w14:val="tx1"/>
                  </w14:solidFill>
                </w14:textFill>
              </w:rPr>
              <w:t>起始</w:t>
            </w:r>
            <w:r>
              <w:rPr>
                <w:rFonts w:hint="eastAsia" w:ascii="楷体_GB2312" w:eastAsia="楷体_GB2312" w:cs="楷体_GB2312"/>
                <w:color w:val="000000" w:themeColor="text1"/>
                <w:sz w:val="20"/>
                <w:szCs w:val="20"/>
                <w:highlight w:val="none"/>
                <w14:textFill>
                  <w14:solidFill>
                    <w14:schemeClr w14:val="tx1"/>
                  </w14:solidFill>
                </w14:textFill>
              </w:rPr>
              <w:t>日、提前终止条款等约束，遇非工作日则顺延至下一工作日）</w:t>
            </w:r>
          </w:p>
        </w:tc>
      </w:tr>
      <w:tr w14:paraId="4411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62DC6435">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清算期</w:t>
            </w:r>
          </w:p>
        </w:tc>
        <w:tc>
          <w:tcPr>
            <w:tcW w:w="3709" w:type="pct"/>
            <w:vAlign w:val="center"/>
          </w:tcPr>
          <w:p w14:paraId="12CF1F56">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到期日（或理财产品实际终止日）至投资者持有</w:t>
            </w:r>
            <w:r>
              <w:rPr>
                <w:rFonts w:ascii="楷体_GB2312" w:eastAsia="楷体_GB2312" w:cs="楷体_GB2312"/>
                <w:color w:val="000000" w:themeColor="text1"/>
                <w:sz w:val="20"/>
                <w:szCs w:val="20"/>
                <w:highlight w:val="none"/>
                <w14:textFill>
                  <w14:solidFill>
                    <w14:schemeClr w14:val="tx1"/>
                  </w14:solidFill>
                </w14:textFill>
              </w:rPr>
              <w:t>的本</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产品份额清零之日</w:t>
            </w:r>
            <w:r>
              <w:rPr>
                <w:rFonts w:hint="eastAsia" w:ascii="楷体_GB2312" w:eastAsia="楷体_GB2312" w:cs="楷体_GB2312"/>
                <w:color w:val="000000" w:themeColor="text1"/>
                <w:sz w:val="20"/>
                <w:szCs w:val="20"/>
                <w:highlight w:val="none"/>
                <w14:textFill>
                  <w14:solidFill>
                    <w14:schemeClr w14:val="tx1"/>
                  </w14:solidFill>
                </w14:textFill>
              </w:rPr>
              <w:t>为清算期。</w:t>
            </w:r>
          </w:p>
        </w:tc>
      </w:tr>
      <w:tr w14:paraId="61B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41DA36E">
            <w:pPr>
              <w:spacing w:line="300" w:lineRule="exact"/>
              <w:ind w:right="36" w:rightChars="15"/>
              <w:rPr>
                <w:rFonts w:ascii="Times New Roman" w:eastAsia="楷体_GB2312" w:cs="楷体_GB2312"/>
                <w:color w:val="000000" w:themeColor="text1"/>
                <w:sz w:val="20"/>
                <w:szCs w:val="20"/>
                <w:highlight w:val="none"/>
                <w14:textFill>
                  <w14:solidFill>
                    <w14:schemeClr w14:val="tx1"/>
                  </w14:solidFill>
                </w14:textFill>
              </w:rPr>
            </w:pPr>
            <w:r>
              <w:rPr>
                <w:rFonts w:ascii="Times New Roman" w:eastAsia="楷体_GB2312" w:cs="楷体_GB2312"/>
                <w:color w:val="000000" w:themeColor="text1"/>
                <w:sz w:val="20"/>
                <w:szCs w:val="20"/>
                <w:highlight w:val="none"/>
                <w14:textFill>
                  <w14:solidFill>
                    <w14:schemeClr w14:val="tx1"/>
                  </w14:solidFill>
                </w14:textFill>
              </w:rPr>
              <w:t>业绩</w:t>
            </w:r>
            <w:r>
              <w:rPr>
                <w:rFonts w:hint="eastAsia" w:ascii="Times New Roman" w:eastAsia="楷体_GB2312" w:cs="楷体_GB2312"/>
                <w:color w:val="000000" w:themeColor="text1"/>
                <w:sz w:val="20"/>
                <w:szCs w:val="20"/>
                <w:highlight w:val="none"/>
                <w14:textFill>
                  <w14:solidFill>
                    <w14:schemeClr w14:val="tx1"/>
                  </w14:solidFill>
                </w14:textFill>
              </w:rPr>
              <w:t>比较</w:t>
            </w:r>
            <w:r>
              <w:rPr>
                <w:rFonts w:ascii="Times New Roman" w:eastAsia="楷体_GB2312" w:cs="楷体_GB2312"/>
                <w:color w:val="000000" w:themeColor="text1"/>
                <w:sz w:val="20"/>
                <w:szCs w:val="20"/>
                <w:highlight w:val="none"/>
                <w14:textFill>
                  <w14:solidFill>
                    <w14:schemeClr w14:val="tx1"/>
                  </w14:solidFill>
                </w14:textFill>
              </w:rPr>
              <w:t>基准</w:t>
            </w:r>
          </w:p>
        </w:tc>
        <w:tc>
          <w:tcPr>
            <w:tcW w:w="3709" w:type="pct"/>
            <w:vAlign w:val="center"/>
          </w:tcPr>
          <w:p w14:paraId="2F968686">
            <w:pPr>
              <w:spacing w:line="300" w:lineRule="exact"/>
              <w:ind w:left="-2" w:leftChars="-1" w:right="36" w:rightChars="15"/>
              <w:rPr>
                <w:rFonts w:ascii="楷体_GB2312" w:eastAsia="楷体_GB2312" w:cs="楷体_GB2312"/>
                <w:sz w:val="20"/>
                <w:szCs w:val="20"/>
                <w:highlight w:val="none"/>
              </w:rPr>
            </w:pPr>
            <w:r>
              <w:rPr>
                <w:rFonts w:hint="eastAsia" w:ascii="楷体_GB2312" w:eastAsia="楷体_GB2312" w:cs="楷体_GB2312"/>
                <w:sz w:val="20"/>
                <w:szCs w:val="20"/>
                <w:highlight w:val="none"/>
              </w:rPr>
              <w:t>【A】类份额：【2.20%-3.10%】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【B】类份额：【2.20%-3.10%】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【D】类份额：【2.35%-3.25%】</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【G】类份额：【2.35%-3.25%】</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【H】类份额：【2.30%-3.20%】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【K】类份额：【2.35%-3.25%】</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【M】类份额：【2.10%-3.00%】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【S】类份额：【2.35%-3.25%】</w:t>
            </w:r>
          </w:p>
          <w:p w14:paraId="121DD7AE">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p>
          <w:p w14:paraId="0618A9FB">
            <w:pPr>
              <w:spacing w:line="300" w:lineRule="exact"/>
              <w:ind w:left="-2" w:leftChars="-1" w:right="36" w:rightChars="15"/>
              <w:rPr>
                <w:rFonts w:ascii="楷体_GB2312" w:eastAsia="楷体_GB2312" w:cs="楷体_GB2312"/>
                <w:sz w:val="20"/>
                <w:szCs w:val="20"/>
                <w:highlight w:val="none"/>
              </w:rPr>
            </w:pPr>
            <w:r>
              <w:rPr>
                <w:rFonts w:hint="eastAsia" w:ascii="楷体_GB2312" w:eastAsia="楷体_GB2312" w:cs="楷体_GB2312"/>
                <w:b/>
                <w:bCs/>
                <w:sz w:val="20"/>
                <w:szCs w:val="20"/>
                <w:highlight w:val="none"/>
              </w:rPr>
              <w:t>业绩</w:t>
            </w:r>
            <w:r>
              <w:rPr>
                <w:rFonts w:ascii="楷体_GB2312" w:eastAsia="楷体_GB2312" w:cs="楷体_GB2312"/>
                <w:b/>
                <w:bCs/>
                <w:sz w:val="20"/>
                <w:szCs w:val="20"/>
                <w:highlight w:val="none"/>
              </w:rPr>
              <w:t>比较基准测算依据：</w:t>
            </w:r>
            <w:r>
              <w:rPr>
                <w:rFonts w:hint="eastAsia" w:ascii="楷体_GB2312" w:eastAsia="楷体_GB2312" w:cs="楷体_GB2312"/>
                <w:b/>
                <w:bCs/>
                <w:sz w:val="20"/>
                <w:szCs w:val="20"/>
                <w:highlight w:val="none"/>
              </w:rPr>
              <w:t>【</w:t>
            </w:r>
            <w:r>
              <w:rPr>
                <w:rFonts w:ascii="楷体_GB2312" w:eastAsia="楷体_GB2312" w:cs="楷体_GB2312"/>
                <w:b/>
                <w:bCs/>
                <w:sz w:val="20"/>
                <w:szCs w:val="20"/>
                <w:highlight w:val="none"/>
              </w:rPr>
              <w:t>本理财产品为固定收益类产品，主要投向为同业存单、短融、中票、PPN、公司债、资产支持证券等标准化债权类资产以及非标准化债权类资产。根据当前市场利率水平、组合目标久期、可投资资产的收益率等因素作为测算依据，扣除相关税费等成本后，综合得出产品的业绩基准。业绩比较基准是基于产品性质、投资策略、过往经验等因素对产品设定的投资目标。业绩比较基准不是预期收益率，不代表产品的未来表现和实际收益，不构成对产品收益的承诺，投资须谨慎。</w:t>
            </w:r>
            <w:r>
              <w:rPr>
                <w:rFonts w:hint="eastAsia" w:ascii="楷体_GB2312" w:eastAsia="楷体_GB2312" w:cs="楷体_GB2312"/>
                <w:b/>
                <w:bCs/>
                <w:sz w:val="20"/>
                <w:szCs w:val="20"/>
                <w:highlight w:val="none"/>
              </w:rPr>
              <w:t>】</w:t>
            </w:r>
          </w:p>
          <w:p w14:paraId="54138B23">
            <w:pPr>
              <w:spacing w:line="300" w:lineRule="exact"/>
              <w:ind w:left="-2" w:leftChars="-1" w:right="36" w:rightChars="15"/>
              <w:jc w:val="both"/>
              <w:rPr>
                <w:rFonts w:ascii="黑体" w:hAnsi="黑体" w:eastAsia="黑体" w:cs="楷体_GB2312"/>
                <w:b/>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本产品收取的销售服务费可能因销售</w:t>
            </w:r>
            <w:r>
              <w:rPr>
                <w:rFonts w:ascii="楷体_GB2312" w:eastAsia="楷体_GB2312" w:cs="楷体_GB2312"/>
                <w:b/>
                <w:bCs/>
                <w:color w:val="000000" w:themeColor="text1"/>
                <w:sz w:val="20"/>
                <w:szCs w:val="20"/>
                <w:highlight w:val="none"/>
                <w14:textFill>
                  <w14:solidFill>
                    <w14:schemeClr w14:val="tx1"/>
                  </w14:solidFill>
                </w14:textFill>
              </w:rPr>
              <w:t>机构</w:t>
            </w:r>
            <w:r>
              <w:rPr>
                <w:rFonts w:hint="eastAsia" w:ascii="楷体_GB2312" w:eastAsia="楷体_GB2312" w:cs="楷体_GB2312"/>
                <w:b/>
                <w:bCs/>
                <w:color w:val="000000" w:themeColor="text1"/>
                <w:sz w:val="20"/>
                <w:szCs w:val="20"/>
                <w:highlight w:val="none"/>
                <w14:textFill>
                  <w14:solidFill>
                    <w14:schemeClr w14:val="tx1"/>
                  </w14:solidFill>
                </w14:textFill>
              </w:rPr>
              <w:t>不同有所差异，从而导致测算的业绩比较基准有所差异，请投资者关注管理人及销售机构相关信息披露。</w:t>
            </w:r>
          </w:p>
          <w:p w14:paraId="3407C4B8">
            <w:pPr>
              <w:spacing w:line="300" w:lineRule="exact"/>
              <w:ind w:left="-2" w:leftChars="-1"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若今后法律法规发生变化，或有其他代表性更强、更科学客观的业绩比较基准适用于本产品时，本产品可变更业绩比较基准并及时告知投资者。</w:t>
            </w:r>
          </w:p>
        </w:tc>
      </w:tr>
      <w:tr w14:paraId="2F50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5A5ED974">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交易时间</w:t>
            </w:r>
          </w:p>
        </w:tc>
        <w:tc>
          <w:tcPr>
            <w:tcW w:w="3709" w:type="pct"/>
            <w:vAlign w:val="center"/>
          </w:tcPr>
          <w:p w14:paraId="447AC584">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本产品交易时间为</w:t>
            </w:r>
            <w:r>
              <w:rPr>
                <w:rFonts w:ascii="楷体_GB2312" w:eastAsia="楷体_GB2312" w:cs="楷体_GB2312"/>
                <w:color w:val="000000" w:themeColor="text1"/>
                <w:sz w:val="20"/>
                <w:szCs w:val="20"/>
                <w:highlight w:val="none"/>
                <w14:textFill>
                  <w14:solidFill>
                    <w14:schemeClr w14:val="tx1"/>
                  </w14:solidFill>
                </w14:textFill>
              </w:rPr>
              <w:t>【8：30-</w:t>
            </w:r>
            <w:r>
              <w:rPr>
                <w:rFonts w:hint="eastAsia" w:ascii="楷体_GB2312" w:eastAsia="楷体_GB2312" w:cs="楷体_GB2312"/>
                <w:sz w:val="20"/>
                <w:szCs w:val="20"/>
                <w:highlight w:val="none"/>
              </w:rPr>
              <w:t>1</w:t>
            </w:r>
            <w:r>
              <w:rPr>
                <w:rFonts w:ascii="楷体_GB2312" w:eastAsia="楷体_GB2312" w:cs="楷体_GB2312"/>
                <w:sz w:val="20"/>
                <w:szCs w:val="20"/>
                <w:highlight w:val="none"/>
              </w:rPr>
              <w:t>7</w:t>
            </w:r>
            <w:r>
              <w:rPr>
                <w:rFonts w:hint="eastAsia" w:ascii="楷体_GB2312" w:eastAsia="楷体_GB2312" w:cs="楷体_GB2312"/>
                <w:sz w:val="20"/>
                <w:szCs w:val="20"/>
                <w:highlight w:val="none"/>
              </w:rPr>
              <w:t>：</w:t>
            </w:r>
            <w:r>
              <w:rPr>
                <w:rFonts w:ascii="楷体_GB2312" w:eastAsia="楷体_GB2312" w:cs="楷体_GB2312"/>
                <w:sz w:val="20"/>
                <w:szCs w:val="20"/>
                <w:highlight w:val="none"/>
              </w:rPr>
              <w:t>0</w:t>
            </w:r>
            <w:r>
              <w:rPr>
                <w:rFonts w:hint="eastAsia" w:ascii="楷体_GB2312" w:eastAsia="楷体_GB2312" w:cs="楷体_GB2312"/>
                <w:sz w:val="20"/>
                <w:szCs w:val="20"/>
                <w:highlight w:val="none"/>
              </w:rPr>
              <w:t>0</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投资者应当根据产品说明书约定在交易时间内进行认购交易操作，</w:t>
            </w:r>
            <w:r>
              <w:rPr>
                <w:rFonts w:ascii="楷体_GB2312" w:eastAsia="楷体_GB2312" w:cs="楷体_GB2312"/>
                <w:color w:val="000000" w:themeColor="text1"/>
                <w:sz w:val="20"/>
                <w:szCs w:val="20"/>
                <w:highlight w:val="none"/>
                <w14:textFill>
                  <w14:solidFill>
                    <w14:schemeClr w14:val="tx1"/>
                  </w14:solidFill>
                </w14:textFill>
              </w:rPr>
              <w:t>信银理财有权变更交易时间</w:t>
            </w:r>
            <w:r>
              <w:rPr>
                <w:rFonts w:hint="eastAsia" w:ascii="楷体_GB2312" w:eastAsia="楷体_GB2312" w:cs="楷体_GB2312"/>
                <w:color w:val="000000" w:themeColor="text1"/>
                <w:sz w:val="20"/>
                <w:szCs w:val="20"/>
                <w:highlight w:val="none"/>
                <w14:textFill>
                  <w14:solidFill>
                    <w14:schemeClr w14:val="tx1"/>
                  </w14:solidFill>
                </w14:textFill>
              </w:rPr>
              <w:t>，请投资者关注管理人及销售机构相关信息披露。</w:t>
            </w:r>
            <w:r>
              <w:rPr>
                <w:rFonts w:ascii="楷体_GB2312" w:eastAsia="楷体_GB2312" w:cs="楷体_GB2312"/>
                <w:color w:val="000000" w:themeColor="text1"/>
                <w:sz w:val="20"/>
                <w:szCs w:val="20"/>
                <w:highlight w:val="none"/>
                <w14:textFill>
                  <w14:solidFill>
                    <w14:schemeClr w14:val="tx1"/>
                  </w14:solidFill>
                </w14:textFill>
              </w:rPr>
              <w:t>如果投资者通过信银理财</w:t>
            </w:r>
            <w:r>
              <w:rPr>
                <w:rFonts w:hint="eastAsia" w:ascii="楷体_GB2312" w:eastAsia="楷体_GB2312" w:cs="楷体_GB2312"/>
                <w:color w:val="000000" w:themeColor="text1"/>
                <w:sz w:val="20"/>
                <w:szCs w:val="20"/>
                <w:highlight w:val="none"/>
                <w14:textFill>
                  <w14:solidFill>
                    <w14:schemeClr w14:val="tx1"/>
                  </w14:solidFill>
                </w14:textFill>
              </w:rPr>
              <w:t>直销渠道</w:t>
            </w:r>
            <w:r>
              <w:rPr>
                <w:rFonts w:ascii="楷体_GB2312" w:eastAsia="楷体_GB2312" w:cs="楷体_GB2312"/>
                <w:color w:val="000000" w:themeColor="text1"/>
                <w:sz w:val="20"/>
                <w:szCs w:val="20"/>
                <w:highlight w:val="none"/>
                <w14:textFill>
                  <w14:solidFill>
                    <w14:schemeClr w14:val="tx1"/>
                  </w14:solidFill>
                </w14:textFill>
              </w:rPr>
              <w:t>购买的，则交易时间以</w:t>
            </w:r>
            <w:r>
              <w:rPr>
                <w:rFonts w:hint="eastAsia" w:ascii="楷体_GB2312" w:eastAsia="楷体_GB2312" w:cs="楷体_GB2312"/>
                <w:color w:val="000000" w:themeColor="text1"/>
                <w:sz w:val="20"/>
                <w:szCs w:val="20"/>
                <w:highlight w:val="none"/>
                <w14:textFill>
                  <w14:solidFill>
                    <w14:schemeClr w14:val="tx1"/>
                  </w14:solidFill>
                </w14:textFill>
              </w:rPr>
              <w:t>信银理财直销渠道</w:t>
            </w:r>
            <w:r>
              <w:rPr>
                <w:rFonts w:ascii="楷体_GB2312" w:eastAsia="楷体_GB2312" w:cs="楷体_GB2312"/>
                <w:color w:val="000000" w:themeColor="text1"/>
                <w:sz w:val="20"/>
                <w:szCs w:val="20"/>
                <w:highlight w:val="none"/>
                <w14:textFill>
                  <w14:solidFill>
                    <w14:schemeClr w14:val="tx1"/>
                  </w14:solidFill>
                </w14:textFill>
              </w:rPr>
              <w:t>的营业时间和公布的交易时间为准，且必须在【8：30-</w:t>
            </w:r>
            <w:r>
              <w:rPr>
                <w:rFonts w:hint="eastAsia" w:ascii="楷体_GB2312" w:eastAsia="楷体_GB2312" w:cs="楷体_GB2312"/>
                <w:sz w:val="20"/>
                <w:szCs w:val="20"/>
                <w:highlight w:val="none"/>
              </w:rPr>
              <w:t>1</w:t>
            </w:r>
            <w:r>
              <w:rPr>
                <w:rFonts w:ascii="楷体_GB2312" w:eastAsia="楷体_GB2312" w:cs="楷体_GB2312"/>
                <w:sz w:val="20"/>
                <w:szCs w:val="20"/>
                <w:highlight w:val="none"/>
              </w:rPr>
              <w:t>7</w:t>
            </w:r>
            <w:r>
              <w:rPr>
                <w:rFonts w:hint="eastAsia" w:ascii="楷体_GB2312" w:eastAsia="楷体_GB2312" w:cs="楷体_GB2312"/>
                <w:sz w:val="20"/>
                <w:szCs w:val="20"/>
                <w:highlight w:val="none"/>
              </w:rPr>
              <w:t>：</w:t>
            </w:r>
            <w:r>
              <w:rPr>
                <w:rFonts w:ascii="楷体_GB2312" w:eastAsia="楷体_GB2312" w:cs="楷体_GB2312"/>
                <w:sz w:val="20"/>
                <w:szCs w:val="20"/>
                <w:highlight w:val="none"/>
              </w:rPr>
              <w:t>0</w:t>
            </w:r>
            <w:r>
              <w:rPr>
                <w:rFonts w:hint="eastAsia" w:ascii="楷体_GB2312" w:eastAsia="楷体_GB2312" w:cs="楷体_GB2312"/>
                <w:sz w:val="20"/>
                <w:szCs w:val="20"/>
                <w:highlight w:val="none"/>
              </w:rPr>
              <w:t>0</w:t>
            </w:r>
            <w:r>
              <w:rPr>
                <w:rFonts w:ascii="楷体_GB2312" w:eastAsia="楷体_GB2312" w:cs="楷体_GB2312"/>
                <w:color w:val="000000" w:themeColor="text1"/>
                <w:sz w:val="20"/>
                <w:szCs w:val="20"/>
                <w:highlight w:val="none"/>
                <w14:textFill>
                  <w14:solidFill>
                    <w14:schemeClr w14:val="tx1"/>
                  </w14:solidFill>
                </w14:textFill>
              </w:rPr>
              <w:t>】内</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投资者通过</w:t>
            </w:r>
            <w:r>
              <w:rPr>
                <w:rFonts w:ascii="楷体_GB2312" w:eastAsia="楷体_GB2312" w:cs="楷体_GB2312"/>
                <w:color w:val="000000" w:themeColor="text1"/>
                <w:sz w:val="20"/>
                <w:szCs w:val="20"/>
                <w:highlight w:val="none"/>
                <w14:textFill>
                  <w14:solidFill>
                    <w14:schemeClr w14:val="tx1"/>
                  </w14:solidFill>
                </w14:textFill>
              </w:rPr>
              <w:t>代销机构购买理财产品的，还应按照代销机构对于交易时间以及交易申请的相关规定执行，但交易时间必须在【8：30-</w:t>
            </w:r>
            <w:r>
              <w:rPr>
                <w:rFonts w:hint="eastAsia" w:ascii="楷体_GB2312" w:eastAsia="楷体_GB2312" w:cs="楷体_GB2312"/>
                <w:sz w:val="20"/>
                <w:szCs w:val="20"/>
                <w:highlight w:val="none"/>
              </w:rPr>
              <w:t>1</w:t>
            </w:r>
            <w:r>
              <w:rPr>
                <w:rFonts w:ascii="楷体_GB2312" w:eastAsia="楷体_GB2312" w:cs="楷体_GB2312"/>
                <w:sz w:val="20"/>
                <w:szCs w:val="20"/>
                <w:highlight w:val="none"/>
              </w:rPr>
              <w:t>7</w:t>
            </w:r>
            <w:r>
              <w:rPr>
                <w:rFonts w:hint="eastAsia" w:ascii="楷体_GB2312" w:eastAsia="楷体_GB2312" w:cs="楷体_GB2312"/>
                <w:sz w:val="20"/>
                <w:szCs w:val="20"/>
                <w:highlight w:val="none"/>
              </w:rPr>
              <w:t>：</w:t>
            </w:r>
            <w:r>
              <w:rPr>
                <w:rFonts w:ascii="楷体_GB2312" w:eastAsia="楷体_GB2312" w:cs="楷体_GB2312"/>
                <w:sz w:val="20"/>
                <w:szCs w:val="20"/>
                <w:highlight w:val="none"/>
              </w:rPr>
              <w:t>0</w:t>
            </w:r>
            <w:r>
              <w:rPr>
                <w:rFonts w:hint="eastAsia" w:ascii="楷体_GB2312" w:eastAsia="楷体_GB2312" w:cs="楷体_GB2312"/>
                <w:sz w:val="20"/>
                <w:szCs w:val="20"/>
                <w:highlight w:val="none"/>
              </w:rPr>
              <w:t>0</w:t>
            </w:r>
            <w:r>
              <w:rPr>
                <w:rFonts w:ascii="楷体_GB2312" w:eastAsia="楷体_GB2312" w:cs="楷体_GB2312"/>
                <w:color w:val="000000" w:themeColor="text1"/>
                <w:sz w:val="20"/>
                <w:szCs w:val="20"/>
                <w:highlight w:val="none"/>
                <w14:textFill>
                  <w14:solidFill>
                    <w14:schemeClr w14:val="tx1"/>
                  </w14:solidFill>
                </w14:textFill>
              </w:rPr>
              <w:t>】内。</w:t>
            </w:r>
          </w:p>
        </w:tc>
      </w:tr>
      <w:tr w14:paraId="67DF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E6416A4">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计划募集金额</w:t>
            </w:r>
            <w:r>
              <w:rPr>
                <w:rFonts w:hint="eastAsia" w:ascii="Times New Roman" w:eastAsia="楷体_GB2312" w:cs="楷体_GB2312"/>
                <w:color w:val="000000" w:themeColor="text1"/>
                <w:sz w:val="20"/>
                <w:szCs w:val="20"/>
                <w:highlight w:val="none"/>
                <w:lang w:eastAsia="zh-Hans"/>
                <w14:textFill>
                  <w14:solidFill>
                    <w14:schemeClr w14:val="tx1"/>
                  </w14:solidFill>
                </w14:textFill>
              </w:rPr>
              <w:t>上</w:t>
            </w:r>
            <w:r>
              <w:rPr>
                <w:rFonts w:ascii="Times New Roman" w:eastAsia="楷体_GB2312" w:cs="楷体_GB2312"/>
                <w:color w:val="000000" w:themeColor="text1"/>
                <w:sz w:val="20"/>
                <w:szCs w:val="20"/>
                <w:highlight w:val="none"/>
                <w14:textFill>
                  <w14:solidFill>
                    <w14:schemeClr w14:val="tx1"/>
                  </w14:solidFill>
                </w14:textFill>
              </w:rPr>
              <w:t>限</w:t>
            </w:r>
          </w:p>
        </w:tc>
        <w:tc>
          <w:tcPr>
            <w:tcW w:w="3709" w:type="pct"/>
            <w:vAlign w:val="center"/>
          </w:tcPr>
          <w:p w14:paraId="20E44042">
            <w:pPr>
              <w:pStyle w:val="2"/>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无。</w:t>
            </w:r>
          </w:p>
        </w:tc>
      </w:tr>
      <w:tr w14:paraId="1100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7E6A03B9">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计划募集金额</w:t>
            </w:r>
            <w:r>
              <w:rPr>
                <w:rFonts w:ascii="Times New Roman" w:eastAsia="楷体_GB2312" w:cs="楷体_GB2312"/>
                <w:color w:val="000000" w:themeColor="text1"/>
                <w:sz w:val="20"/>
                <w:szCs w:val="20"/>
                <w:highlight w:val="none"/>
                <w14:textFill>
                  <w14:solidFill>
                    <w14:schemeClr w14:val="tx1"/>
                  </w14:solidFill>
                </w14:textFill>
              </w:rPr>
              <w:t>下限</w:t>
            </w:r>
          </w:p>
        </w:tc>
        <w:tc>
          <w:tcPr>
            <w:tcW w:w="3709" w:type="pct"/>
            <w:vAlign w:val="center"/>
          </w:tcPr>
          <w:p w14:paraId="15B787E4">
            <w:pPr>
              <w:spacing w:line="300" w:lineRule="exact"/>
              <w:ind w:left="-2" w:leftChars="-1" w:right="36" w:rightChars="15"/>
              <w:rPr>
                <w:rFonts w:ascii="楷体_GB2312" w:eastAsia="楷体_GB2312" w:cs="楷体_GB2312"/>
                <w:sz w:val="20"/>
                <w:szCs w:val="20"/>
                <w:highlight w:val="none"/>
              </w:rPr>
            </w:pPr>
            <w:r>
              <w:rPr>
                <w:rFonts w:hint="eastAsia" w:ascii="楷体_GB2312" w:eastAsia="楷体_GB2312" w:cs="楷体_GB2312"/>
                <w:sz w:val="20"/>
                <w:szCs w:val="20"/>
                <w:highlight w:val="none"/>
              </w:rPr>
              <w:t>本产品的计划募集金额下限为【人民币】【500】万元。信银理财有权根据实际需要对此金额下限进行调整。如果募集期内未达到计划募集金额下限，信银理财有权决定产品不成立，并在宣告产品不成立后【2】个工作日内返还投资者资金，同时信银理财保留延长本产品募集期的权利。届时信银理财将按照本说明书约定的方式告知投资者。</w:t>
            </w:r>
          </w:p>
        </w:tc>
      </w:tr>
      <w:tr w14:paraId="03DB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A73008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币种</w:t>
            </w:r>
          </w:p>
        </w:tc>
        <w:tc>
          <w:tcPr>
            <w:tcW w:w="3709" w:type="pct"/>
            <w:vAlign w:val="center"/>
          </w:tcPr>
          <w:p w14:paraId="6C37B9B4">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本产品投资与收益币种为【人民币】</w:t>
            </w:r>
          </w:p>
        </w:tc>
      </w:tr>
      <w:tr w14:paraId="0BC6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7C09B961">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认购起点</w:t>
            </w:r>
          </w:p>
        </w:tc>
        <w:tc>
          <w:tcPr>
            <w:tcW w:w="3709" w:type="pct"/>
            <w:vAlign w:val="center"/>
          </w:tcPr>
          <w:p w14:paraId="0B62AA2E">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rPr>
              <w:t>【A】类份额初始认购金额不低于【人民币】【1】元，以【人民币】【0.01】元的整数倍增加。追加认购金额不低于【人民币】【0.01】元，以【人民币】【0.01】元的整数倍增加。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【B】类份额初始认购金额不低于【人民币】【1】元，以【人民币】【0.01】元的整数倍增加。追加认购金额不低于【人民币】【0.01】元，以【人民币】【0.01】元的整数倍增加。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【D】类份额初始认购金额不低于【人民币】【100】万元，以【人民币】【0.01】元的整数倍增加。追加认购金额不低于【人民币】【0.01】元，以【人民币】【0.01】元的整数倍增加。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【G】类份额初始认购金额不低于【人民币】【1】元，以【人民币】【0.01】元的整数倍增加。追加认购金额不低于【人民币】【0.01】元，以【人民币】【0.01】元的整数倍增加。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【H】类份额初始认购金额不低于【人民币】【1000】元，以【人民币】【0.01】元的整数倍增加。追加认购金额不低于【人民币】【0.01】元，以【人民币】【0.01】元的整数倍增加。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【K】类份额初始认购金额不低于【人民币】【1】元，以【人民币】【0.01】元的整数倍增加。追加认购金额不低于【人民币】【0.01】元，以【人民币】【0.01】元的整数倍增加。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【M】类份额初始认购金额不低于【人民币】【1】元，以【人民币】【0.01】元的整数倍增加。追加认购金额不低于【人民币】【0.01】元，以【人民币】【0.01】元的整数倍增加。</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【S】类份额初始认购金额不低于【人民币】【1】元，以【人民币】【0.01】元的整数倍增加。追加认购金额不低于【人民币】【0.01】元，以【人民币】【0.01】元的整数倍增加。</w:t>
            </w:r>
          </w:p>
        </w:tc>
      </w:tr>
      <w:tr w14:paraId="514E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AC33B0C">
            <w:pPr>
              <w:spacing w:line="300" w:lineRule="exact"/>
              <w:ind w:left="-2" w:leftChars="-1" w:right="36" w:rightChars="15"/>
              <w:rPr>
                <w:rFonts w:ascii="Times New Roman" w:eastAsia="楷体_GB2312" w:cs="楷体_GB2312"/>
                <w:b/>
                <w:bCs/>
                <w:color w:val="000000" w:themeColor="text1"/>
                <w:sz w:val="20"/>
                <w:szCs w:val="20"/>
                <w:highlight w:val="none"/>
                <w14:textFill>
                  <w14:solidFill>
                    <w14:schemeClr w14:val="tx1"/>
                  </w14:solidFill>
                </w14:textFill>
              </w:rPr>
            </w:pPr>
            <w:r>
              <w:rPr>
                <w:rFonts w:hint="eastAsia" w:ascii="Times New Roman" w:eastAsia="楷体_GB2312" w:cs="楷体_GB2312"/>
                <w:b/>
                <w:bCs/>
                <w:color w:val="000000" w:themeColor="text1"/>
                <w:sz w:val="20"/>
                <w:szCs w:val="20"/>
                <w:highlight w:val="none"/>
                <w14:textFill>
                  <w14:solidFill>
                    <w14:schemeClr w14:val="tx1"/>
                  </w14:solidFill>
                </w14:textFill>
              </w:rPr>
              <w:t>单个</w:t>
            </w:r>
            <w:r>
              <w:rPr>
                <w:rFonts w:ascii="Times New Roman" w:eastAsia="楷体_GB2312" w:cs="楷体_GB2312"/>
                <w:b/>
                <w:bCs/>
                <w:color w:val="000000" w:themeColor="text1"/>
                <w:sz w:val="20"/>
                <w:szCs w:val="20"/>
                <w:highlight w:val="none"/>
                <w14:textFill>
                  <w14:solidFill>
                    <w14:schemeClr w14:val="tx1"/>
                  </w14:solidFill>
                </w14:textFill>
              </w:rPr>
              <w:t>投资者持仓份额比例限制</w:t>
            </w:r>
          </w:p>
        </w:tc>
        <w:tc>
          <w:tcPr>
            <w:tcW w:w="3709" w:type="pct"/>
            <w:vAlign w:val="center"/>
          </w:tcPr>
          <w:p w14:paraId="752664D1">
            <w:pPr>
              <w:spacing w:line="300" w:lineRule="exact"/>
              <w:ind w:left="-2" w:leftChars="-1" w:right="36" w:rightChars="15"/>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本产品</w:t>
            </w:r>
            <w:r>
              <w:rPr>
                <w:rFonts w:ascii="楷体_GB2312" w:eastAsia="楷体_GB2312" w:cs="楷体_GB2312"/>
                <w:b/>
                <w:bCs/>
                <w:color w:val="000000" w:themeColor="text1"/>
                <w:sz w:val="20"/>
                <w:szCs w:val="20"/>
                <w:highlight w:val="none"/>
                <w14:textFill>
                  <w14:solidFill>
                    <w14:schemeClr w14:val="tx1"/>
                  </w14:solidFill>
                </w14:textFill>
              </w:rPr>
              <w:t>单一投资者持有份额</w:t>
            </w:r>
            <w:r>
              <w:rPr>
                <w:rFonts w:hint="eastAsia" w:ascii="楷体_GB2312" w:eastAsia="楷体_GB2312" w:cs="楷体_GB2312"/>
                <w:b/>
                <w:bCs/>
                <w:color w:val="000000" w:themeColor="text1"/>
                <w:sz w:val="20"/>
                <w:szCs w:val="20"/>
                <w:highlight w:val="none"/>
                <w:lang w:eastAsia="zh-CN"/>
                <w14:textFill>
                  <w14:solidFill>
                    <w14:schemeClr w14:val="tx1"/>
                  </w14:solidFill>
                </w14:textFill>
              </w:rPr>
              <w:t>：</w:t>
            </w:r>
            <w:r>
              <w:rPr>
                <w:rFonts w:hint="eastAsia" w:ascii="楷体_GB2312" w:eastAsia="楷体_GB2312" w:cs="楷体_GB2312"/>
                <w:b/>
                <w:bCs/>
                <w:color w:val="000000" w:themeColor="text1"/>
                <w:sz w:val="20"/>
                <w:szCs w:val="20"/>
                <w:highlight w:val="none"/>
                <w14:textFill>
                  <w14:solidFill>
                    <w14:schemeClr w14:val="tx1"/>
                  </w14:solidFill>
                </w14:textFill>
              </w:rPr>
              <w:t>【b</w:t>
            </w:r>
            <w:r>
              <w:rPr>
                <w:rFonts w:ascii="楷体_GB2312" w:eastAsia="楷体_GB2312" w:cs="楷体_GB2312"/>
                <w:b/>
                <w:bCs/>
                <w:color w:val="000000" w:themeColor="text1"/>
                <w:sz w:val="20"/>
                <w:szCs w:val="20"/>
                <w:highlight w:val="none"/>
                <w14:textFill>
                  <w14:solidFill>
                    <w14:schemeClr w14:val="tx1"/>
                  </w14:solidFill>
                </w14:textFill>
              </w:rPr>
              <w:t>】</w:t>
            </w:r>
          </w:p>
          <w:p w14:paraId="261B67A2">
            <w:pPr>
              <w:pStyle w:val="20"/>
              <w:numPr>
                <w:ilvl w:val="0"/>
                <w:numId w:val="2"/>
              </w:numPr>
              <w:spacing w:line="300" w:lineRule="exact"/>
              <w:ind w:right="36" w:rightChars="15" w:firstLineChars="0"/>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可以</w:t>
            </w:r>
            <w:r>
              <w:rPr>
                <w:rFonts w:ascii="楷体_GB2312" w:eastAsia="楷体_GB2312" w:cs="楷体_GB2312"/>
                <w:b/>
                <w:bCs/>
                <w:color w:val="000000" w:themeColor="text1"/>
                <w:sz w:val="20"/>
                <w:szCs w:val="20"/>
                <w:highlight w:val="none"/>
                <w14:textFill>
                  <w14:solidFill>
                    <w14:schemeClr w14:val="tx1"/>
                  </w14:solidFill>
                </w14:textFill>
              </w:rPr>
              <w:t>超过产品总份额的50%</w:t>
            </w:r>
            <w:r>
              <w:rPr>
                <w:rFonts w:hint="eastAsia" w:ascii="楷体_GB2312" w:eastAsia="楷体_GB2312" w:cs="楷体_GB2312"/>
                <w:b/>
                <w:bCs/>
                <w:color w:val="000000" w:themeColor="text1"/>
                <w:sz w:val="20"/>
                <w:szCs w:val="20"/>
                <w:highlight w:val="none"/>
                <w14:textFill>
                  <w14:solidFill>
                    <w14:schemeClr w14:val="tx1"/>
                  </w14:solidFill>
                </w14:textFill>
              </w:rPr>
              <w:t>。但产品不得</w:t>
            </w:r>
            <w:r>
              <w:rPr>
                <w:rFonts w:ascii="楷体_GB2312" w:eastAsia="楷体_GB2312" w:cs="楷体_GB2312"/>
                <w:b/>
                <w:bCs/>
                <w:color w:val="000000" w:themeColor="text1"/>
                <w:sz w:val="20"/>
                <w:szCs w:val="20"/>
                <w:highlight w:val="none"/>
                <w14:textFill>
                  <w14:solidFill>
                    <w14:schemeClr w14:val="tx1"/>
                  </w14:solidFill>
                </w14:textFill>
              </w:rPr>
              <w:t xml:space="preserve">向个人投资者公开发售。 </w:t>
            </w:r>
          </w:p>
          <w:p w14:paraId="735BA2F5">
            <w:pPr>
              <w:pStyle w:val="20"/>
              <w:numPr>
                <w:ilvl w:val="0"/>
                <w:numId w:val="2"/>
              </w:numPr>
              <w:spacing w:line="300" w:lineRule="exact"/>
              <w:ind w:right="36" w:rightChars="15" w:firstLineChars="0"/>
              <w:rPr>
                <w:rFonts w:ascii="楷体_GB2312" w:eastAsia="楷体_GB2312" w:cs="楷体_GB2312"/>
                <w:b/>
                <w:bCs/>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不得</w:t>
            </w:r>
            <w:r>
              <w:rPr>
                <w:rFonts w:ascii="楷体_GB2312" w:eastAsia="楷体_GB2312" w:cs="楷体_GB2312"/>
                <w:b/>
                <w:bCs/>
                <w:color w:val="000000" w:themeColor="text1"/>
                <w:sz w:val="20"/>
                <w:szCs w:val="20"/>
                <w:highlight w:val="none"/>
                <w14:textFill>
                  <w14:solidFill>
                    <w14:schemeClr w14:val="tx1"/>
                  </w14:solidFill>
                </w14:textFill>
              </w:rPr>
              <w:t>超过产品总份额的50%。</w:t>
            </w:r>
            <w:r>
              <w:rPr>
                <w:rFonts w:hint="eastAsia" w:ascii="楷体_GB2312" w:eastAsia="楷体_GB2312" w:cs="楷体_GB2312"/>
                <w:b/>
                <w:bCs/>
                <w:color w:val="000000" w:themeColor="text1"/>
                <w:sz w:val="20"/>
                <w:szCs w:val="20"/>
                <w:highlight w:val="none"/>
                <w14:textFill>
                  <w14:solidFill>
                    <w14:schemeClr w14:val="tx1"/>
                  </w14:solidFill>
                </w14:textFill>
              </w:rPr>
              <w:t>投资者提出认</w:t>
            </w:r>
            <w:r>
              <w:rPr>
                <w:rFonts w:ascii="楷体_GB2312" w:eastAsia="楷体_GB2312" w:cs="楷体_GB2312"/>
                <w:b/>
                <w:bCs/>
                <w:color w:val="000000" w:themeColor="text1"/>
                <w:sz w:val="20"/>
                <w:szCs w:val="20"/>
                <w:highlight w:val="none"/>
                <w14:textFill>
                  <w14:solidFill>
                    <w14:schemeClr w14:val="tx1"/>
                  </w14:solidFill>
                </w14:textFill>
              </w:rPr>
              <w:t>购申请时，如认购后投资者持有份额超过产品总份额的50%，信银理财将不接受超过单个投资者持仓份额比例限制的申请。</w:t>
            </w:r>
          </w:p>
        </w:tc>
      </w:tr>
      <w:tr w14:paraId="0048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328F217">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份额单位</w:t>
            </w:r>
          </w:p>
        </w:tc>
        <w:tc>
          <w:tcPr>
            <w:tcW w:w="3709" w:type="pct"/>
            <w:vAlign w:val="center"/>
          </w:tcPr>
          <w:p w14:paraId="3028C13D">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份</w:t>
            </w:r>
          </w:p>
        </w:tc>
      </w:tr>
      <w:tr w14:paraId="7143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A8AA2B6">
            <w:pPr>
              <w:spacing w:line="300" w:lineRule="exact"/>
              <w:ind w:left="-2" w:leftChars="-1" w:right="36" w:rightChars="15"/>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单位净值</w:t>
            </w:r>
          </w:p>
        </w:tc>
        <w:tc>
          <w:tcPr>
            <w:tcW w:w="3709" w:type="pct"/>
            <w:vAlign w:val="center"/>
          </w:tcPr>
          <w:p w14:paraId="45DF7300">
            <w:pPr>
              <w:spacing w:line="300" w:lineRule="exact"/>
              <w:ind w:right="29" w:rightChars="12"/>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单位净值为单位产品份额的净值，该净值为扣除相关税费（相关税费包含固定管理费、</w:t>
            </w:r>
            <w:r>
              <w:rPr>
                <w:rFonts w:ascii="楷体_GB2312" w:eastAsia="楷体_GB2312" w:cs="楷体_GB2312"/>
                <w:color w:val="000000" w:themeColor="text1"/>
                <w:sz w:val="20"/>
                <w:szCs w:val="20"/>
                <w:highlight w:val="none"/>
                <w14:textFill>
                  <w14:solidFill>
                    <w14:schemeClr w14:val="tx1"/>
                  </w14:solidFill>
                </w14:textFill>
              </w:rPr>
              <w:t>浮动管理费</w:t>
            </w:r>
            <w:r>
              <w:rPr>
                <w:rFonts w:hint="eastAsia" w:ascii="楷体_GB2312" w:eastAsia="楷体_GB2312" w:cs="楷体_GB2312"/>
                <w:color w:val="000000" w:themeColor="text1"/>
                <w:sz w:val="20"/>
                <w:szCs w:val="20"/>
                <w:highlight w:val="none"/>
                <w14:textFill>
                  <w14:solidFill>
                    <w14:schemeClr w14:val="tx1"/>
                  </w14:solidFill>
                </w14:textFill>
              </w:rPr>
              <w:t>、销售服务费、托管费、</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信息技术服务费、</w:t>
            </w:r>
            <w:r>
              <w:rPr>
                <w:rFonts w:hint="eastAsia" w:ascii="楷体_GB2312" w:eastAsia="楷体_GB2312" w:cs="楷体_GB2312"/>
                <w:color w:val="000000" w:themeColor="text1"/>
                <w:sz w:val="20"/>
                <w:szCs w:val="20"/>
                <w:highlight w:val="none"/>
                <w14:textFill>
                  <w14:solidFill>
                    <w14:schemeClr w14:val="tx1"/>
                  </w14:solidFill>
                </w14:textFill>
              </w:rPr>
              <w:t>本理财产品运营过程中产生的增值税及附加税费等）后的净值。单位净值按照【四舍五入】保留至小数点后【4】位。</w:t>
            </w:r>
          </w:p>
          <w:p w14:paraId="4CF7DD1D">
            <w:pPr>
              <w:spacing w:line="300" w:lineRule="exact"/>
              <w:ind w:right="29" w:rightChars="12"/>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本产品到期后，管理人将在到期日后【5】个工作日内披露产品</w:t>
            </w:r>
            <w:r>
              <w:rPr>
                <w:rFonts w:ascii="楷体_GB2312" w:eastAsia="楷体_GB2312" w:cs="楷体_GB2312"/>
                <w:color w:val="000000" w:themeColor="text1"/>
                <w:sz w:val="20"/>
                <w:szCs w:val="20"/>
                <w:highlight w:val="none"/>
                <w14:textFill>
                  <w14:solidFill>
                    <w14:schemeClr w14:val="tx1"/>
                  </w14:solidFill>
                </w14:textFill>
              </w:rPr>
              <w:t>份额</w:t>
            </w:r>
            <w:r>
              <w:rPr>
                <w:rFonts w:hint="eastAsia" w:ascii="楷体_GB2312" w:eastAsia="楷体_GB2312" w:cs="楷体_GB2312"/>
                <w:color w:val="000000" w:themeColor="text1"/>
                <w:sz w:val="20"/>
                <w:szCs w:val="20"/>
                <w:highlight w:val="none"/>
                <w14:textFill>
                  <w14:solidFill>
                    <w14:schemeClr w14:val="tx1"/>
                  </w14:solidFill>
                </w14:textFill>
              </w:rPr>
              <w:t>最终单位净值。</w:t>
            </w:r>
          </w:p>
        </w:tc>
      </w:tr>
      <w:tr w14:paraId="4E76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EDA1EB8">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认购渠道</w:t>
            </w:r>
          </w:p>
        </w:tc>
        <w:tc>
          <w:tcPr>
            <w:tcW w:w="3709" w:type="pct"/>
            <w:vAlign w:val="center"/>
          </w:tcPr>
          <w:p w14:paraId="5E90A1A6">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投资者可通过信银理财直销渠道认购本产品。</w:t>
            </w:r>
            <w:r>
              <w:rPr>
                <w:rFonts w:hint="eastAsia" w:ascii="楷体_GB2312" w:eastAsia="楷体_GB2312" w:cs="楷体_GB2312"/>
                <w:color w:val="000000" w:themeColor="text1"/>
                <w:sz w:val="20"/>
                <w:szCs w:val="20"/>
                <w:highlight w:val="none"/>
                <w14:textFill>
                  <w14:solidFill>
                    <w14:schemeClr w14:val="tx1"/>
                  </w14:solidFill>
                </w14:textFill>
              </w:rPr>
              <w:br w:type="textWrapping"/>
            </w:r>
            <w:r>
              <w:rPr>
                <w:rFonts w:hint="eastAsia" w:ascii="楷体_GB2312" w:eastAsia="楷体_GB2312" w:cs="楷体_GB2312"/>
                <w:color w:val="000000" w:themeColor="text1"/>
                <w:sz w:val="20"/>
                <w:szCs w:val="20"/>
                <w:highlight w:val="none"/>
                <w14:textFill>
                  <w14:solidFill>
                    <w14:schemeClr w14:val="tx1"/>
                  </w14:solidFill>
                </w14:textFill>
              </w:rPr>
              <w:t>理财产品通过代销机构销售的，投资者可通过代销机构规定的渠道认购。</w:t>
            </w:r>
          </w:p>
          <w:p w14:paraId="08BBF135">
            <w:pPr>
              <w:spacing w:line="300" w:lineRule="exact"/>
              <w:ind w:right="36" w:rightChars="15"/>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tc>
      </w:tr>
      <w:tr w14:paraId="2C5F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93CECDB">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税收条款</w:t>
            </w:r>
          </w:p>
        </w:tc>
        <w:tc>
          <w:tcPr>
            <w:tcW w:w="3709" w:type="pct"/>
            <w:vAlign w:val="center"/>
          </w:tcPr>
          <w:p w14:paraId="44C81E18">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根据国家法律法规、部门规章和其他规范性文件，理财产品运营过程中产生的相关税费（包括但不限于增值税及相应的附加税费等）由理财产品承担，由信银理财作为</w:t>
            </w:r>
            <w:r>
              <w:rPr>
                <w:rFonts w:ascii="楷体_GB2312" w:eastAsia="楷体_GB2312" w:cs="楷体_GB2312"/>
                <w:color w:val="000000" w:themeColor="text1"/>
                <w:sz w:val="20"/>
                <w:szCs w:val="20"/>
                <w:highlight w:val="none"/>
                <w14:textFill>
                  <w14:solidFill>
                    <w14:schemeClr w14:val="tx1"/>
                  </w14:solidFill>
                </w14:textFill>
              </w:rPr>
              <w:t>产品管理人</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理财资金</w:t>
            </w:r>
            <w:r>
              <w:rPr>
                <w:rFonts w:hint="eastAsia" w:ascii="楷体_GB2312" w:eastAsia="楷体_GB2312" w:cs="楷体_GB2312"/>
                <w:color w:val="000000" w:themeColor="text1"/>
                <w:sz w:val="20"/>
                <w:szCs w:val="20"/>
                <w:highlight w:val="none"/>
                <w14:textFill>
                  <w14:solidFill>
                    <w14:schemeClr w14:val="tx1"/>
                  </w14:solidFill>
                </w14:textFill>
              </w:rPr>
              <w:t>予以缴纳。前述税费具体的计算、提取及缴纳，由信银理财按照应税行为发生时有效的相关税收法规确定。理财产品的实际收益为扣除增值税及附加税费后的收益。投资者取得理财收益产生的纳税义务（包括但不限于增值税、所得税等，如有），由投资者自行缴纳，信银理财不承担代扣代缴义务，法律法规另有明确规定的除外。</w:t>
            </w:r>
          </w:p>
        </w:tc>
      </w:tr>
      <w:tr w14:paraId="6405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44E6B4A9">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费用条款</w:t>
            </w:r>
          </w:p>
        </w:tc>
        <w:tc>
          <w:tcPr>
            <w:tcW w:w="3709" w:type="pct"/>
            <w:vAlign w:val="center"/>
          </w:tcPr>
          <w:p w14:paraId="0DC19621">
            <w:pPr>
              <w:snapToGrid w:val="0"/>
              <w:spacing w:line="300" w:lineRule="exact"/>
              <w:ind w:left="-2" w:leftChars="-1" w:right="53" w:rightChars="22"/>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本产品的费用包括认购费、销售服务费、托管费、固定管理费、浮动管理费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信息技术服务费</w:t>
            </w:r>
            <w:r>
              <w:rPr>
                <w:rFonts w:ascii="楷体_GB2312" w:eastAsia="楷体_GB2312" w:cs="楷体_GB2312"/>
                <w:b/>
                <w:color w:val="000000" w:themeColor="text1"/>
                <w:sz w:val="20"/>
                <w:szCs w:val="20"/>
                <w:highlight w:val="none"/>
                <w14:textFill>
                  <w14:solidFill>
                    <w14:schemeClr w14:val="tx1"/>
                  </w14:solidFill>
                </w14:textFill>
              </w:rPr>
              <w:t>，产品运作和清算中产生的其他资金汇划费、结算费、交易手续费、注册登记费、信息披露费、账户服务费、审计费、律师费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，以及按照国家规定可以列入的其他费用</w:t>
            </w:r>
            <w:r>
              <w:rPr>
                <w:rFonts w:hint="eastAsia" w:ascii="楷体_GB2312" w:eastAsia="楷体_GB2312" w:cs="楷体_GB2312"/>
                <w:b/>
                <w:color w:val="000000" w:themeColor="text1"/>
                <w:sz w:val="20"/>
                <w:szCs w:val="20"/>
                <w:highlight w:val="none"/>
                <w14:textFill>
                  <w14:solidFill>
                    <w14:schemeClr w14:val="tx1"/>
                  </w14:solidFill>
                </w14:textFill>
              </w:rPr>
              <w:t>，按照实际发生时列支</w:t>
            </w:r>
            <w:r>
              <w:rPr>
                <w:rFonts w:ascii="楷体_GB2312" w:eastAsia="楷体_GB2312" w:cs="楷体_GB2312"/>
                <w:b/>
                <w:color w:val="000000" w:themeColor="text1"/>
                <w:sz w:val="20"/>
                <w:szCs w:val="20"/>
                <w:highlight w:val="none"/>
                <w14:textFill>
                  <w14:solidFill>
                    <w14:schemeClr w14:val="tx1"/>
                  </w14:solidFill>
                </w14:textFill>
              </w:rPr>
              <w:t>。管理人因管理、运营理财产品发生的税费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6394029B">
            <w:pPr>
              <w:snapToGrid w:val="0"/>
              <w:spacing w:line="300" w:lineRule="exact"/>
              <w:ind w:right="53" w:rightChars="22"/>
              <w:outlineLvl w:val="0"/>
              <w:rPr>
                <w:rFonts w:hint="eastAsia" w:ascii="楷体_GB2312" w:eastAsia="楷体_GB2312" w:cs="楷体_GB2312"/>
                <w:b/>
                <w:sz w:val="20"/>
                <w:szCs w:val="20"/>
                <w:highlight w:val="none"/>
                <w:lang w:eastAsia="zh-CN"/>
              </w:rPr>
            </w:pPr>
            <w:r>
              <w:rPr>
                <w:rFonts w:ascii="楷体_GB2312" w:eastAsia="楷体_GB2312" w:cs="楷体_GB2312"/>
                <w:b/>
                <w:sz w:val="20"/>
                <w:szCs w:val="20"/>
                <w:highlight w:val="none"/>
              </w:rPr>
              <w:t>1.</w:t>
            </w:r>
            <w:r>
              <w:rPr>
                <w:rFonts w:hint="eastAsia" w:ascii="楷体_GB2312" w:eastAsia="楷体_GB2312" w:cs="楷体_GB2312"/>
                <w:b/>
                <w:sz w:val="20"/>
                <w:szCs w:val="20"/>
                <w:highlight w:val="none"/>
              </w:rPr>
              <w:t>认购费</w:t>
            </w:r>
            <w:r>
              <w:rPr>
                <w:rFonts w:ascii="楷体_GB2312" w:eastAsia="楷体_GB2312" w:cs="楷体_GB2312"/>
                <w:b/>
                <w:sz w:val="20"/>
                <w:szCs w:val="20"/>
                <w:highlight w:val="none"/>
              </w:rPr>
              <w:t>：</w:t>
            </w:r>
            <w:r>
              <w:rPr>
                <w:rFonts w:hint="eastAsia" w:ascii="楷体_GB2312" w:eastAsia="楷体_GB2312"/>
                <w:b/>
                <w:sz w:val="20"/>
                <w:szCs w:val="20"/>
                <w:highlight w:val="none"/>
              </w:rPr>
              <w:t>【A】类份额不收取认购费，【B】类份额不收取认购费，【D】类份额不收取认购费，【G】类份额不收取认购费，【H】类份额不收取认购费，【K】类份额不收取认购费，【M】类份额不收取认购费，【S】类份额不收取认购费</w:t>
            </w:r>
            <w:r>
              <w:rPr>
                <w:rFonts w:hint="eastAsia" w:ascii="楷体_GB2312" w:eastAsia="楷体_GB2312"/>
                <w:b/>
                <w:sz w:val="20"/>
                <w:szCs w:val="20"/>
                <w:highlight w:val="none"/>
                <w:lang w:eastAsia="zh-CN"/>
              </w:rPr>
              <w:t>；</w:t>
            </w:r>
          </w:p>
          <w:p w14:paraId="62A82753">
            <w:pPr>
              <w:snapToGrid w:val="0"/>
              <w:spacing w:line="300" w:lineRule="exact"/>
              <w:ind w:left="-2" w:leftChars="-1" w:right="53" w:rightChars="22"/>
              <w:outlineLvl w:val="0"/>
              <w:rPr>
                <w:rFonts w:hint="eastAsia" w:ascii="楷体_GB2312" w:eastAsia="楷体_GB2312" w:cs="楷体_GB2312"/>
                <w:b/>
                <w:sz w:val="20"/>
                <w:szCs w:val="20"/>
                <w:highlight w:val="none"/>
                <w:lang w:eastAsia="zh-CN"/>
              </w:rPr>
            </w:pPr>
            <w:r>
              <w:rPr>
                <w:rFonts w:ascii="楷体_GB2312" w:eastAsia="楷体_GB2312" w:cs="楷体_GB2312"/>
                <w:b/>
                <w:sz w:val="20"/>
                <w:szCs w:val="20"/>
                <w:highlight w:val="none"/>
              </w:rPr>
              <w:t>2.</w:t>
            </w:r>
            <w:r>
              <w:rPr>
                <w:rFonts w:hint="eastAsia" w:ascii="楷体_GB2312" w:eastAsia="楷体_GB2312" w:cs="楷体_GB2312"/>
                <w:b/>
                <w:sz w:val="20"/>
                <w:szCs w:val="20"/>
                <w:highlight w:val="none"/>
              </w:rPr>
              <w:t>销售服务费：【A】类份额费率【0.20%】/年，【B】类份额费率【0.20%】/年，【D】类份额费率【0.05%】/年，【G】类份额费率【0.05%】/年，【H】类份额费率【0.10%】/年，【K】类份额费率【0.05%】/年，【M】类份额费率【0.30%】/年，【S】类份额费率【0.05%】/年</w:t>
            </w:r>
            <w:r>
              <w:rPr>
                <w:rFonts w:hint="eastAsia" w:ascii="楷体_GB2312" w:eastAsia="楷体_GB2312" w:cs="楷体_GB2312"/>
                <w:b/>
                <w:sz w:val="20"/>
                <w:szCs w:val="20"/>
                <w:highlight w:val="none"/>
                <w:lang w:eastAsia="zh-CN"/>
              </w:rPr>
              <w:t>；</w:t>
            </w:r>
          </w:p>
          <w:p w14:paraId="793AE849">
            <w:pPr>
              <w:snapToGrid w:val="0"/>
              <w:spacing w:line="300" w:lineRule="exact"/>
              <w:ind w:right="53" w:rightChars="22"/>
              <w:outlineLvl w:val="0"/>
              <w:rPr>
                <w:rFonts w:hint="eastAsia" w:ascii="楷体_GB2312" w:eastAsia="楷体_GB2312" w:cs="楷体_GB2312"/>
                <w:b/>
                <w:sz w:val="20"/>
                <w:szCs w:val="20"/>
                <w:highlight w:val="none"/>
                <w:lang w:eastAsia="zh-CN"/>
              </w:rPr>
            </w:pPr>
            <w:r>
              <w:rPr>
                <w:rFonts w:ascii="楷体_GB2312" w:eastAsia="楷体_GB2312" w:cs="楷体_GB2312"/>
                <w:b/>
                <w:sz w:val="20"/>
                <w:szCs w:val="20"/>
                <w:highlight w:val="none"/>
              </w:rPr>
              <w:t>3.</w:t>
            </w:r>
            <w:r>
              <w:rPr>
                <w:rFonts w:hint="eastAsia" w:ascii="楷体_GB2312" w:eastAsia="楷体_GB2312" w:cs="楷体_GB2312"/>
                <w:b/>
                <w:sz w:val="20"/>
                <w:szCs w:val="20"/>
                <w:highlight w:val="none"/>
              </w:rPr>
              <w:t>托管费：费率【</w:t>
            </w:r>
            <w:r>
              <w:rPr>
                <w:rFonts w:ascii="楷体_GB2312" w:eastAsia="楷体_GB2312" w:cs="楷体_GB2312"/>
                <w:b/>
                <w:sz w:val="20"/>
                <w:szCs w:val="20"/>
                <w:highlight w:val="none"/>
              </w:rPr>
              <w:t>0.05%】/年</w:t>
            </w:r>
            <w:r>
              <w:rPr>
                <w:rFonts w:hint="eastAsia" w:ascii="楷体_GB2312" w:eastAsia="楷体_GB2312" w:cs="楷体_GB2312"/>
                <w:b/>
                <w:sz w:val="20"/>
                <w:szCs w:val="20"/>
                <w:highlight w:val="none"/>
                <w:lang w:eastAsia="zh-CN"/>
              </w:rPr>
              <w:t>；</w:t>
            </w:r>
          </w:p>
          <w:p w14:paraId="0B46EB90">
            <w:pPr>
              <w:snapToGrid w:val="0"/>
              <w:spacing w:line="300" w:lineRule="exact"/>
              <w:ind w:right="96" w:rightChars="40"/>
              <w:outlineLvl w:val="0"/>
              <w:rPr>
                <w:rFonts w:hint="eastAsia" w:ascii="楷体_GB2312" w:eastAsia="楷体_GB2312" w:cs="楷体_GB2312"/>
                <w:b/>
                <w:sz w:val="20"/>
                <w:szCs w:val="20"/>
                <w:highlight w:val="none"/>
                <w:lang w:eastAsia="zh-CN"/>
              </w:rPr>
            </w:pPr>
            <w:r>
              <w:rPr>
                <w:rFonts w:ascii="楷体_GB2312" w:eastAsia="楷体_GB2312" w:cs="楷体_GB2312"/>
                <w:b/>
                <w:sz w:val="20"/>
                <w:szCs w:val="20"/>
                <w:highlight w:val="none"/>
              </w:rPr>
              <w:t>4.</w:t>
            </w:r>
            <w:r>
              <w:rPr>
                <w:rFonts w:hint="eastAsia" w:ascii="楷体_GB2312" w:eastAsia="楷体_GB2312" w:cs="楷体_GB2312"/>
                <w:b/>
                <w:sz w:val="20"/>
                <w:szCs w:val="20"/>
                <w:highlight w:val="none"/>
              </w:rPr>
              <w:t>固定管理费：费率【0.10%</w:t>
            </w:r>
            <w:r>
              <w:rPr>
                <w:rFonts w:ascii="楷体_GB2312" w:eastAsia="楷体_GB2312" w:cs="楷体_GB2312"/>
                <w:b/>
                <w:sz w:val="20"/>
                <w:szCs w:val="20"/>
                <w:highlight w:val="none"/>
              </w:rPr>
              <w:t>】/年</w:t>
            </w:r>
            <w:r>
              <w:rPr>
                <w:rFonts w:hint="eastAsia" w:ascii="楷体_GB2312" w:eastAsia="楷体_GB2312" w:cs="楷体_GB2312"/>
                <w:b/>
                <w:sz w:val="20"/>
                <w:szCs w:val="20"/>
                <w:highlight w:val="none"/>
                <w:lang w:eastAsia="zh-CN"/>
              </w:rPr>
              <w:t>；</w:t>
            </w:r>
          </w:p>
          <w:p w14:paraId="0005DA40">
            <w:pPr>
              <w:snapToGrid w:val="0"/>
              <w:spacing w:line="300" w:lineRule="exact"/>
              <w:ind w:right="96" w:rightChars="40"/>
              <w:outlineLvl w:val="0"/>
              <w:rPr>
                <w:rFonts w:ascii="楷体_GB2312" w:eastAsia="楷体_GB2312" w:cs="楷体_GB2312"/>
                <w:b/>
                <w:sz w:val="20"/>
                <w:szCs w:val="20"/>
                <w:highlight w:val="none"/>
              </w:rPr>
            </w:pPr>
            <w:r>
              <w:rPr>
                <w:rFonts w:ascii="楷体_GB2312" w:eastAsia="楷体_GB2312" w:cs="楷体_GB2312"/>
                <w:b/>
                <w:sz w:val="20"/>
                <w:szCs w:val="20"/>
                <w:highlight w:val="none"/>
              </w:rPr>
              <w:t>5.</w:t>
            </w:r>
            <w:r>
              <w:rPr>
                <w:rFonts w:hint="eastAsia" w:ascii="楷体_GB2312" w:eastAsia="楷体_GB2312" w:cs="楷体_GB2312"/>
                <w:b/>
                <w:sz w:val="20"/>
                <w:szCs w:val="20"/>
                <w:highlight w:val="none"/>
              </w:rPr>
              <w:t>浮动管理费：</w:t>
            </w:r>
          </w:p>
          <w:p w14:paraId="00EF91D0">
            <w:pPr>
              <w:snapToGrid w:val="0"/>
              <w:spacing w:line="300" w:lineRule="exact"/>
              <w:ind w:right="96" w:rightChars="40"/>
              <w:outlineLvl w:val="0"/>
              <w:rPr>
                <w:rFonts w:ascii="楷体_GB2312" w:eastAsia="楷体_GB2312"/>
                <w:b/>
                <w:sz w:val="20"/>
                <w:szCs w:val="20"/>
                <w:highlight w:val="none"/>
              </w:rPr>
            </w:pPr>
            <w:r>
              <w:rPr>
                <w:rFonts w:hint="eastAsia" w:ascii="楷体_GB2312" w:eastAsia="楷体_GB2312"/>
                <w:b/>
                <w:sz w:val="20"/>
                <w:szCs w:val="20"/>
                <w:highlight w:val="none"/>
              </w:rPr>
              <w:t>【A】类份额设立业绩比较基准，在产品到期日或提前终止日时，如计提浮动管理费前年化收益率超过【2.65%】的，管理人将收取超额部分的【50%】作为浮动管理费。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【B】类份额设立业绩比较基准，在产品到期日或提前终止日时，如计提浮动管理费前年化收益率超过【2.65%】的，管理人将收取超额部分的【50%】作为浮动管理费。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【D】类份额设立业绩比较基准，在产品到期日或提前终止日时，如计提浮动管理费前年化收益率超过【2.80%】的，管理人将收取超额部分的【50%】作为浮动管理费。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【G】类份额设立业绩比较基准，在产品到期日或提前终止日时，如计提浮动管理费前年化收益率超过【2.80%】的，管理人将收取超额部分的【50%】作为浮动管理费。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【H】类份额设立业绩比较基准，在产品到期日或提前终止日时，如计提浮动管理费前年化收益率超过【2.75%】的，管理人将收取超额部分的【50%】作为浮动管理费。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【K】类份额设立业绩比较基准，在产品到期日或提前终止日时，如计提浮动管理费前年化收益率超过【2.80%】的，管理人将收取超额部分的【50%】作为浮动管理费。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【M】类份额设立业绩比较基准，在产品到期日或提前终止日时，如计提浮动管理费前年化收益率超过【2.55%】的，管理人将收取超额部分的【50%】作为浮动管理费。</w:t>
            </w:r>
            <w:r>
              <w:rPr>
                <w:rFonts w:hint="eastAsia" w:ascii="楷体_GB2312" w:eastAsia="楷体_GB2312"/>
                <w:b/>
                <w:sz w:val="20"/>
                <w:szCs w:val="20"/>
                <w:highlight w:val="none"/>
              </w:rPr>
              <w:br w:type="textWrapping"/>
            </w:r>
            <w:r>
              <w:rPr>
                <w:rFonts w:hint="eastAsia" w:ascii="楷体_GB2312" w:eastAsia="楷体_GB2312"/>
                <w:b/>
                <w:sz w:val="20"/>
                <w:szCs w:val="20"/>
                <w:highlight w:val="none"/>
              </w:rPr>
              <w:t>【S】类份额设立业绩比较基准，在产品到期日或提前终止日时，如计提浮动管理费前年化收益率超过【2.80%】的，管理人将收取超额部分的【50%】作为浮动管理费。</w:t>
            </w:r>
          </w:p>
          <w:p w14:paraId="2E224725">
            <w:pPr>
              <w:snapToGrid w:val="0"/>
              <w:spacing w:line="300" w:lineRule="exact"/>
              <w:ind w:right="96" w:rightChars="40"/>
              <w:outlineLvl w:val="0"/>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lang w:val="en-US" w:eastAsia="zh-CN"/>
              </w:rPr>
              <w:t>6</w:t>
            </w:r>
            <w:r>
              <w:rPr>
                <w:rFonts w:ascii="楷体_GB2312" w:eastAsia="楷体_GB2312" w:cs="楷体_GB2312"/>
                <w:b/>
                <w:sz w:val="20"/>
                <w:szCs w:val="20"/>
                <w:highlight w:val="none"/>
              </w:rPr>
              <w:t>.</w:t>
            </w: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信息技术服务</w:t>
            </w:r>
            <w:r>
              <w:rPr>
                <w:rFonts w:hint="eastAsia" w:ascii="楷体_GB2312" w:eastAsia="楷体_GB2312" w:cs="楷体_GB2312"/>
                <w:b/>
                <w:sz w:val="20"/>
                <w:szCs w:val="20"/>
                <w:highlight w:val="none"/>
              </w:rPr>
              <w:t>费：费率【</w:t>
            </w:r>
            <w:r>
              <w:rPr>
                <w:rFonts w:hint="eastAsia" w:ascii="楷体_GB2312" w:eastAsia="楷体_GB2312" w:cs="楷体_GB2312"/>
                <w:b/>
                <w:sz w:val="20"/>
                <w:szCs w:val="20"/>
                <w:highlight w:val="none"/>
                <w:lang w:val="en-US" w:eastAsia="zh-CN"/>
              </w:rPr>
              <w:t>0.002%</w:t>
            </w:r>
            <w:r>
              <w:rPr>
                <w:rFonts w:ascii="楷体_GB2312" w:eastAsia="楷体_GB2312" w:cs="楷体_GB2312"/>
                <w:b/>
                <w:sz w:val="20"/>
                <w:szCs w:val="20"/>
                <w:highlight w:val="none"/>
              </w:rPr>
              <w:t>】/年</w:t>
            </w:r>
            <w:r>
              <w:rPr>
                <w:rFonts w:hint="eastAsia" w:ascii="楷体_GB2312" w:eastAsia="楷体_GB2312" w:cs="楷体_GB2312"/>
                <w:b/>
                <w:sz w:val="20"/>
                <w:szCs w:val="20"/>
                <w:highlight w:val="none"/>
                <w:lang w:eastAsia="zh-CN"/>
              </w:rPr>
              <w:t>；</w:t>
            </w:r>
          </w:p>
          <w:p w14:paraId="05FE616E">
            <w:pPr>
              <w:snapToGrid w:val="0"/>
              <w:spacing w:line="300" w:lineRule="exact"/>
              <w:ind w:left="-2" w:leftChars="-1" w:right="53" w:rightChars="22"/>
              <w:outlineLvl w:val="0"/>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color w:val="000000" w:themeColor="text1"/>
                <w:sz w:val="20"/>
                <w:szCs w:val="20"/>
                <w:highlight w:val="none"/>
                <w14:textFill>
                  <w14:solidFill>
                    <w14:schemeClr w14:val="tx1"/>
                  </w14:solidFill>
                </w14:textFill>
              </w:rPr>
              <w:t>以上1-</w:t>
            </w: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6</w:t>
            </w:r>
            <w:r>
              <w:rPr>
                <w:rFonts w:hint="eastAsia" w:ascii="楷体_GB2312" w:eastAsia="楷体_GB2312" w:cs="楷体_GB2312"/>
                <w:b/>
                <w:color w:val="000000" w:themeColor="text1"/>
                <w:sz w:val="20"/>
                <w:szCs w:val="20"/>
                <w:highlight w:val="none"/>
                <w14:textFill>
                  <w14:solidFill>
                    <w14:schemeClr w14:val="tx1"/>
                  </w14:solidFill>
                </w14:textFill>
              </w:rPr>
              <w:t>项费用金额均四舍五入保留小数点后【2】位。</w:t>
            </w:r>
          </w:p>
          <w:p w14:paraId="1A0F7EF0">
            <w:pPr>
              <w:snapToGrid w:val="0"/>
              <w:spacing w:line="300" w:lineRule="exact"/>
              <w:ind w:left="-2" w:leftChars="-1" w:right="53" w:rightChars="22"/>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具体请参见本说明书“</w:t>
            </w:r>
            <w:r>
              <w:rPr>
                <w:rFonts w:hint="eastAsia" w:ascii="黑体" w:eastAsia="黑体" w:cs="黑体"/>
                <w:b/>
                <w:color w:val="000000" w:themeColor="text1"/>
                <w:sz w:val="20"/>
                <w:szCs w:val="20"/>
                <w:highlight w:val="none"/>
                <w14:textFill>
                  <w14:solidFill>
                    <w14:schemeClr w14:val="tx1"/>
                  </w14:solidFill>
                </w14:textFill>
              </w:rPr>
              <w:t>八、理财产品的费用</w:t>
            </w:r>
            <w:r>
              <w:rPr>
                <w:rFonts w:ascii="楷体_GB2312" w:eastAsia="楷体_GB2312" w:cs="楷体_GB2312"/>
                <w:b/>
                <w:color w:val="000000" w:themeColor="text1"/>
                <w:sz w:val="20"/>
                <w:szCs w:val="20"/>
                <w:highlight w:val="none"/>
                <w14:textFill>
                  <w14:solidFill>
                    <w14:schemeClr w14:val="tx1"/>
                  </w14:solidFill>
                </w14:textFill>
              </w:rPr>
              <w:t>”部分。</w:t>
            </w:r>
          </w:p>
          <w:p w14:paraId="00B37122">
            <w:pPr>
              <w:spacing w:line="300" w:lineRule="exact"/>
              <w:ind w:right="36" w:rightChars="15"/>
              <w:jc w:val="both"/>
              <w:rPr>
                <w:rFonts w:ascii="楷体_GB2312" w:eastAsia="楷体_GB2312" w:cs="楷体_GB2312"/>
                <w:b/>
                <w:color w:val="000000" w:themeColor="text1"/>
                <w:sz w:val="20"/>
                <w:szCs w:val="20"/>
                <w:highlight w:val="none"/>
                <w14:textFill>
                  <w14:solidFill>
                    <w14:schemeClr w14:val="tx1"/>
                  </w14:solidFill>
                </w14:textFill>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6469E845">
            <w:pPr>
              <w:snapToGrid w:val="0"/>
              <w:spacing w:line="300" w:lineRule="exact"/>
              <w:ind w:left="-2" w:leftChars="-1" w:right="53" w:rightChars="22"/>
              <w:outlineLvl w:val="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投资者通过代销机构购买理财产品的，代销机构收取的销售相关费用（如有）以代销机构规定为准，但不得超过上述费用标准。</w:t>
            </w:r>
          </w:p>
        </w:tc>
      </w:tr>
      <w:tr w14:paraId="2066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200" w:type="dxa"/>
            <w:vAlign w:val="center"/>
          </w:tcPr>
          <w:p w14:paraId="7B319979">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理财产品</w:t>
            </w:r>
            <w:r>
              <w:rPr>
                <w:rFonts w:ascii="Times New Roman" w:eastAsia="楷体_GB2312" w:cs="楷体_GB2312"/>
                <w:color w:val="000000" w:themeColor="text1"/>
                <w:sz w:val="20"/>
                <w:szCs w:val="20"/>
                <w:highlight w:val="none"/>
                <w14:textFill>
                  <w14:solidFill>
                    <w14:schemeClr w14:val="tx1"/>
                  </w14:solidFill>
                </w14:textFill>
              </w:rPr>
              <w:t>管理人</w:t>
            </w:r>
            <w:r>
              <w:rPr>
                <w:rFonts w:hint="eastAsia" w:ascii="Times New Roman" w:eastAsia="楷体_GB2312" w:cs="楷体_GB2312"/>
                <w:color w:val="000000" w:themeColor="text1"/>
                <w:sz w:val="20"/>
                <w:szCs w:val="20"/>
                <w:highlight w:val="none"/>
                <w14:textFill>
                  <w14:solidFill>
                    <w14:schemeClr w14:val="tx1"/>
                  </w14:solidFill>
                </w14:textFill>
              </w:rPr>
              <w:t>/产品</w:t>
            </w:r>
            <w:r>
              <w:rPr>
                <w:rFonts w:ascii="Times New Roman" w:eastAsia="楷体_GB2312" w:cs="楷体_GB2312"/>
                <w:color w:val="000000" w:themeColor="text1"/>
                <w:sz w:val="20"/>
                <w:szCs w:val="20"/>
                <w:highlight w:val="none"/>
                <w14:textFill>
                  <w14:solidFill>
                    <w14:schemeClr w14:val="tx1"/>
                  </w14:solidFill>
                </w14:textFill>
              </w:rPr>
              <w:t>管理</w:t>
            </w:r>
            <w:r>
              <w:rPr>
                <w:rFonts w:hint="eastAsia" w:ascii="Times New Roman" w:eastAsia="楷体_GB2312" w:cs="楷体_GB2312"/>
                <w:color w:val="000000" w:themeColor="text1"/>
                <w:sz w:val="20"/>
                <w:szCs w:val="20"/>
                <w:highlight w:val="none"/>
                <w14:textFill>
                  <w14:solidFill>
                    <w14:schemeClr w14:val="tx1"/>
                  </w14:solidFill>
                </w14:textFill>
              </w:rPr>
              <w:t>人/管理人</w:t>
            </w:r>
            <w:r>
              <w:rPr>
                <w:rFonts w:ascii="Times New Roman" w:eastAsia="楷体_GB2312" w:cs="楷体_GB2312"/>
                <w:color w:val="000000" w:themeColor="text1"/>
                <w:sz w:val="20"/>
                <w:szCs w:val="20"/>
                <w:highlight w:val="none"/>
                <w14:textFill>
                  <w14:solidFill>
                    <w14:schemeClr w14:val="tx1"/>
                  </w14:solidFill>
                </w14:textFill>
              </w:rPr>
              <w:t>、</w:t>
            </w:r>
            <w:r>
              <w:rPr>
                <w:rFonts w:hint="eastAsia" w:ascii="Times New Roman" w:eastAsia="楷体_GB2312" w:cs="楷体_GB2312"/>
                <w:color w:val="000000" w:themeColor="text1"/>
                <w:sz w:val="20"/>
                <w:szCs w:val="20"/>
                <w:highlight w:val="none"/>
                <w14:textFill>
                  <w14:solidFill>
                    <w14:schemeClr w14:val="tx1"/>
                  </w14:solidFill>
                </w14:textFill>
              </w:rPr>
              <w:t>收益</w:t>
            </w:r>
            <w:r>
              <w:rPr>
                <w:rFonts w:ascii="Times New Roman" w:eastAsia="楷体_GB2312" w:cs="楷体_GB2312"/>
                <w:color w:val="000000" w:themeColor="text1"/>
                <w:sz w:val="20"/>
                <w:szCs w:val="20"/>
                <w:highlight w:val="none"/>
                <w14:textFill>
                  <w14:solidFill>
                    <w14:schemeClr w14:val="tx1"/>
                  </w14:solidFill>
                </w14:textFill>
              </w:rPr>
              <w:t>计算方</w:t>
            </w:r>
          </w:p>
        </w:tc>
        <w:tc>
          <w:tcPr>
            <w:tcW w:w="6328" w:type="dxa"/>
            <w:vAlign w:val="center"/>
          </w:tcPr>
          <w:p w14:paraId="3ACAFC2D">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企业名称：【信银理财有限责任公司】</w:t>
            </w:r>
          </w:p>
          <w:p w14:paraId="1EC9DD74">
            <w:pPr>
              <w:spacing w:line="300" w:lineRule="atLeast"/>
              <w:ind w:left="-2" w:right="31"/>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住所：【上海市黄浦区中山东二路600号1幢35层、36层】</w:t>
            </w:r>
          </w:p>
          <w:p w14:paraId="61DB60F5">
            <w:pPr>
              <w:spacing w:line="300" w:lineRule="atLeast"/>
              <w:ind w:left="-2" w:leftChars="0" w:right="31" w:right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客户服务热线：【950950】</w:t>
            </w:r>
          </w:p>
        </w:tc>
      </w:tr>
      <w:tr w14:paraId="5B6D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200" w:type="dxa"/>
            <w:vAlign w:val="center"/>
          </w:tcPr>
          <w:p w14:paraId="53F3AACF">
            <w:pPr>
              <w:spacing w:line="300" w:lineRule="exact"/>
              <w:ind w:left="-2" w:leftChars="-1" w:right="36" w:rightChars="15"/>
              <w:rPr>
                <w:rFonts w:hint="eastAsia"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lang w:val="en-US" w:eastAsia="zh-CN"/>
                <w14:textFill>
                  <w14:solidFill>
                    <w14:schemeClr w14:val="tx1"/>
                  </w14:solidFill>
                </w14:textFill>
              </w:rPr>
              <w:t>管理人主要职责</w:t>
            </w:r>
          </w:p>
        </w:tc>
        <w:tc>
          <w:tcPr>
            <w:tcW w:w="6328" w:type="dxa"/>
            <w:vAlign w:val="center"/>
          </w:tcPr>
          <w:p w14:paraId="786DC71C">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依法募集资金，办理产品份额的发售和登记事宜；</w:t>
            </w:r>
          </w:p>
          <w:p w14:paraId="5D6703E1">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办理产品登记备案或者注册手续；</w:t>
            </w:r>
          </w:p>
          <w:p w14:paraId="7BDE41CB">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对所管理的不同产品受托财产分别管理、分别记账，进行投资；</w:t>
            </w:r>
          </w:p>
          <w:p w14:paraId="4BF702AE">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按照产品合同的约定确定收益分配方案，及时向投资者分配收益；</w:t>
            </w:r>
          </w:p>
          <w:p w14:paraId="258E0354">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进行产品会计核算并编制产品财务会计报告；</w:t>
            </w:r>
          </w:p>
          <w:p w14:paraId="4658768D">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依法计算并披露产品净值或者投资收益情况，确定申购、赎回价格；</w:t>
            </w:r>
          </w:p>
          <w:p w14:paraId="335BC975">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办理与受托财产管理业务活动有关的信息披露事项；</w:t>
            </w:r>
          </w:p>
          <w:p w14:paraId="4156FF0B">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保存受托财产管理业务活动的记录、账册、报表和其他相关资料；</w:t>
            </w:r>
          </w:p>
          <w:p w14:paraId="473B81A1">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以管理人名义，代表投资者利益行使诉讼权利或者实施其他法律行为；</w:t>
            </w:r>
          </w:p>
          <w:p w14:paraId="7DD14248">
            <w:pPr>
              <w:numPr>
                <w:ilvl w:val="0"/>
                <w:numId w:val="3"/>
              </w:numPr>
              <w:spacing w:line="300" w:lineRule="atLeast"/>
              <w:ind w:left="425" w:right="31"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在兑付受托资金及收益时，应当保证受托资金及收益返回委托人的原账户、同名账户或者合同约定的受益人账户；</w:t>
            </w:r>
          </w:p>
          <w:p w14:paraId="55EED232">
            <w:pPr>
              <w:numPr>
                <w:ilvl w:val="0"/>
                <w:numId w:val="3"/>
              </w:numPr>
              <w:spacing w:line="300" w:lineRule="atLeast"/>
              <w:ind w:left="425" w:right="31" w:rightChars="0" w:hanging="425"/>
              <w:rPr>
                <w:rFonts w:hint="eastAsia"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国家金融监督管理总局规定的其他职责。</w:t>
            </w:r>
          </w:p>
        </w:tc>
      </w:tr>
      <w:tr w14:paraId="68AD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29A16B15">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销售机构</w:t>
            </w:r>
          </w:p>
        </w:tc>
        <w:tc>
          <w:tcPr>
            <w:tcW w:w="3709" w:type="pct"/>
            <w:vAlign w:val="center"/>
          </w:tcPr>
          <w:p w14:paraId="0CE896E3">
            <w:pPr>
              <w:spacing w:line="300" w:lineRule="atLeast"/>
              <w:ind w:left="-2" w:right="31"/>
              <w:rPr>
                <w:rFonts w:ascii="楷体_GB2312" w:eastAsia="楷体_GB2312" w:cs="楷体_GB2312"/>
                <w:sz w:val="20"/>
                <w:szCs w:val="20"/>
                <w:highlight w:val="none"/>
              </w:rPr>
            </w:pPr>
            <w:r>
              <w:rPr>
                <w:rFonts w:hint="eastAsia" w:ascii="楷体_GB2312" w:eastAsia="楷体_GB2312" w:cs="楷体_GB2312"/>
                <w:sz w:val="20"/>
                <w:szCs w:val="20"/>
                <w:highlight w:val="none"/>
              </w:rPr>
              <w:t>【A】类份额（份额代码【AF266137A】）合作销售机构信息：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【B】类份额（份额代码【AF266137B】）合作销售机构信息：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1.企业名称：【江苏高淳农村商业银行股份有限公司】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住所：【江苏省南京市高淳区宝塔路123号】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客户服务热线：【025-96008】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2.企业名称：【内蒙古农村商业银行股份有限公司】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住所：【内蒙古自治区呼和浩特市赛罕区陶利西街1号】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客户服务热线：【0471-96688】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3.企业名称：【江苏扬中农村商业银行股份有限公司】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住所：【扬中市扬子西路79号】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客户服务热线：【0511-96008】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4.企业名称：【江苏句容农村商业银行股份有限公司】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住所：【江苏省句容市福地东路66号】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客户服务热线：【0511-96008】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5.企业名称：【江苏海门农村商业银行股份有限公司】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住所：【江苏省南通市海门区解放中路137号】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6.企业名称：【江苏启东农村商业银行股份有限公司】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住所：【江苏省启东市汇龙镇金沙江路1688号】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7.企业名称：【江苏如东农村商业银行股份有限公司】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住所：【江苏省如东县掘港镇钟山路66号】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8.企业名称：【江苏镇江农村商业银行股份有限公司】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住所：【江苏省镇江市润州区长江路97号】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9.企业名称：【江苏宝应农村商业银行股份有限公司】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住所：【江苏省宝应县文津路1号】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客户服务热线：【0514-96008】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10.企业名称：【江苏建湖农村商业银行股份有限公司】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住所：【江苏省建湖县湖南中路958号】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客户服务热线：【0515-96008】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11.企业名称：【江苏阜宁农村商业银行股份有限公司】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住所：【江苏省阜宁县城南新区上海路459号】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客户服务热线：【0515-96008】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12.企业名称：【江苏滨海农村商业银行股份有限公司】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住所：【滨海县城迎宾中路1号】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客户服务热线：【0515-96008】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13.企业名称：【江苏泰州农村商业银行股份有限公司】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住所：【江苏省泰州市海陵区西仓路36号】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客户服务热线：【0523-96008】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14.企业名称：【浙江东阳农村商业银行股份有限公司】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住所：【东阳市双岘路18号】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15.企业名称：【浙江乐清农村商业银行股份有限公司】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住所：【乐清市城南街道伯乐西路99号】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16.企业名称：【宁波余姚农村商业银行股份有限公司】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住所：【余姚市新建路69号】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17.企业名称：【宁波镇海农村商业银行股份有限公司】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住所：【宁波市镇海区骆驼街道镇海大道中段788号】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18.企业名称：【宁波宁海农村商业银行股份有限公司】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住所：【宁海县跃龙街道学勉路1号（金融中心）】</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19.企业名称：【浙江丽水莲都农村商业银行股份有限公司】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住所：【浙江丽水市解放街438号】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20.企业名称：【浙江三门农村商业银行股份有限公司】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住所：【浙江省三门县海游街道上洋路68号】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21.企业名称：【浙江衢州柯城农村商业银行股份有限公司】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住所：【浙江省上街92号】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22.企业名称：【浙江云和农村商业银行股份有限公司】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住所：【浙江省丽水市云和县浮云街道新建路72号】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23.企业名称：【浙江庆元农村商业银行股份有限公司】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住所：【浙江省丽水市庆元县濛洲街道云鹤路3号】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24.企业名称：【浙江景宁农村商业银行股份有限公司】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住所：【浙江省丽水市景宁畲族自治县红星街道人民中路201号】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25.企业名称：【浙江松阳农村商业银行股份有限公司】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住所：【浙江省丽水市松阳县水南街道要津南路71号】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26.企业名称：【浙江缙云农村商业银行股份有限公司】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住所：【浙江省丽水市缙云县五云镇新区仙都路68号】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27.企业名称：【浙江遂昌农村商业银行股份有限公司】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住所：【浙江省丽水市遂昌县妙高街道溪边路100号】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28.企业名称：【浙江龙泉农村商业银行股份有限公司】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住所：【浙江省丽水市龙泉市中山东路101号】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29.企业名称：【浙江义乌农村商业银行股份有限公司】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住所：【浙江省义乌市福田街道城北路677号】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30.企业名称：【浙江仙居农村商业银行股份有限公司】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住所：【浙江省仙居县南峰街道穿城中路21号】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31.企业名称：【浙江兰溪农村商业银行股份有限公司】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住所：【浙江省兰溪市兰江街道丹溪大道18号】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32.企业名称：【浙江临海农村商业银行股份有限公司】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住所：【浙江省台州市临海市大洋街道河阳路299号】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33.企业名称：【浙江台州椒江农村商业银行股份有限公司】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住所：【浙江省台州市椒江区工人东路322号】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34.企业名称：【浙江温岭农村商业银行股份有限公司】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住所：【浙江省台州市温岭市城东街道下保路100号】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35.企业名称：【浙江台州路桥农村商业银行股份有限公司】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住所：【浙江省台州市路桥区西路桥大道328号】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36.企业名称：【浙江台州黄岩农村商业银行股份有限公司】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住所：【浙江省台州市黄岩区洞天路88号】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37.企业名称：【浙江嘉善农村商业银行股份有限公司】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住所：【浙江省嘉兴市嘉善县罗星街道车站南路999号】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38.企业名称：【浙江桐乡农村商业银行股份有限公司】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住所：【浙江省嘉兴市桐乡市梧桐街道校场东路59号】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39.企业名称：【浙江禾城农村商业银行股份有限公司】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住所：【浙江省嘉兴市经济技术开发区文昌路1229号】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40.企业名称：【浙江天台农村商业银行股份有限公司】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住所：【浙江省天台县赤城街道飞鹤路358号】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41.企业名称：【宁波北仑农村商业银行股份有限公司】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住所：【浙江省宁波市北仑区新碶宝山路69号（凤凰国际商务广场）1幢69号、63号（凤凰国际商务广场）1幢（2-26层）】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42.企业名称：【宁波奉化农村商业银行股份有限公司】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住所：【浙江省宁波市奉化区锦屏街道中山路27号】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43.企业名称：【宁波甬城农村商业银行股份有限公司】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住所：【浙江省宁波市江北区育才路15、17号】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44.企业名称：【浙江嵊州农村商业银行股份有限公司】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住所：【浙江省嵊州市剡湖街道官河路398号】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45.企业名称：【浙江嵊泗农村商业银行股份有限公司】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住所：【浙江省嵊泗县菜园镇沙河路110号】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46.企业名称：【浙江平湖农村商业银行股份有限公司】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住所：【浙江省平湖市当湖街道胜利路518号】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47.企业名称：【浙江平阳农村商业银行股份有限公司】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住所：【浙江省平阳县鳌江镇车站大道999号】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48.企业名称：【浙江建德农村商业银行股份有限公司】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住所：【浙江省建德市新安江街道江滨中路176号】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49.企业名称：【浙江德清农村商业银行股份有限公司】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住所：【浙江省德清县武康街道沈长圩街50号】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50.企业名称：【宁波慈溪农村商业银行股份有限公司】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住所：【浙江省慈溪市浒山街道南城路 25 号、59 号 5-6 楼】</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51.企业名称：【浙江新昌农村商业银行股份有限公司】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住所：【浙江省新昌县七星街道七星路18号】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52.企业名称：【杭州联合农村商业银行股份有限公司】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住所：【浙江省杭州市上城区建国中路99号】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53.企业名称：【浙江临安农村商业银行股份有限公司】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住所：【浙江省杭州市临安区锦城街道城中街442号】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54.企业名称：【浙江杭州余杭农村商业银行股份有限公司】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住所：【浙江省杭州市临平区南苑街道南大街72号】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55.企业名称：【浙江富阳农村商业银行股份有限公司】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住所：【浙江省杭州市富阳区鹿山街道依江路501号第1幢】</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56.企业名称：【浙江桐庐农村商业银行股份有限公司】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住所：【浙江省杭州市桐庐县城迎春南路278号】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57.企业名称：【浙江淳安农村商业银行股份有限公司】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住所：【浙江省杭州市淳安县千岛湖镇环湖北路369号】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58.企业名称：【浙江萧山农村商业银行股份有限公司】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住所：【浙江省杭州市萧山区人民路258号】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59.企业名称：【浙江武义农村商业银行股份有限公司】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住所：【浙江省武义县城武阳中路37号】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60.企业名称：【浙江江山农村商业银行股份有限公司】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住所：【浙江省江山市双塔街道江滨路188号】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61.企业名称：【浙江浦江农村商业银行股份有限公司】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住所：【浙江省浦江县人民东路90号】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62.企业名称：【浙江海宁农村商业银行股份有限公司】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住所：【浙江省海宁市海洲街道钱江西路278号】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63.企业名称：【浙江海盐农村商业银行股份有限公司】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住所：【浙江省海盐县武原街道枣园西路176号】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64.企业名称：【浙江文成农村商业银行股份有限公司】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住所：【浙江省温州市文成县大峃镇伯温路6号】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65.企业名称：【浙江永嘉农村商业银行股份有限公司】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住所：【浙江省温州市永嘉县瓯北街道阳光大道3918号101室、201室、301室、401室、501室、1101室、1801室、2201室】</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66.企业名称：【浙江泰顺农村商业银行股份有限公司】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住所：【浙江省温州市泰顺县罗阳镇新城区文祥大道181号】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67.企业名称：【浙江温州瓯海农村商业银行股份有限公司】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住所：【浙江省温州市瓯海区瓯海大道989号】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68.企业名称：【浙江温州鹿城农村商业银行股份有限公司】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住所：【浙江省温州市鹿城区会展路1500号富银大厦】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69.企业名称：【浙江温州龙湾农村商业银行股份有限公司】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住所：【浙江省温州市龙湾区永中街道永宁西路555号】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70.企业名称：【湖州吴兴农村商业银行股份有限公司】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住所：【浙江省湖州市东街55号】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71.企业名称：【浙江南浔农村商业银行股份有限公司】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住所：【浙江省湖州市南浔区南浔镇人瑞路1188号】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72.企业名称：【浙江安吉农村商业银行股份有限公司】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住所：【浙江省湖州市安吉县昌硕街道昌硕东路1号(自主申报)】</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73.企业名称：【浙江长兴农村商业银行股份有限公司】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住所：【浙江省湖州市长兴县太湖街道明珠路1298号】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74.企业名称：【浙江玉环农村商业银行股份有限公司】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住所：【浙江省玉环市玉城街道珠港大道26号】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75.企业名称：【浙江上虞农村商业银行股份有限公司】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住所：【浙江省百官街道德盛路55号】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76.企业名称：【浙江绍兴恒信农村商业银行股份有限公司】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住所：【浙江省绍兴市中兴中路159号】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77.企业名称：【浙江绍兴瑞丰农村商业银行股份有限公司】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住所：【浙江省绍兴市柯桥区柯桥笛扬路1363号】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78.企业名称：【浙江舟山定海海洋农村商业银行股份有限公司】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住所：【浙江省舟山市定海区环城东路81号】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79.企业名称：【浙江岱山农村商业银行股份有限公司】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住所：【浙江省舟山市岱山县高亭镇衢山大道1009号(自主申报)】</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80.企业名称：【浙江舟山普陀农村商业银行股份有限公司】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住所：【浙江省舟山市普陀区东港街道麒麟街225号（自贸试验区内）】</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81.企业名称：【浙江苍南农村商业银行股份有限公司】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住所：【浙江省苍南县灵溪镇人民大道425号】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82.企业名称：【浙江常山农村商业银行股份有限公司】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住所：【浙江省衢州市常山县天马街道人民路125号】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83.企业名称：【浙江开化农村商业银行股份有限公司】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住所：【浙江省衢州市开化县华埠镇永吉二路8号】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84.企业名称：【浙江衢州衢江农村商业银行股份有限公司】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住所：【浙江省衢州市衢江区樟潭街道信安东路37号】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85.企业名称：【浙江龙游农村商业银行股份有限公司】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住所：【浙江省衢州市龙游县龙洲街道荣昌大道683、685、687号】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86.企业名称：【浙江诸暨农村商业银行股份有限公司】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住所：【浙江省诸暨市暨阳街道大桥东路2号】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87.企业名称：【浙江金华成泰农村商业银行股份有限公司】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住所：【浙江省金华市八一南街123号】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88.企业名称：【浙江永康农村商业银行股份有限公司】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住所：【浙江省金华市永康市九铃东路3259号】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89.企业名称：【浙江青田农村商业银行股份有限公司】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住所：【浙江省青田县鹤城街道鹤城东路180号】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90.企业名称：【浙江瑞安农村商业银行股份有限公司】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住所：【瑞安市安阳街道万松东路148号】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客户服务热线：【0571-96596】</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91.企业名称：【鄂尔多斯银行股份有限公司】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住所：【内蒙古自治区鄂尔多斯市东胜区乌审西街6号】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客户服务热线：【4000096622】</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92.企业名称：【江苏宜兴农村商业银行股份有限公司】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住所：【江苏省宜兴市宜城街道解放东路579号】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93.企业名称：【江苏海安农村商业银行股份有限公司】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住所：【江苏省海安市长江中路88号(东楼)】</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94.企业名称：【江苏淮安农村商业银行股份有限公司】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住所：【江苏省淮安市清江浦区水渡口大道20号金融中心B1号楼】</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95.企业名称：【江苏响水农村商业银行股份有限公司】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住所：【江苏省盐城市响水县双园路84号】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96.企业名称：【江苏姜堰农村商业银行股份有限公司】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住所：【泰州市姜堰区姜堰大道128号】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【D】类份额（份额代码【AF266137D】）合作销售机构信息：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【G】类份额（份额代码【AF266137G】）合作销售机构信息：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【H】类份额（份额代码【AF266137H】）合作销售机构信息：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【K】类份额（份额代码【AF266137K】）合作销售机构信息：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【M】类份额（份额代码【AF266137M】）合作销售机构信息：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1.企业名称：【江苏如皋农村商业银行股份有限公司】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住所：【江苏省如皋市如城街道海阳南路 999 号】</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客户服务热线：【0513-96008】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【S】类份额（份额代码【AF266137S】）合作销售机构信息：</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1.企业名称：【信银理财有限责任公司】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住所：【上海市黄浦区中山东二路600号1幢35层、36层】</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客户服务热线：【950950】</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2.企业名称：【中信银行股份有限公司】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销售本理财产品，存在关联交易风险，请投资者仔细阅读理财产品说明书中相应风险揭示部分。</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 xml:space="preserve">    </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后续合作销售机构如有新增、减少和变更，信银理财将按照本说明书约定的方式告知投资者。</w:t>
            </w:r>
          </w:p>
        </w:tc>
      </w:tr>
      <w:tr w14:paraId="3BF4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1E5FB7AD">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销售机构主要职责</w:t>
            </w:r>
          </w:p>
        </w:tc>
        <w:tc>
          <w:tcPr>
            <w:tcW w:w="3709" w:type="pct"/>
            <w:vAlign w:val="center"/>
          </w:tcPr>
          <w:p w14:paraId="0CCB71FB">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理财产品的宣传推广；</w:t>
            </w:r>
          </w:p>
          <w:p w14:paraId="7CDAF1AF">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投资者风险承受能力评估和投资者适当性管理；</w:t>
            </w:r>
          </w:p>
          <w:p w14:paraId="702914E0">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理财产品认</w:t>
            </w:r>
            <w:r>
              <w:rPr>
                <w:rFonts w:hint="eastAsia" w:ascii="楷体_GB2312" w:eastAsia="楷体_GB2312" w:cs="楷体_GB2312"/>
                <w:color w:val="000000" w:themeColor="text1"/>
                <w:sz w:val="20"/>
                <w:szCs w:val="20"/>
                <w:highlight w:val="none"/>
                <w14:textFill>
                  <w14:solidFill>
                    <w14:schemeClr w14:val="tx1"/>
                  </w14:solidFill>
                </w14:textFill>
              </w:rPr>
              <w:t>/申购、赎回等业务办理；</w:t>
            </w:r>
          </w:p>
          <w:p w14:paraId="4A9AD0E7">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协助管理人与投资者订立相关协议；</w:t>
            </w:r>
          </w:p>
          <w:p w14:paraId="2C74EE7E">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协助管理人与投资者沟通及进行信息披露；</w:t>
            </w:r>
          </w:p>
          <w:p w14:paraId="139ACE42">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接受投资者咨询、投诉和客户维护等销售服务；</w:t>
            </w:r>
          </w:p>
          <w:p w14:paraId="7AAA1E7A">
            <w:pPr>
              <w:pStyle w:val="20"/>
              <w:numPr>
                <w:ilvl w:val="0"/>
                <w:numId w:val="4"/>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国务院银行业监督管理机构规定的其他职责。</w:t>
            </w:r>
          </w:p>
        </w:tc>
      </w:tr>
      <w:tr w14:paraId="0D71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7050542A">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托管人</w:t>
            </w:r>
          </w:p>
        </w:tc>
        <w:tc>
          <w:tcPr>
            <w:tcW w:w="3709" w:type="pct"/>
            <w:vAlign w:val="center"/>
          </w:tcPr>
          <w:p w14:paraId="7881BBFC">
            <w:pPr>
              <w:spacing w:line="300" w:lineRule="exact"/>
              <w:ind w:left="-2" w:leftChars="-1"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sz w:val="20"/>
                <w:szCs w:val="20"/>
                <w:highlight w:val="none"/>
              </w:rPr>
              <w:t>企业名称：【中信银行股份有限公司】</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住所：【北京市朝阳区光华路10号中信大厦】</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客户服务热线：【95558】</w:t>
            </w:r>
            <w:r>
              <w:rPr>
                <w:rFonts w:hint="eastAsia" w:ascii="楷体_GB2312" w:eastAsia="楷体_GB2312" w:cs="楷体_GB2312"/>
                <w:sz w:val="20"/>
                <w:szCs w:val="20"/>
                <w:highlight w:val="none"/>
              </w:rPr>
              <w:br w:type="textWrapping"/>
            </w:r>
            <w:r>
              <w:rPr>
                <w:rFonts w:hint="eastAsia" w:ascii="楷体_GB2312" w:eastAsia="楷体_GB2312" w:cs="楷体_GB2312"/>
                <w:sz w:val="20"/>
                <w:szCs w:val="20"/>
                <w:highlight w:val="none"/>
              </w:rPr>
              <w:t>关联关系情况：【中信银行股份有限公司】系信银理财的法人控股股东，与信银理财具有关联关系。信银理财委托【中信银行股份有限公司】托管本理财产品，存在关联交易风险，请投资者仔细阅读理财产品说明书中相应风险揭示部分。</w:t>
            </w:r>
          </w:p>
        </w:tc>
      </w:tr>
      <w:tr w14:paraId="5735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6C8FAB92">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托管人职责</w:t>
            </w:r>
          </w:p>
        </w:tc>
        <w:tc>
          <w:tcPr>
            <w:tcW w:w="3709" w:type="pct"/>
            <w:vAlign w:val="center"/>
          </w:tcPr>
          <w:p w14:paraId="361E7CE9">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安全保管理财产品财产；</w:t>
            </w:r>
          </w:p>
          <w:p w14:paraId="783F89AB">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为每只理财产品开设独立的托管账户，不同托管账户中的资产应当相互独立，为理财产品开立所需的证券账户等其他账户；</w:t>
            </w:r>
          </w:p>
          <w:p w14:paraId="0AB16666">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按照托管协议约定和管理人的投资指令，及时办理理财产品的清算、交割事宜，核对理财产品资金划拨记录；</w:t>
            </w:r>
          </w:p>
          <w:p w14:paraId="15E5EBA8">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建立与理财产品管理人的对账机制，复核、审查理财产品资金头寸、资产账目、</w:t>
            </w:r>
            <w:r>
              <w:rPr>
                <w:rFonts w:ascii="楷体_GB2312" w:eastAsia="楷体_GB2312" w:cs="楷体_GB2312"/>
                <w:color w:val="000000" w:themeColor="text1"/>
                <w:sz w:val="20"/>
                <w:szCs w:val="20"/>
                <w:highlight w:val="none"/>
                <w14:textFill>
                  <w14:solidFill>
                    <w14:schemeClr w14:val="tx1"/>
                  </w14:solidFill>
                </w14:textFill>
              </w:rPr>
              <w:t>资产净值</w:t>
            </w:r>
            <w:r>
              <w:rPr>
                <w:rFonts w:hint="eastAsia" w:ascii="楷体_GB2312" w:eastAsia="楷体_GB2312" w:cs="楷体_GB2312"/>
                <w:color w:val="000000" w:themeColor="text1"/>
                <w:sz w:val="20"/>
                <w:szCs w:val="20"/>
                <w:highlight w:val="none"/>
                <w14:textFill>
                  <w14:solidFill>
                    <w14:schemeClr w14:val="tx1"/>
                  </w14:solidFill>
                </w14:textFill>
              </w:rPr>
              <w:t>、理财产品份额认/申购、赎回价格等数据，及时核查认/申购、赎回以及投资资金的支付和到账情况；</w:t>
            </w:r>
          </w:p>
          <w:p w14:paraId="28C9B121">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监督理财产品投资运作，发现理财产品违反法律、行政法规、规章规定或合同约定进行投资的，应当拒绝执行，及时通知理财产品管理人并报告国务院银行业监督管理机构；</w:t>
            </w:r>
          </w:p>
          <w:p w14:paraId="4D3CA57E">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2F2C6E25">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保存理财产品托管业务活动的记录、账册、报表和其他相关材料1</w:t>
            </w:r>
            <w:r>
              <w:rPr>
                <w:rFonts w:ascii="楷体_GB2312" w:eastAsia="楷体_GB2312" w:cs="楷体_GB2312"/>
                <w:color w:val="000000" w:themeColor="text1"/>
                <w:sz w:val="20"/>
                <w:szCs w:val="20"/>
                <w:highlight w:val="none"/>
                <w14:textFill>
                  <w14:solidFill>
                    <w14:schemeClr w14:val="tx1"/>
                  </w14:solidFill>
                </w14:textFill>
              </w:rPr>
              <w:t>5</w:t>
            </w:r>
            <w:r>
              <w:rPr>
                <w:rFonts w:hint="eastAsia" w:ascii="楷体_GB2312" w:eastAsia="楷体_GB2312" w:cs="楷体_GB2312"/>
                <w:color w:val="000000" w:themeColor="text1"/>
                <w:sz w:val="20"/>
                <w:szCs w:val="20"/>
                <w:highlight w:val="none"/>
                <w14:textFill>
                  <w14:solidFill>
                    <w14:schemeClr w14:val="tx1"/>
                  </w14:solidFill>
                </w14:textFill>
              </w:rPr>
              <w:t>年以上；</w:t>
            </w:r>
          </w:p>
          <w:p w14:paraId="65054DC6">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对理财产品投资信息和相关资料承担保密责任，除法律、行政法规、规章规定、审计要求或者合同约定外，不得向任何机构或者个人提供相关信息和资料；</w:t>
            </w:r>
          </w:p>
          <w:p w14:paraId="759E0F88">
            <w:pPr>
              <w:pStyle w:val="20"/>
              <w:numPr>
                <w:ilvl w:val="0"/>
                <w:numId w:val="5"/>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国务院银行业监督管理机构规定的其他职责。</w:t>
            </w:r>
          </w:p>
        </w:tc>
      </w:tr>
      <w:tr w14:paraId="3191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15AE062F">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理财托管</w:t>
            </w:r>
            <w:r>
              <w:rPr>
                <w:rFonts w:ascii="Times New Roman" w:eastAsia="楷体_GB2312" w:cs="楷体_GB2312"/>
                <w:color w:val="000000" w:themeColor="text1"/>
                <w:sz w:val="20"/>
                <w:szCs w:val="20"/>
                <w:highlight w:val="none"/>
                <w14:textFill>
                  <w14:solidFill>
                    <w14:schemeClr w14:val="tx1"/>
                  </w14:solidFill>
                </w14:textFill>
              </w:rPr>
              <w:t>账户</w:t>
            </w:r>
          </w:p>
        </w:tc>
        <w:tc>
          <w:tcPr>
            <w:tcW w:w="3709" w:type="pct"/>
            <w:vAlign w:val="center"/>
          </w:tcPr>
          <w:p w14:paraId="382C2B1E">
            <w:pPr>
              <w:spacing w:line="300" w:lineRule="exact"/>
              <w:ind w:right="36" w:rightChars="15"/>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管理人为理财产品资金管理之目的，以理财产品的名义在托管人处单独开立资金账户，理财产品资金的一切收支活动，包括但不限于接收募集资金、划付对外投资资金、缴纳理财产品税费、接收理财产品回收资金、支付理财产品费用以及向投资者划付理财产品分配款项，均通过该账户进行。</w:t>
            </w:r>
          </w:p>
        </w:tc>
      </w:tr>
      <w:tr w14:paraId="4B73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CC53874">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账户</w:t>
            </w:r>
          </w:p>
        </w:tc>
        <w:tc>
          <w:tcPr>
            <w:tcW w:w="3709" w:type="pct"/>
            <w:vAlign w:val="center"/>
          </w:tcPr>
          <w:p w14:paraId="5031BE54">
            <w:pPr>
              <w:pStyle w:val="20"/>
              <w:spacing w:line="300" w:lineRule="exact"/>
              <w:ind w:right="36" w:rightChars="15" w:firstLine="0"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投资者认购或申购（如有）理财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的资金划出账户与理财产品到期或期间赎回（如有）接收资金的银行</w:t>
            </w:r>
            <w:r>
              <w:rPr>
                <w:rFonts w:ascii="楷体_GB2312" w:eastAsia="楷体_GB2312" w:cs="楷体_GB2312"/>
                <w:color w:val="000000" w:themeColor="text1"/>
                <w:sz w:val="20"/>
                <w:szCs w:val="20"/>
                <w:highlight w:val="none"/>
                <w14:textFill>
                  <w14:solidFill>
                    <w14:schemeClr w14:val="tx1"/>
                  </w14:solidFill>
                </w14:textFill>
              </w:rPr>
              <w:t>结算</w:t>
            </w:r>
            <w:r>
              <w:rPr>
                <w:rFonts w:hint="eastAsia" w:ascii="楷体_GB2312" w:eastAsia="楷体_GB2312" w:cs="楷体_GB2312"/>
                <w:color w:val="000000" w:themeColor="text1"/>
                <w:sz w:val="20"/>
                <w:szCs w:val="20"/>
                <w:highlight w:val="none"/>
                <w14:textFill>
                  <w14:solidFill>
                    <w14:schemeClr w14:val="tx1"/>
                  </w14:solidFill>
                </w14:textFill>
              </w:rPr>
              <w:t>账户。在本理财产品存续期间，除非经理财</w:t>
            </w:r>
            <w:r>
              <w:rPr>
                <w:rFonts w:ascii="楷体_GB2312" w:eastAsia="楷体_GB2312" w:cs="楷体_GB2312"/>
                <w:color w:val="000000" w:themeColor="text1"/>
                <w:sz w:val="20"/>
                <w:szCs w:val="20"/>
                <w:highlight w:val="none"/>
                <w14:textFill>
                  <w14:solidFill>
                    <w14:schemeClr w14:val="tx1"/>
                  </w14:solidFill>
                </w14:textFill>
              </w:rPr>
              <w:t>产品</w:t>
            </w:r>
            <w:r>
              <w:rPr>
                <w:rFonts w:hint="eastAsia" w:ascii="楷体_GB2312" w:eastAsia="楷体_GB2312" w:cs="楷体_GB2312"/>
                <w:color w:val="000000" w:themeColor="text1"/>
                <w:sz w:val="20"/>
                <w:szCs w:val="20"/>
                <w:highlight w:val="none"/>
                <w14:textFill>
                  <w14:solidFill>
                    <w14:schemeClr w14:val="tx1"/>
                  </w14:solidFill>
                </w14:textFill>
              </w:rPr>
              <w:t>管理人同意，该账户不得变更、注销。如发生投资者账户被有权机关采取司法强制措施的，投资者不得申请对投资者账户予以变更或注销。</w:t>
            </w:r>
          </w:p>
        </w:tc>
      </w:tr>
      <w:tr w14:paraId="16E3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C9168BC">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理财账户</w:t>
            </w:r>
          </w:p>
        </w:tc>
        <w:tc>
          <w:tcPr>
            <w:tcW w:w="3709" w:type="pct"/>
            <w:vAlign w:val="center"/>
          </w:tcPr>
          <w:p w14:paraId="28841A80">
            <w:pPr>
              <w:pStyle w:val="20"/>
              <w:spacing w:line="300" w:lineRule="exact"/>
              <w:ind w:left="2" w:right="36" w:rightChars="15" w:firstLine="0"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为投资者开立的，唯一用于信银理财管理和记录投资者持有信银理财理财产品份额及理财产品份额变化等情况的账户。投资者购买信银理财理财产品的，信银理财将为其开立理财账户。开户需要的信息和要求以信银理财或代销机构营业场所或线上办理要求为准。</w:t>
            </w:r>
          </w:p>
        </w:tc>
      </w:tr>
      <w:tr w14:paraId="5A64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37660C98">
            <w:pPr>
              <w:spacing w:line="300" w:lineRule="exact"/>
              <w:ind w:left="-2" w:leftChars="-1" w:right="36" w:rightChars="15"/>
              <w:rPr>
                <w:rFonts w:ascii="Times New Roman" w:eastAsia="楷体_GB2312" w:cs="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投资者</w:t>
            </w:r>
            <w:r>
              <w:rPr>
                <w:rFonts w:ascii="Times New Roman" w:eastAsia="楷体_GB2312" w:cs="楷体_GB2312"/>
                <w:color w:val="000000" w:themeColor="text1"/>
                <w:sz w:val="20"/>
                <w:szCs w:val="20"/>
                <w:highlight w:val="none"/>
                <w14:textFill>
                  <w14:solidFill>
                    <w14:schemeClr w14:val="tx1"/>
                  </w14:solidFill>
                </w14:textFill>
              </w:rPr>
              <w:t>理财交易账户</w:t>
            </w:r>
          </w:p>
        </w:tc>
        <w:tc>
          <w:tcPr>
            <w:tcW w:w="3709" w:type="pct"/>
            <w:vAlign w:val="center"/>
          </w:tcPr>
          <w:p w14:paraId="32D4C033">
            <w:pPr>
              <w:pStyle w:val="20"/>
              <w:spacing w:line="300" w:lineRule="exact"/>
              <w:ind w:left="2" w:right="36" w:rightChars="15" w:firstLine="0"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销售机构为投资者开立的、记录投资者通过该销售机构办理认购、申购、赎回、转换、转托管及定期定额投资等业务导致理财份额变动及结余情况的账户</w:t>
            </w:r>
            <w:r>
              <w:rPr>
                <w:rFonts w:ascii="楷体_GB2312" w:eastAsia="楷体_GB2312" w:cs="楷体_GB2312"/>
                <w:color w:val="000000" w:themeColor="text1"/>
                <w:sz w:val="20"/>
                <w:szCs w:val="20"/>
                <w:highlight w:val="none"/>
                <w14:textFill>
                  <w14:solidFill>
                    <w14:schemeClr w14:val="tx1"/>
                  </w14:solidFill>
                </w14:textFill>
              </w:rPr>
              <w:t>。具体</w:t>
            </w:r>
            <w:r>
              <w:rPr>
                <w:rFonts w:hint="eastAsia" w:ascii="楷体_GB2312" w:eastAsia="楷体_GB2312" w:cs="楷体_GB2312"/>
                <w:color w:val="000000" w:themeColor="text1"/>
                <w:sz w:val="20"/>
                <w:szCs w:val="20"/>
                <w:highlight w:val="none"/>
                <w14:textFill>
                  <w14:solidFill>
                    <w14:schemeClr w14:val="tx1"/>
                  </w14:solidFill>
                </w14:textFill>
              </w:rPr>
              <w:t>开户</w:t>
            </w:r>
            <w:r>
              <w:rPr>
                <w:rFonts w:ascii="楷体_GB2312" w:eastAsia="楷体_GB2312" w:cs="楷体_GB2312"/>
                <w:color w:val="000000" w:themeColor="text1"/>
                <w:sz w:val="20"/>
                <w:szCs w:val="20"/>
                <w:highlight w:val="none"/>
                <w14:textFill>
                  <w14:solidFill>
                    <w14:schemeClr w14:val="tx1"/>
                  </w14:solidFill>
                </w14:textFill>
              </w:rPr>
              <w:t>流程应</w:t>
            </w:r>
            <w:r>
              <w:rPr>
                <w:rFonts w:hint="eastAsia" w:ascii="楷体_GB2312" w:eastAsia="楷体_GB2312" w:cs="楷体_GB2312"/>
                <w:color w:val="000000" w:themeColor="text1"/>
                <w:sz w:val="20"/>
                <w:szCs w:val="20"/>
                <w:highlight w:val="none"/>
                <w14:textFill>
                  <w14:solidFill>
                    <w14:schemeClr w14:val="tx1"/>
                  </w14:solidFill>
                </w14:textFill>
              </w:rPr>
              <w:t>遵守</w:t>
            </w:r>
            <w:r>
              <w:rPr>
                <w:rFonts w:ascii="楷体_GB2312" w:eastAsia="楷体_GB2312" w:cs="楷体_GB2312"/>
                <w:color w:val="000000" w:themeColor="text1"/>
                <w:sz w:val="20"/>
                <w:szCs w:val="20"/>
                <w:highlight w:val="none"/>
                <w14:textFill>
                  <w14:solidFill>
                    <w14:schemeClr w14:val="tx1"/>
                  </w14:solidFill>
                </w14:textFill>
              </w:rPr>
              <w:t>信银理财或代销机构</w:t>
            </w:r>
            <w:r>
              <w:rPr>
                <w:rFonts w:hint="eastAsia" w:ascii="楷体_GB2312" w:eastAsia="楷体_GB2312" w:cs="楷体_GB2312"/>
                <w:color w:val="000000" w:themeColor="text1"/>
                <w:sz w:val="20"/>
                <w:szCs w:val="20"/>
                <w:highlight w:val="none"/>
                <w14:textFill>
                  <w14:solidFill>
                    <w14:schemeClr w14:val="tx1"/>
                  </w14:solidFill>
                </w14:textFill>
              </w:rPr>
              <w:t>网点</w:t>
            </w:r>
            <w:r>
              <w:rPr>
                <w:rFonts w:ascii="楷体_GB2312" w:eastAsia="楷体_GB2312" w:cs="楷体_GB2312"/>
                <w:color w:val="000000" w:themeColor="text1"/>
                <w:sz w:val="20"/>
                <w:szCs w:val="20"/>
                <w:highlight w:val="none"/>
                <w14:textFill>
                  <w14:solidFill>
                    <w14:schemeClr w14:val="tx1"/>
                  </w14:solidFill>
                </w14:textFill>
              </w:rPr>
              <w:t>或线上办理要求。</w:t>
            </w:r>
          </w:p>
        </w:tc>
      </w:tr>
      <w:tr w14:paraId="79CD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90" w:type="pct"/>
            <w:vAlign w:val="center"/>
          </w:tcPr>
          <w:p w14:paraId="07F6AE4F">
            <w:pPr>
              <w:spacing w:line="300" w:lineRule="exact"/>
              <w:ind w:left="-2" w:leftChars="-1" w:right="36" w:rightChars="15"/>
              <w:rPr>
                <w:rFonts w:eastAsia="楷体_GB2312"/>
                <w:color w:val="000000" w:themeColor="text1"/>
                <w:sz w:val="20"/>
                <w:szCs w:val="20"/>
                <w:highlight w:val="none"/>
                <w14:textFill>
                  <w14:solidFill>
                    <w14:schemeClr w14:val="tx1"/>
                  </w14:solidFill>
                </w14:textFill>
              </w:rPr>
            </w:pPr>
            <w:r>
              <w:rPr>
                <w:rFonts w:hint="eastAsia" w:ascii="Times New Roman" w:eastAsia="楷体_GB2312" w:cs="楷体_GB2312"/>
                <w:color w:val="000000" w:themeColor="text1"/>
                <w:sz w:val="20"/>
                <w:szCs w:val="20"/>
                <w:highlight w:val="none"/>
                <w14:textFill>
                  <w14:solidFill>
                    <w14:schemeClr w14:val="tx1"/>
                  </w14:solidFill>
                </w14:textFill>
              </w:rPr>
              <w:t>信息披露</w:t>
            </w:r>
          </w:p>
        </w:tc>
        <w:tc>
          <w:tcPr>
            <w:tcW w:w="3709" w:type="pct"/>
            <w:vAlign w:val="center"/>
          </w:tcPr>
          <w:p w14:paraId="27FDFA24">
            <w:pPr>
              <w:pStyle w:val="20"/>
              <w:numPr>
                <w:ilvl w:val="3"/>
                <w:numId w:val="5"/>
              </w:numPr>
              <w:spacing w:line="300" w:lineRule="exact"/>
              <w:ind w:left="427" w:right="36" w:rightChars="15" w:hanging="42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将通过【</w:t>
            </w:r>
            <w:r>
              <w:rPr>
                <w:rFonts w:hint="eastAsia" w:ascii="楷体_GB2312" w:eastAsia="楷体_GB2312" w:cs="楷体_GB2312"/>
                <w:color w:val="000000" w:themeColor="text1"/>
                <w:sz w:val="20"/>
                <w:szCs w:val="20"/>
                <w:highlight w:val="none"/>
                <w14:textFill>
                  <w14:solidFill>
                    <w14:schemeClr w14:val="tx1"/>
                  </w14:solidFill>
                </w14:textFill>
              </w:rPr>
              <w:t>信银理财官方网站（</w:t>
            </w:r>
            <w:r>
              <w:rPr>
                <w:highlight w:val="none"/>
              </w:rPr>
              <w:fldChar w:fldCharType="begin"/>
            </w:r>
            <w:r>
              <w:rPr>
                <w:highlight w:val="none"/>
              </w:rPr>
              <w:instrText xml:space="preserve"> HYPERLINK "http://www.citic-wealth.com" </w:instrText>
            </w:r>
            <w:r>
              <w:rPr>
                <w:highlight w:val="none"/>
              </w:rPr>
              <w:fldChar w:fldCharType="separate"/>
            </w:r>
            <w:r>
              <w:rPr>
                <w:rStyle w:val="12"/>
                <w:rFonts w:ascii="楷体_GB2312" w:eastAsia="楷体_GB2312" w:cs="楷体_GB2312"/>
                <w:sz w:val="20"/>
                <w:szCs w:val="20"/>
                <w:highlight w:val="none"/>
              </w:rPr>
              <w:t>http://www.citic-wealth.com</w:t>
            </w:r>
            <w:r>
              <w:rPr>
                <w:rStyle w:val="12"/>
                <w:rFonts w:ascii="楷体_GB2312" w:eastAsia="楷体_GB2312" w:cs="楷体_GB2312"/>
                <w:sz w:val="20"/>
                <w:szCs w:val="20"/>
                <w:highlight w:val="none"/>
              </w:rPr>
              <w:fldChar w:fldCharType="end"/>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披露</w:t>
            </w:r>
            <w:r>
              <w:rPr>
                <w:rFonts w:ascii="楷体_GB2312" w:eastAsia="楷体_GB2312" w:cs="楷体_GB2312"/>
                <w:color w:val="000000" w:themeColor="text1"/>
                <w:sz w:val="20"/>
                <w:szCs w:val="20"/>
                <w:highlight w:val="none"/>
                <w14:textFill>
                  <w14:solidFill>
                    <w14:schemeClr w14:val="tx1"/>
                  </w14:solidFill>
                </w14:textFill>
              </w:rPr>
              <w:t>本理财产品的各类信息</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并按照国家金融监督管理总局</w:t>
            </w:r>
            <w:r>
              <w:rPr>
                <w:rFonts w:ascii="楷体_GB2312" w:eastAsia="楷体_GB2312" w:cs="楷体_GB2312"/>
                <w:color w:val="000000" w:themeColor="text1"/>
                <w:sz w:val="20"/>
                <w:szCs w:val="20"/>
                <w:highlight w:val="none"/>
                <w14:textFill>
                  <w14:solidFill>
                    <w14:schemeClr w14:val="tx1"/>
                  </w14:solidFill>
                </w14:textFill>
              </w:rPr>
              <w:t>规定</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在【中国理财网（www.chinawealth.com.cn）】披露本理财产品的相关信息</w:t>
            </w:r>
            <w:r>
              <w:rPr>
                <w:rFonts w:ascii="楷体_GB2312" w:eastAsia="楷体_GB2312" w:cs="楷体_GB2312"/>
                <w:color w:val="000000" w:themeColor="text1"/>
                <w:sz w:val="20"/>
                <w:szCs w:val="20"/>
                <w:highlight w:val="none"/>
                <w14:textFill>
                  <w14:solidFill>
                    <w14:schemeClr w14:val="tx1"/>
                  </w14:solidFill>
                </w14:textFill>
              </w:rPr>
              <w:t>。</w:t>
            </w:r>
          </w:p>
          <w:p w14:paraId="5811A9BC">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本理财产品存续期间内，因</w:t>
            </w:r>
            <w:r>
              <w:rPr>
                <w:rFonts w:ascii="楷体_GB2312" w:eastAsia="楷体_GB2312" w:cs="楷体_GB2312"/>
                <w:color w:val="000000" w:themeColor="text1"/>
                <w:sz w:val="20"/>
                <w:szCs w:val="20"/>
                <w:highlight w:val="none"/>
                <w14:textFill>
                  <w14:solidFill>
                    <w14:schemeClr w14:val="tx1"/>
                  </w14:solidFill>
                </w14:textFill>
              </w:rPr>
              <w:t>国家法律法规、监管规定发生变化，或是出于维持本产品正常运营需要</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在不损害投资者</w:t>
            </w:r>
            <w:r>
              <w:rPr>
                <w:rFonts w:hint="eastAsia" w:ascii="楷体_GB2312" w:eastAsia="楷体_GB2312" w:cs="楷体_GB2312"/>
                <w:color w:val="000000" w:themeColor="text1"/>
                <w:sz w:val="20"/>
                <w:szCs w:val="20"/>
                <w:highlight w:val="none"/>
                <w14:textFill>
                  <w14:solidFill>
                    <w14:schemeClr w14:val="tx1"/>
                  </w14:solidFill>
                </w14:textFill>
              </w:rPr>
              <w:t>利益</w:t>
            </w:r>
            <w:r>
              <w:rPr>
                <w:rFonts w:ascii="楷体_GB2312" w:eastAsia="楷体_GB2312" w:cs="楷体_GB2312"/>
                <w:color w:val="000000" w:themeColor="text1"/>
                <w:sz w:val="20"/>
                <w:szCs w:val="20"/>
                <w:highlight w:val="none"/>
                <w14:textFill>
                  <w14:solidFill>
                    <w14:schemeClr w14:val="tx1"/>
                  </w14:solidFill>
                </w14:textFill>
              </w:rPr>
              <w:t>的前提下</w:t>
            </w:r>
            <w:r>
              <w:rPr>
                <w:rFonts w:hint="eastAsia" w:ascii="楷体_GB2312" w:eastAsia="楷体_GB2312" w:cs="楷体_GB2312"/>
                <w:color w:val="000000" w:themeColor="text1"/>
                <w:sz w:val="20"/>
                <w:szCs w:val="20"/>
                <w:highlight w:val="none"/>
                <w14:textFill>
                  <w14:solidFill>
                    <w14:schemeClr w14:val="tx1"/>
                  </w14:solidFill>
                </w14:textFill>
              </w:rPr>
              <w:t>，信银理财有权提前【2】个工作日向投资者发出</w:t>
            </w:r>
            <w:r>
              <w:rPr>
                <w:rFonts w:ascii="楷体_GB2312" w:eastAsia="楷体_GB2312" w:cs="楷体_GB2312"/>
                <w:color w:val="000000" w:themeColor="text1"/>
                <w:sz w:val="20"/>
                <w:szCs w:val="20"/>
                <w:highlight w:val="none"/>
                <w14:textFill>
                  <w14:solidFill>
                    <w14:schemeClr w14:val="tx1"/>
                  </w14:solidFill>
                </w14:textFill>
              </w:rPr>
              <w:t>通知</w:t>
            </w:r>
            <w:r>
              <w:rPr>
                <w:rFonts w:hint="eastAsia" w:ascii="楷体_GB2312" w:eastAsia="楷体_GB2312" w:cs="楷体_GB2312"/>
                <w:color w:val="000000" w:themeColor="text1"/>
                <w:sz w:val="20"/>
                <w:szCs w:val="20"/>
                <w:highlight w:val="none"/>
                <w14:textFill>
                  <w14:solidFill>
                    <w14:schemeClr w14:val="tx1"/>
                  </w14:solidFill>
                </w14:textFill>
              </w:rPr>
              <w:t>，以</w:t>
            </w:r>
            <w:r>
              <w:rPr>
                <w:rFonts w:ascii="楷体_GB2312" w:eastAsia="楷体_GB2312" w:cs="楷体_GB2312"/>
                <w:color w:val="000000" w:themeColor="text1"/>
                <w:sz w:val="20"/>
                <w:szCs w:val="20"/>
                <w:highlight w:val="none"/>
                <w14:textFill>
                  <w14:solidFill>
                    <w14:schemeClr w14:val="tx1"/>
                  </w14:solidFill>
                </w14:textFill>
              </w:rPr>
              <w:t>符合监管规定的方式</w:t>
            </w:r>
            <w:r>
              <w:rPr>
                <w:rFonts w:hint="eastAsia" w:ascii="楷体_GB2312" w:eastAsia="楷体_GB2312" w:cs="楷体_GB2312"/>
                <w:color w:val="000000" w:themeColor="text1"/>
                <w:sz w:val="20"/>
                <w:szCs w:val="20"/>
                <w:highlight w:val="none"/>
                <w14:textFill>
                  <w14:solidFill>
                    <w14:schemeClr w14:val="tx1"/>
                  </w14:solidFill>
                </w14:textFill>
              </w:rPr>
              <w:t>对说明书条款进行补充、说明和修改。</w:t>
            </w:r>
          </w:p>
          <w:p w14:paraId="07DBB1E1">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w:t>
            </w:r>
            <w:r>
              <w:rPr>
                <w:rFonts w:ascii="楷体_GB2312" w:eastAsia="楷体_GB2312" w:cs="楷体_GB2312"/>
                <w:color w:val="000000" w:themeColor="text1"/>
                <w:sz w:val="20"/>
                <w:szCs w:val="20"/>
                <w:highlight w:val="none"/>
                <w14:textFill>
                  <w14:solidFill>
                    <w14:schemeClr w14:val="tx1"/>
                  </w14:solidFill>
                </w14:textFill>
              </w:rPr>
              <w:t>决定理财产品不成立，将在决定本理财产品不成立后的【2】</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工作日</w:t>
            </w:r>
            <w:r>
              <w:rPr>
                <w:rFonts w:hint="eastAsia" w:ascii="楷体_GB2312" w:eastAsia="楷体_GB2312" w:cs="楷体_GB2312"/>
                <w:color w:val="000000" w:themeColor="text1"/>
                <w:sz w:val="20"/>
                <w:szCs w:val="20"/>
                <w:highlight w:val="none"/>
                <w14:textFill>
                  <w14:solidFill>
                    <w14:schemeClr w14:val="tx1"/>
                  </w14:solidFill>
                </w14:textFill>
              </w:rPr>
              <w:t>内向</w:t>
            </w:r>
            <w:r>
              <w:rPr>
                <w:rFonts w:ascii="楷体_GB2312" w:eastAsia="楷体_GB2312" w:cs="楷体_GB2312"/>
                <w:color w:val="000000" w:themeColor="text1"/>
                <w:sz w:val="20"/>
                <w:szCs w:val="20"/>
                <w:highlight w:val="none"/>
                <w14:textFill>
                  <w14:solidFill>
                    <w14:schemeClr w14:val="tx1"/>
                  </w14:solidFill>
                </w14:textFill>
              </w:rPr>
              <w:t>投资者发布信息。</w:t>
            </w:r>
          </w:p>
          <w:p w14:paraId="3A941581">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w:t>
            </w:r>
            <w:r>
              <w:rPr>
                <w:rFonts w:ascii="楷体_GB2312" w:eastAsia="楷体_GB2312" w:cs="楷体_GB2312"/>
                <w:color w:val="000000" w:themeColor="text1"/>
                <w:sz w:val="20"/>
                <w:szCs w:val="20"/>
                <w:highlight w:val="none"/>
                <w14:textFill>
                  <w14:solidFill>
                    <w14:schemeClr w14:val="tx1"/>
                  </w14:solidFill>
                </w14:textFill>
              </w:rPr>
              <w:t>决定提前</w:t>
            </w:r>
            <w:r>
              <w:rPr>
                <w:rFonts w:hint="eastAsia" w:ascii="楷体_GB2312" w:eastAsia="楷体_GB2312" w:cs="楷体_GB2312"/>
                <w:color w:val="000000" w:themeColor="text1"/>
                <w:sz w:val="20"/>
                <w:szCs w:val="20"/>
                <w:highlight w:val="none"/>
                <w14:textFill>
                  <w14:solidFill>
                    <w14:schemeClr w14:val="tx1"/>
                  </w14:solidFill>
                </w14:textFill>
              </w:rPr>
              <w:t>结束募集期或</w:t>
            </w:r>
            <w:r>
              <w:rPr>
                <w:rFonts w:ascii="楷体_GB2312" w:eastAsia="楷体_GB2312" w:cs="楷体_GB2312"/>
                <w:color w:val="000000" w:themeColor="text1"/>
                <w:sz w:val="20"/>
                <w:szCs w:val="20"/>
                <w:highlight w:val="none"/>
                <w14:textFill>
                  <w14:solidFill>
                    <w14:schemeClr w14:val="tx1"/>
                  </w14:solidFill>
                </w14:textFill>
              </w:rPr>
              <w:t>延长募集期</w:t>
            </w:r>
            <w:r>
              <w:rPr>
                <w:rFonts w:hint="eastAsia" w:ascii="楷体_GB2312" w:eastAsia="楷体_GB2312" w:cs="楷体_GB2312"/>
                <w:color w:val="000000" w:themeColor="text1"/>
                <w:sz w:val="20"/>
                <w:szCs w:val="20"/>
                <w:highlight w:val="none"/>
                <w14:textFill>
                  <w14:solidFill>
                    <w14:schemeClr w14:val="tx1"/>
                  </w14:solidFill>
                </w14:textFill>
              </w:rPr>
              <w:t>的，将在</w:t>
            </w:r>
            <w:r>
              <w:rPr>
                <w:rFonts w:ascii="楷体_GB2312" w:eastAsia="楷体_GB2312" w:cs="楷体_GB2312"/>
                <w:color w:val="000000" w:themeColor="text1"/>
                <w:sz w:val="20"/>
                <w:szCs w:val="20"/>
                <w:highlight w:val="none"/>
                <w14:textFill>
                  <w14:solidFill>
                    <w14:schemeClr w14:val="tx1"/>
                  </w14:solidFill>
                </w14:textFill>
              </w:rPr>
              <w:t>决定调整募集期后的【2】</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工作日内向</w:t>
            </w:r>
            <w:r>
              <w:rPr>
                <w:rFonts w:hint="eastAsia" w:ascii="楷体_GB2312" w:eastAsia="楷体_GB2312" w:cs="楷体_GB2312"/>
                <w:color w:val="000000" w:themeColor="text1"/>
                <w:sz w:val="20"/>
                <w:szCs w:val="20"/>
                <w:highlight w:val="none"/>
                <w14:textFill>
                  <w14:solidFill>
                    <w14:schemeClr w14:val="tx1"/>
                  </w14:solidFill>
                </w14:textFill>
              </w:rPr>
              <w:t>投资者发布</w:t>
            </w:r>
            <w:r>
              <w:rPr>
                <w:rFonts w:ascii="楷体_GB2312" w:eastAsia="楷体_GB2312" w:cs="楷体_GB2312"/>
                <w:color w:val="000000" w:themeColor="text1"/>
                <w:sz w:val="20"/>
                <w:szCs w:val="20"/>
                <w:highlight w:val="none"/>
                <w14:textFill>
                  <w14:solidFill>
                    <w14:schemeClr w14:val="tx1"/>
                  </w14:solidFill>
                </w14:textFill>
              </w:rPr>
              <w:t>相关信息。</w:t>
            </w:r>
          </w:p>
          <w:p w14:paraId="7965FB0F">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信银理财将</w:t>
            </w:r>
            <w:r>
              <w:rPr>
                <w:rFonts w:ascii="楷体_GB2312" w:eastAsia="楷体_GB2312" w:cs="楷体_GB2312"/>
                <w:color w:val="000000" w:themeColor="text1"/>
                <w:sz w:val="20"/>
                <w:szCs w:val="20"/>
                <w:highlight w:val="none"/>
                <w14:textFill>
                  <w14:solidFill>
                    <w14:schemeClr w14:val="tx1"/>
                  </w14:solidFill>
                </w14:textFill>
              </w:rPr>
              <w:t>在本产品成立后【</w:t>
            </w: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w:t>
            </w:r>
            <w:r>
              <w:rPr>
                <w:rFonts w:ascii="楷体_GB2312" w:eastAsia="楷体_GB2312" w:cs="楷体_GB2312"/>
                <w:color w:val="000000" w:themeColor="text1"/>
                <w:sz w:val="20"/>
                <w:szCs w:val="20"/>
                <w:highlight w:val="none"/>
                <w14:textFill>
                  <w14:solidFill>
                    <w14:schemeClr w14:val="tx1"/>
                  </w14:solidFill>
                </w14:textFill>
              </w:rPr>
              <w:t>工作</w:t>
            </w:r>
            <w:r>
              <w:rPr>
                <w:rFonts w:hint="eastAsia" w:ascii="楷体_GB2312" w:eastAsia="楷体_GB2312" w:cs="楷体_GB2312"/>
                <w:color w:val="000000" w:themeColor="text1"/>
                <w:sz w:val="20"/>
                <w:szCs w:val="20"/>
                <w:highlight w:val="none"/>
                <w14:textFill>
                  <w14:solidFill>
                    <w14:schemeClr w14:val="tx1"/>
                  </w14:solidFill>
                </w14:textFill>
              </w:rPr>
              <w:t>日</w:t>
            </w:r>
            <w:r>
              <w:rPr>
                <w:rFonts w:ascii="楷体_GB2312" w:eastAsia="楷体_GB2312" w:cs="楷体_GB2312"/>
                <w:color w:val="000000" w:themeColor="text1"/>
                <w:sz w:val="20"/>
                <w:szCs w:val="20"/>
                <w:highlight w:val="none"/>
                <w14:textFill>
                  <w14:solidFill>
                    <w14:schemeClr w14:val="tx1"/>
                  </w14:solidFill>
                </w14:textFill>
              </w:rPr>
              <w:t>内披露发行公告。</w:t>
            </w:r>
          </w:p>
          <w:p w14:paraId="76FC2D2A">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如信银理财决定提前终止本产品，将于提前终止日前【2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个工作日向投资者发布相关信息。</w:t>
            </w:r>
          </w:p>
          <w:p w14:paraId="237D92F2">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如本产品需延期清算，将于原定到期日前【2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个工作日内向投资者发布相关信息。</w:t>
            </w:r>
          </w:p>
          <w:p w14:paraId="056B2842">
            <w:pPr>
              <w:pStyle w:val="20"/>
              <w:spacing w:line="300" w:lineRule="exact"/>
              <w:ind w:left="360" w:right="36" w:rightChars="15" w:firstLine="0"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信银理财将在本产品终止</w:t>
            </w:r>
            <w:r>
              <w:rPr>
                <w:rFonts w:ascii="楷体_GB2312" w:eastAsia="楷体_GB2312" w:cs="楷体_GB2312"/>
                <w:color w:val="000000" w:themeColor="text1"/>
                <w:sz w:val="20"/>
                <w:szCs w:val="20"/>
                <w:highlight w:val="none"/>
                <w14:textFill>
                  <w14:solidFill>
                    <w14:schemeClr w14:val="tx1"/>
                  </w14:solidFill>
                </w14:textFill>
              </w:rPr>
              <w:t>（包括</w:t>
            </w:r>
            <w:r>
              <w:rPr>
                <w:rFonts w:hint="eastAsia" w:ascii="楷体_GB2312" w:eastAsia="楷体_GB2312" w:cs="楷体_GB2312"/>
                <w:color w:val="000000" w:themeColor="text1"/>
                <w:sz w:val="20"/>
                <w:szCs w:val="20"/>
                <w:highlight w:val="none"/>
                <w14:textFill>
                  <w14:solidFill>
                    <w14:schemeClr w14:val="tx1"/>
                  </w14:solidFill>
                </w14:textFill>
              </w:rPr>
              <w:t>到期和</w:t>
            </w:r>
            <w:r>
              <w:rPr>
                <w:rFonts w:ascii="楷体_GB2312" w:eastAsia="楷体_GB2312" w:cs="楷体_GB2312"/>
                <w:color w:val="000000" w:themeColor="text1"/>
                <w:sz w:val="20"/>
                <w:szCs w:val="20"/>
                <w:highlight w:val="none"/>
                <w14:textFill>
                  <w14:solidFill>
                    <w14:schemeClr w14:val="tx1"/>
                  </w14:solidFill>
                </w14:textFill>
              </w:rPr>
              <w:t>提前终止）</w:t>
            </w:r>
            <w:r>
              <w:rPr>
                <w:rFonts w:hint="eastAsia" w:ascii="楷体_GB2312" w:eastAsia="楷体_GB2312" w:cs="楷体_GB2312"/>
                <w:color w:val="000000" w:themeColor="text1"/>
                <w:sz w:val="20"/>
                <w:szCs w:val="20"/>
                <w:highlight w:val="none"/>
                <w14:textFill>
                  <w14:solidFill>
                    <w14:schemeClr w14:val="tx1"/>
                  </w14:solidFill>
                </w14:textFill>
              </w:rPr>
              <w:t>日后【5】个工作日内，向投资者披露</w:t>
            </w:r>
            <w:r>
              <w:rPr>
                <w:rFonts w:ascii="楷体_GB2312" w:eastAsia="楷体_GB2312" w:cs="楷体_GB2312"/>
                <w:color w:val="000000" w:themeColor="text1"/>
                <w:sz w:val="20"/>
                <w:szCs w:val="20"/>
                <w:highlight w:val="none"/>
                <w14:textFill>
                  <w14:solidFill>
                    <w14:schemeClr w14:val="tx1"/>
                  </w14:solidFill>
                </w14:textFill>
              </w:rPr>
              <w:t>到期公告</w:t>
            </w:r>
            <w:r>
              <w:rPr>
                <w:rFonts w:hint="eastAsia" w:ascii="楷体_GB2312" w:eastAsia="楷体_GB2312" w:cs="楷体_GB2312"/>
                <w:color w:val="000000" w:themeColor="text1"/>
                <w:sz w:val="20"/>
                <w:szCs w:val="20"/>
                <w:highlight w:val="none"/>
                <w14:textFill>
                  <w14:solidFill>
                    <w14:schemeClr w14:val="tx1"/>
                  </w14:solidFill>
                </w14:textFill>
              </w:rPr>
              <w:t>，包括</w:t>
            </w:r>
            <w:r>
              <w:rPr>
                <w:rFonts w:ascii="楷体_GB2312" w:eastAsia="楷体_GB2312" w:cs="楷体_GB2312"/>
                <w:color w:val="000000" w:themeColor="text1"/>
                <w:sz w:val="20"/>
                <w:szCs w:val="20"/>
                <w:highlight w:val="none"/>
                <w14:textFill>
                  <w14:solidFill>
                    <w14:schemeClr w14:val="tx1"/>
                  </w14:solidFill>
                </w14:textFill>
              </w:rPr>
              <w:t>到期日产品</w:t>
            </w:r>
            <w:r>
              <w:rPr>
                <w:rFonts w:hint="eastAsia" w:ascii="楷体_GB2312" w:eastAsia="楷体_GB2312" w:cs="楷体_GB2312"/>
                <w:color w:val="000000" w:themeColor="text1"/>
                <w:sz w:val="20"/>
                <w:szCs w:val="20"/>
                <w:highlight w:val="none"/>
                <w14:textFill>
                  <w14:solidFill>
                    <w14:schemeClr w14:val="tx1"/>
                  </w14:solidFill>
                </w14:textFill>
              </w:rPr>
              <w:t>份额</w:t>
            </w:r>
            <w:r>
              <w:rPr>
                <w:rFonts w:ascii="楷体_GB2312" w:eastAsia="楷体_GB2312" w:cs="楷体_GB2312"/>
                <w:color w:val="000000" w:themeColor="text1"/>
                <w:sz w:val="20"/>
                <w:szCs w:val="20"/>
                <w:highlight w:val="none"/>
                <w14:textFill>
                  <w14:solidFill>
                    <w14:schemeClr w14:val="tx1"/>
                  </w14:solidFill>
                </w14:textFill>
              </w:rPr>
              <w:t>单位净值在内的</w:t>
            </w:r>
            <w:r>
              <w:rPr>
                <w:rFonts w:hint="eastAsia" w:ascii="楷体_GB2312" w:eastAsia="楷体_GB2312" w:cs="楷体_GB2312"/>
                <w:color w:val="000000" w:themeColor="text1"/>
                <w:sz w:val="20"/>
                <w:szCs w:val="20"/>
                <w:highlight w:val="none"/>
                <w14:textFill>
                  <w14:solidFill>
                    <w14:schemeClr w14:val="tx1"/>
                  </w14:solidFill>
                </w14:textFill>
              </w:rPr>
              <w:t>到期相关信息。</w:t>
            </w:r>
          </w:p>
          <w:p w14:paraId="23460B1C">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在产品</w:t>
            </w:r>
            <w:r>
              <w:rPr>
                <w:rFonts w:ascii="楷体_GB2312" w:eastAsia="楷体_GB2312" w:cs="楷体_GB2312"/>
                <w:color w:val="000000" w:themeColor="text1"/>
                <w:sz w:val="20"/>
                <w:szCs w:val="20"/>
                <w:highlight w:val="none"/>
                <w14:textFill>
                  <w14:solidFill>
                    <w14:schemeClr w14:val="tx1"/>
                  </w14:solidFill>
                </w14:textFill>
              </w:rPr>
              <w:t>存续期间，</w:t>
            </w:r>
            <w:r>
              <w:rPr>
                <w:rFonts w:hint="eastAsia" w:ascii="楷体_GB2312" w:eastAsia="楷体_GB2312" w:cs="楷体_GB2312"/>
                <w:color w:val="000000" w:themeColor="text1"/>
                <w:sz w:val="20"/>
                <w:szCs w:val="20"/>
                <w:highlight w:val="none"/>
                <w14:textFill>
                  <w14:solidFill>
                    <w14:schemeClr w14:val="tx1"/>
                  </w14:solidFill>
                </w14:textFill>
              </w:rPr>
              <w:t>信银理财根据</w:t>
            </w:r>
            <w:r>
              <w:rPr>
                <w:rFonts w:ascii="楷体_GB2312" w:eastAsia="楷体_GB2312" w:cs="楷体_GB2312"/>
                <w:color w:val="000000" w:themeColor="text1"/>
                <w:sz w:val="20"/>
                <w:szCs w:val="20"/>
                <w:highlight w:val="none"/>
                <w14:textFill>
                  <w14:solidFill>
                    <w14:schemeClr w14:val="tx1"/>
                  </w14:solidFill>
                </w14:textFill>
              </w:rPr>
              <w:t>市场情况对投资范围、投资品种或投资比例进行调整</w:t>
            </w:r>
            <w:r>
              <w:rPr>
                <w:rFonts w:hint="eastAsia" w:ascii="楷体_GB2312" w:eastAsia="楷体_GB2312" w:cs="楷体_GB2312"/>
                <w:color w:val="000000" w:themeColor="text1"/>
                <w:sz w:val="20"/>
                <w:szCs w:val="20"/>
                <w:highlight w:val="none"/>
                <w14:textFill>
                  <w14:solidFill>
                    <w14:schemeClr w14:val="tx1"/>
                  </w14:solidFill>
                </w14:textFill>
              </w:rPr>
              <w:t>的</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将</w:t>
            </w:r>
            <w:r>
              <w:rPr>
                <w:rFonts w:ascii="楷体_GB2312" w:eastAsia="楷体_GB2312" w:cs="楷体_GB2312"/>
                <w:color w:val="000000" w:themeColor="text1"/>
                <w:sz w:val="20"/>
                <w:szCs w:val="20"/>
                <w:highlight w:val="none"/>
                <w14:textFill>
                  <w14:solidFill>
                    <w14:schemeClr w14:val="tx1"/>
                  </w14:solidFill>
                </w14:textFill>
              </w:rPr>
              <w:t>提前【2】个工作日告知</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w:t>
            </w:r>
          </w:p>
          <w:p w14:paraId="79FB8F9D">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如因法律法规、规范性文件的规定或市场变化等原因，信银理财确需调整本产品说明书项下收费标准的，应在变更</w:t>
            </w:r>
            <w:r>
              <w:rPr>
                <w:rFonts w:ascii="楷体_GB2312" w:eastAsia="楷体_GB2312"/>
                <w:color w:val="000000" w:themeColor="text1"/>
                <w:sz w:val="20"/>
                <w:szCs w:val="20"/>
                <w:highlight w:val="none"/>
                <w14:textFill>
                  <w14:solidFill>
                    <w14:schemeClr w14:val="tx1"/>
                  </w14:solidFill>
                </w14:textFill>
              </w:rPr>
              <w:t>生效前</w:t>
            </w: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个</w:t>
            </w:r>
            <w:r>
              <w:rPr>
                <w:rFonts w:ascii="楷体_GB2312" w:eastAsia="楷体_GB2312"/>
                <w:color w:val="000000" w:themeColor="text1"/>
                <w:sz w:val="20"/>
                <w:szCs w:val="20"/>
                <w:highlight w:val="none"/>
                <w14:textFill>
                  <w14:solidFill>
                    <w14:schemeClr w14:val="tx1"/>
                  </w14:solidFill>
                </w14:textFill>
              </w:rPr>
              <w:t>工作日</w:t>
            </w:r>
            <w:r>
              <w:rPr>
                <w:rFonts w:hint="eastAsia" w:ascii="楷体_GB2312" w:eastAsia="楷体_GB2312"/>
                <w:color w:val="000000" w:themeColor="text1"/>
                <w:sz w:val="20"/>
                <w:szCs w:val="20"/>
                <w:highlight w:val="none"/>
                <w14:textFill>
                  <w14:solidFill>
                    <w14:schemeClr w14:val="tx1"/>
                  </w14:solidFill>
                </w14:textFill>
              </w:rPr>
              <w:t>告知投资者。</w:t>
            </w:r>
          </w:p>
          <w:p w14:paraId="13ECEA48">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w:t>
            </w:r>
            <w:r>
              <w:rPr>
                <w:rFonts w:ascii="Times New Roman" w:hAnsi="Times New Roman" w:eastAsia="楷体_GB2312" w:cs="楷体_GB2312"/>
                <w:color w:val="000000" w:themeColor="text1"/>
                <w:sz w:val="20"/>
                <w:szCs w:val="20"/>
                <w:highlight w:val="none"/>
                <w14:textFill>
                  <w14:solidFill>
                    <w14:schemeClr w14:val="tx1"/>
                  </w14:solidFill>
                </w14:textFill>
              </w:rPr>
              <w:t>产品存续</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期间</w:t>
            </w:r>
            <w:r>
              <w:rPr>
                <w:rFonts w:ascii="Times New Roman" w:hAnsi="Times New Roman" w:eastAsia="楷体_GB2312" w:cs="楷体_GB2312"/>
                <w:color w:val="000000" w:themeColor="text1"/>
                <w:sz w:val="20"/>
                <w:szCs w:val="20"/>
                <w:highlight w:val="none"/>
                <w14:textFill>
                  <w14:solidFill>
                    <w14:schemeClr w14:val="tx1"/>
                  </w14:solidFill>
                </w14:textFill>
              </w:rPr>
              <w:t>，</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如</w:t>
            </w:r>
            <w:r>
              <w:rPr>
                <w:rFonts w:ascii="Times New Roman" w:hAnsi="Times New Roman" w:eastAsia="楷体_GB2312" w:cs="楷体_GB2312"/>
                <w:color w:val="000000" w:themeColor="text1"/>
                <w:sz w:val="20"/>
                <w:szCs w:val="20"/>
                <w:highlight w:val="none"/>
                <w14:textFill>
                  <w14:solidFill>
                    <w14:schemeClr w14:val="tx1"/>
                  </w14:solidFill>
                </w14:textFill>
              </w:rPr>
              <w:t>因市场</w:t>
            </w:r>
            <w:r>
              <w:rPr>
                <w:rFonts w:hint="eastAsia" w:ascii="Times New Roman" w:hAnsi="Times New Roman" w:eastAsia="楷体_GB2312" w:cs="楷体_GB2312"/>
                <w:color w:val="000000" w:themeColor="text1"/>
                <w:sz w:val="20"/>
                <w:szCs w:val="20"/>
                <w:highlight w:val="none"/>
                <w14:textFill>
                  <w14:solidFill>
                    <w14:schemeClr w14:val="tx1"/>
                  </w14:solidFill>
                </w14:textFill>
              </w:rPr>
              <w:t>重大</w:t>
            </w:r>
            <w:r>
              <w:rPr>
                <w:rFonts w:ascii="Times New Roman" w:hAnsi="Times New Roman" w:eastAsia="楷体_GB2312" w:cs="楷体_GB2312"/>
                <w:color w:val="000000" w:themeColor="text1"/>
                <w:sz w:val="20"/>
                <w:szCs w:val="20"/>
                <w:highlight w:val="none"/>
                <w14:textFill>
                  <w14:solidFill>
                    <w14:schemeClr w14:val="tx1"/>
                  </w14:solidFill>
                </w14:textFill>
              </w:rPr>
              <w:t>变化导致投资比例暂时超出</w:t>
            </w:r>
            <w:r>
              <w:rPr>
                <w:rFonts w:hint="eastAsia" w:ascii="Times New Roman" w:hAnsi="Times New Roman" w:eastAsia="楷体_GB2312" w:cs="楷体_GB2312"/>
                <w:color w:val="000000" w:themeColor="text1"/>
                <w:sz w:val="20"/>
                <w:szCs w:val="20"/>
                <w:highlight w:val="none"/>
                <w14:textFill>
                  <w14:solidFill>
                    <w14:schemeClr w14:val="tx1"/>
                  </w14:solidFill>
                </w14:textFill>
              </w:rPr>
              <w:t>本</w:t>
            </w:r>
            <w:r>
              <w:rPr>
                <w:rFonts w:ascii="Times New Roman" w:hAnsi="Times New Roman" w:eastAsia="楷体_GB2312" w:cs="楷体_GB2312"/>
                <w:color w:val="000000" w:themeColor="text1"/>
                <w:sz w:val="20"/>
                <w:szCs w:val="20"/>
                <w:highlight w:val="none"/>
                <w14:textFill>
                  <w14:solidFill>
                    <w14:schemeClr w14:val="tx1"/>
                  </w14:solidFill>
                </w14:textFill>
              </w:rPr>
              <w:t>说明书约定的投资比例区间</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且</w:t>
            </w:r>
            <w:r>
              <w:rPr>
                <w:rFonts w:ascii="Times New Roman" w:hAnsi="Times New Roman" w:eastAsia="楷体_GB2312" w:cs="楷体_GB2312"/>
                <w:color w:val="000000" w:themeColor="text1"/>
                <w:sz w:val="20"/>
                <w:szCs w:val="20"/>
                <w:highlight w:val="none"/>
                <w14:textFill>
                  <w14:solidFill>
                    <w14:schemeClr w14:val="tx1"/>
                  </w14:solidFill>
                </w14:textFill>
              </w:rPr>
              <w:t>可能对理财产品收益产生重大影响的，</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信银理财</w:t>
            </w:r>
            <w:r>
              <w:rPr>
                <w:rFonts w:ascii="Times New Roman" w:hAnsi="Times New Roman" w:eastAsia="楷体_GB2312" w:cs="楷体_GB2312"/>
                <w:color w:val="000000" w:themeColor="text1"/>
                <w:sz w:val="20"/>
                <w:szCs w:val="20"/>
                <w:highlight w:val="none"/>
                <w14:textFill>
                  <w14:solidFill>
                    <w14:schemeClr w14:val="tx1"/>
                  </w14:solidFill>
                </w14:textFill>
              </w:rPr>
              <w:t>将</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在【</w:t>
            </w:r>
            <w:r>
              <w:rPr>
                <w:rFonts w:hint="eastAsia" w:ascii="Times New Roman" w:hAnsi="Times New Roman" w:eastAsia="楷体_GB2312" w:cs="楷体_GB2312"/>
                <w:color w:val="000000" w:themeColor="text1"/>
                <w:sz w:val="20"/>
                <w:szCs w:val="20"/>
                <w:highlight w:val="none"/>
                <w:lang w:val="en-US" w:eastAsia="zh-CN"/>
                <w14:textFill>
                  <w14:solidFill>
                    <w14:schemeClr w14:val="tx1"/>
                  </w14:solidFill>
                </w14:textFill>
              </w:rPr>
              <w:t>5</w:t>
            </w:r>
            <w:r>
              <w:rPr>
                <w:rFonts w:hint="eastAsia" w:ascii="Times New Roman" w:hAnsi="Times New Roman" w:eastAsia="楷体_GB2312" w:cs="楷体_GB2312"/>
                <w:color w:val="000000" w:themeColor="text1"/>
                <w:sz w:val="20"/>
                <w:szCs w:val="20"/>
                <w:highlight w:val="none"/>
                <w14:textFill>
                  <w14:solidFill>
                    <w14:schemeClr w14:val="tx1"/>
                  </w14:solidFill>
                </w14:textFill>
              </w:rPr>
              <w:t>】个</w:t>
            </w:r>
            <w:r>
              <w:rPr>
                <w:rFonts w:ascii="Times New Roman" w:hAnsi="Times New Roman" w:eastAsia="楷体_GB2312" w:cs="楷体_GB2312"/>
                <w:color w:val="000000" w:themeColor="text1"/>
                <w:sz w:val="20"/>
                <w:szCs w:val="20"/>
                <w:highlight w:val="none"/>
                <w14:textFill>
                  <w14:solidFill>
                    <w14:schemeClr w14:val="tx1"/>
                  </w14:solidFill>
                </w14:textFill>
              </w:rPr>
              <w:t>工作日内</w:t>
            </w:r>
            <w:r>
              <w:rPr>
                <w:rFonts w:hint="eastAsia" w:ascii="Times New Roman" w:hAnsi="Times New Roman" w:eastAsia="楷体_GB2312" w:cs="楷体_GB2312"/>
                <w:color w:val="000000" w:themeColor="text1"/>
                <w:sz w:val="20"/>
                <w:szCs w:val="20"/>
                <w:highlight w:val="none"/>
                <w14:textFill>
                  <w14:solidFill>
                    <w14:schemeClr w14:val="tx1"/>
                  </w14:solidFill>
                </w14:textFill>
              </w:rPr>
              <w:t>告知投资者</w:t>
            </w:r>
            <w:r>
              <w:rPr>
                <w:rFonts w:ascii="Times New Roman" w:hAnsi="Times New Roman" w:eastAsia="楷体_GB2312" w:cs="楷体_GB2312"/>
                <w:color w:val="000000" w:themeColor="text1"/>
                <w:sz w:val="20"/>
                <w:szCs w:val="20"/>
                <w:highlight w:val="none"/>
                <w14:textFill>
                  <w14:solidFill>
                    <w14:schemeClr w14:val="tx1"/>
                  </w14:solidFill>
                </w14:textFill>
              </w:rPr>
              <w:t>。</w:t>
            </w:r>
          </w:p>
          <w:p w14:paraId="13C3E740">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Times New Roman" w:hAnsi="Times New Roman" w:eastAsia="楷体_GB2312" w:cs="楷体_GB2312"/>
                <w:color w:val="000000" w:themeColor="text1"/>
                <w:sz w:val="20"/>
                <w:szCs w:val="20"/>
                <w:highlight w:val="none"/>
                <w14:textFill>
                  <w14:solidFill>
                    <w14:schemeClr w14:val="tx1"/>
                  </w14:solidFill>
                </w14:textFill>
              </w:rPr>
              <w:t>本产品存续期间，信银理财每【月】向投资者提供本产品的理财产品账单，投资者可以通过信银理财营业网点等渠道进行查询，也可致电信银理财客户服务热线咨询。投资者通过合作销售机构购买本产品的，可以通过合作销售机构的手机银行、网上银行、营业网点等渠道进行查询，具体查询方式以代销机构规则为准。产品账单内容包括但不限于投资者持有本产品份额、认购金额、份额净值、份额累计净值、净资产、收益情况、投资者理财交易账户发生的交易明细记录等</w:t>
            </w:r>
            <w:r>
              <w:rPr>
                <w:rFonts w:ascii="Times New Roman" w:hAnsi="Times New Roman" w:eastAsia="楷体_GB2312" w:cs="楷体_GB2312"/>
                <w:color w:val="000000" w:themeColor="text1"/>
                <w:sz w:val="20"/>
                <w:szCs w:val="20"/>
                <w:highlight w:val="none"/>
                <w14:textFill>
                  <w14:solidFill>
                    <w14:schemeClr w14:val="tx1"/>
                  </w14:solidFill>
                </w14:textFill>
              </w:rPr>
              <w:t>。</w:t>
            </w:r>
          </w:p>
          <w:p w14:paraId="52D47665">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产品存续期间，</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将向投资者</w:t>
            </w:r>
            <w:r>
              <w:rPr>
                <w:rFonts w:hint="eastAsia" w:ascii="楷体_GB2312" w:eastAsia="楷体_GB2312" w:cs="楷体_GB2312"/>
                <w:color w:val="000000" w:themeColor="text1"/>
                <w:sz w:val="20"/>
                <w:szCs w:val="20"/>
                <w:highlight w:val="none"/>
                <w14:textFill>
                  <w14:solidFill>
                    <w14:schemeClr w14:val="tx1"/>
                  </w14:solidFill>
                </w14:textFill>
              </w:rPr>
              <w:t>发布</w:t>
            </w:r>
            <w:r>
              <w:rPr>
                <w:rFonts w:ascii="楷体_GB2312" w:eastAsia="楷体_GB2312" w:cs="楷体_GB2312"/>
                <w:color w:val="000000" w:themeColor="text1"/>
                <w:sz w:val="20"/>
                <w:szCs w:val="20"/>
                <w:highlight w:val="none"/>
                <w14:textFill>
                  <w14:solidFill>
                    <w14:schemeClr w14:val="tx1"/>
                  </w14:solidFill>
                </w14:textFill>
              </w:rPr>
              <w:t>定期报告，</w:t>
            </w:r>
            <w:r>
              <w:rPr>
                <w:rFonts w:hint="eastAsia" w:ascii="楷体_GB2312" w:eastAsia="楷体_GB2312" w:cs="楷体_GB2312"/>
                <w:color w:val="000000" w:themeColor="text1"/>
                <w:sz w:val="20"/>
                <w:szCs w:val="20"/>
                <w:highlight w:val="none"/>
                <w14:textFill>
                  <w14:solidFill>
                    <w14:schemeClr w14:val="tx1"/>
                  </w14:solidFill>
                </w14:textFill>
              </w:rPr>
              <w:t>包括</w:t>
            </w:r>
            <w:r>
              <w:rPr>
                <w:rFonts w:ascii="楷体_GB2312" w:eastAsia="楷体_GB2312" w:cs="楷体_GB2312"/>
                <w:color w:val="000000" w:themeColor="text1"/>
                <w:sz w:val="20"/>
                <w:szCs w:val="20"/>
                <w:highlight w:val="none"/>
                <w14:textFill>
                  <w14:solidFill>
                    <w14:schemeClr w14:val="tx1"/>
                  </w14:solidFill>
                </w14:textFill>
              </w:rPr>
              <w:t>但不限于季度、半年和年度报告。</w:t>
            </w:r>
            <w:r>
              <w:rPr>
                <w:rFonts w:hint="eastAsia" w:ascii="楷体_GB2312" w:eastAsia="楷体_GB2312" w:cs="楷体_GB2312"/>
                <w:color w:val="000000" w:themeColor="text1"/>
                <w:sz w:val="20"/>
                <w:szCs w:val="20"/>
                <w:highlight w:val="none"/>
                <w14:textFill>
                  <w14:solidFill>
                    <w14:schemeClr w14:val="tx1"/>
                  </w14:solidFill>
                </w14:textFill>
              </w:rPr>
              <w:t>管理人</w:t>
            </w:r>
            <w:r>
              <w:rPr>
                <w:rFonts w:ascii="楷体_GB2312" w:eastAsia="楷体_GB2312" w:cs="楷体_GB2312"/>
                <w:color w:val="000000" w:themeColor="text1"/>
                <w:sz w:val="20"/>
                <w:szCs w:val="20"/>
                <w:highlight w:val="none"/>
                <w14:textFill>
                  <w14:solidFill>
                    <w14:schemeClr w14:val="tx1"/>
                  </w14:solidFill>
                </w14:textFill>
              </w:rPr>
              <w:t>将在理财产品季度、半年和年度报告中披露理财产品组合资产情况及其流动性风险分析</w:t>
            </w:r>
            <w:r>
              <w:rPr>
                <w:rFonts w:hint="eastAsia" w:ascii="楷体_GB2312" w:eastAsia="楷体_GB2312" w:cs="楷体_GB2312"/>
                <w:color w:val="000000" w:themeColor="text1"/>
                <w:sz w:val="20"/>
                <w:szCs w:val="20"/>
                <w:highlight w:val="none"/>
                <w:lang w:eastAsia="zh-CN"/>
                <w14:textFill>
                  <w14:solidFill>
                    <w14:schemeClr w14:val="tx1"/>
                  </w14:solidFill>
                </w14:textFill>
              </w:rPr>
              <w:t>、投资资产类别和比例</w:t>
            </w:r>
            <w:r>
              <w:rPr>
                <w:rFonts w:ascii="楷体_GB2312" w:eastAsia="楷体_GB2312" w:cs="楷体_GB2312"/>
                <w:color w:val="000000" w:themeColor="text1"/>
                <w:sz w:val="20"/>
                <w:szCs w:val="20"/>
                <w:highlight w:val="none"/>
                <w14:textFill>
                  <w14:solidFill>
                    <w14:schemeClr w14:val="tx1"/>
                  </w14:solidFill>
                </w14:textFill>
              </w:rPr>
              <w:t>等</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理财产品成立不足九十个自然日的，</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管理人</w:t>
            </w:r>
            <w:r>
              <w:rPr>
                <w:rFonts w:hint="eastAsia" w:ascii="楷体_GB2312" w:eastAsia="楷体_GB2312" w:cs="楷体_GB2312"/>
                <w:color w:val="000000" w:themeColor="text1"/>
                <w:sz w:val="20"/>
                <w:szCs w:val="20"/>
                <w:highlight w:val="none"/>
                <w14:textFill>
                  <w14:solidFill>
                    <w14:schemeClr w14:val="tx1"/>
                  </w14:solidFill>
                </w14:textFill>
              </w:rPr>
              <w:t>可以不编制当期的季度、半年和年度报告。</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理财产品期限超过九十个自然日的，管理人将在存续期内至少披露一次定期报告。理财产品剩余存续期不足完整报告期，且到期公告包括对应定期报告内容的，可以不编制剩余存续期所对应的季度、半年和年度报告。</w:t>
            </w:r>
          </w:p>
          <w:p w14:paraId="10EC2279">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在</w:t>
            </w:r>
            <w:r>
              <w:rPr>
                <w:rFonts w:ascii="楷体_GB2312" w:eastAsia="楷体_GB2312" w:cs="楷体_GB2312"/>
                <w:color w:val="000000" w:themeColor="text1"/>
                <w:sz w:val="20"/>
                <w:szCs w:val="20"/>
                <w:highlight w:val="none"/>
                <w14:textFill>
                  <w14:solidFill>
                    <w14:schemeClr w14:val="tx1"/>
                  </w14:solidFill>
                </w14:textFill>
              </w:rPr>
              <w:t>本理财产品存续期间</w:t>
            </w:r>
            <w:r>
              <w:rPr>
                <w:rFonts w:hint="eastAsia" w:ascii="楷体_GB2312" w:eastAsia="楷体_GB2312" w:cs="楷体_GB2312"/>
                <w:color w:val="000000" w:themeColor="text1"/>
                <w:sz w:val="20"/>
                <w:szCs w:val="20"/>
                <w:highlight w:val="none"/>
                <w14:textFill>
                  <w14:solidFill>
                    <w14:schemeClr w14:val="tx1"/>
                  </w14:solidFill>
                </w14:textFill>
              </w:rPr>
              <w:t>信银理财</w:t>
            </w:r>
            <w:r>
              <w:rPr>
                <w:rFonts w:ascii="楷体_GB2312" w:eastAsia="楷体_GB2312" w:cs="楷体_GB2312"/>
                <w:color w:val="000000" w:themeColor="text1"/>
                <w:sz w:val="20"/>
                <w:szCs w:val="20"/>
                <w:highlight w:val="none"/>
                <w14:textFill>
                  <w14:solidFill>
                    <w14:schemeClr w14:val="tx1"/>
                  </w14:solidFill>
                </w14:textFill>
              </w:rPr>
              <w:t>获知</w:t>
            </w:r>
            <w:r>
              <w:rPr>
                <w:rFonts w:hint="eastAsia" w:ascii="楷体_GB2312" w:eastAsia="楷体_GB2312" w:cs="楷体_GB2312"/>
                <w:color w:val="000000" w:themeColor="text1"/>
                <w:sz w:val="20"/>
                <w:szCs w:val="20"/>
                <w:highlight w:val="none"/>
                <w14:textFill>
                  <w14:solidFill>
                    <w14:schemeClr w14:val="tx1"/>
                  </w14:solidFill>
                </w14:textFill>
              </w:rPr>
              <w:t>并</w:t>
            </w:r>
            <w:r>
              <w:rPr>
                <w:rFonts w:ascii="楷体_GB2312" w:eastAsia="楷体_GB2312" w:cs="楷体_GB2312"/>
                <w:color w:val="000000" w:themeColor="text1"/>
                <w:sz w:val="20"/>
                <w:szCs w:val="20"/>
                <w:highlight w:val="none"/>
                <w14:textFill>
                  <w14:solidFill>
                    <w14:schemeClr w14:val="tx1"/>
                  </w14:solidFill>
                </w14:textFill>
              </w:rPr>
              <w:t>经信银理财合理判断认为对</w:t>
            </w: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产品、投资者权益、投资收益等有重大影响的事件，将</w:t>
            </w:r>
            <w:r>
              <w:rPr>
                <w:rFonts w:hint="eastAsia" w:ascii="楷体_GB2312" w:eastAsia="楷体_GB2312" w:cs="楷体_GB2312"/>
                <w:color w:val="000000" w:themeColor="text1"/>
                <w:sz w:val="20"/>
                <w:szCs w:val="20"/>
                <w:highlight w:val="none"/>
                <w14:textFill>
                  <w14:solidFill>
                    <w14:schemeClr w14:val="tx1"/>
                  </w14:solidFill>
                </w14:textFill>
              </w:rPr>
              <w:t>按照</w:t>
            </w:r>
            <w:r>
              <w:rPr>
                <w:rFonts w:ascii="楷体_GB2312" w:eastAsia="楷体_GB2312" w:cs="楷体_GB2312"/>
                <w:color w:val="000000" w:themeColor="text1"/>
                <w:sz w:val="20"/>
                <w:szCs w:val="20"/>
                <w:highlight w:val="none"/>
                <w14:textFill>
                  <w14:solidFill>
                    <w14:schemeClr w14:val="tx1"/>
                  </w14:solidFill>
                </w14:textFill>
              </w:rPr>
              <w:t>法律法规、监管规定</w:t>
            </w:r>
            <w:r>
              <w:rPr>
                <w:rFonts w:hint="eastAsia" w:ascii="楷体_GB2312" w:eastAsia="楷体_GB2312" w:cs="楷体_GB2312"/>
                <w:color w:val="000000" w:themeColor="text1"/>
                <w:sz w:val="20"/>
                <w:szCs w:val="20"/>
                <w:highlight w:val="none"/>
                <w14:textFill>
                  <w14:solidFill>
                    <w14:schemeClr w14:val="tx1"/>
                  </w14:solidFill>
                </w14:textFill>
              </w:rPr>
              <w:t>及时</w:t>
            </w:r>
            <w:r>
              <w:rPr>
                <w:rFonts w:ascii="楷体_GB2312" w:eastAsia="楷体_GB2312" w:cs="楷体_GB2312"/>
                <w:color w:val="000000" w:themeColor="text1"/>
                <w:sz w:val="20"/>
                <w:szCs w:val="20"/>
                <w:highlight w:val="none"/>
                <w14:textFill>
                  <w14:solidFill>
                    <w14:schemeClr w14:val="tx1"/>
                  </w14:solidFill>
                </w14:textFill>
              </w:rPr>
              <w:t>向投资者发布相关信息。</w:t>
            </w:r>
          </w:p>
          <w:p w14:paraId="7013C41C">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信银理财将</w:t>
            </w:r>
            <w:r>
              <w:rPr>
                <w:rFonts w:ascii="楷体_GB2312" w:eastAsia="楷体_GB2312" w:cs="楷体_GB2312"/>
                <w:color w:val="000000" w:themeColor="text1"/>
                <w:sz w:val="20"/>
                <w:szCs w:val="20"/>
                <w:highlight w:val="none"/>
                <w14:textFill>
                  <w14:solidFill>
                    <w14:schemeClr w14:val="tx1"/>
                  </w14:solidFill>
                </w14:textFill>
              </w:rPr>
              <w:t>至少每周向投资者披露一次本产品的资产净值和份额净值。</w:t>
            </w:r>
          </w:p>
          <w:p w14:paraId="167010BD">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管理人在</w:t>
            </w:r>
            <w:r>
              <w:rPr>
                <w:rFonts w:ascii="楷体_GB2312" w:eastAsia="楷体_GB2312" w:cs="楷体_GB2312"/>
                <w:color w:val="000000" w:themeColor="text1"/>
                <w:sz w:val="20"/>
                <w:szCs w:val="20"/>
                <w:highlight w:val="none"/>
                <w14:textFill>
                  <w14:solidFill>
                    <w14:schemeClr w14:val="tx1"/>
                  </w14:solidFill>
                </w14:textFill>
              </w:rPr>
              <w:t>运用暂停</w:t>
            </w:r>
            <w:r>
              <w:rPr>
                <w:rFonts w:hint="eastAsia" w:ascii="楷体_GB2312" w:eastAsia="楷体_GB2312" w:cs="楷体_GB2312"/>
                <w:color w:val="000000" w:themeColor="text1"/>
                <w:sz w:val="20"/>
                <w:szCs w:val="20"/>
                <w:highlight w:val="none"/>
                <w14:textFill>
                  <w14:solidFill>
                    <w14:schemeClr w14:val="tx1"/>
                  </w14:solidFill>
                </w14:textFill>
              </w:rPr>
              <w:t>或</w:t>
            </w:r>
            <w:r>
              <w:rPr>
                <w:rFonts w:ascii="楷体_GB2312" w:eastAsia="楷体_GB2312" w:cs="楷体_GB2312"/>
                <w:color w:val="000000" w:themeColor="text1"/>
                <w:sz w:val="20"/>
                <w:szCs w:val="20"/>
                <w:highlight w:val="none"/>
                <w14:textFill>
                  <w14:solidFill>
                    <w14:schemeClr w14:val="tx1"/>
                  </w14:solidFill>
                </w14:textFill>
              </w:rPr>
              <w:t>拒绝认</w:t>
            </w:r>
            <w:r>
              <w:rPr>
                <w:rFonts w:hint="eastAsia" w:ascii="楷体_GB2312" w:eastAsia="楷体_GB2312" w:cs="楷体_GB2312"/>
                <w:color w:val="000000" w:themeColor="text1"/>
                <w:sz w:val="20"/>
                <w:szCs w:val="20"/>
                <w:highlight w:val="none"/>
                <w14:textFill>
                  <w14:solidFill>
                    <w14:schemeClr w14:val="tx1"/>
                  </w14:solidFill>
                </w14:textFill>
              </w:rPr>
              <w:t>购</w:t>
            </w:r>
            <w:r>
              <w:rPr>
                <w:rFonts w:ascii="楷体_GB2312" w:eastAsia="楷体_GB2312" w:cs="楷体_GB2312"/>
                <w:color w:val="000000" w:themeColor="text1"/>
                <w:sz w:val="20"/>
                <w:szCs w:val="20"/>
                <w:highlight w:val="none"/>
                <w14:textFill>
                  <w14:solidFill>
                    <w14:schemeClr w14:val="tx1"/>
                  </w14:solidFill>
                </w14:textFill>
              </w:rPr>
              <w:t>申请</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暂停理财产品估值等措施后，</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个交易日内告知投资者，并说明运用相关措施的原因、拟采取的应对安排等。在发生涉及理财产品认购事项调</w:t>
            </w:r>
            <w:r>
              <w:rPr>
                <w:rFonts w:hint="eastAsia" w:ascii="楷体_GB2312" w:eastAsia="楷体_GB2312" w:cs="楷体_GB2312"/>
                <w:color w:val="000000" w:themeColor="text1"/>
                <w:sz w:val="20"/>
                <w:szCs w:val="20"/>
                <w:highlight w:val="none"/>
                <w14:textFill>
                  <w14:solidFill>
                    <w14:schemeClr w14:val="tx1"/>
                  </w14:solidFill>
                </w14:textFill>
              </w:rPr>
              <w:t>整</w:t>
            </w:r>
            <w:r>
              <w:rPr>
                <w:rFonts w:ascii="楷体_GB2312" w:eastAsia="楷体_GB2312" w:cs="楷体_GB2312"/>
                <w:color w:val="000000" w:themeColor="text1"/>
                <w:sz w:val="20"/>
                <w:szCs w:val="20"/>
                <w:highlight w:val="none"/>
                <w14:textFill>
                  <w14:solidFill>
                    <w14:schemeClr w14:val="tx1"/>
                  </w14:solidFill>
                </w14:textFill>
              </w:rPr>
              <w:t>时，及时发布临时公告</w:t>
            </w:r>
            <w:r>
              <w:rPr>
                <w:rFonts w:hint="eastAsia" w:ascii="楷体_GB2312" w:eastAsia="楷体_GB2312" w:cs="楷体_GB2312"/>
                <w:color w:val="000000" w:themeColor="text1"/>
                <w:sz w:val="20"/>
                <w:szCs w:val="20"/>
                <w:highlight w:val="none"/>
                <w14:textFill>
                  <w14:solidFill>
                    <w14:schemeClr w14:val="tx1"/>
                  </w14:solidFill>
                </w14:textFill>
              </w:rPr>
              <w:t>。</w:t>
            </w:r>
          </w:p>
          <w:p w14:paraId="4D7FDA24">
            <w:pPr>
              <w:pStyle w:val="20"/>
              <w:numPr>
                <w:ilvl w:val="0"/>
                <w:numId w:val="6"/>
              </w:numPr>
              <w:spacing w:line="300" w:lineRule="exact"/>
              <w:ind w:right="36" w:rightChars="15" w:firstLineChars="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法律法规、</w:t>
            </w:r>
            <w:r>
              <w:rPr>
                <w:rFonts w:ascii="楷体_GB2312" w:eastAsia="楷体_GB2312" w:cs="楷体_GB2312"/>
                <w:color w:val="000000" w:themeColor="text1"/>
                <w:sz w:val="20"/>
                <w:szCs w:val="20"/>
                <w:highlight w:val="none"/>
                <w14:textFill>
                  <w14:solidFill>
                    <w14:schemeClr w14:val="tx1"/>
                  </w14:solidFill>
                </w14:textFill>
              </w:rPr>
              <w:t>规范性文件、</w:t>
            </w:r>
            <w:r>
              <w:rPr>
                <w:rFonts w:hint="eastAsia" w:ascii="楷体_GB2312" w:eastAsia="楷体_GB2312" w:cs="楷体_GB2312"/>
                <w:color w:val="000000" w:themeColor="text1"/>
                <w:sz w:val="20"/>
                <w:szCs w:val="20"/>
                <w:highlight w:val="none"/>
                <w14:textFill>
                  <w14:solidFill>
                    <w14:schemeClr w14:val="tx1"/>
                  </w14:solidFill>
                </w14:textFill>
              </w:rPr>
              <w:t>监管政策规定或本说明书约定其他应向投资者进行</w:t>
            </w:r>
            <w:r>
              <w:rPr>
                <w:rFonts w:ascii="楷体_GB2312" w:eastAsia="楷体_GB2312" w:cs="楷体_GB2312"/>
                <w:color w:val="000000" w:themeColor="text1"/>
                <w:sz w:val="20"/>
                <w:szCs w:val="20"/>
                <w:highlight w:val="none"/>
                <w14:textFill>
                  <w14:solidFill>
                    <w14:schemeClr w14:val="tx1"/>
                  </w14:solidFill>
                </w14:textFill>
              </w:rPr>
              <w:t>信息</w:t>
            </w:r>
            <w:r>
              <w:rPr>
                <w:rFonts w:hint="eastAsia" w:ascii="楷体_GB2312" w:eastAsia="楷体_GB2312" w:cs="楷体_GB2312"/>
                <w:color w:val="000000" w:themeColor="text1"/>
                <w:sz w:val="20"/>
                <w:szCs w:val="20"/>
                <w:highlight w:val="none"/>
                <w14:textFill>
                  <w14:solidFill>
                    <w14:schemeClr w14:val="tx1"/>
                  </w14:solidFill>
                </w14:textFill>
              </w:rPr>
              <w:t>披露的情形</w:t>
            </w:r>
            <w:r>
              <w:rPr>
                <w:rFonts w:ascii="楷体_GB2312" w:eastAsia="楷体_GB2312" w:cs="楷体_GB2312"/>
                <w:color w:val="000000" w:themeColor="text1"/>
                <w:sz w:val="20"/>
                <w:szCs w:val="20"/>
                <w:highlight w:val="none"/>
                <w14:textFill>
                  <w14:solidFill>
                    <w14:schemeClr w14:val="tx1"/>
                  </w14:solidFill>
                </w14:textFill>
              </w:rPr>
              <w:t>的，信银理财将根据上述规定向投资者发布相关信息</w:t>
            </w:r>
            <w:r>
              <w:rPr>
                <w:rFonts w:hint="eastAsia" w:ascii="楷体_GB2312" w:eastAsia="楷体_GB2312" w:cs="楷体_GB2312"/>
                <w:color w:val="000000" w:themeColor="text1"/>
                <w:sz w:val="20"/>
                <w:szCs w:val="20"/>
                <w:highlight w:val="none"/>
                <w14:textFill>
                  <w14:solidFill>
                    <w14:schemeClr w14:val="tx1"/>
                  </w14:solidFill>
                </w14:textFill>
              </w:rPr>
              <w:t>。</w:t>
            </w:r>
          </w:p>
        </w:tc>
      </w:tr>
    </w:tbl>
    <w:p w14:paraId="68AE099C">
      <w:pPr>
        <w:snapToGrid w:val="0"/>
        <w:ind w:left="-2" w:leftChars="-1" w:right="53" w:rightChars="22"/>
        <w:outlineLvl w:val="0"/>
        <w:rPr>
          <w:rFonts w:ascii="黑体" w:hAnsi="Times New Roman" w:eastAsia="黑体" w:cs="黑体"/>
          <w:color w:val="000000" w:themeColor="text1"/>
          <w:sz w:val="20"/>
          <w:szCs w:val="20"/>
          <w:highlight w:val="none"/>
          <w14:textFill>
            <w14:solidFill>
              <w14:schemeClr w14:val="tx1"/>
            </w14:solidFill>
          </w14:textFill>
        </w:rPr>
      </w:pPr>
    </w:p>
    <w:p w14:paraId="30C464FF">
      <w:pPr>
        <w:snapToGrid w:val="0"/>
        <w:ind w:left="-2" w:leftChars="-1" w:right="53" w:rightChars="22"/>
        <w:outlineLvl w:val="0"/>
        <w:rPr>
          <w:b/>
          <w:color w:val="000000" w:themeColor="text1"/>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三、理财产品管理人</w:t>
      </w:r>
    </w:p>
    <w:p w14:paraId="78AC27D9">
      <w:pPr>
        <w:widowControl w:val="0"/>
        <w:snapToGrid w:val="0"/>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本理财产品的投资管理人为信银理财。信银理财接受客户的委托和授权，按照本产品说明书约定的投资方向和方式进行投资和资产管理，投资者在此授权并同意信银理财享有以下权利：</w:t>
      </w:r>
    </w:p>
    <w:p w14:paraId="322896D1">
      <w:pPr>
        <w:pStyle w:val="20"/>
        <w:widowControl w:val="0"/>
        <w:snapToGrid w:val="0"/>
        <w:spacing w:line="300" w:lineRule="exact"/>
        <w:ind w:left="200" w:firstLine="201" w:firstLineChars="1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1.按照理财产品说明书的约定，管理、运用和处分理财资金；</w:t>
      </w:r>
    </w:p>
    <w:p w14:paraId="6B4617D5">
      <w:pPr>
        <w:widowControl w:val="0"/>
        <w:snapToGrid w:val="0"/>
        <w:spacing w:line="300" w:lineRule="exact"/>
        <w:ind w:left="398"/>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2.代表理财产品签订投资和资产管理过程中涉及到的协议、合同等文本；</w:t>
      </w:r>
    </w:p>
    <w:p w14:paraId="1B580ABA">
      <w:pPr>
        <w:pStyle w:val="20"/>
        <w:widowControl w:val="0"/>
        <w:snapToGrid w:val="0"/>
        <w:spacing w:line="300" w:lineRule="exact"/>
        <w:ind w:firstLine="402"/>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3.以理财产品投资管理人的名义，依照法律法规相关规定以及为理财产品投资者的利益，对被投资的信托计划、资管计划、各类基金（含公募基金和私募基金）、公司/企业等各类投资对象行使出资人/投资者权利（包括但不限于表决投票的权利）以及行使因理财产品财产投资于证券类基础资产（含债券、股票等）或其他基础资产（包括但不限于债权类资产）所产生的相关权利；</w:t>
      </w:r>
    </w:p>
    <w:p w14:paraId="03A62DF7">
      <w:pPr>
        <w:widowControl w:val="0"/>
        <w:snapToGrid w:val="0"/>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4以理财产品投资管理人的名义，依照法律法规相关规定以及代表理财产品投资者的利益行使代为追索的权利（包括但不限于提起诉讼/仲裁、申请保全/执行的权利）或者实施风险处置，行使、放弃、变更相关权利义务等其他法律行为，产生的合理费用由理财产品承担；</w:t>
      </w:r>
    </w:p>
    <w:p w14:paraId="3A73CC19">
      <w:pPr>
        <w:widowControl w:val="0"/>
        <w:snapToGrid w:val="0"/>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5.按照理财产品说明书的约定，及时、足额获得投资管理费和本产品说明书约定的其他费用（如有）；</w:t>
      </w:r>
    </w:p>
    <w:p w14:paraId="475C7526">
      <w:pPr>
        <w:widowControl w:val="0"/>
        <w:snapToGrid w:val="0"/>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6.管理人以其固有财产先行垫付因处理本理财产品相关事务所支出的费用及税费的，对理财产品资金享有优先受偿的权利；</w:t>
      </w:r>
    </w:p>
    <w:p w14:paraId="2C9D5F6A">
      <w:pPr>
        <w:spacing w:line="300" w:lineRule="exact"/>
        <w:ind w:firstLine="402" w:firstLineChars="200"/>
        <w:jc w:val="both"/>
        <w:rPr>
          <w:rFonts w:ascii="Times New Roman" w:hAnsi="Times New Roman" w:eastAsia="楷体_GB2312"/>
          <w:b/>
          <w:color w:val="000000" w:themeColor="text1"/>
          <w:sz w:val="20"/>
          <w:szCs w:val="20"/>
          <w:highlight w:val="none"/>
          <w14:textFill>
            <w14:solidFill>
              <w14:schemeClr w14:val="tx1"/>
            </w14:solidFill>
          </w14:textFill>
        </w:rPr>
      </w:pPr>
      <w:r>
        <w:rPr>
          <w:rFonts w:ascii="Times New Roman" w:hAnsi="Times New Roman" w:eastAsia="楷体_GB2312"/>
          <w:b/>
          <w:color w:val="000000" w:themeColor="text1"/>
          <w:sz w:val="20"/>
          <w:szCs w:val="20"/>
          <w:highlight w:val="none"/>
          <w14:textFill>
            <w14:solidFill>
              <w14:schemeClr w14:val="tx1"/>
            </w14:solidFill>
          </w14:textFill>
        </w:rPr>
        <w:t>7.管理人有权按照法律规定和监管机构的要求将投资者的信息向有权部门或相关机构披露。</w:t>
      </w:r>
    </w:p>
    <w:p w14:paraId="24B55933">
      <w:pPr>
        <w:snapToGrid w:val="0"/>
        <w:spacing w:line="300" w:lineRule="exact"/>
        <w:ind w:left="-2" w:leftChars="-1" w:right="53" w:rightChars="22" w:firstLine="400" w:firstLineChars="200"/>
        <w:outlineLvl w:val="0"/>
        <w:rPr>
          <w:rFonts w:ascii="楷体_GB2312" w:eastAsia="楷体_GB2312"/>
          <w:color w:val="000000" w:themeColor="text1"/>
          <w:sz w:val="20"/>
          <w:szCs w:val="20"/>
          <w:highlight w:val="none"/>
          <w14:textFill>
            <w14:solidFill>
              <w14:schemeClr w14:val="tx1"/>
            </w14:solidFill>
          </w14:textFill>
        </w:rPr>
      </w:pPr>
    </w:p>
    <w:p w14:paraId="35CD7F63">
      <w:pPr>
        <w:spacing w:line="300" w:lineRule="exact"/>
        <w:ind w:left="-2" w:leftChars="-1" w:right="36" w:rightChars="15"/>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四、理财</w:t>
      </w:r>
      <w:r>
        <w:rPr>
          <w:rFonts w:ascii="黑体" w:hAnsi="Times New Roman" w:eastAsia="黑体" w:cs="黑体"/>
          <w:color w:val="000000" w:themeColor="text1"/>
          <w:sz w:val="20"/>
          <w:szCs w:val="20"/>
          <w:highlight w:val="none"/>
          <w14:textFill>
            <w14:solidFill>
              <w14:schemeClr w14:val="tx1"/>
            </w14:solidFill>
          </w14:textFill>
        </w:rPr>
        <w:t>产品的认购</w:t>
      </w:r>
    </w:p>
    <w:p w14:paraId="408920C5">
      <w:pPr>
        <w:pStyle w:val="20"/>
        <w:numPr>
          <w:ilvl w:val="0"/>
          <w:numId w:val="7"/>
        </w:numPr>
        <w:spacing w:line="300" w:lineRule="exact"/>
        <w:ind w:left="0" w:firstLine="400"/>
        <w:jc w:val="both"/>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投资者在募集期</w:t>
      </w:r>
      <w:r>
        <w:rPr>
          <w:rFonts w:ascii="Times New Roman" w:hAnsi="Times New Roman" w:eastAsia="楷体_GB2312" w:cs="Times New Roman"/>
          <w:color w:val="000000" w:themeColor="text1"/>
          <w:sz w:val="20"/>
          <w:szCs w:val="20"/>
          <w:highlight w:val="none"/>
          <w14:textFill>
            <w14:solidFill>
              <w14:schemeClr w14:val="tx1"/>
            </w14:solidFill>
          </w14:textFill>
        </w:rPr>
        <w:t>内可</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提交</w:t>
      </w:r>
      <w:r>
        <w:rPr>
          <w:rFonts w:ascii="Times New Roman" w:hAnsi="Times New Roman" w:eastAsia="楷体_GB2312" w:cs="Times New Roman"/>
          <w:color w:val="000000" w:themeColor="text1"/>
          <w:sz w:val="20"/>
          <w:szCs w:val="20"/>
          <w:highlight w:val="none"/>
          <w14:textFill>
            <w14:solidFill>
              <w14:schemeClr w14:val="tx1"/>
            </w14:solidFill>
          </w14:textFill>
        </w:rPr>
        <w:t>认购申请，认购</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理财</w:t>
      </w:r>
      <w:r>
        <w:rPr>
          <w:rFonts w:ascii="Times New Roman" w:hAnsi="Times New Roman" w:eastAsia="楷体_GB2312" w:cs="Times New Roman"/>
          <w:color w:val="000000" w:themeColor="text1"/>
          <w:sz w:val="20"/>
          <w:szCs w:val="20"/>
          <w:highlight w:val="none"/>
          <w14:textFill>
            <w14:solidFill>
              <w14:schemeClr w14:val="tx1"/>
            </w14:solidFill>
          </w14:textFill>
        </w:rPr>
        <w:t>产品份额</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w:t>
      </w:r>
    </w:p>
    <w:p w14:paraId="433102F3">
      <w:pPr>
        <w:pStyle w:val="20"/>
        <w:numPr>
          <w:ilvl w:val="0"/>
          <w:numId w:val="7"/>
        </w:numPr>
        <w:spacing w:line="300" w:lineRule="exact"/>
        <w:ind w:left="0" w:firstLine="400"/>
        <w:jc w:val="both"/>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本</w:t>
      </w:r>
      <w:r>
        <w:rPr>
          <w:rFonts w:ascii="Times New Roman" w:hAnsi="Times New Roman" w:eastAsia="楷体_GB2312" w:cs="Times New Roman"/>
          <w:color w:val="000000" w:themeColor="text1"/>
          <w:sz w:val="20"/>
          <w:szCs w:val="20"/>
          <w:highlight w:val="none"/>
          <w14:textFill>
            <w14:solidFill>
              <w14:schemeClr w14:val="tx1"/>
            </w14:solidFill>
          </w14:textFill>
        </w:rPr>
        <w:t>理财产品采取金额认购的方式，</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认购份额</w:t>
      </w:r>
      <w:r>
        <w:rPr>
          <w:rFonts w:ascii="Times New Roman" w:hAnsi="Times New Roman" w:eastAsia="楷体_GB2312" w:cs="Times New Roman"/>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color w:val="000000" w:themeColor="text1"/>
          <w:sz w:val="20"/>
          <w:szCs w:val="20"/>
          <w:highlight w:val="none"/>
          <w:lang w:eastAsia="zh-CN"/>
          <w14:textFill>
            <w14:solidFill>
              <w14:schemeClr w14:val="tx1"/>
            </w14:solidFill>
          </w14:textFill>
        </w:rPr>
        <w:t>【</w:t>
      </w:r>
      <w:r>
        <w:rPr>
          <w:rFonts w:ascii="Times New Roman" w:hAnsi="Times New Roman" w:eastAsia="楷体_GB2312" w:cs="Times New Roman"/>
          <w:color w:val="000000" w:themeColor="text1"/>
          <w:sz w:val="20"/>
          <w:szCs w:val="20"/>
          <w:highlight w:val="none"/>
          <w14:textFill>
            <w14:solidFill>
              <w14:schemeClr w14:val="tx1"/>
            </w14:solidFill>
          </w14:textFill>
        </w:rPr>
        <w:t>人民币认购金额</w:t>
      </w: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w:t>
      </w:r>
      <w:r>
        <w:rPr>
          <w:rFonts w:ascii="Times New Roman" w:hAnsi="Times New Roman" w:eastAsia="楷体_GB2312" w:cs="Times New Roman"/>
          <w:color w:val="000000" w:themeColor="text1"/>
          <w:sz w:val="20"/>
          <w:szCs w:val="20"/>
          <w:highlight w:val="none"/>
          <w14:textFill>
            <w14:solidFill>
              <w14:schemeClr w14:val="tx1"/>
            </w14:solidFill>
          </w14:textFill>
        </w:rPr>
        <w:t>（1</w:t>
      </w:r>
      <w:r>
        <w:rPr>
          <w:rFonts w:hint="eastAsia" w:ascii="Times New Roman" w:hAnsi="Times New Roman" w:eastAsia="楷体_GB2312" w:cs="Times New Roman"/>
          <w:color w:val="000000" w:themeColor="text1"/>
          <w:sz w:val="20"/>
          <w:szCs w:val="20"/>
          <w:highlight w:val="none"/>
          <w:lang w:val="en-US" w:eastAsia="zh-CN"/>
          <w14:textFill>
            <w14:solidFill>
              <w14:schemeClr w14:val="tx1"/>
            </w14:solidFill>
          </w14:textFill>
        </w:rPr>
        <w:t>+</w:t>
      </w:r>
      <w:r>
        <w:rPr>
          <w:rFonts w:ascii="Times New Roman" w:hAnsi="Times New Roman" w:eastAsia="楷体_GB2312" w:cs="Times New Roman"/>
          <w:color w:val="000000" w:themeColor="text1"/>
          <w:sz w:val="20"/>
          <w:szCs w:val="20"/>
          <w:highlight w:val="none"/>
          <w14:textFill>
            <w14:solidFill>
              <w14:schemeClr w14:val="tx1"/>
            </w14:solidFill>
          </w14:textFill>
        </w:rPr>
        <w:t>认购费率）</w:t>
      </w:r>
      <w:r>
        <w:rPr>
          <w:rFonts w:hint="eastAsia" w:ascii="Times New Roman" w:hAnsi="Times New Roman" w:eastAsia="楷体_GB2312" w:cs="Times New Roman"/>
          <w:color w:val="000000" w:themeColor="text1"/>
          <w:sz w:val="20"/>
          <w:szCs w:val="20"/>
          <w:highlight w:val="none"/>
          <w:lang w:eastAsia="zh-CN"/>
          <w14:textFill>
            <w14:solidFill>
              <w14:schemeClr w14:val="tx1"/>
            </w14:solidFill>
          </w14:textFill>
        </w:rPr>
        <w:t>】</w:t>
      </w:r>
      <w:r>
        <w:rPr>
          <w:rFonts w:ascii="Times New Roman" w:hAnsi="Times New Roman" w:eastAsia="楷体_GB2312" w:cs="Times New Roman"/>
          <w:color w:val="000000" w:themeColor="text1"/>
          <w:sz w:val="20"/>
          <w:szCs w:val="20"/>
          <w:highlight w:val="none"/>
          <w14:textFill>
            <w14:solidFill>
              <w14:schemeClr w14:val="tx1"/>
            </w14:solidFill>
          </w14:textFill>
        </w:rPr>
        <w:t>/1元</w:t>
      </w:r>
      <w:r>
        <w:rPr>
          <w:rFonts w:hint="eastAsia" w:ascii="Times New Roman" w:hAnsi="Times New Roman" w:eastAsia="楷体_GB2312" w:cs="Times New Roman"/>
          <w:color w:val="000000" w:themeColor="text1"/>
          <w:sz w:val="20"/>
          <w:szCs w:val="20"/>
          <w:highlight w:val="none"/>
          <w:lang w:eastAsia="zh-CN"/>
          <w14:textFill>
            <w14:solidFill>
              <w14:schemeClr w14:val="tx1"/>
            </w14:solidFill>
          </w14:textFill>
        </w:rPr>
        <w:t>，</w:t>
      </w:r>
      <w:r>
        <w:rPr>
          <w:rFonts w:ascii="Times New Roman" w:hAnsi="Times New Roman" w:eastAsia="楷体_GB2312" w:cs="Times New Roman"/>
          <w:color w:val="000000" w:themeColor="text1"/>
          <w:sz w:val="20"/>
          <w:szCs w:val="20"/>
          <w:highlight w:val="none"/>
          <w14:textFill>
            <w14:solidFill>
              <w14:schemeClr w14:val="tx1"/>
            </w14:solidFill>
          </w14:textFill>
        </w:rPr>
        <w:t>认购份额按照四舍五入方法计算，保留小数点后【2】位</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由此误差产生的损失由理财财产承担，产生的收益归理财财产所有</w:t>
      </w:r>
      <w:r>
        <w:rPr>
          <w:rFonts w:ascii="Times New Roman" w:hAnsi="Times New Roman" w:eastAsia="楷体_GB2312" w:cs="Times New Roman"/>
          <w:color w:val="000000" w:themeColor="text1"/>
          <w:sz w:val="20"/>
          <w:szCs w:val="20"/>
          <w:highlight w:val="none"/>
          <w14:textFill>
            <w14:solidFill>
              <w14:schemeClr w14:val="tx1"/>
            </w14:solidFill>
          </w14:textFill>
        </w:rPr>
        <w:t>。</w:t>
      </w:r>
    </w:p>
    <w:p w14:paraId="166A4339">
      <w:pPr>
        <w:pStyle w:val="20"/>
        <w:numPr>
          <w:ilvl w:val="0"/>
          <w:numId w:val="7"/>
        </w:numPr>
        <w:spacing w:line="300" w:lineRule="exact"/>
        <w:ind w:left="0" w:firstLine="400"/>
        <w:jc w:val="both"/>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Times New Roman" w:hAnsi="Times New Roman" w:eastAsia="楷体_GB2312" w:cs="Times New Roman"/>
          <w:color w:val="000000" w:themeColor="text1"/>
          <w:sz w:val="20"/>
          <w:szCs w:val="20"/>
          <w:highlight w:val="none"/>
          <w14:textFill>
            <w14:solidFill>
              <w14:schemeClr w14:val="tx1"/>
            </w14:solidFill>
          </w14:textFill>
        </w:rPr>
        <w:t>【</w:t>
      </w:r>
      <w:r>
        <w:rPr>
          <w:rFonts w:hint="eastAsia" w:ascii="楷体_GB2312" w:eastAsia="楷体_GB2312" w:cs="楷体_GB2312"/>
          <w:color w:val="000000"/>
          <w:sz w:val="20"/>
          <w:szCs w:val="20"/>
          <w:highlight w:val="none"/>
        </w:rPr>
        <w:t>募集期结束后的第一个工作日</w:t>
      </w:r>
      <w:r>
        <w:rPr>
          <w:rFonts w:ascii="Times New Roman" w:hAnsi="Times New Roman" w:eastAsia="楷体_GB2312" w:cs="Times New Roman"/>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为认购份额</w:t>
      </w:r>
      <w:r>
        <w:rPr>
          <w:rFonts w:ascii="Times New Roman" w:hAnsi="Times New Roman" w:eastAsia="楷体_GB2312" w:cs="Times New Roman"/>
          <w:color w:val="000000" w:themeColor="text1"/>
          <w:sz w:val="20"/>
          <w:szCs w:val="20"/>
          <w:highlight w:val="none"/>
          <w14:textFill>
            <w14:solidFill>
              <w14:schemeClr w14:val="tx1"/>
            </w14:solidFill>
          </w14:textFill>
        </w:rPr>
        <w:t>确认日</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，认购</w:t>
      </w:r>
      <w:r>
        <w:rPr>
          <w:rFonts w:ascii="Times New Roman" w:hAnsi="Times New Roman" w:eastAsia="楷体_GB2312" w:cs="Times New Roman"/>
          <w:color w:val="000000" w:themeColor="text1"/>
          <w:sz w:val="20"/>
          <w:szCs w:val="20"/>
          <w:highlight w:val="none"/>
          <w14:textFill>
            <w14:solidFill>
              <w14:schemeClr w14:val="tx1"/>
            </w14:solidFill>
          </w14:textFill>
        </w:rPr>
        <w:t>份额确认日后投资者可</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向销售机构</w:t>
      </w:r>
      <w:r>
        <w:rPr>
          <w:rFonts w:ascii="Times New Roman" w:hAnsi="Times New Roman" w:eastAsia="楷体_GB2312" w:cs="Times New Roman"/>
          <w:color w:val="000000" w:themeColor="text1"/>
          <w:sz w:val="20"/>
          <w:szCs w:val="20"/>
          <w:highlight w:val="none"/>
          <w14:textFill>
            <w14:solidFill>
              <w14:schemeClr w14:val="tx1"/>
            </w14:solidFill>
          </w14:textFill>
        </w:rPr>
        <w:t>查询认购是否</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成功</w:t>
      </w:r>
      <w:r>
        <w:rPr>
          <w:rFonts w:ascii="Times New Roman" w:hAnsi="Times New Roman" w:eastAsia="楷体_GB2312" w:cs="Times New Roman"/>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color w:val="000000" w:themeColor="text1"/>
          <w:sz w:val="20"/>
          <w:szCs w:val="20"/>
          <w:highlight w:val="none"/>
          <w14:textFill>
            <w14:solidFill>
              <w14:schemeClr w14:val="tx1"/>
            </w14:solidFill>
          </w14:textFill>
        </w:rPr>
        <w:t>投资者通过代销机构购买理财产品的，代销机构受理认购申请并不表示对该申请成功的确认，而仅代表收到了认购申请，申请是否成功应以管理人的最终确认为准。具体而言，如管理人确认认购申请，并根据投资者的认购申请为投资者成功登记认购份额，则视为投资者的认购申请成功，并以管理人的登记结果为准。管理人会将认购申请及认购份额的确认结果及时反馈给代销机构，投资者应及时按照本产品说明书的约定查询认购结果。</w:t>
      </w:r>
    </w:p>
    <w:p w14:paraId="20CA6B84">
      <w:pPr>
        <w:pStyle w:val="20"/>
        <w:numPr>
          <w:ilvl w:val="0"/>
          <w:numId w:val="7"/>
        </w:numPr>
        <w:spacing w:line="300" w:lineRule="exact"/>
        <w:ind w:left="0" w:firstLine="400"/>
        <w:jc w:val="both"/>
        <w:rPr>
          <w:rFonts w:ascii="Times New Roman" w:hAnsi="Times New Roman" w:eastAsia="楷体_GB2312" w:cs="Times New Roman"/>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管理人保留不接受认购申请的权利。</w:t>
      </w:r>
    </w:p>
    <w:p w14:paraId="787D5991">
      <w:pPr>
        <w:spacing w:line="300" w:lineRule="exact"/>
        <w:ind w:left="-2" w:leftChars="-1" w:right="36" w:rightChars="15"/>
        <w:rPr>
          <w:rFonts w:ascii="黑体" w:hAnsi="Times New Roman" w:eastAsia="黑体" w:cs="黑体"/>
          <w:color w:val="000000" w:themeColor="text1"/>
          <w:sz w:val="20"/>
          <w:szCs w:val="20"/>
          <w:highlight w:val="none"/>
          <w14:textFill>
            <w14:solidFill>
              <w14:schemeClr w14:val="tx1"/>
            </w14:solidFill>
          </w14:textFill>
        </w:rPr>
      </w:pPr>
    </w:p>
    <w:p w14:paraId="2142C2C1">
      <w:pPr>
        <w:spacing w:line="300" w:lineRule="exact"/>
        <w:ind w:left="-2" w:leftChars="-1" w:right="36" w:rightChars="15"/>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五</w:t>
      </w:r>
      <w:r>
        <w:rPr>
          <w:rFonts w:ascii="黑体" w:hAnsi="Times New Roman" w:eastAsia="黑体" w:cs="黑体"/>
          <w:color w:val="000000" w:themeColor="text1"/>
          <w:sz w:val="20"/>
          <w:szCs w:val="20"/>
          <w:highlight w:val="none"/>
          <w14:textFill>
            <w14:solidFill>
              <w14:schemeClr w14:val="tx1"/>
            </w14:solidFill>
          </w14:textFill>
        </w:rPr>
        <w:t>、</w:t>
      </w:r>
      <w:r>
        <w:rPr>
          <w:rFonts w:hint="eastAsia" w:ascii="黑体" w:hAnsi="Times New Roman" w:eastAsia="黑体" w:cs="黑体"/>
          <w:color w:val="000000" w:themeColor="text1"/>
          <w:sz w:val="20"/>
          <w:szCs w:val="20"/>
          <w:highlight w:val="none"/>
          <w14:textFill>
            <w14:solidFill>
              <w14:schemeClr w14:val="tx1"/>
            </w14:solidFill>
          </w14:textFill>
        </w:rPr>
        <w:t>理财</w:t>
      </w:r>
      <w:r>
        <w:rPr>
          <w:rFonts w:ascii="黑体" w:hAnsi="Times New Roman" w:eastAsia="黑体" w:cs="黑体"/>
          <w:color w:val="000000" w:themeColor="text1"/>
          <w:sz w:val="20"/>
          <w:szCs w:val="20"/>
          <w:highlight w:val="none"/>
          <w14:textFill>
            <w14:solidFill>
              <w14:schemeClr w14:val="tx1"/>
            </w14:solidFill>
          </w14:textFill>
        </w:rPr>
        <w:t>产品的</w:t>
      </w:r>
      <w:r>
        <w:rPr>
          <w:rFonts w:hint="eastAsia" w:ascii="黑体" w:hAnsi="Times New Roman" w:eastAsia="黑体" w:cs="黑体"/>
          <w:color w:val="000000" w:themeColor="text1"/>
          <w:sz w:val="20"/>
          <w:szCs w:val="20"/>
          <w:highlight w:val="none"/>
          <w14:textFill>
            <w14:solidFill>
              <w14:schemeClr w14:val="tx1"/>
            </w14:solidFill>
          </w14:textFill>
        </w:rPr>
        <w:t>申购和</w:t>
      </w:r>
      <w:r>
        <w:rPr>
          <w:rFonts w:ascii="黑体" w:hAnsi="Times New Roman" w:eastAsia="黑体" w:cs="黑体"/>
          <w:color w:val="000000" w:themeColor="text1"/>
          <w:sz w:val="20"/>
          <w:szCs w:val="20"/>
          <w:highlight w:val="none"/>
          <w14:textFill>
            <w14:solidFill>
              <w14:schemeClr w14:val="tx1"/>
            </w14:solidFill>
          </w14:textFill>
        </w:rPr>
        <w:t>赎回</w:t>
      </w:r>
    </w:p>
    <w:p w14:paraId="0AC6A6FA">
      <w:pPr>
        <w:spacing w:line="300" w:lineRule="exact"/>
        <w:ind w:left="-2" w:leftChars="-1" w:right="36" w:rightChars="15" w:firstLine="428" w:firstLineChars="214"/>
        <w:rPr>
          <w:rFonts w:ascii="楷体_GB2312" w:eastAsia="楷体_GB2312"/>
          <w:color w:val="000000" w:themeColor="text1"/>
          <w:sz w:val="20"/>
          <w:szCs w:val="20"/>
          <w:highlight w:val="none"/>
          <w14:textFill>
            <w14:solidFill>
              <w14:schemeClr w14:val="tx1"/>
            </w14:solidFill>
          </w14:textFill>
        </w:rPr>
      </w:pPr>
      <w:r>
        <w:rPr>
          <w:rFonts w:hint="eastAsia" w:ascii="Times New Roman" w:hAnsi="Times New Roman" w:eastAsia="楷体_GB2312"/>
          <w:color w:val="000000" w:themeColor="text1"/>
          <w:sz w:val="20"/>
          <w:szCs w:val="20"/>
          <w:highlight w:val="none"/>
          <w14:textFill>
            <w14:solidFill>
              <w14:schemeClr w14:val="tx1"/>
            </w14:solidFill>
          </w14:textFill>
        </w:rPr>
        <w:t>本产品不开放申购和赎回。</w:t>
      </w:r>
    </w:p>
    <w:p w14:paraId="453E6466">
      <w:pPr>
        <w:spacing w:line="300" w:lineRule="exact"/>
        <w:ind w:right="36" w:rightChars="15"/>
        <w:rPr>
          <w:rFonts w:ascii="楷体_GB2312" w:eastAsia="楷体_GB2312"/>
          <w:color w:val="000000" w:themeColor="text1"/>
          <w:sz w:val="20"/>
          <w:szCs w:val="20"/>
          <w:highlight w:val="none"/>
          <w14:textFill>
            <w14:solidFill>
              <w14:schemeClr w14:val="tx1"/>
            </w14:solidFill>
          </w14:textFill>
        </w:rPr>
      </w:pPr>
    </w:p>
    <w:p w14:paraId="6B9F2CF3">
      <w:pPr>
        <w:spacing w:line="300" w:lineRule="exact"/>
        <w:ind w:left="-2" w:leftChars="-1" w:right="96" w:rightChars="40"/>
        <w:rPr>
          <w:rFonts w:ascii="黑体" w:eastAsia="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六、拒绝或暂停接受认购申请的情形及处理</w:t>
      </w:r>
    </w:p>
    <w:p w14:paraId="3C9A11A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管理人可拒绝接受或暂停接受投资者的认购申请的情形包括：</w:t>
      </w:r>
    </w:p>
    <w:p w14:paraId="4F45B73E">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）不可抗力或国家经济金融政策发生变化等原因导致本产品无法正常运作；</w:t>
      </w:r>
    </w:p>
    <w:p w14:paraId="2462A7A7">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）证券交易场所或银行间债券市场依法决定停市等情形；</w:t>
      </w:r>
    </w:p>
    <w:p w14:paraId="0819B7E4">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）当管理人认为某笔认购申请会有损于本产品其他份额持有人利益时，或基于投资运作和风险控制需要，可拒绝该笔认购申请；</w:t>
      </w:r>
    </w:p>
    <w:p w14:paraId="3E52C154">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）当投资者认购金额将导致单笔认购金额上限、单个投资者持仓上限、计划募集金额上限、产品规模上限等各指标超限时，管理人有权拒绝投资者的认购申请；</w:t>
      </w:r>
    </w:p>
    <w:p w14:paraId="438683C3">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法律法规规定或管理人基于审慎考虑认定的其他情形。</w:t>
      </w:r>
    </w:p>
    <w:p w14:paraId="2D8C760D">
      <w:pPr>
        <w:spacing w:line="300" w:lineRule="exact"/>
        <w:ind w:right="0" w:rightChars="0"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如果投资者的认购申请被拒绝，被拒绝的认购款项将全额退还给投资者，扣款日至认购款项返还日期间是否计付利息以及利息计付规则以销售机构为准。</w:t>
      </w:r>
    </w:p>
    <w:p w14:paraId="2F9BC8AD">
      <w:pPr>
        <w:pStyle w:val="20"/>
        <w:numPr>
          <w:ilvl w:val="0"/>
          <w:numId w:val="8"/>
        </w:numPr>
        <w:spacing w:line="300" w:lineRule="exact"/>
        <w:ind w:right="96" w:rightChars="40" w:firstLineChars="0"/>
        <w:rPr>
          <w:rFonts w:ascii="黑体" w:eastAsia="黑体" w:cs="黑体"/>
          <w:color w:val="000000" w:themeColor="text1"/>
          <w:sz w:val="20"/>
          <w:szCs w:val="20"/>
          <w:highlight w:val="none"/>
          <w14:textFill>
            <w14:solidFill>
              <w14:schemeClr w14:val="tx1"/>
            </w14:solidFill>
          </w14:textFill>
        </w:rPr>
      </w:pPr>
      <w:r>
        <w:rPr>
          <w:rFonts w:ascii="黑体" w:eastAsia="黑体" w:cs="黑体"/>
          <w:color w:val="000000" w:themeColor="text1"/>
          <w:sz w:val="20"/>
          <w:szCs w:val="20"/>
          <w:highlight w:val="none"/>
          <w14:textFill>
            <w14:solidFill>
              <w14:schemeClr w14:val="tx1"/>
            </w14:solidFill>
          </w14:textFill>
        </w:rPr>
        <w:t>理财资金分配</w:t>
      </w:r>
    </w:p>
    <w:p w14:paraId="44DD0FE2">
      <w:pPr>
        <w:pStyle w:val="20"/>
        <w:numPr>
          <w:ilvl w:val="0"/>
          <w:numId w:val="0"/>
        </w:numPr>
        <w:spacing w:line="300" w:lineRule="exact"/>
        <w:ind w:right="96" w:rightChars="40" w:firstLine="420" w:firstLineChars="0"/>
        <w:rPr>
          <w:rFonts w:ascii="黑体" w:eastAsia="黑体" w:cs="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（一）</w:t>
      </w:r>
      <w:r>
        <w:rPr>
          <w:rFonts w:hint="eastAsia" w:ascii="黑体" w:eastAsia="黑体" w:cs="黑体"/>
          <w:color w:val="000000" w:themeColor="text1"/>
          <w:sz w:val="20"/>
          <w:szCs w:val="20"/>
          <w:highlight w:val="none"/>
          <w14:textFill>
            <w14:solidFill>
              <w14:schemeClr w14:val="tx1"/>
            </w14:solidFill>
          </w14:textFill>
        </w:rPr>
        <w:t>期间</w:t>
      </w:r>
      <w:r>
        <w:rPr>
          <w:rFonts w:ascii="黑体" w:eastAsia="黑体" w:cs="黑体"/>
          <w:color w:val="000000" w:themeColor="text1"/>
          <w:sz w:val="20"/>
          <w:szCs w:val="20"/>
          <w:highlight w:val="none"/>
          <w14:textFill>
            <w14:solidFill>
              <w14:schemeClr w14:val="tx1"/>
            </w14:solidFill>
          </w14:textFill>
        </w:rPr>
        <w:t>分配</w:t>
      </w:r>
    </w:p>
    <w:p w14:paraId="244E4B04">
      <w:pPr>
        <w:spacing w:line="300" w:lineRule="exact"/>
        <w:ind w:right="96" w:rightChars="40" w:firstLine="402" w:firstLineChars="20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b/>
          <w:bCs/>
          <w:color w:val="000000" w:themeColor="text1"/>
          <w:sz w:val="20"/>
          <w:szCs w:val="20"/>
          <w:highlight w:val="none"/>
          <w14:textFill>
            <w14:solidFill>
              <w14:schemeClr w14:val="tx1"/>
            </w14:solidFill>
          </w14:textFill>
        </w:rPr>
        <w:t>无。</w:t>
      </w:r>
    </w:p>
    <w:p w14:paraId="2FCF4BB6">
      <w:pPr>
        <w:pStyle w:val="20"/>
        <w:numPr>
          <w:ilvl w:val="0"/>
          <w:numId w:val="0"/>
        </w:numPr>
        <w:spacing w:line="300" w:lineRule="exact"/>
        <w:ind w:right="96" w:rightChars="40" w:firstLine="420" w:firstLineChars="0"/>
        <w:rPr>
          <w:rFonts w:hint="eastAsia" w:ascii="黑体" w:eastAsia="黑体" w:cs="黑体"/>
          <w:color w:val="000000" w:themeColor="text1"/>
          <w:sz w:val="20"/>
          <w:szCs w:val="20"/>
          <w:highlight w:val="none"/>
          <w:lang w:eastAsia="zh-CN"/>
          <w14:textFill>
            <w14:solidFill>
              <w14:schemeClr w14:val="tx1"/>
            </w14:solidFill>
          </w14:textFill>
        </w:rPr>
      </w:pPr>
      <w:r>
        <w:rPr>
          <w:rFonts w:hint="eastAsia" w:ascii="黑体" w:eastAsia="黑体" w:cs="黑体"/>
          <w:color w:val="000000" w:themeColor="text1"/>
          <w:sz w:val="20"/>
          <w:szCs w:val="20"/>
          <w:highlight w:val="none"/>
          <w:lang w:eastAsia="zh-CN"/>
          <w14:textFill>
            <w14:solidFill>
              <w14:schemeClr w14:val="tx1"/>
            </w14:solidFill>
          </w14:textFill>
        </w:rPr>
        <w:t>（二）终止分配</w:t>
      </w:r>
    </w:p>
    <w:p w14:paraId="5F49184E">
      <w:pPr>
        <w:spacing w:line="300" w:lineRule="exact"/>
        <w:ind w:right="36" w:rightChars="15" w:firstLine="400" w:firstLineChars="20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1</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本产品在扣除信银理财</w:t>
      </w:r>
      <w:r>
        <w:rPr>
          <w:rFonts w:ascii="楷体_GB2312" w:eastAsia="楷体_GB2312" w:cs="楷体_GB2312"/>
          <w:color w:val="000000" w:themeColor="text1"/>
          <w:sz w:val="20"/>
          <w:szCs w:val="20"/>
          <w:highlight w:val="none"/>
          <w14:textFill>
            <w14:solidFill>
              <w14:schemeClr w14:val="tx1"/>
            </w14:solidFill>
          </w14:textFill>
        </w:rPr>
        <w:t>应收取费用</w:t>
      </w:r>
      <w:r>
        <w:rPr>
          <w:rFonts w:hint="eastAsia" w:ascii="楷体_GB2312" w:eastAsia="楷体_GB2312" w:cs="楷体_GB2312"/>
          <w:color w:val="000000" w:themeColor="text1"/>
          <w:sz w:val="20"/>
          <w:szCs w:val="20"/>
          <w:highlight w:val="none"/>
          <w14:textFill>
            <w14:solidFill>
              <w14:schemeClr w14:val="tx1"/>
            </w14:solidFill>
          </w14:textFill>
        </w:rPr>
        <w:t>及其他应由产品承担的税费后的投资损益全部归属投资者。</w:t>
      </w:r>
    </w:p>
    <w:p w14:paraId="6CF59FB7">
      <w:pPr>
        <w:spacing w:line="300" w:lineRule="exact"/>
        <w:ind w:right="36" w:rightChars="15" w:firstLine="400" w:firstLineChars="200"/>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.如产品正常到期</w:t>
      </w:r>
      <w:r>
        <w:rPr>
          <w:rFonts w:hint="eastAsia" w:ascii="楷体_GB2312" w:eastAsia="楷体_GB2312"/>
          <w:color w:val="000000" w:themeColor="text1"/>
          <w:sz w:val="20"/>
          <w:szCs w:val="20"/>
          <w:highlight w:val="none"/>
          <w14:textFill>
            <w14:solidFill>
              <w14:schemeClr w14:val="tx1"/>
            </w14:solidFill>
          </w14:textFill>
        </w:rPr>
        <w:t>或</w:t>
      </w:r>
      <w:r>
        <w:rPr>
          <w:rFonts w:ascii="楷体_GB2312" w:eastAsia="楷体_GB2312"/>
          <w:color w:val="000000" w:themeColor="text1"/>
          <w:sz w:val="20"/>
          <w:szCs w:val="20"/>
          <w:highlight w:val="none"/>
          <w14:textFill>
            <w14:solidFill>
              <w14:schemeClr w14:val="tx1"/>
            </w14:solidFill>
          </w14:textFill>
        </w:rPr>
        <w:t>提前终止，理财资金于</w:t>
      </w:r>
      <w:r>
        <w:rPr>
          <w:rFonts w:hint="eastAsia" w:ascii="楷体_GB2312" w:eastAsia="楷体_GB2312"/>
          <w:color w:val="000000" w:themeColor="text1"/>
          <w:sz w:val="20"/>
          <w:szCs w:val="20"/>
          <w:highlight w:val="none"/>
          <w14:textFill>
            <w14:solidFill>
              <w14:schemeClr w14:val="tx1"/>
            </w14:solidFill>
          </w14:textFill>
        </w:rPr>
        <w:t>到期日</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实际</w:t>
      </w:r>
      <w:r>
        <w:rPr>
          <w:rFonts w:ascii="楷体_GB2312" w:eastAsia="楷体_GB2312"/>
          <w:color w:val="000000" w:themeColor="text1"/>
          <w:sz w:val="20"/>
          <w:szCs w:val="20"/>
          <w:highlight w:val="none"/>
          <w14:textFill>
            <w14:solidFill>
              <w14:schemeClr w14:val="tx1"/>
            </w14:solidFill>
          </w14:textFill>
        </w:rPr>
        <w:t>到期日</w:t>
      </w:r>
      <w:r>
        <w:rPr>
          <w:rFonts w:hint="eastAsia" w:ascii="楷体_GB2312" w:eastAsia="楷体_GB2312"/>
          <w:color w:val="000000" w:themeColor="text1"/>
          <w:sz w:val="20"/>
          <w:szCs w:val="20"/>
          <w:highlight w:val="none"/>
          <w14:textFill>
            <w14:solidFill>
              <w14:schemeClr w14:val="tx1"/>
            </w14:solidFill>
          </w14:textFill>
        </w:rPr>
        <w:t>或</w:t>
      </w:r>
      <w:r>
        <w:rPr>
          <w:rFonts w:ascii="楷体_GB2312" w:eastAsia="楷体_GB2312"/>
          <w:color w:val="000000" w:themeColor="text1"/>
          <w:sz w:val="20"/>
          <w:szCs w:val="20"/>
          <w:highlight w:val="none"/>
          <w14:textFill>
            <w14:solidFill>
              <w14:schemeClr w14:val="tx1"/>
            </w14:solidFill>
          </w14:textFill>
        </w:rPr>
        <w:t>提前终止日</w:t>
      </w: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后【</w:t>
      </w:r>
      <w:r>
        <w:rPr>
          <w:rFonts w:hint="eastAsia" w:ascii="楷体_GB2312" w:eastAsia="楷体_GB2312"/>
          <w:color w:val="000000" w:themeColor="text1"/>
          <w:sz w:val="20"/>
          <w:szCs w:val="20"/>
          <w:highlight w:val="none"/>
          <w14:textFill>
            <w14:solidFill>
              <w14:schemeClr w14:val="tx1"/>
            </w14:solidFill>
          </w14:textFill>
        </w:rPr>
        <w:t>5</w:t>
      </w:r>
      <w:r>
        <w:rPr>
          <w:rFonts w:ascii="楷体_GB2312" w:eastAsia="楷体_GB2312"/>
          <w:color w:val="000000" w:themeColor="text1"/>
          <w:sz w:val="20"/>
          <w:szCs w:val="20"/>
          <w:highlight w:val="none"/>
          <w14:textFill>
            <w14:solidFill>
              <w14:schemeClr w14:val="tx1"/>
            </w14:solidFill>
          </w14:textFill>
        </w:rPr>
        <w:t>】个工作日内根据实际情况一次性分配，如遇</w:t>
      </w:r>
      <w:r>
        <w:rPr>
          <w:rFonts w:hint="eastAsia" w:ascii="楷体_GB2312" w:eastAsia="楷体_GB2312"/>
          <w:color w:val="000000" w:themeColor="text1"/>
          <w:sz w:val="20"/>
          <w:szCs w:val="20"/>
          <w:highlight w:val="none"/>
          <w14:textFill>
            <w14:solidFill>
              <w14:schemeClr w14:val="tx1"/>
            </w14:solidFill>
          </w14:textFill>
        </w:rPr>
        <w:t>非工作日</w:t>
      </w:r>
      <w:r>
        <w:rPr>
          <w:rFonts w:ascii="楷体_GB2312" w:eastAsia="楷体_GB2312"/>
          <w:color w:val="000000" w:themeColor="text1"/>
          <w:sz w:val="20"/>
          <w:szCs w:val="20"/>
          <w:highlight w:val="none"/>
          <w14:textFill>
            <w14:solidFill>
              <w14:schemeClr w14:val="tx1"/>
            </w14:solidFill>
          </w14:textFill>
        </w:rPr>
        <w:t>则顺延至下一工作日。</w:t>
      </w:r>
    </w:p>
    <w:p w14:paraId="0B5273DF">
      <w:pPr>
        <w:spacing w:line="300" w:lineRule="exact"/>
        <w:ind w:right="36" w:rightChars="15" w:firstLine="400" w:firstLineChars="200"/>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投资者到期日应得资金计算公式如下：</w:t>
      </w:r>
    </w:p>
    <w:p w14:paraId="3D646041">
      <w:pPr>
        <w:spacing w:line="300" w:lineRule="exact"/>
        <w:ind w:right="36" w:rightChars="15" w:firstLine="400" w:firstLineChars="200"/>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投资者应得资金</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到期日产品可分配的总金额</w:t>
      </w:r>
      <w:r>
        <w:rPr>
          <w:rFonts w:ascii="楷体_GB2312" w:eastAsia="楷体_GB2312" w:cs="楷体_GB2312"/>
          <w:color w:val="000000" w:themeColor="text1"/>
          <w:sz w:val="20"/>
          <w:szCs w:val="20"/>
          <w:highlight w:val="none"/>
          <w14:textFill>
            <w14:solidFill>
              <w14:schemeClr w14:val="tx1"/>
            </w14:solidFill>
          </w14:textFill>
        </w:rPr>
        <w:t>/产品的总份额*投资者的持有份额</w:t>
      </w:r>
    </w:p>
    <w:p w14:paraId="55FA2824">
      <w:pPr>
        <w:spacing w:line="300" w:lineRule="exact"/>
        <w:ind w:right="36" w:rightChars="15" w:firstLine="400" w:firstLineChars="200"/>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若募集期发生变化（募集期提前结束或募集期延长）、运作起始日发生变化或者清算期遇非工作日或</w:t>
      </w:r>
      <w:r>
        <w:rPr>
          <w:rFonts w:ascii="楷体_GB2312" w:eastAsia="楷体_GB2312" w:cs="楷体_GB2312"/>
          <w:color w:val="000000" w:themeColor="text1"/>
          <w:sz w:val="20"/>
          <w:szCs w:val="20"/>
          <w:highlight w:val="none"/>
          <w14:textFill>
            <w14:solidFill>
              <w14:schemeClr w14:val="tx1"/>
            </w14:solidFill>
          </w14:textFill>
        </w:rPr>
        <w:t>其他原因延长</w:t>
      </w:r>
      <w:r>
        <w:rPr>
          <w:rFonts w:hint="eastAsia" w:ascii="楷体_GB2312" w:eastAsia="楷体_GB2312" w:cs="楷体_GB2312"/>
          <w:color w:val="000000" w:themeColor="text1"/>
          <w:sz w:val="20"/>
          <w:szCs w:val="20"/>
          <w:highlight w:val="none"/>
          <w14:textFill>
            <w14:solidFill>
              <w14:schemeClr w14:val="tx1"/>
            </w14:solidFill>
          </w14:textFill>
        </w:rPr>
        <w:t>，产品到期日视情况将可能相应进行调整，若进行调整，信银理财将以本产品</w:t>
      </w:r>
      <w:r>
        <w:rPr>
          <w:rFonts w:ascii="楷体_GB2312" w:eastAsia="楷体_GB2312" w:cs="楷体_GB2312"/>
          <w:color w:val="000000" w:themeColor="text1"/>
          <w:sz w:val="20"/>
          <w:szCs w:val="20"/>
          <w:highlight w:val="none"/>
          <w14:textFill>
            <w14:solidFill>
              <w14:schemeClr w14:val="tx1"/>
            </w14:solidFill>
          </w14:textFill>
        </w:rPr>
        <w:t>说明书</w:t>
      </w:r>
      <w:r>
        <w:rPr>
          <w:rFonts w:hint="eastAsia" w:ascii="楷体_GB2312" w:eastAsia="楷体_GB2312" w:cs="楷体_GB2312"/>
          <w:color w:val="000000" w:themeColor="text1"/>
          <w:sz w:val="20"/>
          <w:szCs w:val="20"/>
          <w:highlight w:val="none"/>
          <w14:textFill>
            <w14:solidFill>
              <w14:schemeClr w14:val="tx1"/>
            </w14:solidFill>
          </w14:textFill>
        </w:rPr>
        <w:t>约定的</w:t>
      </w:r>
      <w:r>
        <w:rPr>
          <w:rFonts w:ascii="楷体_GB2312" w:eastAsia="楷体_GB2312" w:cs="楷体_GB2312"/>
          <w:color w:val="000000" w:themeColor="text1"/>
          <w:sz w:val="20"/>
          <w:szCs w:val="20"/>
          <w:highlight w:val="none"/>
          <w14:textFill>
            <w14:solidFill>
              <w14:schemeClr w14:val="tx1"/>
            </w14:solidFill>
          </w14:textFill>
        </w:rPr>
        <w:t>方式通知投资者</w:t>
      </w:r>
      <w:r>
        <w:rPr>
          <w:rFonts w:hint="eastAsia" w:ascii="楷体_GB2312" w:eastAsia="楷体_GB2312" w:cs="楷体_GB2312"/>
          <w:color w:val="000000" w:themeColor="text1"/>
          <w:sz w:val="20"/>
          <w:szCs w:val="20"/>
          <w:highlight w:val="none"/>
          <w14:textFill>
            <w14:solidFill>
              <w14:schemeClr w14:val="tx1"/>
            </w14:solidFill>
          </w14:textFill>
        </w:rPr>
        <w:t>。</w:t>
      </w:r>
    </w:p>
    <w:p w14:paraId="558A3115">
      <w:pPr>
        <w:spacing w:line="300" w:lineRule="exact"/>
        <w:ind w:right="36" w:rightChars="15" w:firstLine="400" w:firstLineChars="200"/>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5</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投资者通过</w:t>
      </w:r>
      <w:r>
        <w:rPr>
          <w:rFonts w:ascii="楷体_GB2312" w:eastAsia="楷体_GB2312"/>
          <w:color w:val="000000" w:themeColor="text1"/>
          <w:sz w:val="20"/>
          <w:szCs w:val="20"/>
          <w:highlight w:val="none"/>
          <w14:textFill>
            <w14:solidFill>
              <w14:schemeClr w14:val="tx1"/>
            </w14:solidFill>
          </w14:textFill>
        </w:rPr>
        <w:t>代销机构渠道购买理财产品的，理财资金划转至投资者</w:t>
      </w:r>
      <w:r>
        <w:rPr>
          <w:rFonts w:hint="eastAsia" w:ascii="楷体_GB2312" w:eastAsia="楷体_GB2312"/>
          <w:color w:val="000000" w:themeColor="text1"/>
          <w:sz w:val="20"/>
          <w:szCs w:val="20"/>
          <w:highlight w:val="none"/>
          <w14:textFill>
            <w14:solidFill>
              <w14:schemeClr w14:val="tx1"/>
            </w14:solidFill>
          </w14:textFill>
        </w:rPr>
        <w:t>账户的</w:t>
      </w:r>
      <w:r>
        <w:rPr>
          <w:rFonts w:ascii="楷体_GB2312" w:eastAsia="楷体_GB2312"/>
          <w:color w:val="000000" w:themeColor="text1"/>
          <w:sz w:val="20"/>
          <w:szCs w:val="20"/>
          <w:highlight w:val="none"/>
          <w14:textFill>
            <w14:solidFill>
              <w14:schemeClr w14:val="tx1"/>
            </w14:solidFill>
          </w14:textFill>
        </w:rPr>
        <w:t>时间以代销机构的清算时间为准。</w:t>
      </w:r>
    </w:p>
    <w:p w14:paraId="3A470B0F">
      <w:pPr>
        <w:spacing w:line="300" w:lineRule="exact"/>
        <w:ind w:left="-2" w:leftChars="-1" w:right="36" w:rightChars="15"/>
        <w:rPr>
          <w:color w:val="000000" w:themeColor="text1"/>
          <w:highlight w:val="none"/>
          <w14:textFill>
            <w14:solidFill>
              <w14:schemeClr w14:val="tx1"/>
            </w14:solidFill>
          </w14:textFill>
        </w:rPr>
      </w:pPr>
    </w:p>
    <w:p w14:paraId="0B43CF77">
      <w:pPr>
        <w:snapToGrid w:val="0"/>
        <w:spacing w:line="300" w:lineRule="exact"/>
        <w:ind w:left="-2" w:leftChars="-1" w:right="53" w:rightChars="22"/>
        <w:outlineLvl w:val="0"/>
        <w:rPr>
          <w:rFonts w:ascii="黑体" w:eastAsia="黑体" w:cs="黑体"/>
          <w:b/>
          <w:color w:val="000000" w:themeColor="text1"/>
          <w:sz w:val="20"/>
          <w:szCs w:val="20"/>
          <w:highlight w:val="none"/>
          <w14:textFill>
            <w14:solidFill>
              <w14:schemeClr w14:val="tx1"/>
            </w14:solidFill>
          </w14:textFill>
        </w:rPr>
      </w:pPr>
      <w:r>
        <w:rPr>
          <w:rFonts w:hint="eastAsia" w:ascii="黑体" w:eastAsia="黑体" w:cs="黑体"/>
          <w:b/>
          <w:color w:val="000000" w:themeColor="text1"/>
          <w:sz w:val="20"/>
          <w:szCs w:val="20"/>
          <w:highlight w:val="none"/>
          <w14:textFill>
            <w14:solidFill>
              <w14:schemeClr w14:val="tx1"/>
            </w14:solidFill>
          </w14:textFill>
        </w:rPr>
        <w:t>八、理财产品的费用</w:t>
      </w:r>
    </w:p>
    <w:p w14:paraId="4E95783D">
      <w:pPr>
        <w:snapToGrid w:val="0"/>
        <w:spacing w:line="300" w:lineRule="exact"/>
        <w:ind w:firstLine="402" w:firstLineChars="200"/>
        <w:jc w:val="both"/>
        <w:outlineLvl w:val="0"/>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1．本产品的费用包括认购费、销售服务费、托管费、固定管理费、</w:t>
      </w:r>
      <w:r>
        <w:rPr>
          <w:rFonts w:hint="eastAsia" w:ascii="楷体_GB2312" w:eastAsia="楷体_GB2312" w:cs="楷体_GB2312"/>
          <w:b/>
          <w:color w:val="000000" w:themeColor="text1"/>
          <w:sz w:val="20"/>
          <w:szCs w:val="20"/>
          <w:highlight w:val="none"/>
          <w:lang w:val="en-US" w:eastAsia="zh-CN"/>
          <w14:textFill>
            <w14:solidFill>
              <w14:schemeClr w14:val="tx1"/>
            </w14:solidFill>
          </w14:textFill>
        </w:rPr>
        <w:t>信息技术服务费</w:t>
      </w:r>
      <w:r>
        <w:rPr>
          <w:rFonts w:hint="eastAsia" w:ascii="楷体_GB2312" w:eastAsia="楷体_GB2312" w:cs="楷体_GB2312"/>
          <w:b/>
          <w:color w:val="000000" w:themeColor="text1"/>
          <w:sz w:val="20"/>
          <w:szCs w:val="20"/>
          <w:highlight w:val="none"/>
          <w:lang w:eastAsia="zh-CN"/>
          <w14:textFill>
            <w14:solidFill>
              <w14:schemeClr w14:val="tx1"/>
            </w14:solidFill>
          </w14:textFill>
        </w:rPr>
        <w:t>、</w:t>
      </w:r>
      <w:r>
        <w:rPr>
          <w:rFonts w:ascii="楷体_GB2312" w:eastAsia="楷体_GB2312" w:cs="楷体_GB2312"/>
          <w:b/>
          <w:color w:val="000000" w:themeColor="text1"/>
          <w:sz w:val="20"/>
          <w:szCs w:val="20"/>
          <w:highlight w:val="none"/>
          <w14:textFill>
            <w14:solidFill>
              <w14:schemeClr w14:val="tx1"/>
            </w14:solidFill>
          </w14:textFill>
        </w:rPr>
        <w:t>浮动管理费，产品运作和清算中产生的其他资金汇划费、结算费、交易手续费、注册登记费、信息披露费、账户服务费、审计费、律师费</w:t>
      </w:r>
      <w:r>
        <w:rPr>
          <w:rFonts w:hint="eastAsia" w:ascii="楷体_GB2312" w:eastAsia="楷体_GB2312" w:cs="楷体_GB2312"/>
          <w:b/>
          <w:color w:val="000000" w:themeColor="text1"/>
          <w:sz w:val="20"/>
          <w:szCs w:val="20"/>
          <w:highlight w:val="none"/>
          <w14:textFill>
            <w14:solidFill>
              <w14:schemeClr w14:val="tx1"/>
            </w14:solidFill>
          </w14:textFill>
        </w:rPr>
        <w:t>、因投资资产而产生的资产推荐服务费等相关费用</w:t>
      </w:r>
      <w:r>
        <w:rPr>
          <w:rFonts w:ascii="楷体_GB2312" w:eastAsia="楷体_GB2312" w:cs="楷体_GB2312"/>
          <w:b/>
          <w:color w:val="000000" w:themeColor="text1"/>
          <w:sz w:val="20"/>
          <w:szCs w:val="20"/>
          <w:highlight w:val="none"/>
          <w14:textFill>
            <w14:solidFill>
              <w14:schemeClr w14:val="tx1"/>
            </w14:solidFill>
          </w14:textFill>
        </w:rPr>
        <w:t>，以及按照法律法规规章规定和理财产品销售文件约定可以列入的其他费用。管理人因管理、运营理财产品发生的税费</w:t>
      </w:r>
      <w:r>
        <w:rPr>
          <w:rFonts w:ascii="楷体_GB2312" w:eastAsia="楷体_GB2312"/>
          <w:b/>
          <w:color w:val="000000" w:themeColor="text1"/>
          <w:sz w:val="20"/>
          <w:szCs w:val="20"/>
          <w:highlight w:val="none"/>
          <w14:textFill>
            <w14:solidFill>
              <w14:schemeClr w14:val="tx1"/>
            </w14:solidFill>
          </w14:textFill>
        </w:rPr>
        <w:t>（包括但不限于增值税及相应的附加税费等）</w:t>
      </w:r>
      <w:r>
        <w:rPr>
          <w:rFonts w:ascii="楷体_GB2312" w:eastAsia="楷体_GB2312" w:cs="楷体_GB2312"/>
          <w:b/>
          <w:color w:val="000000" w:themeColor="text1"/>
          <w:sz w:val="20"/>
          <w:szCs w:val="20"/>
          <w:highlight w:val="none"/>
          <w14:textFill>
            <w14:solidFill>
              <w14:schemeClr w14:val="tx1"/>
            </w14:solidFill>
          </w14:textFill>
        </w:rPr>
        <w:t>由产品资产承担。法律法规另有规定时从其规定。</w:t>
      </w:r>
    </w:p>
    <w:p w14:paraId="62EC02D6">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2.认购费</w:t>
      </w:r>
      <w:r>
        <w:rPr>
          <w:rFonts w:hint="eastAsia" w:ascii="楷体_GB2312" w:eastAsia="楷体_GB2312" w:cs="楷体_GB2312"/>
          <w:b/>
          <w:color w:val="000000"/>
          <w:sz w:val="20"/>
          <w:szCs w:val="20"/>
          <w:highlight w:val="none"/>
        </w:rPr>
        <w:t>：</w:t>
      </w:r>
      <w:r>
        <w:rPr>
          <w:rFonts w:ascii="楷体_GB2312" w:eastAsia="楷体_GB2312" w:cs="楷体_GB2312"/>
          <w:b/>
          <w:sz w:val="20"/>
          <w:szCs w:val="20"/>
          <w:highlight w:val="none"/>
        </w:rPr>
        <w:t>【A】类份额不收取认购费，【B】类份额不收取认购费，【D】类份额不收取认购费，【G】类份额不收取认购费，【H】类份额不收取认购费，【K】类份额不收取认购费，【M】类份额不收取认购费，【S】类份额不收取认购费</w:t>
      </w:r>
      <w:r>
        <w:rPr>
          <w:rFonts w:hint="eastAsia" w:ascii="楷体_GB2312" w:eastAsia="楷体_GB2312" w:cs="楷体_GB2312"/>
          <w:b/>
          <w:sz w:val="20"/>
          <w:szCs w:val="20"/>
          <w:highlight w:val="none"/>
        </w:rPr>
        <w:t>。</w:t>
      </w:r>
    </w:p>
    <w:p w14:paraId="54618D66">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3.销售服务费</w:t>
      </w:r>
    </w:p>
    <w:p w14:paraId="284BF5F7">
      <w:pPr>
        <w:snapToGrid w:val="0"/>
        <w:spacing w:line="300" w:lineRule="exact"/>
        <w:ind w:firstLine="402" w:firstLineChars="200"/>
        <w:outlineLvl w:val="0"/>
        <w:rPr>
          <w:rFonts w:ascii="楷体_GB2312" w:eastAsia="楷体_GB2312"/>
          <w:b/>
          <w:sz w:val="20"/>
          <w:szCs w:val="20"/>
          <w:highlight w:val="none"/>
        </w:rPr>
      </w:pPr>
      <w:r>
        <w:rPr>
          <w:rFonts w:ascii="楷体_GB2312" w:eastAsia="楷体_GB2312" w:cs="楷体_GB2312"/>
          <w:b/>
          <w:sz w:val="20"/>
          <w:szCs w:val="20"/>
          <w:highlight w:val="none"/>
        </w:rPr>
        <w:t>【A】类份额费率【0.20%】/年，【B】类份额费率【0.20%】/年，【D】类份额费率【0.05%】/年，【G】类份额费率【0.05%】/年，【H】类份额费率【0.10%】/年，【K】类份额费率【0.05%】/年，【M】类份额费率【0.30%】/年，【S】类份额费率【0.05%】/年，计算方式为【</w:t>
      </w:r>
      <w:r>
        <w:rPr>
          <w:rFonts w:hint="eastAsia" w:ascii="楷体_GB2312" w:eastAsia="楷体_GB2312" w:cs="楷体_GB2312"/>
          <w:b/>
          <w:sz w:val="20"/>
          <w:szCs w:val="20"/>
          <w:highlight w:val="none"/>
        </w:rPr>
        <w:t>每日销售费</w:t>
      </w:r>
      <w:r>
        <w:rPr>
          <w:rFonts w:ascii="楷体_GB2312" w:eastAsia="楷体_GB2312" w:cs="楷体_GB2312"/>
          <w:b/>
          <w:sz w:val="20"/>
          <w:szCs w:val="20"/>
          <w:highlight w:val="none"/>
        </w:rPr>
        <w:t>=理财产品上一自然日产品净资产×销售费率/365。（在首个起息日计算销售服务费时，以产品成立日的实收本金为计提基础，计算托管费、固定管理费时亦参照执行）】</w:t>
      </w:r>
      <w:r>
        <w:rPr>
          <w:rFonts w:hint="eastAsia" w:ascii="楷体_GB2312" w:eastAsia="楷体_GB2312" w:cs="楷体_GB2312"/>
          <w:b/>
          <w:sz w:val="20"/>
          <w:szCs w:val="20"/>
          <w:highlight w:val="none"/>
        </w:rPr>
        <w:t>。</w:t>
      </w:r>
    </w:p>
    <w:p w14:paraId="55AFEBB0">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销售服务费每日计提，按【</w:t>
      </w:r>
      <w:r>
        <w:rPr>
          <w:rFonts w:hint="eastAsia" w:ascii="楷体_GB2312" w:eastAsia="楷体_GB2312" w:cs="楷体_GB2312"/>
          <w:b/>
          <w:sz w:val="20"/>
          <w:szCs w:val="20"/>
          <w:highlight w:val="none"/>
        </w:rPr>
        <w:t>季</w:t>
      </w:r>
      <w:r>
        <w:rPr>
          <w:rFonts w:ascii="楷体_GB2312" w:eastAsia="楷体_GB2312" w:cs="楷体_GB2312"/>
          <w:b/>
          <w:color w:val="000000"/>
          <w:sz w:val="20"/>
          <w:szCs w:val="20"/>
          <w:highlight w:val="none"/>
        </w:rPr>
        <w:t>】支付，由管理人向托管人发送指令，托管人复核后按【季】从资产中一次性支付。投资者通过代销机构购买理财产品的，代销机构收取的</w:t>
      </w:r>
      <w:r>
        <w:rPr>
          <w:rFonts w:hint="eastAsia" w:ascii="楷体_GB2312" w:eastAsia="楷体_GB2312" w:cs="楷体_GB2312"/>
          <w:b/>
          <w:color w:val="000000"/>
          <w:sz w:val="20"/>
          <w:szCs w:val="20"/>
          <w:highlight w:val="none"/>
        </w:rPr>
        <w:t>销售</w:t>
      </w:r>
      <w:r>
        <w:rPr>
          <w:rFonts w:ascii="楷体_GB2312" w:eastAsia="楷体_GB2312" w:cs="楷体_GB2312"/>
          <w:b/>
          <w:color w:val="000000"/>
          <w:sz w:val="20"/>
          <w:szCs w:val="20"/>
          <w:highlight w:val="none"/>
        </w:rPr>
        <w:t>相关费用以代销机构规定为准。</w:t>
      </w:r>
    </w:p>
    <w:p w14:paraId="7D1AECCA">
      <w:pPr>
        <w:spacing w:line="300" w:lineRule="exact"/>
        <w:ind w:firstLine="402" w:firstLineChars="200"/>
        <w:rPr>
          <w:rFonts w:ascii="楷体_GB2312" w:eastAsia="楷体_GB2312" w:cs="楷体_GB2312"/>
          <w:b/>
          <w:color w:val="000000"/>
          <w:sz w:val="20"/>
          <w:szCs w:val="20"/>
          <w:highlight w:val="none"/>
        </w:rPr>
      </w:pPr>
      <w:r>
        <w:rPr>
          <w:rFonts w:hint="eastAsia" w:ascii="楷体_GB2312" w:eastAsia="楷体_GB2312" w:cs="楷体_GB2312"/>
          <w:b/>
          <w:sz w:val="20"/>
          <w:szCs w:val="20"/>
          <w:highlight w:val="none"/>
        </w:rPr>
        <w:t>本产品可能同时在其他渠道销售，本产品收取的销售服务费可能因销售机构不同有所差异，从而导致测算的业绩比较基准有所差异，请投资者关注管理人及销售机构相关信息披露。</w:t>
      </w:r>
    </w:p>
    <w:p w14:paraId="79AE49C5">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4.托管费</w:t>
      </w:r>
    </w:p>
    <w:p w14:paraId="2C84DF00">
      <w:pPr>
        <w:snapToGrid w:val="0"/>
        <w:spacing w:line="300" w:lineRule="exact"/>
        <w:ind w:firstLine="402" w:firstLineChars="200"/>
        <w:outlineLvl w:val="0"/>
        <w:rPr>
          <w:rFonts w:ascii="楷体_GB2312" w:eastAsia="楷体_GB2312"/>
          <w:b/>
          <w:sz w:val="20"/>
          <w:szCs w:val="20"/>
          <w:highlight w:val="none"/>
        </w:rPr>
      </w:pPr>
      <w:r>
        <w:rPr>
          <w:rFonts w:ascii="楷体_GB2312" w:eastAsia="楷体_GB2312" w:cs="楷体_GB2312"/>
          <w:b/>
          <w:sz w:val="20"/>
          <w:szCs w:val="20"/>
          <w:highlight w:val="none"/>
        </w:rPr>
        <w:t>费率【0.05%】/年，计算方式为【</w:t>
      </w:r>
      <w:r>
        <w:rPr>
          <w:rFonts w:hint="eastAsia" w:ascii="楷体_GB2312" w:eastAsia="楷体_GB2312" w:cs="楷体_GB2312"/>
          <w:b/>
          <w:sz w:val="20"/>
          <w:szCs w:val="20"/>
          <w:highlight w:val="none"/>
        </w:rPr>
        <w:t>每日托管费</w:t>
      </w:r>
      <w:r>
        <w:rPr>
          <w:rFonts w:ascii="楷体_GB2312" w:eastAsia="楷体_GB2312" w:cs="楷体_GB2312"/>
          <w:b/>
          <w:sz w:val="20"/>
          <w:szCs w:val="20"/>
          <w:highlight w:val="none"/>
        </w:rPr>
        <w:t>=理财产品上一自然日产品净资产×托管费率/365】</w:t>
      </w:r>
      <w:r>
        <w:rPr>
          <w:rFonts w:hint="eastAsia" w:ascii="楷体_GB2312" w:eastAsia="楷体_GB2312" w:cs="楷体_GB2312"/>
          <w:b/>
          <w:sz w:val="20"/>
          <w:szCs w:val="20"/>
          <w:highlight w:val="none"/>
        </w:rPr>
        <w:t>。</w:t>
      </w:r>
    </w:p>
    <w:p w14:paraId="61F79A12">
      <w:pPr>
        <w:snapToGrid w:val="0"/>
        <w:spacing w:line="300" w:lineRule="exact"/>
        <w:ind w:firstLine="402" w:firstLineChars="200"/>
        <w:outlineLvl w:val="0"/>
        <w:rPr>
          <w:rFonts w:ascii="楷体_GB2312" w:eastAsia="楷体_GB2312"/>
          <w:b/>
          <w:color w:val="000000"/>
          <w:sz w:val="20"/>
          <w:szCs w:val="20"/>
          <w:highlight w:val="none"/>
        </w:rPr>
      </w:pPr>
      <w:r>
        <w:rPr>
          <w:rFonts w:ascii="楷体_GB2312" w:eastAsia="楷体_GB2312" w:cs="楷体_GB2312"/>
          <w:b/>
          <w:color w:val="000000"/>
          <w:sz w:val="20"/>
          <w:szCs w:val="20"/>
          <w:highlight w:val="none"/>
        </w:rPr>
        <w:t>托管费每日计提，按【</w:t>
      </w:r>
      <w:r>
        <w:rPr>
          <w:rFonts w:hint="eastAsia" w:ascii="楷体_GB2312" w:eastAsia="楷体_GB2312" w:cs="楷体_GB2312"/>
          <w:b/>
          <w:color w:val="000000"/>
          <w:sz w:val="20"/>
          <w:szCs w:val="20"/>
          <w:highlight w:val="none"/>
        </w:rPr>
        <w:t>年</w:t>
      </w:r>
      <w:r>
        <w:rPr>
          <w:rFonts w:ascii="楷体_GB2312" w:eastAsia="楷体_GB2312" w:cs="楷体_GB2312"/>
          <w:b/>
          <w:color w:val="000000"/>
          <w:sz w:val="20"/>
          <w:szCs w:val="20"/>
          <w:highlight w:val="none"/>
        </w:rPr>
        <w:t>】支付，由管理人向托管人发送指令，托管人复核后从资产中一次性支付。</w:t>
      </w:r>
    </w:p>
    <w:p w14:paraId="015FAA49">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5.固定管理费</w:t>
      </w:r>
    </w:p>
    <w:p w14:paraId="0B9B6D7F">
      <w:pPr>
        <w:snapToGrid w:val="0"/>
        <w:spacing w:line="300" w:lineRule="exact"/>
        <w:ind w:firstLine="402" w:firstLineChars="200"/>
        <w:outlineLvl w:val="0"/>
        <w:rPr>
          <w:rFonts w:ascii="楷体_GB2312" w:eastAsia="楷体_GB2312"/>
          <w:b/>
          <w:sz w:val="20"/>
          <w:szCs w:val="20"/>
          <w:highlight w:val="none"/>
        </w:rPr>
      </w:pPr>
      <w:r>
        <w:rPr>
          <w:rFonts w:hint="eastAsia" w:ascii="楷体_GB2312" w:eastAsia="楷体_GB2312" w:cs="楷体_GB2312"/>
          <w:b/>
          <w:sz w:val="20"/>
          <w:szCs w:val="20"/>
          <w:highlight w:val="none"/>
        </w:rPr>
        <w:t>费率【</w:t>
      </w:r>
      <w:r>
        <w:rPr>
          <w:rFonts w:ascii="楷体_GB2312" w:eastAsia="楷体_GB2312" w:cs="楷体_GB2312"/>
          <w:b/>
          <w:sz w:val="20"/>
          <w:szCs w:val="20"/>
          <w:highlight w:val="none"/>
        </w:rPr>
        <w:t>0.10%】/年，计算方式为【</w:t>
      </w:r>
      <w:r>
        <w:rPr>
          <w:rFonts w:hint="eastAsia" w:ascii="楷体_GB2312" w:eastAsia="楷体_GB2312" w:cs="楷体_GB2312"/>
          <w:b/>
          <w:sz w:val="20"/>
          <w:szCs w:val="20"/>
          <w:highlight w:val="none"/>
        </w:rPr>
        <w:t>每日固定管理费</w:t>
      </w:r>
      <w:r>
        <w:rPr>
          <w:rFonts w:ascii="楷体_GB2312" w:eastAsia="楷体_GB2312" w:cs="楷体_GB2312"/>
          <w:b/>
          <w:sz w:val="20"/>
          <w:szCs w:val="20"/>
          <w:highlight w:val="none"/>
        </w:rPr>
        <w:t>=理财产品上一自然日产品净资产×固定管理费率/365】</w:t>
      </w:r>
      <w:r>
        <w:rPr>
          <w:rFonts w:hint="eastAsia" w:ascii="楷体_GB2312" w:eastAsia="楷体_GB2312" w:cs="楷体_GB2312"/>
          <w:b/>
          <w:sz w:val="20"/>
          <w:szCs w:val="20"/>
          <w:highlight w:val="none"/>
        </w:rPr>
        <w:t>。</w:t>
      </w:r>
    </w:p>
    <w:p w14:paraId="60C301C7">
      <w:pPr>
        <w:snapToGrid w:val="0"/>
        <w:spacing w:line="300" w:lineRule="exact"/>
        <w:ind w:left="-2" w:leftChars="-1" w:firstLine="402" w:firstLineChars="200"/>
        <w:outlineLvl w:val="0"/>
        <w:rPr>
          <w:rFonts w:ascii="楷体_GB2312" w:eastAsia="楷体_GB2312"/>
          <w:b/>
          <w:sz w:val="20"/>
          <w:szCs w:val="20"/>
          <w:highlight w:val="none"/>
        </w:rPr>
      </w:pPr>
      <w:r>
        <w:rPr>
          <w:rFonts w:hint="eastAsia" w:ascii="楷体_GB2312" w:eastAsia="楷体_GB2312" w:cs="楷体_GB2312"/>
          <w:b/>
          <w:sz w:val="20"/>
          <w:szCs w:val="20"/>
          <w:highlight w:val="none"/>
        </w:rPr>
        <w:t>固定管理费每日计提，按【月】支付，由管理人向托管人发送指令，托管人复核后从资产中一次性支付。</w:t>
      </w:r>
    </w:p>
    <w:p w14:paraId="5506B4A6">
      <w:pPr>
        <w:snapToGrid w:val="0"/>
        <w:spacing w:line="300" w:lineRule="exact"/>
        <w:ind w:firstLine="402" w:firstLineChars="200"/>
        <w:outlineLvl w:val="0"/>
        <w:rPr>
          <w:rFonts w:ascii="楷体_GB2312" w:eastAsia="楷体_GB2312" w:cs="楷体_GB2312"/>
          <w:b/>
          <w:color w:val="000000"/>
          <w:sz w:val="20"/>
          <w:szCs w:val="20"/>
          <w:highlight w:val="none"/>
        </w:rPr>
      </w:pPr>
      <w:r>
        <w:rPr>
          <w:rFonts w:ascii="楷体_GB2312" w:eastAsia="楷体_GB2312" w:cs="楷体_GB2312"/>
          <w:b/>
          <w:color w:val="000000"/>
          <w:sz w:val="20"/>
          <w:szCs w:val="20"/>
          <w:highlight w:val="none"/>
        </w:rPr>
        <w:t>6.浮动管理费</w:t>
      </w:r>
    </w:p>
    <w:p w14:paraId="03DB22E1">
      <w:pPr>
        <w:snapToGrid w:val="0"/>
        <w:spacing w:line="300" w:lineRule="exact"/>
        <w:ind w:right="96" w:rightChars="40" w:firstLine="402" w:firstLineChars="200"/>
        <w:outlineLvl w:val="0"/>
        <w:rPr>
          <w:rFonts w:ascii="楷体_GB2312" w:eastAsia="楷体_GB2312" w:cs="楷体_GB2312"/>
          <w:b/>
          <w:sz w:val="20"/>
          <w:szCs w:val="20"/>
          <w:highlight w:val="none"/>
        </w:rPr>
      </w:pPr>
      <w:r>
        <w:rPr>
          <w:rFonts w:ascii="楷体_GB2312" w:eastAsia="楷体_GB2312" w:cs="楷体_GB2312"/>
          <w:b/>
          <w:sz w:val="20"/>
          <w:szCs w:val="20"/>
          <w:highlight w:val="none"/>
        </w:rPr>
        <w:t>【A】类份额设立业绩比较基准，在产品到期日或提前终止日时，如计提浮动管理费前年化收益率超过【2.65%】的，管理人将收取超额部分的【50%】作为浮动管理费。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【B】类份额设立业绩比较基准，在产品到期日或提前终止日时，如计提浮动管理费前年化收益率超过【2.65%】的，管理人将收取超额部分的【50%】作为浮动管理费。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【D】类份额设立业绩比较基准，在产品到期日或提前终止日时，如计提浮动管理费前年化收益率超过【2.80%】的，管理人将收取超额部分的【50%】作为浮动管理费。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【G】类份额设立业绩比较基准，在产品到期日或提前终止日时，如计提浮动管理费前年化收益率超过【2.80%】的，管理人将收取超额部分的【50%】作为浮动管理费。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【H】类份额设立业绩比较基准，在产品到期日或提前终止日时，如计提浮动管理费前年化收益率超过【2.75%】的，管理人将收取超额部分的【50%】作为浮动管理费。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【K】类份额设立业绩比较基准，在产品到期日或提前终止日时，如计提浮动管理费前年化收益率超过【2.80%】的，管理人将收取超额部分的【50%】作为浮动管理费。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【M】类份额设立业绩比较基准，在产品到期日或提前终止日时，如计提浮动管理费前年化收益率超过【2.55%】的，管理人将收取超额部分的【50%】作为浮动管理费。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【S】类份额设立业绩比较基准，在产品到期日或提前终止日时，如计提浮动管理费前年化收益率超过【2.80%】的，管理人将收取超额部分的【50%】作为浮动管理费。</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浮动管理费到期日或提前终止日计提，由管理人向托管人发送指令，托管人复核后到期从资产中一次性支付。</w:t>
      </w:r>
      <w:r>
        <w:rPr>
          <w:rFonts w:ascii="楷体_GB2312" w:eastAsia="楷体_GB2312" w:cs="楷体_GB2312"/>
          <w:b/>
          <w:sz w:val="20"/>
          <w:szCs w:val="20"/>
          <w:highlight w:val="none"/>
        </w:rPr>
        <w:br w:type="textWrapping"/>
      </w:r>
      <w:r>
        <w:rPr>
          <w:rFonts w:ascii="楷体_GB2312" w:eastAsia="楷体_GB2312" w:cs="楷体_GB2312"/>
          <w:b/>
          <w:sz w:val="20"/>
          <w:szCs w:val="20"/>
          <w:highlight w:val="none"/>
        </w:rPr>
        <w:t xml:space="preserve">    理财产品每日暂估的浮动管理费，仅用于理财产品会计核算和估值日估值，并将扣除“暂估浮动管理费”后的理财产品份额净值按照本说明书约定定期向投资者进行披露。理财产品实际的浮动管理费最终以每个到期日或提前终止日计提核算的数值为准。</w:t>
      </w:r>
    </w:p>
    <w:p w14:paraId="3FEEA123">
      <w:pPr>
        <w:snapToGrid w:val="0"/>
        <w:spacing w:line="300" w:lineRule="exact"/>
        <w:ind w:right="96" w:rightChars="40" w:firstLine="402" w:firstLineChars="200"/>
        <w:outlineLvl w:val="0"/>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7.信息技术服务费</w:t>
      </w:r>
    </w:p>
    <w:p w14:paraId="526BE375">
      <w:pPr>
        <w:snapToGrid w:val="0"/>
        <w:spacing w:line="300" w:lineRule="exact"/>
        <w:ind w:firstLine="402" w:firstLineChars="200"/>
        <w:outlineLvl w:val="0"/>
        <w:rPr>
          <w:rFonts w:ascii="楷体_GB2312" w:eastAsia="楷体_GB2312"/>
          <w:b/>
          <w:sz w:val="20"/>
          <w:szCs w:val="20"/>
          <w:highlight w:val="none"/>
        </w:rPr>
      </w:pPr>
      <w:r>
        <w:rPr>
          <w:rFonts w:hint="eastAsia" w:ascii="楷体_GB2312" w:eastAsia="楷体_GB2312" w:cs="楷体_GB2312"/>
          <w:b/>
          <w:sz w:val="20"/>
          <w:szCs w:val="20"/>
          <w:highlight w:val="none"/>
        </w:rPr>
        <w:t>费率【</w:t>
      </w:r>
      <w:r>
        <w:rPr>
          <w:rFonts w:hint="eastAsia" w:ascii="楷体_GB2312" w:eastAsia="楷体_GB2312" w:cs="楷体_GB2312"/>
          <w:b/>
          <w:sz w:val="20"/>
          <w:szCs w:val="20"/>
          <w:highlight w:val="none"/>
          <w:lang w:val="en-US" w:eastAsia="zh-CN"/>
        </w:rPr>
        <w:t>0.002%</w:t>
      </w:r>
      <w:r>
        <w:rPr>
          <w:rFonts w:ascii="楷体_GB2312" w:eastAsia="楷体_GB2312" w:cs="楷体_GB2312"/>
          <w:b/>
          <w:sz w:val="20"/>
          <w:szCs w:val="20"/>
          <w:highlight w:val="none"/>
        </w:rPr>
        <w:t>】/年，计算方式为【</w:t>
      </w:r>
      <w:r>
        <w:rPr>
          <w:rFonts w:hint="eastAsia" w:ascii="楷体_GB2312" w:eastAsia="楷体_GB2312" w:cs="楷体_GB2312"/>
          <w:b/>
          <w:sz w:val="20"/>
          <w:szCs w:val="20"/>
          <w:highlight w:val="none"/>
        </w:rPr>
        <w:t>每日</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信息技术服务费</w:t>
      </w:r>
      <w:r>
        <w:rPr>
          <w:rFonts w:ascii="楷体_GB2312" w:eastAsia="楷体_GB2312" w:cs="楷体_GB2312"/>
          <w:b/>
          <w:sz w:val="20"/>
          <w:szCs w:val="20"/>
          <w:highlight w:val="none"/>
        </w:rPr>
        <w:t>=理财产品上一自然日产品净资产×</w:t>
      </w:r>
      <w:r>
        <w:rPr>
          <w:rFonts w:hint="eastAsia" w:ascii="楷体_GB2312" w:eastAsia="楷体_GB2312" w:cs="楷体_GB2312"/>
          <w:b/>
          <w:bCs/>
          <w:color w:val="000000" w:themeColor="text1"/>
          <w:sz w:val="20"/>
          <w:szCs w:val="20"/>
          <w:highlight w:val="none"/>
          <w:lang w:val="en-US" w:eastAsia="zh-CN"/>
          <w14:textFill>
            <w14:solidFill>
              <w14:schemeClr w14:val="tx1"/>
            </w14:solidFill>
          </w14:textFill>
        </w:rPr>
        <w:t>信息技术服务费率</w:t>
      </w:r>
      <w:r>
        <w:rPr>
          <w:rFonts w:ascii="楷体_GB2312" w:eastAsia="楷体_GB2312" w:cs="楷体_GB2312"/>
          <w:b/>
          <w:sz w:val="20"/>
          <w:szCs w:val="20"/>
          <w:highlight w:val="none"/>
        </w:rPr>
        <w:t>/365】</w:t>
      </w:r>
      <w:r>
        <w:rPr>
          <w:rFonts w:hint="eastAsia" w:ascii="楷体_GB2312" w:eastAsia="楷体_GB2312" w:cs="楷体_GB2312"/>
          <w:b/>
          <w:sz w:val="20"/>
          <w:szCs w:val="20"/>
          <w:highlight w:val="none"/>
        </w:rPr>
        <w:t>。</w:t>
      </w:r>
    </w:p>
    <w:p w14:paraId="4C1A9847">
      <w:pPr>
        <w:snapToGrid w:val="0"/>
        <w:spacing w:line="300" w:lineRule="exact"/>
        <w:ind w:left="0" w:leftChars="0" w:right="96" w:rightChars="40" w:firstLine="402" w:firstLineChars="200"/>
        <w:outlineLvl w:val="0"/>
        <w:rPr>
          <w:rFonts w:ascii="楷体_GB2312" w:eastAsia="楷体_GB2312" w:cs="楷体_GB2312"/>
          <w:b/>
          <w:sz w:val="20"/>
          <w:szCs w:val="20"/>
          <w:highlight w:val="none"/>
        </w:rPr>
      </w:pPr>
      <w:r>
        <w:rPr>
          <w:rFonts w:hint="eastAsia" w:ascii="楷体_GB2312" w:eastAsia="楷体_GB2312" w:cs="楷体_GB2312"/>
          <w:b/>
          <w:sz w:val="20"/>
          <w:szCs w:val="20"/>
          <w:highlight w:val="none"/>
          <w:lang w:val="en-US" w:eastAsia="zh-CN"/>
        </w:rPr>
        <w:t>信息技术服务费系理财产品使用银行业理财登记托管中心有限公司中央数据交换平台服务产生，信息技术服务费</w:t>
      </w:r>
      <w:r>
        <w:rPr>
          <w:rFonts w:hint="eastAsia" w:ascii="楷体_GB2312" w:eastAsia="楷体_GB2312" w:cs="楷体_GB2312"/>
          <w:b/>
          <w:sz w:val="20"/>
          <w:szCs w:val="20"/>
          <w:highlight w:val="none"/>
        </w:rPr>
        <w:t>每日计提，按【</w:t>
      </w:r>
      <w:r>
        <w:rPr>
          <w:rFonts w:hint="eastAsia" w:ascii="楷体_GB2312" w:eastAsia="楷体_GB2312" w:cs="楷体_GB2312"/>
          <w:b/>
          <w:sz w:val="20"/>
          <w:szCs w:val="20"/>
          <w:highlight w:val="none"/>
          <w:lang w:val="en-US" w:eastAsia="zh-CN"/>
        </w:rPr>
        <w:t>季</w:t>
      </w:r>
      <w:r>
        <w:rPr>
          <w:rFonts w:hint="eastAsia" w:ascii="楷体_GB2312" w:eastAsia="楷体_GB2312" w:cs="楷体_GB2312"/>
          <w:b/>
          <w:sz w:val="20"/>
          <w:szCs w:val="20"/>
          <w:highlight w:val="none"/>
        </w:rPr>
        <w:t>】支付，由管理人向托管人发送指令，托管人复核后从资产中一次性支付</w:t>
      </w:r>
      <w:r>
        <w:rPr>
          <w:rFonts w:hint="eastAsia" w:ascii="楷体_GB2312" w:eastAsia="楷体_GB2312" w:cs="楷体_GB2312"/>
          <w:b/>
          <w:sz w:val="20"/>
          <w:szCs w:val="20"/>
          <w:highlight w:val="none"/>
          <w:lang w:val="en-US" w:eastAsia="zh-CN"/>
        </w:rPr>
        <w:t>银行业理财登记托管中心有限公司</w:t>
      </w:r>
      <w:r>
        <w:rPr>
          <w:rFonts w:hint="eastAsia" w:ascii="楷体_GB2312" w:eastAsia="楷体_GB2312" w:cs="楷体_GB2312"/>
          <w:b/>
          <w:sz w:val="20"/>
          <w:szCs w:val="20"/>
          <w:highlight w:val="none"/>
        </w:rPr>
        <w:t>。</w:t>
      </w:r>
    </w:p>
    <w:p w14:paraId="45CA16D2">
      <w:pPr>
        <w:snapToGrid w:val="0"/>
        <w:spacing w:line="300" w:lineRule="exact"/>
        <w:ind w:firstLine="402" w:firstLineChars="200"/>
        <w:outlineLvl w:val="0"/>
        <w:rPr>
          <w:rFonts w:ascii="楷体_GB2312" w:eastAsia="楷体_GB2312" w:cs="楷体_GB2312"/>
          <w:b/>
          <w:color w:val="000000"/>
          <w:sz w:val="20"/>
          <w:szCs w:val="20"/>
          <w:highlight w:val="none"/>
        </w:rPr>
      </w:pPr>
      <w:r>
        <w:rPr>
          <w:rFonts w:hint="eastAsia" w:ascii="楷体_GB2312" w:eastAsia="楷体_GB2312" w:cs="楷体_GB2312"/>
          <w:b/>
          <w:color w:val="000000"/>
          <w:sz w:val="20"/>
          <w:szCs w:val="20"/>
          <w:highlight w:val="none"/>
          <w:lang w:val="en-US" w:eastAsia="zh-CN"/>
        </w:rPr>
        <w:t>8</w:t>
      </w:r>
      <w:r>
        <w:rPr>
          <w:rFonts w:ascii="楷体_GB2312" w:eastAsia="楷体_GB2312" w:cs="楷体_GB2312"/>
          <w:b/>
          <w:color w:val="000000"/>
          <w:sz w:val="20"/>
          <w:szCs w:val="20"/>
          <w:highlight w:val="none"/>
        </w:rPr>
        <w:t>.产品运作和清算中产生的其他资金汇划费、结算费、交易手续费、注册登记费、信息披露费、账户服务费、审计费、律师费</w:t>
      </w:r>
      <w:r>
        <w:rPr>
          <w:rFonts w:hint="eastAsia" w:ascii="楷体_GB2312" w:eastAsia="楷体_GB2312" w:cs="楷体_GB2312"/>
          <w:b/>
          <w:color w:val="000000"/>
          <w:sz w:val="20"/>
          <w:szCs w:val="20"/>
          <w:highlight w:val="none"/>
        </w:rPr>
        <w:t>、因投资资产而产生的资产推荐服务费等相关费用</w:t>
      </w:r>
      <w:r>
        <w:rPr>
          <w:rFonts w:ascii="楷体_GB2312" w:eastAsia="楷体_GB2312" w:cs="楷体_GB2312"/>
          <w:b/>
          <w:color w:val="000000"/>
          <w:sz w:val="20"/>
          <w:szCs w:val="20"/>
          <w:highlight w:val="none"/>
        </w:rPr>
        <w:t>及按照法律法规规章规定和理财产品销售文件约定应由产品承担的费用等，按照实际发生时从产品资产中列支。</w:t>
      </w:r>
    </w:p>
    <w:p w14:paraId="284F0913">
      <w:pPr>
        <w:snapToGrid w:val="0"/>
        <w:spacing w:line="300" w:lineRule="exact"/>
        <w:ind w:left="-2" w:leftChars="-1" w:right="53" w:rightChars="22" w:firstLine="400" w:firstLineChars="200"/>
        <w:jc w:val="both"/>
        <w:outlineLvl w:val="0"/>
        <w:rPr>
          <w:rFonts w:ascii="楷体_GB2312" w:eastAsia="楷体_GB2312" w:cs="楷体_GB2312"/>
          <w:color w:val="000000" w:themeColor="text1"/>
          <w:sz w:val="20"/>
          <w:szCs w:val="20"/>
          <w:highlight w:val="none"/>
          <w14:textFill>
            <w14:solidFill>
              <w14:schemeClr w14:val="tx1"/>
            </w14:solidFill>
          </w14:textFill>
        </w:rPr>
      </w:pPr>
    </w:p>
    <w:p w14:paraId="79F8174C">
      <w:pPr>
        <w:spacing w:line="300" w:lineRule="exact"/>
        <w:ind w:right="29" w:rightChars="12"/>
        <w:rPr>
          <w:rFonts w:ascii="黑体" w:eastAsia="黑体"/>
          <w:color w:val="000000" w:themeColor="text1"/>
          <w:sz w:val="20"/>
          <w:szCs w:val="20"/>
          <w:highlight w:val="none"/>
          <w14:textFill>
            <w14:solidFill>
              <w14:schemeClr w14:val="tx1"/>
            </w14:solidFill>
          </w14:textFill>
        </w:rPr>
      </w:pPr>
      <w:r>
        <w:rPr>
          <w:rFonts w:hint="eastAsia" w:ascii="黑体" w:eastAsia="黑体" w:cs="黑体"/>
          <w:color w:val="000000" w:themeColor="text1"/>
          <w:sz w:val="20"/>
          <w:szCs w:val="20"/>
          <w:highlight w:val="none"/>
          <w14:textFill>
            <w14:solidFill>
              <w14:schemeClr w14:val="tx1"/>
            </w14:solidFill>
          </w14:textFill>
        </w:rPr>
        <w:t>九、资产估值</w:t>
      </w:r>
    </w:p>
    <w:p w14:paraId="1AB5D47C">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．估值日</w:t>
      </w:r>
    </w:p>
    <w:p w14:paraId="773AD8D1">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w:t>
      </w:r>
      <w:r>
        <w:rPr>
          <w:rFonts w:ascii="楷体_GB2312" w:eastAsia="楷体_GB2312" w:cs="楷体_GB2312"/>
          <w:color w:val="000000" w:themeColor="text1"/>
          <w:sz w:val="20"/>
          <w:szCs w:val="20"/>
          <w:highlight w:val="none"/>
          <w14:textFill>
            <w14:solidFill>
              <w14:schemeClr w14:val="tx1"/>
            </w14:solidFill>
          </w14:textFill>
        </w:rPr>
        <w:t>产品的估值日为</w:t>
      </w:r>
      <w:r>
        <w:rPr>
          <w:rFonts w:hint="eastAsia" w:ascii="楷体_GB2312" w:eastAsia="楷体_GB2312" w:cs="楷体_GB2312"/>
          <w:color w:val="000000" w:themeColor="text1"/>
          <w:sz w:val="20"/>
          <w:szCs w:val="20"/>
          <w:highlight w:val="none"/>
          <w14:textFill>
            <w14:solidFill>
              <w14:schemeClr w14:val="tx1"/>
            </w14:solidFill>
          </w14:textFill>
        </w:rPr>
        <w:t>净值披露日和收益分配日</w:t>
      </w:r>
      <w:r>
        <w:rPr>
          <w:rFonts w:ascii="楷体_GB2312" w:eastAsia="楷体_GB2312" w:cs="楷体_GB2312"/>
          <w:color w:val="000000" w:themeColor="text1"/>
          <w:sz w:val="20"/>
          <w:szCs w:val="20"/>
          <w:highlight w:val="none"/>
          <w14:textFill>
            <w14:solidFill>
              <w14:schemeClr w14:val="tx1"/>
            </w14:solidFill>
          </w14:textFill>
        </w:rPr>
        <w:t>。</w:t>
      </w:r>
    </w:p>
    <w:p w14:paraId="2D3F1DD2">
      <w:pPr>
        <w:numPr>
          <w:ilvl w:val="0"/>
          <w:numId w:val="9"/>
        </w:numPr>
        <w:spacing w:line="300" w:lineRule="exact"/>
        <w:ind w:firstLine="400" w:firstLineChars="200"/>
        <w:jc w:val="both"/>
        <w:rPr>
          <w:rFonts w:hint="default" w:ascii="楷体_GB2312" w:eastAsia="楷体_GB2312" w:cs="楷体_GB2312"/>
          <w:color w:val="000000" w:themeColor="text1"/>
          <w:sz w:val="20"/>
          <w:szCs w:val="20"/>
          <w:highlight w:val="none"/>
          <w:lang w:val="en-US" w:eastAsia="zh-CN"/>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估值原则</w:t>
      </w:r>
    </w:p>
    <w:p w14:paraId="79EA9118">
      <w:pPr>
        <w:numPr>
          <w:ilvl w:val="-1"/>
          <w:numId w:val="0"/>
        </w:numPr>
        <w:spacing w:line="300" w:lineRule="exact"/>
        <w:ind w:firstLine="0" w:firstLineChars="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 xml:space="preserve">    </w:t>
      </w:r>
      <w:r>
        <w:rPr>
          <w:rFonts w:hint="eastAsia" w:ascii="楷体_GB2312" w:eastAsia="楷体_GB2312" w:cs="楷体_GB2312"/>
          <w:color w:val="000000" w:themeColor="text1"/>
          <w:sz w:val="20"/>
          <w:szCs w:val="20"/>
          <w:highlight w:val="none"/>
          <w14:textFill>
            <w14:solidFill>
              <w14:schemeClr w14:val="tx1"/>
            </w14:solidFill>
          </w14:textFill>
        </w:rPr>
        <w:t>管理人在确定相关金融工具的公允价值时，应符合《企业会计准则》、监管部门有关规定。</w:t>
      </w:r>
    </w:p>
    <w:p w14:paraId="53F4A7F7">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1</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存在活跃市场且能够获取相同投资品种报价的金融工具，在估值日有报价的，除会计准则规定的例外情况外，应将该报价不加调整地应用于该金融工具的公允价值计量。估值日无报价且最近交易日后未发生影响公允价值计量的重大事件的，应采用最近交易日的报价确定金融工具</w:t>
      </w:r>
      <w:r>
        <w:rPr>
          <w:rFonts w:hint="eastAsia" w:ascii="楷体_GB2312" w:eastAsia="楷体_GB2312" w:cs="楷体_GB2312"/>
          <w:color w:val="000000" w:themeColor="text1"/>
          <w:sz w:val="20"/>
          <w:szCs w:val="20"/>
          <w:highlight w:val="none"/>
          <w:lang w:eastAsia="zh-CN"/>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公允价值。有充足证据表明估值日或最近交易日的报价不能真实反映金融工具</w:t>
      </w:r>
      <w:r>
        <w:rPr>
          <w:rFonts w:hint="eastAsia" w:ascii="楷体_GB2312" w:eastAsia="楷体_GB2312" w:cs="楷体_GB2312"/>
          <w:color w:val="000000" w:themeColor="text1"/>
          <w:sz w:val="20"/>
          <w:szCs w:val="20"/>
          <w:highlight w:val="none"/>
          <w:lang w:eastAsia="zh-CN"/>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公允价值的，应对报价进行调整，确定公允价值。</w:t>
      </w:r>
    </w:p>
    <w:p w14:paraId="6CF710A9">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2</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对存在活跃市场的投资品种，如估值日无报价的，需结合最近交易日后经济环境是否发生了重大变化，评估是否对最近交易市价进行调整，确定公允价值。</w:t>
      </w:r>
    </w:p>
    <w:p w14:paraId="760BED59">
      <w:pPr>
        <w:numPr>
          <w:ilvl w:val="-1"/>
          <w:numId w:val="0"/>
        </w:numPr>
        <w:spacing w:line="300" w:lineRule="exact"/>
        <w:ind w:firstLine="400" w:firstLineChars="200"/>
        <w:jc w:val="both"/>
        <w:rPr>
          <w:rFonts w:hint="eastAsia"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3</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对不存在活跃市场的投资品种，应采用市场参与者普遍认同且被以往市场实际交易价格验证具有可靠性的估值技术确定金融工具的公允价值。采用估值技术确定公允价值时，应优先使用可观察输入值，只有在无法取得相关金融工具可观察输入值或取得不切实可行的情况下，才可以使用不可观察输入值。</w:t>
      </w:r>
    </w:p>
    <w:p w14:paraId="747172AD">
      <w:pPr>
        <w:numPr>
          <w:ilvl w:val="-1"/>
          <w:numId w:val="0"/>
        </w:num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4</w:t>
      </w:r>
      <w:r>
        <w:rPr>
          <w:rFonts w:hint="eastAsia" w:ascii="楷体_GB2312" w:eastAsia="楷体_GB2312" w:cs="楷体_GB2312"/>
          <w:color w:val="000000" w:themeColor="text1"/>
          <w:sz w:val="20"/>
          <w:szCs w:val="20"/>
          <w:highlight w:val="none"/>
          <w:lang w:eastAsia="zh-CN"/>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公司在估值过程中可参考第三方估值机构提供的估值结果或估值参数。当采用第三方估值机构提供的价格数据估值时，应选取可靠的、信誉良好的第三方估值机构，并充分了解第三方估值机构所使用的估值技术和估值结果的产生过程，通过定期对估值结构或估值参数进行校验评价其估值质量，防范可能出现的估值偏差。</w:t>
      </w:r>
    </w:p>
    <w:p w14:paraId="57A19E35">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3</w:t>
      </w:r>
      <w:r>
        <w:rPr>
          <w:rFonts w:hint="eastAsia" w:ascii="楷体_GB2312" w:eastAsia="楷体_GB2312" w:cs="楷体_GB2312"/>
          <w:color w:val="000000" w:themeColor="text1"/>
          <w:sz w:val="20"/>
          <w:szCs w:val="20"/>
          <w:highlight w:val="none"/>
          <w14:textFill>
            <w14:solidFill>
              <w14:schemeClr w14:val="tx1"/>
            </w14:solidFill>
          </w14:textFill>
        </w:rPr>
        <w:t>．估值</w:t>
      </w:r>
      <w:r>
        <w:rPr>
          <w:rFonts w:ascii="楷体_GB2312" w:eastAsia="楷体_GB2312" w:cs="楷体_GB2312"/>
          <w:color w:val="000000" w:themeColor="text1"/>
          <w:sz w:val="20"/>
          <w:szCs w:val="20"/>
          <w:highlight w:val="none"/>
          <w14:textFill>
            <w14:solidFill>
              <w14:schemeClr w14:val="tx1"/>
            </w14:solidFill>
          </w14:textFill>
        </w:rPr>
        <w:t>对象和</w:t>
      </w:r>
      <w:r>
        <w:rPr>
          <w:rFonts w:hint="eastAsia" w:ascii="楷体_GB2312" w:eastAsia="楷体_GB2312" w:cs="楷体_GB2312"/>
          <w:color w:val="000000" w:themeColor="text1"/>
          <w:sz w:val="20"/>
          <w:szCs w:val="20"/>
          <w:highlight w:val="none"/>
          <w14:textFill>
            <w14:solidFill>
              <w14:schemeClr w14:val="tx1"/>
            </w14:solidFill>
          </w14:textFill>
        </w:rPr>
        <w:t>估值方法</w:t>
      </w:r>
    </w:p>
    <w:p w14:paraId="6EB8E0C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【理财产品所投资各类资产原则上按照公允价值估值。</w:t>
      </w:r>
    </w:p>
    <w:p w14:paraId="5C1AE40A">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1）银行存款、回购等货币市场工具</w:t>
      </w:r>
    </w:p>
    <w:p w14:paraId="3F0DE640">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以本金列示，按商定的利率在实际持有期间内逐日计提利息。</w:t>
      </w:r>
    </w:p>
    <w:p w14:paraId="21BE500C">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2）在境内银行间市场和证券交易所流通的债券等标准化固定收益类资产</w:t>
      </w:r>
    </w:p>
    <w:p w14:paraId="611A7C5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在符合企业会计准则及监管要求前提下，若产品投资以收取合同现金流量为目的并持有到期的债券，可采用“摊余成本法”计量；</w:t>
      </w:r>
    </w:p>
    <w:p w14:paraId="2412F37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其它不符合上述条件的，按第三方估值机构（中债、中证等）提供的相应品种当日的估值净价进行估值，未获取到第三方估值结果的，按照最新监管规定进行估值。</w:t>
      </w:r>
    </w:p>
    <w:p w14:paraId="3E76ACC6">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3）交易所上市的非货币基金，按其所在证券交易所的收盘价或基金管理人公布能获取到的最新份额净值估值；交易所上市的货币基金，按基金管理人公布能获取到的最新份额净值，或前一估值日后至估值日期间（含节假日）能获取到的最新万分收益进行估值。</w:t>
      </w:r>
    </w:p>
    <w:p w14:paraId="093E298B">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4）未上市基金估值</w:t>
      </w:r>
    </w:p>
    <w:p w14:paraId="15E45F74">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境内未上市的货币市场基金，按基金管理人公布的前一估值日后至估值日期间（含节假日）能获取到的最新万份收益计提估值日收益。</w:t>
      </w:r>
    </w:p>
    <w:p w14:paraId="10850C22">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境内未上市的非货币市场基金，按基金管理人公布能获取到的最新份额净值估值。</w:t>
      </w:r>
    </w:p>
    <w:p w14:paraId="667F6631">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 xml:space="preserve">5）非上市股权估值 </w:t>
      </w:r>
    </w:p>
    <w:p w14:paraId="59D6180F">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对于已在全国中小企业股份转让系统挂牌的股票，如其交易量及交易频率足以持续提供公允价值信息的，参考上市公司股票估值方法确定公允价值；对于未在股转系统挂牌或是已挂牌但其交易量或交易频率不足以反映公允价值的，应当充分考虑市场参与者在选择估值方法时考虑的各种因素，选择有充足证据表明能够准确估值的方法、估值技术或第三方专业评估机构等对非上市股权投资进行估值。</w:t>
      </w:r>
    </w:p>
    <w:p w14:paraId="11625B9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6）信托计划、资管计划、私募基金等资产，以对方管理人披露的可获取到的最新净值，或前一估值日后至估值日期间（含节假日）能获取到的最新万分收益进行估值。</w:t>
      </w:r>
    </w:p>
    <w:p w14:paraId="0067FD5D">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7）非标准化债权，在符合企业会计准则及监管要求前提下，可采用摊余成本法计量；存在并可以确定公允价值的，以公允价值估值，公允价值不能确定的，按照最新监管规定或管理人认可的估值技术进行估值。</w:t>
      </w:r>
    </w:p>
    <w:p w14:paraId="1D72B88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8）交易所上市的股票，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CBD6723">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9）期货、互换、期权等衍生金融工具，有活跃市场的交易，以最近交易日结算价或收盘价进行估值；无活跃市场的交易，按照第三方机构提供的估值数据或管理人认可的估值技术进行估值。</w:t>
      </w:r>
    </w:p>
    <w:p w14:paraId="078B8A7A">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10）对于以摊余成本法计量的资产，按照企业会计准则要求，采用第三方减值计量结果或模型计量结果进行预期信用损失计提。</w:t>
      </w:r>
    </w:p>
    <w:p w14:paraId="65304967">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11）若本产品存续期间持有其他投资品种，以管理人和托管人共同认可的方法估值。</w:t>
      </w:r>
    </w:p>
    <w:p w14:paraId="5BD5D36B">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12）在任何情况下，如采用以上规定的方法对资产进行估值，均应被认为采用了适当的估值方法。但是，如果管理人或托管人认为按以上规定的方法对本产品资产进行估值不能客观反映其公允价值的，可协商一致后，变更其估值方式，并从协商一致日起执行。</w:t>
      </w:r>
    </w:p>
    <w:p w14:paraId="1A4C83BD">
      <w:pPr>
        <w:spacing w:line="300" w:lineRule="exact"/>
        <w:ind w:firstLine="426" w:firstLineChars="213"/>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13）对于以上估值方法，相关法律法规以及监管部门有另行规定的，按照监管最新规定执行。若本产品存续期间持有其他投资品种，以管理人和托管人共同认可的方法计算其价值，如存在并可以确定公允价值的，以公允价值计算。公允价值不能确定的，根据监管最新规定采用管理人认可的估值技术进行估值。</w:t>
      </w:r>
    </w:p>
    <w:p w14:paraId="11CE5220">
      <w:pPr>
        <w:spacing w:line="300" w:lineRule="exact"/>
        <w:ind w:firstLine="426" w:firstLineChars="213"/>
        <w:jc w:val="both"/>
        <w:rPr>
          <w:rFonts w:ascii="楷体_GB2312" w:eastAsia="楷体_GB2312"/>
          <w:color w:val="000000" w:themeColor="text1"/>
          <w:sz w:val="20"/>
          <w:szCs w:val="20"/>
          <w:highlight w:val="none"/>
          <w:u w:val="singl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按照以上估值方法进行估值时，所造成的误差不作为理财产品估值错误处理。】</w:t>
      </w:r>
    </w:p>
    <w:p w14:paraId="2D1843F2">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．估值</w:t>
      </w:r>
      <w:r>
        <w:rPr>
          <w:rFonts w:ascii="楷体_GB2312" w:eastAsia="楷体_GB2312" w:cs="楷体_GB2312"/>
          <w:color w:val="000000" w:themeColor="text1"/>
          <w:sz w:val="20"/>
          <w:szCs w:val="20"/>
          <w:highlight w:val="none"/>
          <w14:textFill>
            <w14:solidFill>
              <w14:schemeClr w14:val="tx1"/>
            </w14:solidFill>
          </w14:textFill>
        </w:rPr>
        <w:t>错误的处理</w:t>
      </w:r>
    </w:p>
    <w:p w14:paraId="6ECABD3B">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本产品管理人和托管人将采取必要、适当合理的措施确保资产估值的准确性、及时性。当单位净值出现错误时，本产品管理人和</w:t>
      </w:r>
      <w:r>
        <w:rPr>
          <w:rFonts w:ascii="楷体_GB2312" w:eastAsia="楷体_GB2312" w:cs="楷体_GB2312"/>
          <w:color w:val="000000" w:themeColor="text1"/>
          <w:sz w:val="20"/>
          <w:szCs w:val="20"/>
          <w:highlight w:val="none"/>
          <w14:textFill>
            <w14:solidFill>
              <w14:schemeClr w14:val="tx1"/>
            </w14:solidFill>
          </w14:textFill>
        </w:rPr>
        <w:t>托管人</w:t>
      </w:r>
      <w:r>
        <w:rPr>
          <w:rFonts w:hint="eastAsia" w:ascii="楷体_GB2312" w:eastAsia="楷体_GB2312" w:cs="楷体_GB2312"/>
          <w:color w:val="000000" w:themeColor="text1"/>
          <w:sz w:val="20"/>
          <w:szCs w:val="20"/>
          <w:highlight w:val="none"/>
          <w14:textFill>
            <w14:solidFill>
              <w14:schemeClr w14:val="tx1"/>
            </w14:solidFill>
          </w14:textFill>
        </w:rPr>
        <w:t>应当立即予以纠正，并采取合理的措施防止损失进一步扩大。</w:t>
      </w:r>
    </w:p>
    <w:p w14:paraId="23D62053">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1</w:t>
      </w:r>
      <w:r>
        <w:rPr>
          <w:rFonts w:hint="eastAsia" w:ascii="楷体_GB2312" w:eastAsia="楷体_GB2312"/>
          <w:color w:val="000000" w:themeColor="text1"/>
          <w:sz w:val="20"/>
          <w:szCs w:val="20"/>
          <w:highlight w:val="none"/>
          <w14:textFill>
            <w14:solidFill>
              <w14:schemeClr w14:val="tx1"/>
            </w14:solidFill>
          </w14:textFill>
        </w:rPr>
        <w:t>）估值错误处理原则</w:t>
      </w:r>
    </w:p>
    <w:p w14:paraId="1B8EFC4A">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A</w:t>
      </w:r>
      <w:r>
        <w:rPr>
          <w:rFonts w:hint="eastAsia" w:ascii="楷体_GB2312" w:eastAsia="楷体_GB2312"/>
          <w:color w:val="000000" w:themeColor="text1"/>
          <w:sz w:val="20"/>
          <w:szCs w:val="20"/>
          <w:highlight w:val="none"/>
          <w14:textFill>
            <w14:solidFill>
              <w14:schemeClr w14:val="tx1"/>
            </w14:solidFill>
          </w14:textFill>
        </w:rPr>
        <w:t>由于管理人或托管人自身的过错造成估值错误，导致投资者遭受损失的，由估值错误责任方按照各自过错程度对该估值错误导致投资者遭受的直接损失给予赔偿，承担赔偿责任。</w:t>
      </w:r>
    </w:p>
    <w:p w14:paraId="3BC808F5">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B</w:t>
      </w:r>
      <w:r>
        <w:rPr>
          <w:rFonts w:hint="eastAsia" w:ascii="楷体_GB2312" w:eastAsia="楷体_GB2312"/>
          <w:color w:val="000000" w:themeColor="text1"/>
          <w:sz w:val="20"/>
          <w:szCs w:val="20"/>
          <w:highlight w:val="none"/>
          <w14:textFill>
            <w14:solidFill>
              <w14:schemeClr w14:val="tx1"/>
            </w14:solidFill>
          </w14:textFill>
        </w:rPr>
        <w:t>对于因技术原因引起的差错，若系同行业现有技术水平无法预见、无法避免、无法抗拒，属不可抗力。因不可抗力原因出现差错的当事人不对投资者承担赔偿责任，但</w:t>
      </w:r>
      <w:r>
        <w:rPr>
          <w:rFonts w:ascii="楷体_GB2312" w:eastAsia="楷体_GB2312"/>
          <w:color w:val="000000" w:themeColor="text1"/>
          <w:sz w:val="20"/>
          <w:szCs w:val="20"/>
          <w:highlight w:val="none"/>
          <w14:textFill>
            <w14:solidFill>
              <w14:schemeClr w14:val="tx1"/>
            </w14:solidFill>
          </w14:textFill>
        </w:rPr>
        <w:t>应当积极采取必要措施消除</w:t>
      </w:r>
      <w:r>
        <w:rPr>
          <w:rFonts w:hint="eastAsia" w:ascii="楷体_GB2312" w:eastAsia="楷体_GB2312"/>
          <w:color w:val="000000" w:themeColor="text1"/>
          <w:sz w:val="20"/>
          <w:szCs w:val="20"/>
          <w:highlight w:val="none"/>
          <w14:textFill>
            <w14:solidFill>
              <w14:schemeClr w14:val="tx1"/>
            </w14:solidFill>
          </w14:textFill>
        </w:rPr>
        <w:t>差错</w:t>
      </w:r>
      <w:r>
        <w:rPr>
          <w:rFonts w:ascii="楷体_GB2312" w:eastAsia="楷体_GB2312"/>
          <w:color w:val="000000" w:themeColor="text1"/>
          <w:sz w:val="20"/>
          <w:szCs w:val="20"/>
          <w:highlight w:val="none"/>
          <w14:textFill>
            <w14:solidFill>
              <w14:schemeClr w14:val="tx1"/>
            </w14:solidFill>
          </w14:textFill>
        </w:rPr>
        <w:t>带来的影响</w:t>
      </w:r>
      <w:r>
        <w:rPr>
          <w:rFonts w:hint="eastAsia" w:ascii="楷体_GB2312" w:eastAsia="楷体_GB2312"/>
          <w:color w:val="000000" w:themeColor="text1"/>
          <w:sz w:val="20"/>
          <w:szCs w:val="20"/>
          <w:highlight w:val="none"/>
          <w14:textFill>
            <w14:solidFill>
              <w14:schemeClr w14:val="tx1"/>
            </w14:solidFill>
          </w14:textFill>
        </w:rPr>
        <w:t>。</w:t>
      </w:r>
    </w:p>
    <w:p w14:paraId="548BA121">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C</w:t>
      </w:r>
      <w:r>
        <w:rPr>
          <w:rFonts w:hint="eastAsia" w:ascii="楷体_GB2312" w:eastAsia="楷体_GB2312"/>
          <w:color w:val="000000" w:themeColor="text1"/>
          <w:sz w:val="20"/>
          <w:szCs w:val="20"/>
          <w:highlight w:val="none"/>
          <w14:textFill>
            <w14:solidFill>
              <w14:schemeClr w14:val="tx1"/>
            </w14:solidFill>
          </w14:textFill>
        </w:rPr>
        <w:t>因托管人估值错误造成财产损失时，管理人应向托管人追偿。若管理人和托管人之外的第三方估值差错造成财产的损失，并拒绝进行赔偿时，理财产品由管理人负责向差错方追偿；追偿过程中产生的有关费用，应列入理财产品费用，由理财产品承担。</w:t>
      </w:r>
    </w:p>
    <w:p w14:paraId="5E9AA99B">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D</w:t>
      </w:r>
      <w:r>
        <w:rPr>
          <w:rFonts w:hint="eastAsia" w:ascii="楷体_GB2312" w:eastAsia="楷体_GB2312"/>
          <w:color w:val="000000" w:themeColor="text1"/>
          <w:sz w:val="20"/>
          <w:szCs w:val="20"/>
          <w:highlight w:val="none"/>
          <w14:textFill>
            <w14:solidFill>
              <w14:schemeClr w14:val="tx1"/>
            </w14:solidFill>
          </w14:textFill>
        </w:rPr>
        <w:t>当估值出现错误时，因估值错误而获得不当得利的投资者负有及时返还不当得利的义务。</w:t>
      </w:r>
    </w:p>
    <w:p w14:paraId="009AF177">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E</w:t>
      </w:r>
      <w:r>
        <w:rPr>
          <w:rFonts w:hint="eastAsia" w:ascii="楷体_GB2312" w:eastAsia="楷体_GB2312"/>
          <w:color w:val="000000" w:themeColor="text1"/>
          <w:sz w:val="20"/>
          <w:szCs w:val="20"/>
          <w:highlight w:val="none"/>
          <w14:textFill>
            <w14:solidFill>
              <w14:schemeClr w14:val="tx1"/>
            </w14:solidFill>
          </w14:textFill>
        </w:rPr>
        <w:t>按法律法规规定的其他原则处理估值错误。</w:t>
      </w:r>
    </w:p>
    <w:p w14:paraId="0E41611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2</w:t>
      </w:r>
      <w:r>
        <w:rPr>
          <w:rFonts w:hint="eastAsia" w:ascii="楷体_GB2312" w:eastAsia="楷体_GB2312"/>
          <w:color w:val="000000" w:themeColor="text1"/>
          <w:sz w:val="20"/>
          <w:szCs w:val="20"/>
          <w:highlight w:val="none"/>
          <w14:textFill>
            <w14:solidFill>
              <w14:schemeClr w14:val="tx1"/>
            </w14:solidFill>
          </w14:textFill>
        </w:rPr>
        <w:t>）估值错误处理程序</w:t>
      </w:r>
    </w:p>
    <w:p w14:paraId="67EDA1CC">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估值错误被发现后，管理人和托管人应当及时进行处理，处理的程序如下：</w:t>
      </w:r>
    </w:p>
    <w:p w14:paraId="7F4C80C9">
      <w:pPr>
        <w:spacing w:line="300" w:lineRule="exact"/>
        <w:ind w:firstLine="400" w:firstLineChars="200"/>
        <w:jc w:val="both"/>
        <w:rPr>
          <w:rFonts w:hint="eastAsia" w:ascii="楷体_GB2312" w:eastAsia="楷体_GB2312"/>
          <w:color w:val="000000" w:themeColor="text1"/>
          <w:sz w:val="20"/>
          <w:szCs w:val="20"/>
          <w:highlight w:val="none"/>
          <w:lang w:eastAsia="zh-CN"/>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A</w:t>
      </w:r>
      <w:r>
        <w:rPr>
          <w:rFonts w:hint="eastAsia" w:ascii="楷体_GB2312" w:eastAsia="楷体_GB2312"/>
          <w:color w:val="000000" w:themeColor="text1"/>
          <w:sz w:val="20"/>
          <w:szCs w:val="20"/>
          <w:highlight w:val="none"/>
          <w14:textFill>
            <w14:solidFill>
              <w14:schemeClr w14:val="tx1"/>
            </w14:solidFill>
          </w14:textFill>
        </w:rPr>
        <w:t>查明估值错误发生的原因，列明所有的管理人和托管人并根据估值错误发生的原因确定估值错误的责任方</w:t>
      </w:r>
      <w:r>
        <w:rPr>
          <w:rFonts w:hint="eastAsia" w:ascii="楷体_GB2312" w:eastAsia="楷体_GB2312"/>
          <w:color w:val="000000" w:themeColor="text1"/>
          <w:sz w:val="20"/>
          <w:szCs w:val="20"/>
          <w:highlight w:val="none"/>
          <w:lang w:eastAsia="zh-CN"/>
          <w14:textFill>
            <w14:solidFill>
              <w14:schemeClr w14:val="tx1"/>
            </w14:solidFill>
          </w14:textFill>
        </w:rPr>
        <w:t>；</w:t>
      </w:r>
    </w:p>
    <w:p w14:paraId="47F684A2">
      <w:pPr>
        <w:spacing w:line="300" w:lineRule="exact"/>
        <w:ind w:firstLine="400" w:firstLineChars="200"/>
        <w:jc w:val="both"/>
        <w:rPr>
          <w:rFonts w:hint="eastAsia" w:ascii="楷体_GB2312" w:eastAsia="楷体_GB2312"/>
          <w:color w:val="000000" w:themeColor="text1"/>
          <w:sz w:val="20"/>
          <w:szCs w:val="20"/>
          <w:highlight w:val="none"/>
          <w:lang w:eastAsia="zh-CN"/>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B</w:t>
      </w:r>
      <w:r>
        <w:rPr>
          <w:rFonts w:hint="eastAsia" w:ascii="楷体_GB2312" w:eastAsia="楷体_GB2312"/>
          <w:color w:val="000000" w:themeColor="text1"/>
          <w:sz w:val="20"/>
          <w:szCs w:val="20"/>
          <w:highlight w:val="none"/>
          <w14:textFill>
            <w14:solidFill>
              <w14:schemeClr w14:val="tx1"/>
            </w14:solidFill>
          </w14:textFill>
        </w:rPr>
        <w:t>根据估值错误处理原则对因估值错误造成的损失进行评估</w:t>
      </w:r>
      <w:r>
        <w:rPr>
          <w:rFonts w:hint="eastAsia" w:ascii="楷体_GB2312" w:eastAsia="楷体_GB2312"/>
          <w:color w:val="000000" w:themeColor="text1"/>
          <w:sz w:val="20"/>
          <w:szCs w:val="20"/>
          <w:highlight w:val="none"/>
          <w:lang w:eastAsia="zh-CN"/>
          <w14:textFill>
            <w14:solidFill>
              <w14:schemeClr w14:val="tx1"/>
            </w14:solidFill>
          </w14:textFill>
        </w:rPr>
        <w:t>；</w:t>
      </w:r>
    </w:p>
    <w:p w14:paraId="3C76DF03">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14:textFill>
            <w14:solidFill>
              <w14:schemeClr w14:val="tx1"/>
            </w14:solidFill>
          </w14:textFill>
        </w:rPr>
        <w:t>C</w:t>
      </w:r>
      <w:r>
        <w:rPr>
          <w:rFonts w:hint="eastAsia" w:ascii="楷体_GB2312" w:eastAsia="楷体_GB2312"/>
          <w:color w:val="000000" w:themeColor="text1"/>
          <w:sz w:val="20"/>
          <w:szCs w:val="20"/>
          <w:highlight w:val="none"/>
          <w14:textFill>
            <w14:solidFill>
              <w14:schemeClr w14:val="tx1"/>
            </w14:solidFill>
          </w14:textFill>
        </w:rPr>
        <w:t>根据管理人和托管人协商的方法，由管理人和托管人共同进行更正，由估值错误的责任方进行赔偿损失。</w:t>
      </w:r>
    </w:p>
    <w:p w14:paraId="0FAEEF66">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lang w:val="en-US" w:eastAsia="zh-CN"/>
          <w14:textFill>
            <w14:solidFill>
              <w14:schemeClr w14:val="tx1"/>
            </w14:solidFill>
          </w14:textFill>
        </w:rPr>
        <w:t>5</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特殊情况的处理</w:t>
      </w:r>
    </w:p>
    <w:p w14:paraId="5292E473">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1</w:t>
      </w:r>
      <w:r>
        <w:rPr>
          <w:rFonts w:hint="eastAsia" w:ascii="楷体_GB2312" w:eastAsia="楷体_GB2312"/>
          <w:color w:val="000000" w:themeColor="text1"/>
          <w:sz w:val="20"/>
          <w:szCs w:val="20"/>
          <w:highlight w:val="none"/>
          <w14:textFill>
            <w14:solidFill>
              <w14:schemeClr w14:val="tx1"/>
            </w14:solidFill>
          </w14:textFill>
        </w:rPr>
        <w:t>）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w:t>
      </w:r>
    </w:p>
    <w:p w14:paraId="40CE4F47">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w:t>
      </w:r>
      <w:r>
        <w:rPr>
          <w:rFonts w:ascii="楷体_GB2312" w:eastAsia="楷体_GB2312"/>
          <w:color w:val="000000" w:themeColor="text1"/>
          <w:sz w:val="20"/>
          <w:szCs w:val="20"/>
          <w:highlight w:val="none"/>
          <w14:textFill>
            <w14:solidFill>
              <w14:schemeClr w14:val="tx1"/>
            </w14:solidFill>
          </w14:textFill>
        </w:rPr>
        <w:t>2</w:t>
      </w:r>
      <w:r>
        <w:rPr>
          <w:rFonts w:hint="eastAsia" w:ascii="楷体_GB2312" w:eastAsia="楷体_GB2312"/>
          <w:color w:val="000000" w:themeColor="text1"/>
          <w:sz w:val="20"/>
          <w:szCs w:val="20"/>
          <w:highlight w:val="none"/>
          <w14:textFill>
            <w14:solidFill>
              <w14:schemeClr w14:val="tx1"/>
            </w14:solidFill>
          </w14:textFill>
        </w:rPr>
        <w:t>）前述内容如法律法规、监管机关另有规定的，或有关会计准则发生变化等，按照国家最新规定或管理人最新约定估值。如果行业另有通行做法，管理人和托管人本着平等和保护投资者的原则进行协商。</w:t>
      </w:r>
    </w:p>
    <w:p w14:paraId="6530EA0F">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6</w:t>
      </w:r>
      <w:r>
        <w:rPr>
          <w:rFonts w:hint="eastAsia" w:ascii="楷体_GB2312" w:eastAsia="楷体_GB2312" w:cs="楷体_GB2312"/>
          <w:color w:val="000000" w:themeColor="text1"/>
          <w:sz w:val="20"/>
          <w:szCs w:val="20"/>
          <w:highlight w:val="none"/>
          <w14:textFill>
            <w14:solidFill>
              <w14:schemeClr w14:val="tx1"/>
            </w14:solidFill>
          </w14:textFill>
        </w:rPr>
        <w:t>．暂停</w:t>
      </w:r>
      <w:r>
        <w:rPr>
          <w:rFonts w:ascii="楷体_GB2312" w:eastAsia="楷体_GB2312" w:cs="楷体_GB2312"/>
          <w:color w:val="000000" w:themeColor="text1"/>
          <w:sz w:val="20"/>
          <w:szCs w:val="20"/>
          <w:highlight w:val="none"/>
          <w14:textFill>
            <w14:solidFill>
              <w14:schemeClr w14:val="tx1"/>
            </w14:solidFill>
          </w14:textFill>
        </w:rPr>
        <w:t>估值的情形</w:t>
      </w:r>
    </w:p>
    <w:p w14:paraId="3714930D">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（1</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当资产估值因不可抗力或其他情形致使本产品管理人和托管人无法准确评估资产价值时；</w:t>
      </w:r>
    </w:p>
    <w:p w14:paraId="649DFEF0">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（2</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产品投资所涉及的交易市场遇法定节假日或因其他原因暂停营业时；</w:t>
      </w:r>
    </w:p>
    <w:p w14:paraId="157F9EE9">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（3</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产品投资的其他</w:t>
      </w:r>
      <w:r>
        <w:rPr>
          <w:rFonts w:hint="eastAsia" w:ascii="楷体_GB2312" w:eastAsia="楷体_GB2312" w:cs="楷体_GB2312"/>
          <w:color w:val="000000" w:themeColor="text1"/>
          <w:sz w:val="20"/>
          <w:szCs w:val="20"/>
          <w:highlight w:val="none"/>
          <w14:textFill>
            <w14:solidFill>
              <w14:schemeClr w14:val="tx1"/>
            </w14:solidFill>
          </w14:textFill>
        </w:rPr>
        <w:t>资产</w:t>
      </w:r>
      <w:r>
        <w:rPr>
          <w:rFonts w:ascii="楷体_GB2312" w:eastAsia="楷体_GB2312" w:cs="楷体_GB2312"/>
          <w:color w:val="000000" w:themeColor="text1"/>
          <w:sz w:val="20"/>
          <w:szCs w:val="20"/>
          <w:highlight w:val="none"/>
          <w14:textFill>
            <w14:solidFill>
              <w14:schemeClr w14:val="tx1"/>
            </w14:solidFill>
          </w14:textFill>
        </w:rPr>
        <w:t>产品合同约定暂停估值或无法估值的情形发生，导致理财产品无法估值时；</w:t>
      </w:r>
    </w:p>
    <w:p w14:paraId="516C9B3D">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w:t>
      </w:r>
      <w:r>
        <w:rPr>
          <w:rFonts w:ascii="楷体_GB2312" w:eastAsia="楷体_GB2312" w:cs="楷体_GB2312"/>
          <w:color w:val="000000" w:themeColor="text1"/>
          <w:sz w:val="20"/>
          <w:szCs w:val="20"/>
          <w:highlight w:val="none"/>
          <w14:textFill>
            <w14:solidFill>
              <w14:schemeClr w14:val="tx1"/>
            </w14:solidFill>
          </w14:textFill>
        </w:rPr>
        <w:t>4）</w:t>
      </w:r>
      <w:r>
        <w:rPr>
          <w:rFonts w:hint="eastAsia" w:ascii="楷体_GB2312" w:eastAsia="楷体_GB2312" w:cs="楷体_GB2312"/>
          <w:color w:val="000000" w:themeColor="text1"/>
          <w:sz w:val="20"/>
          <w:szCs w:val="20"/>
          <w:highlight w:val="none"/>
          <w14:textFill>
            <w14:solidFill>
              <w14:schemeClr w14:val="tx1"/>
            </w14:solidFill>
          </w14:textFill>
        </w:rPr>
        <w:t>产品在前一估值日内，产品资产净值</w:t>
      </w:r>
      <w:r>
        <w:rPr>
          <w:rFonts w:ascii="楷体_GB2312" w:eastAsia="楷体_GB2312" w:cs="楷体_GB2312"/>
          <w:color w:val="000000" w:themeColor="text1"/>
          <w:sz w:val="20"/>
          <w:szCs w:val="20"/>
          <w:highlight w:val="none"/>
          <w14:textFill>
            <w14:solidFill>
              <w14:schemeClr w14:val="tx1"/>
            </w14:solidFill>
          </w14:textFill>
        </w:rPr>
        <w:t>50%以上的资产不具备活跃交易市场或者在活跃市场中无报价，且不能采用估值技术可靠计量公允价值的</w:t>
      </w:r>
      <w:r>
        <w:rPr>
          <w:rFonts w:hint="eastAsia" w:ascii="楷体_GB2312" w:eastAsia="楷体_GB2312" w:cs="楷体_GB2312"/>
          <w:color w:val="000000" w:themeColor="text1"/>
          <w:sz w:val="20"/>
          <w:szCs w:val="20"/>
          <w:highlight w:val="none"/>
          <w14:textFill>
            <w14:solidFill>
              <w14:schemeClr w14:val="tx1"/>
            </w14:solidFill>
          </w14:textFill>
        </w:rPr>
        <w:t>；</w:t>
      </w:r>
    </w:p>
    <w:p w14:paraId="4C1B57FB">
      <w:pPr>
        <w:spacing w:line="300" w:lineRule="exact"/>
        <w:ind w:firstLine="400" w:firstLineChars="200"/>
        <w:jc w:val="both"/>
        <w:rPr>
          <w:rFonts w:ascii="楷体_GB2312" w:eastAsia="楷体_GB2312" w:cs="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（5</w:t>
      </w:r>
      <w:r>
        <w:rPr>
          <w:rFonts w:ascii="楷体_GB2312" w:eastAsia="楷体_GB2312" w:cs="楷体_GB2312"/>
          <w:color w:val="000000" w:themeColor="text1"/>
          <w:sz w:val="20"/>
          <w:szCs w:val="20"/>
          <w:highlight w:val="none"/>
          <w14:textFill>
            <w14:solidFill>
              <w14:schemeClr w14:val="tx1"/>
            </w14:solidFill>
          </w14:textFill>
        </w:rPr>
        <w:t>）</w:t>
      </w:r>
      <w:r>
        <w:rPr>
          <w:rFonts w:hint="eastAsia" w:ascii="楷体_GB2312" w:eastAsia="楷体_GB2312" w:cs="楷体_GB2312"/>
          <w:color w:val="000000" w:themeColor="text1"/>
          <w:sz w:val="20"/>
          <w:szCs w:val="20"/>
          <w:highlight w:val="none"/>
          <w14:textFill>
            <w14:solidFill>
              <w14:schemeClr w14:val="tx1"/>
            </w14:solidFill>
          </w14:textFill>
        </w:rPr>
        <w:t>国务院银行业监督管理机构认定的其他情形或理财</w:t>
      </w:r>
      <w:r>
        <w:rPr>
          <w:rFonts w:ascii="楷体_GB2312" w:eastAsia="楷体_GB2312" w:cs="楷体_GB2312"/>
          <w:color w:val="000000" w:themeColor="text1"/>
          <w:sz w:val="20"/>
          <w:szCs w:val="20"/>
          <w:highlight w:val="none"/>
          <w14:textFill>
            <w14:solidFill>
              <w14:schemeClr w14:val="tx1"/>
            </w14:solidFill>
          </w14:textFill>
        </w:rPr>
        <w:t>产品管理人、托管人有合理理由认为将影响本理财产品估值的其他情形</w:t>
      </w:r>
      <w:r>
        <w:rPr>
          <w:rFonts w:hint="eastAsia" w:ascii="楷体_GB2312" w:eastAsia="楷体_GB2312" w:cs="楷体_GB2312"/>
          <w:color w:val="000000" w:themeColor="text1"/>
          <w:sz w:val="20"/>
          <w:szCs w:val="20"/>
          <w:highlight w:val="none"/>
          <w14:textFill>
            <w14:solidFill>
              <w14:schemeClr w14:val="tx1"/>
            </w14:solidFill>
          </w14:textFill>
        </w:rPr>
        <w:t>。</w:t>
      </w:r>
    </w:p>
    <w:p w14:paraId="361976D9">
      <w:p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s="楷体_GB2312"/>
          <w:color w:val="000000" w:themeColor="text1"/>
          <w:sz w:val="20"/>
          <w:szCs w:val="20"/>
          <w:highlight w:val="none"/>
          <w14:textFill>
            <w14:solidFill>
              <w14:schemeClr w14:val="tx1"/>
            </w14:solidFill>
          </w14:textFill>
        </w:rPr>
        <w:t>遇</w:t>
      </w:r>
      <w:r>
        <w:rPr>
          <w:rFonts w:ascii="楷体_GB2312" w:eastAsia="楷体_GB2312" w:cs="楷体_GB2312"/>
          <w:color w:val="000000" w:themeColor="text1"/>
          <w:sz w:val="20"/>
          <w:szCs w:val="20"/>
          <w:highlight w:val="none"/>
          <w14:textFill>
            <w14:solidFill>
              <w14:schemeClr w14:val="tx1"/>
            </w14:solidFill>
          </w14:textFill>
        </w:rPr>
        <w:t>以上情形，</w:t>
      </w:r>
      <w:r>
        <w:rPr>
          <w:rFonts w:hint="eastAsia" w:ascii="楷体_GB2312" w:eastAsia="楷体_GB2312" w:cs="楷体_GB2312"/>
          <w:color w:val="000000" w:themeColor="text1"/>
          <w:sz w:val="20"/>
          <w:szCs w:val="20"/>
          <w:highlight w:val="none"/>
          <w14:textFill>
            <w14:solidFill>
              <w14:schemeClr w14:val="tx1"/>
            </w14:solidFill>
          </w14:textFill>
        </w:rPr>
        <w:t>管理人可暂停本产品估值直至另行通知。</w:t>
      </w:r>
    </w:p>
    <w:p w14:paraId="7F626292">
      <w:pPr>
        <w:snapToGrid w:val="0"/>
        <w:spacing w:line="300" w:lineRule="exact"/>
        <w:ind w:right="53" w:rightChars="22"/>
        <w:outlineLvl w:val="0"/>
        <w:rPr>
          <w:rFonts w:ascii="楷体_GB2312" w:eastAsia="楷体_GB2312"/>
          <w:color w:val="000000" w:themeColor="text1"/>
          <w:sz w:val="20"/>
          <w:szCs w:val="20"/>
          <w:highlight w:val="none"/>
          <w14:textFill>
            <w14:solidFill>
              <w14:schemeClr w14:val="tx1"/>
            </w14:solidFill>
          </w14:textFill>
        </w:rPr>
      </w:pPr>
    </w:p>
    <w:p w14:paraId="22FDF408">
      <w:pPr>
        <w:spacing w:line="300" w:lineRule="exact"/>
        <w:ind w:left="-2" w:leftChars="-1" w:right="36" w:rightChars="15"/>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十、产品不成立</w:t>
      </w:r>
    </w:p>
    <w:p w14:paraId="5A45DF60">
      <w:pPr>
        <w:spacing w:line="300" w:lineRule="exact"/>
        <w:ind w:left="-2" w:leftChars="-1" w:right="36" w:rightChars="15" w:firstLine="400" w:firstLineChars="200"/>
        <w:jc w:val="both"/>
        <w:rPr>
          <w:color w:val="000000" w:themeColor="text1"/>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1．</w:t>
      </w:r>
      <w:r>
        <w:rPr>
          <w:rFonts w:hint="eastAsia" w:ascii="楷体_GB2312" w:eastAsia="楷体_GB2312" w:cs="楷体_GB2312"/>
          <w:color w:val="000000" w:themeColor="text1"/>
          <w:sz w:val="20"/>
          <w:szCs w:val="20"/>
          <w:highlight w:val="none"/>
          <w14:textFill>
            <w14:solidFill>
              <w14:schemeClr w14:val="tx1"/>
            </w14:solidFill>
          </w14:textFill>
        </w:rPr>
        <w:t>如遇国家法律法规或监管政策出现重大调整，或者市场、拟投资标的等</w:t>
      </w:r>
      <w:r>
        <w:rPr>
          <w:rFonts w:ascii="楷体_GB2312" w:eastAsia="楷体_GB2312" w:cs="楷体_GB2312"/>
          <w:color w:val="000000" w:themeColor="text1"/>
          <w:sz w:val="20"/>
          <w:szCs w:val="20"/>
          <w:highlight w:val="none"/>
          <w14:textFill>
            <w14:solidFill>
              <w14:schemeClr w14:val="tx1"/>
            </w14:solidFill>
          </w14:textFill>
        </w:rPr>
        <w:t>情况</w:t>
      </w:r>
      <w:r>
        <w:rPr>
          <w:rFonts w:hint="eastAsia" w:ascii="楷体_GB2312" w:eastAsia="楷体_GB2312" w:cs="楷体_GB2312"/>
          <w:color w:val="000000" w:themeColor="text1"/>
          <w:sz w:val="20"/>
          <w:szCs w:val="20"/>
          <w:highlight w:val="none"/>
          <w14:textFill>
            <w14:solidFill>
              <w14:schemeClr w14:val="tx1"/>
            </w14:solidFill>
          </w14:textFill>
        </w:rPr>
        <w:t>出现重大变化，影响到本产品的正常成立时，信银理财有权宣布产品不成立。</w:t>
      </w:r>
    </w:p>
    <w:p w14:paraId="37899C85">
      <w:pPr>
        <w:spacing w:line="300" w:lineRule="exact"/>
        <w:ind w:left="-2" w:leftChars="-1" w:right="36" w:rightChars="15" w:firstLine="400" w:firstLineChars="200"/>
        <w:jc w:val="both"/>
        <w:rPr>
          <w:color w:val="000000" w:themeColor="text1"/>
          <w:highlight w:val="none"/>
          <w14:textFill>
            <w14:solidFill>
              <w14:schemeClr w14:val="tx1"/>
            </w14:solidFill>
          </w14:textFill>
        </w:rPr>
      </w:pPr>
      <w:r>
        <w:rPr>
          <w:rFonts w:ascii="楷体_GB2312" w:eastAsia="楷体_GB2312" w:cs="楷体_GB2312"/>
          <w:color w:val="000000" w:themeColor="text1"/>
          <w:sz w:val="20"/>
          <w:szCs w:val="20"/>
          <w:highlight w:val="none"/>
          <w14:textFill>
            <w14:solidFill>
              <w14:schemeClr w14:val="tx1"/>
            </w14:solidFill>
          </w14:textFill>
        </w:rPr>
        <w:t>2．</w:t>
      </w:r>
      <w:r>
        <w:rPr>
          <w:rFonts w:hint="eastAsia" w:ascii="楷体_GB2312" w:eastAsia="楷体_GB2312" w:cs="楷体_GB2312"/>
          <w:color w:val="000000" w:themeColor="text1"/>
          <w:sz w:val="20"/>
          <w:szCs w:val="20"/>
          <w:highlight w:val="none"/>
          <w14:textFill>
            <w14:solidFill>
              <w14:schemeClr w14:val="tx1"/>
            </w14:solidFill>
          </w14:textFill>
        </w:rPr>
        <w:t>信银理财将于决定理财产品不成立后的【2】个工作日内</w:t>
      </w:r>
      <w:r>
        <w:rPr>
          <w:rFonts w:ascii="楷体_GB2312" w:eastAsia="楷体_GB2312" w:cs="楷体_GB2312"/>
          <w:color w:val="000000" w:themeColor="text1"/>
          <w:sz w:val="20"/>
          <w:szCs w:val="20"/>
          <w:highlight w:val="none"/>
          <w14:textFill>
            <w14:solidFill>
              <w14:schemeClr w14:val="tx1"/>
            </w14:solidFill>
          </w14:textFill>
        </w:rPr>
        <w:t>通知投资者</w:t>
      </w:r>
      <w:r>
        <w:rPr>
          <w:rFonts w:hint="eastAsia" w:ascii="楷体_GB2312" w:eastAsia="楷体_GB2312" w:cs="楷体_GB2312"/>
          <w:color w:val="000000" w:themeColor="text1"/>
          <w:sz w:val="20"/>
          <w:szCs w:val="20"/>
          <w:highlight w:val="none"/>
          <w14:textFill>
            <w14:solidFill>
              <w14:schemeClr w14:val="tx1"/>
            </w14:solidFill>
          </w14:textFill>
        </w:rPr>
        <w:t>。如信银理财通知产品不成立，将于通知产品不成立之日起【2】个工作日内返还投资者本金（</w:t>
      </w:r>
      <w:r>
        <w:rPr>
          <w:rFonts w:hint="eastAsia" w:ascii="楷体_GB2312" w:eastAsia="楷体_GB2312" w:cs="楷体_GB2312"/>
          <w:color w:val="000000" w:themeColor="text1"/>
          <w:sz w:val="20"/>
          <w:szCs w:val="20"/>
          <w:highlight w:val="none"/>
          <w:lang w:val="en-US" w:eastAsia="zh-CN"/>
          <w14:textFill>
            <w14:solidFill>
              <w14:schemeClr w14:val="tx1"/>
            </w14:solidFill>
          </w14:textFill>
        </w:rPr>
        <w:t>扣款日至本金返还日期间是否计付利息以及利息计付规则以销售机构为准</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通过代销机构渠道购买</w:t>
      </w:r>
      <w:r>
        <w:rPr>
          <w:rFonts w:hint="eastAsia" w:ascii="楷体_GB2312" w:eastAsia="楷体_GB2312" w:cs="楷体_GB2312"/>
          <w:color w:val="000000" w:themeColor="text1"/>
          <w:sz w:val="20"/>
          <w:szCs w:val="20"/>
          <w:highlight w:val="none"/>
          <w14:textFill>
            <w14:solidFill>
              <w14:schemeClr w14:val="tx1"/>
            </w14:solidFill>
          </w14:textFill>
        </w:rPr>
        <w:t>理财</w:t>
      </w:r>
      <w:r>
        <w:rPr>
          <w:rFonts w:ascii="楷体_GB2312" w:eastAsia="楷体_GB2312" w:cs="楷体_GB2312"/>
          <w:color w:val="000000" w:themeColor="text1"/>
          <w:sz w:val="20"/>
          <w:szCs w:val="20"/>
          <w:highlight w:val="none"/>
          <w14:textFill>
            <w14:solidFill>
              <w14:schemeClr w14:val="tx1"/>
            </w14:solidFill>
          </w14:textFill>
        </w:rPr>
        <w:t>产品的，</w:t>
      </w:r>
      <w:r>
        <w:rPr>
          <w:rFonts w:hint="eastAsia" w:ascii="楷体_GB2312" w:eastAsia="楷体_GB2312" w:cs="楷体_GB2312"/>
          <w:color w:val="000000" w:themeColor="text1"/>
          <w:sz w:val="20"/>
          <w:szCs w:val="20"/>
          <w:highlight w:val="none"/>
          <w14:textFill>
            <w14:solidFill>
              <w14:schemeClr w14:val="tx1"/>
            </w14:solidFill>
          </w14:textFill>
        </w:rPr>
        <w:t>投资者</w:t>
      </w:r>
      <w:r>
        <w:rPr>
          <w:rFonts w:ascii="楷体_GB2312" w:eastAsia="楷体_GB2312" w:cs="楷体_GB2312"/>
          <w:color w:val="000000" w:themeColor="text1"/>
          <w:sz w:val="20"/>
          <w:szCs w:val="20"/>
          <w:highlight w:val="none"/>
          <w14:textFill>
            <w14:solidFill>
              <w14:schemeClr w14:val="tx1"/>
            </w14:solidFill>
          </w14:textFill>
        </w:rPr>
        <w:t>本金</w:t>
      </w:r>
      <w:r>
        <w:rPr>
          <w:rFonts w:hint="eastAsia" w:ascii="楷体_GB2312" w:eastAsia="楷体_GB2312" w:cs="楷体_GB2312"/>
          <w:color w:val="000000" w:themeColor="text1"/>
          <w:sz w:val="20"/>
          <w:szCs w:val="20"/>
          <w:highlight w:val="none"/>
          <w14:textFill>
            <w14:solidFill>
              <w14:schemeClr w14:val="tx1"/>
            </w14:solidFill>
          </w14:textFill>
        </w:rPr>
        <w:t>划转至</w:t>
      </w:r>
      <w:r>
        <w:rPr>
          <w:rFonts w:ascii="楷体_GB2312" w:eastAsia="楷体_GB2312" w:cs="楷体_GB2312"/>
          <w:color w:val="000000" w:themeColor="text1"/>
          <w:sz w:val="20"/>
          <w:szCs w:val="20"/>
          <w:highlight w:val="none"/>
          <w14:textFill>
            <w14:solidFill>
              <w14:schemeClr w14:val="tx1"/>
            </w14:solidFill>
          </w14:textFill>
        </w:rPr>
        <w:t>投资者账户的时间以代销机构</w:t>
      </w:r>
      <w:r>
        <w:rPr>
          <w:rFonts w:hint="eastAsia" w:ascii="楷体_GB2312" w:eastAsia="楷体_GB2312" w:cs="楷体_GB2312"/>
          <w:color w:val="000000" w:themeColor="text1"/>
          <w:sz w:val="20"/>
          <w:szCs w:val="20"/>
          <w:highlight w:val="none"/>
          <w:lang w:eastAsia="zh-CN"/>
          <w14:textFill>
            <w14:solidFill>
              <w14:schemeClr w14:val="tx1"/>
            </w14:solidFill>
          </w14:textFill>
        </w:rPr>
        <w:t>的</w:t>
      </w:r>
      <w:r>
        <w:rPr>
          <w:rFonts w:hint="eastAsia" w:ascii="楷体_GB2312" w:eastAsia="楷体_GB2312" w:cs="楷体_GB2312"/>
          <w:color w:val="000000" w:themeColor="text1"/>
          <w:sz w:val="20"/>
          <w:szCs w:val="20"/>
          <w:highlight w:val="none"/>
          <w14:textFill>
            <w14:solidFill>
              <w14:schemeClr w14:val="tx1"/>
            </w14:solidFill>
          </w14:textFill>
        </w:rPr>
        <w:t>清算</w:t>
      </w:r>
      <w:r>
        <w:rPr>
          <w:rFonts w:ascii="楷体_GB2312" w:eastAsia="楷体_GB2312" w:cs="楷体_GB2312"/>
          <w:color w:val="000000" w:themeColor="text1"/>
          <w:sz w:val="20"/>
          <w:szCs w:val="20"/>
          <w:highlight w:val="none"/>
          <w14:textFill>
            <w14:solidFill>
              <w14:schemeClr w14:val="tx1"/>
            </w14:solidFill>
          </w14:textFill>
        </w:rPr>
        <w:t>时间为准。</w:t>
      </w:r>
    </w:p>
    <w:p w14:paraId="24DC171A">
      <w:pPr>
        <w:snapToGrid w:val="0"/>
        <w:ind w:left="-2" w:leftChars="-1" w:right="53" w:rightChars="22"/>
        <w:rPr>
          <w:color w:val="000000" w:themeColor="text1"/>
          <w:highlight w:val="none"/>
          <w14:textFill>
            <w14:solidFill>
              <w14:schemeClr w14:val="tx1"/>
            </w14:solidFill>
          </w14:textFill>
        </w:rPr>
      </w:pPr>
      <w:r>
        <w:rPr>
          <w:rFonts w:ascii="Times New Roman" w:hAnsi="Times New Roman"/>
          <w:b/>
          <w:bCs/>
          <w:color w:val="000000" w:themeColor="text1"/>
          <w:sz w:val="20"/>
          <w:szCs w:val="20"/>
          <w:highlight w:val="none"/>
          <w14:textFill>
            <w14:solidFill>
              <w14:schemeClr w14:val="tx1"/>
            </w14:solidFill>
          </w14:textFill>
        </w:rPr>
        <w:t> </w:t>
      </w:r>
    </w:p>
    <w:p w14:paraId="7582A71E">
      <w:pPr>
        <w:snapToGrid w:val="0"/>
        <w:ind w:left="-2" w:leftChars="-1" w:right="53" w:rightChars="22"/>
        <w:outlineLvl w:val="0"/>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十一、产品的提前终止</w:t>
      </w:r>
    </w:p>
    <w:p w14:paraId="40D67254">
      <w:pPr>
        <w:spacing w:line="300" w:lineRule="exact"/>
        <w:ind w:firstLine="400" w:firstLineChars="200"/>
        <w:jc w:val="both"/>
        <w:rPr>
          <w:rFonts w:ascii="楷体_GB2312" w:eastAsia="楷体_GB2312" w:cs="楷体_GB2312"/>
          <w:color w:val="000000"/>
          <w:sz w:val="20"/>
          <w:szCs w:val="20"/>
          <w:highlight w:val="none"/>
        </w:rPr>
      </w:pPr>
      <w:r>
        <w:rPr>
          <w:rFonts w:ascii="楷体_GB2312" w:eastAsia="楷体_GB2312" w:cs="楷体_GB2312"/>
          <w:color w:val="000000"/>
          <w:sz w:val="20"/>
          <w:szCs w:val="20"/>
          <w:highlight w:val="none"/>
        </w:rPr>
        <w:t>1．</w:t>
      </w:r>
      <w:r>
        <w:rPr>
          <w:rFonts w:hint="eastAsia" w:ascii="楷体_GB2312" w:eastAsia="楷体_GB2312" w:cs="楷体_GB2312"/>
          <w:color w:val="000000"/>
          <w:sz w:val="20"/>
          <w:szCs w:val="20"/>
          <w:highlight w:val="none"/>
        </w:rPr>
        <w:t>本理财产品存续期内，投资者无权单方面主动决定终止本理财产品。为保护投资者利益，理财产品管理人有权按照本理财产品资金运作的实际情况，主动终止本理财产品。理财产品管理人提前终止本理财产品的原因包括但不限于：</w:t>
      </w:r>
    </w:p>
    <w:p w14:paraId="49D5D320">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（1）遇不可</w:t>
      </w:r>
      <w:r>
        <w:rPr>
          <w:rFonts w:ascii="楷体_GB2312" w:eastAsia="楷体_GB2312" w:cs="楷体_GB2312"/>
          <w:color w:val="000000"/>
          <w:sz w:val="20"/>
          <w:szCs w:val="20"/>
          <w:highlight w:val="none"/>
        </w:rPr>
        <w:t>抗力事件</w:t>
      </w:r>
      <w:r>
        <w:rPr>
          <w:rFonts w:hint="eastAsia" w:ascii="楷体_GB2312" w:eastAsia="楷体_GB2312" w:cs="楷体_GB2312"/>
          <w:color w:val="000000"/>
          <w:sz w:val="20"/>
          <w:szCs w:val="20"/>
          <w:highlight w:val="none"/>
        </w:rPr>
        <w:t>、</w:t>
      </w:r>
      <w:r>
        <w:rPr>
          <w:rFonts w:ascii="楷体_GB2312" w:eastAsia="楷体_GB2312" w:cs="楷体_GB2312"/>
          <w:color w:val="000000"/>
          <w:sz w:val="20"/>
          <w:szCs w:val="20"/>
          <w:highlight w:val="none"/>
        </w:rPr>
        <w:t>法律法规</w:t>
      </w:r>
      <w:r>
        <w:rPr>
          <w:rFonts w:hint="eastAsia" w:ascii="楷体_GB2312" w:eastAsia="楷体_GB2312" w:cs="楷体_GB2312"/>
          <w:color w:val="000000"/>
          <w:sz w:val="20"/>
          <w:szCs w:val="20"/>
          <w:highlight w:val="none"/>
        </w:rPr>
        <w:t>规定、</w:t>
      </w:r>
      <w:r>
        <w:rPr>
          <w:rFonts w:ascii="楷体_GB2312" w:eastAsia="楷体_GB2312" w:cs="楷体_GB2312"/>
          <w:color w:val="000000"/>
          <w:sz w:val="20"/>
          <w:szCs w:val="20"/>
          <w:highlight w:val="none"/>
        </w:rPr>
        <w:t>国家有权机关强制要求等原因导致理财产品无法继续存续</w:t>
      </w:r>
      <w:r>
        <w:rPr>
          <w:rFonts w:hint="eastAsia" w:ascii="楷体_GB2312" w:eastAsia="楷体_GB2312" w:cs="楷体_GB2312"/>
          <w:color w:val="000000"/>
          <w:sz w:val="20"/>
          <w:szCs w:val="20"/>
          <w:highlight w:val="none"/>
        </w:rPr>
        <w:t>的；</w:t>
      </w:r>
    </w:p>
    <w:p w14:paraId="7011ECBB">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（2）遇国家金融政策出现重大调整，或本产品所投资资产市场价格大幅下滑，或信银理财认为将</w:t>
      </w:r>
      <w:r>
        <w:rPr>
          <w:rFonts w:ascii="楷体_GB2312" w:eastAsia="楷体_GB2312" w:cs="楷体_GB2312"/>
          <w:color w:val="000000"/>
          <w:sz w:val="20"/>
          <w:szCs w:val="20"/>
          <w:highlight w:val="none"/>
        </w:rPr>
        <w:t>影响理财产品正常运作</w:t>
      </w:r>
      <w:r>
        <w:rPr>
          <w:rFonts w:hint="eastAsia" w:ascii="楷体_GB2312" w:eastAsia="楷体_GB2312" w:cs="楷体_GB2312"/>
          <w:color w:val="000000"/>
          <w:sz w:val="20"/>
          <w:szCs w:val="20"/>
          <w:highlight w:val="none"/>
        </w:rPr>
        <w:t>、需要提前终止本产品的其他情形的；</w:t>
      </w:r>
    </w:p>
    <w:p w14:paraId="325B0620">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（3）本产品所投资资产的信用状况发生恶化，信银理财合理判断可能影响到期正常兑付时；</w:t>
      </w:r>
    </w:p>
    <w:p w14:paraId="2517BBDA">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（4）因投资者理财资金被有权机关扣划等原因导致理财产品剩余资产无法满足相关法律法规规定、所投资市场要求或协议等相关法律文件约定，或者继续存续无法实现投资目的；</w:t>
      </w:r>
    </w:p>
    <w:p w14:paraId="54C73AF4">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（5）因相关投资管理机构解散、破产、撤销、被取消业务资格等原因无法继续履行相应职责导致产品无法继续运作；</w:t>
      </w:r>
    </w:p>
    <w:p w14:paraId="359A359B">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（6）相关投资管理机构或运用理财资金的第三方主体实施符合法律法规规定或协议等相关文件约定的行为导致理财产品被动提前终止；</w:t>
      </w:r>
    </w:p>
    <w:p w14:paraId="7EFE0B96">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（7）提前终止产品比维持产品运作更有利于保护产品持有人的权益；</w:t>
      </w:r>
    </w:p>
    <w:p w14:paraId="5FD66643">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（8）法律法规规定或监管部门认定的其他情形。</w:t>
      </w:r>
    </w:p>
    <w:p w14:paraId="23DB911A">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2</w:t>
      </w:r>
      <w:r>
        <w:rPr>
          <w:rFonts w:ascii="楷体_GB2312" w:eastAsia="楷体_GB2312" w:cs="楷体_GB2312"/>
          <w:color w:val="000000"/>
          <w:sz w:val="20"/>
          <w:szCs w:val="20"/>
          <w:highlight w:val="none"/>
        </w:rPr>
        <w:t>．</w:t>
      </w:r>
      <w:r>
        <w:rPr>
          <w:rFonts w:hint="eastAsia" w:ascii="楷体_GB2312" w:eastAsia="楷体_GB2312" w:cs="楷体_GB2312"/>
          <w:color w:val="000000"/>
          <w:sz w:val="20"/>
          <w:szCs w:val="20"/>
          <w:highlight w:val="none"/>
        </w:rPr>
        <w:t>如果信银理财提前终止本理财产品，信银理财将于提前终止日前【2】个工作日通知投资者，并在提前终止日后【5】个工作日内支付投资者应得</w:t>
      </w:r>
      <w:r>
        <w:rPr>
          <w:rFonts w:ascii="楷体_GB2312" w:eastAsia="楷体_GB2312" w:cs="楷体_GB2312"/>
          <w:color w:val="000000"/>
          <w:sz w:val="20"/>
          <w:szCs w:val="20"/>
          <w:highlight w:val="none"/>
        </w:rPr>
        <w:t>资金</w:t>
      </w:r>
      <w:r>
        <w:rPr>
          <w:rFonts w:hint="eastAsia" w:ascii="楷体_GB2312" w:eastAsia="楷体_GB2312" w:cs="楷体_GB2312"/>
          <w:color w:val="000000"/>
          <w:sz w:val="20"/>
          <w:szCs w:val="20"/>
          <w:highlight w:val="none"/>
        </w:rPr>
        <w:t>。投资者通过</w:t>
      </w:r>
      <w:r>
        <w:rPr>
          <w:rFonts w:ascii="楷体_GB2312" w:eastAsia="楷体_GB2312" w:cs="楷体_GB2312"/>
          <w:color w:val="000000"/>
          <w:sz w:val="20"/>
          <w:szCs w:val="20"/>
          <w:highlight w:val="none"/>
        </w:rPr>
        <w:t>代销机构购买本理财产品的</w:t>
      </w:r>
      <w:r>
        <w:rPr>
          <w:rFonts w:hint="eastAsia" w:ascii="楷体_GB2312" w:eastAsia="楷体_GB2312" w:cs="楷体_GB2312"/>
          <w:color w:val="000000"/>
          <w:sz w:val="20"/>
          <w:szCs w:val="20"/>
          <w:highlight w:val="none"/>
        </w:rPr>
        <w:t>，理财资金划转至投资者账户的时间以该代销机构的清算时间为准。若产品提前终止，产品到期日相应调整为提前终止日。</w:t>
      </w:r>
    </w:p>
    <w:p w14:paraId="58514B4B">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3</w:t>
      </w:r>
      <w:r>
        <w:rPr>
          <w:rFonts w:ascii="楷体_GB2312" w:eastAsia="楷体_GB2312" w:cs="楷体_GB2312"/>
          <w:color w:val="000000"/>
          <w:sz w:val="20"/>
          <w:szCs w:val="20"/>
          <w:highlight w:val="none"/>
        </w:rPr>
        <w:t>．理财产品不因投资者死亡、丧失民事行为能力、破产而终止；投资者的法定继承人、承继人或指定受益人以及继任管理人承担本理财产品项下的相应权利和义务。</w:t>
      </w:r>
    </w:p>
    <w:p w14:paraId="093044DD">
      <w:pPr>
        <w:spacing w:line="300" w:lineRule="exact"/>
        <w:ind w:firstLine="400" w:firstLineChars="200"/>
        <w:jc w:val="both"/>
        <w:rPr>
          <w:rFonts w:ascii="楷体_GB2312" w:eastAsia="楷体_GB2312" w:cs="楷体_GB2312"/>
          <w:color w:val="000000"/>
          <w:sz w:val="20"/>
          <w:szCs w:val="20"/>
          <w:highlight w:val="none"/>
        </w:rPr>
      </w:pPr>
    </w:p>
    <w:p w14:paraId="001E63B7">
      <w:pPr>
        <w:snapToGrid w:val="0"/>
        <w:ind w:left="-2" w:leftChars="-1" w:right="53" w:rightChars="22"/>
        <w:outlineLvl w:val="0"/>
        <w:rPr>
          <w:color w:val="000000" w:themeColor="text1"/>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十二、产品的延期清算</w:t>
      </w:r>
    </w:p>
    <w:p w14:paraId="6D0591B2">
      <w:pPr>
        <w:spacing w:line="300" w:lineRule="exact"/>
        <w:ind w:firstLine="400" w:firstLineChars="200"/>
        <w:jc w:val="both"/>
        <w:rPr>
          <w:rFonts w:ascii="楷体_GB2312" w:eastAsia="楷体_GB2312" w:cs="楷体_GB2312"/>
          <w:color w:val="000000"/>
          <w:sz w:val="20"/>
          <w:szCs w:val="20"/>
          <w:highlight w:val="none"/>
        </w:rPr>
      </w:pPr>
      <w:r>
        <w:rPr>
          <w:rFonts w:hint="eastAsia" w:ascii="楷体_GB2312" w:eastAsia="楷体_GB2312" w:cs="楷体_GB2312"/>
          <w:color w:val="000000"/>
          <w:sz w:val="20"/>
          <w:szCs w:val="20"/>
          <w:highlight w:val="none"/>
        </w:rPr>
        <w:t>如遇国家金融政策、监管政策、相关法律法规发生变化，或本产品所投资资产的市场发生重大市场波动，或融资方、资产发行人及交易方出现违约或未按约定偿还本息、或投资市场出现流动性不足、资产未能正常买卖结算或后续加入资金不足及其他情形导致投资资产不能及时变现，则信银理财有权将产品实际结算延长至相关投资资产变现或追偿处置完毕为止，产品管理人将尽快对相关资产进行变现，并将变现后的非现金类资产与原有现金类资产在扣除相关费用后向投资者分配。</w:t>
      </w:r>
    </w:p>
    <w:p w14:paraId="26A98C20">
      <w:pPr>
        <w:snapToGrid w:val="0"/>
        <w:ind w:right="53" w:rightChars="22"/>
        <w:jc w:val="both"/>
        <w:rPr>
          <w:rFonts w:ascii="Times New Roman" w:hAnsi="Times New Roman" w:eastAsia="楷体_GB2312" w:cs="楷体_GB2312"/>
          <w:color w:val="000000" w:themeColor="text1"/>
          <w:sz w:val="20"/>
          <w:szCs w:val="20"/>
          <w:highlight w:val="none"/>
          <w14:textFill>
            <w14:solidFill>
              <w14:schemeClr w14:val="tx1"/>
            </w14:solidFill>
          </w14:textFill>
        </w:rPr>
      </w:pPr>
    </w:p>
    <w:p w14:paraId="0782545B">
      <w:pPr>
        <w:snapToGrid w:val="0"/>
        <w:ind w:left="-2" w:leftChars="-1" w:right="53" w:rightChars="22"/>
        <w:outlineLvl w:val="0"/>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十三、产品管理人与投资者权利义务</w:t>
      </w:r>
    </w:p>
    <w:p w14:paraId="45CF0B5E">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产品管理人声明与保证</w:t>
      </w:r>
    </w:p>
    <w:p w14:paraId="3351CF72">
      <w:pPr>
        <w:snapToGrid w:val="0"/>
        <w:ind w:right="53" w:rightChars="22" w:firstLine="428" w:firstLineChars="213"/>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产品管理人具有开办理财业务的经营资质，保证以诚实守信、勤勉尽职的原则管理和运用理财资金；</w:t>
      </w:r>
    </w:p>
    <w:p w14:paraId="19A18BD7">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产品管理人具有完全适当的资格和能力订立与履行本理财产品合同。</w:t>
      </w:r>
    </w:p>
    <w:p w14:paraId="7085C45B">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投资者声明与保证</w:t>
      </w:r>
    </w:p>
    <w:p w14:paraId="7A2827AE">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投资者具有完全民事行为能力，有完全适当的资格与能力订立并履行本理财产品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，不存在法律、行政法规有关规定禁止或限制投资理财产品的情形（适用于个人投资者）。</w:t>
      </w:r>
    </w:p>
    <w:p w14:paraId="777AF035">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投资者确认签署和履行理财产品销售文件系其真实意思表示，已经按照其章程或者其它内部管理文件的要求取得合法、有效的授权且不会违反对其有约束力的任何合同和其他法律文件；投资者已经取得签订和履行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所需的一切有关批准、许可、备案或者登记。（适用于机构投资者）；</w:t>
      </w:r>
    </w:p>
    <w:p w14:paraId="1A9A2C09">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投资者保证以真实身份投资本理财产品，保证提供给产品管理人和代销机构的信息和资料均真实、准确、完整、合法。如投资者的信息和/或资料发生变更，应当及时书面告知产品管理人或代销机构；</w:t>
      </w:r>
    </w:p>
    <w:p w14:paraId="7AB32567">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投资者声明熟悉理财产品类型特征及不同销售渠道的法律法规规定；</w:t>
      </w:r>
    </w:p>
    <w:p w14:paraId="2793902D">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（4）</w:t>
      </w:r>
      <w:r>
        <w:rPr>
          <w:rFonts w:ascii="Times New Roman" w:hAnsi="Times New Roman" w:eastAsia="楷体_GB2312" w:cs="楷体_GB2312"/>
          <w:b/>
          <w:color w:val="000000" w:themeColor="text1"/>
          <w:sz w:val="20"/>
          <w:szCs w:val="20"/>
          <w:highlight w:val="none"/>
          <w14:textFill>
            <w14:solidFill>
              <w14:schemeClr w14:val="tx1"/>
            </w14:solidFill>
          </w14:textFill>
        </w:rPr>
        <w:t>投资者承诺：如委托他人购买本产品，代理人须出具具有法律效力的授权委托书；</w:t>
      </w:r>
    </w:p>
    <w:p w14:paraId="675D344A">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（5）</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投资者保证理财投资资金来源和用途合法，保证可向产品管理人和代销机构提供合法筹集的证明文件；</w:t>
      </w:r>
    </w:p>
    <w:p w14:paraId="21D1EF66">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（6）</w:t>
      </w:r>
      <w:r>
        <w:rPr>
          <w:rFonts w:ascii="Times New Roman" w:hAnsi="Times New Roman" w:eastAsia="楷体_GB2312" w:cs="楷体_GB2312"/>
          <w:b/>
          <w:color w:val="000000" w:themeColor="text1"/>
          <w:sz w:val="20"/>
          <w:szCs w:val="20"/>
          <w:highlight w:val="none"/>
          <w14:textFill>
            <w14:solidFill>
              <w14:schemeClr w14:val="tx1"/>
            </w14:solidFill>
          </w14:textFill>
        </w:rPr>
        <w:t>投资者不利用本理财业务及本理财产品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项下理财产品从事违法活动；</w:t>
      </w:r>
    </w:p>
    <w:p w14:paraId="42C0B570">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（7）</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遵守国家反洗钱法律、法规及相关政策要求，不从事涉及洗钱、恐怖融资、逃税、逃废债务、套取现金等违法违规活动，积极配合管理人/代销机构开展投资者身份识别、交易记录保存、投资者身份及交易背景尽职调查、大额和可疑交易报告等各项反洗钱工作，并按要求提供相关证明材料；</w:t>
      </w:r>
    </w:p>
    <w:p w14:paraId="4D01FFBA">
      <w:pPr>
        <w:snapToGrid w:val="0"/>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（8）</w:t>
      </w:r>
      <w:r>
        <w:rPr>
          <w:rFonts w:ascii="Times New Roman" w:hAnsi="Times New Roman" w:eastAsia="楷体_GB2312" w:cs="楷体_GB2312"/>
          <w:b/>
          <w:color w:val="000000" w:themeColor="text1"/>
          <w:sz w:val="20"/>
          <w:szCs w:val="20"/>
          <w:highlight w:val="none"/>
          <w14:textFill>
            <w14:solidFill>
              <w14:schemeClr w14:val="tx1"/>
            </w14:solidFill>
          </w14:textFill>
        </w:rPr>
        <w:t>投资者不属于联合国制裁名单，及中国政府部门或有权机关发布的涉恐及反洗钱相关风险名单内的企业或个人；不位于被联合</w:t>
      </w:r>
      <w:r>
        <w:rPr>
          <w:rFonts w:hint="eastAsia" w:ascii="Times New Roman" w:hAnsi="Times New Roman" w:eastAsia="楷体_GB2312" w:cs="楷体_GB2312"/>
          <w:b/>
          <w:color w:val="000000" w:themeColor="text1"/>
          <w:sz w:val="20"/>
          <w:szCs w:val="20"/>
          <w:highlight w:val="none"/>
          <w:lang w:val="en-US" w:eastAsia="zh-CN"/>
          <w14:textFill>
            <w14:solidFill>
              <w14:schemeClr w14:val="tx1"/>
            </w14:solidFill>
          </w14:textFill>
        </w:rPr>
        <w:t>国</w:t>
      </w:r>
      <w:r>
        <w:rPr>
          <w:rFonts w:ascii="Times New Roman" w:hAnsi="Times New Roman" w:eastAsia="楷体_GB2312" w:cs="楷体_GB2312"/>
          <w:b/>
          <w:color w:val="000000" w:themeColor="text1"/>
          <w:sz w:val="20"/>
          <w:szCs w:val="20"/>
          <w:highlight w:val="none"/>
          <w14:textFill>
            <w14:solidFill>
              <w14:schemeClr w14:val="tx1"/>
            </w14:solidFill>
          </w14:textFill>
        </w:rPr>
        <w:t>或</w:t>
      </w:r>
      <w:r>
        <w:rPr>
          <w:rFonts w:hint="eastAsia" w:ascii="Times New Roman" w:hAnsi="Times New Roman" w:eastAsia="楷体_GB2312" w:cs="楷体_GB2312"/>
          <w:b/>
          <w:color w:val="000000" w:themeColor="text1"/>
          <w:sz w:val="20"/>
          <w:szCs w:val="20"/>
          <w:highlight w:val="none"/>
          <w:lang w:val="en-US" w:eastAsia="zh-CN"/>
          <w14:textFill>
            <w14:solidFill>
              <w14:schemeClr w14:val="tx1"/>
            </w14:solidFill>
          </w14:textFill>
        </w:rPr>
        <w:t>中</w:t>
      </w:r>
      <w:r>
        <w:rPr>
          <w:rFonts w:ascii="Times New Roman" w:hAnsi="Times New Roman" w:eastAsia="楷体_GB2312" w:cs="楷体_GB2312"/>
          <w:b/>
          <w:color w:val="000000" w:themeColor="text1"/>
          <w:sz w:val="20"/>
          <w:szCs w:val="20"/>
          <w:highlight w:val="none"/>
          <w14:textFill>
            <w14:solidFill>
              <w14:schemeClr w14:val="tx1"/>
            </w14:solidFill>
          </w14:textFill>
        </w:rPr>
        <w:t>国制裁的国家和地区；</w:t>
      </w:r>
    </w:p>
    <w:p w14:paraId="7F6A09A5">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（9）</w:t>
      </w:r>
      <w:r>
        <w:rPr>
          <w:rFonts w:ascii="Times New Roman" w:hAnsi="Times New Roman" w:eastAsia="楷体_GB2312" w:cs="楷体_GB2312"/>
          <w:b/>
          <w:color w:val="000000" w:themeColor="text1"/>
          <w:sz w:val="20"/>
          <w:szCs w:val="20"/>
          <w:highlight w:val="none"/>
          <w14:textFill>
            <w14:solidFill>
              <w14:schemeClr w14:val="tx1"/>
            </w14:solidFill>
          </w14:textFill>
        </w:rPr>
        <w:t>投资者保证不使用贷款、发行债券等筹集的非自有资金投资理财产品，保证投资本理财产品不存在违反监管要求的产品嵌套，以及以投资本理财产品规避投资范围、杠杆约束等监管要求等违规行为。</w:t>
      </w:r>
    </w:p>
    <w:p w14:paraId="29886281">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双方同意</w:t>
      </w:r>
    </w:p>
    <w:p w14:paraId="1CFE977B">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w:t>
      </w:r>
      <w:r>
        <w:rPr>
          <w:rFonts w:ascii="Times New Roman" w:hAnsi="Times New Roman" w:eastAsia="楷体_GB2312" w:cs="楷体_GB2312"/>
          <w:b/>
          <w:color w:val="000000" w:themeColor="text1"/>
          <w:sz w:val="20"/>
          <w:szCs w:val="20"/>
          <w:highlight w:val="none"/>
          <w14:textFill>
            <w14:solidFill>
              <w14:schemeClr w14:val="tx1"/>
            </w14:solidFill>
          </w14:textFill>
        </w:rPr>
        <w:t>未经产品管理人同意，投资者不得以本理财产品项下的任何权利、利益、权益（包括单独和整体）为投资者和任何第三人的债务设定担保或其他权益；</w:t>
      </w:r>
    </w:p>
    <w:p w14:paraId="689D8748">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w:t>
      </w:r>
      <w:r>
        <w:rPr>
          <w:rFonts w:ascii="Times New Roman" w:hAnsi="Times New Roman" w:eastAsia="楷体_GB2312" w:cs="楷体_GB2312"/>
          <w:b/>
          <w:color w:val="000000" w:themeColor="text1"/>
          <w:sz w:val="20"/>
          <w:szCs w:val="20"/>
          <w:highlight w:val="none"/>
          <w14:textFill>
            <w14:solidFill>
              <w14:schemeClr w14:val="tx1"/>
            </w14:solidFill>
          </w14:textFill>
        </w:rPr>
        <w:t>未经产品管理人同意，投资者不得向任何第三人转让、赠与本理财产品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或本理财产品</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销售文件</w:t>
      </w:r>
      <w:r>
        <w:rPr>
          <w:rFonts w:ascii="Times New Roman" w:hAnsi="Times New Roman" w:eastAsia="楷体_GB2312" w:cs="楷体_GB2312"/>
          <w:b/>
          <w:color w:val="000000" w:themeColor="text1"/>
          <w:sz w:val="20"/>
          <w:szCs w:val="20"/>
          <w:highlight w:val="none"/>
          <w14:textFill>
            <w14:solidFill>
              <w14:schemeClr w14:val="tx1"/>
            </w14:solidFill>
          </w14:textFill>
        </w:rPr>
        <w:t>项下的任何权利、利益、权益（包括单独和整体）；</w:t>
      </w:r>
    </w:p>
    <w:p w14:paraId="1D3314DF">
      <w:pPr>
        <w:snapToGrid w:val="0"/>
        <w:ind w:right="53" w:rightChars="22" w:firstLine="428" w:firstLineChars="213"/>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w:t>
      </w:r>
      <w:r>
        <w:rPr>
          <w:rFonts w:ascii="Times New Roman" w:hAnsi="Times New Roman" w:eastAsia="楷体_GB2312" w:cs="楷体_GB2312"/>
          <w:b/>
          <w:color w:val="000000" w:themeColor="text1"/>
          <w:sz w:val="20"/>
          <w:szCs w:val="20"/>
          <w:highlight w:val="none"/>
          <w14:textFill>
            <w14:solidFill>
              <w14:schemeClr w14:val="tx1"/>
            </w14:solidFill>
          </w14:textFill>
        </w:rPr>
        <w:t>产品管理人不承担对第三人支付本产品项下投资者清算产品后分配金额以及相关权益的责任，法律法规另有规定的除外。</w:t>
      </w:r>
    </w:p>
    <w:p w14:paraId="11AA4DF9">
      <w:pPr>
        <w:spacing w:line="300" w:lineRule="exact"/>
        <w:ind w:left="402" w:right="29" w:rightChars="12" w:hanging="402" w:hangingChars="200"/>
        <w:rPr>
          <w:rFonts w:ascii="Times New Roman" w:hAnsi="Times New Roman"/>
          <w:b/>
          <w:bCs/>
          <w:color w:val="000000" w:themeColor="text1"/>
          <w:sz w:val="20"/>
          <w:szCs w:val="20"/>
          <w:highlight w:val="none"/>
          <w14:textFill>
            <w14:solidFill>
              <w14:schemeClr w14:val="tx1"/>
            </w14:solidFill>
          </w14:textFill>
        </w:rPr>
      </w:pPr>
      <w:r>
        <w:rPr>
          <w:rFonts w:ascii="Times New Roman" w:hAnsi="Times New Roman"/>
          <w:b/>
          <w:bCs/>
          <w:color w:val="000000" w:themeColor="text1"/>
          <w:sz w:val="20"/>
          <w:szCs w:val="20"/>
          <w:highlight w:val="none"/>
          <w14:textFill>
            <w14:solidFill>
              <w14:schemeClr w14:val="tx1"/>
            </w14:solidFill>
          </w14:textFill>
        </w:rPr>
        <w:t> </w:t>
      </w:r>
    </w:p>
    <w:p w14:paraId="2ACD857F">
      <w:pPr>
        <w:spacing w:line="300" w:lineRule="exact"/>
        <w:ind w:left="402" w:right="29" w:rightChars="12" w:hanging="402" w:hangingChars="200"/>
        <w:rPr>
          <w:rFonts w:ascii="黑体" w:eastAsia="黑体" w:cs="黑体"/>
          <w:b/>
          <w:color w:val="000000" w:themeColor="text1"/>
          <w:sz w:val="20"/>
          <w:szCs w:val="20"/>
          <w:highlight w:val="none"/>
          <w14:textFill>
            <w14:solidFill>
              <w14:schemeClr w14:val="tx1"/>
            </w14:solidFill>
          </w14:textFill>
        </w:rPr>
      </w:pPr>
      <w:r>
        <w:rPr>
          <w:rFonts w:hint="eastAsia" w:ascii="黑体" w:eastAsia="黑体" w:cs="黑体"/>
          <w:b/>
          <w:color w:val="000000" w:themeColor="text1"/>
          <w:sz w:val="20"/>
          <w:szCs w:val="20"/>
          <w:highlight w:val="none"/>
          <w14:textFill>
            <w14:solidFill>
              <w14:schemeClr w14:val="tx1"/>
            </w14:solidFill>
          </w14:textFill>
        </w:rPr>
        <w:t>十四、保密</w:t>
      </w:r>
      <w:r>
        <w:rPr>
          <w:rFonts w:ascii="黑体" w:eastAsia="黑体" w:cs="黑体"/>
          <w:b/>
          <w:color w:val="000000" w:themeColor="text1"/>
          <w:sz w:val="20"/>
          <w:szCs w:val="20"/>
          <w:highlight w:val="none"/>
          <w14:textFill>
            <w14:solidFill>
              <w14:schemeClr w14:val="tx1"/>
            </w14:solidFill>
          </w14:textFill>
        </w:rPr>
        <w:t>条款</w:t>
      </w:r>
    </w:p>
    <w:p w14:paraId="0263DDBD">
      <w:pPr>
        <w:spacing w:line="300" w:lineRule="exact"/>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1．信银理财将加强信息安全管理，根据法律法规及监管要求，对在产品销售和运作过程中获取的投资者信息履行保密义务，除非依照法律法规之规定，或应监管机构及其他有权机关的要求，或与投资者另有约定外，不向第三方披露。</w:t>
      </w:r>
    </w:p>
    <w:p w14:paraId="27AD9E42">
      <w:pPr>
        <w:spacing w:line="300" w:lineRule="exact"/>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2．理财产品管理人向投资者披露的或投资者因购买本理财产品而获知的有关本理财产品的全部信息（包括但不限于本理财产品销售文件、本理财产品投资安排的全部信息）及本理财产品参与主体的未对外公开的信息均为保密信息。投资者有义务对上述保密信息采取保密措施，未经理财产品管理人同意，投资者不得向任何第三方披露该等保密信息，否则应承担相应违约责任，但以下情形除外：（1）向与本次投资有关而需要获知以上信息并受保密协议约束的律师、会计师、顾问和咨询人员披露的；（2）根据适用的法律法规的要求，向有关政府部门、监管机构或者管理机构（包括证券交易所）披露的；（3）本产品说明书另有约定的。前述保密义务不因本理财产品销售文件或相关协议的无效、被撤销、终止而受影响。</w:t>
      </w:r>
    </w:p>
    <w:p w14:paraId="7BE5DC63">
      <w:pPr>
        <w:spacing w:line="300" w:lineRule="exact"/>
        <w:ind w:firstLine="402" w:firstLineChars="200"/>
        <w:jc w:val="both"/>
        <w:rPr>
          <w:rFonts w:ascii="Times New Roman" w:hAnsi="Times New Roman" w:eastAsia="楷体_GB2312" w:cs="楷体_GB2312"/>
          <w:b/>
          <w:color w:val="000000" w:themeColor="text1"/>
          <w:sz w:val="20"/>
          <w:szCs w:val="20"/>
          <w:highlight w:val="none"/>
          <w14:textFill>
            <w14:solidFill>
              <w14:schemeClr w14:val="tx1"/>
            </w14:solidFill>
          </w14:textFill>
        </w:rPr>
      </w:pPr>
      <w:r>
        <w:rPr>
          <w:rFonts w:ascii="Times New Roman" w:hAnsi="Times New Roman" w:eastAsia="楷体_GB2312" w:cs="楷体_GB2312"/>
          <w:b/>
          <w:color w:val="000000" w:themeColor="text1"/>
          <w:sz w:val="20"/>
          <w:szCs w:val="20"/>
          <w:highlight w:val="none"/>
          <w14:textFill>
            <w14:solidFill>
              <w14:schemeClr w14:val="tx1"/>
            </w14:solidFill>
          </w14:textFill>
        </w:rPr>
        <w:t>3．根据监管机构要求，管理人（特指除本理财</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产品</w:t>
      </w:r>
      <w:r>
        <w:rPr>
          <w:rFonts w:ascii="Times New Roman" w:hAnsi="Times New Roman" w:eastAsia="楷体_GB2312" w:cs="楷体_GB2312"/>
          <w:b/>
          <w:color w:val="000000" w:themeColor="text1"/>
          <w:sz w:val="20"/>
          <w:szCs w:val="20"/>
          <w:highlight w:val="none"/>
          <w14:textFill>
            <w14:solidFill>
              <w14:schemeClr w14:val="tx1"/>
            </w14:solidFill>
          </w14:textFill>
        </w:rPr>
        <w:t>的管理人信银理财之外的其他管理人，包括但不限于本理财</w:t>
      </w:r>
      <w:r>
        <w:rPr>
          <w:rFonts w:hint="eastAsia" w:ascii="Times New Roman" w:hAnsi="Times New Roman" w:eastAsia="楷体_GB2312" w:cs="楷体_GB2312"/>
          <w:b/>
          <w:color w:val="000000" w:themeColor="text1"/>
          <w:sz w:val="20"/>
          <w:szCs w:val="20"/>
          <w:highlight w:val="none"/>
          <w14:textFill>
            <w14:solidFill>
              <w14:schemeClr w14:val="tx1"/>
            </w14:solidFill>
          </w14:textFill>
        </w:rPr>
        <w:t>产品</w:t>
      </w:r>
      <w:r>
        <w:rPr>
          <w:rFonts w:ascii="Times New Roman" w:hAnsi="Times New Roman" w:eastAsia="楷体_GB2312" w:cs="楷体_GB2312"/>
          <w:b/>
          <w:color w:val="000000" w:themeColor="text1"/>
          <w:sz w:val="20"/>
          <w:szCs w:val="20"/>
          <w:highlight w:val="none"/>
          <w14:textFill>
            <w14:solidFill>
              <w14:schemeClr w14:val="tx1"/>
            </w14:solidFill>
          </w14:textFill>
        </w:rPr>
        <w:t>所投资的信托计划、资管计划、私募基金的受托人或管理人、相关投资顾问等，下同）有可能需要向监管机构报送投资者身份信息、持仓信息等相关信息，信银理财将应管理人申请，在必要范围内向管理人提供相关信息，并要求该等管理人履行投资者信息保密义务。投资者签署本理财产品销售文件即视为已经同意信银理财在前述范围内向相关方提供投资者身份信息、持仓信息等相关信息。</w:t>
      </w:r>
    </w:p>
    <w:p w14:paraId="78906FC4">
      <w:pPr>
        <w:spacing w:line="300" w:lineRule="exact"/>
        <w:ind w:left="2" w:right="29" w:rightChars="12" w:firstLine="282" w:firstLineChars="141"/>
        <w:rPr>
          <w:rFonts w:ascii="Times New Roman" w:hAnsi="Times New Roman" w:eastAsia="楷体_GB2312" w:cs="楷体_GB2312"/>
          <w:color w:val="000000" w:themeColor="text1"/>
          <w:sz w:val="20"/>
          <w:szCs w:val="20"/>
          <w:highlight w:val="none"/>
          <w14:textFill>
            <w14:solidFill>
              <w14:schemeClr w14:val="tx1"/>
            </w14:solidFill>
          </w14:textFill>
        </w:rPr>
      </w:pPr>
    </w:p>
    <w:p w14:paraId="1F461DD7">
      <w:pPr>
        <w:spacing w:line="300" w:lineRule="exact"/>
        <w:ind w:left="402" w:right="29" w:rightChars="12" w:hanging="402" w:hangingChars="200"/>
        <w:rPr>
          <w:rFonts w:ascii="楷体_GB2312" w:eastAsia="楷体_GB2312"/>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十五、特别提示</w:t>
      </w:r>
    </w:p>
    <w:p w14:paraId="0293E191">
      <w:pPr>
        <w:spacing w:line="300" w:lineRule="exact"/>
        <w:ind w:firstLine="402" w:firstLineChars="200"/>
        <w:jc w:val="both"/>
        <w:rPr>
          <w:b/>
          <w:color w:val="000000" w:themeColor="text1"/>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1．本产品面临的风险包括信用风险、市场风险、流动性风险、提前终止风险、政策风险、信息传递风险、管理风险、延期清算风险、</w:t>
      </w:r>
      <w:r>
        <w:rPr>
          <w:rFonts w:hint="eastAsia" w:ascii="楷体_GB2312" w:eastAsia="楷体_GB2312" w:cs="楷体_GB2312"/>
          <w:b/>
          <w:color w:val="000000" w:themeColor="text1"/>
          <w:sz w:val="20"/>
          <w:szCs w:val="20"/>
          <w:highlight w:val="none"/>
          <w14:textFill>
            <w14:solidFill>
              <w14:schemeClr w14:val="tx1"/>
            </w14:solidFill>
          </w14:textFill>
        </w:rPr>
        <w:t>理财</w:t>
      </w:r>
      <w:r>
        <w:rPr>
          <w:rFonts w:ascii="楷体_GB2312" w:eastAsia="楷体_GB2312" w:cs="楷体_GB2312"/>
          <w:b/>
          <w:color w:val="000000" w:themeColor="text1"/>
          <w:sz w:val="20"/>
          <w:szCs w:val="20"/>
          <w:highlight w:val="none"/>
          <w14:textFill>
            <w14:solidFill>
              <w14:schemeClr w14:val="tx1"/>
            </w14:solidFill>
          </w14:textFill>
        </w:rPr>
        <w:t>产品不成立风险、不可抗力及意外事件风险、</w:t>
      </w:r>
      <w:r>
        <w:rPr>
          <w:rFonts w:hint="eastAsia" w:ascii="楷体_GB2312" w:eastAsia="楷体_GB2312" w:cs="楷体_GB2312"/>
          <w:b/>
          <w:color w:val="000000" w:themeColor="text1"/>
          <w:sz w:val="20"/>
          <w:szCs w:val="20"/>
          <w:highlight w:val="none"/>
          <w14:textFill>
            <w14:solidFill>
              <w14:schemeClr w14:val="tx1"/>
            </w14:solidFill>
          </w14:textFill>
        </w:rPr>
        <w:t>理财本金全部损失风险</w:t>
      </w:r>
      <w:r>
        <w:rPr>
          <w:rFonts w:ascii="楷体_GB2312" w:eastAsia="楷体_GB2312" w:cs="楷体_GB2312"/>
          <w:b/>
          <w:color w:val="000000" w:themeColor="text1"/>
          <w:sz w:val="20"/>
          <w:szCs w:val="20"/>
          <w:highlight w:val="none"/>
          <w14:textFill>
            <w14:solidFill>
              <w14:schemeClr w14:val="tx1"/>
            </w14:solidFill>
          </w14:textFill>
        </w:rPr>
        <w:t>、合作销售机构</w:t>
      </w:r>
      <w:r>
        <w:rPr>
          <w:rFonts w:hint="eastAsia" w:ascii="楷体_GB2312" w:eastAsia="楷体_GB2312" w:cs="楷体_GB2312"/>
          <w:b/>
          <w:color w:val="000000" w:themeColor="text1"/>
          <w:sz w:val="20"/>
          <w:szCs w:val="20"/>
          <w:highlight w:val="none"/>
          <w14:textFill>
            <w14:solidFill>
              <w14:schemeClr w14:val="tx1"/>
            </w14:solidFill>
          </w14:textFill>
        </w:rPr>
        <w:t>（代销机构）</w:t>
      </w:r>
      <w:r>
        <w:rPr>
          <w:rFonts w:ascii="楷体_GB2312" w:eastAsia="楷体_GB2312" w:cs="楷体_GB2312"/>
          <w:b/>
          <w:color w:val="000000" w:themeColor="text1"/>
          <w:sz w:val="20"/>
          <w:szCs w:val="20"/>
          <w:highlight w:val="none"/>
          <w14:textFill>
            <w14:solidFill>
              <w14:schemeClr w14:val="tx1"/>
            </w14:solidFill>
          </w14:textFill>
        </w:rPr>
        <w:t>风险、操作风险</w:t>
      </w:r>
      <w:r>
        <w:rPr>
          <w:rFonts w:hint="eastAsia" w:ascii="楷体_GB2312" w:eastAsia="楷体_GB2312" w:cs="楷体_GB2312"/>
          <w:b/>
          <w:color w:val="000000" w:themeColor="text1"/>
          <w:sz w:val="20"/>
          <w:szCs w:val="20"/>
          <w:highlight w:val="none"/>
          <w14:textFill>
            <w14:solidFill>
              <w14:schemeClr w14:val="tx1"/>
            </w14:solidFill>
          </w14:textFill>
        </w:rPr>
        <w:t>、关联交易风险</w:t>
      </w:r>
      <w:r>
        <w:rPr>
          <w:rFonts w:ascii="楷体_GB2312" w:eastAsia="楷体_GB2312" w:cs="楷体_GB2312"/>
          <w:b/>
          <w:color w:val="000000" w:themeColor="text1"/>
          <w:sz w:val="20"/>
          <w:szCs w:val="20"/>
          <w:highlight w:val="none"/>
          <w14:textFill>
            <w14:solidFill>
              <w14:schemeClr w14:val="tx1"/>
            </w14:solidFill>
          </w14:textFill>
        </w:rPr>
        <w:t xml:space="preserve">等风险，将可能导致投资者无法取得收益，甚至本金蒙受部分或全部损失。由此产生的理财本金和收益损失的风险由投资者自行承担，信银理财不承担任何返还理财本金及收益的保证责任。  </w:t>
      </w:r>
    </w:p>
    <w:p w14:paraId="3568FECC">
      <w:pPr>
        <w:spacing w:line="300" w:lineRule="exact"/>
        <w:ind w:firstLine="402" w:firstLineChars="200"/>
        <w:jc w:val="both"/>
        <w:rPr>
          <w:rFonts w:ascii="楷体_GB2312" w:eastAsia="楷体_GB2312" w:cs="楷体_GB2312"/>
          <w:b/>
          <w:color w:val="000000" w:themeColor="text1"/>
          <w:sz w:val="20"/>
          <w:szCs w:val="20"/>
          <w:highlight w:val="none"/>
          <w14:textFill>
            <w14:solidFill>
              <w14:schemeClr w14:val="tx1"/>
            </w14:solidFill>
          </w14:textFill>
        </w:rPr>
      </w:pPr>
      <w:r>
        <w:rPr>
          <w:rFonts w:ascii="楷体_GB2312" w:eastAsia="楷体_GB2312" w:cs="楷体_GB2312"/>
          <w:b/>
          <w:color w:val="000000" w:themeColor="text1"/>
          <w:sz w:val="20"/>
          <w:szCs w:val="20"/>
          <w:highlight w:val="none"/>
          <w14:textFill>
            <w14:solidFill>
              <w14:schemeClr w14:val="tx1"/>
            </w14:solidFill>
          </w14:textFill>
        </w:rPr>
        <w:t>2．除本说明书中明确规定的收益或收益分配方式外，任何预计收益、预期收益、测算收益、业绩比较基准或类似表述均属不具有法律效力的用语，不代表投资者可能获得的实际收益，亦不构成信银理财对本理财产品的任何收益承诺。</w:t>
      </w:r>
    </w:p>
    <w:p w14:paraId="66F65FAB">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3．关于费用</w:t>
      </w:r>
    </w:p>
    <w:p w14:paraId="515847A2">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（1）双方确认：本产品说明书约定的收费标准经双方协商确定，双方均认可该收费标准。</w:t>
      </w:r>
    </w:p>
    <w:p w14:paraId="32501BBD">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2）限制与例外条款：信银理财保留根据适用法律和国家政策规定及产品说明书的相关约定调整产品收费标准的权利。若因上述原因，信银理财确需调整本产品说明书项下收费标准的，应以本产品说明书约定方式提前通知投资者。投资者不接受调整后的收费标准的，有权提前赎回理财产品。信银理财有权根据情况设立临时的赎回开放日。</w:t>
      </w:r>
    </w:p>
    <w:p w14:paraId="2BC355BF">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4．咨询与投诉：投资者对本理财产品有任何建议、意见或投诉，请联系信银理财理财经理，或反馈至信银理财营业场所，或拨打信银理财客户服务热线【950950，工作时间为工作日8：30-20：30】，</w:t>
      </w:r>
      <w:r>
        <w:rPr>
          <w:rFonts w:hint="eastAsia" w:ascii="楷体_GB2312" w:eastAsia="楷体_GB2312"/>
          <w:b/>
          <w:color w:val="000000" w:themeColor="text1"/>
          <w:sz w:val="20"/>
          <w:szCs w:val="20"/>
          <w:highlight w:val="none"/>
          <w14:textFill>
            <w14:solidFill>
              <w14:schemeClr w14:val="tx1"/>
            </w14:solidFill>
          </w14:textFill>
        </w:rPr>
        <w:t>或</w:t>
      </w:r>
      <w:r>
        <w:rPr>
          <w:rFonts w:ascii="楷体_GB2312" w:eastAsia="楷体_GB2312"/>
          <w:b/>
          <w:color w:val="000000" w:themeColor="text1"/>
          <w:sz w:val="20"/>
          <w:szCs w:val="20"/>
          <w:highlight w:val="none"/>
          <w14:textFill>
            <w14:solidFill>
              <w14:schemeClr w14:val="tx1"/>
            </w14:solidFill>
          </w14:textFill>
        </w:rPr>
        <w:t>登录信银理财网站【http://www.citic-wealth.com/】进行查询。信银理财将安排专人及时收集客户投诉，并在收到客户投诉的第一时间内与客户取得联系，及时处理并进行反馈。投资者通过代销机构购买理财产品的，可按照代销机构提供的联系方式反馈信息、咨询和投诉。</w:t>
      </w:r>
    </w:p>
    <w:p w14:paraId="59675254">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hint="eastAsia" w:ascii="楷体_GB2312" w:eastAsia="楷体_GB2312"/>
          <w:b/>
          <w:color w:val="000000" w:themeColor="text1"/>
          <w:sz w:val="20"/>
          <w:szCs w:val="20"/>
          <w:highlight w:val="none"/>
          <w:lang w:val="en-US" w:eastAsia="zh-CN"/>
          <w14:textFill>
            <w14:solidFill>
              <w14:schemeClr w14:val="tx1"/>
            </w14:solidFill>
          </w14:textFill>
        </w:rPr>
        <w:t>我司投诉处理机构或部门调查核实投诉事项，在收到投诉之日起15日内作出处理决定并告知投诉人，情况复杂的可延长至30日，最长处理期限不超过60日。我司投诉处理机构或部门告知投诉人处理决定的同时，会说明对消费投诉内容的核实情况、作出决定的有关依据和理由，以及投诉人可以采取的申请核查、调解、仲裁、诉讼等纠纷解决途径。</w:t>
      </w:r>
    </w:p>
    <w:p w14:paraId="450D0CF7">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5．本产品说明书中关于时间的标准，以信银理财业务处理系统记录的北京时间为准。</w:t>
      </w:r>
    </w:p>
    <w:p w14:paraId="7F48C6A5">
      <w:pPr>
        <w:spacing w:line="300" w:lineRule="exact"/>
        <w:ind w:firstLine="430" w:firstLineChars="214"/>
        <w:jc w:val="both"/>
        <w:rPr>
          <w:rFonts w:ascii="楷体_GB2312" w:eastAsia="楷体_GB2312"/>
          <w:b/>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6．信银理财有权依法对本产品说明书进行解释。</w:t>
      </w:r>
    </w:p>
    <w:p w14:paraId="7CD903EC">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2F9F4230">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十六、违约责任</w:t>
      </w:r>
    </w:p>
    <w:p w14:paraId="0FE10543">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双方因违反本产品说明书约定而给对方造成损失的，违约方应赔偿因此给对方造成的直接损失。</w:t>
      </w:r>
    </w:p>
    <w:p w14:paraId="515352ED">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27319308">
      <w:pPr>
        <w:spacing w:line="300" w:lineRule="exact"/>
        <w:ind w:left="402" w:right="29" w:rightChars="12" w:hanging="402" w:hangingChars="200"/>
        <w:rPr>
          <w:rFonts w:ascii="黑体" w:hAnsi="Times New Roman" w:eastAsia="黑体" w:cs="黑体"/>
          <w:b/>
          <w:color w:val="000000" w:themeColor="text1"/>
          <w:sz w:val="20"/>
          <w:szCs w:val="20"/>
          <w:highlight w:val="none"/>
          <w14:textFill>
            <w14:solidFill>
              <w14:schemeClr w14:val="tx1"/>
            </w14:solidFill>
          </w14:textFill>
        </w:rPr>
      </w:pPr>
      <w:r>
        <w:rPr>
          <w:rFonts w:hint="eastAsia" w:ascii="黑体" w:hAnsi="Times New Roman" w:eastAsia="黑体" w:cs="黑体"/>
          <w:b/>
          <w:color w:val="000000" w:themeColor="text1"/>
          <w:sz w:val="20"/>
          <w:szCs w:val="20"/>
          <w:highlight w:val="none"/>
          <w14:textFill>
            <w14:solidFill>
              <w14:schemeClr w14:val="tx1"/>
            </w14:solidFill>
          </w14:textFill>
        </w:rPr>
        <w:t>十七、免责内容</w:t>
      </w:r>
    </w:p>
    <w:p w14:paraId="4FD939CD">
      <w:pPr>
        <w:spacing w:line="300" w:lineRule="exact"/>
        <w:ind w:firstLine="402" w:firstLineChars="200"/>
        <w:jc w:val="both"/>
        <w:rPr>
          <w:rFonts w:ascii="楷体_GB2312" w:eastAsia="楷体_GB2312"/>
          <w:color w:val="000000" w:themeColor="text1"/>
          <w:sz w:val="20"/>
          <w:szCs w:val="20"/>
          <w:highlight w:val="none"/>
          <w14:textFill>
            <w14:solidFill>
              <w14:schemeClr w14:val="tx1"/>
            </w14:solidFill>
          </w14:textFill>
        </w:rPr>
      </w:pPr>
      <w:r>
        <w:rPr>
          <w:rFonts w:ascii="楷体_GB2312" w:eastAsia="楷体_GB2312"/>
          <w:b/>
          <w:color w:val="000000" w:themeColor="text1"/>
          <w:sz w:val="20"/>
          <w:szCs w:val="20"/>
          <w:highlight w:val="none"/>
          <w14:textFill>
            <w14:solidFill>
              <w14:schemeClr w14:val="tx1"/>
            </w14:solidFill>
          </w14:textFill>
        </w:rPr>
        <w:t>因法律法规或监管政策变化、自然灾害、意外事故、战争、系统故障、通讯故障等信银理财客观不能预见、不能避免、不能克服的不可抗力事件或意外事件，导致信银理财无法或延后履行本产品说明书有关义务的，信银理财不承担责任，但因信银理财故意或重大过失造成的系统故障、通讯故障的除外。前述约定不免除因信银理财过错导致依法应由产品管理人承担的责任。管理人应在条件允许的情况下，采取必要的补救措施以减少不可抗力造成的损失。</w:t>
      </w:r>
    </w:p>
    <w:p w14:paraId="2301179A">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5E4B27E8">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十八、本说明书的生效与终止</w:t>
      </w:r>
    </w:p>
    <w:p w14:paraId="5F5DFE30">
      <w:pPr>
        <w:pStyle w:val="20"/>
        <w:numPr>
          <w:ilvl w:val="255"/>
          <w:numId w:val="0"/>
        </w:num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1</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投资者在信银</w:t>
      </w:r>
      <w:r>
        <w:rPr>
          <w:rFonts w:ascii="楷体_GB2312" w:eastAsia="楷体_GB2312"/>
          <w:color w:val="000000" w:themeColor="text1"/>
          <w:sz w:val="20"/>
          <w:szCs w:val="20"/>
          <w:highlight w:val="none"/>
          <w14:textFill>
            <w14:solidFill>
              <w14:schemeClr w14:val="tx1"/>
            </w14:solidFill>
          </w14:textFill>
        </w:rPr>
        <w:t>理财</w:t>
      </w:r>
      <w:r>
        <w:rPr>
          <w:rFonts w:hint="eastAsia" w:ascii="楷体_GB2312" w:eastAsia="楷体_GB2312"/>
          <w:color w:val="000000" w:themeColor="text1"/>
          <w:sz w:val="20"/>
          <w:szCs w:val="20"/>
          <w:highlight w:val="none"/>
          <w14:textFill>
            <w14:solidFill>
              <w14:schemeClr w14:val="tx1"/>
            </w14:solidFill>
          </w14:textFill>
        </w:rPr>
        <w:t>营业</w:t>
      </w:r>
      <w:r>
        <w:rPr>
          <w:rFonts w:ascii="楷体_GB2312" w:eastAsia="楷体_GB2312"/>
          <w:color w:val="000000" w:themeColor="text1"/>
          <w:sz w:val="20"/>
          <w:szCs w:val="20"/>
          <w:highlight w:val="none"/>
          <w14:textFill>
            <w14:solidFill>
              <w14:schemeClr w14:val="tx1"/>
            </w14:solidFill>
          </w14:textFill>
        </w:rPr>
        <w:t>场所购买理财产品的，</w:t>
      </w:r>
      <w:r>
        <w:rPr>
          <w:rFonts w:hint="eastAsia" w:ascii="楷体_GB2312" w:eastAsia="楷体_GB2312"/>
          <w:color w:val="000000" w:themeColor="text1"/>
          <w:sz w:val="20"/>
          <w:szCs w:val="20"/>
          <w:highlight w:val="none"/>
          <w14:textFill>
            <w14:solidFill>
              <w14:schemeClr w14:val="tx1"/>
            </w14:solidFill>
          </w14:textFill>
        </w:rPr>
        <w:t>本产品说明书</w:t>
      </w:r>
      <w:r>
        <w:rPr>
          <w:rFonts w:ascii="楷体_GB2312" w:eastAsia="楷体_GB2312"/>
          <w:color w:val="000000" w:themeColor="text1"/>
          <w:sz w:val="20"/>
          <w:szCs w:val="20"/>
          <w:highlight w:val="none"/>
          <w14:textFill>
            <w14:solidFill>
              <w14:schemeClr w14:val="tx1"/>
            </w14:solidFill>
          </w14:textFill>
        </w:rPr>
        <w:t>自</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签字/盖章后生效。</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通过</w:t>
      </w:r>
      <w:r>
        <w:rPr>
          <w:rFonts w:hint="eastAsia" w:ascii="楷体_GB2312" w:eastAsia="楷体_GB2312"/>
          <w:color w:val="000000" w:themeColor="text1"/>
          <w:sz w:val="20"/>
          <w:szCs w:val="20"/>
          <w:highlight w:val="none"/>
          <w14:textFill>
            <w14:solidFill>
              <w14:schemeClr w14:val="tx1"/>
            </w14:solidFill>
          </w14:textFill>
        </w:rPr>
        <w:t>信银理财</w:t>
      </w:r>
      <w:r>
        <w:rPr>
          <w:rFonts w:ascii="楷体_GB2312" w:eastAsia="楷体_GB2312"/>
          <w:color w:val="000000" w:themeColor="text1"/>
          <w:sz w:val="20"/>
          <w:szCs w:val="20"/>
          <w:highlight w:val="none"/>
          <w14:textFill>
            <w14:solidFill>
              <w14:schemeClr w14:val="tx1"/>
            </w14:solidFill>
          </w14:textFill>
        </w:rPr>
        <w:t>电子渠道购买理财产品的，</w:t>
      </w:r>
      <w:r>
        <w:rPr>
          <w:rFonts w:hint="eastAsia" w:ascii="楷体_GB2312" w:eastAsia="楷体_GB2312"/>
          <w:color w:val="000000" w:themeColor="text1"/>
          <w:sz w:val="20"/>
          <w:szCs w:val="20"/>
          <w:highlight w:val="none"/>
          <w14:textFill>
            <w14:solidFill>
              <w14:schemeClr w14:val="tx1"/>
            </w14:solidFill>
          </w14:textFill>
        </w:rPr>
        <w:t>本产品说明书</w:t>
      </w:r>
      <w:r>
        <w:rPr>
          <w:rFonts w:ascii="楷体_GB2312" w:eastAsia="楷体_GB2312"/>
          <w:color w:val="000000" w:themeColor="text1"/>
          <w:sz w:val="20"/>
          <w:szCs w:val="20"/>
          <w:highlight w:val="none"/>
          <w14:textFill>
            <w14:solidFill>
              <w14:schemeClr w14:val="tx1"/>
            </w14:solidFill>
          </w14:textFill>
        </w:rPr>
        <w:t>自</w:t>
      </w:r>
      <w:r>
        <w:rPr>
          <w:rFonts w:hint="eastAsia" w:ascii="楷体_GB2312" w:eastAsia="楷体_GB2312"/>
          <w:color w:val="000000" w:themeColor="text1"/>
          <w:sz w:val="20"/>
          <w:szCs w:val="20"/>
          <w:highlight w:val="none"/>
          <w14:textFill>
            <w14:solidFill>
              <w14:schemeClr w14:val="tx1"/>
            </w14:solidFill>
          </w14:textFill>
        </w:rPr>
        <w:t>其</w:t>
      </w:r>
      <w:r>
        <w:rPr>
          <w:rFonts w:ascii="楷体_GB2312" w:eastAsia="楷体_GB2312"/>
          <w:color w:val="000000" w:themeColor="text1"/>
          <w:sz w:val="20"/>
          <w:szCs w:val="20"/>
          <w:highlight w:val="none"/>
          <w14:textFill>
            <w14:solidFill>
              <w14:schemeClr w14:val="tx1"/>
            </w14:solidFill>
          </w14:textFill>
        </w:rPr>
        <w:t>在线</w:t>
      </w:r>
      <w:r>
        <w:rPr>
          <w:rFonts w:hint="eastAsia" w:ascii="楷体_GB2312" w:eastAsia="楷体_GB2312"/>
          <w:color w:val="000000" w:themeColor="text1"/>
          <w:sz w:val="20"/>
          <w:szCs w:val="20"/>
          <w:highlight w:val="none"/>
          <w14:textFill>
            <w14:solidFill>
              <w14:schemeClr w14:val="tx1"/>
            </w14:solidFill>
          </w14:textFill>
        </w:rPr>
        <w:t>勾选</w:t>
      </w:r>
      <w:r>
        <w:rPr>
          <w:rFonts w:ascii="楷体_GB2312" w:eastAsia="楷体_GB2312"/>
          <w:color w:val="000000" w:themeColor="text1"/>
          <w:sz w:val="20"/>
          <w:szCs w:val="20"/>
          <w:highlight w:val="none"/>
          <w14:textFill>
            <w14:solidFill>
              <w14:schemeClr w14:val="tx1"/>
            </w14:solidFill>
          </w14:textFill>
        </w:rPr>
        <w:t>确认后生效。</w:t>
      </w:r>
    </w:p>
    <w:p w14:paraId="5377648D">
      <w:pPr>
        <w:pStyle w:val="20"/>
        <w:numPr>
          <w:ilvl w:val="255"/>
          <w:numId w:val="0"/>
        </w:numPr>
        <w:spacing w:line="300" w:lineRule="exact"/>
        <w:ind w:firstLine="400"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color w:val="000000" w:themeColor="text1"/>
          <w:sz w:val="20"/>
          <w:szCs w:val="20"/>
          <w:highlight w:val="none"/>
          <w14:textFill>
            <w14:solidFill>
              <w14:schemeClr w14:val="tx1"/>
            </w14:solidFill>
          </w14:textFill>
        </w:rPr>
        <w:t>2</w:t>
      </w:r>
      <w:r>
        <w:rPr>
          <w:rFonts w:ascii="楷体_GB2312" w:eastAsia="楷体_GB2312"/>
          <w:color w:val="000000" w:themeColor="text1"/>
          <w:sz w:val="20"/>
          <w:szCs w:val="20"/>
          <w:highlight w:val="none"/>
          <w14:textFill>
            <w14:solidFill>
              <w14:schemeClr w14:val="tx1"/>
            </w14:solidFill>
          </w14:textFill>
        </w:rPr>
        <w:t>．</w:t>
      </w:r>
      <w:r>
        <w:rPr>
          <w:rFonts w:hint="eastAsia" w:ascii="楷体_GB2312" w:eastAsia="楷体_GB2312"/>
          <w:color w:val="000000" w:themeColor="text1"/>
          <w:sz w:val="20"/>
          <w:szCs w:val="20"/>
          <w:highlight w:val="none"/>
          <w14:textFill>
            <w14:solidFill>
              <w14:schemeClr w14:val="tx1"/>
            </w14:solidFill>
          </w14:textFill>
        </w:rPr>
        <w:t>如</w:t>
      </w:r>
      <w:r>
        <w:rPr>
          <w:rFonts w:ascii="楷体_GB2312" w:eastAsia="楷体_GB2312"/>
          <w:color w:val="000000" w:themeColor="text1"/>
          <w:sz w:val="20"/>
          <w:szCs w:val="20"/>
          <w:highlight w:val="none"/>
          <w14:textFill>
            <w14:solidFill>
              <w14:schemeClr w14:val="tx1"/>
            </w14:solidFill>
          </w14:textFill>
        </w:rPr>
        <w:t>投资者通过</w:t>
      </w:r>
      <w:r>
        <w:rPr>
          <w:rFonts w:hint="eastAsia" w:ascii="楷体_GB2312" w:eastAsia="楷体_GB2312"/>
          <w:color w:val="000000" w:themeColor="text1"/>
          <w:sz w:val="20"/>
          <w:szCs w:val="20"/>
          <w:highlight w:val="none"/>
          <w14:textFill>
            <w14:solidFill>
              <w14:schemeClr w14:val="tx1"/>
            </w14:solidFill>
          </w14:textFill>
        </w:rPr>
        <w:t>信银</w:t>
      </w:r>
      <w:r>
        <w:rPr>
          <w:rFonts w:ascii="楷体_GB2312" w:eastAsia="楷体_GB2312"/>
          <w:color w:val="000000" w:themeColor="text1"/>
          <w:sz w:val="20"/>
          <w:szCs w:val="20"/>
          <w:highlight w:val="none"/>
          <w14:textFill>
            <w14:solidFill>
              <w14:schemeClr w14:val="tx1"/>
            </w14:solidFill>
          </w14:textFill>
        </w:rPr>
        <w:t>理财合作销售机构</w:t>
      </w:r>
      <w:r>
        <w:rPr>
          <w:rFonts w:hint="eastAsia" w:ascii="楷体_GB2312" w:eastAsia="楷体_GB2312"/>
          <w:color w:val="000000" w:themeColor="text1"/>
          <w:sz w:val="20"/>
          <w:szCs w:val="20"/>
          <w:highlight w:val="none"/>
          <w14:textFill>
            <w14:solidFill>
              <w14:schemeClr w14:val="tx1"/>
            </w14:solidFill>
          </w14:textFill>
        </w:rPr>
        <w:t>（代销机构）</w:t>
      </w:r>
      <w:r>
        <w:rPr>
          <w:rFonts w:ascii="楷体_GB2312" w:eastAsia="楷体_GB2312"/>
          <w:color w:val="000000" w:themeColor="text1"/>
          <w:sz w:val="20"/>
          <w:szCs w:val="20"/>
          <w:highlight w:val="none"/>
          <w14:textFill>
            <w14:solidFill>
              <w14:schemeClr w14:val="tx1"/>
            </w14:solidFill>
          </w14:textFill>
        </w:rPr>
        <w:t>购买理财产品的，</w:t>
      </w:r>
      <w:r>
        <w:rPr>
          <w:rFonts w:hint="eastAsia" w:ascii="楷体_GB2312" w:eastAsia="楷体_GB2312"/>
          <w:color w:val="000000" w:themeColor="text1"/>
          <w:sz w:val="20"/>
          <w:szCs w:val="20"/>
          <w:highlight w:val="none"/>
          <w14:textFill>
            <w14:solidFill>
              <w14:schemeClr w14:val="tx1"/>
            </w14:solidFill>
          </w14:textFill>
        </w:rPr>
        <w:t>说明书</w:t>
      </w:r>
      <w:r>
        <w:rPr>
          <w:rFonts w:ascii="楷体_GB2312" w:eastAsia="楷体_GB2312"/>
          <w:color w:val="000000" w:themeColor="text1"/>
          <w:sz w:val="20"/>
          <w:szCs w:val="20"/>
          <w:highlight w:val="none"/>
          <w14:textFill>
            <w14:solidFill>
              <w14:schemeClr w14:val="tx1"/>
            </w14:solidFill>
          </w14:textFill>
        </w:rPr>
        <w:t>签署及生效方式以</w:t>
      </w:r>
      <w:r>
        <w:rPr>
          <w:rFonts w:hint="eastAsia" w:ascii="楷体_GB2312" w:eastAsia="楷体_GB2312"/>
          <w:color w:val="000000" w:themeColor="text1"/>
          <w:sz w:val="20"/>
          <w:szCs w:val="20"/>
          <w:highlight w:val="none"/>
          <w14:textFill>
            <w14:solidFill>
              <w14:schemeClr w14:val="tx1"/>
            </w14:solidFill>
          </w14:textFill>
        </w:rPr>
        <w:t>投资者</w:t>
      </w:r>
      <w:r>
        <w:rPr>
          <w:rFonts w:ascii="楷体_GB2312" w:eastAsia="楷体_GB2312"/>
          <w:color w:val="000000" w:themeColor="text1"/>
          <w:sz w:val="20"/>
          <w:szCs w:val="20"/>
          <w:highlight w:val="none"/>
          <w14:textFill>
            <w14:solidFill>
              <w14:schemeClr w14:val="tx1"/>
            </w14:solidFill>
          </w14:textFill>
        </w:rPr>
        <w:t>与</w:t>
      </w:r>
      <w:r>
        <w:rPr>
          <w:rFonts w:hint="eastAsia" w:ascii="楷体_GB2312" w:eastAsia="楷体_GB2312"/>
          <w:color w:val="000000" w:themeColor="text1"/>
          <w:sz w:val="20"/>
          <w:szCs w:val="20"/>
          <w:highlight w:val="none"/>
          <w14:textFill>
            <w14:solidFill>
              <w14:schemeClr w14:val="tx1"/>
            </w14:solidFill>
          </w14:textFill>
        </w:rPr>
        <w:t>代销机构约定</w:t>
      </w:r>
      <w:r>
        <w:rPr>
          <w:rFonts w:ascii="楷体_GB2312" w:eastAsia="楷体_GB2312"/>
          <w:color w:val="000000" w:themeColor="text1"/>
          <w:sz w:val="20"/>
          <w:szCs w:val="20"/>
          <w:highlight w:val="none"/>
          <w14:textFill>
            <w14:solidFill>
              <w14:schemeClr w14:val="tx1"/>
            </w14:solidFill>
          </w14:textFill>
        </w:rPr>
        <w:t>为准。</w:t>
      </w:r>
    </w:p>
    <w:p w14:paraId="67BD9647">
      <w:pPr>
        <w:pStyle w:val="20"/>
        <w:spacing w:line="300" w:lineRule="exact"/>
        <w:ind w:left="786" w:right="36" w:rightChars="15" w:firstLine="0" w:firstLineChars="0"/>
        <w:rPr>
          <w:rFonts w:ascii="楷体_GB2312" w:eastAsia="楷体_GB2312"/>
          <w:color w:val="000000" w:themeColor="text1"/>
          <w:sz w:val="20"/>
          <w:szCs w:val="20"/>
          <w:highlight w:val="none"/>
          <w14:textFill>
            <w14:solidFill>
              <w14:schemeClr w14:val="tx1"/>
            </w14:solidFill>
          </w14:textFill>
        </w:rPr>
      </w:pPr>
    </w:p>
    <w:p w14:paraId="0C94B904">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十九、争议解决</w:t>
      </w:r>
    </w:p>
    <w:p w14:paraId="53FC01F4">
      <w:pPr>
        <w:spacing w:line="300" w:lineRule="exact"/>
        <w:ind w:firstLine="402" w:firstLineChars="200"/>
        <w:jc w:val="both"/>
        <w:rPr>
          <w:rFonts w:ascii="Times New Roman" w:hAnsi="Times New Roman" w:eastAsia="楷体_GB2312" w:cs="Times New Roman"/>
          <w:b/>
          <w:bCs/>
          <w:sz w:val="20"/>
          <w:szCs w:val="20"/>
          <w:highlight w:val="none"/>
        </w:rPr>
      </w:pPr>
      <w:r>
        <w:rPr>
          <w:rFonts w:ascii="楷体_GB2312" w:eastAsia="楷体_GB2312" w:cs="楷体_GB2312"/>
          <w:b/>
          <w:color w:val="000000" w:themeColor="text1"/>
          <w:sz w:val="20"/>
          <w:szCs w:val="20"/>
          <w:highlight w:val="none"/>
          <w14:textFill>
            <w14:solidFill>
              <w14:schemeClr w14:val="tx1"/>
            </w14:solidFill>
          </w14:textFill>
        </w:rPr>
        <w:t>1．</w:t>
      </w:r>
      <w:r>
        <w:rPr>
          <w:rFonts w:hint="eastAsia" w:ascii="Times New Roman" w:hAnsi="Times New Roman" w:eastAsia="楷体_GB2312" w:cs="Times New Roman"/>
          <w:b/>
          <w:sz w:val="20"/>
          <w:szCs w:val="20"/>
          <w:highlight w:val="none"/>
        </w:rPr>
        <w:t>理财产品合同适用中华人民共和国法律（为履行理财产品合同之目的，不包括中国香港特别行政区、澳门特别行政区及台湾地区法律）。</w:t>
      </w:r>
    </w:p>
    <w:p w14:paraId="6763ACAA">
      <w:pPr>
        <w:spacing w:line="300" w:lineRule="exact"/>
        <w:ind w:firstLine="402" w:firstLineChars="200"/>
        <w:jc w:val="both"/>
        <w:rPr>
          <w:rFonts w:ascii="Times New Roman" w:hAnsi="Times New Roman" w:eastAsia="楷体_GB2312" w:cs="Times New Roman"/>
          <w:b/>
          <w:bCs/>
          <w:sz w:val="20"/>
          <w:szCs w:val="20"/>
          <w:highlight w:val="none"/>
        </w:rPr>
      </w:pPr>
      <w:r>
        <w:rPr>
          <w:rFonts w:hint="eastAsia" w:ascii="楷体_GB2312" w:eastAsia="楷体_GB2312"/>
          <w:b/>
          <w:color w:val="000000" w:themeColor="text1"/>
          <w:sz w:val="20"/>
          <w:szCs w:val="20"/>
          <w:highlight w:val="none"/>
          <w:lang w:val="en-US" w:eastAsia="zh-CN"/>
          <w14:textFill>
            <w14:solidFill>
              <w14:schemeClr w14:val="tx1"/>
            </w14:solidFill>
          </w14:textFill>
        </w:rPr>
        <w:t>2</w:t>
      </w:r>
      <w:r>
        <w:rPr>
          <w:rFonts w:ascii="楷体_GB2312" w:eastAsia="楷体_GB2312"/>
          <w:b/>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b/>
          <w:bCs/>
          <w:sz w:val="20"/>
          <w:szCs w:val="20"/>
          <w:highlight w:val="none"/>
        </w:rPr>
        <w:t>凡因理财产品合同引起的或与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hint="eastAsia" w:ascii="Times New Roman" w:hAnsi="Times New Roman" w:eastAsia="楷体_GB2312" w:cs="Times New Roman"/>
          <w:b/>
          <w:bCs/>
          <w:sz w:val="20"/>
          <w:szCs w:val="20"/>
          <w:highlight w:val="none"/>
          <w:lang w:eastAsia="zh-CN"/>
        </w:rPr>
        <w:t>、</w:t>
      </w:r>
      <w:r>
        <w:rPr>
          <w:rFonts w:hint="eastAsia" w:ascii="Times New Roman" w:hAnsi="Times New Roman" w:eastAsia="楷体_GB2312" w:cs="Times New Roman"/>
          <w:b/>
          <w:bCs/>
          <w:sz w:val="20"/>
          <w:szCs w:val="20"/>
          <w:highlight w:val="none"/>
        </w:rPr>
        <w:t>律师费</w:t>
      </w:r>
      <w:r>
        <w:rPr>
          <w:rFonts w:hint="eastAsia" w:ascii="Times New Roman" w:hAnsi="Times New Roman" w:eastAsia="楷体_GB2312" w:cs="Times New Roman"/>
          <w:b/>
          <w:bCs/>
          <w:sz w:val="20"/>
          <w:szCs w:val="20"/>
          <w:highlight w:val="none"/>
          <w:lang w:eastAsia="zh-CN"/>
        </w:rPr>
        <w:t>、</w:t>
      </w:r>
      <w:r>
        <w:rPr>
          <w:rFonts w:hint="eastAsia" w:ascii="Times New Roman" w:hAnsi="Times New Roman" w:eastAsia="楷体_GB2312" w:cs="Times New Roman"/>
          <w:b/>
          <w:bCs/>
          <w:sz w:val="20"/>
          <w:szCs w:val="20"/>
          <w:highlight w:val="none"/>
          <w:lang w:val="en-US" w:eastAsia="zh-CN"/>
        </w:rPr>
        <w:t>保全担保费等</w:t>
      </w:r>
      <w:r>
        <w:rPr>
          <w:rFonts w:hint="eastAsia" w:ascii="Times New Roman" w:hAnsi="Times New Roman" w:eastAsia="楷体_GB2312" w:cs="Times New Roman"/>
          <w:b/>
          <w:bCs/>
          <w:sz w:val="20"/>
          <w:szCs w:val="20"/>
          <w:highlight w:val="none"/>
        </w:rPr>
        <w:t>）由败诉方承担。</w:t>
      </w:r>
    </w:p>
    <w:p w14:paraId="7FFDA4E7">
      <w:pPr>
        <w:spacing w:line="300" w:lineRule="exact"/>
        <w:ind w:firstLine="402" w:firstLineChars="200"/>
        <w:jc w:val="both"/>
        <w:rPr>
          <w:rFonts w:ascii="楷体_GB2312" w:eastAsia="楷体_GB2312"/>
          <w:color w:val="000000" w:themeColor="text1"/>
          <w:sz w:val="20"/>
          <w:szCs w:val="20"/>
          <w:highlight w:val="none"/>
          <w14:textFill>
            <w14:solidFill>
              <w14:schemeClr w14:val="tx1"/>
            </w14:solidFill>
          </w14:textFill>
        </w:rPr>
      </w:pPr>
      <w:r>
        <w:rPr>
          <w:rFonts w:hint="eastAsia" w:ascii="楷体_GB2312" w:eastAsia="楷体_GB2312"/>
          <w:b/>
          <w:color w:val="000000" w:themeColor="text1"/>
          <w:sz w:val="20"/>
          <w:szCs w:val="20"/>
          <w:highlight w:val="none"/>
          <w:lang w:val="en-US" w:eastAsia="zh-CN"/>
          <w14:textFill>
            <w14:solidFill>
              <w14:schemeClr w14:val="tx1"/>
            </w14:solidFill>
          </w14:textFill>
        </w:rPr>
        <w:t>3</w:t>
      </w:r>
      <w:r>
        <w:rPr>
          <w:rFonts w:ascii="楷体_GB2312" w:eastAsia="楷体_GB2312"/>
          <w:b/>
          <w:color w:val="000000" w:themeColor="text1"/>
          <w:sz w:val="20"/>
          <w:szCs w:val="20"/>
          <w:highlight w:val="none"/>
          <w14:textFill>
            <w14:solidFill>
              <w14:schemeClr w14:val="tx1"/>
            </w14:solidFill>
          </w14:textFill>
        </w:rPr>
        <w:t>．</w:t>
      </w:r>
      <w:r>
        <w:rPr>
          <w:rFonts w:hint="eastAsia" w:ascii="Times New Roman" w:hAnsi="Times New Roman" w:eastAsia="楷体_GB2312" w:cs="Times New Roman"/>
          <w:b/>
          <w:bCs/>
          <w:sz w:val="20"/>
          <w:szCs w:val="20"/>
          <w:highlight w:val="none"/>
        </w:rPr>
        <w:t>在协商或仲裁期间，对于理财产品合同不涉及争议部分的条款，双方仍须履行。</w:t>
      </w:r>
    </w:p>
    <w:p w14:paraId="7F9BE105">
      <w:pPr>
        <w:spacing w:line="300" w:lineRule="exact"/>
        <w:ind w:left="-2" w:right="36" w:rightChars="15" w:firstLine="428" w:firstLineChars="214"/>
        <w:rPr>
          <w:rFonts w:ascii="楷体_GB2312" w:eastAsia="楷体_GB2312"/>
          <w:color w:val="000000" w:themeColor="text1"/>
          <w:sz w:val="20"/>
          <w:szCs w:val="20"/>
          <w:highlight w:val="none"/>
          <w14:textFill>
            <w14:solidFill>
              <w14:schemeClr w14:val="tx1"/>
            </w14:solidFill>
          </w14:textFill>
        </w:rPr>
      </w:pPr>
    </w:p>
    <w:p w14:paraId="7438E816">
      <w:pPr>
        <w:spacing w:line="300" w:lineRule="exact"/>
        <w:ind w:left="400" w:right="29" w:rightChars="12" w:hanging="400" w:hangingChars="200"/>
        <w:rPr>
          <w:rFonts w:ascii="黑体" w:hAnsi="Times New Roman" w:eastAsia="黑体" w:cs="黑体"/>
          <w:color w:val="000000" w:themeColor="text1"/>
          <w:sz w:val="20"/>
          <w:szCs w:val="20"/>
          <w:highlight w:val="none"/>
          <w14:textFill>
            <w14:solidFill>
              <w14:schemeClr w14:val="tx1"/>
            </w14:solidFill>
          </w14:textFill>
        </w:rPr>
      </w:pPr>
      <w:r>
        <w:rPr>
          <w:rFonts w:hint="eastAsia" w:ascii="黑体" w:hAnsi="Times New Roman" w:eastAsia="黑体" w:cs="黑体"/>
          <w:color w:val="000000" w:themeColor="text1"/>
          <w:sz w:val="20"/>
          <w:szCs w:val="20"/>
          <w:highlight w:val="none"/>
          <w14:textFill>
            <w14:solidFill>
              <w14:schemeClr w14:val="tx1"/>
            </w14:solidFill>
          </w14:textFill>
        </w:rPr>
        <w:t>（以下无正文）</w:t>
      </w:r>
    </w:p>
    <w:p w14:paraId="02C242E4">
      <w:pPr>
        <w:rPr>
          <w:rFonts w:ascii="黑体" w:hAnsi="Times New Roman" w:eastAsia="黑体" w:cs="黑体"/>
          <w:color w:val="000000" w:themeColor="text1"/>
          <w:sz w:val="20"/>
          <w:szCs w:val="20"/>
          <w:highlight w:val="none"/>
          <w14:textFill>
            <w14:solidFill>
              <w14:schemeClr w14:val="tx1"/>
            </w14:solidFill>
          </w14:textFill>
        </w:rPr>
      </w:pPr>
      <w:r>
        <w:rPr>
          <w:rFonts w:ascii="黑体" w:hAnsi="Times New Roman" w:eastAsia="黑体" w:cs="黑体"/>
          <w:color w:val="000000" w:themeColor="text1"/>
          <w:sz w:val="20"/>
          <w:szCs w:val="20"/>
          <w:highlight w:val="none"/>
          <w14:textFill>
            <w14:solidFill>
              <w14:schemeClr w14:val="tx1"/>
            </w14:solidFill>
          </w14:textFill>
        </w:rPr>
        <w:br w:type="page"/>
      </w:r>
    </w:p>
    <w:p w14:paraId="6A77407E">
      <w:pPr>
        <w:spacing w:before="100" w:beforeAutospacing="1" w:after="100" w:afterAutospacing="1"/>
        <w:rPr>
          <w:rFonts w:ascii="楷体_GB2312" w:eastAsia="楷体_GB2312"/>
          <w:color w:val="000000" w:themeColor="text1"/>
          <w:sz w:val="20"/>
          <w:szCs w:val="20"/>
          <w:highlight w:val="none"/>
          <w14:textFill>
            <w14:solidFill>
              <w14:schemeClr w14:val="tx1"/>
            </w14:solidFill>
          </w14:textFill>
        </w:rPr>
      </w:pPr>
      <w:r>
        <w:rPr>
          <w:rFonts w:ascii="楷体_GB2312" w:eastAsia="楷体_GB2312"/>
          <w:color w:val="000000" w:themeColor="text1"/>
          <w:sz w:val="20"/>
          <w:szCs w:val="20"/>
          <w:highlight w:val="none"/>
          <w:u w:val="single"/>
          <w14:textFill>
            <w14:solidFill>
              <w14:schemeClr w14:val="tx1"/>
            </w14:solidFill>
          </w14:textFill>
        </w:rPr>
        <w:t>                                       </w:t>
      </w:r>
    </w:p>
    <w:p w14:paraId="59071E3C">
      <w:pPr>
        <w:rPr>
          <w:rFonts w:ascii="黑体" w:eastAsia="黑体"/>
          <w:b/>
          <w:bCs/>
          <w:color w:val="000000"/>
          <w:highlight w:val="none"/>
        </w:rPr>
      </w:pPr>
      <w:r>
        <w:rPr>
          <w:rFonts w:hint="eastAsia" w:ascii="黑体" w:eastAsia="黑体"/>
          <w:b/>
          <w:bCs/>
          <w:color w:val="000000"/>
          <w:highlight w:val="none"/>
        </w:rPr>
        <w:t>【重要提示：信银理财已提请投资者注意本产品说明书项下免除或限制其责任的条款以及争议解决条款，并已按投资者要求对有关条款予以充分说明。投资者在本产品说明书上签字</w:t>
      </w:r>
      <w:r>
        <w:rPr>
          <w:rFonts w:ascii="黑体" w:eastAsia="黑体"/>
          <w:b/>
          <w:bCs/>
          <w:color w:val="000000"/>
          <w:highlight w:val="none"/>
        </w:rPr>
        <w:t>/盖章或在线</w:t>
      </w:r>
      <w:r>
        <w:rPr>
          <w:rFonts w:hint="eastAsia" w:ascii="黑体" w:eastAsia="黑体"/>
          <w:b/>
          <w:bCs/>
          <w:color w:val="000000"/>
          <w:highlight w:val="none"/>
        </w:rPr>
        <w:t>点击</w:t>
      </w:r>
      <w:r>
        <w:rPr>
          <w:rFonts w:ascii="黑体" w:eastAsia="黑体"/>
          <w:b/>
          <w:bCs/>
          <w:color w:val="000000"/>
          <w:highlight w:val="none"/>
        </w:rPr>
        <w:t>确认</w:t>
      </w:r>
      <w:r>
        <w:rPr>
          <w:rFonts w:hint="eastAsia" w:ascii="黑体" w:eastAsia="黑体"/>
          <w:b/>
          <w:bCs/>
          <w:color w:val="000000"/>
          <w:highlight w:val="none"/>
        </w:rPr>
        <w:t>即表示已知晓并同意本产品说明书的全部</w:t>
      </w:r>
      <w:r>
        <w:rPr>
          <w:rFonts w:ascii="黑体" w:eastAsia="黑体"/>
          <w:b/>
          <w:bCs/>
          <w:color w:val="000000"/>
          <w:highlight w:val="none"/>
        </w:rPr>
        <w:t>内容</w:t>
      </w:r>
      <w:r>
        <w:rPr>
          <w:rFonts w:hint="eastAsia" w:ascii="黑体" w:eastAsia="黑体"/>
          <w:b/>
          <w:bCs/>
          <w:color w:val="000000"/>
          <w:highlight w:val="none"/>
        </w:rPr>
        <w:t>，因此请您务必仔细阅读后再签署本产品说明书。】</w:t>
      </w:r>
    </w:p>
    <w:p w14:paraId="1CBB1673">
      <w:pPr>
        <w:spacing w:line="300" w:lineRule="exact"/>
        <w:ind w:left="-2" w:leftChars="-1" w:right="36" w:rightChars="15"/>
        <w:rPr>
          <w:rFonts w:ascii="黑体" w:hAnsi="Times New Roman" w:eastAsia="黑体"/>
          <w:color w:val="000000" w:themeColor="text1"/>
          <w:highlight w:val="none"/>
          <w14:textFill>
            <w14:solidFill>
              <w14:schemeClr w14:val="tx1"/>
            </w14:solidFill>
          </w14:textFill>
        </w:rPr>
      </w:pPr>
    </w:p>
    <w:p w14:paraId="36531B80">
      <w:pPr>
        <w:spacing w:line="300" w:lineRule="exact"/>
        <w:ind w:left="-2" w:leftChars="-1" w:right="36" w:rightChars="15"/>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个人客户（签字）：</w:t>
      </w:r>
      <w:r>
        <w:rPr>
          <w:rFonts w:ascii="黑体" w:hAnsi="Times New Roman" w:eastAsia="黑体"/>
          <w:color w:val="000000" w:themeColor="text1"/>
          <w:highlight w:val="none"/>
          <w14:textFill>
            <w14:solidFill>
              <w14:schemeClr w14:val="tx1"/>
            </w14:solidFill>
          </w14:textFill>
        </w:rPr>
        <w:t xml:space="preserve">            </w:t>
      </w:r>
    </w:p>
    <w:p w14:paraId="12D9C461">
      <w:pPr>
        <w:ind w:right="440"/>
        <w:rPr>
          <w:rFonts w:ascii="Arial" w:hAnsi="Arial" w:cs="Arial"/>
          <w:color w:val="000000" w:themeColor="text1"/>
          <w:sz w:val="15"/>
          <w:szCs w:val="15"/>
          <w:highlight w:val="none"/>
          <w14:textFill>
            <w14:solidFill>
              <w14:schemeClr w14:val="tx1"/>
            </w14:solidFill>
          </w14:textFill>
        </w:rPr>
      </w:pPr>
      <w:r>
        <w:rPr>
          <w:rFonts w:ascii="黑体" w:hAnsi="Times New Roman" w:eastAsia="黑体" w:cs="Arial"/>
          <w:color w:val="000000" w:themeColor="text1"/>
          <w:highlight w:val="none"/>
          <w14:textFill>
            <w14:solidFill>
              <w14:schemeClr w14:val="tx1"/>
            </w14:solidFill>
          </w14:textFill>
        </w:rPr>
        <w:t xml:space="preserve">                                  </w:t>
      </w:r>
    </w:p>
    <w:p w14:paraId="590A09A4">
      <w:pPr>
        <w:ind w:left="4440" w:right="440" w:hanging="4440" w:hangingChars="1850"/>
        <w:rPr>
          <w:rFonts w:ascii="Arial" w:hAnsi="Arial" w:cs="Arial"/>
          <w:color w:val="000000" w:themeColor="text1"/>
          <w:sz w:val="15"/>
          <w:szCs w:val="15"/>
          <w:highlight w:val="none"/>
          <w14:textFill>
            <w14:solidFill>
              <w14:schemeClr w14:val="tx1"/>
            </w14:solidFill>
          </w14:textFill>
        </w:rPr>
      </w:pPr>
      <w:r>
        <w:rPr>
          <w:rFonts w:hint="eastAsia" w:ascii="黑体" w:hAnsi="Times New Roman" w:eastAsia="黑体" w:cs="Arial"/>
          <w:color w:val="000000" w:themeColor="text1"/>
          <w:highlight w:val="none"/>
          <w14:textFill>
            <w14:solidFill>
              <w14:schemeClr w14:val="tx1"/>
            </w14:solidFill>
          </w14:textFill>
        </w:rPr>
        <w:t xml:space="preserve">日期：年 月 日                      </w:t>
      </w:r>
      <w:r>
        <w:rPr>
          <w:rFonts w:ascii="黑体" w:hAnsi="Times New Roman" w:eastAsia="黑体" w:cs="Arial"/>
          <w:color w:val="000000" w:themeColor="text1"/>
          <w:highlight w:val="none"/>
          <w14:textFill>
            <w14:solidFill>
              <w14:schemeClr w14:val="tx1"/>
            </w14:solidFill>
          </w14:textFill>
        </w:rPr>
        <w:t xml:space="preserve"> </w:t>
      </w:r>
    </w:p>
    <w:p w14:paraId="77FB3896">
      <w:pPr>
        <w:ind w:right="-902" w:rightChars="-376"/>
        <w:rPr>
          <w:color w:val="000000" w:themeColor="text1"/>
          <w:highlight w:val="none"/>
          <w14:textFill>
            <w14:solidFill>
              <w14:schemeClr w14:val="tx1"/>
            </w14:solidFill>
          </w14:textFill>
        </w:rPr>
      </w:pPr>
      <w:r>
        <w:rPr>
          <w:rFonts w:ascii="黑体" w:hAnsi="Times New Roman" w:eastAsia="黑体"/>
          <w:color w:val="000000" w:themeColor="text1"/>
          <w:highlight w:val="none"/>
          <w14:textFill>
            <w14:solidFill>
              <w14:schemeClr w14:val="tx1"/>
            </w14:solidFill>
          </w14:textFill>
        </w:rPr>
        <w:t> </w:t>
      </w:r>
    </w:p>
    <w:p w14:paraId="7DF61205">
      <w:pPr>
        <w:ind w:right="-902" w:rightChars="-376"/>
        <w:rPr>
          <w:rFonts w:ascii="黑体" w:hAnsi="Times New Roman" w:eastAsia="黑体"/>
          <w:color w:val="000000" w:themeColor="text1"/>
          <w:highlight w:val="none"/>
          <w14:textFill>
            <w14:solidFill>
              <w14:schemeClr w14:val="tx1"/>
            </w14:solidFill>
          </w14:textFill>
        </w:rPr>
      </w:pPr>
    </w:p>
    <w:p w14:paraId="268B66FA">
      <w:pPr>
        <w:ind w:right="-902" w:rightChars="-376"/>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机构客户（</w:t>
      </w:r>
      <w:r>
        <w:rPr>
          <w:rFonts w:hint="eastAsia" w:ascii="黑体" w:hAnsi="Times New Roman" w:eastAsia="黑体"/>
          <w:color w:val="000000" w:themeColor="text1"/>
          <w:highlight w:val="none"/>
          <w:lang w:val="en-US" w:eastAsia="zh-CN"/>
          <w14:textFill>
            <w14:solidFill>
              <w14:schemeClr w14:val="tx1"/>
            </w14:solidFill>
          </w14:textFill>
        </w:rPr>
        <w:t>盖章</w:t>
      </w:r>
      <w:r>
        <w:rPr>
          <w:rFonts w:hint="eastAsia" w:ascii="黑体" w:hAnsi="Times New Roman" w:eastAsia="黑体"/>
          <w:color w:val="000000" w:themeColor="text1"/>
          <w:highlight w:val="none"/>
          <w14:textFill>
            <w14:solidFill>
              <w14:schemeClr w14:val="tx1"/>
            </w14:solidFill>
          </w14:textFill>
        </w:rPr>
        <w:t>）：</w:t>
      </w:r>
      <w:r>
        <w:rPr>
          <w:rFonts w:ascii="黑体" w:hAnsi="Times New Roman" w:eastAsia="黑体"/>
          <w:color w:val="000000" w:themeColor="text1"/>
          <w:highlight w:val="none"/>
          <w14:textFill>
            <w14:solidFill>
              <w14:schemeClr w14:val="tx1"/>
            </w14:solidFill>
          </w14:textFill>
        </w:rPr>
        <w:t xml:space="preserve">                    </w:t>
      </w:r>
    </w:p>
    <w:p w14:paraId="7BC033DC">
      <w:pPr>
        <w:ind w:right="-902" w:rightChars="-376"/>
        <w:rPr>
          <w:color w:val="000000" w:themeColor="text1"/>
          <w:highlight w:val="none"/>
          <w14:textFill>
            <w14:solidFill>
              <w14:schemeClr w14:val="tx1"/>
            </w14:solidFill>
          </w14:textFill>
        </w:rPr>
      </w:pPr>
      <w:r>
        <w:rPr>
          <w:rFonts w:ascii="黑体" w:hAnsi="Times New Roman" w:eastAsia="黑体"/>
          <w:color w:val="000000" w:themeColor="text1"/>
          <w:highlight w:val="none"/>
          <w14:textFill>
            <w14:solidFill>
              <w14:schemeClr w14:val="tx1"/>
            </w14:solidFill>
          </w14:textFill>
        </w:rPr>
        <w:t> </w:t>
      </w:r>
    </w:p>
    <w:p w14:paraId="0771BA6F">
      <w:pPr>
        <w:ind w:right="-902" w:rightChars="-376"/>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法定代表人或负责人（签字或签章）：</w:t>
      </w:r>
    </w:p>
    <w:p w14:paraId="58BC0A8A">
      <w:pPr>
        <w:ind w:right="-902" w:rightChars="-376"/>
        <w:rPr>
          <w:color w:val="000000" w:themeColor="text1"/>
          <w:highlight w:val="none"/>
          <w14:textFill>
            <w14:solidFill>
              <w14:schemeClr w14:val="tx1"/>
            </w14:solidFill>
          </w14:textFill>
        </w:rPr>
      </w:pPr>
      <w:r>
        <w:rPr>
          <w:rFonts w:ascii="黑体" w:hAnsi="Times New Roman" w:eastAsia="黑体"/>
          <w:color w:val="000000" w:themeColor="text1"/>
          <w:highlight w:val="none"/>
          <w14:textFill>
            <w14:solidFill>
              <w14:schemeClr w14:val="tx1"/>
            </w14:solidFill>
          </w14:textFill>
        </w:rPr>
        <w:t> </w:t>
      </w:r>
    </w:p>
    <w:p w14:paraId="7CB3F808">
      <w:pPr>
        <w:ind w:right="-902" w:rightChars="-376"/>
        <w:rPr>
          <w:color w:val="000000" w:themeColor="text1"/>
          <w:highlight w:val="none"/>
          <w14:textFill>
            <w14:solidFill>
              <w14:schemeClr w14:val="tx1"/>
            </w14:solidFill>
          </w14:textFill>
        </w:rPr>
      </w:pPr>
      <w:r>
        <w:rPr>
          <w:rFonts w:hint="eastAsia" w:ascii="黑体" w:hAnsi="Times New Roman" w:eastAsia="黑体"/>
          <w:color w:val="000000" w:themeColor="text1"/>
          <w:highlight w:val="none"/>
          <w14:textFill>
            <w14:solidFill>
              <w14:schemeClr w14:val="tx1"/>
            </w14:solidFill>
          </w14:textFill>
        </w:rPr>
        <w:t>日期：年</w:t>
      </w:r>
      <w:r>
        <w:rPr>
          <w:rFonts w:ascii="黑体" w:hAnsi="Times New Roman" w:eastAsia="黑体"/>
          <w:color w:val="000000" w:themeColor="text1"/>
          <w:highlight w:val="none"/>
          <w14:textFill>
            <w14:solidFill>
              <w14:schemeClr w14:val="tx1"/>
            </w14:solidFill>
          </w14:textFill>
        </w:rPr>
        <w:t xml:space="preserve"> </w:t>
      </w:r>
      <w:r>
        <w:rPr>
          <w:rFonts w:hint="eastAsia" w:ascii="黑体" w:hAnsi="Times New Roman" w:eastAsia="黑体"/>
          <w:color w:val="000000" w:themeColor="text1"/>
          <w:highlight w:val="none"/>
          <w14:textFill>
            <w14:solidFill>
              <w14:schemeClr w14:val="tx1"/>
            </w14:solidFill>
          </w14:textFill>
        </w:rPr>
        <w:t>月</w:t>
      </w:r>
      <w:r>
        <w:rPr>
          <w:rFonts w:ascii="黑体" w:hAnsi="Times New Roman" w:eastAsia="黑体"/>
          <w:color w:val="000000" w:themeColor="text1"/>
          <w:highlight w:val="none"/>
          <w14:textFill>
            <w14:solidFill>
              <w14:schemeClr w14:val="tx1"/>
            </w14:solidFill>
          </w14:textFill>
        </w:rPr>
        <w:t xml:space="preserve"> </w:t>
      </w:r>
      <w:r>
        <w:rPr>
          <w:rFonts w:hint="eastAsia" w:ascii="黑体" w:hAnsi="Times New Roman" w:eastAsia="黑体"/>
          <w:color w:val="000000" w:themeColor="text1"/>
          <w:highlight w:val="none"/>
          <w14:textFill>
            <w14:solidFill>
              <w14:schemeClr w14:val="tx1"/>
            </w14:solidFill>
          </w14:textFill>
        </w:rPr>
        <w:t>日</w:t>
      </w:r>
    </w:p>
    <w:p w14:paraId="615BD310">
      <w:pPr>
        <w:snapToGrid w:val="0"/>
        <w:ind w:right="53" w:rightChars="22"/>
        <w:outlineLvl w:val="0"/>
        <w:rPr>
          <w:highlight w:val="none"/>
        </w:rPr>
      </w:pPr>
    </w:p>
    <w:p w14:paraId="453C017E">
      <w:pPr>
        <w:snapToGrid w:val="0"/>
        <w:ind w:right="53" w:rightChars="22"/>
        <w:outlineLvl w:val="0"/>
        <w:rPr>
          <w:highlight w:val="none"/>
        </w:rPr>
      </w:pPr>
    </w:p>
    <w:p w14:paraId="18F5FA32">
      <w:pPr>
        <w:snapToGrid w:val="0"/>
        <w:ind w:right="53" w:rightChars="22"/>
        <w:outlineLvl w:val="0"/>
        <w:rPr>
          <w:highlight w:val="none"/>
        </w:rPr>
      </w:pPr>
    </w:p>
    <w:sectPr>
      <w:headerReference r:id="rId3" w:type="default"/>
      <w:footerReference r:id="rId4" w:type="default"/>
      <w:pgSz w:w="11906" w:h="16838"/>
      <w:pgMar w:top="1440" w:right="1797" w:bottom="1440" w:left="1797" w:header="850" w:footer="992"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9B7B">
    <w:pPr>
      <w:pStyle w:val="4"/>
      <w:jc w:val="center"/>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第</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16</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r>
      <w:rPr>
        <w:color w:val="000000" w:themeColor="text1"/>
        <w:lang w:val="zh-CN"/>
        <w14:textFill>
          <w14:solidFill>
            <w14:schemeClr w14:val="tx1"/>
          </w14:solidFill>
        </w14:textFill>
      </w:rPr>
      <w:t xml:space="preserve"> </w:t>
    </w:r>
    <w:r>
      <w:rPr>
        <w:rFonts w:hint="eastAsia"/>
        <w:color w:val="000000" w:themeColor="text1"/>
        <w:lang w:val="zh-CN"/>
        <w14:textFill>
          <w14:solidFill>
            <w14:schemeClr w14:val="tx1"/>
          </w14:solidFill>
        </w14:textFill>
      </w:rPr>
      <w:t>，共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SECTIONPAGES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p>
  <w:p w14:paraId="4F3E38C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96928"/>
    <w:multiLevelType w:val="singleLevel"/>
    <w:tmpl w:val="C6896928"/>
    <w:lvl w:ilvl="0" w:tentative="0">
      <w:start w:val="1"/>
      <w:numFmt w:val="decimal"/>
      <w:lvlText w:val="%1."/>
      <w:lvlJc w:val="left"/>
      <w:pPr>
        <w:ind w:left="425" w:hanging="425"/>
      </w:pPr>
      <w:rPr>
        <w:rFonts w:hint="default"/>
      </w:rPr>
    </w:lvl>
  </w:abstractNum>
  <w:abstractNum w:abstractNumId="1">
    <w:nsid w:val="1B8E6008"/>
    <w:multiLevelType w:val="multilevel"/>
    <w:tmpl w:val="1B8E600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D33B429"/>
    <w:multiLevelType w:val="singleLevel"/>
    <w:tmpl w:val="2D33B429"/>
    <w:lvl w:ilvl="0" w:tentative="0">
      <w:start w:val="2"/>
      <w:numFmt w:val="decimal"/>
      <w:suff w:val="space"/>
      <w:lvlText w:val="%1."/>
      <w:lvlJc w:val="left"/>
    </w:lvl>
  </w:abstractNum>
  <w:abstractNum w:abstractNumId="3">
    <w:nsid w:val="320240BE"/>
    <w:multiLevelType w:val="multilevel"/>
    <w:tmpl w:val="320240BE"/>
    <w:lvl w:ilvl="0" w:tentative="0">
      <w:start w:val="1"/>
      <w:numFmt w:val="decimal"/>
      <w:lvlText w:val="%1."/>
      <w:lvlJc w:val="left"/>
      <w:pPr>
        <w:ind w:left="358" w:hanging="36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4">
    <w:nsid w:val="377E1DBC"/>
    <w:multiLevelType w:val="multilevel"/>
    <w:tmpl w:val="377E1DBC"/>
    <w:lvl w:ilvl="0" w:tentative="0">
      <w:start w:val="1"/>
      <w:numFmt w:val="lowerLetter"/>
      <w:lvlText w:val="%1."/>
      <w:lvlJc w:val="left"/>
      <w:pPr>
        <w:ind w:left="358" w:hanging="36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5">
    <w:nsid w:val="37877AB9"/>
    <w:multiLevelType w:val="multilevel"/>
    <w:tmpl w:val="37877AB9"/>
    <w:lvl w:ilvl="0" w:tentative="0">
      <w:start w:val="1"/>
      <w:numFmt w:val="decimal"/>
      <w:lvlText w:val="%1."/>
      <w:lvlJc w:val="left"/>
      <w:pPr>
        <w:ind w:left="358" w:hanging="360"/>
      </w:pPr>
      <w:rPr>
        <w:rFonts w:hint="default" w:ascii="楷体_GB2312" w:hAnsi="宋体" w:cs="楷体_GB2312"/>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6">
    <w:nsid w:val="41837C58"/>
    <w:multiLevelType w:val="multilevel"/>
    <w:tmpl w:val="41837C58"/>
    <w:lvl w:ilvl="0" w:tentative="0">
      <w:start w:val="7"/>
      <w:numFmt w:val="japaneseCounting"/>
      <w:lvlText w:val="%1、"/>
      <w:lvlJc w:val="left"/>
      <w:pPr>
        <w:ind w:left="390" w:hanging="390"/>
      </w:pPr>
      <w:rPr>
        <w:rFonts w:hint="default"/>
      </w:rPr>
    </w:lvl>
    <w:lvl w:ilvl="1" w:tentative="0">
      <w:start w:val="2"/>
      <w:numFmt w:val="japaneseCounting"/>
      <w:lvlText w:val="（%2）"/>
      <w:lvlJc w:val="left"/>
      <w:pPr>
        <w:ind w:left="1140" w:hanging="720"/>
      </w:pPr>
      <w:rPr>
        <w:rFonts w:hint="default" w:ascii="黑体" w:hAnsi="Times New Roman" w:eastAsia="黑体" w:cs="黑体"/>
        <w:sz w:val="20"/>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2360528"/>
    <w:multiLevelType w:val="multilevel"/>
    <w:tmpl w:val="62360528"/>
    <w:lvl w:ilvl="0" w:tentative="0">
      <w:start w:val="1"/>
      <w:numFmt w:val="decimal"/>
      <w:lvlText w:val="%1."/>
      <w:lvlJc w:val="left"/>
      <w:pPr>
        <w:ind w:left="358" w:hanging="360"/>
      </w:pPr>
      <w:rPr>
        <w:rFonts w:hint="default" w:ascii="楷体_GB2312" w:hAnsi="宋体" w:cs="楷体_GB2312"/>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8">
    <w:nsid w:val="70C8692D"/>
    <w:multiLevelType w:val="multilevel"/>
    <w:tmpl w:val="70C8692D"/>
    <w:lvl w:ilvl="0" w:tentative="0">
      <w:start w:val="1"/>
      <w:numFmt w:val="decimal"/>
      <w:lvlText w:val="%1."/>
      <w:lvlJc w:val="left"/>
      <w:pPr>
        <w:ind w:left="358" w:hanging="360"/>
      </w:pPr>
      <w:rPr>
        <w:rFonts w:ascii="楷体_GB2312" w:hAnsi="宋体" w:eastAsia="楷体_GB2312" w:cs="楷体_GB2312"/>
      </w:rPr>
    </w:lvl>
    <w:lvl w:ilvl="1" w:tentative="0">
      <w:start w:val="1"/>
      <w:numFmt w:val="lowerLetter"/>
      <w:lvlText w:val="%2."/>
      <w:lvlJc w:val="left"/>
      <w:pPr>
        <w:ind w:left="1078" w:hanging="360"/>
      </w:pPr>
    </w:lvl>
    <w:lvl w:ilvl="2" w:tentative="0">
      <w:start w:val="1"/>
      <w:numFmt w:val="lowerRoman"/>
      <w:lvlText w:val="%3."/>
      <w:lvlJc w:val="right"/>
      <w:pPr>
        <w:ind w:left="1798" w:hanging="180"/>
      </w:pPr>
    </w:lvl>
    <w:lvl w:ilvl="3" w:tentative="0">
      <w:start w:val="1"/>
      <w:numFmt w:val="decimal"/>
      <w:lvlText w:val="%4."/>
      <w:lvlJc w:val="left"/>
      <w:pPr>
        <w:ind w:left="2518" w:hanging="360"/>
      </w:pPr>
    </w:lvl>
    <w:lvl w:ilvl="4" w:tentative="0">
      <w:start w:val="1"/>
      <w:numFmt w:val="lowerLetter"/>
      <w:lvlText w:val="%5."/>
      <w:lvlJc w:val="left"/>
      <w:pPr>
        <w:ind w:left="3238" w:hanging="360"/>
      </w:pPr>
    </w:lvl>
    <w:lvl w:ilvl="5" w:tentative="0">
      <w:start w:val="1"/>
      <w:numFmt w:val="lowerRoman"/>
      <w:lvlText w:val="%6."/>
      <w:lvlJc w:val="right"/>
      <w:pPr>
        <w:ind w:left="3958" w:hanging="180"/>
      </w:pPr>
    </w:lvl>
    <w:lvl w:ilvl="6" w:tentative="0">
      <w:start w:val="1"/>
      <w:numFmt w:val="decimal"/>
      <w:lvlText w:val="%7."/>
      <w:lvlJc w:val="left"/>
      <w:pPr>
        <w:ind w:left="4678" w:hanging="360"/>
      </w:pPr>
    </w:lvl>
    <w:lvl w:ilvl="7" w:tentative="0">
      <w:start w:val="1"/>
      <w:numFmt w:val="lowerLetter"/>
      <w:lvlText w:val="%8."/>
      <w:lvlJc w:val="left"/>
      <w:pPr>
        <w:ind w:left="5398" w:hanging="360"/>
      </w:pPr>
    </w:lvl>
    <w:lvl w:ilvl="8" w:tentative="0">
      <w:start w:val="1"/>
      <w:numFmt w:val="lowerRoman"/>
      <w:lvlText w:val="%9."/>
      <w:lvlJc w:val="right"/>
      <w:pPr>
        <w:ind w:left="6118" w:hanging="180"/>
      </w:pPr>
    </w:lvl>
  </w:abstractNum>
  <w:num w:numId="1">
    <w:abstractNumId w:val="7"/>
  </w:num>
  <w:num w:numId="2">
    <w:abstractNumId w:val="4"/>
  </w:num>
  <w:num w:numId="3">
    <w:abstractNumId w:val="0"/>
  </w:num>
  <w:num w:numId="4">
    <w:abstractNumId w:val="3"/>
  </w:num>
  <w:num w:numId="5">
    <w:abstractNumId w:val="8"/>
  </w:num>
  <w:num w:numId="6">
    <w:abstractNumId w:val="1"/>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BB5C75"/>
    <w:rsid w:val="139F52BA"/>
    <w:rsid w:val="13B2264B"/>
    <w:rsid w:val="146D79C6"/>
    <w:rsid w:val="14997D01"/>
    <w:rsid w:val="14B77C9C"/>
    <w:rsid w:val="151747CA"/>
    <w:rsid w:val="15B61DFB"/>
    <w:rsid w:val="15FF007F"/>
    <w:rsid w:val="16766474"/>
    <w:rsid w:val="16770389"/>
    <w:rsid w:val="16E70FC1"/>
    <w:rsid w:val="16E83247"/>
    <w:rsid w:val="16F31B30"/>
    <w:rsid w:val="17191F74"/>
    <w:rsid w:val="17F265A3"/>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5A0EDF"/>
    <w:rsid w:val="3C9712EE"/>
    <w:rsid w:val="3D0B5ABA"/>
    <w:rsid w:val="3EBB37EE"/>
    <w:rsid w:val="3ED41958"/>
    <w:rsid w:val="3EF8134F"/>
    <w:rsid w:val="3FEB0958"/>
    <w:rsid w:val="405F7FBB"/>
    <w:rsid w:val="409D4A0F"/>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7ED7804"/>
    <w:rsid w:val="57EFD92C"/>
    <w:rsid w:val="57F65EF0"/>
    <w:rsid w:val="587641EB"/>
    <w:rsid w:val="59195D2E"/>
    <w:rsid w:val="59452184"/>
    <w:rsid w:val="598A78EB"/>
    <w:rsid w:val="59DC240D"/>
    <w:rsid w:val="5A032C9A"/>
    <w:rsid w:val="5A380F0B"/>
    <w:rsid w:val="5AA2167E"/>
    <w:rsid w:val="5BB90387"/>
    <w:rsid w:val="5D7B3274"/>
    <w:rsid w:val="5E3D3174"/>
    <w:rsid w:val="5ED46F62"/>
    <w:rsid w:val="5FCE55EF"/>
    <w:rsid w:val="5FE40CB2"/>
    <w:rsid w:val="5FF5EC4B"/>
    <w:rsid w:val="5FFE2F80"/>
    <w:rsid w:val="60884B3D"/>
    <w:rsid w:val="60977546"/>
    <w:rsid w:val="61D91592"/>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D4D2A0"/>
    <w:rsid w:val="720A1363"/>
    <w:rsid w:val="72464878"/>
    <w:rsid w:val="724C264F"/>
    <w:rsid w:val="735B065C"/>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Balloon Text"/>
    <w:basedOn w:val="1"/>
    <w:link w:val="16"/>
    <w:qFormat/>
    <w:uiPriority w:val="0"/>
    <w:rPr>
      <w:sz w:val="18"/>
      <w:szCs w:val="18"/>
    </w:rPr>
  </w:style>
  <w:style w:type="paragraph" w:styleId="4">
    <w:name w:val="footer"/>
    <w:basedOn w:val="1"/>
    <w:link w:val="15"/>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semiHidden/>
    <w:unhideWhenUsed/>
    <w:qFormat/>
    <w:uiPriority w:val="0"/>
    <w:pPr>
      <w:spacing w:beforeAutospacing="1" w:afterAutospacing="1"/>
    </w:pPr>
    <w:rPr>
      <w:rFonts w:cs="Times New Roman"/>
    </w:rPr>
  </w:style>
  <w:style w:type="paragraph" w:styleId="8">
    <w:name w:val="annotation subject"/>
    <w:basedOn w:val="2"/>
    <w:next w:val="2"/>
    <w:link w:val="19"/>
    <w:semiHidden/>
    <w:unhideWhenUsed/>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0"/>
    <w:rPr>
      <w:color w:val="0000FF" w:themeColor="hyperlink"/>
      <w:u w:val="single"/>
      <w14:textFill>
        <w14:solidFill>
          <w14:schemeClr w14:val="hlink"/>
        </w14:solidFill>
      </w14:textFill>
    </w:rPr>
  </w:style>
  <w:style w:type="character" w:styleId="13">
    <w:name w:val="annotation reference"/>
    <w:basedOn w:val="11"/>
    <w:semiHidden/>
    <w:unhideWhenUsed/>
    <w:qFormat/>
    <w:uiPriority w:val="0"/>
    <w:rPr>
      <w:sz w:val="21"/>
      <w:szCs w:val="21"/>
    </w:rPr>
  </w:style>
  <w:style w:type="character" w:customStyle="1" w:styleId="14">
    <w:name w:val="页眉 Char"/>
    <w:link w:val="5"/>
    <w:qFormat/>
    <w:uiPriority w:val="99"/>
    <w:rPr>
      <w:rFonts w:ascii="宋体" w:hAnsi="宋体" w:eastAsia="宋体" w:cs="宋体"/>
      <w:sz w:val="18"/>
      <w:szCs w:val="18"/>
    </w:rPr>
  </w:style>
  <w:style w:type="character" w:customStyle="1" w:styleId="15">
    <w:name w:val="页脚 Char"/>
    <w:link w:val="4"/>
    <w:qFormat/>
    <w:uiPriority w:val="99"/>
    <w:rPr>
      <w:rFonts w:ascii="宋体" w:hAnsi="宋体" w:eastAsia="宋体" w:cs="宋体"/>
      <w:sz w:val="18"/>
      <w:szCs w:val="18"/>
    </w:rPr>
  </w:style>
  <w:style w:type="character" w:customStyle="1" w:styleId="16">
    <w:name w:val="批注框文本 Char"/>
    <w:link w:val="3"/>
    <w:qFormat/>
    <w:uiPriority w:val="0"/>
    <w:rPr>
      <w:rFonts w:ascii="宋体" w:hAnsi="宋体" w:eastAsia="宋体" w:cs="宋体"/>
      <w:sz w:val="18"/>
      <w:szCs w:val="18"/>
    </w:rPr>
  </w:style>
  <w:style w:type="paragraph" w:customStyle="1" w:styleId="17">
    <w:name w:val="普通(网站)1"/>
    <w:basedOn w:val="1"/>
    <w:qFormat/>
    <w:uiPriority w:val="0"/>
    <w:pPr>
      <w:spacing w:before="100" w:beforeAutospacing="1" w:after="100" w:afterAutospacing="1"/>
    </w:pPr>
  </w:style>
  <w:style w:type="character" w:customStyle="1" w:styleId="18">
    <w:name w:val="批注文字 Char"/>
    <w:basedOn w:val="11"/>
    <w:link w:val="2"/>
    <w:qFormat/>
    <w:uiPriority w:val="99"/>
    <w:rPr>
      <w:rFonts w:ascii="宋体" w:hAnsi="宋体" w:cs="宋体"/>
      <w:sz w:val="24"/>
      <w:szCs w:val="24"/>
    </w:rPr>
  </w:style>
  <w:style w:type="character" w:customStyle="1" w:styleId="19">
    <w:name w:val="批注主题 Char"/>
    <w:basedOn w:val="18"/>
    <w:link w:val="8"/>
    <w:semiHidden/>
    <w:qFormat/>
    <w:uiPriority w:val="0"/>
    <w:rPr>
      <w:rFonts w:ascii="宋体" w:hAnsi="宋体" w:cs="宋体"/>
      <w:b/>
      <w:bCs/>
      <w:sz w:val="24"/>
      <w:szCs w:val="24"/>
    </w:rPr>
  </w:style>
  <w:style w:type="paragraph" w:styleId="20">
    <w:name w:val="List Paragraph"/>
    <w:basedOn w:val="1"/>
    <w:qFormat/>
    <w:uiPriority w:val="34"/>
    <w:pPr>
      <w:ind w:firstLine="420" w:firstLineChars="200"/>
    </w:pPr>
  </w:style>
  <w:style w:type="paragraph" w:customStyle="1" w:styleId="21">
    <w:name w:val="修订1"/>
    <w:hidden/>
    <w:semiHidden/>
    <w:qFormat/>
    <w:uiPriority w:val="99"/>
    <w:rPr>
      <w:rFonts w:ascii="宋体" w:hAnsi="宋体" w:eastAsia="宋体" w:cs="宋体"/>
      <w:sz w:val="24"/>
      <w:szCs w:val="24"/>
      <w:lang w:val="en-US" w:eastAsia="zh-CN" w:bidi="ar-SA"/>
    </w:rPr>
  </w:style>
  <w:style w:type="paragraph" w:customStyle="1" w:styleId="22">
    <w:name w:val="修订2"/>
    <w:hidden/>
    <w:semiHidden/>
    <w:qFormat/>
    <w:uiPriority w:val="99"/>
    <w:rPr>
      <w:rFonts w:ascii="宋体" w:hAnsi="宋体" w:eastAsia="宋体" w:cs="宋体"/>
      <w:sz w:val="24"/>
      <w:szCs w:val="24"/>
      <w:lang w:val="en-US" w:eastAsia="zh-CN" w:bidi="ar-SA"/>
    </w:rPr>
  </w:style>
  <w:style w:type="paragraph" w:customStyle="1" w:styleId="23">
    <w:name w:val="Char Char"/>
    <w:basedOn w:val="1"/>
    <w:qFormat/>
    <w:uiPriority w:val="0"/>
    <w:pPr>
      <w:widowControl w:val="0"/>
      <w:jc w:val="both"/>
    </w:pPr>
    <w:rPr>
      <w:rFonts w:ascii="Times New Roman" w:hAnsi="Times New Roman" w:cs="Times New Roman"/>
      <w:kern w:val="2"/>
      <w:sz w:val="21"/>
      <w:szCs w:val="20"/>
    </w:rPr>
  </w:style>
  <w:style w:type="paragraph" w:customStyle="1" w:styleId="24">
    <w:name w:val="正文 New New New New New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5">
    <w:name w:val="正文 New New New New New New New New New New New"/>
    <w:qFormat/>
    <w:uiPriority w:val="0"/>
    <w:pPr>
      <w:autoSpaceDE w:val="0"/>
      <w:autoSpaceDN w:val="0"/>
      <w:adjustRightInd w:val="0"/>
    </w:pPr>
    <w:rPr>
      <w:rFonts w:ascii="宋体" w:hAnsi="Times New Roman" w:eastAsia="宋体" w:cs="Times New Roman"/>
      <w:lang w:val="en-US" w:eastAsia="zh-CN" w:bidi="ar-SA"/>
    </w:rPr>
  </w:style>
  <w:style w:type="paragraph" w:customStyle="1" w:styleId="26">
    <w:name w:val="修订3"/>
    <w:hidden/>
    <w:semiHidden/>
    <w:qFormat/>
    <w:uiPriority w:val="99"/>
    <w:rPr>
      <w:rFonts w:ascii="宋体" w:hAnsi="宋体" w:eastAsia="宋体" w:cs="宋体"/>
      <w:sz w:val="24"/>
      <w:szCs w:val="24"/>
      <w:lang w:val="en-US" w:eastAsia="zh-CN" w:bidi="ar-SA"/>
    </w:rPr>
  </w:style>
  <w:style w:type="character" w:customStyle="1" w:styleId="27">
    <w:name w:val="bjh-strong"/>
    <w:basedOn w:val="1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43</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2024-05-29T00:10:00Z</dcterms:created>
  <dc:creator>王晓明</dc:creator>
  <cp:lastModifiedBy>szfb_liutianjiao</cp:lastModifiedBy>
  <cp:lastPrinted>2024-06-08T01:24:00Z</cp:lastPrinted>
  <dcterms:modified xsi:type="dcterms:W3CDTF">2026-08-28T10:21:27Z</dcterms:modified>
  <dc:title>产品说明书</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8BF2B1701AE2498E5DCE0F67A2B84A9C_43</vt:lpwstr>
  </property>
</Properties>
</file>