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5"/>
        <w:keepNext w:val="0"/>
        <w:keepLines w:val="0"/>
        <w:pageBreakBefore w:val="0"/>
        <w:widowControl/>
        <w:kinsoku/>
        <w:wordWrap w:val="0"/>
        <w:topLinePunct w:val="0"/>
        <w:bidi w:val="0"/>
        <w:snapToGrid/>
        <w:spacing w:line="360" w:lineRule="auto"/>
        <w:ind w:right="280" w:firstLine="480" w:firstLineChars="200"/>
        <w:jc w:val="right"/>
        <w:textAlignment w:val="auto"/>
        <w:rPr>
          <w:rFonts w:ascii="仿宋" w:hAnsi="仿宋" w:eastAsia="仿宋" w:cs="仿宋"/>
          <w:sz w:val="28"/>
          <w:szCs w:val="28"/>
        </w:rPr>
      </w:pPr>
      <w:bookmarkStart w:id="0" w:name="OLE_LINK1"/>
      <w:r>
        <w:rPr>
          <w:rFonts w:hint="eastAsia" w:ascii="仿宋" w:hAnsi="仿宋" w:eastAsia="仿宋" w:cs="仿宋"/>
          <w:szCs w:val="28"/>
        </w:rPr>
        <w:t xml:space="preserve">          </w:t>
      </w:r>
      <w:r>
        <w:rPr>
          <w:rFonts w:hint="eastAsia" w:ascii="仿宋" w:hAnsi="仿宋" w:eastAsia="仿宋" w:cs="仿宋"/>
          <w:bCs/>
          <w:sz w:val="28"/>
          <w:szCs w:val="28"/>
        </w:rPr>
        <w:t>合同编号：（                     ）号</w:t>
      </w:r>
    </w:p>
    <w:p>
      <w:pPr>
        <w:keepNext w:val="0"/>
        <w:keepLines w:val="0"/>
        <w:pageBreakBefore w:val="0"/>
        <w:widowControl/>
        <w:kinsoku/>
        <w:topLinePunct w:val="0"/>
        <w:bidi w:val="0"/>
        <w:snapToGrid/>
        <w:spacing w:line="360" w:lineRule="auto"/>
        <w:textAlignment w:val="auto"/>
        <w:rPr>
          <w:rFonts w:ascii="宋体" w:hAnsi="宋体"/>
          <w:b/>
          <w:color w:val="000000"/>
          <w:sz w:val="28"/>
        </w:rPr>
      </w:pPr>
    </w:p>
    <w:p>
      <w:pPr>
        <w:pStyle w:val="23"/>
        <w:keepNext w:val="0"/>
        <w:keepLines w:val="0"/>
        <w:pageBreakBefore w:val="0"/>
        <w:widowControl/>
        <w:kinsoku/>
        <w:topLinePunct w:val="0"/>
        <w:bidi w:val="0"/>
        <w:snapToGrid/>
        <w:spacing w:line="360" w:lineRule="auto"/>
        <w:jc w:val="center"/>
        <w:textAlignment w:val="auto"/>
        <w:rPr>
          <w:rFonts w:ascii="仿宋" w:hAnsi="仿宋" w:eastAsia="仿宋" w:cs="仿宋"/>
          <w:sz w:val="52"/>
          <w:szCs w:val="52"/>
        </w:rPr>
      </w:pPr>
    </w:p>
    <w:p>
      <w:pPr>
        <w:pStyle w:val="23"/>
        <w:keepNext w:val="0"/>
        <w:keepLines w:val="0"/>
        <w:pageBreakBefore w:val="0"/>
        <w:widowControl/>
        <w:kinsoku/>
        <w:topLinePunct w:val="0"/>
        <w:bidi w:val="0"/>
        <w:snapToGrid/>
        <w:spacing w:line="360" w:lineRule="auto"/>
        <w:jc w:val="center"/>
        <w:textAlignment w:val="auto"/>
        <w:rPr>
          <w:rFonts w:ascii="仿宋" w:hAnsi="仿宋" w:eastAsia="仿宋" w:cs="仿宋"/>
          <w:sz w:val="52"/>
          <w:szCs w:val="52"/>
        </w:rPr>
      </w:pPr>
    </w:p>
    <w:p>
      <w:pPr>
        <w:pStyle w:val="23"/>
        <w:keepNext w:val="0"/>
        <w:keepLines w:val="0"/>
        <w:pageBreakBefore w:val="0"/>
        <w:widowControl/>
        <w:kinsoku/>
        <w:topLinePunct w:val="0"/>
        <w:bidi w:val="0"/>
        <w:snapToGrid/>
        <w:spacing w:line="360" w:lineRule="auto"/>
        <w:jc w:val="center"/>
        <w:textAlignment w:val="auto"/>
        <w:rPr>
          <w:rFonts w:ascii="仿宋" w:hAnsi="仿宋" w:eastAsia="仿宋" w:cs="仿宋"/>
          <w:sz w:val="52"/>
          <w:szCs w:val="52"/>
        </w:rPr>
      </w:pPr>
    </w:p>
    <w:p>
      <w:pPr>
        <w:pStyle w:val="23"/>
        <w:keepNext w:val="0"/>
        <w:keepLines w:val="0"/>
        <w:pageBreakBefore w:val="0"/>
        <w:widowControl/>
        <w:kinsoku/>
        <w:topLinePunct w:val="0"/>
        <w:bidi w:val="0"/>
        <w:snapToGrid/>
        <w:spacing w:line="360" w:lineRule="auto"/>
        <w:jc w:val="center"/>
        <w:textAlignment w:val="auto"/>
        <w:rPr>
          <w:rFonts w:ascii="宋体" w:hAnsi="宋体" w:eastAsia="宋体" w:cs="仿宋"/>
          <w:sz w:val="52"/>
          <w:szCs w:val="52"/>
        </w:rPr>
      </w:pPr>
      <w:r>
        <w:rPr>
          <w:rFonts w:hint="eastAsia" w:ascii="宋体" w:hAnsi="宋体" w:eastAsia="宋体" w:cs="仿宋"/>
          <w:sz w:val="52"/>
          <w:szCs w:val="52"/>
        </w:rPr>
        <w:t>信银理财理财产品销售协议</w:t>
      </w:r>
    </w:p>
    <w:p>
      <w:pPr>
        <w:pStyle w:val="23"/>
        <w:keepNext w:val="0"/>
        <w:keepLines w:val="0"/>
        <w:pageBreakBefore w:val="0"/>
        <w:widowControl/>
        <w:kinsoku/>
        <w:topLinePunct w:val="0"/>
        <w:bidi w:val="0"/>
        <w:snapToGrid/>
        <w:spacing w:line="360" w:lineRule="auto"/>
        <w:jc w:val="center"/>
        <w:textAlignment w:val="auto"/>
        <w:rPr>
          <w:rFonts w:ascii="仿宋" w:hAnsi="仿宋" w:eastAsia="仿宋" w:cs="仿宋"/>
          <w:sz w:val="28"/>
          <w:szCs w:val="28"/>
        </w:rPr>
      </w:pPr>
      <w:r>
        <w:rPr>
          <w:rFonts w:hint="eastAsia" w:ascii="仿宋" w:hAnsi="仿宋" w:eastAsia="仿宋" w:cs="仿宋"/>
          <w:sz w:val="28"/>
          <w:szCs w:val="28"/>
        </w:rPr>
        <w:t>（1.0版，</w:t>
      </w:r>
      <w:r>
        <w:rPr>
          <w:rFonts w:ascii="仿宋" w:hAnsi="仿宋" w:eastAsia="仿宋" w:cs="仿宋"/>
          <w:sz w:val="28"/>
          <w:szCs w:val="28"/>
        </w:rPr>
        <w:t>2021</w:t>
      </w:r>
      <w:r>
        <w:rPr>
          <w:rFonts w:hint="eastAsia" w:ascii="仿宋" w:hAnsi="仿宋" w:eastAsia="仿宋" w:cs="仿宋"/>
          <w:sz w:val="28"/>
          <w:szCs w:val="28"/>
        </w:rPr>
        <w:t>年）</w:t>
      </w:r>
    </w:p>
    <w:bookmarkEnd w:id="0"/>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keepNext w:val="0"/>
        <w:keepLines w:val="0"/>
        <w:pageBreakBefore w:val="0"/>
        <w:widowControl/>
        <w:kinsoku/>
        <w:topLinePunct w:val="0"/>
        <w:bidi w:val="0"/>
        <w:snapToGrid/>
        <w:spacing w:line="360" w:lineRule="auto"/>
        <w:jc w:val="left"/>
        <w:textAlignment w:val="auto"/>
        <w:rPr>
          <w:rFonts w:ascii="楷体_GB2312" w:hAnsi="Monotype Corsiva" w:eastAsia="楷体_GB2312"/>
          <w:b/>
          <w:color w:val="000000"/>
          <w:sz w:val="32"/>
        </w:rPr>
      </w:pPr>
    </w:p>
    <w:p>
      <w:pPr>
        <w:widowControl/>
        <w:jc w:val="left"/>
        <w:rPr>
          <w:rFonts w:ascii="楷体_GB2312" w:hAnsi="Monotype Corsiva" w:eastAsia="楷体_GB2312"/>
          <w:b/>
          <w:color w:val="000000"/>
          <w:sz w:val="32"/>
        </w:rPr>
      </w:pPr>
      <w:r>
        <w:rPr>
          <w:rFonts w:hint="eastAsia" w:ascii="黑体" w:eastAsia="黑体"/>
          <w:sz w:val="24"/>
          <w:szCs w:val="24"/>
        </w:rPr>
        <w:t>尊敬的投资者：</w:t>
      </w:r>
    </w:p>
    <w:p>
      <w:pPr>
        <w:ind w:left="-202" w:leftChars="-84" w:firstLine="408" w:firstLineChars="170"/>
        <w:rPr>
          <w:rFonts w:ascii="楷体_GB2312" w:eastAsia="楷体_GB2312"/>
          <w:sz w:val="24"/>
          <w:szCs w:val="24"/>
        </w:rPr>
      </w:pPr>
      <w:r>
        <w:rPr>
          <w:rFonts w:hint="eastAsia" w:ascii="楷体_GB2312" w:eastAsia="楷体_GB2312"/>
          <w:sz w:val="24"/>
          <w:szCs w:val="24"/>
        </w:rPr>
        <w:t>您自愿购买信银理财有限责任公司（以下简称“信银理财”）作为产品管理人的理财产品，双方本着平等自愿、诚实信用的原则，经协商一致，达成协议如下：</w:t>
      </w:r>
    </w:p>
    <w:p>
      <w:pPr>
        <w:ind w:left="-202" w:leftChars="-84" w:firstLine="410" w:firstLineChars="170"/>
        <w:rPr>
          <w:rFonts w:ascii="黑体" w:eastAsia="黑体"/>
          <w:b/>
          <w:sz w:val="24"/>
          <w:szCs w:val="24"/>
        </w:rPr>
      </w:pPr>
      <w:r>
        <w:rPr>
          <w:rFonts w:hint="eastAsia" w:ascii="黑体" w:eastAsia="黑体"/>
          <w:b/>
          <w:sz w:val="24"/>
          <w:szCs w:val="24"/>
        </w:rPr>
        <w:t>一、理财产品风险提示</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投资者基于对信银理财的信任，将其合法拥有的资金，自愿交付给（或</w:t>
      </w:r>
      <w:r>
        <w:rPr>
          <w:rFonts w:ascii="楷体_GB2312" w:hAnsi="宋体" w:eastAsia="楷体_GB2312"/>
          <w:color w:val="000000"/>
          <w:sz w:val="24"/>
          <w:szCs w:val="24"/>
        </w:rPr>
        <w:t>通过代销机构交付给）</w:t>
      </w:r>
      <w:r>
        <w:rPr>
          <w:rFonts w:hint="eastAsia" w:ascii="楷体_GB2312" w:hAnsi="宋体" w:eastAsia="楷体_GB2312"/>
          <w:color w:val="000000"/>
          <w:sz w:val="24"/>
          <w:szCs w:val="24"/>
        </w:rPr>
        <w:t>信银理财，委托信银理财用于投资理财。投资理财产品可能面临政策风险、信用风险、市场风险、利率风险、流动性风险等风险，具体风险由信银理财在产品说明书中揭示。投资者应仔细阅读并充分理解产品说明书等销售文件，以理解理财产品关键条款和面临的主要风险。</w:t>
      </w:r>
    </w:p>
    <w:p>
      <w:pPr>
        <w:ind w:left="-202" w:leftChars="-84" w:firstLine="410" w:firstLineChars="170"/>
        <w:rPr>
          <w:rFonts w:ascii="黑体" w:eastAsia="黑体"/>
          <w:b/>
          <w:sz w:val="24"/>
          <w:szCs w:val="24"/>
        </w:rPr>
      </w:pPr>
      <w:r>
        <w:rPr>
          <w:rFonts w:hint="eastAsia" w:ascii="黑体" w:eastAsia="黑体"/>
          <w:b/>
          <w:sz w:val="24"/>
          <w:szCs w:val="24"/>
        </w:rPr>
        <w:t>二、投资者申明</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投资者具有完全民事行为能力，具备购买理财产品资格，以其本人所合法持有，并有完全处置权的资金购买信银理财理财产品。</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投资者同意，投资者可以通过信银理财合作的代销机构购买理财产品，并按照代销机构销售相关要求进行办理。</w:t>
      </w:r>
    </w:p>
    <w:p>
      <w:pPr>
        <w:ind w:left="-202" w:leftChars="-84" w:firstLine="410" w:firstLineChars="170"/>
        <w:rPr>
          <w:rFonts w:ascii="楷体_GB2312" w:hAnsi="宋体" w:eastAsia="楷体_GB2312"/>
          <w:b/>
          <w:color w:val="000000"/>
          <w:sz w:val="24"/>
          <w:szCs w:val="24"/>
        </w:rPr>
      </w:pPr>
      <w:r>
        <w:rPr>
          <w:rFonts w:hint="eastAsia" w:ascii="楷体_GB2312" w:hAnsi="宋体" w:eastAsia="楷体_GB2312"/>
          <w:b/>
          <w:color w:val="000000"/>
          <w:sz w:val="24"/>
          <w:szCs w:val="24"/>
        </w:rPr>
        <w:t>投资者完全理解并接受本协议、产品说明书等相关文件的约定,投资者确认信银理财或</w:t>
      </w:r>
      <w:r>
        <w:rPr>
          <w:rFonts w:ascii="楷体_GB2312" w:hAnsi="宋体" w:eastAsia="楷体_GB2312"/>
          <w:b/>
          <w:color w:val="000000"/>
          <w:sz w:val="24"/>
          <w:szCs w:val="24"/>
        </w:rPr>
        <w:t>代销机构</w:t>
      </w:r>
      <w:r>
        <w:rPr>
          <w:rFonts w:hint="eastAsia" w:ascii="楷体_GB2312" w:hAnsi="宋体" w:eastAsia="楷体_GB2312"/>
          <w:b/>
          <w:color w:val="000000"/>
          <w:sz w:val="24"/>
          <w:szCs w:val="24"/>
        </w:rPr>
        <w:t>已采取合理方式提请投资者注意本协议、风险揭示书、产品说明书所有免除或限制其责任的条款，并对投资风险予以充分说明。投资者确认理解本产品将涉及的所有风险，充分了解理财业务的运作规则、协议双方的权利、义务及责任，基于独立的判断作出购买决策，并将承担且有能力承担本产品全部风险。</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投资者通过信银理财合作的代销机构认购</w:t>
      </w:r>
      <w:r>
        <w:rPr>
          <w:rFonts w:ascii="楷体_GB2312" w:hAnsi="宋体" w:eastAsia="楷体_GB2312"/>
          <w:color w:val="000000"/>
          <w:sz w:val="24"/>
          <w:szCs w:val="24"/>
        </w:rPr>
        <w:t>理财产品的，</w:t>
      </w:r>
      <w:r>
        <w:rPr>
          <w:rFonts w:hint="eastAsia" w:ascii="楷体_GB2312" w:hAnsi="宋体" w:eastAsia="楷体_GB2312"/>
          <w:color w:val="000000"/>
          <w:sz w:val="24"/>
          <w:szCs w:val="24"/>
        </w:rPr>
        <w:t>同意</w:t>
      </w:r>
      <w:r>
        <w:rPr>
          <w:rFonts w:ascii="楷体_GB2312" w:hAnsi="宋体" w:eastAsia="楷体_GB2312"/>
          <w:color w:val="000000"/>
          <w:sz w:val="24"/>
          <w:szCs w:val="24"/>
        </w:rPr>
        <w:t>以</w:t>
      </w:r>
      <w:r>
        <w:rPr>
          <w:rFonts w:hint="eastAsia" w:ascii="楷体_GB2312" w:hAnsi="宋体" w:eastAsia="楷体_GB2312"/>
          <w:color w:val="000000"/>
          <w:sz w:val="24"/>
          <w:szCs w:val="24"/>
        </w:rPr>
        <w:t>代销机构要求留档</w:t>
      </w:r>
      <w:r>
        <w:rPr>
          <w:rFonts w:ascii="楷体_GB2312" w:hAnsi="宋体" w:eastAsia="楷体_GB2312"/>
          <w:color w:val="000000"/>
          <w:sz w:val="24"/>
          <w:szCs w:val="24"/>
        </w:rPr>
        <w:t>保存</w:t>
      </w:r>
      <w:r>
        <w:rPr>
          <w:rFonts w:hint="eastAsia" w:ascii="楷体_GB2312" w:hAnsi="宋体" w:eastAsia="楷体_GB2312"/>
          <w:color w:val="000000"/>
          <w:sz w:val="24"/>
          <w:szCs w:val="24"/>
        </w:rPr>
        <w:t>的电子</w:t>
      </w:r>
      <w:r>
        <w:rPr>
          <w:rFonts w:ascii="楷体_GB2312" w:hAnsi="宋体" w:eastAsia="楷体_GB2312"/>
          <w:color w:val="000000"/>
          <w:sz w:val="24"/>
          <w:szCs w:val="24"/>
        </w:rPr>
        <w:t>信息交易记录、电话录音等作为双方之间</w:t>
      </w:r>
      <w:r>
        <w:rPr>
          <w:rFonts w:hint="eastAsia" w:ascii="楷体_GB2312" w:hAnsi="宋体" w:eastAsia="楷体_GB2312"/>
          <w:color w:val="000000"/>
          <w:sz w:val="24"/>
          <w:szCs w:val="24"/>
        </w:rPr>
        <w:t>进行相关</w:t>
      </w:r>
      <w:r>
        <w:rPr>
          <w:rFonts w:ascii="楷体_GB2312" w:hAnsi="宋体" w:eastAsia="楷体_GB2312"/>
          <w:color w:val="000000"/>
          <w:sz w:val="24"/>
          <w:szCs w:val="24"/>
        </w:rPr>
        <w:t>交易的</w:t>
      </w:r>
      <w:r>
        <w:rPr>
          <w:rFonts w:hint="eastAsia" w:ascii="楷体_GB2312" w:hAnsi="宋体" w:eastAsia="楷体_GB2312"/>
          <w:color w:val="000000"/>
          <w:sz w:val="24"/>
          <w:szCs w:val="24"/>
        </w:rPr>
        <w:t>证据</w:t>
      </w:r>
      <w:r>
        <w:rPr>
          <w:rFonts w:ascii="楷体_GB2312" w:hAnsi="宋体" w:eastAsia="楷体_GB2312"/>
          <w:color w:val="000000"/>
          <w:sz w:val="24"/>
          <w:szCs w:val="24"/>
        </w:rPr>
        <w:t>。</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投资者应遵守中华人民共和国反洗钱法律法规，不参与涉嫌洗钱、恐怖融资、扩散融资等违法犯罪活动；主动配合信银理财和/或</w:t>
      </w:r>
      <w:r>
        <w:rPr>
          <w:rFonts w:ascii="楷体_GB2312" w:hAnsi="宋体" w:eastAsia="楷体_GB2312"/>
          <w:color w:val="000000"/>
          <w:sz w:val="24"/>
          <w:szCs w:val="24"/>
        </w:rPr>
        <w:t>代销机构进行</w:t>
      </w:r>
      <w:r>
        <w:rPr>
          <w:rFonts w:hint="eastAsia" w:ascii="楷体_GB2312" w:hAnsi="宋体" w:eastAsia="楷体_GB2312"/>
          <w:color w:val="000000"/>
          <w:sz w:val="24"/>
          <w:szCs w:val="24"/>
        </w:rPr>
        <w:t>客户身份识别与尽职调查，提供真实、准确、完整客户资料，遵守信银理财及</w:t>
      </w:r>
      <w:r>
        <w:rPr>
          <w:rFonts w:ascii="楷体_GB2312" w:hAnsi="宋体" w:eastAsia="楷体_GB2312"/>
          <w:color w:val="000000"/>
          <w:sz w:val="24"/>
          <w:szCs w:val="24"/>
        </w:rPr>
        <w:t>代销机构</w:t>
      </w:r>
      <w:r>
        <w:rPr>
          <w:rFonts w:hint="eastAsia" w:ascii="楷体_GB2312" w:hAnsi="宋体" w:eastAsia="楷体_GB2312"/>
          <w:color w:val="000000"/>
          <w:sz w:val="24"/>
          <w:szCs w:val="24"/>
        </w:rPr>
        <w:t>反洗钱与反恐怖融资相关管理规定。对有理由合理怀疑涉嫌洗钱、恐怖融资的客户，信银理财和</w:t>
      </w:r>
      <w:r>
        <w:rPr>
          <w:rFonts w:ascii="楷体_GB2312" w:hAnsi="宋体" w:eastAsia="楷体_GB2312"/>
          <w:color w:val="000000"/>
          <w:sz w:val="24"/>
          <w:szCs w:val="24"/>
        </w:rPr>
        <w:t>代销机构</w:t>
      </w:r>
      <w:r>
        <w:rPr>
          <w:rFonts w:hint="eastAsia" w:ascii="楷体_GB2312" w:hAnsi="宋体" w:eastAsia="楷体_GB2312"/>
          <w:color w:val="000000"/>
          <w:sz w:val="24"/>
          <w:szCs w:val="24"/>
        </w:rPr>
        <w:t>将有权按照中国人民银行反洗钱监管规定采取必要管控措施。</w:t>
      </w:r>
    </w:p>
    <w:p>
      <w:pPr>
        <w:ind w:left="-202" w:leftChars="-84" w:firstLine="410" w:firstLineChars="170"/>
        <w:rPr>
          <w:rFonts w:ascii="黑体" w:eastAsia="黑体"/>
          <w:b/>
          <w:sz w:val="24"/>
          <w:szCs w:val="24"/>
        </w:rPr>
      </w:pPr>
      <w:r>
        <w:rPr>
          <w:rFonts w:hint="eastAsia" w:ascii="黑体" w:eastAsia="黑体"/>
          <w:b/>
          <w:sz w:val="24"/>
          <w:szCs w:val="24"/>
        </w:rPr>
        <w:t>三、双方权利和义务</w:t>
      </w:r>
    </w:p>
    <w:p>
      <w:pPr>
        <w:ind w:left="-202" w:leftChars="-84" w:firstLine="408" w:firstLineChars="170"/>
        <w:rPr>
          <w:rFonts w:hint="eastAsia" w:ascii="楷体_GB2312" w:eastAsia="楷体_GB2312"/>
          <w:sz w:val="24"/>
          <w:szCs w:val="28"/>
        </w:rPr>
      </w:pPr>
      <w:r>
        <w:rPr>
          <w:rFonts w:ascii="楷体_GB2312" w:hAnsi="宋体" w:eastAsia="楷体_GB2312"/>
          <w:color w:val="000000"/>
          <w:sz w:val="24"/>
          <w:szCs w:val="24"/>
        </w:rPr>
        <w:t>1.</w:t>
      </w:r>
      <w:r>
        <w:rPr>
          <w:rFonts w:hint="eastAsia" w:ascii="楷体_GB2312" w:eastAsia="楷体_GB2312"/>
          <w:sz w:val="24"/>
          <w:szCs w:val="28"/>
        </w:rPr>
        <w:t xml:space="preserve"> 投资者在购买</w:t>
      </w:r>
      <w:r>
        <w:rPr>
          <w:rFonts w:ascii="楷体_GB2312" w:eastAsia="楷体_GB2312"/>
          <w:sz w:val="24"/>
          <w:szCs w:val="28"/>
        </w:rPr>
        <w:t>代销机构</w:t>
      </w:r>
      <w:r>
        <w:rPr>
          <w:rFonts w:hint="eastAsia" w:ascii="楷体_GB2312" w:eastAsia="楷体_GB2312"/>
          <w:sz w:val="24"/>
          <w:szCs w:val="28"/>
        </w:rPr>
        <w:t>销售的理财产品前，须先在代销机构开立理财账户。</w:t>
      </w:r>
    </w:p>
    <w:p>
      <w:pPr>
        <w:ind w:left="-202" w:leftChars="-84" w:firstLine="408" w:firstLineChars="170"/>
        <w:rPr>
          <w:rFonts w:hint="eastAsia" w:ascii="楷体_GB2312" w:eastAsia="楷体_GB2312"/>
          <w:sz w:val="24"/>
          <w:szCs w:val="28"/>
        </w:rPr>
      </w:pPr>
      <w:r>
        <w:rPr>
          <w:rFonts w:hint="eastAsia" w:ascii="楷体_GB2312" w:eastAsia="楷体_GB2312"/>
          <w:sz w:val="24"/>
          <w:szCs w:val="28"/>
        </w:rPr>
        <w:t>2．投资者须根据信银理财和代销机构要求向代销机构和信银理财提供必要的信息，并保证所提供信息真实、准确、完整。投资者通过电子渠道购买理财产品的，应通过电子渠道提供以上信息。如因投资者未按信银理财和/或代销机构规定提供信息，或提供的信息不真实、不准确、不完整，导致投资者无法成功购买理财产品、获得分配资金或其他后果和损失的，信银理财及代销机构不承担责任，投资者依法承担法律责任。</w:t>
      </w:r>
    </w:p>
    <w:p>
      <w:pPr>
        <w:ind w:left="-202" w:leftChars="-84" w:firstLine="408" w:firstLineChars="170"/>
        <w:rPr>
          <w:rFonts w:hint="eastAsia" w:ascii="楷体_GB2312" w:eastAsia="楷体_GB2312"/>
          <w:sz w:val="24"/>
          <w:szCs w:val="28"/>
        </w:rPr>
      </w:pPr>
      <w:r>
        <w:rPr>
          <w:rFonts w:hint="eastAsia" w:ascii="楷体_GB2312" w:eastAsia="楷体_GB2312"/>
          <w:sz w:val="24"/>
          <w:szCs w:val="28"/>
        </w:rPr>
        <w:t>3．投资者所提供信息如发生变更，应及时通过代销机构办理信息变更确认手续。投资者在申请变更姓名、证件类型或证件编号等关键信息时，需按要求提供足够齐备的公安机关或相关注册登记机构的变更证明文件。投资者所提供信息发生变更的，至迟应在所投资理财产品期限届满的15个工作日前至代销机构办理变更确认手续（电子渠道或营业场所），否则，因投资者信息未及时更新导致的后果（如分配资金无法及时到账等），信银理财不承担任何责任。信息变更于投资者办理变更确认手续之日生效</w:t>
      </w:r>
      <w:r>
        <w:rPr>
          <w:rFonts w:hint="eastAsia" w:ascii="楷体_GB2312" w:eastAsia="楷体_GB2312"/>
          <w:sz w:val="24"/>
          <w:szCs w:val="28"/>
        </w:rPr>
        <w:t>。</w:t>
      </w:r>
    </w:p>
    <w:p>
      <w:pPr>
        <w:ind w:left="-202" w:leftChars="-84" w:firstLine="408" w:firstLineChars="170"/>
        <w:rPr>
          <w:rFonts w:hint="eastAsia" w:ascii="楷体_GB2312" w:eastAsia="楷体_GB2312"/>
          <w:sz w:val="24"/>
          <w:szCs w:val="28"/>
        </w:rPr>
      </w:pPr>
      <w:r>
        <w:rPr>
          <w:rFonts w:hint="eastAsia" w:ascii="楷体_GB2312" w:eastAsia="楷体_GB2312"/>
          <w:sz w:val="24"/>
          <w:szCs w:val="28"/>
        </w:rPr>
        <w:t>4.投资者申请销户时，应确保理财账户内已无理财份额、未完成交易及相关权益，否则信银理财有权拒绝办理。</w:t>
      </w:r>
    </w:p>
    <w:p>
      <w:pPr>
        <w:ind w:left="-202" w:leftChars="-84" w:firstLine="408" w:firstLineChars="170"/>
        <w:rPr>
          <w:rFonts w:hint="eastAsia" w:ascii="楷体_GB2312" w:eastAsia="楷体_GB2312"/>
          <w:sz w:val="24"/>
          <w:szCs w:val="28"/>
        </w:rPr>
      </w:pPr>
      <w:r>
        <w:rPr>
          <w:rFonts w:hint="eastAsia" w:ascii="楷体_GB2312" w:eastAsia="楷体_GB2312"/>
          <w:sz w:val="24"/>
          <w:szCs w:val="28"/>
        </w:rPr>
        <w:t>5.投资者购买理财产品时，应在交易日交易时间内提交购买申请，代销机构将投资者认购/申购资金在指定的时间前足额划入信银理财指定银行账户，否则不视为当日有效申请。交易时间以理财产品说明书约定和代销机构要求为准。如代销机构汇划资金不足或迟于上述规定时间到达信银理财指定银行账户的，信银理财不承担任何责任。</w:t>
      </w:r>
      <w:r>
        <w:rPr>
          <w:rFonts w:hint="eastAsia" w:ascii="楷体_GB2312" w:eastAsia="楷体_GB2312"/>
          <w:sz w:val="24"/>
          <w:szCs w:val="28"/>
        </w:rPr>
        <w:t>投资者应就前述情况给信银理财造成的损失承担责任。代销机构有过错的，应</w:t>
      </w:r>
      <w:r>
        <w:rPr>
          <w:rFonts w:hint="eastAsia" w:ascii="楷体_GB2312" w:eastAsia="楷体_GB2312"/>
          <w:sz w:val="24"/>
          <w:szCs w:val="28"/>
        </w:rPr>
        <w:t>相应承担责任。</w:t>
      </w:r>
    </w:p>
    <w:p>
      <w:pPr>
        <w:ind w:left="-202" w:leftChars="-84" w:firstLine="408" w:firstLineChars="170"/>
        <w:rPr>
          <w:rFonts w:hint="eastAsia" w:ascii="楷体_GB2312" w:eastAsia="楷体_GB2312"/>
          <w:sz w:val="24"/>
          <w:szCs w:val="28"/>
        </w:rPr>
      </w:pPr>
      <w:r>
        <w:rPr>
          <w:rFonts w:hint="eastAsia" w:ascii="楷体_GB2312" w:eastAsia="楷体_GB2312"/>
          <w:sz w:val="24"/>
          <w:szCs w:val="28"/>
        </w:rPr>
        <w:t>6.投资者通过代销机构购买时进行交易的银行账户为其指定资金回款账户。产品不成立、交易失败</w:t>
      </w:r>
      <w:bookmarkStart w:id="1" w:name="_GoBack"/>
      <w:bookmarkEnd w:id="1"/>
      <w:r>
        <w:rPr>
          <w:rFonts w:hint="eastAsia" w:ascii="楷体_GB2312" w:eastAsia="楷体_GB2312"/>
          <w:sz w:val="24"/>
          <w:szCs w:val="28"/>
        </w:rPr>
        <w:t>、部分交易成功、投资者撤单时信银理财通过代销机构向投资者退还的款项以及理财产品赎回、分红、清盘等资金将汇划至该账户。</w:t>
      </w:r>
    </w:p>
    <w:p>
      <w:pPr>
        <w:ind w:left="-202" w:leftChars="-84" w:firstLine="408" w:firstLineChars="170"/>
        <w:rPr>
          <w:rFonts w:hint="eastAsia" w:ascii="楷体_GB2312" w:eastAsia="楷体_GB2312"/>
          <w:sz w:val="24"/>
          <w:szCs w:val="28"/>
        </w:rPr>
      </w:pPr>
      <w:r>
        <w:rPr>
          <w:rFonts w:hint="eastAsia" w:ascii="楷体_GB2312" w:eastAsia="楷体_GB2312"/>
          <w:sz w:val="24"/>
          <w:szCs w:val="28"/>
        </w:rPr>
        <w:t>7.在本协议有效期内，投资者应该保证指定的银行账户状态正常，因任何原因造成该银行账户销户或状态不正常，投资者有义务向信银理财及代销机构做出合理说明，并向代销机构书面申请变更。如果由于投资者原因导致赎回款、分红等资金不能及时入账，由此产生的任何损失由投资者自行承担。</w:t>
      </w:r>
    </w:p>
    <w:p>
      <w:pPr>
        <w:ind w:left="-202" w:leftChars="-84" w:firstLine="410" w:firstLineChars="170"/>
        <w:rPr>
          <w:rFonts w:ascii="楷体_GB2312" w:hAnsi="宋体" w:eastAsia="楷体_GB2312"/>
          <w:b/>
          <w:bCs/>
          <w:color w:val="000000"/>
          <w:sz w:val="24"/>
          <w:szCs w:val="24"/>
        </w:rPr>
      </w:pPr>
      <w:r>
        <w:rPr>
          <w:rFonts w:ascii="楷体_GB2312" w:hAnsi="宋体" w:eastAsia="楷体_GB2312"/>
          <w:b/>
          <w:bCs/>
          <w:color w:val="000000"/>
          <w:sz w:val="24"/>
          <w:szCs w:val="24"/>
        </w:rPr>
        <w:t>8.投资者同意，</w:t>
      </w:r>
      <w:r>
        <w:rPr>
          <w:rFonts w:hint="eastAsia" w:ascii="楷体_GB2312" w:hAnsi="宋体" w:eastAsia="楷体_GB2312"/>
          <w:b/>
          <w:bCs/>
          <w:color w:val="000000"/>
          <w:sz w:val="24"/>
          <w:szCs w:val="24"/>
        </w:rPr>
        <w:t>信银理财在合法合规的前提下可通过投资者预留的联系方式向投资者推送有关其理财产品的宣传、推介信息。</w:t>
      </w:r>
    </w:p>
    <w:p>
      <w:pPr>
        <w:ind w:left="-202" w:leftChars="-84" w:firstLine="408" w:firstLineChars="170"/>
        <w:rPr>
          <w:rFonts w:ascii="楷体_GB2312" w:hAnsi="宋体" w:eastAsia="楷体_GB2312"/>
          <w:color w:val="000000"/>
          <w:sz w:val="24"/>
          <w:szCs w:val="24"/>
        </w:rPr>
      </w:pPr>
      <w:r>
        <w:rPr>
          <w:rFonts w:ascii="楷体_GB2312" w:hAnsi="宋体" w:eastAsia="楷体_GB2312"/>
          <w:color w:val="000000"/>
          <w:sz w:val="24"/>
          <w:szCs w:val="24"/>
        </w:rPr>
        <w:t>9</w:t>
      </w:r>
      <w:r>
        <w:rPr>
          <w:rFonts w:hint="eastAsia" w:ascii="楷体_GB2312" w:hAnsi="宋体" w:eastAsia="楷体_GB2312"/>
          <w:color w:val="000000"/>
          <w:sz w:val="24"/>
          <w:szCs w:val="24"/>
        </w:rPr>
        <w:t>.信银理财有权收取交易费</w:t>
      </w:r>
      <w:r>
        <w:rPr>
          <w:rFonts w:ascii="楷体_GB2312" w:hAnsi="宋体" w:eastAsia="楷体_GB2312"/>
          <w:color w:val="000000"/>
          <w:sz w:val="24"/>
          <w:szCs w:val="24"/>
        </w:rPr>
        <w:t>、</w:t>
      </w:r>
      <w:r>
        <w:rPr>
          <w:rFonts w:hint="eastAsia" w:ascii="楷体_GB2312" w:hAnsi="宋体" w:eastAsia="楷体_GB2312"/>
          <w:color w:val="000000"/>
          <w:sz w:val="24"/>
          <w:szCs w:val="24"/>
        </w:rPr>
        <w:t>销售服务费、托管费及投资管理费等相关费用，具体费用名目、类别、收费方式和标准在产品说明书中载明。</w:t>
      </w:r>
    </w:p>
    <w:p>
      <w:pPr>
        <w:ind w:left="-202" w:leftChars="-84" w:firstLine="408" w:firstLineChars="170"/>
        <w:rPr>
          <w:rFonts w:ascii="楷体_GB2312" w:hAnsi="宋体" w:eastAsia="楷体_GB2312"/>
          <w:color w:val="000000"/>
          <w:sz w:val="24"/>
          <w:szCs w:val="24"/>
        </w:rPr>
      </w:pPr>
      <w:r>
        <w:rPr>
          <w:rFonts w:ascii="楷体_GB2312" w:hAnsi="宋体" w:eastAsia="楷体_GB2312"/>
          <w:color w:val="000000"/>
          <w:sz w:val="24"/>
          <w:szCs w:val="24"/>
        </w:rPr>
        <w:t>10</w:t>
      </w:r>
      <w:r>
        <w:rPr>
          <w:rFonts w:hint="eastAsia" w:ascii="楷体_GB2312" w:hAnsi="宋体" w:eastAsia="楷体_GB2312"/>
          <w:color w:val="000000"/>
          <w:sz w:val="24"/>
          <w:szCs w:val="24"/>
        </w:rPr>
        <w:t>.本理财产品收益（如有）为未扣税收益，投资者应根据国家规定自行纳税。如根据有关法律规定或税务机关要求，信银理财有权代扣代缴。</w:t>
      </w:r>
    </w:p>
    <w:p>
      <w:pPr>
        <w:ind w:left="-202" w:leftChars="-84" w:firstLine="410" w:firstLineChars="170"/>
        <w:rPr>
          <w:rFonts w:ascii="黑体" w:eastAsia="黑体"/>
          <w:b/>
          <w:sz w:val="24"/>
          <w:szCs w:val="24"/>
        </w:rPr>
      </w:pPr>
      <w:r>
        <w:rPr>
          <w:rFonts w:hint="eastAsia" w:ascii="黑体" w:eastAsia="黑体"/>
          <w:b/>
          <w:sz w:val="24"/>
          <w:szCs w:val="24"/>
        </w:rPr>
        <w:t>四、违约责任</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双方因违反本协议约定而给对方造成损失的，违约方</w:t>
      </w:r>
      <w:r>
        <w:rPr>
          <w:rFonts w:ascii="楷体_GB2312" w:hAnsi="宋体" w:eastAsia="楷体_GB2312"/>
          <w:color w:val="000000"/>
          <w:sz w:val="24"/>
          <w:szCs w:val="24"/>
        </w:rPr>
        <w:t>应赔偿因此给</w:t>
      </w:r>
      <w:r>
        <w:rPr>
          <w:rFonts w:hint="eastAsia" w:ascii="楷体_GB2312" w:hAnsi="宋体" w:eastAsia="楷体_GB2312"/>
          <w:color w:val="000000"/>
          <w:sz w:val="24"/>
          <w:szCs w:val="24"/>
        </w:rPr>
        <w:t>对</w:t>
      </w:r>
      <w:r>
        <w:rPr>
          <w:rFonts w:ascii="楷体_GB2312" w:hAnsi="宋体" w:eastAsia="楷体_GB2312"/>
          <w:color w:val="000000"/>
          <w:sz w:val="24"/>
          <w:szCs w:val="24"/>
        </w:rPr>
        <w:t>方造成的直接损失。</w:t>
      </w:r>
    </w:p>
    <w:p>
      <w:pPr>
        <w:ind w:left="-202" w:leftChars="-84" w:firstLine="410" w:firstLineChars="170"/>
        <w:rPr>
          <w:rFonts w:ascii="黑体" w:eastAsia="黑体"/>
          <w:b/>
          <w:sz w:val="24"/>
          <w:szCs w:val="24"/>
        </w:rPr>
      </w:pPr>
      <w:r>
        <w:rPr>
          <w:rFonts w:hint="eastAsia" w:ascii="黑体" w:eastAsia="黑体"/>
          <w:b/>
          <w:sz w:val="24"/>
          <w:szCs w:val="24"/>
        </w:rPr>
        <w:t>五、免责内容</w:t>
      </w:r>
    </w:p>
    <w:p>
      <w:pPr>
        <w:ind w:left="-202" w:leftChars="-84" w:firstLine="410" w:firstLineChars="170"/>
        <w:rPr>
          <w:rFonts w:ascii="楷体_GB2312" w:hAnsi="宋体" w:eastAsia="楷体_GB2312"/>
          <w:b/>
          <w:color w:val="000000"/>
          <w:sz w:val="24"/>
          <w:szCs w:val="24"/>
        </w:rPr>
      </w:pPr>
      <w:r>
        <w:rPr>
          <w:rFonts w:hint="eastAsia" w:ascii="楷体_GB2312" w:hAnsi="宋体" w:eastAsia="楷体_GB2312"/>
          <w:b/>
          <w:color w:val="000000"/>
          <w:sz w:val="24"/>
          <w:szCs w:val="24"/>
        </w:rPr>
        <w:t>因法律法规或监管政策变化、自然灾害、意外事故、战争、系统故障、通讯故障等信银理财不可控制的因素，导致信银理财无法或延后履行本协议有关义务的，信银理财不承担责任，但因信银理财故意或重大过失造成的系统故障、通讯故障等因素除外。</w:t>
      </w:r>
    </w:p>
    <w:p>
      <w:pPr>
        <w:ind w:left="-202" w:leftChars="-84" w:firstLine="410" w:firstLineChars="170"/>
        <w:rPr>
          <w:rFonts w:ascii="黑体" w:eastAsia="黑体"/>
          <w:b/>
          <w:sz w:val="24"/>
          <w:szCs w:val="24"/>
        </w:rPr>
      </w:pPr>
      <w:r>
        <w:rPr>
          <w:rFonts w:hint="eastAsia" w:ascii="黑体" w:eastAsia="黑体"/>
          <w:b/>
          <w:sz w:val="24"/>
          <w:szCs w:val="24"/>
        </w:rPr>
        <w:t>六、本协议的生效与终止</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投资者通过代销机构电子</w:t>
      </w:r>
      <w:r>
        <w:rPr>
          <w:rFonts w:ascii="楷体_GB2312" w:hAnsi="宋体" w:eastAsia="楷体_GB2312"/>
          <w:color w:val="000000"/>
          <w:sz w:val="24"/>
          <w:szCs w:val="24"/>
        </w:rPr>
        <w:t>渠道购买理财产品的，</w:t>
      </w:r>
      <w:r>
        <w:rPr>
          <w:rFonts w:hint="eastAsia" w:ascii="楷体_GB2312" w:hAnsi="宋体" w:eastAsia="楷体_GB2312"/>
          <w:color w:val="000000"/>
          <w:sz w:val="24"/>
          <w:szCs w:val="24"/>
        </w:rPr>
        <w:t>本协议</w:t>
      </w:r>
      <w:r>
        <w:rPr>
          <w:rFonts w:ascii="楷体_GB2312" w:hAnsi="宋体" w:eastAsia="楷体_GB2312"/>
          <w:color w:val="000000"/>
          <w:sz w:val="24"/>
          <w:szCs w:val="24"/>
        </w:rPr>
        <w:t>自投资者在线点击确认</w:t>
      </w:r>
      <w:r>
        <w:rPr>
          <w:rFonts w:hint="eastAsia" w:ascii="楷体_GB2312" w:hAnsi="宋体" w:eastAsia="楷体_GB2312"/>
          <w:color w:val="000000"/>
          <w:sz w:val="24"/>
          <w:szCs w:val="24"/>
        </w:rPr>
        <w:t>后</w:t>
      </w:r>
      <w:r>
        <w:rPr>
          <w:rFonts w:ascii="楷体_GB2312" w:hAnsi="宋体" w:eastAsia="楷体_GB2312"/>
          <w:color w:val="000000"/>
          <w:sz w:val="24"/>
          <w:szCs w:val="24"/>
        </w:rPr>
        <w:t>生效。</w:t>
      </w:r>
      <w:r>
        <w:rPr>
          <w:rFonts w:hint="eastAsia" w:ascii="楷体_GB2312" w:hAnsi="宋体" w:eastAsia="楷体_GB2312"/>
          <w:color w:val="000000"/>
          <w:sz w:val="24"/>
          <w:szCs w:val="24"/>
        </w:rPr>
        <w:t>如任一方拟终止本协议的，需以投资者购买的理财产品全部清算结束为前提。</w:t>
      </w:r>
    </w:p>
    <w:p>
      <w:pPr>
        <w:ind w:left="-202" w:leftChars="-84" w:firstLine="410" w:firstLineChars="170"/>
        <w:rPr>
          <w:rFonts w:ascii="黑体" w:eastAsia="黑体"/>
          <w:b/>
          <w:sz w:val="24"/>
          <w:szCs w:val="24"/>
        </w:rPr>
      </w:pPr>
      <w:r>
        <w:rPr>
          <w:rFonts w:hint="eastAsia" w:ascii="黑体" w:eastAsia="黑体"/>
          <w:b/>
          <w:sz w:val="24"/>
          <w:szCs w:val="24"/>
        </w:rPr>
        <w:t>七、争议解决</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bCs/>
          <w:color w:val="000000"/>
          <w:sz w:val="24"/>
          <w:szCs w:val="24"/>
        </w:rPr>
        <w:t>甲乙双方在本协议项下发生任何争议时，应本着诚实信用的原则通过协商解决。如通过协商仍不能解决争议时，</w:t>
      </w:r>
      <w:r>
        <w:rPr>
          <w:rFonts w:hint="eastAsia" w:ascii="楷体_GB2312" w:eastAsia="楷体_GB2312"/>
          <w:bCs/>
          <w:sz w:val="24"/>
          <w:szCs w:val="28"/>
        </w:rPr>
        <w:t>双方均同意向信银理财所在地有</w:t>
      </w:r>
      <w:r>
        <w:rPr>
          <w:rFonts w:ascii="楷体_GB2312" w:eastAsia="楷体_GB2312"/>
          <w:bCs/>
          <w:sz w:val="24"/>
          <w:szCs w:val="28"/>
        </w:rPr>
        <w:t>管辖权的</w:t>
      </w:r>
      <w:r>
        <w:rPr>
          <w:rFonts w:hint="eastAsia" w:ascii="楷体_GB2312" w:eastAsia="楷体_GB2312"/>
          <w:bCs/>
          <w:sz w:val="24"/>
          <w:szCs w:val="28"/>
        </w:rPr>
        <w:t>人民法院提起诉讼。</w:t>
      </w:r>
    </w:p>
    <w:p>
      <w:pPr>
        <w:ind w:left="-202" w:leftChars="-84" w:firstLine="410" w:firstLineChars="170"/>
        <w:rPr>
          <w:rFonts w:ascii="黑体" w:eastAsia="黑体"/>
          <w:b/>
          <w:sz w:val="24"/>
          <w:szCs w:val="24"/>
        </w:rPr>
      </w:pPr>
      <w:r>
        <w:rPr>
          <w:rFonts w:hint="eastAsia" w:ascii="黑体" w:eastAsia="黑体"/>
          <w:b/>
          <w:sz w:val="24"/>
          <w:szCs w:val="24"/>
        </w:rPr>
        <w:t>八、附则</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1.本协议条款与产品说明书不一致的，以产品说明书为准。</w:t>
      </w:r>
    </w:p>
    <w:p>
      <w:pPr>
        <w:ind w:left="-202" w:leftChars="-84" w:firstLine="408" w:firstLineChars="170"/>
        <w:rPr>
          <w:rFonts w:ascii="楷体_GB2312" w:hAnsi="宋体" w:eastAsia="楷体_GB2312"/>
          <w:color w:val="000000"/>
          <w:sz w:val="24"/>
          <w:szCs w:val="24"/>
        </w:rPr>
      </w:pPr>
      <w:r>
        <w:rPr>
          <w:rFonts w:hint="eastAsia" w:ascii="楷体_GB2312" w:hAnsi="宋体" w:eastAsia="楷体_GB2312"/>
          <w:color w:val="000000"/>
          <w:sz w:val="24"/>
          <w:szCs w:val="24"/>
        </w:rPr>
        <w:t>2.</w:t>
      </w:r>
      <w:r>
        <w:rPr>
          <w:rFonts w:ascii="楷体_GB2312" w:hAnsi="宋体" w:eastAsia="楷体_GB2312"/>
          <w:color w:val="000000"/>
          <w:sz w:val="24"/>
          <w:szCs w:val="24"/>
        </w:rPr>
        <w:t>如果由于任何原因使本协议下的任何条款或者内容成为无效或者依法</w:t>
      </w:r>
      <w:r>
        <w:rPr>
          <w:rFonts w:hint="eastAsia" w:ascii="楷体_GB2312" w:hAnsi="宋体" w:eastAsia="楷体_GB2312"/>
          <w:color w:val="000000"/>
          <w:sz w:val="24"/>
          <w:szCs w:val="24"/>
        </w:rPr>
        <w:t>被撤</w:t>
      </w:r>
      <w:r>
        <w:rPr>
          <w:rFonts w:ascii="楷体_GB2312" w:hAnsi="宋体" w:eastAsia="楷体_GB2312"/>
          <w:color w:val="000000"/>
          <w:sz w:val="24"/>
          <w:szCs w:val="24"/>
        </w:rPr>
        <w:t>消，本协议其他条款或内容的合法性，有效性和可执行性不受影响。</w:t>
      </w:r>
    </w:p>
    <w:p>
      <w:pPr>
        <w:ind w:left="-202" w:leftChars="-84" w:firstLine="408" w:firstLineChars="170"/>
        <w:rPr>
          <w:rFonts w:ascii="楷体_GB2312" w:eastAsia="楷体_GB2312"/>
          <w:sz w:val="24"/>
          <w:szCs w:val="24"/>
        </w:rPr>
      </w:pPr>
      <w:r>
        <w:rPr>
          <w:rFonts w:ascii="楷体_GB2312" w:eastAsia="楷体_GB2312"/>
          <w:sz w:val="24"/>
          <w:szCs w:val="24"/>
        </w:rPr>
        <w:t>3</w:t>
      </w:r>
      <w:r>
        <w:rPr>
          <w:rFonts w:hint="eastAsia" w:ascii="楷体_GB2312" w:eastAsia="楷体_GB2312"/>
          <w:sz w:val="24"/>
          <w:szCs w:val="24"/>
        </w:rPr>
        <w:t>.本协议未尽事宜，以理财产品说明书、风险揭示书、投资者权益须知的内容为准。</w:t>
      </w:r>
    </w:p>
    <w:p>
      <w:pPr>
        <w:ind w:left="-202" w:leftChars="-84" w:firstLine="408" w:firstLineChars="170"/>
        <w:rPr>
          <w:rFonts w:ascii="楷体_GB2312" w:eastAsia="楷体_GB2312"/>
          <w:sz w:val="24"/>
          <w:szCs w:val="24"/>
        </w:rPr>
      </w:pPr>
      <w:r>
        <w:rPr>
          <w:rFonts w:ascii="楷体_GB2312" w:eastAsia="楷体_GB2312"/>
          <w:sz w:val="24"/>
          <w:szCs w:val="24"/>
        </w:rPr>
        <w:t>4.</w:t>
      </w:r>
      <w:r>
        <w:rPr>
          <w:rFonts w:hint="eastAsia" w:ascii="楷体_GB2312" w:eastAsia="楷体_GB2312"/>
          <w:sz w:val="24"/>
          <w:szCs w:val="24"/>
        </w:rPr>
        <w:t>信银</w:t>
      </w:r>
      <w:r>
        <w:rPr>
          <w:rFonts w:ascii="楷体_GB2312" w:eastAsia="楷体_GB2312"/>
          <w:sz w:val="24"/>
          <w:szCs w:val="24"/>
        </w:rPr>
        <w:t>理财理财产品通过代销机构销售的，</w:t>
      </w:r>
      <w:r>
        <w:rPr>
          <w:rFonts w:hint="eastAsia" w:ascii="楷体_GB2312" w:eastAsia="楷体_GB2312"/>
          <w:sz w:val="24"/>
          <w:szCs w:val="24"/>
        </w:rPr>
        <w:t>产品</w:t>
      </w:r>
      <w:r>
        <w:rPr>
          <w:rFonts w:ascii="楷体_GB2312" w:eastAsia="楷体_GB2312"/>
          <w:sz w:val="24"/>
          <w:szCs w:val="24"/>
        </w:rPr>
        <w:t>销售流程</w:t>
      </w:r>
      <w:r>
        <w:rPr>
          <w:rFonts w:hint="eastAsia" w:ascii="楷体_GB2312" w:eastAsia="楷体_GB2312"/>
          <w:sz w:val="24"/>
          <w:szCs w:val="24"/>
        </w:rPr>
        <w:t>、</w:t>
      </w:r>
      <w:r>
        <w:rPr>
          <w:rFonts w:ascii="楷体_GB2312" w:eastAsia="楷体_GB2312"/>
          <w:sz w:val="24"/>
          <w:szCs w:val="24"/>
        </w:rPr>
        <w:t>销售规则</w:t>
      </w:r>
      <w:r>
        <w:rPr>
          <w:rFonts w:hint="eastAsia" w:ascii="楷体_GB2312" w:eastAsia="楷体_GB2312"/>
          <w:sz w:val="24"/>
          <w:szCs w:val="24"/>
        </w:rPr>
        <w:t>和</w:t>
      </w:r>
      <w:r>
        <w:rPr>
          <w:rFonts w:ascii="楷体_GB2312" w:eastAsia="楷体_GB2312"/>
          <w:sz w:val="24"/>
          <w:szCs w:val="24"/>
        </w:rPr>
        <w:t>代销机构</w:t>
      </w:r>
      <w:r>
        <w:rPr>
          <w:rFonts w:hint="eastAsia" w:ascii="楷体_GB2312" w:eastAsia="楷体_GB2312"/>
          <w:sz w:val="24"/>
          <w:szCs w:val="24"/>
        </w:rPr>
        <w:t>与</w:t>
      </w:r>
      <w:r>
        <w:rPr>
          <w:rFonts w:ascii="楷体_GB2312" w:eastAsia="楷体_GB2312"/>
          <w:sz w:val="24"/>
          <w:szCs w:val="24"/>
        </w:rPr>
        <w:t>投资者之间权利义务</w:t>
      </w:r>
      <w:r>
        <w:rPr>
          <w:rFonts w:hint="eastAsia" w:ascii="楷体_GB2312" w:eastAsia="楷体_GB2312"/>
          <w:sz w:val="24"/>
          <w:szCs w:val="24"/>
        </w:rPr>
        <w:t>以</w:t>
      </w:r>
      <w:r>
        <w:rPr>
          <w:rFonts w:ascii="楷体_GB2312" w:eastAsia="楷体_GB2312"/>
          <w:sz w:val="24"/>
          <w:szCs w:val="24"/>
        </w:rPr>
        <w:t>销售机构的</w:t>
      </w:r>
      <w:r>
        <w:rPr>
          <w:rFonts w:hint="eastAsia" w:ascii="楷体_GB2312" w:eastAsia="楷体_GB2312"/>
          <w:sz w:val="24"/>
          <w:szCs w:val="24"/>
        </w:rPr>
        <w:t>公示、</w:t>
      </w:r>
      <w:r>
        <w:rPr>
          <w:rFonts w:ascii="楷体_GB2312" w:eastAsia="楷体_GB2312"/>
          <w:sz w:val="24"/>
          <w:szCs w:val="24"/>
        </w:rPr>
        <w:t>要求</w:t>
      </w:r>
      <w:r>
        <w:rPr>
          <w:rFonts w:hint="eastAsia" w:ascii="楷体_GB2312" w:eastAsia="楷体_GB2312"/>
          <w:sz w:val="24"/>
          <w:szCs w:val="24"/>
        </w:rPr>
        <w:t>和</w:t>
      </w:r>
      <w:r>
        <w:rPr>
          <w:rFonts w:ascii="楷体_GB2312" w:eastAsia="楷体_GB2312"/>
          <w:sz w:val="24"/>
          <w:szCs w:val="24"/>
        </w:rPr>
        <w:t>代销机构与投资者签署的销售协议为准</w:t>
      </w:r>
      <w:r>
        <w:rPr>
          <w:rFonts w:hint="eastAsia" w:ascii="楷体_GB2312" w:eastAsia="楷体_GB2312"/>
          <w:sz w:val="24"/>
          <w:szCs w:val="24"/>
        </w:rPr>
        <w:t>，</w:t>
      </w:r>
      <w:r>
        <w:rPr>
          <w:rFonts w:ascii="楷体_GB2312" w:eastAsia="楷体_GB2312"/>
          <w:sz w:val="24"/>
          <w:szCs w:val="24"/>
        </w:rPr>
        <w:t>本协议中任何对销售流程</w:t>
      </w:r>
      <w:r>
        <w:rPr>
          <w:rFonts w:hint="eastAsia" w:ascii="楷体_GB2312" w:eastAsia="楷体_GB2312"/>
          <w:sz w:val="24"/>
          <w:szCs w:val="24"/>
        </w:rPr>
        <w:t>、</w:t>
      </w:r>
      <w:r>
        <w:rPr>
          <w:rFonts w:ascii="楷体_GB2312" w:eastAsia="楷体_GB2312"/>
          <w:sz w:val="24"/>
          <w:szCs w:val="24"/>
        </w:rPr>
        <w:t>销售规则以及代销机构与投资者之间权利义务的描述与代销机构实际流程</w:t>
      </w:r>
      <w:r>
        <w:rPr>
          <w:rFonts w:hint="eastAsia" w:ascii="楷体_GB2312" w:eastAsia="楷体_GB2312"/>
          <w:sz w:val="24"/>
          <w:szCs w:val="24"/>
        </w:rPr>
        <w:t>、</w:t>
      </w:r>
      <w:r>
        <w:rPr>
          <w:rFonts w:ascii="楷体_GB2312" w:eastAsia="楷体_GB2312"/>
          <w:sz w:val="24"/>
          <w:szCs w:val="24"/>
        </w:rPr>
        <w:t>要求</w:t>
      </w:r>
      <w:r>
        <w:rPr>
          <w:rFonts w:hint="eastAsia" w:ascii="楷体_GB2312" w:eastAsia="楷体_GB2312"/>
          <w:sz w:val="24"/>
          <w:szCs w:val="24"/>
        </w:rPr>
        <w:t>及</w:t>
      </w:r>
      <w:r>
        <w:rPr>
          <w:rFonts w:ascii="楷体_GB2312" w:eastAsia="楷体_GB2312"/>
          <w:sz w:val="24"/>
          <w:szCs w:val="24"/>
        </w:rPr>
        <w:t>代销机构与投资者</w:t>
      </w:r>
      <w:r>
        <w:rPr>
          <w:rFonts w:hint="eastAsia" w:ascii="楷体_GB2312" w:eastAsia="楷体_GB2312"/>
          <w:sz w:val="24"/>
          <w:szCs w:val="24"/>
        </w:rPr>
        <w:t>签署</w:t>
      </w:r>
      <w:r>
        <w:rPr>
          <w:rFonts w:ascii="楷体_GB2312" w:eastAsia="楷体_GB2312"/>
          <w:sz w:val="24"/>
          <w:szCs w:val="24"/>
        </w:rPr>
        <w:t>的销售协议不一致的，信银理财不承担任何责任。</w:t>
      </w:r>
    </w:p>
    <w:p>
      <w:pPr>
        <w:rPr>
          <w:rFonts w:ascii="黑体" w:eastAsia="黑体"/>
          <w:color w:val="000000"/>
          <w:sz w:val="24"/>
          <w:szCs w:val="24"/>
        </w:rPr>
      </w:pPr>
      <w:r>
        <w:rPr>
          <w:rFonts w:hint="eastAsia" w:ascii="黑体" w:eastAsia="黑体"/>
          <w:color w:val="000000"/>
          <w:sz w:val="24"/>
          <w:szCs w:val="24"/>
        </w:rPr>
        <w:t>【重要提示：信银理财已（或</w:t>
      </w:r>
      <w:r>
        <w:rPr>
          <w:rFonts w:ascii="黑体" w:eastAsia="黑体"/>
          <w:color w:val="000000"/>
          <w:sz w:val="24"/>
          <w:szCs w:val="24"/>
        </w:rPr>
        <w:t>通过代销机构）</w:t>
      </w:r>
      <w:r>
        <w:rPr>
          <w:rFonts w:hint="eastAsia" w:ascii="黑体" w:eastAsia="黑体"/>
          <w:color w:val="000000"/>
          <w:sz w:val="24"/>
          <w:szCs w:val="24"/>
        </w:rPr>
        <w:t>提请投资者注意本合同项下免除或限制其责任的条款以及诉讼管辖条款，并已按投资者要求对有关条款予以充分说明。投资者在</w:t>
      </w:r>
      <w:r>
        <w:rPr>
          <w:rFonts w:ascii="黑体" w:eastAsia="黑体"/>
          <w:color w:val="000000"/>
          <w:sz w:val="24"/>
          <w:szCs w:val="24"/>
        </w:rPr>
        <w:t>线上</w:t>
      </w:r>
      <w:r>
        <w:rPr>
          <w:rFonts w:hint="eastAsia" w:ascii="黑体" w:eastAsia="黑体"/>
          <w:color w:val="000000"/>
          <w:sz w:val="24"/>
          <w:szCs w:val="24"/>
        </w:rPr>
        <w:t>点击</w:t>
      </w:r>
      <w:r>
        <w:rPr>
          <w:rFonts w:ascii="黑体" w:eastAsia="黑体"/>
          <w:color w:val="000000"/>
          <w:sz w:val="24"/>
          <w:szCs w:val="24"/>
        </w:rPr>
        <w:t>确认</w:t>
      </w:r>
      <w:r>
        <w:rPr>
          <w:rFonts w:hint="eastAsia" w:ascii="黑体" w:eastAsia="黑体"/>
          <w:color w:val="000000"/>
          <w:sz w:val="24"/>
          <w:szCs w:val="24"/>
        </w:rPr>
        <w:t>即表示已知晓并同意本协议及理财产品说明书、风险揭示书、投资者权益须知的全部</w:t>
      </w:r>
      <w:r>
        <w:rPr>
          <w:rFonts w:ascii="黑体" w:eastAsia="黑体"/>
          <w:color w:val="000000"/>
          <w:sz w:val="24"/>
          <w:szCs w:val="24"/>
        </w:rPr>
        <w:t>内容</w:t>
      </w:r>
      <w:r>
        <w:rPr>
          <w:rFonts w:hint="eastAsia" w:ascii="黑体" w:eastAsia="黑体"/>
          <w:color w:val="000000"/>
          <w:sz w:val="24"/>
          <w:szCs w:val="24"/>
        </w:rPr>
        <w:t>，因此请您务必仔细阅读后再签署本协议。】</w:t>
      </w:r>
    </w:p>
    <w:p>
      <w:pPr>
        <w:spacing w:line="300" w:lineRule="exact"/>
        <w:ind w:right="36" w:rightChars="15"/>
        <w:rPr>
          <w:rFonts w:ascii="楷体_GB2312" w:eastAsia="楷体_GB2312"/>
          <w:sz w:val="24"/>
          <w:szCs w:val="28"/>
        </w:rPr>
      </w:pPr>
    </w:p>
    <w:sectPr>
      <w:headerReference r:id="rId3" w:type="default"/>
      <w:footerReference r:id="rId4" w:type="default"/>
      <w:pgSz w:w="11906" w:h="16838"/>
      <w:pgMar w:top="1440" w:right="1800" w:bottom="1440" w:left="180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onotype Corsiva">
    <w:altName w:val="Mongolian Baiti"/>
    <w:panose1 w:val="03010101010201010101"/>
    <w:charset w:val="00"/>
    <w:family w:val="script"/>
    <w:pitch w:val="default"/>
    <w:sig w:usb0="00000000"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Mongolian Baiti">
    <w:panose1 w:val="03000500000000000000"/>
    <w:charset w:val="00"/>
    <w:family w:val="auto"/>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color w:val="000000" w:themeColor="text1"/>
        <w14:textFill>
          <w14:solidFill>
            <w14:schemeClr w14:val="tx1"/>
          </w14:solidFill>
        </w14:textFill>
      </w:rPr>
    </w:pPr>
    <w:r>
      <w:rPr>
        <w:rFonts w:hint="eastAsia"/>
        <w:color w:val="000000" w:themeColor="text1"/>
        <w:lang w:val="zh-CN"/>
        <w14:textFill>
          <w14:solidFill>
            <w14:schemeClr w14:val="tx1"/>
          </w14:solidFill>
        </w14:textFill>
      </w:rPr>
      <w:t>第</w:t>
    </w: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20</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r>
      <w:rPr>
        <w:color w:val="000000" w:themeColor="text1"/>
        <w:lang w:val="zh-CN"/>
        <w14:textFill>
          <w14:solidFill>
            <w14:schemeClr w14:val="tx1"/>
          </w14:solidFill>
        </w14:textFill>
      </w:rPr>
      <w:t xml:space="preserve"> </w:t>
    </w:r>
    <w:r>
      <w:rPr>
        <w:rFonts w:hint="eastAsia"/>
        <w:color w:val="000000" w:themeColor="text1"/>
        <w:lang w:val="zh-CN"/>
        <w14:textFill>
          <w14:solidFill>
            <w14:schemeClr w14:val="tx1"/>
          </w14:solidFill>
        </w14:textFill>
      </w:rPr>
      <w:t>，共</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NUMPAGES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31</w:t>
    </w:r>
    <w:r>
      <w:rPr>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t>页</w:t>
    </w:r>
  </w:p>
  <w:p>
    <w:pPr>
      <w:pStyle w:val="4"/>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color w:val="000000" w:themeColor="text1"/>
        <w14:textFill>
          <w14:solidFill>
            <w14:schemeClr w14:val="tx1"/>
          </w14:solidFill>
        </w14:textFill>
      </w:rPr>
    </w:pPr>
    <w:r>
      <w:rPr>
        <w:rFonts w:hint="eastAsia"/>
      </w:rPr>
      <w:t>本产品风险评级为【P</w:t>
    </w:r>
    <w:r>
      <w:t>R2</w:t>
    </w:r>
    <w:r>
      <w:rPr>
        <w:rFonts w:hint="eastAsia"/>
      </w:rPr>
      <w:t>】</w:t>
    </w:r>
    <w:r>
      <w:t xml:space="preserve">           </w:t>
    </w:r>
    <w:r>
      <w:rPr>
        <w:color w:val="000000" w:themeColor="text1"/>
        <w14:textFill>
          <w14:solidFill>
            <w14:schemeClr w14:val="tx1"/>
          </w14:solidFill>
        </w14:textFill>
      </w:rPr>
      <w:t xml:space="preserve">                        理财非存款、产品有风险、投资须谨慎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rawingGridHorizontalSpacing w:val="0"/>
  <w:drawingGridVerticalSpacing w:val="0"/>
  <w:noPunctuationKerning w:val="1"/>
  <w:characterSpacingControl w:val="doNotCompress"/>
  <w:doNotValidateAgainstSchema/>
  <w:doNotDemarcateInvalidXml/>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lmYjU4NTM2NDZkOGZhNTg2MmNmMDQyZGE2MzhlMzAifQ=="/>
  </w:docVars>
  <w:rsids>
    <w:rsidRoot w:val="00172A27"/>
    <w:rsid w:val="000006C6"/>
    <w:rsid w:val="00001DC5"/>
    <w:rsid w:val="00003EA4"/>
    <w:rsid w:val="00010618"/>
    <w:rsid w:val="000126B2"/>
    <w:rsid w:val="00013F5B"/>
    <w:rsid w:val="000147D6"/>
    <w:rsid w:val="00014B73"/>
    <w:rsid w:val="00015D27"/>
    <w:rsid w:val="000160B3"/>
    <w:rsid w:val="00016ECA"/>
    <w:rsid w:val="000205B3"/>
    <w:rsid w:val="00021FBC"/>
    <w:rsid w:val="0002493B"/>
    <w:rsid w:val="0002679A"/>
    <w:rsid w:val="00035D4E"/>
    <w:rsid w:val="000363A0"/>
    <w:rsid w:val="00036A9C"/>
    <w:rsid w:val="00041092"/>
    <w:rsid w:val="000426F9"/>
    <w:rsid w:val="00043AA8"/>
    <w:rsid w:val="0004443C"/>
    <w:rsid w:val="00044D26"/>
    <w:rsid w:val="00047F09"/>
    <w:rsid w:val="000539DD"/>
    <w:rsid w:val="000548A7"/>
    <w:rsid w:val="000559BE"/>
    <w:rsid w:val="00057AF1"/>
    <w:rsid w:val="00060380"/>
    <w:rsid w:val="0006039E"/>
    <w:rsid w:val="00060CF8"/>
    <w:rsid w:val="00062C0F"/>
    <w:rsid w:val="00063F74"/>
    <w:rsid w:val="000642FF"/>
    <w:rsid w:val="00064EC6"/>
    <w:rsid w:val="00066399"/>
    <w:rsid w:val="000728B5"/>
    <w:rsid w:val="00074951"/>
    <w:rsid w:val="000757CB"/>
    <w:rsid w:val="000769ED"/>
    <w:rsid w:val="000810BD"/>
    <w:rsid w:val="00084A58"/>
    <w:rsid w:val="00084DE7"/>
    <w:rsid w:val="00085A4A"/>
    <w:rsid w:val="0008615C"/>
    <w:rsid w:val="0008737E"/>
    <w:rsid w:val="00090A7C"/>
    <w:rsid w:val="00090C78"/>
    <w:rsid w:val="000912BC"/>
    <w:rsid w:val="0009250D"/>
    <w:rsid w:val="00093A85"/>
    <w:rsid w:val="0009479A"/>
    <w:rsid w:val="00096806"/>
    <w:rsid w:val="0009796B"/>
    <w:rsid w:val="000A044F"/>
    <w:rsid w:val="000A0C47"/>
    <w:rsid w:val="000A166B"/>
    <w:rsid w:val="000A5B13"/>
    <w:rsid w:val="000B0124"/>
    <w:rsid w:val="000B0A2B"/>
    <w:rsid w:val="000B449C"/>
    <w:rsid w:val="000B5CA2"/>
    <w:rsid w:val="000C04B7"/>
    <w:rsid w:val="000C0E92"/>
    <w:rsid w:val="000C19F3"/>
    <w:rsid w:val="000C2431"/>
    <w:rsid w:val="000C2603"/>
    <w:rsid w:val="000C283C"/>
    <w:rsid w:val="000C33FA"/>
    <w:rsid w:val="000C37FC"/>
    <w:rsid w:val="000C3AF8"/>
    <w:rsid w:val="000C3C7D"/>
    <w:rsid w:val="000C46EC"/>
    <w:rsid w:val="000C4C04"/>
    <w:rsid w:val="000C7803"/>
    <w:rsid w:val="000D0148"/>
    <w:rsid w:val="000D0828"/>
    <w:rsid w:val="000D4C7B"/>
    <w:rsid w:val="000D56E3"/>
    <w:rsid w:val="000E10B6"/>
    <w:rsid w:val="000E3008"/>
    <w:rsid w:val="000E3444"/>
    <w:rsid w:val="000E51AE"/>
    <w:rsid w:val="000E60E0"/>
    <w:rsid w:val="000E6792"/>
    <w:rsid w:val="000F26F4"/>
    <w:rsid w:val="000F2A49"/>
    <w:rsid w:val="000F3ADF"/>
    <w:rsid w:val="000F599D"/>
    <w:rsid w:val="000F687B"/>
    <w:rsid w:val="000F798A"/>
    <w:rsid w:val="0010147F"/>
    <w:rsid w:val="00103F63"/>
    <w:rsid w:val="00105A87"/>
    <w:rsid w:val="001077F3"/>
    <w:rsid w:val="00110BCF"/>
    <w:rsid w:val="00111E93"/>
    <w:rsid w:val="00115683"/>
    <w:rsid w:val="00115D73"/>
    <w:rsid w:val="0011687B"/>
    <w:rsid w:val="00116B6A"/>
    <w:rsid w:val="00123C90"/>
    <w:rsid w:val="00124FBD"/>
    <w:rsid w:val="001260B9"/>
    <w:rsid w:val="001266EA"/>
    <w:rsid w:val="00126DB3"/>
    <w:rsid w:val="00130901"/>
    <w:rsid w:val="00132E82"/>
    <w:rsid w:val="0013467D"/>
    <w:rsid w:val="001353DA"/>
    <w:rsid w:val="0013564C"/>
    <w:rsid w:val="00135B6F"/>
    <w:rsid w:val="00136105"/>
    <w:rsid w:val="001370DF"/>
    <w:rsid w:val="0014090C"/>
    <w:rsid w:val="00144519"/>
    <w:rsid w:val="001452EC"/>
    <w:rsid w:val="00146526"/>
    <w:rsid w:val="00151D12"/>
    <w:rsid w:val="001521EB"/>
    <w:rsid w:val="001549C8"/>
    <w:rsid w:val="001568FE"/>
    <w:rsid w:val="00156DA1"/>
    <w:rsid w:val="0016013C"/>
    <w:rsid w:val="001615E1"/>
    <w:rsid w:val="00163B22"/>
    <w:rsid w:val="001641D5"/>
    <w:rsid w:val="00164277"/>
    <w:rsid w:val="001649F3"/>
    <w:rsid w:val="00172A27"/>
    <w:rsid w:val="00176C79"/>
    <w:rsid w:val="00182FBF"/>
    <w:rsid w:val="00184D24"/>
    <w:rsid w:val="001856BC"/>
    <w:rsid w:val="001872EE"/>
    <w:rsid w:val="00190A62"/>
    <w:rsid w:val="00191496"/>
    <w:rsid w:val="0019257E"/>
    <w:rsid w:val="00192A4D"/>
    <w:rsid w:val="001930F7"/>
    <w:rsid w:val="00193302"/>
    <w:rsid w:val="00194DE7"/>
    <w:rsid w:val="00197081"/>
    <w:rsid w:val="001A0FD7"/>
    <w:rsid w:val="001A218A"/>
    <w:rsid w:val="001A21E1"/>
    <w:rsid w:val="001A2FFC"/>
    <w:rsid w:val="001A30BE"/>
    <w:rsid w:val="001A36DF"/>
    <w:rsid w:val="001A5423"/>
    <w:rsid w:val="001A720A"/>
    <w:rsid w:val="001A7BE3"/>
    <w:rsid w:val="001B01FF"/>
    <w:rsid w:val="001B1495"/>
    <w:rsid w:val="001B1E52"/>
    <w:rsid w:val="001B35C0"/>
    <w:rsid w:val="001B50D8"/>
    <w:rsid w:val="001B6C94"/>
    <w:rsid w:val="001C0F22"/>
    <w:rsid w:val="001C19C0"/>
    <w:rsid w:val="001C2A78"/>
    <w:rsid w:val="001C3D71"/>
    <w:rsid w:val="001C4FAF"/>
    <w:rsid w:val="001C5D78"/>
    <w:rsid w:val="001C72BC"/>
    <w:rsid w:val="001C7B49"/>
    <w:rsid w:val="001D6A97"/>
    <w:rsid w:val="001E1C60"/>
    <w:rsid w:val="001E24D6"/>
    <w:rsid w:val="001E6160"/>
    <w:rsid w:val="001E6503"/>
    <w:rsid w:val="001F6640"/>
    <w:rsid w:val="001F6AE8"/>
    <w:rsid w:val="001F7597"/>
    <w:rsid w:val="0020078B"/>
    <w:rsid w:val="00202368"/>
    <w:rsid w:val="0020290B"/>
    <w:rsid w:val="00203755"/>
    <w:rsid w:val="00203EAD"/>
    <w:rsid w:val="0020493D"/>
    <w:rsid w:val="00205721"/>
    <w:rsid w:val="00205FFC"/>
    <w:rsid w:val="002068C1"/>
    <w:rsid w:val="00212BEB"/>
    <w:rsid w:val="00213D48"/>
    <w:rsid w:val="002156E9"/>
    <w:rsid w:val="00215D7E"/>
    <w:rsid w:val="00216B6D"/>
    <w:rsid w:val="00217805"/>
    <w:rsid w:val="0022225E"/>
    <w:rsid w:val="002255EE"/>
    <w:rsid w:val="00225B66"/>
    <w:rsid w:val="00225C4A"/>
    <w:rsid w:val="00225EDD"/>
    <w:rsid w:val="002263A2"/>
    <w:rsid w:val="00226CD2"/>
    <w:rsid w:val="00226ED1"/>
    <w:rsid w:val="002270F3"/>
    <w:rsid w:val="00227275"/>
    <w:rsid w:val="00231806"/>
    <w:rsid w:val="00233296"/>
    <w:rsid w:val="00233A76"/>
    <w:rsid w:val="00233AC8"/>
    <w:rsid w:val="00236C74"/>
    <w:rsid w:val="002370EE"/>
    <w:rsid w:val="00237EA1"/>
    <w:rsid w:val="00241C9E"/>
    <w:rsid w:val="00243A55"/>
    <w:rsid w:val="00245336"/>
    <w:rsid w:val="002465F7"/>
    <w:rsid w:val="00246BAF"/>
    <w:rsid w:val="00251071"/>
    <w:rsid w:val="00253360"/>
    <w:rsid w:val="0025354B"/>
    <w:rsid w:val="002551F1"/>
    <w:rsid w:val="00255F6F"/>
    <w:rsid w:val="00263023"/>
    <w:rsid w:val="00263626"/>
    <w:rsid w:val="00264272"/>
    <w:rsid w:val="00266F6D"/>
    <w:rsid w:val="002729A9"/>
    <w:rsid w:val="00274D10"/>
    <w:rsid w:val="00274DDE"/>
    <w:rsid w:val="002754B9"/>
    <w:rsid w:val="002761EB"/>
    <w:rsid w:val="002808D0"/>
    <w:rsid w:val="002810EE"/>
    <w:rsid w:val="00287256"/>
    <w:rsid w:val="00291517"/>
    <w:rsid w:val="00292667"/>
    <w:rsid w:val="00294941"/>
    <w:rsid w:val="00295A54"/>
    <w:rsid w:val="0029600B"/>
    <w:rsid w:val="00296760"/>
    <w:rsid w:val="002A0B7C"/>
    <w:rsid w:val="002A0DE8"/>
    <w:rsid w:val="002A101B"/>
    <w:rsid w:val="002A118E"/>
    <w:rsid w:val="002A1446"/>
    <w:rsid w:val="002A19D9"/>
    <w:rsid w:val="002A284E"/>
    <w:rsid w:val="002A37AD"/>
    <w:rsid w:val="002A38E0"/>
    <w:rsid w:val="002A448B"/>
    <w:rsid w:val="002A5E24"/>
    <w:rsid w:val="002A6FFD"/>
    <w:rsid w:val="002B0D61"/>
    <w:rsid w:val="002B195C"/>
    <w:rsid w:val="002B53E3"/>
    <w:rsid w:val="002B68A0"/>
    <w:rsid w:val="002B7859"/>
    <w:rsid w:val="002B7874"/>
    <w:rsid w:val="002C07C8"/>
    <w:rsid w:val="002D1482"/>
    <w:rsid w:val="002D3636"/>
    <w:rsid w:val="002D38B7"/>
    <w:rsid w:val="002D4E93"/>
    <w:rsid w:val="002D68A1"/>
    <w:rsid w:val="002D6DF8"/>
    <w:rsid w:val="002D6E0E"/>
    <w:rsid w:val="002D7249"/>
    <w:rsid w:val="002E4E91"/>
    <w:rsid w:val="002E4F89"/>
    <w:rsid w:val="002E5746"/>
    <w:rsid w:val="002E5CC4"/>
    <w:rsid w:val="002E64C4"/>
    <w:rsid w:val="002F05EE"/>
    <w:rsid w:val="002F0E3A"/>
    <w:rsid w:val="002F0F28"/>
    <w:rsid w:val="002F14A9"/>
    <w:rsid w:val="002F1E03"/>
    <w:rsid w:val="002F265B"/>
    <w:rsid w:val="002F388D"/>
    <w:rsid w:val="002F3BBE"/>
    <w:rsid w:val="002F7BFE"/>
    <w:rsid w:val="003079C2"/>
    <w:rsid w:val="00310EC2"/>
    <w:rsid w:val="0031174F"/>
    <w:rsid w:val="00311784"/>
    <w:rsid w:val="0031212B"/>
    <w:rsid w:val="00312710"/>
    <w:rsid w:val="00312A2B"/>
    <w:rsid w:val="003133C9"/>
    <w:rsid w:val="0031689B"/>
    <w:rsid w:val="00316DEC"/>
    <w:rsid w:val="003175C8"/>
    <w:rsid w:val="00321CAD"/>
    <w:rsid w:val="00322939"/>
    <w:rsid w:val="00326CE4"/>
    <w:rsid w:val="003313E2"/>
    <w:rsid w:val="003322C2"/>
    <w:rsid w:val="00332EB9"/>
    <w:rsid w:val="00335B1F"/>
    <w:rsid w:val="00336876"/>
    <w:rsid w:val="00337017"/>
    <w:rsid w:val="003413CC"/>
    <w:rsid w:val="003421C1"/>
    <w:rsid w:val="003452C4"/>
    <w:rsid w:val="00345368"/>
    <w:rsid w:val="00345530"/>
    <w:rsid w:val="003460A3"/>
    <w:rsid w:val="00346433"/>
    <w:rsid w:val="00351AC4"/>
    <w:rsid w:val="0035590C"/>
    <w:rsid w:val="00356D2C"/>
    <w:rsid w:val="003576A4"/>
    <w:rsid w:val="003600CB"/>
    <w:rsid w:val="0036094B"/>
    <w:rsid w:val="00362735"/>
    <w:rsid w:val="0036563E"/>
    <w:rsid w:val="0036565F"/>
    <w:rsid w:val="00365828"/>
    <w:rsid w:val="00366351"/>
    <w:rsid w:val="00366D41"/>
    <w:rsid w:val="00370AD9"/>
    <w:rsid w:val="00370BE5"/>
    <w:rsid w:val="003722EF"/>
    <w:rsid w:val="00372EEC"/>
    <w:rsid w:val="003764D9"/>
    <w:rsid w:val="00377004"/>
    <w:rsid w:val="0037708C"/>
    <w:rsid w:val="00380548"/>
    <w:rsid w:val="00381BBC"/>
    <w:rsid w:val="00382F22"/>
    <w:rsid w:val="0038563B"/>
    <w:rsid w:val="003903BF"/>
    <w:rsid w:val="0039091A"/>
    <w:rsid w:val="00390CFD"/>
    <w:rsid w:val="00391378"/>
    <w:rsid w:val="00392188"/>
    <w:rsid w:val="0039559D"/>
    <w:rsid w:val="003971DB"/>
    <w:rsid w:val="00397E61"/>
    <w:rsid w:val="003A0843"/>
    <w:rsid w:val="003A1BD8"/>
    <w:rsid w:val="003A4B48"/>
    <w:rsid w:val="003A5529"/>
    <w:rsid w:val="003B3493"/>
    <w:rsid w:val="003B3842"/>
    <w:rsid w:val="003B4081"/>
    <w:rsid w:val="003B4DB7"/>
    <w:rsid w:val="003B756C"/>
    <w:rsid w:val="003B7CAE"/>
    <w:rsid w:val="003C2EEB"/>
    <w:rsid w:val="003C61BE"/>
    <w:rsid w:val="003C727B"/>
    <w:rsid w:val="003C77EF"/>
    <w:rsid w:val="003C7AEF"/>
    <w:rsid w:val="003D1B3B"/>
    <w:rsid w:val="003D1E1D"/>
    <w:rsid w:val="003D4615"/>
    <w:rsid w:val="003D5980"/>
    <w:rsid w:val="003D6E7F"/>
    <w:rsid w:val="003E2091"/>
    <w:rsid w:val="003E231B"/>
    <w:rsid w:val="003E2E0B"/>
    <w:rsid w:val="003E53B4"/>
    <w:rsid w:val="003E547A"/>
    <w:rsid w:val="003E6901"/>
    <w:rsid w:val="003F2084"/>
    <w:rsid w:val="003F3C37"/>
    <w:rsid w:val="003F58E1"/>
    <w:rsid w:val="003F5982"/>
    <w:rsid w:val="003F5CC9"/>
    <w:rsid w:val="003F7F7C"/>
    <w:rsid w:val="0040426A"/>
    <w:rsid w:val="00404732"/>
    <w:rsid w:val="004056EF"/>
    <w:rsid w:val="004057B9"/>
    <w:rsid w:val="00407081"/>
    <w:rsid w:val="00410409"/>
    <w:rsid w:val="00411AD3"/>
    <w:rsid w:val="0041223C"/>
    <w:rsid w:val="00413B11"/>
    <w:rsid w:val="0041446D"/>
    <w:rsid w:val="00414D0A"/>
    <w:rsid w:val="0041523E"/>
    <w:rsid w:val="00415393"/>
    <w:rsid w:val="00415D0E"/>
    <w:rsid w:val="00420285"/>
    <w:rsid w:val="004202B4"/>
    <w:rsid w:val="004205C0"/>
    <w:rsid w:val="004210C6"/>
    <w:rsid w:val="004243EB"/>
    <w:rsid w:val="00426C15"/>
    <w:rsid w:val="00426ED5"/>
    <w:rsid w:val="00433028"/>
    <w:rsid w:val="00436006"/>
    <w:rsid w:val="00436EE0"/>
    <w:rsid w:val="00441E3A"/>
    <w:rsid w:val="00443AF1"/>
    <w:rsid w:val="004468BE"/>
    <w:rsid w:val="00447345"/>
    <w:rsid w:val="00450A36"/>
    <w:rsid w:val="00451A81"/>
    <w:rsid w:val="0045355D"/>
    <w:rsid w:val="0045444C"/>
    <w:rsid w:val="00454D81"/>
    <w:rsid w:val="00455F92"/>
    <w:rsid w:val="004567FE"/>
    <w:rsid w:val="0045695C"/>
    <w:rsid w:val="004600AE"/>
    <w:rsid w:val="00461029"/>
    <w:rsid w:val="00463F1F"/>
    <w:rsid w:val="00464C78"/>
    <w:rsid w:val="00465DE6"/>
    <w:rsid w:val="00466412"/>
    <w:rsid w:val="0047057B"/>
    <w:rsid w:val="00470FB6"/>
    <w:rsid w:val="00470FDE"/>
    <w:rsid w:val="0047199F"/>
    <w:rsid w:val="00473144"/>
    <w:rsid w:val="0047482C"/>
    <w:rsid w:val="004755EA"/>
    <w:rsid w:val="00475653"/>
    <w:rsid w:val="00475662"/>
    <w:rsid w:val="00475AA6"/>
    <w:rsid w:val="00475C7B"/>
    <w:rsid w:val="004801D7"/>
    <w:rsid w:val="00480C2E"/>
    <w:rsid w:val="00481F39"/>
    <w:rsid w:val="0048246F"/>
    <w:rsid w:val="004919C6"/>
    <w:rsid w:val="00491CAE"/>
    <w:rsid w:val="004933E0"/>
    <w:rsid w:val="00493FBA"/>
    <w:rsid w:val="00494AB2"/>
    <w:rsid w:val="0049560E"/>
    <w:rsid w:val="00495FB0"/>
    <w:rsid w:val="00497A0F"/>
    <w:rsid w:val="004A0105"/>
    <w:rsid w:val="004A7220"/>
    <w:rsid w:val="004A73A9"/>
    <w:rsid w:val="004B0F38"/>
    <w:rsid w:val="004B3E7F"/>
    <w:rsid w:val="004B4881"/>
    <w:rsid w:val="004B4E0C"/>
    <w:rsid w:val="004B60CF"/>
    <w:rsid w:val="004B7645"/>
    <w:rsid w:val="004C0143"/>
    <w:rsid w:val="004C1CEF"/>
    <w:rsid w:val="004C3474"/>
    <w:rsid w:val="004C3861"/>
    <w:rsid w:val="004C46A4"/>
    <w:rsid w:val="004C49DC"/>
    <w:rsid w:val="004C7FE9"/>
    <w:rsid w:val="004D1573"/>
    <w:rsid w:val="004D1578"/>
    <w:rsid w:val="004D1B31"/>
    <w:rsid w:val="004D3168"/>
    <w:rsid w:val="004D3982"/>
    <w:rsid w:val="004D440D"/>
    <w:rsid w:val="004D49E8"/>
    <w:rsid w:val="004D4C24"/>
    <w:rsid w:val="004E2B94"/>
    <w:rsid w:val="004E3690"/>
    <w:rsid w:val="004E3FA9"/>
    <w:rsid w:val="004E402F"/>
    <w:rsid w:val="004E7622"/>
    <w:rsid w:val="004E7E59"/>
    <w:rsid w:val="004F00BF"/>
    <w:rsid w:val="004F1681"/>
    <w:rsid w:val="004F25B4"/>
    <w:rsid w:val="004F47CE"/>
    <w:rsid w:val="004F6A80"/>
    <w:rsid w:val="00504CE9"/>
    <w:rsid w:val="0050603A"/>
    <w:rsid w:val="0050607E"/>
    <w:rsid w:val="00506276"/>
    <w:rsid w:val="005069E4"/>
    <w:rsid w:val="00510B6F"/>
    <w:rsid w:val="005127D4"/>
    <w:rsid w:val="00517930"/>
    <w:rsid w:val="005204CE"/>
    <w:rsid w:val="005218CD"/>
    <w:rsid w:val="00521D47"/>
    <w:rsid w:val="005221AA"/>
    <w:rsid w:val="005237D3"/>
    <w:rsid w:val="005251A7"/>
    <w:rsid w:val="00525CB4"/>
    <w:rsid w:val="00527BAE"/>
    <w:rsid w:val="0053426C"/>
    <w:rsid w:val="00536422"/>
    <w:rsid w:val="00542AFB"/>
    <w:rsid w:val="00542BD1"/>
    <w:rsid w:val="0054435B"/>
    <w:rsid w:val="0054504E"/>
    <w:rsid w:val="00545208"/>
    <w:rsid w:val="00546327"/>
    <w:rsid w:val="00546441"/>
    <w:rsid w:val="0055031F"/>
    <w:rsid w:val="00552C0F"/>
    <w:rsid w:val="00557038"/>
    <w:rsid w:val="00563F6E"/>
    <w:rsid w:val="005645C5"/>
    <w:rsid w:val="00566105"/>
    <w:rsid w:val="00567836"/>
    <w:rsid w:val="005738FF"/>
    <w:rsid w:val="005744F2"/>
    <w:rsid w:val="005755E0"/>
    <w:rsid w:val="005769C1"/>
    <w:rsid w:val="00580CAC"/>
    <w:rsid w:val="00582D53"/>
    <w:rsid w:val="005865C3"/>
    <w:rsid w:val="00587E1F"/>
    <w:rsid w:val="00592959"/>
    <w:rsid w:val="00592F42"/>
    <w:rsid w:val="00595F7E"/>
    <w:rsid w:val="0059646B"/>
    <w:rsid w:val="0059707D"/>
    <w:rsid w:val="0059788F"/>
    <w:rsid w:val="00597DBA"/>
    <w:rsid w:val="005A0326"/>
    <w:rsid w:val="005A099D"/>
    <w:rsid w:val="005A199B"/>
    <w:rsid w:val="005A20DA"/>
    <w:rsid w:val="005A3C8F"/>
    <w:rsid w:val="005A5733"/>
    <w:rsid w:val="005A5EC0"/>
    <w:rsid w:val="005B0BE3"/>
    <w:rsid w:val="005B264B"/>
    <w:rsid w:val="005B26C0"/>
    <w:rsid w:val="005B2BD9"/>
    <w:rsid w:val="005B2FCA"/>
    <w:rsid w:val="005B4B89"/>
    <w:rsid w:val="005B4D6F"/>
    <w:rsid w:val="005B69F9"/>
    <w:rsid w:val="005C1012"/>
    <w:rsid w:val="005C26A1"/>
    <w:rsid w:val="005C2BE9"/>
    <w:rsid w:val="005C6B87"/>
    <w:rsid w:val="005C739D"/>
    <w:rsid w:val="005D0386"/>
    <w:rsid w:val="005D1EA0"/>
    <w:rsid w:val="005D2357"/>
    <w:rsid w:val="005D25FF"/>
    <w:rsid w:val="005D3094"/>
    <w:rsid w:val="005D3505"/>
    <w:rsid w:val="005D3D54"/>
    <w:rsid w:val="005D45A1"/>
    <w:rsid w:val="005D58BE"/>
    <w:rsid w:val="005E0A11"/>
    <w:rsid w:val="005E1B40"/>
    <w:rsid w:val="005E4210"/>
    <w:rsid w:val="005F076E"/>
    <w:rsid w:val="005F0D0A"/>
    <w:rsid w:val="005F16A2"/>
    <w:rsid w:val="005F24E9"/>
    <w:rsid w:val="005F369A"/>
    <w:rsid w:val="005F3EE1"/>
    <w:rsid w:val="005F4C00"/>
    <w:rsid w:val="005F5F1C"/>
    <w:rsid w:val="006026F6"/>
    <w:rsid w:val="00604548"/>
    <w:rsid w:val="006065AF"/>
    <w:rsid w:val="00606F08"/>
    <w:rsid w:val="00607679"/>
    <w:rsid w:val="00611B92"/>
    <w:rsid w:val="00614825"/>
    <w:rsid w:val="00614999"/>
    <w:rsid w:val="006218A6"/>
    <w:rsid w:val="006223DC"/>
    <w:rsid w:val="006229A2"/>
    <w:rsid w:val="00623324"/>
    <w:rsid w:val="0062630B"/>
    <w:rsid w:val="00626BED"/>
    <w:rsid w:val="006320C1"/>
    <w:rsid w:val="0063231F"/>
    <w:rsid w:val="006368D3"/>
    <w:rsid w:val="00637451"/>
    <w:rsid w:val="00637A0A"/>
    <w:rsid w:val="00640235"/>
    <w:rsid w:val="00641240"/>
    <w:rsid w:val="00645222"/>
    <w:rsid w:val="006509E5"/>
    <w:rsid w:val="00651DB2"/>
    <w:rsid w:val="0065398F"/>
    <w:rsid w:val="0065475E"/>
    <w:rsid w:val="0065724F"/>
    <w:rsid w:val="0066017F"/>
    <w:rsid w:val="00661CF7"/>
    <w:rsid w:val="006627C0"/>
    <w:rsid w:val="0066536D"/>
    <w:rsid w:val="00665606"/>
    <w:rsid w:val="00666C5E"/>
    <w:rsid w:val="006745BC"/>
    <w:rsid w:val="006804CB"/>
    <w:rsid w:val="00680BF4"/>
    <w:rsid w:val="00682617"/>
    <w:rsid w:val="00683ADB"/>
    <w:rsid w:val="00691194"/>
    <w:rsid w:val="0069257C"/>
    <w:rsid w:val="00692C48"/>
    <w:rsid w:val="0069708B"/>
    <w:rsid w:val="006975BC"/>
    <w:rsid w:val="006976C9"/>
    <w:rsid w:val="006A0C97"/>
    <w:rsid w:val="006A19F9"/>
    <w:rsid w:val="006A3FF4"/>
    <w:rsid w:val="006B41B5"/>
    <w:rsid w:val="006B6EEE"/>
    <w:rsid w:val="006C0090"/>
    <w:rsid w:val="006C0806"/>
    <w:rsid w:val="006C2294"/>
    <w:rsid w:val="006C284C"/>
    <w:rsid w:val="006C4FBC"/>
    <w:rsid w:val="006C5D6D"/>
    <w:rsid w:val="006D0DEA"/>
    <w:rsid w:val="006D380D"/>
    <w:rsid w:val="006D4308"/>
    <w:rsid w:val="006D4480"/>
    <w:rsid w:val="006D621E"/>
    <w:rsid w:val="006D7D92"/>
    <w:rsid w:val="006D7DF5"/>
    <w:rsid w:val="006E0C09"/>
    <w:rsid w:val="006E0F1E"/>
    <w:rsid w:val="006E10CF"/>
    <w:rsid w:val="006E2EF4"/>
    <w:rsid w:val="006E308C"/>
    <w:rsid w:val="006E30F2"/>
    <w:rsid w:val="006E3116"/>
    <w:rsid w:val="006E43E5"/>
    <w:rsid w:val="006E4D8B"/>
    <w:rsid w:val="006E5D81"/>
    <w:rsid w:val="006E670C"/>
    <w:rsid w:val="006F04C3"/>
    <w:rsid w:val="006F166D"/>
    <w:rsid w:val="006F7210"/>
    <w:rsid w:val="00700F6D"/>
    <w:rsid w:val="00701C15"/>
    <w:rsid w:val="0070415D"/>
    <w:rsid w:val="0070491B"/>
    <w:rsid w:val="00705487"/>
    <w:rsid w:val="00714057"/>
    <w:rsid w:val="007146CC"/>
    <w:rsid w:val="007160F3"/>
    <w:rsid w:val="00716F0D"/>
    <w:rsid w:val="00720264"/>
    <w:rsid w:val="0072328E"/>
    <w:rsid w:val="00724409"/>
    <w:rsid w:val="00725E51"/>
    <w:rsid w:val="00726156"/>
    <w:rsid w:val="007277A7"/>
    <w:rsid w:val="007279E5"/>
    <w:rsid w:val="0073059C"/>
    <w:rsid w:val="00733CAE"/>
    <w:rsid w:val="007341D7"/>
    <w:rsid w:val="00742D4B"/>
    <w:rsid w:val="007439E8"/>
    <w:rsid w:val="00744316"/>
    <w:rsid w:val="00745A82"/>
    <w:rsid w:val="00747A12"/>
    <w:rsid w:val="007500A6"/>
    <w:rsid w:val="00753114"/>
    <w:rsid w:val="007535A2"/>
    <w:rsid w:val="00755E0B"/>
    <w:rsid w:val="007567CA"/>
    <w:rsid w:val="007578A5"/>
    <w:rsid w:val="00762150"/>
    <w:rsid w:val="007621EB"/>
    <w:rsid w:val="00762E9A"/>
    <w:rsid w:val="0077104A"/>
    <w:rsid w:val="0077131D"/>
    <w:rsid w:val="0077204B"/>
    <w:rsid w:val="00772F06"/>
    <w:rsid w:val="007737E0"/>
    <w:rsid w:val="00773EF6"/>
    <w:rsid w:val="00774627"/>
    <w:rsid w:val="007767C3"/>
    <w:rsid w:val="007808F5"/>
    <w:rsid w:val="00781310"/>
    <w:rsid w:val="00782961"/>
    <w:rsid w:val="00783654"/>
    <w:rsid w:val="0078380F"/>
    <w:rsid w:val="0079138E"/>
    <w:rsid w:val="007929F7"/>
    <w:rsid w:val="007930A4"/>
    <w:rsid w:val="00794E71"/>
    <w:rsid w:val="007966BE"/>
    <w:rsid w:val="007A1863"/>
    <w:rsid w:val="007A24F4"/>
    <w:rsid w:val="007A4008"/>
    <w:rsid w:val="007A49A9"/>
    <w:rsid w:val="007A69A9"/>
    <w:rsid w:val="007B0FB2"/>
    <w:rsid w:val="007B16F7"/>
    <w:rsid w:val="007B3F5E"/>
    <w:rsid w:val="007B65A1"/>
    <w:rsid w:val="007B7D9D"/>
    <w:rsid w:val="007C1FD4"/>
    <w:rsid w:val="007C2C0B"/>
    <w:rsid w:val="007C2FC3"/>
    <w:rsid w:val="007C3B98"/>
    <w:rsid w:val="007C4338"/>
    <w:rsid w:val="007C638C"/>
    <w:rsid w:val="007C7112"/>
    <w:rsid w:val="007D2424"/>
    <w:rsid w:val="007D2AF2"/>
    <w:rsid w:val="007D3041"/>
    <w:rsid w:val="007D40F8"/>
    <w:rsid w:val="007D7593"/>
    <w:rsid w:val="007E0CA6"/>
    <w:rsid w:val="007E1C65"/>
    <w:rsid w:val="007E250D"/>
    <w:rsid w:val="007E5ED0"/>
    <w:rsid w:val="007E6F1E"/>
    <w:rsid w:val="007E7B54"/>
    <w:rsid w:val="007F08EA"/>
    <w:rsid w:val="007F52AA"/>
    <w:rsid w:val="008001C4"/>
    <w:rsid w:val="00801AA5"/>
    <w:rsid w:val="00803588"/>
    <w:rsid w:val="00803B53"/>
    <w:rsid w:val="0080455A"/>
    <w:rsid w:val="008069CD"/>
    <w:rsid w:val="00807588"/>
    <w:rsid w:val="00810BD4"/>
    <w:rsid w:val="00810CF1"/>
    <w:rsid w:val="008118F6"/>
    <w:rsid w:val="00812070"/>
    <w:rsid w:val="00815304"/>
    <w:rsid w:val="00815CD7"/>
    <w:rsid w:val="00815CE5"/>
    <w:rsid w:val="00816DF3"/>
    <w:rsid w:val="0082090A"/>
    <w:rsid w:val="00821110"/>
    <w:rsid w:val="00822EB0"/>
    <w:rsid w:val="0082485C"/>
    <w:rsid w:val="008276D5"/>
    <w:rsid w:val="00827EBC"/>
    <w:rsid w:val="0083053C"/>
    <w:rsid w:val="00831D18"/>
    <w:rsid w:val="008328C6"/>
    <w:rsid w:val="008342FE"/>
    <w:rsid w:val="0083530F"/>
    <w:rsid w:val="008357D1"/>
    <w:rsid w:val="00836406"/>
    <w:rsid w:val="00836417"/>
    <w:rsid w:val="00836C6F"/>
    <w:rsid w:val="00837AA0"/>
    <w:rsid w:val="00842495"/>
    <w:rsid w:val="00845089"/>
    <w:rsid w:val="00850703"/>
    <w:rsid w:val="00851D70"/>
    <w:rsid w:val="0085303E"/>
    <w:rsid w:val="00854130"/>
    <w:rsid w:val="00854172"/>
    <w:rsid w:val="008548FE"/>
    <w:rsid w:val="00855DD2"/>
    <w:rsid w:val="00855E90"/>
    <w:rsid w:val="0085695F"/>
    <w:rsid w:val="00860EDD"/>
    <w:rsid w:val="008619AD"/>
    <w:rsid w:val="00861DB4"/>
    <w:rsid w:val="00863ADD"/>
    <w:rsid w:val="008651E5"/>
    <w:rsid w:val="00865FCA"/>
    <w:rsid w:val="0086720D"/>
    <w:rsid w:val="008703D2"/>
    <w:rsid w:val="008714A8"/>
    <w:rsid w:val="008734E7"/>
    <w:rsid w:val="00880F64"/>
    <w:rsid w:val="00882FCC"/>
    <w:rsid w:val="008831B8"/>
    <w:rsid w:val="00885404"/>
    <w:rsid w:val="0088574C"/>
    <w:rsid w:val="008859E1"/>
    <w:rsid w:val="00890816"/>
    <w:rsid w:val="0089154C"/>
    <w:rsid w:val="0089445F"/>
    <w:rsid w:val="00895EED"/>
    <w:rsid w:val="008A411C"/>
    <w:rsid w:val="008A69A3"/>
    <w:rsid w:val="008B0822"/>
    <w:rsid w:val="008B1E5A"/>
    <w:rsid w:val="008B2747"/>
    <w:rsid w:val="008B4408"/>
    <w:rsid w:val="008B48FE"/>
    <w:rsid w:val="008B52FB"/>
    <w:rsid w:val="008B7343"/>
    <w:rsid w:val="008C6EB3"/>
    <w:rsid w:val="008C7329"/>
    <w:rsid w:val="008E2351"/>
    <w:rsid w:val="008E472F"/>
    <w:rsid w:val="008E5E61"/>
    <w:rsid w:val="008F1E60"/>
    <w:rsid w:val="008F20AB"/>
    <w:rsid w:val="008F5554"/>
    <w:rsid w:val="008F572B"/>
    <w:rsid w:val="008F6227"/>
    <w:rsid w:val="00902206"/>
    <w:rsid w:val="00903D64"/>
    <w:rsid w:val="0090431C"/>
    <w:rsid w:val="00904891"/>
    <w:rsid w:val="009105DF"/>
    <w:rsid w:val="009109D7"/>
    <w:rsid w:val="00910D88"/>
    <w:rsid w:val="00913087"/>
    <w:rsid w:val="0091382D"/>
    <w:rsid w:val="00916769"/>
    <w:rsid w:val="00917776"/>
    <w:rsid w:val="009238E1"/>
    <w:rsid w:val="00925A45"/>
    <w:rsid w:val="00925ABF"/>
    <w:rsid w:val="00934481"/>
    <w:rsid w:val="00934714"/>
    <w:rsid w:val="009347AF"/>
    <w:rsid w:val="0093538C"/>
    <w:rsid w:val="00940B4D"/>
    <w:rsid w:val="009421CA"/>
    <w:rsid w:val="00943306"/>
    <w:rsid w:val="009437CB"/>
    <w:rsid w:val="0094593C"/>
    <w:rsid w:val="0094794A"/>
    <w:rsid w:val="0095171C"/>
    <w:rsid w:val="00951827"/>
    <w:rsid w:val="009543C4"/>
    <w:rsid w:val="00954DC5"/>
    <w:rsid w:val="00955AAD"/>
    <w:rsid w:val="009561B3"/>
    <w:rsid w:val="0096016D"/>
    <w:rsid w:val="009647FC"/>
    <w:rsid w:val="0096558D"/>
    <w:rsid w:val="0096682F"/>
    <w:rsid w:val="00966A09"/>
    <w:rsid w:val="0097118F"/>
    <w:rsid w:val="00974963"/>
    <w:rsid w:val="00976AFC"/>
    <w:rsid w:val="00985402"/>
    <w:rsid w:val="00986603"/>
    <w:rsid w:val="00986EBC"/>
    <w:rsid w:val="00990F75"/>
    <w:rsid w:val="00991685"/>
    <w:rsid w:val="00994FCB"/>
    <w:rsid w:val="00996506"/>
    <w:rsid w:val="009968EC"/>
    <w:rsid w:val="009A0ACD"/>
    <w:rsid w:val="009A18DB"/>
    <w:rsid w:val="009A2BA6"/>
    <w:rsid w:val="009A303C"/>
    <w:rsid w:val="009B05E6"/>
    <w:rsid w:val="009B14F2"/>
    <w:rsid w:val="009B24F9"/>
    <w:rsid w:val="009B32DD"/>
    <w:rsid w:val="009B5271"/>
    <w:rsid w:val="009B56EF"/>
    <w:rsid w:val="009B58EC"/>
    <w:rsid w:val="009B593B"/>
    <w:rsid w:val="009B6D89"/>
    <w:rsid w:val="009B7656"/>
    <w:rsid w:val="009C004A"/>
    <w:rsid w:val="009C0C53"/>
    <w:rsid w:val="009C126B"/>
    <w:rsid w:val="009C1DC1"/>
    <w:rsid w:val="009C61F2"/>
    <w:rsid w:val="009C699A"/>
    <w:rsid w:val="009C6E8C"/>
    <w:rsid w:val="009D153E"/>
    <w:rsid w:val="009D3197"/>
    <w:rsid w:val="009D3403"/>
    <w:rsid w:val="009E1335"/>
    <w:rsid w:val="009E2761"/>
    <w:rsid w:val="009E663E"/>
    <w:rsid w:val="009E6C2C"/>
    <w:rsid w:val="009E778C"/>
    <w:rsid w:val="009F0A38"/>
    <w:rsid w:val="009F6594"/>
    <w:rsid w:val="009F7E21"/>
    <w:rsid w:val="00A04383"/>
    <w:rsid w:val="00A05548"/>
    <w:rsid w:val="00A06DA3"/>
    <w:rsid w:val="00A11464"/>
    <w:rsid w:val="00A123E3"/>
    <w:rsid w:val="00A13F92"/>
    <w:rsid w:val="00A14C36"/>
    <w:rsid w:val="00A15751"/>
    <w:rsid w:val="00A1651C"/>
    <w:rsid w:val="00A20E42"/>
    <w:rsid w:val="00A21691"/>
    <w:rsid w:val="00A22514"/>
    <w:rsid w:val="00A25672"/>
    <w:rsid w:val="00A2672F"/>
    <w:rsid w:val="00A32E0A"/>
    <w:rsid w:val="00A3332D"/>
    <w:rsid w:val="00A33A98"/>
    <w:rsid w:val="00A350B9"/>
    <w:rsid w:val="00A3557B"/>
    <w:rsid w:val="00A35C36"/>
    <w:rsid w:val="00A407CC"/>
    <w:rsid w:val="00A408EB"/>
    <w:rsid w:val="00A40CC2"/>
    <w:rsid w:val="00A40F80"/>
    <w:rsid w:val="00A4272A"/>
    <w:rsid w:val="00A45B60"/>
    <w:rsid w:val="00A46540"/>
    <w:rsid w:val="00A47D06"/>
    <w:rsid w:val="00A52506"/>
    <w:rsid w:val="00A53B68"/>
    <w:rsid w:val="00A56C74"/>
    <w:rsid w:val="00A61C27"/>
    <w:rsid w:val="00A62F85"/>
    <w:rsid w:val="00A632C2"/>
    <w:rsid w:val="00A63964"/>
    <w:rsid w:val="00A65AF7"/>
    <w:rsid w:val="00A67D8B"/>
    <w:rsid w:val="00A7040A"/>
    <w:rsid w:val="00A7281D"/>
    <w:rsid w:val="00A72C17"/>
    <w:rsid w:val="00A7596B"/>
    <w:rsid w:val="00A7690D"/>
    <w:rsid w:val="00A84324"/>
    <w:rsid w:val="00A84AFC"/>
    <w:rsid w:val="00A90F6A"/>
    <w:rsid w:val="00A92459"/>
    <w:rsid w:val="00A9276D"/>
    <w:rsid w:val="00A92A32"/>
    <w:rsid w:val="00A92B67"/>
    <w:rsid w:val="00A939E8"/>
    <w:rsid w:val="00A93BF6"/>
    <w:rsid w:val="00A95125"/>
    <w:rsid w:val="00AA161C"/>
    <w:rsid w:val="00AA19B1"/>
    <w:rsid w:val="00AA2414"/>
    <w:rsid w:val="00AA2ED5"/>
    <w:rsid w:val="00AA37CD"/>
    <w:rsid w:val="00AA3BFD"/>
    <w:rsid w:val="00AA5CB2"/>
    <w:rsid w:val="00AB2B1A"/>
    <w:rsid w:val="00AB2E83"/>
    <w:rsid w:val="00AB4C0B"/>
    <w:rsid w:val="00AB527D"/>
    <w:rsid w:val="00AC139B"/>
    <w:rsid w:val="00AC1B2C"/>
    <w:rsid w:val="00AC2BE4"/>
    <w:rsid w:val="00AC6333"/>
    <w:rsid w:val="00AC6572"/>
    <w:rsid w:val="00AD111F"/>
    <w:rsid w:val="00AD4929"/>
    <w:rsid w:val="00AD5938"/>
    <w:rsid w:val="00AE00FB"/>
    <w:rsid w:val="00AE158D"/>
    <w:rsid w:val="00AE1A21"/>
    <w:rsid w:val="00AE22BA"/>
    <w:rsid w:val="00AE3747"/>
    <w:rsid w:val="00AE47AD"/>
    <w:rsid w:val="00AE4D55"/>
    <w:rsid w:val="00AE533E"/>
    <w:rsid w:val="00AE6808"/>
    <w:rsid w:val="00AF0C5C"/>
    <w:rsid w:val="00AF2396"/>
    <w:rsid w:val="00AF2C00"/>
    <w:rsid w:val="00AF7872"/>
    <w:rsid w:val="00B0144C"/>
    <w:rsid w:val="00B020D7"/>
    <w:rsid w:val="00B04954"/>
    <w:rsid w:val="00B04D83"/>
    <w:rsid w:val="00B068D6"/>
    <w:rsid w:val="00B07607"/>
    <w:rsid w:val="00B105F7"/>
    <w:rsid w:val="00B12CC7"/>
    <w:rsid w:val="00B13EE8"/>
    <w:rsid w:val="00B16E54"/>
    <w:rsid w:val="00B177A2"/>
    <w:rsid w:val="00B17FC5"/>
    <w:rsid w:val="00B230BA"/>
    <w:rsid w:val="00B23F4C"/>
    <w:rsid w:val="00B2420E"/>
    <w:rsid w:val="00B2555E"/>
    <w:rsid w:val="00B260D1"/>
    <w:rsid w:val="00B3313B"/>
    <w:rsid w:val="00B331C0"/>
    <w:rsid w:val="00B3407C"/>
    <w:rsid w:val="00B35851"/>
    <w:rsid w:val="00B35B98"/>
    <w:rsid w:val="00B36C49"/>
    <w:rsid w:val="00B36C7F"/>
    <w:rsid w:val="00B41274"/>
    <w:rsid w:val="00B41994"/>
    <w:rsid w:val="00B445DA"/>
    <w:rsid w:val="00B45671"/>
    <w:rsid w:val="00B50114"/>
    <w:rsid w:val="00B51166"/>
    <w:rsid w:val="00B51911"/>
    <w:rsid w:val="00B52A03"/>
    <w:rsid w:val="00B55E40"/>
    <w:rsid w:val="00B6170E"/>
    <w:rsid w:val="00B626A6"/>
    <w:rsid w:val="00B7006C"/>
    <w:rsid w:val="00B7025F"/>
    <w:rsid w:val="00B72C4F"/>
    <w:rsid w:val="00B76A1B"/>
    <w:rsid w:val="00B77E4F"/>
    <w:rsid w:val="00B80717"/>
    <w:rsid w:val="00B83072"/>
    <w:rsid w:val="00B83367"/>
    <w:rsid w:val="00B8483F"/>
    <w:rsid w:val="00B91EAF"/>
    <w:rsid w:val="00B95730"/>
    <w:rsid w:val="00B95A27"/>
    <w:rsid w:val="00B972AD"/>
    <w:rsid w:val="00B975E8"/>
    <w:rsid w:val="00BA0253"/>
    <w:rsid w:val="00BA03A6"/>
    <w:rsid w:val="00BA143B"/>
    <w:rsid w:val="00BA22FE"/>
    <w:rsid w:val="00BA445B"/>
    <w:rsid w:val="00BA4FDA"/>
    <w:rsid w:val="00BA707B"/>
    <w:rsid w:val="00BB0A13"/>
    <w:rsid w:val="00BB0C5E"/>
    <w:rsid w:val="00BB3AC1"/>
    <w:rsid w:val="00BB45D5"/>
    <w:rsid w:val="00BB7026"/>
    <w:rsid w:val="00BB78FE"/>
    <w:rsid w:val="00BC3524"/>
    <w:rsid w:val="00BC4F45"/>
    <w:rsid w:val="00BC641A"/>
    <w:rsid w:val="00BC7731"/>
    <w:rsid w:val="00BD1B90"/>
    <w:rsid w:val="00BD60FE"/>
    <w:rsid w:val="00BD79B7"/>
    <w:rsid w:val="00BE0C23"/>
    <w:rsid w:val="00BE3245"/>
    <w:rsid w:val="00BE3AF0"/>
    <w:rsid w:val="00BE66C7"/>
    <w:rsid w:val="00BF1BF1"/>
    <w:rsid w:val="00BF23C0"/>
    <w:rsid w:val="00BF26BF"/>
    <w:rsid w:val="00BF2FC4"/>
    <w:rsid w:val="00BF412E"/>
    <w:rsid w:val="00BF42D8"/>
    <w:rsid w:val="00BF52BA"/>
    <w:rsid w:val="00BF75AF"/>
    <w:rsid w:val="00BF7E48"/>
    <w:rsid w:val="00C0010B"/>
    <w:rsid w:val="00C005A4"/>
    <w:rsid w:val="00C00C9F"/>
    <w:rsid w:val="00C02A0B"/>
    <w:rsid w:val="00C03B66"/>
    <w:rsid w:val="00C03CF5"/>
    <w:rsid w:val="00C04640"/>
    <w:rsid w:val="00C04919"/>
    <w:rsid w:val="00C05C2D"/>
    <w:rsid w:val="00C07F4E"/>
    <w:rsid w:val="00C10448"/>
    <w:rsid w:val="00C10AA1"/>
    <w:rsid w:val="00C1337D"/>
    <w:rsid w:val="00C14A77"/>
    <w:rsid w:val="00C15E9A"/>
    <w:rsid w:val="00C169CF"/>
    <w:rsid w:val="00C232B8"/>
    <w:rsid w:val="00C2349F"/>
    <w:rsid w:val="00C24BE4"/>
    <w:rsid w:val="00C24C46"/>
    <w:rsid w:val="00C250C7"/>
    <w:rsid w:val="00C25E4B"/>
    <w:rsid w:val="00C26F36"/>
    <w:rsid w:val="00C27CD0"/>
    <w:rsid w:val="00C33ACC"/>
    <w:rsid w:val="00C34E7F"/>
    <w:rsid w:val="00C41B13"/>
    <w:rsid w:val="00C42069"/>
    <w:rsid w:val="00C43848"/>
    <w:rsid w:val="00C476AD"/>
    <w:rsid w:val="00C50318"/>
    <w:rsid w:val="00C50CFB"/>
    <w:rsid w:val="00C52BB3"/>
    <w:rsid w:val="00C54066"/>
    <w:rsid w:val="00C54629"/>
    <w:rsid w:val="00C55421"/>
    <w:rsid w:val="00C62FB0"/>
    <w:rsid w:val="00C65322"/>
    <w:rsid w:val="00C66210"/>
    <w:rsid w:val="00C67C43"/>
    <w:rsid w:val="00C710C7"/>
    <w:rsid w:val="00C73C9D"/>
    <w:rsid w:val="00C76FCE"/>
    <w:rsid w:val="00C81458"/>
    <w:rsid w:val="00C857F8"/>
    <w:rsid w:val="00C9275B"/>
    <w:rsid w:val="00C92B5D"/>
    <w:rsid w:val="00C92F79"/>
    <w:rsid w:val="00C94EA8"/>
    <w:rsid w:val="00C951D7"/>
    <w:rsid w:val="00C974FC"/>
    <w:rsid w:val="00CA189C"/>
    <w:rsid w:val="00CA2217"/>
    <w:rsid w:val="00CA57A1"/>
    <w:rsid w:val="00CA6FC9"/>
    <w:rsid w:val="00CB065B"/>
    <w:rsid w:val="00CB2D18"/>
    <w:rsid w:val="00CB3E45"/>
    <w:rsid w:val="00CB4E16"/>
    <w:rsid w:val="00CB71A8"/>
    <w:rsid w:val="00CC0210"/>
    <w:rsid w:val="00CC0614"/>
    <w:rsid w:val="00CC2D86"/>
    <w:rsid w:val="00CC3A96"/>
    <w:rsid w:val="00CC7DEA"/>
    <w:rsid w:val="00CD02BF"/>
    <w:rsid w:val="00CD2E7A"/>
    <w:rsid w:val="00CD3E47"/>
    <w:rsid w:val="00CE1412"/>
    <w:rsid w:val="00CE1F49"/>
    <w:rsid w:val="00CE3DC3"/>
    <w:rsid w:val="00CE4710"/>
    <w:rsid w:val="00CE4AAE"/>
    <w:rsid w:val="00CE52D2"/>
    <w:rsid w:val="00CE5CBC"/>
    <w:rsid w:val="00CE7DD2"/>
    <w:rsid w:val="00CE7E75"/>
    <w:rsid w:val="00CF151D"/>
    <w:rsid w:val="00CF3730"/>
    <w:rsid w:val="00CF3B5D"/>
    <w:rsid w:val="00CF473D"/>
    <w:rsid w:val="00CF496F"/>
    <w:rsid w:val="00CF5583"/>
    <w:rsid w:val="00CF55D2"/>
    <w:rsid w:val="00CF77C4"/>
    <w:rsid w:val="00D01C4E"/>
    <w:rsid w:val="00D02659"/>
    <w:rsid w:val="00D0285F"/>
    <w:rsid w:val="00D03ADC"/>
    <w:rsid w:val="00D050DE"/>
    <w:rsid w:val="00D05811"/>
    <w:rsid w:val="00D06466"/>
    <w:rsid w:val="00D072CD"/>
    <w:rsid w:val="00D07D52"/>
    <w:rsid w:val="00D10057"/>
    <w:rsid w:val="00D1239D"/>
    <w:rsid w:val="00D1527D"/>
    <w:rsid w:val="00D1577F"/>
    <w:rsid w:val="00D15815"/>
    <w:rsid w:val="00D15DF6"/>
    <w:rsid w:val="00D16BA4"/>
    <w:rsid w:val="00D17DC8"/>
    <w:rsid w:val="00D200C6"/>
    <w:rsid w:val="00D205CC"/>
    <w:rsid w:val="00D20828"/>
    <w:rsid w:val="00D20CEC"/>
    <w:rsid w:val="00D2219A"/>
    <w:rsid w:val="00D22770"/>
    <w:rsid w:val="00D239E3"/>
    <w:rsid w:val="00D23BBB"/>
    <w:rsid w:val="00D27FAD"/>
    <w:rsid w:val="00D30F42"/>
    <w:rsid w:val="00D32EB7"/>
    <w:rsid w:val="00D33ACB"/>
    <w:rsid w:val="00D33EC3"/>
    <w:rsid w:val="00D35CA8"/>
    <w:rsid w:val="00D36096"/>
    <w:rsid w:val="00D3668B"/>
    <w:rsid w:val="00D371A7"/>
    <w:rsid w:val="00D41580"/>
    <w:rsid w:val="00D42DAB"/>
    <w:rsid w:val="00D4437D"/>
    <w:rsid w:val="00D45014"/>
    <w:rsid w:val="00D45050"/>
    <w:rsid w:val="00D465AF"/>
    <w:rsid w:val="00D466D1"/>
    <w:rsid w:val="00D4739D"/>
    <w:rsid w:val="00D505D6"/>
    <w:rsid w:val="00D50A1F"/>
    <w:rsid w:val="00D51402"/>
    <w:rsid w:val="00D52357"/>
    <w:rsid w:val="00D5357C"/>
    <w:rsid w:val="00D55B00"/>
    <w:rsid w:val="00D55D57"/>
    <w:rsid w:val="00D56ECD"/>
    <w:rsid w:val="00D604D3"/>
    <w:rsid w:val="00D63339"/>
    <w:rsid w:val="00D671C9"/>
    <w:rsid w:val="00D6722E"/>
    <w:rsid w:val="00D70920"/>
    <w:rsid w:val="00D71146"/>
    <w:rsid w:val="00D71335"/>
    <w:rsid w:val="00D73B6B"/>
    <w:rsid w:val="00D762AE"/>
    <w:rsid w:val="00D82AC3"/>
    <w:rsid w:val="00D844A0"/>
    <w:rsid w:val="00D84AF0"/>
    <w:rsid w:val="00D854DF"/>
    <w:rsid w:val="00D85624"/>
    <w:rsid w:val="00D87391"/>
    <w:rsid w:val="00D904BD"/>
    <w:rsid w:val="00D91398"/>
    <w:rsid w:val="00D9391A"/>
    <w:rsid w:val="00D94E7D"/>
    <w:rsid w:val="00D95999"/>
    <w:rsid w:val="00D96382"/>
    <w:rsid w:val="00DA04DC"/>
    <w:rsid w:val="00DA1D20"/>
    <w:rsid w:val="00DA2A7E"/>
    <w:rsid w:val="00DA428A"/>
    <w:rsid w:val="00DA525D"/>
    <w:rsid w:val="00DA6080"/>
    <w:rsid w:val="00DA7BC2"/>
    <w:rsid w:val="00DA7EED"/>
    <w:rsid w:val="00DB16B7"/>
    <w:rsid w:val="00DB4736"/>
    <w:rsid w:val="00DB47F8"/>
    <w:rsid w:val="00DB685D"/>
    <w:rsid w:val="00DC0186"/>
    <w:rsid w:val="00DC0779"/>
    <w:rsid w:val="00DC1D1B"/>
    <w:rsid w:val="00DC2073"/>
    <w:rsid w:val="00DC3342"/>
    <w:rsid w:val="00DC4DA2"/>
    <w:rsid w:val="00DC61EB"/>
    <w:rsid w:val="00DC7217"/>
    <w:rsid w:val="00DD23E6"/>
    <w:rsid w:val="00DD351D"/>
    <w:rsid w:val="00DD36EA"/>
    <w:rsid w:val="00DD4EFA"/>
    <w:rsid w:val="00DE0389"/>
    <w:rsid w:val="00DE0804"/>
    <w:rsid w:val="00DE16EF"/>
    <w:rsid w:val="00DE30E5"/>
    <w:rsid w:val="00DE6648"/>
    <w:rsid w:val="00DE6A2E"/>
    <w:rsid w:val="00DE72AB"/>
    <w:rsid w:val="00DE72C5"/>
    <w:rsid w:val="00DF617F"/>
    <w:rsid w:val="00DF6D87"/>
    <w:rsid w:val="00DF7764"/>
    <w:rsid w:val="00E02F20"/>
    <w:rsid w:val="00E068CF"/>
    <w:rsid w:val="00E07958"/>
    <w:rsid w:val="00E07F4D"/>
    <w:rsid w:val="00E10029"/>
    <w:rsid w:val="00E10099"/>
    <w:rsid w:val="00E104EA"/>
    <w:rsid w:val="00E10ED4"/>
    <w:rsid w:val="00E13896"/>
    <w:rsid w:val="00E20339"/>
    <w:rsid w:val="00E20C9C"/>
    <w:rsid w:val="00E21EC7"/>
    <w:rsid w:val="00E227B8"/>
    <w:rsid w:val="00E30099"/>
    <w:rsid w:val="00E33422"/>
    <w:rsid w:val="00E353D1"/>
    <w:rsid w:val="00E3595B"/>
    <w:rsid w:val="00E35975"/>
    <w:rsid w:val="00E3618F"/>
    <w:rsid w:val="00E412D5"/>
    <w:rsid w:val="00E43140"/>
    <w:rsid w:val="00E44F25"/>
    <w:rsid w:val="00E46DCE"/>
    <w:rsid w:val="00E47DD0"/>
    <w:rsid w:val="00E5289E"/>
    <w:rsid w:val="00E54C68"/>
    <w:rsid w:val="00E56D68"/>
    <w:rsid w:val="00E56DDC"/>
    <w:rsid w:val="00E6557D"/>
    <w:rsid w:val="00E656F1"/>
    <w:rsid w:val="00E672F6"/>
    <w:rsid w:val="00E67FA1"/>
    <w:rsid w:val="00E7002C"/>
    <w:rsid w:val="00E72B0E"/>
    <w:rsid w:val="00E738C0"/>
    <w:rsid w:val="00E76EB6"/>
    <w:rsid w:val="00E7780E"/>
    <w:rsid w:val="00E8014D"/>
    <w:rsid w:val="00E81189"/>
    <w:rsid w:val="00E84389"/>
    <w:rsid w:val="00E84C7E"/>
    <w:rsid w:val="00E87647"/>
    <w:rsid w:val="00E903C1"/>
    <w:rsid w:val="00E92364"/>
    <w:rsid w:val="00E92830"/>
    <w:rsid w:val="00E9579F"/>
    <w:rsid w:val="00E97E88"/>
    <w:rsid w:val="00EA1DBD"/>
    <w:rsid w:val="00EA28CD"/>
    <w:rsid w:val="00EA3989"/>
    <w:rsid w:val="00EA47D9"/>
    <w:rsid w:val="00EA63D7"/>
    <w:rsid w:val="00EB4201"/>
    <w:rsid w:val="00EB439C"/>
    <w:rsid w:val="00EB7989"/>
    <w:rsid w:val="00EC1664"/>
    <w:rsid w:val="00EC6B35"/>
    <w:rsid w:val="00EC7B83"/>
    <w:rsid w:val="00ED13CF"/>
    <w:rsid w:val="00ED14BF"/>
    <w:rsid w:val="00ED15AD"/>
    <w:rsid w:val="00ED1B86"/>
    <w:rsid w:val="00ED526A"/>
    <w:rsid w:val="00ED5A10"/>
    <w:rsid w:val="00ED6E9A"/>
    <w:rsid w:val="00EE0668"/>
    <w:rsid w:val="00EE22A3"/>
    <w:rsid w:val="00EE271B"/>
    <w:rsid w:val="00EE2D68"/>
    <w:rsid w:val="00EE3452"/>
    <w:rsid w:val="00EE4039"/>
    <w:rsid w:val="00EF0B75"/>
    <w:rsid w:val="00EF0EAD"/>
    <w:rsid w:val="00EF1E83"/>
    <w:rsid w:val="00EF2E96"/>
    <w:rsid w:val="00EF35B6"/>
    <w:rsid w:val="00EF3E36"/>
    <w:rsid w:val="00EF6729"/>
    <w:rsid w:val="00F013F9"/>
    <w:rsid w:val="00F05863"/>
    <w:rsid w:val="00F070D0"/>
    <w:rsid w:val="00F074B1"/>
    <w:rsid w:val="00F10898"/>
    <w:rsid w:val="00F1276E"/>
    <w:rsid w:val="00F13747"/>
    <w:rsid w:val="00F156B8"/>
    <w:rsid w:val="00F1632D"/>
    <w:rsid w:val="00F1756F"/>
    <w:rsid w:val="00F17933"/>
    <w:rsid w:val="00F25FB7"/>
    <w:rsid w:val="00F2695B"/>
    <w:rsid w:val="00F31BB4"/>
    <w:rsid w:val="00F31BC7"/>
    <w:rsid w:val="00F330D4"/>
    <w:rsid w:val="00F34E02"/>
    <w:rsid w:val="00F35499"/>
    <w:rsid w:val="00F358C0"/>
    <w:rsid w:val="00F41E02"/>
    <w:rsid w:val="00F4437C"/>
    <w:rsid w:val="00F451FD"/>
    <w:rsid w:val="00F50C08"/>
    <w:rsid w:val="00F53675"/>
    <w:rsid w:val="00F536F0"/>
    <w:rsid w:val="00F538E7"/>
    <w:rsid w:val="00F54E59"/>
    <w:rsid w:val="00F5568E"/>
    <w:rsid w:val="00F5753A"/>
    <w:rsid w:val="00F57DCD"/>
    <w:rsid w:val="00F604CB"/>
    <w:rsid w:val="00F62474"/>
    <w:rsid w:val="00F636DC"/>
    <w:rsid w:val="00F65DC9"/>
    <w:rsid w:val="00F70DB2"/>
    <w:rsid w:val="00F71D41"/>
    <w:rsid w:val="00F72E9B"/>
    <w:rsid w:val="00F746AF"/>
    <w:rsid w:val="00F7470F"/>
    <w:rsid w:val="00F771F4"/>
    <w:rsid w:val="00F776FE"/>
    <w:rsid w:val="00F8147B"/>
    <w:rsid w:val="00F81E91"/>
    <w:rsid w:val="00F87C2B"/>
    <w:rsid w:val="00F87E6E"/>
    <w:rsid w:val="00F932A7"/>
    <w:rsid w:val="00F937E3"/>
    <w:rsid w:val="00F94060"/>
    <w:rsid w:val="00F9417B"/>
    <w:rsid w:val="00F95291"/>
    <w:rsid w:val="00FA2588"/>
    <w:rsid w:val="00FA3F70"/>
    <w:rsid w:val="00FA4047"/>
    <w:rsid w:val="00FA55C8"/>
    <w:rsid w:val="00FA753E"/>
    <w:rsid w:val="00FB1065"/>
    <w:rsid w:val="00FB261D"/>
    <w:rsid w:val="00FB4508"/>
    <w:rsid w:val="00FB5887"/>
    <w:rsid w:val="00FB7177"/>
    <w:rsid w:val="00FB73A8"/>
    <w:rsid w:val="00FC11EE"/>
    <w:rsid w:val="00FC44AA"/>
    <w:rsid w:val="00FC57C2"/>
    <w:rsid w:val="00FC5DE9"/>
    <w:rsid w:val="00FC654B"/>
    <w:rsid w:val="00FD04D0"/>
    <w:rsid w:val="00FD08BA"/>
    <w:rsid w:val="00FD0C3A"/>
    <w:rsid w:val="00FD1FC1"/>
    <w:rsid w:val="00FD26E4"/>
    <w:rsid w:val="00FD38AD"/>
    <w:rsid w:val="00FD44F7"/>
    <w:rsid w:val="00FD72FC"/>
    <w:rsid w:val="00FD77AD"/>
    <w:rsid w:val="00FE1144"/>
    <w:rsid w:val="00FE260C"/>
    <w:rsid w:val="00FE26CF"/>
    <w:rsid w:val="00FE6EA8"/>
    <w:rsid w:val="00FE7414"/>
    <w:rsid w:val="00FE7AAB"/>
    <w:rsid w:val="00FF44A3"/>
    <w:rsid w:val="00FF5072"/>
    <w:rsid w:val="00FF752F"/>
    <w:rsid w:val="00FF7808"/>
    <w:rsid w:val="00FF793C"/>
    <w:rsid w:val="00FF7A0E"/>
    <w:rsid w:val="03970A41"/>
    <w:rsid w:val="09F150BA"/>
    <w:rsid w:val="16766474"/>
    <w:rsid w:val="18FB6443"/>
    <w:rsid w:val="1BB62845"/>
    <w:rsid w:val="3CE52715"/>
    <w:rsid w:val="4DED180A"/>
    <w:rsid w:val="54F974BE"/>
    <w:rsid w:val="598A78EB"/>
    <w:rsid w:val="5A380F0B"/>
    <w:rsid w:val="632810A1"/>
    <w:rsid w:val="650B63FE"/>
    <w:rsid w:val="7AB4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style>
  <w:style w:type="paragraph" w:styleId="3">
    <w:name w:val="Balloon Text"/>
    <w:basedOn w:val="1"/>
    <w:link w:val="14"/>
    <w:qFormat/>
    <w:uiPriority w:val="0"/>
    <w:rPr>
      <w:sz w:val="18"/>
      <w:szCs w:val="18"/>
    </w:rPr>
  </w:style>
  <w:style w:type="paragraph" w:styleId="4">
    <w:name w:val="footer"/>
    <w:basedOn w:val="1"/>
    <w:link w:val="13"/>
    <w:qFormat/>
    <w:uiPriority w:val="99"/>
    <w:pPr>
      <w:tabs>
        <w:tab w:val="center" w:pos="4153"/>
        <w:tab w:val="right" w:pos="8306"/>
      </w:tabs>
      <w:snapToGrid w:val="0"/>
    </w:pPr>
    <w:rPr>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0"/>
    <w:rPr>
      <w:b/>
      <w:bCs/>
    </w:rPr>
  </w:style>
  <w:style w:type="table" w:styleId="8">
    <w:name w:val="Table Grid"/>
    <w:basedOn w:val="7"/>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0"/>
    <w:rPr>
      <w:color w:val="0000FF" w:themeColor="hyperlink"/>
      <w:u w:val="single"/>
      <w14:textFill>
        <w14:solidFill>
          <w14:schemeClr w14:val="hlink"/>
        </w14:solidFill>
      </w14:textFill>
    </w:rPr>
  </w:style>
  <w:style w:type="character" w:styleId="11">
    <w:name w:val="annotation reference"/>
    <w:basedOn w:val="9"/>
    <w:semiHidden/>
    <w:unhideWhenUsed/>
    <w:qFormat/>
    <w:uiPriority w:val="0"/>
    <w:rPr>
      <w:sz w:val="21"/>
      <w:szCs w:val="21"/>
    </w:rPr>
  </w:style>
  <w:style w:type="character" w:customStyle="1" w:styleId="12">
    <w:name w:val="页眉 Char"/>
    <w:link w:val="5"/>
    <w:qFormat/>
    <w:uiPriority w:val="99"/>
    <w:rPr>
      <w:rFonts w:ascii="宋体" w:hAnsi="宋体" w:eastAsia="宋体" w:cs="宋体"/>
      <w:sz w:val="18"/>
      <w:szCs w:val="18"/>
    </w:rPr>
  </w:style>
  <w:style w:type="character" w:customStyle="1" w:styleId="13">
    <w:name w:val="页脚 Char"/>
    <w:link w:val="4"/>
    <w:qFormat/>
    <w:uiPriority w:val="99"/>
    <w:rPr>
      <w:rFonts w:ascii="宋体" w:hAnsi="宋体" w:eastAsia="宋体" w:cs="宋体"/>
      <w:sz w:val="18"/>
      <w:szCs w:val="18"/>
    </w:rPr>
  </w:style>
  <w:style w:type="character" w:customStyle="1" w:styleId="14">
    <w:name w:val="批注框文本 Char"/>
    <w:link w:val="3"/>
    <w:qFormat/>
    <w:uiPriority w:val="0"/>
    <w:rPr>
      <w:rFonts w:ascii="宋体" w:hAnsi="宋体" w:eastAsia="宋体" w:cs="宋体"/>
      <w:sz w:val="18"/>
      <w:szCs w:val="18"/>
    </w:rPr>
  </w:style>
  <w:style w:type="paragraph" w:customStyle="1" w:styleId="15">
    <w:name w:val="普通(网站)1"/>
    <w:basedOn w:val="1"/>
    <w:qFormat/>
    <w:uiPriority w:val="0"/>
    <w:pPr>
      <w:spacing w:before="100" w:beforeAutospacing="1" w:after="100" w:afterAutospacing="1"/>
    </w:pPr>
  </w:style>
  <w:style w:type="character" w:customStyle="1" w:styleId="16">
    <w:name w:val="批注文字 Char"/>
    <w:basedOn w:val="9"/>
    <w:link w:val="2"/>
    <w:qFormat/>
    <w:uiPriority w:val="99"/>
    <w:rPr>
      <w:rFonts w:ascii="宋体" w:hAnsi="宋体" w:cs="宋体"/>
      <w:sz w:val="24"/>
      <w:szCs w:val="24"/>
    </w:rPr>
  </w:style>
  <w:style w:type="character" w:customStyle="1" w:styleId="17">
    <w:name w:val="批注主题 Char"/>
    <w:basedOn w:val="16"/>
    <w:link w:val="6"/>
    <w:semiHidden/>
    <w:qFormat/>
    <w:uiPriority w:val="0"/>
    <w:rPr>
      <w:rFonts w:ascii="宋体" w:hAnsi="宋体" w:cs="宋体"/>
      <w:b/>
      <w:bCs/>
      <w:sz w:val="24"/>
      <w:szCs w:val="24"/>
    </w:rPr>
  </w:style>
  <w:style w:type="paragraph" w:styleId="18">
    <w:name w:val="List Paragraph"/>
    <w:basedOn w:val="1"/>
    <w:qFormat/>
    <w:uiPriority w:val="34"/>
    <w:pPr>
      <w:ind w:firstLine="420" w:firstLineChars="200"/>
    </w:pPr>
  </w:style>
  <w:style w:type="paragraph" w:customStyle="1" w:styleId="19">
    <w:name w:val="修订1"/>
    <w:hidden/>
    <w:semiHidden/>
    <w:qFormat/>
    <w:uiPriority w:val="99"/>
    <w:rPr>
      <w:rFonts w:ascii="宋体" w:hAnsi="宋体" w:eastAsia="宋体" w:cs="宋体"/>
      <w:sz w:val="24"/>
      <w:szCs w:val="24"/>
      <w:lang w:val="en-US" w:eastAsia="zh-CN" w:bidi="ar-SA"/>
    </w:rPr>
  </w:style>
  <w:style w:type="paragraph" w:customStyle="1" w:styleId="20">
    <w:name w:val="Revision"/>
    <w:hidden/>
    <w:semiHidden/>
    <w:qFormat/>
    <w:uiPriority w:val="99"/>
    <w:rPr>
      <w:rFonts w:ascii="宋体" w:hAnsi="宋体" w:eastAsia="宋体" w:cs="宋体"/>
      <w:sz w:val="24"/>
      <w:szCs w:val="24"/>
      <w:lang w:val="en-US" w:eastAsia="zh-CN" w:bidi="ar-SA"/>
    </w:rPr>
  </w:style>
  <w:style w:type="paragraph" w:customStyle="1" w:styleId="21">
    <w:name w:val="Char Char"/>
    <w:basedOn w:val="1"/>
    <w:qFormat/>
    <w:uiPriority w:val="0"/>
    <w:pPr>
      <w:widowControl w:val="0"/>
      <w:jc w:val="both"/>
    </w:pPr>
    <w:rPr>
      <w:rFonts w:ascii="Times New Roman" w:hAnsi="Times New Roman" w:cs="Times New Roman"/>
      <w:kern w:val="2"/>
      <w:sz w:val="21"/>
      <w:szCs w:val="20"/>
    </w:rPr>
  </w:style>
  <w:style w:type="paragraph" w:customStyle="1" w:styleId="22">
    <w:name w:val="正文 New New New New New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23">
    <w:name w:val="正文 New New New New New New New New New New New"/>
    <w:qFormat/>
    <w:uiPriority w:val="0"/>
    <w:pPr>
      <w:autoSpaceDE w:val="0"/>
      <w:autoSpaceDN w:val="0"/>
      <w:adjustRightInd w:val="0"/>
    </w:pPr>
    <w:rPr>
      <w:rFonts w:ascii="宋体" w:hAnsi="Times New Roman" w:eastAsia="宋体" w:cs="Times New Roman"/>
      <w:lang w:val="en-US" w:eastAsia="zh-CN" w:bidi="ar-SA"/>
    </w:rPr>
  </w:style>
  <w:style w:type="character" w:customStyle="1" w:styleId="24">
    <w:name w:val="Unresolved Mention"/>
    <w:basedOn w:val="9"/>
    <w:semiHidden/>
    <w:unhideWhenUsed/>
    <w:qFormat/>
    <w:uiPriority w:val="99"/>
    <w:rPr>
      <w:color w:val="605E5C"/>
      <w:shd w:val="clear" w:color="auto" w:fill="E1DFDD"/>
    </w:rPr>
  </w:style>
  <w:style w:type="paragraph" w:customStyle="1" w:styleId="25">
    <w:name w:val="正文文本缩进 New"/>
    <w:basedOn w:val="1"/>
    <w:qFormat/>
    <w:uiPriority w:val="0"/>
    <w:pPr>
      <w:overflowPunct w:val="0"/>
      <w:autoSpaceDE w:val="0"/>
      <w:autoSpaceDN w:val="0"/>
      <w:adjustRightInd w:val="0"/>
      <w:ind w:left="1134"/>
    </w:pPr>
    <w:rPr>
      <w:rFonts w:hAnsi="Times New Roman" w:cs="Times New Roman"/>
      <w:szCs w:val="20"/>
    </w:rPr>
  </w:style>
  <w:style w:type="paragraph" w:customStyle="1" w:styleId="26">
    <w:name w:val="p0"/>
    <w:basedOn w:val="1"/>
    <w:qFormat/>
    <w:uiPriority w:val="99"/>
    <w:pPr>
      <w:spacing w:before="100" w:beforeAutospacing="1" w:after="100" w:afterAutospacing="1"/>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ZXB\&#39033;&#30446;&#24211;\04.&#31995;&#32479;&#35774;&#35745;\&#35814;&#32454;&#35774;&#35745;\&#20135;&#21697;&#31649;&#29702;\&#20449;&#24687;&#25259;&#38706;\&#20449;&#24687;&#25259;&#38706;&#27169;&#26495;\&#27169;&#26495;&#25991;&#20214;\Normal_Wordconv"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D3F84-B222-4313-96BD-A4EFC1B8CE5E}">
  <ds:schemaRefs/>
</ds:datastoreItem>
</file>

<file path=docProps/app.xml><?xml version="1.0" encoding="utf-8"?>
<Properties xmlns="http://schemas.openxmlformats.org/officeDocument/2006/extended-properties" xmlns:vt="http://schemas.openxmlformats.org/officeDocument/2006/docPropsVTypes">
  <Template>Normal_Wordconv</Template>
  <Company>citicbank</Company>
  <Pages>3</Pages>
  <Words>2671</Words>
  <Characters>2690</Characters>
  <Lines>263</Lines>
  <Paragraphs>74</Paragraphs>
  <TotalTime>89</TotalTime>
  <ScaleCrop>false</ScaleCrop>
  <LinksUpToDate>false</LinksUpToDate>
  <CharactersWithSpaces>2722</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2023-09-15T02:13:00Z</dcterms:created>
  <dc:creator>王晓明</dc:creator>
  <cp:lastModifiedBy>潘笑</cp:lastModifiedBy>
  <cp:lastPrinted>2023-11-23T12:18:00Z</cp:lastPrinted>
  <dcterms:modified xsi:type="dcterms:W3CDTF">2025-06-09T08:50:46Z</dcterms:modified>
  <dc:title>产品说明书</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C09AB201D7844397AD816EACF486CB47_12</vt:lpwstr>
  </property>
</Properties>
</file>