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bidi w:val="0"/>
        <w:spacing w:line="240" w:lineRule="auto"/>
        <w:jc w:val="center"/>
        <w:outlineLvl w:val="0"/>
        <w:rPr>
          <w:rFonts w:hint="eastAsia" w:ascii="楷体" w:hAnsi="楷体" w:eastAsia="楷体" w:cs="楷体"/>
          <w:b/>
          <w:color w:val="auto"/>
          <w:sz w:val="28"/>
          <w:szCs w:val="28"/>
          <w:highlight w:val="none"/>
          <w:lang w:eastAsia="zh-CN"/>
        </w:rPr>
      </w:pPr>
      <w:bookmarkStart w:id="0" w:name="_Hlk168577216"/>
      <w:r>
        <w:rPr>
          <w:rFonts w:hint="eastAsia" w:ascii="楷体" w:hAnsi="楷体" w:eastAsia="楷体" w:cs="楷体"/>
          <w:b/>
          <w:color w:val="auto"/>
          <w:sz w:val="28"/>
          <w:szCs w:val="28"/>
          <w:highlight w:val="none"/>
        </w:rPr>
        <w:t>“</w:t>
      </w:r>
      <w:r>
        <w:rPr>
          <w:rFonts w:hint="eastAsia" w:ascii="楷体" w:hAnsi="楷体" w:eastAsia="楷体" w:cs="楷体"/>
          <w:b/>
          <w:color w:val="auto"/>
          <w:sz w:val="28"/>
          <w:szCs w:val="28"/>
          <w:highlight w:val="none"/>
          <w:lang w:val="en-US" w:eastAsia="zh-CN"/>
        </w:rPr>
        <w:t>苏银理财恒源封闭债权385期优选2年</w:t>
      </w:r>
      <w:r>
        <w:rPr>
          <w:rFonts w:hint="eastAsia" w:ascii="楷体" w:hAnsi="楷体" w:eastAsia="楷体" w:cs="楷体"/>
          <w:b/>
          <w:color w:val="auto"/>
          <w:sz w:val="28"/>
          <w:szCs w:val="28"/>
          <w:highlight w:val="none"/>
        </w:rPr>
        <w:t>”理财产品</w:t>
      </w:r>
      <w:r>
        <w:rPr>
          <w:rFonts w:hint="eastAsia" w:ascii="楷体" w:hAnsi="楷体" w:eastAsia="楷体" w:cs="楷体"/>
          <w:b/>
          <w:color w:val="auto"/>
          <w:sz w:val="28"/>
          <w:szCs w:val="28"/>
          <w:highlight w:val="none"/>
          <w:lang w:val="en-US" w:eastAsia="zh-CN"/>
        </w:rPr>
        <w:t>说明书</w:t>
      </w:r>
    </w:p>
    <w:p>
      <w:pPr>
        <w:pStyle w:val="25"/>
        <w:keepNext w:val="0"/>
        <w:keepLines w:val="0"/>
        <w:pageBreakBefore w:val="0"/>
        <w:bidi w:val="0"/>
        <w:spacing w:before="0" w:beforeAutospacing="0" w:after="0" w:afterAutospacing="0" w:line="310" w:lineRule="exact"/>
        <w:jc w:val="center"/>
        <w:rPr>
          <w:rFonts w:hint="eastAsia" w:ascii="楷体" w:hAnsi="楷体" w:eastAsia="楷体" w:cs="宋体"/>
          <w:b/>
          <w:color w:val="auto"/>
          <w:sz w:val="24"/>
          <w:szCs w:val="24"/>
          <w:highlight w:val="none"/>
        </w:rPr>
      </w:pPr>
      <w:r>
        <w:rPr>
          <w:rFonts w:hint="eastAsia" w:ascii="楷体" w:hAnsi="楷体" w:eastAsia="楷体" w:cs="Times New Roman"/>
          <w:sz w:val="21"/>
          <w:szCs w:val="21"/>
          <w:highlight w:val="none"/>
          <w:lang w:val="en-US" w:eastAsia="zh-CN" w:bidi="ar-SA"/>
        </w:rPr>
        <w:t>（</w:t>
      </w:r>
      <w:r>
        <w:rPr>
          <w:rFonts w:hint="eastAsia" w:ascii="楷体" w:hAnsi="楷体" w:eastAsia="楷体" w:cs="Times New Roman"/>
          <w:b w:val="0"/>
          <w:bCs w:val="0"/>
          <w:sz w:val="21"/>
          <w:szCs w:val="21"/>
          <w:highlight w:val="none"/>
          <w:lang w:val="en-US" w:eastAsia="zh-CN" w:bidi="ar-SA"/>
        </w:rPr>
        <w:t>2026年9月版</w:t>
      </w:r>
      <w:r>
        <w:rPr>
          <w:rFonts w:hint="eastAsia" w:ascii="楷体" w:hAnsi="楷体" w:eastAsia="楷体" w:cs="Times New Roman"/>
          <w:sz w:val="21"/>
          <w:szCs w:val="21"/>
          <w:highlight w:val="none"/>
          <w:lang w:val="en-US" w:eastAsia="zh-CN" w:bidi="ar-SA"/>
        </w:rPr>
        <w:t>）</w:t>
      </w:r>
    </w:p>
    <w:p>
      <w:pPr>
        <w:keepNext w:val="0"/>
        <w:keepLines w:val="0"/>
        <w:pageBreakBefore w:val="0"/>
        <w:bidi w:val="0"/>
        <w:spacing w:line="240" w:lineRule="auto"/>
        <w:jc w:val="center"/>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理财非存款、产品有风险、投资须谨慎</w:t>
      </w:r>
    </w:p>
    <w:p>
      <w:pPr>
        <w:keepNext w:val="0"/>
        <w:keepLines w:val="0"/>
        <w:pageBreakBefore w:val="0"/>
        <w:widowControl w:val="0"/>
        <w:bidi w:val="0"/>
        <w:spacing w:before="157" w:line="240" w:lineRule="auto"/>
        <w:jc w:val="center"/>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产品登记编码：Z7003126000404</w:t>
      </w:r>
    </w:p>
    <w:p>
      <w:pPr>
        <w:pStyle w:val="28"/>
        <w:keepNext w:val="0"/>
        <w:keepLines w:val="0"/>
        <w:pageBreakBefore w:val="0"/>
        <w:bidi w:val="0"/>
        <w:spacing w:line="240" w:lineRule="auto"/>
        <w:ind w:left="0" w:firstLine="0"/>
        <w:jc w:val="center"/>
        <w:rPr>
          <w:rFonts w:hint="default" w:ascii="楷体" w:hAnsi="楷体" w:eastAsia="楷体" w:cs="楷体"/>
          <w:b/>
          <w:color w:val="auto"/>
          <w:sz w:val="24"/>
          <w:szCs w:val="24"/>
          <w:highlight w:val="none"/>
          <w:lang w:val="en-US" w:eastAsia="zh-CN" w:bidi="ar-SA"/>
        </w:rPr>
      </w:pPr>
      <w:r>
        <w:rPr>
          <w:rFonts w:hint="eastAsia" w:ascii="楷体" w:hAnsi="楷体" w:eastAsia="楷体" w:cs="楷体"/>
          <w:b/>
          <w:color w:val="auto"/>
          <w:sz w:val="24"/>
          <w:szCs w:val="24"/>
          <w:highlight w:val="none"/>
          <w:lang w:val="en-US" w:eastAsia="zh-CN" w:bidi="ar-SA"/>
        </w:rPr>
        <w:t>(投资者可依据该登记编码在中国理财网www.chinawealth.com.cn查询产品信息）</w:t>
      </w:r>
    </w:p>
    <w:p>
      <w:pPr>
        <w:keepNext w:val="0"/>
        <w:keepLines w:val="0"/>
        <w:pageBreakBefore w:val="0"/>
        <w:bidi w:val="0"/>
        <w:spacing w:line="240" w:lineRule="auto"/>
        <w:rPr>
          <w:rFonts w:hint="eastAsia" w:ascii="楷体" w:hAnsi="楷体" w:eastAsia="楷体" w:cs="楷体"/>
          <w:b/>
          <w:color w:val="auto"/>
          <w:sz w:val="21"/>
          <w:szCs w:val="21"/>
          <w:highlight w:val="none"/>
        </w:rPr>
      </w:pPr>
    </w:p>
    <w:p>
      <w:pPr>
        <w:keepNext w:val="0"/>
        <w:keepLines w:val="0"/>
        <w:pageBreakBefore w:val="0"/>
        <w:bidi w:val="0"/>
        <w:spacing w:line="240" w:lineRule="auto"/>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重要须知</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购买本理财产品前，投资者应确保自己完全理解该项投资的性质和所涉及的风险，详细了解和审慎评估该理财产品的投资范围、风险类型等基本情况，在慎重考虑后自行决定购买与自身风险承受能力和资产管理需求匹配的理财产品。</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本理财产品不保证本金及收益，您的本金可能因市场变动或者交易违约等事项而蒙受相应损失，投资者应充分认识投资风险，谨慎投资。</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本理财产品过往业绩不代表其未来表现，不等于理财产品实际收益，投资须谨慎；理财非存款、产品有风险、投资须谨慎。</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任何业绩比较基准及类似表述均属不具有法律约束力的用语。业绩比较基准为管理人基于产品性质、投资策略、过往经验等因素对产品设定的投资目标。业绩比较基准不是预期收益率，不代表产品的未来表现和实际收益，不构成对产品收益的承诺。</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《风险揭示书》、《理财产品说明书》、《理财产品投资协议书》、《投资者权益须知》、《理财产品（代理）销售协议书》共同构成本理财产品完整的不可分割的理财产品合同。</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本理财产品涉及的主要风险包括政策风险、信用风险、市场风险、流动性风险、管理风险、操作风险、</w:t>
      </w:r>
      <w:r>
        <w:rPr>
          <w:rFonts w:hint="eastAsia" w:ascii="楷体" w:hAnsi="楷体" w:eastAsia="楷体"/>
          <w:sz w:val="21"/>
          <w:szCs w:val="21"/>
          <w:highlight w:val="none"/>
          <w:lang w:val="en-US" w:eastAsia="zh-CN"/>
        </w:rPr>
        <w:t>理财产品不成立风险、</w:t>
      </w:r>
      <w:r>
        <w:rPr>
          <w:rFonts w:hint="eastAsia" w:ascii="楷体" w:hAnsi="楷体" w:eastAsia="楷体"/>
          <w:sz w:val="21"/>
          <w:szCs w:val="21"/>
          <w:highlight w:val="none"/>
        </w:rPr>
        <w:t>延期兑付风险、提前终止风险、信息传递风险、代销风险（如有）、不可抗力风险、关联关系及关联交易风险、特定投资标的风险等。请仔细阅读《“</w:t>
      </w:r>
      <w:r>
        <w:rPr>
          <w:rFonts w:hint="eastAsia" w:ascii="楷体" w:hAnsi="楷体" w:eastAsia="楷体"/>
          <w:sz w:val="21"/>
          <w:szCs w:val="21"/>
          <w:highlight w:val="none"/>
          <w:lang w:val="en-US" w:eastAsia="zh-CN"/>
        </w:rPr>
        <w:t>苏银理财恒源封闭债权385期优选2年</w:t>
      </w:r>
      <w:r>
        <w:rPr>
          <w:rFonts w:hint="eastAsia" w:ascii="楷体" w:hAnsi="楷体" w:eastAsia="楷体"/>
          <w:sz w:val="21"/>
          <w:szCs w:val="21"/>
          <w:highlight w:val="none"/>
        </w:rPr>
        <w:t>”理财产品风险揭示书》的“风险揭示”部分。</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cs="楷体"/>
          <w:b/>
          <w:sz w:val="21"/>
          <w:szCs w:val="21"/>
          <w:highlight w:val="none"/>
          <w:u w:val="single"/>
        </w:rPr>
        <w:t>本产品可设置多类份额，各类份额可能设置不同的销售对象、销售起点、业绩比较基准等，各类份额实际收取的销售服务费率、</w:t>
      </w:r>
      <w:r>
        <w:rPr>
          <w:rFonts w:hint="eastAsia" w:ascii="楷体" w:hAnsi="楷体" w:eastAsia="楷体" w:cs="楷体"/>
          <w:b/>
          <w:sz w:val="21"/>
          <w:szCs w:val="21"/>
          <w:highlight w:val="none"/>
          <w:u w:val="single"/>
          <w:lang w:val="en-US" w:eastAsia="zh-CN"/>
        </w:rPr>
        <w:t>固定</w:t>
      </w:r>
      <w:r>
        <w:rPr>
          <w:rFonts w:hint="eastAsia" w:ascii="楷体" w:hAnsi="楷体" w:eastAsia="楷体" w:cs="楷体"/>
          <w:b/>
          <w:sz w:val="21"/>
          <w:szCs w:val="21"/>
          <w:highlight w:val="none"/>
          <w:u w:val="single"/>
        </w:rPr>
        <w:t>管理费率、</w:t>
      </w:r>
      <w:r>
        <w:rPr>
          <w:rFonts w:hint="eastAsia" w:ascii="楷体" w:hAnsi="楷体" w:eastAsia="楷体" w:cs="楷体"/>
          <w:b/>
          <w:sz w:val="21"/>
          <w:szCs w:val="21"/>
          <w:highlight w:val="none"/>
          <w:u w:val="single"/>
          <w:lang w:val="en-US" w:eastAsia="zh-CN"/>
        </w:rPr>
        <w:t>浮动管理费</w:t>
      </w:r>
      <w:r>
        <w:rPr>
          <w:rFonts w:hint="eastAsia" w:ascii="楷体" w:hAnsi="楷体" w:eastAsia="楷体" w:cs="楷体"/>
          <w:b/>
          <w:sz w:val="21"/>
          <w:szCs w:val="21"/>
          <w:highlight w:val="none"/>
          <w:u w:val="single"/>
        </w:rPr>
        <w:t>（如有）等可能存在差异，投资者应根据实际情况自主选择购买。</w:t>
      </w:r>
    </w:p>
    <w:p>
      <w:pPr>
        <w:numPr>
          <w:ilvl w:val="0"/>
          <w:numId w:val="1"/>
        </w:numPr>
        <w:ind w:left="420" w:hanging="420"/>
        <w:rPr>
          <w:rFonts w:hint="eastAsia" w:ascii="楷体" w:hAnsi="楷体" w:eastAsia="楷体" w:cs="楷体"/>
          <w:sz w:val="21"/>
          <w:szCs w:val="21"/>
          <w:highlight w:val="non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在本产品存续期内，如因监管政策或法律法规发生变化，在不损害投资者利益的前提下，苏银理财有权单方对本产品条款进行修订，并按本理财产品说明书约定的信息披露方式予以披露。</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关键</w:t>
      </w:r>
      <w:r>
        <w:rPr>
          <w:rFonts w:hint="eastAsia" w:ascii="楷体" w:hAnsi="楷体" w:eastAsia="楷体" w:cs="楷体"/>
          <w:b/>
          <w:color w:val="auto"/>
          <w:sz w:val="21"/>
          <w:szCs w:val="21"/>
          <w:highlight w:val="none"/>
        </w:rPr>
        <w:t>要素</w:t>
      </w:r>
    </w:p>
    <w:tbl>
      <w:tblPr>
        <w:tblStyle w:val="3"/>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8"/>
        <w:gridCol w:w="7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color w:val="000000"/>
                <w:sz w:val="20"/>
                <w:szCs w:val="20"/>
                <w:highlight w:val="none"/>
              </w:rPr>
            </w:pPr>
            <w:r>
              <w:rPr>
                <w:rFonts w:hint="eastAsia" w:ascii="楷体" w:hAnsi="楷体" w:eastAsia="楷体" w:cs="楷体"/>
                <w:color w:val="000000"/>
                <w:sz w:val="20"/>
                <w:szCs w:val="20"/>
                <w:highlight w:val="none"/>
              </w:rPr>
              <w:t>本表格提供本理财产品的重要信息，是理财产品说明书的一部分。</w:t>
            </w:r>
            <w:r>
              <w:rPr>
                <w:rFonts w:hint="eastAsia" w:ascii="楷体" w:hAnsi="楷体" w:eastAsia="楷体" w:cs="楷体"/>
                <w:color w:val="000000"/>
                <w:sz w:val="20"/>
                <w:szCs w:val="20"/>
                <w:highlight w:val="none"/>
              </w:rPr>
              <w:br w:type="textWrapping"/>
            </w:r>
            <w:r>
              <w:rPr>
                <w:rFonts w:hint="eastAsia" w:ascii="楷体" w:hAnsi="楷体" w:eastAsia="楷体" w:cs="楷体"/>
                <w:color w:val="000000"/>
                <w:sz w:val="20"/>
                <w:szCs w:val="20"/>
                <w:highlight w:val="none"/>
              </w:rPr>
              <w:t>作出投资决定前，请阅读完整的理财产品说明书等销售文件。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sz w:val="20"/>
                <w:szCs w:val="20"/>
                <w:highlight w:val="none"/>
              </w:rPr>
            </w:pPr>
            <w:r>
              <w:rPr>
                <w:rFonts w:hint="eastAsia" w:ascii="楷体" w:hAnsi="楷体" w:eastAsia="楷体" w:cs="楷体"/>
                <w:b/>
                <w:bCs/>
                <w:color w:val="000000"/>
                <w:sz w:val="20"/>
                <w:szCs w:val="20"/>
                <w:highlight w:val="none"/>
              </w:rPr>
              <w:t>（一）理财产品基本信息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产品登记编码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Z7003126000404</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（重要提示：可在中国理财网www.chinawealth.com.cn查询产品信息）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产品名称</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苏银理财恒源封闭债权385期优选2年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份额代码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A份额：J28343（销售名称：苏银理财恒源封闭债权385期优选2年A）</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B份额：J28344（销售名称：苏银理财恒源封闭债权385期优选2年B）</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C份额：J28345（销售名称：苏银理财恒源封闭债权385期优选2年C）</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D份额：J28346（销售名称：苏银理财恒源封闭债权385期优选2年D）</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E份额：J28347（销售名称：苏银理财恒源封闭债权385期优选2年E）</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F份额：J28348（销售名称：苏银理财恒源封闭债权385期优选2年F）</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H份额：J28349（销售名称：苏银理财恒源封闭债权385期优选2年H）</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J份额：J28350（销售名称：苏银理财恒源封闭债权385期优选2年J）</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K份额：J28351（销售名称：苏银理财恒源封闭债权385期优选2年K）</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L份额：J28352（销售名称：苏银理财恒源封闭债权385期优选2年L）</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N份额：J28353（销售名称：苏银理财恒源封闭债权385期优选2年N）</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P份额：J28354（销售名称：苏银理财恒源封闭债权385期优选2年P）</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JS份额：J28355（销售名称：苏银理财恒源封闭债权385期优选2年JS鑫福款）</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G份额：J28356（销售名称：苏银理财恒源封闭债权385期优选2年G（童程筑梦））</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I份额：J28357（销售名称：苏银理财恒源封闭债权385期优选2年I）</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M份额：J28358（销售名称：苏银理财恒源封闭债权385期优选2年M）</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O份额：J28359（销售名称：苏银理财恒源封闭债权385期优选2年O（武汉农商行行庆专属））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Z份额：J28360（销售名称：苏银理财恒源封闭债权385期优选2年Z）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发行机构名称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val="0"/>
                <w:color w:val="auto"/>
                <w:sz w:val="20"/>
                <w:szCs w:val="20"/>
                <w:highlight w:val="none"/>
                <w:u w:val="none"/>
              </w:rPr>
              <w:t>苏银理财有限责任公司（以下简称“苏银理财”）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（1）北京农村商业银行股份有限公司：P份额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（2）东营银行股份有限公司：F份额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（3）东莞农村商业银行股份有限公司：L份额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（4）甘肃银行股份有限公司：F份额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（5）广州农村商业银行股份有限公司：L份额、P份额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（6）杭州联合农村商业银行股份有限公司：J份额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（7）湖北银行股份有限公司：L份额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（8）湖州吴兴农村商业银行股份有限公司：J份额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（9）吉林银行股份有限公司：M份额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（10）嘉兴银行股份有限公司：F份额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（11）江门农村商业银行股份有限公司：P份额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（12）江苏宝应农村商业银行股份有限公司：JS份额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（13）江苏滨海农村商业银行股份有限公司：JS份额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（14）江苏常熟农村商业银行股份有限公司：A份额、E份额、L份额、JS份额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（15）江苏大丰农村商业银行股份有限公司：JS份额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（16）江苏东海农村商业银行股份有限公司：JS份额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（17）江苏东台农村商业银行股份有限公司：JS份额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（18）江苏丰县农村商业银行股份有限公司：JS份额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（19）江苏阜宁农村商业银行股份有限公司：JS份额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（20）江苏赣榆农村商业银行股份有限公司：JS份额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（21）江苏高淳农村商业银行股份有限公司：A份额、JS份额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（22）江苏高邮农村商业银行股份有限公司：JS份额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（23）江苏灌南农村商业银行股份有限公司：JS份额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（24）江苏灌云农村商业银行股份有限公司：JS份额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（25）江苏海安农村商业银行股份有限公司：JS份额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（26）江苏海门农村商业银行股份有限公司：JS份额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（27）江苏建湖农村商业银行股份有限公司：JS份额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（28）江苏姜堰农村商业银行股份有限公司：A份额、JS份额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（29）江苏江都农村商业银行股份有限公司：JS份额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（30）江苏江南农村商业银行股份有限公司：JS份额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（31）江苏金湖农村商业银行股份有限公司：JS份额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（32）江苏靖江农村商业银行股份有限公司：JS份额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（33）江苏句容农村商业银行股份有限公司：JS份额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（34）江苏民丰农村商业银行股份有限公司：JS份额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（35）江苏沛县农村商业银行股份有限公司：JS份额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（36）江苏启东农村商业银行股份有限公司：JS份额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（37）江苏如东农村商业银行股份有限公司：JS份额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（38）江苏如皋农村商业银行股份有限公司：JS份额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（39）江苏射阳农村商业银行股份有限公司：JS份额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（40）江苏苏州农村商业银行股份有限公司：L份额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（41）江苏泰兴农村商业银行股份有限公司：JS份额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（42）江苏太仓农村商业银行股份有限公司：JS份额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（43）江苏响水农村商业银行股份有限公司：JS份额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（44）江苏新沂农村商业银行股份有限公司：JS份额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（45）江苏盐城农村商业银行股份有限公司：JS份额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（46）江苏扬中农村商业银行股份有限公司：JS份额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（47）江苏扬州农村商业银行股份有限公司：JS份额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（48）江苏仪征农村商业银行股份有限公司：JS份额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（49）江苏宜兴农村商业银行股份有限公司：JS份额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（50）江苏银行股份有限公司：A份额、C份额、E份额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（51）江苏张家港农村商业银行股份有限公司：JS份额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（52）江苏镇江农村商业银行股份有限公司：JS份额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（53）江苏紫金农村商业银行股份有限公司：JS份额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（54）江苏邳州农村商业银行股份有限公司：JS份额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（55）江苏沭阳农村商业银行股份有限公司：JS份额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（56）江苏泗洪农村商业银行股份有限公司：JS份额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（57）江苏泗阳农村商业银行股份有限公司：JS份额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（58）江苏溧水农村商业银行股份有限公司：JS份额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（59）江苏睢宁农村商业银行股份有限公司：JS份额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（60）晋商银行股份有限公司：L份额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（61）九江银行股份有限公司：L份额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（62）莱商银行股份有限公司：F份额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（63）连云港东方农村商业银行股份有限公司：JS份额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（64）宁波东海银行股份有限公司：D份额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（65）宁波通商银行股份有限公司：D份额、E份额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（66）宁夏银行股份有限公司：F份额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（67）齐鲁银行股份有限公司：F份额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（68）秦皇岛银行股份有限公司：F份额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（69）青岛银行股份有限公司：F份额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（70）山西银行股份有限公司：P份额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（71）苏银理财有限责任公司：N份额、G份额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（72）威海银行股份有限公司：F份额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（73）武汉农村商业银行股份有限公司：M份额、O份额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（74）兴业银行股份有限公司：I份额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（75）徐州农村商业银行股份有限公司：JS份额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（76）浙江淳安农村商业银行股份有限公司：J份额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（77）浙江德清农村商业银行股份有限公司：J份额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（78）浙江海宁农村商业银行股份有限公司：K份额、N份额、G份额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（79）浙江海盐农村商业银行股份有限公司：K份额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（80）浙江杭州余杭农村商业银行股份有限公司：J份额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（81）浙江禾城农村商业银行股份有限公司：J份额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（82）浙江嘉善农村商业银行股份有限公司：J份额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（83）浙江江山农村商业银行股份有限公司：J份额、K份额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（84）浙江兰溪农村商业银行股份有限公司：J份额、K份额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（85）浙江乐清农村商业银行股份有限公司：J份额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（86）浙江龙游农村商业银行股份有限公司：K份额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（87）浙江平湖农村商业银行股份有限公司：J份额、K份额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（88）浙江浦江农村商业银行股份有限公司：K份额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（89）浙江青田农村商业银行股份有限公司：J份额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（90）浙江瑞安农村商业银行股份有限公司：N份额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（91）浙江上虞农村商业银行股份有限公司：J份额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（92）浙江绍兴恒信农村商业银行股份有限公司：K份额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（93）浙江绍兴瑞丰农村商业银行股份有限公司：J份额、K份额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（94）浙江松阳农村商业银行股份有限公司：J份额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（95）浙江台州黄岩农村商业银行股份有限公司：J份额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（96）浙江桐庐农村商业银行股份有限公司：J份额、K份额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（97）浙江桐乡农村商业银行股份有限公司：J份额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（98）浙江温岭农村商业银行股份有限公司：N份额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（99）浙江温州龙湾农村商业银行股份有限公司：J份额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（100）浙江温州鹿城农村商业银行股份有限公司：J份额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（101）浙江温州瓯海农村商业银行股份有限公司：J份额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（102）浙江文成农村商业银行股份有限公司：J份额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（103）浙江武义农村商业银行股份有限公司：K份额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（104）浙江萧山农村商业银行股份有限公司：J份额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（105）浙江新昌农村商业银行股份有限公司：K份额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（106）浙江永嘉农村商业银行股份有限公司：J份额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（107）浙江永康农村商业银行股份有限公司：J份额、K份额、N份额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（108）浙江舟山定海海洋农村商业银行股份有限公司：J份额、K份额、N份额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（109）浙江舟山普陀农村商业银行股份有限公司：J份额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（110）浙江岱山农村商业银行股份有限公司：J份额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（111）浙江衢州柯城农村商业银行股份有限公司：K份额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（112）郑州银行股份有限公司：I份额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（113）重庆农村商业银行股份有限公司：H份额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（114）广东华润银行股份有限公司：Z份额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（115）上海农村商业银行股份有限公司：L份额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（116）徽商银行股份有限公司：B份额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境内托管机构名称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中国工商银行股份有限公司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境外托管机构名称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销售对象</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B份额：面向个人和机构投资者销售；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C份额：面向个人和机构投资者销售，份额销售机构江苏银行仅限代发工资客户、新资金客户、新客户，具体以销售机构系统设置为准。新客户是指首次购买理财产品的客户；新资金的达标条件为“客户前一日资产时点余额”较“前一月末资产月日均余额”的新增额大于5万元；</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D份额：面向个人和机构投资者销售；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E份额：面向个人和机构投资者销售，份额销售机构江苏银行仅限财富客户、私行客户、企业高管客户，具体以销售机构系统设置为准。江苏银行财富客户指在江苏银行日均资产大于等于200万元的个人客户；江苏银行私行客户指在江苏银行日均资产大于等于600万元的个人客户；企业高管客户是指与江苏银行有业务来往的企业的高管客户；</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F份额：面向个人和机构投资者销售；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H份额：面向个人销售；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K份额：面向个人和机构投资者销售；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L份额：面向个人和机构投资者销售；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N份额：面向个人和机构投资者销售；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P份额：面向个人和机构投资者销售；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JS份额：面向个人和机构投资者销售；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G份额：面向个人和机构投资者销售；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I份额：面向个人和机构投资者销售；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M份额：面向个人和机构投资者销售；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O份额：面向个人和机构投资者销售；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Z份额：面向个人和机构投资者销售。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（二）交易规则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募集币种</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起点销售金额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E份额：300,000元；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H份额：个人10,000元；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O份额：1元；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追加递增金额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E份额：100,000元；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H份额：个人10,000元；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O份额：1元；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计划募集金额</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认购、申购、赎回安排</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指在理财产品的募集期内，投资者申请购买理财产品份额的行为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可在各销售机构指定渠道进行认购，投资者按规定提交认购申请，管理人在份额登记日对投资者的认购申请成功登记后并收到投资者全额交付的款项，视为投资者的认购申请生效。投资者应在理财产品成立后及时查询最终的成交情况。因投资者资金账户余额不足、司法冻结、不可抗力因素或其他不可归责于管理人和销售机构的事由出现，造成认购申请未被确认的，管理人和销售机构不承担任何责任。</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本理财产品采取金额</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认购的</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方式</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，认购时以产品份额面值为基准进行份额确认</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。认购份额=认购金额/产品份额面值，认购份额以四舍五入的方法保留到小数点后两位，份额面值为1元/份。</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本产品最低发行规模：3000万元</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赎回</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申购/赎回指在理财产品的开放期内，投资者申请购买或卖出理财产品份额的行为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本理财产品在存续期内不开放申购和赎回，本产品说明书</w:t>
            </w: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约定的</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特定情形除外。</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3.其他约定</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（1）单个投资者持有</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份额</w:t>
            </w:r>
            <w:r>
              <w:rPr>
                <w:rFonts w:hint="default" w:ascii="楷体" w:hAnsi="楷体" w:eastAsia="楷体" w:cs="楷体"/>
                <w:b w:val="0"/>
                <w:bCs/>
                <w:color w:val="000000" w:themeColor="text1"/>
                <w:sz w:val="20"/>
                <w:szCs w:val="20"/>
                <w:highlight w:val="none"/>
                <w:lang w:val="en-US"/>
                <w14:textFill>
                  <w14:solidFill>
                    <w14:schemeClr w14:val="tx1"/>
                  </w14:solidFill>
                </w14:textFill>
              </w:rPr>
              <w:t>上限：单一投资者持有份额不得超过总份额50%；非因主观因素导致突破前款规定比例限制的，在单一投资者持有份额占理财产品总份额比例降至50%以下之前，不再接受该单一投资者对理财产品的购买申请。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巨额赎回</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收益分配方式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1.收益构成</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本理财产品的收益包括期间收益分配（如有）与终止收益分配（如有）。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（1）期间分配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本产品无分红机制，投资运作情况体现为产品净值变化。产品投资运作到期，投资收益扣除相关费用后，全部分配给投资者。</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（2）终止分配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产品投资运作到期，投资收益扣除相关费用后，全部分配给投资者。产品管理人将按“产品终止”中的相关约定向投资者分配理财利益（如有）。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2.收益分配原则</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（1）收益分配采用现金分配方式；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（2）每一产品同一份额享有同等分配权。</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3.收益分配的披露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如本产品进行收益分配，或产品存续期内收益分配方案发生变更，管理人将按“信息披露”约定的方式向投资者进行披露。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（三）产品性质与类型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产品募集方式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产品投资性质</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产品运作模式（二级）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产品风险等级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二级</w:t>
            </w:r>
          </w:p>
          <w:p>
            <w:pPr>
              <w:pStyle w:val="28"/>
              <w:keepNext w:val="0"/>
              <w:keepLines w:val="0"/>
              <w:pageBreakBefore w:val="0"/>
              <w:widowControl w:val="0"/>
              <w:bidi w:val="0"/>
              <w:spacing w:line="240" w:lineRule="auto"/>
              <w:ind w:left="0" w:firstLine="0"/>
              <w:rPr>
                <w:rFonts w:hint="eastAsia" w:ascii="楷体" w:hAnsi="楷体" w:eastAsia="楷体" w:cs="楷体"/>
                <w:color w:val="auto"/>
                <w:sz w:val="20"/>
                <w:szCs w:val="20"/>
                <w:highlight w:val="none"/>
                <w:lang w:val="en-US" w:eastAsia="zh-CN" w:bidi="ar-SA"/>
              </w:rPr>
            </w:pPr>
            <w:r>
              <w:rPr>
                <w:rFonts w:hint="eastAsia" w:ascii="楷体" w:hAnsi="楷体" w:eastAsia="楷体" w:cs="楷体"/>
                <w:color w:val="auto"/>
                <w:sz w:val="20"/>
                <w:szCs w:val="20"/>
                <w:highlight w:val="none"/>
                <w:lang w:val="en-US" w:eastAsia="zh-CN" w:bidi="ar-SA"/>
              </w:rPr>
              <w:t>（重要提示：该等级为理财产品发行机构评定结果，该产品通过代理销售机构渠道销售的，理财产品评级应当以代理销售机构最终披露的评级结果为准。）</w:t>
            </w:r>
          </w:p>
          <w:p>
            <w:pPr>
              <w:keepNext w:val="0"/>
              <w:keepLines w:val="0"/>
              <w:pageBreakBefore w:val="0"/>
              <w:numPr>
                <w:ilvl w:val="0"/>
                <w:numId w:val="0"/>
              </w:numPr>
              <w:bidi w:val="0"/>
              <w:spacing w:line="240" w:lineRule="auto"/>
              <w:ind w:left="0" w:right="0" w:firstLine="0"/>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lang w:val="en-US" w:eastAsia="zh-CN"/>
              </w:rPr>
              <w:t>1.</w:t>
            </w:r>
            <w:r>
              <w:rPr>
                <w:rFonts w:hint="eastAsia" w:ascii="楷体" w:hAnsi="楷体" w:eastAsia="楷体" w:cs="楷体"/>
                <w:color w:val="auto"/>
                <w:sz w:val="20"/>
                <w:szCs w:val="20"/>
                <w:highlight w:val="none"/>
              </w:rPr>
              <w:t>本理财产品经苏银理财内部风险评级为</w:t>
            </w:r>
            <w:r>
              <w:rPr>
                <w:rFonts w:hint="eastAsia" w:ascii="楷体" w:hAnsi="楷体" w:eastAsia="楷体" w:cs="楷体"/>
                <w:b/>
                <w:color w:val="auto"/>
                <w:sz w:val="20"/>
                <w:szCs w:val="20"/>
                <w:highlight w:val="none"/>
                <w:u w:val="single"/>
                <w:lang w:val="en-US" w:eastAsia="zh-CN"/>
              </w:rPr>
              <w:t>★★二级，适合中低风险型投资者，适合投资策略为稳健发展的投资者</w:t>
            </w:r>
            <w:r>
              <w:rPr>
                <w:rFonts w:hint="eastAsia" w:ascii="楷体" w:hAnsi="楷体" w:eastAsia="楷体" w:cs="楷体"/>
                <w:color w:val="auto"/>
                <w:sz w:val="20"/>
                <w:szCs w:val="20"/>
                <w:highlight w:val="none"/>
              </w:rPr>
              <w:t>。本评级为管理人内部评级，由管理人根据理财产品的投资组合、同类产品过往业绩和风险状况等因素，对理财产品进行评级，仅供投资者参考。理财产品存续期间，若市场环境等因素发生变化，在符合监管政策要求的前提下管理人可对产品风险评级进行调整，并及时将调整情况向投资者披露。</w:t>
            </w:r>
          </w:p>
          <w:tbl>
            <w:tblPr>
              <w:tblStyle w:val="3"/>
              <w:tblW w:w="6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439"/>
              <w:gridCol w:w="204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风险星级</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风险级别</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适合的投资者类别</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一级（PR1）</w:t>
                  </w:r>
                </w:p>
              </w:tc>
              <w:tc>
                <w:tcPr>
                  <w:tcW w:w="204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低风险型</w:t>
                  </w:r>
                </w:p>
              </w:tc>
              <w:tc>
                <w:tcPr>
                  <w:tcW w:w="168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二级（PR2）</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中低风险型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三级（PR3）</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四级（PR4）</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五级（PR5）</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风险承受</w:t>
                  </w:r>
                </w:p>
              </w:tc>
            </w:tr>
          </w:tbl>
          <w:p>
            <w:pPr>
              <w:keepNext w:val="0"/>
              <w:keepLines w:val="0"/>
              <w:pageBreakBefore w:val="0"/>
              <w:numPr>
                <w:ilvl w:val="0"/>
                <w:numId w:val="0"/>
              </w:numPr>
              <w:bidi w:val="0"/>
              <w:spacing w:line="240" w:lineRule="auto"/>
              <w:ind w:left="0" w:right="0" w:firstLine="0"/>
              <w:rPr>
                <w:rFonts w:hint="eastAsia" w:ascii="楷体" w:hAnsi="楷体" w:eastAsia="楷体" w:cs="楷体"/>
                <w:b/>
                <w:sz w:val="20"/>
                <w:szCs w:val="20"/>
                <w:highlight w:val="none"/>
                <w:u w:val="single"/>
              </w:rPr>
            </w:pPr>
            <w:r>
              <w:rPr>
                <w:rFonts w:hint="eastAsia" w:ascii="楷体" w:hAnsi="楷体" w:eastAsia="楷体" w:cs="楷体"/>
                <w:sz w:val="20"/>
                <w:szCs w:val="20"/>
                <w:highlight w:val="none"/>
                <w:lang w:val="en-US" w:eastAsia="zh-CN"/>
              </w:rPr>
              <w:t>2.</w:t>
            </w:r>
            <w:r>
              <w:rPr>
                <w:rFonts w:hint="eastAsia" w:ascii="楷体" w:hAnsi="楷体" w:eastAsia="楷体" w:cs="楷体"/>
                <w:sz w:val="20"/>
                <w:szCs w:val="20"/>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p>
          <w:p>
            <w:pPr>
              <w:keepNext w:val="0"/>
              <w:keepLines w:val="0"/>
              <w:pageBreakBefore w:val="0"/>
              <w:widowControl/>
              <w:bidi w:val="0"/>
              <w:spacing w:line="240" w:lineRule="auto"/>
              <w:ind w:left="0" w:right="0"/>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w:t>
            </w:r>
            <w:r>
              <w:rPr>
                <w:rFonts w:hint="eastAsia" w:ascii="楷体" w:hAnsi="楷体" w:eastAsia="楷体" w:cs="楷体"/>
                <w:bCs/>
                <w:color w:val="000000" w:themeColor="text1"/>
                <w:sz w:val="20"/>
                <w:szCs w:val="20"/>
                <w:highlight w:val="none"/>
                <w14:textFill>
                  <w14:solidFill>
                    <w14:schemeClr w14:val="tx1"/>
                  </w14:solidFill>
                </w14:textFill>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是否为现金管理类产品</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（四）产品期限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募集起始日期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募集结束日期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2026年9月9日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投资者可于募集结束日交易闭市前撤销认购申请，该时点后不得撤销。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产品成立日期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2026年9月10日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产品终止日期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2028年10月11日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如遇节假日，顺延至下一工作日。产品</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终止</w:t>
            </w:r>
            <w:r>
              <w:rPr>
                <w:rFonts w:hint="eastAsia" w:ascii="楷体" w:hAnsi="楷体" w:eastAsia="楷体" w:cs="楷体"/>
                <w:bCs/>
                <w:color w:val="000000" w:themeColor="text1"/>
                <w:sz w:val="20"/>
                <w:szCs w:val="20"/>
                <w:highlight w:val="none"/>
                <w14:textFill>
                  <w14:solidFill>
                    <w14:schemeClr w14:val="tx1"/>
                  </w14:solidFill>
                </w14:textFill>
              </w:rPr>
              <w:t>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资金到账日</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T+5及以上（此处T指产品实际终止日，5指5个工作日）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最短持有期限</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定期开放周期</w:t>
            </w:r>
          </w:p>
        </w:tc>
        <w:tc>
          <w:tcPr>
            <w:tcW w:w="7478" w:type="dxa"/>
            <w:noWrap w:val="0"/>
            <w:vAlign w:val="center"/>
          </w:tcPr>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投资周期</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762</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如遇节假日，顺延至下一工作日，以理财产品实际存续天数为准。</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本产品运行期间，不开放申购、赎回。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（五）产品费用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销售服务费率（年化）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eastAsia="zh-CN"/>
                <w14:textFill>
                  <w14:solidFill>
                    <w14:schemeClr w14:val="tx1"/>
                  </w14:solidFill>
                </w14:textFill>
              </w:rPr>
              <w:t>A份额：0.20%；B份额：0.20%；C份额：0.20%；D份额：0.25%；E份额：0.20%；F份额：0.20%；H份额：0.35%；J份额：0.15%；K份额：0.20%；L份额：0.30%；N份额：0.05%；P份额：0.30%；JS份额：0.20%；G份额：0.05%；I份额：0.25%；M份额：0.20%；O份额：0.05%；Z份额：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托管费率（年化）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bookmarkStart w:id="1" w:name="_GoBack"/>
            <w:bookmarkEnd w:id="1"/>
            <w:r>
              <w:rPr>
                <w:rFonts w:hint="eastAsia" w:ascii="楷体" w:hAnsi="楷体" w:eastAsia="楷体" w:cs="楷体"/>
                <w:bCs/>
                <w:color w:val="000000" w:themeColor="text1"/>
                <w:sz w:val="20"/>
                <w:szCs w:val="20"/>
                <w:highlight w:val="none"/>
                <w:lang w:val="en-US" w:eastAsia="zh-CN"/>
                <w14:textFill>
                  <w14:solidFill>
                    <w14:schemeClr w14:val="tx1"/>
                  </w14:solidFill>
                </w14:textFill>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固定管理费率（年化）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0.20%；B份额：0.20%；C份额：0.15%；D份额：0.15%；E份额：0.10%；F份额：0.15%；H份额：0.15%；J份额：0.20%；K份额：0.20%；L份额：0.10%；N份额：0.20%；P份额：0.15%；JS份额：0.20%；G份额：0.20%；I份额：0.15%；M份额：0.10%；O份额：0.05%；Z份额：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浮动管理费</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若产品各份额实际投资收益在扣除托管费、销售服务费、投资管理费等费用后超过各份额业绩比较基准下限，产品管理人将按照超出部分的50%收取超额业绩报酬。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认购费率</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申购费率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赎回费率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其他费用说明</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（一）收费项目</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本产品费用包括托管费、销售服务费、固定管理费、浮动管理费（如有）以及产品运作和清算中产生的其他费用等。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（二）收费条件、收费标准和收费方式</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销售服务费</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H份额：以前一自然日资产净值为基数，一次性计提模式；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O份额：以前一自然日资产净值为基数，一次性计提模式；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Z份额：以前一自然日资产净值为基数，每日计提模式。</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公式如下：</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每日计提模式：每日计提，按管理人与销售机构约定的时间支付，每日应计提的销售服务费＝计提基数×销售服务费率÷365。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一次性提取模式：成立日一次性提取，按管理人与销售机构约定的时间支付，每日摊销，销售服务费＝计提基数×销售服务费率×产品投资期限天数÷365。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托管费</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eastAsia="zh-CN"/>
              </w:rPr>
            </w:pPr>
            <w:r>
              <w:rPr>
                <w:rFonts w:hint="eastAsia" w:ascii="楷体" w:hAnsi="楷体" w:eastAsia="楷体" w:cs="楷体"/>
                <w:color w:val="auto"/>
                <w:sz w:val="20"/>
                <w:szCs w:val="20"/>
                <w:highlight w:val="none"/>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公式如下：</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每日计提模式：每日计提</w:t>
            </w:r>
            <w:r>
              <w:rPr>
                <w:rFonts w:hint="eastAsia" w:ascii="楷体" w:hAnsi="楷体" w:eastAsia="楷体" w:cs="楷体"/>
                <w:color w:val="auto"/>
                <w:sz w:val="20"/>
                <w:szCs w:val="20"/>
                <w:highlight w:val="none"/>
                <w:lang w:eastAsia="zh-CN"/>
              </w:rPr>
              <w:t>，</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按管理人与托管机构约定的时间支付</w:t>
            </w:r>
            <w:r>
              <w:rPr>
                <w:rFonts w:hint="eastAsia" w:ascii="楷体" w:hAnsi="楷体" w:eastAsia="楷体" w:cs="楷体"/>
                <w:color w:val="auto"/>
                <w:sz w:val="20"/>
                <w:szCs w:val="20"/>
                <w:highlight w:val="none"/>
              </w:rPr>
              <w:t>，每日应计提的托管费＝计提基数×托管费率÷365。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一次性提取模式：成立日一次性提取，</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按管理人与托管机构约定的时间支付，</w:t>
            </w:r>
            <w:r>
              <w:rPr>
                <w:rFonts w:hint="eastAsia" w:ascii="楷体" w:hAnsi="楷体" w:eastAsia="楷体" w:cs="楷体"/>
                <w:color w:val="auto"/>
                <w:sz w:val="20"/>
                <w:szCs w:val="20"/>
                <w:highlight w:val="none"/>
              </w:rPr>
              <w:t>每日摊销，托管费＝计提基数×托管费率×产品投资期限天数÷365。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固定管理费</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A份额：以前一自然日资产净值为基数，每日计提模式；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B份额：以前一自然日资产净值为基数，每日计提模式；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C份额：以前一自然日资产净值为基数，每日计提模式；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D份额：以前一自然日资产净值为基数，每日计提模式；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E份额：以前一自然日资产净值为基数，每日计提模式；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F份额：以前一自然日资产净值为基数，每日计提模式；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H份额：以前一自然日资产净值为基数，每日计提模式；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J份额：以前一自然日资产净值为基数，每日计提模式；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K份额：以前一自然日资产净值为基数，每日计提模式；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L份额：以前一自然日资产净值为基数，每日计提模式；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N份额：以前一自然日资产净值为基数，每日计提模式；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P份额：以前一自然日资产净值为基数，每日计提模式；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JS份额：以前一自然日资产净值为基数，每日计提模式；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G份额：以前一自然日资产净值为基数，每日计提模式；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I份额：以前一自然日资产净值为基数，每日计提模式；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M份额：以前一自然日资产净值为基数，每日计提模式；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O份额：以前一自然日资产净值为基数，每日计提模式；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eastAsia="zh-CN"/>
              </w:rPr>
            </w:pPr>
            <w:r>
              <w:rPr>
                <w:rFonts w:hint="eastAsia" w:ascii="楷体" w:hAnsi="楷体" w:eastAsia="楷体" w:cs="楷体"/>
                <w:color w:val="auto"/>
                <w:sz w:val="20"/>
                <w:szCs w:val="20"/>
                <w:highlight w:val="none"/>
                <w:lang w:val="en-US" w:eastAsia="zh-CN"/>
              </w:rPr>
              <w:t>Z份额：以前一自然日资产净值为基数，每日计提模式。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公式如下：</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每日计提模式：每日计提</w:t>
            </w:r>
            <w:r>
              <w:rPr>
                <w:rFonts w:hint="eastAsia" w:ascii="楷体" w:hAnsi="楷体" w:eastAsia="楷体" w:cs="楷体"/>
                <w:color w:val="auto"/>
                <w:sz w:val="20"/>
                <w:szCs w:val="20"/>
                <w:highlight w:val="none"/>
                <w:lang w:eastAsia="zh-CN"/>
              </w:rPr>
              <w:t>，</w:t>
            </w:r>
            <w:r>
              <w:rPr>
                <w:rFonts w:hint="eastAsia" w:ascii="楷体" w:hAnsi="楷体" w:eastAsia="楷体" w:cs="楷体"/>
                <w:color w:val="auto"/>
                <w:sz w:val="20"/>
                <w:szCs w:val="20"/>
                <w:highlight w:val="none"/>
                <w:lang w:val="en-US" w:eastAsia="zh-CN"/>
              </w:rPr>
              <w:t>定期支付</w:t>
            </w:r>
            <w:r>
              <w:rPr>
                <w:rFonts w:hint="eastAsia" w:ascii="楷体" w:hAnsi="楷体" w:eastAsia="楷体" w:cs="楷体"/>
                <w:color w:val="auto"/>
                <w:sz w:val="20"/>
                <w:szCs w:val="20"/>
                <w:highlight w:val="none"/>
              </w:rPr>
              <w:t>，每日应计提的固定管理费＝计提基数×固定管理费率÷365。</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信息技术服务费率（年化）：0.002%。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以前一日资产净值为基数，每日计提模式。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每日计提模式：每日计提，定期支付，每日应计提的信息技术服务费=计提基数×信息技术服务费率÷365。</w:t>
            </w: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浮动管理费</w:t>
            </w:r>
          </w:p>
          <w:p>
            <w:pPr>
              <w:keepNext w:val="0"/>
              <w:keepLines w:val="0"/>
              <w:pageBreakBefore w:val="0"/>
              <w:widowControl/>
              <w:bidi w:val="0"/>
              <w:spacing w:line="240" w:lineRule="auto"/>
              <w:jc w:val="both"/>
              <w:rPr>
                <w:rFonts w:hint="eastAsia" w:eastAsia="楷体"/>
                <w:sz w:val="20"/>
                <w:szCs w:val="20"/>
                <w:highlight w:val="none"/>
                <w:lang w:val="en-US" w:eastAsia="zh-CN"/>
              </w:rPr>
            </w:pPr>
            <w:r>
              <w:rPr>
                <w:rFonts w:hint="eastAsia" w:ascii="楷体" w:hAnsi="楷体" w:eastAsia="楷体" w:cs="楷体"/>
                <w:bCs/>
                <w:color w:val="000000" w:themeColor="text1"/>
                <w:sz w:val="20"/>
                <w:szCs w:val="20"/>
                <w:highlight w:val="none"/>
                <w14:textFill>
                  <w14:solidFill>
                    <w14:schemeClr w14:val="tx1"/>
                  </w14:solidFill>
                </w14:textFill>
              </w:rPr>
              <w:t>单一投资周期运作期间内理财产品将每日暂估超额业绩报酬，仅用于理财产品会计核算，并将扣除“暂估超额业绩报酬”后的理财产品份额净值按照说明书约定向投资者进行披露。理财产品实际收取的超额业绩报酬以投资周期终止日计提核算的数值为准。计算超额业绩报酬时，1年按365日计算。</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其它费用</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z w:val="20"/>
                <w:szCs w:val="20"/>
                <w:highlight w:val="none"/>
              </w:rPr>
              <w:t>产品运作和清算中产生的交易手续费、注册登记费、账户服务费、审计费及其他应由本产品承担的费用从产品中列支</w:t>
            </w:r>
            <w:r>
              <w:rPr>
                <w:rFonts w:hint="eastAsia" w:ascii="楷体" w:hAnsi="楷体" w:eastAsia="楷体" w:cs="楷体"/>
                <w:color w:val="auto"/>
                <w:sz w:val="20"/>
                <w:szCs w:val="20"/>
                <w:highlight w:val="none"/>
                <w:lang w:eastAsia="zh-CN"/>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（三）其它说明</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1.费用计算四舍五入保留至小数点后两位。</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2.本产品各类份额实际收取的销售服务费率、固定管理费率等可能存在差异，投资者应根据各类份额收费情况自主选择购买。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（六）业绩比较基准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业绩比较基准</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2.50%-2.90%（年化）；B份额：2.50%-2.90%（年化）；C份额：2.55%-2.95%（年化）；D份额：2.50%-2.90%（年化）；E份额：2.60%-3.00%（年化）；F份额：2.55%-2.95%（年化）；H份额：2.40%-2.80%（年化）；J份额：2.55%-2.95%（年化）；K份额：2.50%-2.90%（年化）；L份额：2.50%-2.90%（年化）；N份额：2.65%-3.05%（年化）；P份额：2.45%-2.85%（年化）；JS份额：2.50%-2.90%（年化）；G份额：2.65%-3.05%（年化）；I份额：2.50%-2.90%（年化）；M份额：2.60%-3.00%（年化）；O份额：2.80%-3.20%（年化）；Z份额：2.65%-3.05%（年化）。</w:t>
            </w:r>
          </w:p>
          <w:p>
            <w:pPr>
              <w:keepNext w:val="0"/>
              <w:keepLines w:val="0"/>
              <w:pageBreakBefore w:val="0"/>
              <w:widowControl/>
              <w:numPr>
                <w:ilvl w:val="0"/>
                <w:numId w:val="0"/>
              </w:numPr>
              <w:bidi w:val="0"/>
              <w:spacing w:line="240" w:lineRule="auto"/>
              <w:jc w:val="both"/>
              <w:rPr>
                <w:rFonts w:hint="eastAsia"/>
                <w:sz w:val="20"/>
                <w:szCs w:val="20"/>
                <w:highlight w:val="none"/>
              </w:rPr>
            </w:pP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业绩比较基准测算依据：管理人参考过往投资经验，依据近期货币市场工具、债券、非标准化债权等资产投资收益水平，在产品说明书约定的投资范围和投资比例内，综合考虑各类份额收取的销售服务费和投资管理费等费用情况，模拟测算得出业绩比较基准。业绩比较基准不是预期收益率，不代表产品的未来表现和实际收益，不构成对产品收益的承诺。</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2.本产品各类份额可能因收取的销售服务费和</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固定</w:t>
            </w:r>
            <w:r>
              <w:rPr>
                <w:rFonts w:hint="eastAsia" w:ascii="楷体" w:hAnsi="楷体" w:eastAsia="楷体" w:cs="楷体"/>
                <w:bCs/>
                <w:color w:val="000000" w:themeColor="text1"/>
                <w:sz w:val="20"/>
                <w:szCs w:val="20"/>
                <w:highlight w:val="none"/>
                <w14:textFill>
                  <w14:solidFill>
                    <w14:schemeClr w14:val="tx1"/>
                  </w14:solidFill>
                </w14:textFill>
              </w:rPr>
              <w:t>管理费存在差异，业绩比较基准设置有所不同。</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14:textFill>
                  <w14:solidFill>
                    <w14:schemeClr w14:val="tx1"/>
                  </w14:solidFill>
                </w14:textFill>
              </w:rPr>
            </w:pPr>
            <w:r>
              <w:rPr>
                <w:rFonts w:hint="eastAsia" w:ascii="楷体" w:hAnsi="楷体" w:eastAsia="楷体" w:cs="楷体"/>
                <w:b/>
                <w:bCs w:val="0"/>
                <w:color w:val="000000" w:themeColor="text1"/>
                <w:sz w:val="20"/>
                <w:szCs w:val="20"/>
                <w:highlight w:val="none"/>
                <w:u w:val="single"/>
                <w14:textFill>
                  <w14:solidFill>
                    <w14:schemeClr w14:val="tx1"/>
                  </w14:solidFill>
                </w14:textFill>
              </w:rPr>
              <w:t>3.本产品为净值型产品，业绩表现将随市场波动，具有不确定性。业绩比较基准是管理人基于产品性质、投资策略、过往经验等因素对产品设定的投资目标。业绩比较基准不是预期收益率，不代表产品的未来表现和实际收益，不构成对产品收益的承诺。投资者的实际收益由产品净值表现决定。</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u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5.历次业绩比较基准调整情况（2026年9月1日之后）</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（七）投资范围与策略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投资范围</w:t>
            </w:r>
          </w:p>
        </w:tc>
        <w:tc>
          <w:tcPr>
            <w:tcW w:w="7478" w:type="dxa"/>
            <w:noWrap w:val="0"/>
            <w:vAlign w:val="center"/>
          </w:tcPr>
          <w:p>
            <w:pPr>
              <w:keepNext w:val="0"/>
              <w:keepLines w:val="0"/>
              <w:pageBreakBefore w:val="0"/>
              <w:widowControl/>
              <w:bidi w:val="0"/>
              <w:spacing w:line="240" w:lineRule="auto"/>
              <w:jc w:val="left"/>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直接或间接投资于货币市场工具、债券、非标准化债权类资产和监管机构允许投资的其他资产（如纳入权益类资产核算的永续债等）。具体资产投资比例为：货币市场工具、债券、非标准化债权类资产等固定收益类资产占产品资产总值比例80%-100%，其中非标准化债权类资产合计投资比例不高于产品净资产50%；符合监管要求的其他资产占产品资产总值比例0%-20%。</w:t>
            </w:r>
          </w:p>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投资策略</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（八）其他约定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其他约定</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pacing w:val="-2"/>
                <w:sz w:val="20"/>
                <w:szCs w:val="20"/>
                <w:highlight w:val="none"/>
                <w:lang w:val="en-US" w:eastAsia="zh-CN"/>
              </w:rPr>
              <w:t>1.税款：</w:t>
            </w:r>
            <w:r>
              <w:rPr>
                <w:rFonts w:hint="eastAsia" w:ascii="楷体" w:hAnsi="楷体" w:eastAsia="楷体" w:cs="楷体"/>
                <w:color w:val="auto"/>
                <w:spacing w:val="-2"/>
                <w:sz w:val="20"/>
                <w:szCs w:val="20"/>
                <w:highlight w:val="none"/>
              </w:rPr>
              <w:t>根据中国增值税等税收相关法律法规、税收政策等要求，产品应缴纳的增值税及附加税费（包括但不限于城市维护建设税、教育费附加及地方教育附加等）</w:t>
            </w:r>
            <w:r>
              <w:rPr>
                <w:rFonts w:hint="eastAsia" w:ascii="楷体" w:hAnsi="楷体" w:eastAsia="楷体" w:cs="楷体"/>
                <w:color w:val="auto"/>
                <w:spacing w:val="-2"/>
                <w:sz w:val="20"/>
                <w:szCs w:val="20"/>
                <w:highlight w:val="none"/>
                <w:lang w:eastAsia="zh-CN"/>
              </w:rPr>
              <w:t>、</w:t>
            </w:r>
            <w:r>
              <w:rPr>
                <w:rFonts w:hint="eastAsia" w:ascii="楷体" w:hAnsi="楷体" w:eastAsia="楷体" w:cs="楷体"/>
                <w:color w:val="auto"/>
                <w:spacing w:val="-2"/>
                <w:sz w:val="20"/>
                <w:szCs w:val="20"/>
                <w:highlight w:val="none"/>
                <w:lang w:val="en-US" w:eastAsia="zh-CN"/>
              </w:rPr>
              <w:t>印花税等</w:t>
            </w:r>
            <w:r>
              <w:rPr>
                <w:rFonts w:hint="eastAsia" w:ascii="楷体" w:hAnsi="楷体" w:eastAsia="楷体" w:cs="楷体"/>
                <w:color w:val="auto"/>
                <w:spacing w:val="-2"/>
                <w:sz w:val="20"/>
                <w:szCs w:val="20"/>
                <w:highlight w:val="none"/>
              </w:rPr>
              <w:t>由管理人从理财产品财产中支付，由此可能会使理财产品净值或实际收益降低。</w:t>
            </w:r>
            <w:r>
              <w:rPr>
                <w:rFonts w:hint="eastAsia" w:ascii="楷体" w:hAnsi="楷体" w:eastAsia="楷体" w:cs="楷体"/>
                <w:b/>
                <w:bCs/>
                <w:color w:val="auto"/>
                <w:spacing w:val="-2"/>
                <w:sz w:val="20"/>
                <w:szCs w:val="20"/>
                <w:highlight w:val="none"/>
                <w:u w:val="single"/>
              </w:rPr>
              <w:t>投资者从理财产品取得的收益应缴纳的税款，由投资者自行申报及缴纳。</w:t>
            </w:r>
          </w:p>
        </w:tc>
      </w:tr>
    </w:tbl>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产品管理人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按照法律法规、监管规定及理财产品销售文件的约定，发行并管理理财产品；根据理财产品的投资组合、同类产品过往业绩和风险状况等因素，对理财产品进行评级；按照法律法规、监管规定及与投资者约定的信息披露渠道及时披露理财产品相关信息；按照理财产品销售文件约定的投资范围和权限，负责理财产品资金的运用和管理，向投资者进行收益分配；审慎选择理财产品销售机构，切实履行对销售机构的管理责任；根据法律法规、监管规定建立健全投资者权益保护管理体系；国务院银行业监督管理机构规定及本理财产品销售文件中约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color w:val="auto"/>
          <w:sz w:val="21"/>
          <w:szCs w:val="21"/>
          <w:highlight w:val="none"/>
          <w:lang w:val="en-US" w:eastAsia="zh-CN"/>
        </w:rPr>
        <w:t>，注册地址为</w:t>
      </w:r>
      <w:r>
        <w:rPr>
          <w:rFonts w:hint="eastAsia" w:ascii="楷体" w:hAnsi="楷体" w:eastAsia="楷体" w:cs="楷体"/>
          <w:color w:val="auto"/>
          <w:sz w:val="21"/>
          <w:szCs w:val="21"/>
          <w:highlight w:val="none"/>
        </w:rPr>
        <w:t>南京市建邺区江山大街70号国际博览中心三期B幢11-13层</w:t>
      </w:r>
      <w:r>
        <w:rPr>
          <w:rFonts w:hint="eastAsia" w:ascii="楷体" w:hAnsi="楷体" w:eastAsia="楷体" w:cs="楷体"/>
          <w:color w:val="auto"/>
          <w:sz w:val="21"/>
          <w:szCs w:val="21"/>
          <w:highlight w:val="none"/>
          <w:lang w:val="en-US" w:eastAsia="zh-CN"/>
        </w:rPr>
        <w:t>，联系电话为</w:t>
      </w:r>
      <w:r>
        <w:rPr>
          <w:rFonts w:hint="eastAsia" w:ascii="楷体" w:hAnsi="楷体" w:eastAsia="楷体" w:cs="楷体"/>
          <w:color w:val="auto"/>
          <w:sz w:val="21"/>
          <w:szCs w:val="21"/>
          <w:highlight w:val="none"/>
        </w:rPr>
        <w:t>95319-8-2</w:t>
      </w:r>
      <w:r>
        <w:rPr>
          <w:rFonts w:hint="eastAsia" w:ascii="楷体" w:hAnsi="楷体" w:eastAsia="楷体" w:cs="楷体"/>
          <w:color w:val="auto"/>
          <w:sz w:val="21"/>
          <w:szCs w:val="21"/>
          <w:highlight w:val="none"/>
          <w:lang w:val="en-US" w:eastAsia="zh-CN"/>
        </w:rPr>
        <w:t>。</w:t>
      </w:r>
      <w:r>
        <w:rPr>
          <w:rFonts w:hint="eastAsia" w:ascii="楷体" w:hAnsi="楷体" w:eastAsia="楷体" w:cs="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批准的其他业务等。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在此授权并同意苏银理财享有以下权利：按照本理财产品合同的约定，管理、运用和处分理财计划资金；按照本理财产品合同的约定，及时、足额获得投资管理费；管理人有权依照法律规定和监管机构的要求将投资者的信息向有权部门或相关机构披露；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以理财产品投资管理人的名义，依照法律法规相关规定以及代表理财产品份额持有人的利益行使代为追索的权利（包括但不限于提起诉讼/仲裁、申请保全/执行的权利）或者实施其他法律行为；法律法规、监管政策和本理财计划文件约定的其他权利。</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产品托管人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240" w:lineRule="auto"/>
        <w:ind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color w:val="auto"/>
          <w:sz w:val="21"/>
          <w:szCs w:val="21"/>
          <w:highlight w:val="none"/>
        </w:rPr>
        <w:t>本产品托管人为中国工商银行股份有限公司，注册地址为北京市西城区复兴门内大街55号，联系电话为010-66105799。</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keepNext w:val="0"/>
        <w:keepLines w:val="0"/>
        <w:pageBreakBefore w:val="0"/>
        <w:numPr>
          <w:ilvl w:val="0"/>
          <w:numId w:val="0"/>
        </w:numPr>
        <w:bidi w:val="0"/>
        <w:spacing w:line="240" w:lineRule="auto"/>
        <w:ind w:firstLine="422"/>
        <w:rPr>
          <w:rFonts w:hint="default" w:ascii="楷体" w:hAnsi="楷体" w:eastAsia="楷体" w:cs="楷体"/>
          <w:color w:val="auto"/>
          <w:sz w:val="21"/>
          <w:szCs w:val="21"/>
          <w:highlight w:val="none"/>
          <w:lang w:val="en-US" w:eastAsia="zh-CN"/>
        </w:rPr>
      </w:pPr>
      <w:r>
        <w:rPr>
          <w:rFonts w:hint="eastAsia" w:ascii="楷体" w:hAnsi="楷体" w:eastAsia="楷体" w:cs="楷体"/>
          <w:b/>
          <w:bCs/>
          <w:color w:val="auto"/>
          <w:sz w:val="21"/>
          <w:szCs w:val="21"/>
          <w:highlight w:val="none"/>
          <w:u w:val="single"/>
          <w:lang w:val="en-US" w:eastAsia="zh-CN"/>
        </w:rPr>
        <w:t>无。</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销售机构</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rPr>
      </w:pPr>
      <w:r>
        <w:rPr>
          <w:rFonts w:hint="eastAsia" w:ascii="楷体" w:hAnsi="楷体" w:eastAsia="楷体" w:cs="楷体"/>
          <w:b w:val="0"/>
          <w:bCs w:val="0"/>
          <w:sz w:val="21"/>
          <w:szCs w:val="21"/>
          <w:highlight w:val="none"/>
          <w:u w:val="none"/>
        </w:rPr>
        <w:t>销售机构负责理财产品宣传推广、投资者风险承受能力评估和投资者适当性管理、理财产品投资者身份识别及反洗钱、反恐怖融资及非居民金融账户涉税信息调查、理财产品份额认购/申购/赎回、协助管理人与投资者订立理财产品销售文件、协助投资者与管理人沟通、接受投资者咨询和投资者维护等销售服务工作。销售机构不承担产品的投资和兑付责任，产品的投资和兑付责任由管理人承担。</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本产品销售机构基本信息如下：</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（1）机构全称：北京农村商业银行股份有限公司，注册地址为北京市西城区月坛南街1号院2号楼，联系电话为010-63229157；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（2）机构全称：东营银行股份有限公司，注册地址为山东省东营市东营区府前大街87-1号，联系电话为0546-7666871；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（3）机构全称：东莞农村商业银行股份有限公司，注册地址为中国广东省东莞市东城区鸿福东路2号，联系电话为0769-21383246；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（4）机构全称：甘肃银行股份有限公司，注册地址为甘肃省兰州市城关区东岗西路525-1号，联系电话为0931-8770491；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（5）机构全称：广州农村商业银行股份有限公司，注册地址为广州市黄埔区映日路9号，联系电话为020-28852673；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（6）机构全称：杭州联合农村商业银行股份有限公司，注册地址为杭州市建国中路99号，联系电话为0571-87923220；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（7）机构全称：湖北银行股份有限公司，注册地址为武汉市武昌区水果湖街中北路86号汉街总部国际8栋，联系电话为96599；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（8）机构全称：湖州吴兴农村商业银行股份有限公司，注册地址为浙江省湖州市东街55号，联系电话为0572-2065905；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（9）机构全称：吉林银行股份有限公司，注册地址为吉林省长春市南关区人民大街10666号，联系电话为0431-84992976；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（10）机构全称：嘉兴银行股份有限公司，注册地址为浙江省嘉兴市昌盛南路1001号，联系电话为0573-82062680；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（11）机构全称：江门农村商业银行股份有限公司，注册地址为江门市新会区会城启超大道68号，联系电话为0750-6601937；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（12）机构全称：江苏宝应农村商业银行股份有限公司，注册地址为江苏省宝应县文津路1号，联系电话为0514-88237395；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（13）机构全称：江苏滨海农村商业银行股份有限公司，注册地址为滨海县城迎宾中路1号，联系电话为0515-89106666；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（14）机构全称：江苏常熟农村商业银行股份有限公司，注册地址为江苏省常熟市新世纪大道58号，联系电话为0512-51601128；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（15）机构全称：江苏大丰农村商业银行股份有限公司，注册地址为江苏省盐城市大丰区常新中路9号，联系电话为0515-83929115；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（16）机构全称：江苏东海农村商业银行股份有限公司，注册地址为连云港市东海县牛山镇海陵东路8号，联系电话为0518-87288341；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（17）机构全称：江苏东台农村商业银行股份有限公司，注册地址为东台市东城大道10号，联系电话为0515-85230810；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（18）机构全称：江苏丰县农村商业银行股份有限公司，注册地址为江苏省丰县人民中路9号，联系电话为0516-89234728；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（19）机构全称：江苏阜宁农村商业银行股份有限公司，注册地址为江苏省阜宁县城南新区上海路459号，联系电话为0515-87210967；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（20）机构全称：江苏赣榆农村商业银行股份有限公司，注册地址为连云港市赣榆区黄海东路304号，联系电话为0518-6211053；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（21）机构全称：江苏高淳农村商业银行股份有限公司，注册地址为南京市高淳区淳溪镇宝塔路123号，联系电话为025-57315973；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（22）机构全称：江苏高邮农村商业银行股份有限公司，注册地址为江苏省高邮市文游中路28号，联系电话为0514-84602192；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（23）机构全称：江苏灌南农村商业银行股份有限公司，注册地址为江苏省连云港市灌南县人民路29号，联系电话为0518-83212998；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（24）机构全称：江苏灌云农村商业银行股份有限公司，注册地址为江苏省灌云县伊山镇水利路东侧（人民路与水利路交汇处），联系电话为0518-88115807；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（25）机构全称：江苏海安农村商业银行股份有限公司，注册地址为江苏省海安市海安镇长江中路88号，联系电话为0513-88926206；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（26）机构全称：江苏海门农村商业银行股份有限公司，注册地址为江苏省南通市海门区解放中路137号，联系电话为0513-68050800；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（27）机构全称：江苏建湖农村商业银行股份有限公司，注册地址为江苏省建湖县湖中南路958号，联系电话为13815553398,0515-80629680；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（28）机构全称：江苏姜堰农村商业银行股份有限公司，注册地址为泰州市姜堰区姜堰大道128号，联系电话为0523-88262560；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（29）机构全称：江苏江都农村商业银行股份有限公司，注册地址为扬州市江都区龙城路21号，联系电话为0514-86552388,0514-86995122；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（30）机构全称：江苏江南农村商业银行股份有限公司，注册地址为江苏省常州市武进区延政中路9号，联系电话为0519-89995161；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（31）机构全称：江苏金湖农村商业银行股份有限公司，注册地址为江苏省金湖县健康西路1号，联系电话为0517-86859088；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（32）机构全称：江苏靖江农村商业银行股份有限公司，注册地址为江苏省靖江市南环路66号，联系电话为0523-85121020；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（33）机构全称：江苏句容农村商业银行股份有限公司，注册地址为江苏省句容市福地东路66号，联系电话为0511-87263211,0511-87275955；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（34）机构全称：江苏民丰农村商业银行股份有限公司，注册地址为江苏省宿迁市宿城区高宝湖路1号，联系电话为0527-84467910；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（35）机构全称：江苏沛县农村商业银行股份有限公司，注册地址为江苏省沛县汤沐路中段11号，联系电话为0516-89631502；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（36）机构全称：江苏启东农村商业银行股份有限公司，注册地址为江苏省启东市汇龙镇人民中路599号，联系电话为0513-83309270；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（37）机构全称：江苏如东农村商业银行股份有限公司，注册地址为江苏省如东县掘港镇钟山路66号，联系电话为0513-84118602；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（38）机构全称：江苏如皋农村商业银行股份有限公司，注册地址为江苏省如皋市如城街道海阳南路999号，联系电话为0513-87616082；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（39）机构全称：江苏射阳农村商业银行股份有限公司，注册地址为射阳县合德镇解放路385号，联系电话为0515-82389076,0515-82334030；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（40）机构全称：江苏苏州农村商业银行股份有限公司，注册地址为江苏省苏州市吴江区中山南路1777号，联系电话为0512-63969966,0512-63969870；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（41）机构全称：江苏泰兴农村商业银行股份有限公司，注册地址为泰兴市国庆中路8号，联系电话为0523-87639340；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（42）机构全称：江苏太仓农村商业银行股份有限公司，注册地址为太仓市娄东街道上海东路198号，联系电话为0512-53282880；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（43）机构全称：江苏响水农村商业银行股份有限公司，注册地址为江苏省响水县双园东路北侧，联系电话为0515-86889190；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（44）机构全称：江苏新沂农村商业银行股份有限公司，注册地址为新沂市钟吾路163号，联系电话为0516-88927411；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（45）机构全称：江苏盐城农村商业银行股份有限公司，注册地址为盐城市盐南高新区新都西路8号，联系电话为0515-8387406,0515-88350328；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（46）机构全称：江苏扬中农村商业银行股份有限公司，注册地址为扬中市扬子西路79号，联系电话为0511-88212395；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（47）机构全称：江苏扬州农村商业银行股份有限公司，注册地址为扬州市同泰路107号，联系电话为0514-82930926；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（48）机构全称：江苏仪征农村商业银行股份有限公司，注册地址为江苏省仪征市真州东路101号，联系电话为0514-83442173；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（49）机构全称：江苏宜兴农村商业银行股份有限公司，注册地址为江苏省宜兴市宜城街道解放东路579号，联系电话为0510-87330091；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（50）机构全称：江苏银行股份有限公司，注册地址为南京市中华路26号，联系电话为025-52890919；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（51）机构全称：江苏张家港农村商业银行股份有限公司，注册地址为张家港市杨舍镇人民中路66号，联系电话为0512-56961859,0512-56962839；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（52）机构全称：江苏镇江农村商业银行股份有限公司，注册地址为江苏省镇江市永安路2-1，联系电话为0511-84439088,0511-85013718；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（53）机构全称：江苏紫金农村商业银行股份有限公司，注册地址为南京市建邺区江东中路381号，联系电话为025-88866792；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（54）机构全称：江苏邳州农村商业银行股份有限公司，注册地址为邳州市建设中路16号，联系电话为0516-86234450；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（55）机构全称：江苏沭阳农村商业银行股份有限公司，注册地址为江苏省沭阳县苏州东路与台州南路交汇处，联系电话为0527-83663028；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（56）机构全称：江苏泗洪农村商业银行股份有限公司，注册地址为江苏省泗洪县长江路17号，联系电话为0527-86228917；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（57）机构全称：江苏泗阳农村商业银行股份有限公司，注册地址为江苏省泗洪县长江路17号，联系电话为0527-85275008；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（58）机构全称：江苏溧水农村商业银行股份有限公司，注册地址为南京市溧水县永阳镇中山路22号，联系电话为025-57201229；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（59）机构全称：江苏睢宁农村商业银行股份有限公司，注册地址为江苏省睢宁县元府东街99号，联系电话为0516-88331669；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（60）机构全称：晋商银行股份有限公司，注册地址为山西省太原市小店区长风街59号，联系电话为053195105588；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（61）机构全称：九江银行股份有限公司，注册地址为江西省九江市濂溪区长虹大道619号，联系电话为0791-7783032；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（62）机构全称：莱商银行股份有限公司，注册地址为山东省济南市莱芜高新区龙潭东大街137号，联系电话为0531-78861235；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（63）机构全称：连云港东方农村商业银行股份有限公司，注册地址为江苏省连云港市海州区郁洲南路10号，联系电话为0518-85820598,0518-85820527；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（64）机构全称：宁波东海银行股份有限公司，注册地址为浙江省宁波市鄞州区和济街181号1幢4、5、6、7层，宁波市鄞州区民安东路292号，宁波市鄞州区鼎泰路355号，联系电话为0574-81872233；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（65）机构全称：宁波通商银行股份有限公司，注册地址为浙江省宁波市鄞州区民安东路337号，联系电话为0574-83096666；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（66）机构全称：宁夏银行股份有限公司，注册地址为银川市金凤区北京中路157号，联系电话为0951-5058879,0951-6036102,0951-5165056；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（67）机构全称：齐鲁银行股份有限公司，注册地址为山东省济南市历下区经十路10817号，联系电话为400-609-6588；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（68）机构全称：秦皇岛银行股份有限公司，注册地址为河北省秦皇岛市海港区河北大街西段560号，联系电话为0335-5911197；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（69）机构全称：青岛银行股份有限公司，注册地址为山东省青岛市崂山区秦岭路6号3号楼，联系电话为0532-85709728；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（70）机构全称：山西银行股份有限公司，注册地址为山西转型综合改革示范区学府产业园高新街15号，联系电话为0351-96588；</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（71）机构全称：苏银理财有限责任公司，注册地址为</w:t>
      </w:r>
      <w:r>
        <w:rPr>
          <w:rFonts w:hint="default" w:ascii="楷体" w:hAnsi="楷体" w:eastAsia="楷体" w:cs="浠垮畫"/>
          <w:kern w:val="0"/>
          <w:sz w:val="21"/>
          <w:szCs w:val="21"/>
          <w:lang w:val="en-US" w:eastAsia="zh-CN"/>
        </w:rPr>
        <w:t>南京市建邺区江山大街70号国际博览中心三期B幢11-13层</w:t>
      </w:r>
      <w:r>
        <w:rPr>
          <w:rFonts w:hint="eastAsia" w:ascii="楷体" w:hAnsi="楷体" w:eastAsia="楷体" w:cs="楷体"/>
          <w:b w:val="0"/>
          <w:bCs w:val="0"/>
          <w:sz w:val="21"/>
          <w:szCs w:val="21"/>
          <w:highlight w:val="none"/>
          <w:u w:val="none"/>
          <w:lang w:val="en-US" w:eastAsia="zh-CN"/>
        </w:rPr>
        <w:t>，联系电话为95319-8-2；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（72）机构全称：威海银行股份有限公司，注册地址为威海市宝泉路9号，联系电话为0531-68978309；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（73）机构全称：武汉农村商业银行股份有限公司，注册地址为湖北省武汉市江岸区建设大道618号，联系电话为95367；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（74）机构全称：兴业银行股份有限公司，注册地址为福州市湖东路154号，联系电话为0591-87824863；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（75）机构全称：徐州农村商业银行股份有限公司，注册地址为江苏省徐州市铜山区北京南路26号，联系电话为96008；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（76）机构全称：浙江淳安农村商业银行股份有限公司，注册地址为浙江省杭州市淳安县千岛湖镇环湖北路369号，联系电话为0571-64833000；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（77）机构全称：浙江德清农村商业银行股份有限公司，注册地址为浙江省德清县武康街道沈长圩街50号，联系电话为0572-8018202；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（78）机构全称：浙江海宁农村商业银行股份有限公司，注册地址为浙江省嘉兴市海宁市海洲街道钱江西路278号，联系电话为0573-87032144；</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（79）机构全称：浙江海盐农村商业银行股份有限公司，注册地址为浙江省海盐县武原街道枣园西路176号，联系电话为0573-86166325；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（80）机构全称：浙江杭州余杭农村商业银行股份有限公司，注册地址为浙江省杭州市临平区南苑街道大街72号，联系电话为0571-86167005；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（81）机构全称：浙江禾城农村商业银行股份有限公司，注册地址为浙江省嘉兴市经济技术开发区文昌路1229号，联系电话为0573-82715521；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（82）机构全称：浙江嘉善农村商业银行股份有限公司，注册地址为浙江省嘉兴市嘉善县罗星街道车站南路999号，联系电话为0573-84226627；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（83）机构全称：浙江江山农村商业银行股份有限公司，注册地址为浙江省江山市区江滨路188号，联系电话为0570-4062110；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（84）机构全称：浙江兰溪农村商业银行股份有限公司，注册地址为浙江省兰溪市兰江街道丹溪大道18号，联系电话为0579-88391133；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（85）机构全称：浙江乐清农村商业银行股份有限公司，注册地址为浙江省乐清市城南街道伯乐西路99号，联系电话为0577-61566028,0577-62553892,0577-61527888；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（86）机构全称：浙江龙游农村商业银行股份有限公司，注册地址为浙江省衢州市龙游县龙洲街道荣昌大道683、685、687号，联系电话为0570-7010706；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（87）机构全称：浙江平湖农村商业银行股份有限公司，注册地址为浙江省平湖市当湖街道胜利路518号，联系电话为0573-85135897；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（88）机构全称：浙江浦江农村商业银行股份有限公司，注册地址为浙江省浦江县人民东路90号，联系电话为0579-84116117；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（89）机构全称：浙江青田农村商业银行股份有限公司，注册地址为浙江省青田县鹤城街道鹤城东路180号，联系电话为0578-6752052；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（90）机构全称：浙江瑞安农村商业银行股份有限公司，注册地址为浙江省瑞安市安阳街道万松东路148号，联系电话为0577-65813089；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（91）机构全称：浙江上虞农村商业银行股份有限公司，注册地址为浙江省绍兴市上虞区德盛路55号，联系电话为0575-82110785；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（92）机构全称：浙江绍兴恒信农村商业银行股份有限公司，注册地址为浙江省绍兴市中兴中路159号，联系电话为0575-85134511；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（93）机构全称：浙江绍兴瑞丰农村商业银行股份有限公司，注册地址为浙江省绍兴市柯桥区柯桥笛扬路1363号，联系电话为0575-81105353；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（94）机构全称：浙江松阳农村商业银行股份有限公司，注册地址为浙江省丽水市松阳县水南街道要津南路71号，联系电话为0578-8063165；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（95）机构全称：浙江台州黄岩农村商业银行股份有限公司，注册地址为浙江省台州市黄岩区洞天路88号，联系电话为0576-89199001；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（96）机构全称：浙江桐庐农村商业银行股份有限公司，注册地址为浙江省杭州市桐庐县城迎春南路278号，联系电话为0571-64211632；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（97）机构全称：浙江桐乡农村商业银行股份有限公司，注册地址为浙江省嘉兴市桐乡市梧桐街道校场东路59号，联系电话为0573-88022305；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（98）机构全称：浙江温岭农村商业银行股份有限公司，注册地址为浙江省温岭市城东街道下保路100号，联系电话为0576-86207927；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（99）机构全称：浙江温州龙湾农村商业银行股份有限公司，注册地址为浙江省温州市龙湾区永中街道永宁西路555号，联系电话为0577-86922601,0577-86932139；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（100）机构全称：浙江温州鹿城农村商业银行股份有限公司，注册地址为浙江省温州市会展路1500号富银大厦，联系电话为0577-88095618；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（101）机构全称：浙江温州瓯海农村商业银行股份有限公司，注册地址为浙江省温州市瓯海区瓯海大道989号，联系电话为0577-88378510；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（102）机构全称：浙江文成农村商业银行股份有限公司，注册地址为浙江省温州市文成县大峃镇体育场路509-520号，联系电话为0577-67866321；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（103）机构全称：浙江武义农村商业银行股份有限公司，注册地址为浙江省武义县城武阳中路37号，联系电话为0579-87663486；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（104）机构全称：浙江萧山农村商业银行股份有限公司，注册地址为浙江省杭州市萧山区盈丰街道鸿宁路2288号，联系电话为0571-83815691；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（105）机构全称：浙江新昌农村商业银行股份有限公司，注册地址为浙江省新昌县七星街道七星路18号，联系电话为0575-86266010；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（106）机构全称：浙江永嘉农村商业银行股份有限公司，注册地址为浙江省温州市永嘉县瓯北街道阳光大道3918号，联系电话为0577-67254108；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（107）机构全称：浙江永康农村商业银行股份有限公司，注册地址为浙江省金华市永康市九铃东路3259号，联系电话为0579-87169095；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（108）机构全称：浙江舟山定海海洋农村商业银行股份有限公司，注册地址为浙江省舟山市定海区环城东路81号，联系电话为0580-2060007；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（109）机构全称：浙江舟山普陀农村商业银行股份有限公司，注册地址为浙江省舟山市普陀区东港街道麒麟街225号，联系电话为0580-3803350；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（110）机构全称：浙江岱山农村商业银行股份有限公司，注册地址为浙江省舟山市岱山县高亭镇衢山大道1009号，联系电话为0580-4261787；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（111）机构全称：浙江衢州柯城农村商业银行股份有限公司，注册地址为浙江省衢州市柯城区上街92号，联系电话为0570-3027556；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（112）机构全称：郑州银行股份有限公司，注册地址为河南省郑州市郑东新区商务外环路22号，联系电话为0371-67009199；</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（113）机构全称：重庆农村商业银行股份有限公司，注册地址为重庆市江北区金沙门路36号，联系电话为023-61111637。</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（114）机构全称：广东华润银行股份有限公司，注册地址为广东省珠海市高新区北城东三路88号1栋，联系电话为13826526132。</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（115）机构全称：上海农村商业银行股份有限公司，注册地址为上海市黄浦区中山东二路70号，联系电话为021-962999；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（116）机构全称：徽商银行股份有限公司，注册地址为安徽省合肥市云谷路1699号徽银大厦，联系电话为0551-62667580。</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pStyle w:val="28"/>
        <w:keepNext w:val="0"/>
        <w:keepLines w:val="0"/>
        <w:pageBreakBefore w:val="0"/>
        <w:widowControl w:val="0"/>
        <w:numPr>
          <w:ilvl w:val="0"/>
          <w:numId w:val="0"/>
        </w:numPr>
        <w:bidi w:val="0"/>
        <w:spacing w:line="240" w:lineRule="auto"/>
        <w:ind w:firstLine="422"/>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b/>
          <w:bCs/>
          <w:color w:val="auto"/>
          <w:sz w:val="21"/>
          <w:szCs w:val="21"/>
          <w:highlight w:val="none"/>
          <w:u w:val="single"/>
          <w:lang w:val="en-US" w:eastAsia="zh-CN"/>
        </w:rPr>
        <w:t>产品管理人在此特别披露：销售机构江苏苏州农村商业银行股份有限公司、江苏仪征农村商业银行股份有限公司、江苏银行股份有限公司、苏银理财有限责任公司为产品管理人的关联方，产品管理人选择其担任销售机构已履行现行法律法规和监管规定所规定必须履行的程序。</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名词释义</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在本</w:t>
      </w:r>
      <w:r>
        <w:rPr>
          <w:rFonts w:hint="eastAsia" w:ascii="楷体" w:hAnsi="楷体" w:eastAsia="楷体" w:cs="楷体"/>
          <w:color w:val="auto"/>
          <w:sz w:val="21"/>
          <w:szCs w:val="21"/>
          <w:highlight w:val="none"/>
          <w:lang w:val="en-US" w:eastAsia="zh-CN"/>
        </w:rPr>
        <w:t>理财</w:t>
      </w:r>
      <w:r>
        <w:rPr>
          <w:rFonts w:hint="eastAsia" w:ascii="楷体" w:hAnsi="楷体" w:eastAsia="楷体" w:cs="楷体"/>
          <w:color w:val="auto"/>
          <w:sz w:val="21"/>
          <w:szCs w:val="21"/>
          <w:highlight w:val="none"/>
        </w:rPr>
        <w:t>产品说明书中，除非上下文另有明确约定，下列用词将具有如下含义：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（一）理财产品用语</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销售代码：指本理财产品可能设置一类或多类产品份额，管理人在理财产品销售管理过程中对各类份额设置的内部代码。</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理财产品份额：指投资者持有本理财产品的单位数额。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理财产品资产总值：指产品拥有的各类有价证券、银行存款、应收款项及其他资产的价值总和。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负债总值：指产品运作及融资时形成的负债价值总和，包括融资资金本息、应付各项费用（包括托管费、销售服务费、固定管理费、信息技术服务费、浮动管理费、其他费用等）、应付税金及其他应付款项等。</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理财产品资产净值/净资产：指产品资产总值减去产品负债总值后的价值。</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流动性受限资产：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个工作日可变现资产：包括可在交易所、银行间市场正常交易的股票、债券、非金融企业债务融资工具、期货及期权合约以及同业存单，7个工作日内到期或可支取的买入返售、银行存款，7个工作日内能够确认收到的各类应收款项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（二）期间与日期</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工作日：指国家法定工作日。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交易日：指上海证券交易所和深圳证券交易所的正常开盘交易日。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份额登记日/份额确认日：指管理人对投资者提交的</w:t>
      </w:r>
      <w:r>
        <w:rPr>
          <w:rFonts w:hint="eastAsia" w:ascii="楷体" w:hAnsi="楷体" w:eastAsia="楷体" w:cs="楷体"/>
          <w:color w:val="auto"/>
          <w:sz w:val="21"/>
          <w:szCs w:val="21"/>
          <w:highlight w:val="none"/>
          <w:lang w:val="en-US" w:eastAsia="zh-CN"/>
        </w:rPr>
        <w:t>购买</w:t>
      </w:r>
      <w:r>
        <w:rPr>
          <w:rFonts w:hint="eastAsia" w:ascii="楷体" w:hAnsi="楷体" w:eastAsia="楷体" w:cs="楷体"/>
          <w:color w:val="auto"/>
          <w:sz w:val="21"/>
          <w:szCs w:val="21"/>
          <w:highlight w:val="none"/>
        </w:rPr>
        <w:t>申请进行份额登记的日期。</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sz w:val="21"/>
          <w:szCs w:val="21"/>
          <w:highlight w:val="none"/>
        </w:rPr>
      </w:pPr>
      <w:r>
        <w:rPr>
          <w:rFonts w:hint="eastAsia" w:ascii="楷体" w:hAnsi="楷体" w:eastAsia="楷体" w:cs="楷体"/>
          <w:color w:val="auto"/>
          <w:sz w:val="21"/>
          <w:szCs w:val="21"/>
          <w:highlight w:val="none"/>
        </w:rPr>
        <w:t>产品存续期：指自理财产品成立日起，至理财产品终止日的期间。</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产品终止日/到期日：指理财产品终止的日期。</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bCs w:val="0"/>
          <w:color w:val="auto"/>
          <w:sz w:val="21"/>
          <w:szCs w:val="21"/>
          <w:highlight w:val="none"/>
        </w:rPr>
      </w:pPr>
      <w:r>
        <w:rPr>
          <w:rFonts w:hint="eastAsia" w:ascii="楷体" w:hAnsi="楷体" w:eastAsia="楷体" w:cs="楷体"/>
          <w:b/>
          <w:bCs w:val="0"/>
          <w:color w:val="auto"/>
          <w:sz w:val="21"/>
          <w:szCs w:val="21"/>
          <w:highlight w:val="none"/>
          <w:lang w:val="en-US" w:eastAsia="zh-CN"/>
        </w:rPr>
        <w:t>投资管理</w:t>
      </w:r>
    </w:p>
    <w:p>
      <w:pPr>
        <w:keepNext w:val="0"/>
        <w:keepLines w:val="0"/>
        <w:pageBreakBefore w:val="0"/>
        <w:numPr>
          <w:ilvl w:val="0"/>
          <w:numId w:val="5"/>
        </w:numPr>
        <w:tabs>
          <w:tab w:val="left" w:pos="993"/>
        </w:tabs>
        <w:bidi w:val="0"/>
        <w:spacing w:line="240" w:lineRule="auto"/>
        <w:ind w:left="0"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拟投资</w:t>
      </w:r>
      <w:r>
        <w:rPr>
          <w:rFonts w:hint="eastAsia" w:ascii="楷体" w:hAnsi="楷体" w:eastAsia="楷体" w:cs="楷体"/>
          <w:b w:val="0"/>
          <w:bCs w:val="0"/>
          <w:color w:val="auto"/>
          <w:sz w:val="21"/>
          <w:szCs w:val="21"/>
          <w:highlight w:val="none"/>
          <w:u w:val="none"/>
        </w:rPr>
        <w:t>非标准化债权类资产</w:t>
      </w:r>
    </w:p>
    <w:p>
      <w:pPr>
        <w:ind w:firstLine="420"/>
        <w:rPr>
          <w:rFonts w:hint="eastAsia"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本产品计划配置以下</w:t>
      </w:r>
      <w:r>
        <w:rPr>
          <w:rFonts w:ascii="楷体" w:hAnsi="楷体" w:eastAsia="楷体"/>
          <w:b w:val="0"/>
          <w:bCs/>
          <w:color w:val="auto"/>
          <w:sz w:val="21"/>
          <w:szCs w:val="21"/>
          <w:highlight w:val="none"/>
          <w:u w:val="none"/>
        </w:rPr>
        <w:t>备选</w:t>
      </w:r>
      <w:r>
        <w:rPr>
          <w:rFonts w:hint="eastAsia" w:ascii="楷体" w:hAnsi="楷体" w:eastAsia="楷体"/>
          <w:b w:val="0"/>
          <w:bCs/>
          <w:color w:val="auto"/>
          <w:sz w:val="21"/>
          <w:szCs w:val="21"/>
          <w:highlight w:val="none"/>
          <w:u w:val="none"/>
        </w:rPr>
        <w:t>非标准化债权类资产：</w:t>
      </w:r>
    </w:p>
    <w:p>
      <w:pPr>
        <w:numPr>
          <w:ilvl w:val="0"/>
          <w:numId w:val="0"/>
        </w:numPr>
        <w:ind w:left="0" w:firstLine="420"/>
        <w:rPr>
          <w:rFonts w:hint="eastAsia" w:ascii="楷体" w:hAnsi="楷体" w:eastAsia="楷体" w:cs="Times New Roman"/>
          <w:bCs/>
          <w:color w:val="auto"/>
          <w:sz w:val="21"/>
          <w:szCs w:val="21"/>
          <w:highlight w:val="none"/>
          <w:u w:val="none"/>
          <w:lang w:eastAsia="zh-CN"/>
        </w:rPr>
      </w:pPr>
      <w:r>
        <w:rPr>
          <w:rFonts w:hint="eastAsia" w:ascii="楷体" w:hAnsi="楷体" w:eastAsia="楷体" w:cs="Times New Roman"/>
          <w:bCs/>
          <w:color w:val="auto"/>
          <w:sz w:val="21"/>
          <w:szCs w:val="21"/>
          <w:highlight w:val="none"/>
          <w:u w:val="none"/>
          <w:lang w:eastAsia="zh-CN"/>
        </w:rPr>
        <w:t>(1)同业借款：融资人为中国中信金融资产管理股份有限公司。融资人经营正常，是依法成立的国有公司，主要股东为中国中信集团有限公司、财政局、中国融信私募基金有限公司，实际控制人为财政部。 (2)同业借款：融资人为中国东方资产管理股份有限公司。融资人经营正常，是依法成立的国有公司，主要股东为中央汇金投资有限责任公司、全国社会保障基金理事会、中国电信集团有限公司，实际控制人为国务院。 (3)同业借款：融资人为中国信达资产管理股份有限公司。融资人经营正常，是依法成立的国有公司，主要股东为中央汇金投资有限责任公司，实际控制人为国务院。 (4)同业借款：融资人为中国长城资产管理股份有限公司。融资人经营正常，是依法成立的国有公司，主要股东为中央汇金投资有限责任公司、全国社会保障基金理事会、中国财产再保险有限责任公司、中国大地财产保险股份有限公司、中国人寿保险（集团）公司，实际控制人为国务院。 (5)收益凭证：融资人为中信证券股份有限公司。融资人经营正常，是依法设立的持牌金融机构，主要股东为中国中信金融控股有限公司、香港中央结算（代理人）有限公司、广州越秀资本控股集团有限公司，实际控制人为中国中信集团有限公司 (6)收益凭证：融资人为中国国际金融股份有限公司。融资人经营正常，是依法设立的持牌金融机构，主要股东为中央汇金投资有限责任公司、香港中央结算（代理人）有限公司、香港中央结算有限公司，实际控制人为中央汇金投资有限责任公司。 (7)收益凭证：融资人为中信建投证券股份有限公司。融资人经营正常，是依法设立的持牌金融机构，主要股东为北京金融控股集团有限公司、中央汇金投资有限责任公司、香港中央结算（代理人）有限公司，实际控制人为中央汇金投资有限责任公司。 (8)收益凭证：融资人为中国银河证券股份有限公司。融资人经营正常，是依法设立的持牌金融机构，主要股东为中国银河金融控股有限责任公司、香港中央结算（代理人）有限公司、香港中央结算有限公司，实际控制人为中央汇金投资有限责任公司。 (9)收益凭证：融资人为华泰证券股份有限公司。融资人经营正常，是依法设立的持牌金融机构，主要股东为江苏省国信集团有限公司、香港中央结算（代理人）有限公司、江苏交通控股有限公司，无实际控制人。 (10)收益凭证：融资人为国泰海通证券股份有限公司。融资人经营正常，是依法设立的持牌金融机构，主要股东为香港中央结算（代理人）有限公司、上海国有资产经营有限公司、上海国际集团有限公司，实际控制人为上海市国有资产监督管理委员会。 (11)收益凭证：融资人为申万宏源证券有限公司。融资人经营正常，是依法设立的持牌金融机构，主要股东为申万宏源集团股份有限公司，实际控制人为中央汇金投资有限责任公司。 (12)收益凭证：融资人为东方证券股份有限公司。融资人经营正常，是依法设立的持牌金融机构，主要股东为申能（集团）有限公司、香港中央结算（代理人）有限公司、上海海烟投资管理有限公司，实际控制人为上海市国有资产监督管理委员会。 (13)收益凭证：融资人为浙商证券股份有限公司。融资人经营正常，是依法设立的持牌金融机构，主要股东为浙江上三高速公路有限公司、台州市金融投资集团有限公司，实际控制人为浙江省交通投资集团有限公司。 (14)收益凭证：融资人为国投证券股份有限公司。融资人经营正常，是依法设立的持牌金融机构，主要股东为国投资本股份有限公司、上海毅胜投资有限公司，实际控制人为国家开发投资集团有限公司。 (15)收益凭证：融资人为平安证券股份有限公司。融资人经营正常，是依法设立的持牌金融机构，主要股东为平安信托有限责任公司、中国平安保险（集团）股份有限公司、深圳市英华柏涛投资有限公司，实际控制人为中国平安保险（集团）股份有限公司。 (16)收益凭证：融资人为中泰证券股份有限公司。融资人经营正常，是依法设立的持牌金融机构，主要股东为枣庄矿业（集团）有限责任公司、莱芜钢铁集团有限公司、山东高速投资控股有限公司，实际控制人为山东省人民政府国有资产监督管理委员会。 (17)收益凭证：融资人为兴业证券股份有限公司。融资人经营正常，是依法设立的持牌金融机构，主要股东为福建省财政厅、福建省投资开发集团有限责任公司、上海申新（集团）有限公司，实际控制人为福建省财政厅。 (18)收益凭证：融资人为财通证券股份有限公司。融资人经营正常，是依法设立的持牌金融机构，主要股东为浙江省创新投资集团有限公司、浙江省财开集团有限公司、台州市金融投资集团有限公司，实际控制人为浙江省财政厅。 (19)收益凭证：融资人为金融街证券股份有限公司。融资人经营正常，是依法设立的持牌金融机构，主要股东为北京华融综合投资有限公司、天风证券股份有限公司、包头华资实业股份有限公司，实际控制人为北京金融街投资（集团）有限公司。 (20)收益凭证：融资人为东海证券股份有限公司。融资人经营正常，是依法设立的持牌金融机构，主要股东为常州投资集团有限公司、山东金控资本管理有限公司，实际控制人为常州投资集团有限公司。 (21)收益凭证：融资人为国联民生证券股份有限公司。融资人经营正常，是依法设立的持牌金融机构，主要股东为无锡市国联发展（集团）有限公司、香港中央结算（代理人）有限公司、国联信托股份有限公司，实际控制人为无锡市人民政府国有资产监督管理委员会。 (22)收益凭证：融资人为光大证券股份有限公司。融资人经营正常，是依法设立的持牌金融机构，主要股东为中国光大集团股份有限公司、中国光大控股有限公司、香港中央结算（代理人）有限公司，实际控制人为中央汇金投资有限责任公司。 (23)收益凭证：融资人为长城证券股份有限公司。融资人经营正常，是依法设立的持牌金融机构，主要股东为华能资本服务有限公司、深圳新江南投资有限公司、深圳能源集团股份有限公司，实际控制人为中央汇金投资有限责任公司。 (24)收益凭证：融资人为中国中金财富证券有限公司。融资人经营正常，是依法设立的持牌金融机构，主要股东为中国国际金融股份有限公司，实际控制人为中央汇金投资有限责任公司。 (25)收益凭证：融资人为山西证券股份有限公司。融资人经营正常，是依法设立的持牌金融机构，主要股东为山西金融投资控股集团有限公司、太原钢铁（集团）有限公司、山西国际电力集团有限公司，实际控制人为山西省财政厅。 (26)收益凭证：融资人为国都证券股份有限公司。融资人经营正常，是依法设立的持牌金融机构，主要股东为浙商证券股份有限公司、中诚信托有限责任公司、北京国际信托有限公司，实际控制人为浙江省交通投资集团有限公司。 (27)收益凭证：融资人为东莞证券股份有限公司。融资人经营正常，是依法设立的持牌金融机构，主要股东为东莞市投资控股集团有限公司、东莞发展控股股份有限公司、广东锦龙发展股份有限公司，实际控制人为东莞市人民政府国有资产监督管理委员会。 (28)收益凭证：融资人为华鑫证券有限责任公司。融资人经营正常，是依法设立的持牌金融机构，主要股东为上海华鑫股份有限公司，实际控制人为上海市国有资产监督管理委员会。 (29)收益凭证：融资人为第一创业证券股份有限公司。融资人经营正常，是依法设立的持牌金融机构，主要股东为北京国有资本运营管理有限公司、北京首农食品集团有限公司，实际控制人为北京市人民政府国有资产监督管理委员会。 (30)收益凭证：融资人为西南证券股份有限公司。融资人经营正常，是依法设立的持牌金融机构，主要股东为重庆渝富资本运营集团有限公司、重庆市城市建设投资（集团）有限公司和重庆市江北嘴中央商务区投资集团有限公司，实际控制人为重庆市国有资产监督管理委员会。 (31)收益凭证：融资人为广发证券股份有限公司。融资人经营正常，是依法设立的持牌金融机构，主要股东为香港中央结算（代理人）有限公司、吉林敖东药业集团股份有限公司、辽宁成大股份有限公司，无实际控制人。 (32)收益凭证：融资人为方正证券股份有限公司。融资人经营正常，是依法设立的持牌金融机构，主要股东为新方正控股发展有限责任公司、全国社会保障基金理事会、中国信达资产管理股份有限公司，实际控制人为中国平安保险（集团）股份有限公司。 (33)收益凭证：融资人为招商证券股份有限公司。融资人经营正常，是依法设立的持牌金融机构，主要股东为招商局金融控股有限公司、深圳市集盛投资发展有限公司、香港中央结算（代理人）有限公司，实际控制人为招商局集团有限公司。</w:t>
      </w:r>
    </w:p>
    <w:p>
      <w:pPr>
        <w:numPr>
          <w:ilvl w:val="0"/>
          <w:numId w:val="0"/>
        </w:numPr>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Times New Roman"/>
          <w:bCs/>
          <w:color w:val="auto"/>
          <w:sz w:val="21"/>
          <w:szCs w:val="21"/>
          <w:highlight w:val="none"/>
          <w:u w:val="none"/>
          <w:lang w:eastAsia="zh-CN"/>
        </w:rPr>
        <w:t>资产到期日不超过理财产品</w:t>
      </w:r>
      <w:r>
        <w:rPr>
          <w:rFonts w:hint="eastAsia" w:ascii="楷体" w:hAnsi="楷体" w:eastAsia="楷体" w:cs="Times New Roman"/>
          <w:bCs/>
          <w:color w:val="auto"/>
          <w:sz w:val="21"/>
          <w:szCs w:val="21"/>
          <w:highlight w:val="none"/>
          <w:u w:val="none"/>
          <w:lang w:val="en-US" w:eastAsia="zh-CN"/>
        </w:rPr>
        <w:t>到期</w:t>
      </w:r>
      <w:r>
        <w:rPr>
          <w:rFonts w:hint="eastAsia" w:ascii="楷体" w:hAnsi="楷体" w:eastAsia="楷体" w:cs="Times New Roman"/>
          <w:bCs/>
          <w:color w:val="auto"/>
          <w:sz w:val="21"/>
          <w:szCs w:val="21"/>
          <w:highlight w:val="none"/>
          <w:u w:val="none"/>
          <w:lang w:eastAsia="zh-CN"/>
        </w:rPr>
        <w:t>日，循环期不还本、摊还期过手摊还本息</w:t>
      </w:r>
      <w:r>
        <w:rPr>
          <w:rFonts w:hint="eastAsia" w:ascii="楷体" w:hAnsi="楷体" w:eastAsia="楷体" w:cs="Times New Roman"/>
          <w:bCs/>
          <w:color w:val="auto"/>
          <w:sz w:val="21"/>
          <w:szCs w:val="21"/>
          <w:highlight w:val="none"/>
          <w:u w:val="none"/>
          <w:lang w:val="en-US" w:eastAsia="zh-CN"/>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投资合作机构</w:t>
      </w:r>
    </w:p>
    <w:p>
      <w:pPr>
        <w:keepNext w:val="0"/>
        <w:keepLines w:val="0"/>
        <w:pageBreakBefore w:val="0"/>
        <w:numPr>
          <w:ilvl w:val="0"/>
          <w:numId w:val="0"/>
        </w:numPr>
        <w:bidi w:val="0"/>
        <w:spacing w:line="240" w:lineRule="auto"/>
        <w:ind w:firstLine="420"/>
        <w:rPr>
          <w:rFonts w:hint="eastAsia"/>
          <w:highlight w:val="none"/>
        </w:rPr>
      </w:pPr>
      <w:r>
        <w:rPr>
          <w:rFonts w:hint="eastAsia" w:ascii="楷体" w:hAnsi="楷体" w:eastAsia="楷体" w:cs="楷体"/>
          <w:color w:val="auto"/>
          <w:sz w:val="21"/>
          <w:szCs w:val="21"/>
          <w:highlight w:val="none"/>
        </w:rPr>
        <w:t>投资合作机构主要职责是对理财产品受托资金进行投资管理，</w:t>
      </w:r>
      <w:r>
        <w:rPr>
          <w:rFonts w:hint="eastAsia" w:ascii="楷体" w:hAnsi="楷体" w:eastAsia="楷体" w:cs="楷体"/>
          <w:color w:val="auto"/>
          <w:sz w:val="21"/>
          <w:szCs w:val="21"/>
          <w:highlight w:val="none"/>
          <w:lang w:val="en-US" w:eastAsia="zh-CN"/>
        </w:rPr>
        <w:t>管理人</w:t>
      </w:r>
      <w:r>
        <w:rPr>
          <w:rFonts w:hint="eastAsia" w:ascii="楷体" w:hAnsi="楷体" w:eastAsia="楷体" w:cs="楷体"/>
          <w:color w:val="auto"/>
          <w:sz w:val="21"/>
          <w:szCs w:val="21"/>
          <w:highlight w:val="none"/>
        </w:rPr>
        <w:t>已按投资决策流程对投资合作机构进行了准入，并持续开展投资合作机构的存续期管理。本产品投资合作机构包括：</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①</w:t>
      </w:r>
      <w:r>
        <w:rPr>
          <w:rFonts w:ascii="楷体" w:hAnsi="楷体" w:eastAsia="楷体" w:cs="楷体"/>
          <w:color w:val="000000"/>
          <w:sz w:val="22"/>
        </w:rPr>
        <w:t>江苏省国际信托有限责任公司：江苏省国际信托有限责任公司是经江苏省人民政府和中国银行业监督管理委员会批准设立的非银行金融机构，是江苏省国信集团的主要成员企业之一，专业从事金融信托业务。</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②</w:t>
      </w:r>
      <w:r>
        <w:rPr>
          <w:rFonts w:ascii="楷体" w:hAnsi="楷体" w:eastAsia="楷体" w:cs="楷体"/>
          <w:color w:val="000000"/>
          <w:sz w:val="22"/>
        </w:rPr>
        <w:t>创金合信基金管理有限公司：创金合信基金管理有限公司成立于</w:t>
      </w:r>
      <w:r>
        <w:rPr>
          <w:rFonts w:ascii="楷体" w:hAnsi="楷体" w:eastAsia="楷体" w:cs="楷体"/>
          <w:color w:val="000000"/>
          <w:sz w:val="21"/>
        </w:rPr>
        <w:t>2014年7月9日，由第一创业证券股份有限公司、深圳市金合信投资合伙企业（有限合伙）共同发起设立，注册地为深圳。</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③</w:t>
      </w:r>
      <w:r>
        <w:rPr>
          <w:rFonts w:ascii="楷体" w:hAnsi="楷体" w:eastAsia="楷体" w:cs="楷体"/>
          <w:color w:val="000000"/>
          <w:sz w:val="22"/>
        </w:rPr>
        <w:t>华鑫国际信托有限公司：华鑫国际信托有限公司于2010年2月获得中国银行业监督管理委员会批准重新登记，并于同年3月正式挂牌开业，实际控制人为中国华电集团有限公司，注册资本73.95亿元。</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④</w:t>
      </w:r>
      <w:r>
        <w:rPr>
          <w:rFonts w:ascii="楷体" w:hAnsi="楷体" w:eastAsia="楷体" w:cs="楷体"/>
          <w:color w:val="000000"/>
          <w:sz w:val="22"/>
        </w:rPr>
        <w:t>中国国际金融股份有限公司：中国国际金融股份有限公司于1995年7月31日成立，实际控制人为中央汇金投资有限责任公司，注册资本4,827,256,868元。</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⑤</w:t>
      </w:r>
      <w:r>
        <w:rPr>
          <w:rFonts w:ascii="楷体" w:hAnsi="楷体" w:eastAsia="楷体" w:cs="楷体"/>
          <w:color w:val="000000"/>
          <w:sz w:val="22"/>
        </w:rPr>
        <w:t>中粮信托有限责任公司：中粮信托有限责任公司成立于2009年7月27日，是中国银行保险监督管理委员会核准的国有控股金融机构，注册资本28.3095亿元，前三大股东分别为中粮资本投资有限公司、蒙特利尔银行、中粮财务有限责任公司。</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⑥</w:t>
      </w:r>
      <w:r>
        <w:rPr>
          <w:rFonts w:ascii="楷体" w:hAnsi="楷体" w:eastAsia="楷体" w:cs="楷体"/>
          <w:color w:val="000000"/>
          <w:sz w:val="22"/>
        </w:rPr>
        <w:t>中国对外经济贸易信托有限公司：中国对外经济贸易信托有限公司成立于1987年9月30日，是中国银行保险监督管理委员会核准的国有控股金融机构，注册资本80亿元，股东为中化资本有限公司和中化集团财务有限责任公司。</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⑦</w:t>
      </w:r>
      <w:r>
        <w:rPr>
          <w:rFonts w:ascii="楷体" w:hAnsi="楷体" w:eastAsia="楷体" w:cs="楷体"/>
          <w:color w:val="000000"/>
          <w:sz w:val="22"/>
        </w:rPr>
        <w:t>南方资本管理有限公司：南方资本管理有限公司成立于</w:t>
      </w:r>
      <w:r>
        <w:rPr>
          <w:rFonts w:ascii="楷体" w:hAnsi="楷体" w:eastAsia="楷体" w:cs="楷体"/>
          <w:color w:val="000000"/>
          <w:sz w:val="21"/>
        </w:rPr>
        <w:t>2013年11月14日，注册资本5.42亿元人民币，注册地为深圳前海。经中国证监会核准，南方资本业务范围为特定客户资产管理业务以及中国证监会许可的其他业务。公司股东为南方基金管理股份有限公司（100%）。</w:t>
      </w:r>
    </w:p>
    <w:p>
      <w:pPr>
        <w:pBdr>
          <w:top w:val="none" w:color="000000" w:sz="0" w:space="0"/>
          <w:left w:val="none" w:color="000000" w:sz="0" w:space="0"/>
          <w:bottom w:val="none" w:color="000000" w:sz="0" w:space="0"/>
          <w:right w:val="none" w:color="000000" w:sz="0" w:space="0"/>
        </w:pBdr>
        <w:ind w:left="0" w:right="0" w:firstLine="420"/>
        <w:jc w:val="both"/>
        <w:rPr>
          <w:rFonts w:ascii="Times New Roman" w:hAnsi="Times New Roman" w:eastAsia="Times New Roman" w:cs="Times New Roman"/>
          <w:color w:val="000000"/>
          <w:szCs w:val="22"/>
        </w:rPr>
      </w:pPr>
      <w:r>
        <w:rPr>
          <w:rFonts w:ascii="楷体" w:hAnsi="楷体" w:eastAsia="楷体" w:cs="楷体"/>
          <w:color w:val="000000"/>
          <w:sz w:val="22"/>
          <w:szCs w:val="22"/>
        </w:rPr>
        <w:t>⑧建信保险资产管理有限公司：建信保险资产管理有限公司成立于2016年4月7日，是中国银行保险监督管理委员会核准的国有控股金融机构，注册资本3亿元，股东为建信人寿保险股份有限公司和建银国际（中国）有限公司。</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投资限制</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本理财产品投资于单只证券或单只公募证券投资基金的市值不超过本产品净资产的10%。</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管理人全部产品持有单一上市公司发行的股票，不得超过该上市公司可流通股票的30%。</w:t>
      </w:r>
    </w:p>
    <w:p>
      <w:pPr>
        <w:keepNext w:val="0"/>
        <w:keepLines w:val="0"/>
        <w:pageBreakBefore w:val="0"/>
        <w:widowControl w:val="0"/>
        <w:bidi w:val="0"/>
        <w:ind w:firstLine="420"/>
        <w:rPr>
          <w:rFonts w:hint="eastAsia"/>
          <w:highlight w:val="none"/>
        </w:rPr>
      </w:pPr>
      <w:r>
        <w:rPr>
          <w:rFonts w:hint="eastAsia" w:ascii="楷体" w:hAnsi="楷体" w:eastAsia="楷体"/>
          <w:color w:val="auto"/>
          <w:sz w:val="21"/>
          <w:szCs w:val="21"/>
          <w:highlight w:val="none"/>
        </w:rPr>
        <w:t>针对上述第1、2</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rPr>
        <w:t>3项，非因管理人主观因素致使不符合前述比例限制的，管理人将在流动性受限资产可出售、可转让或者恢复交易的10个交易日内调整至符合相关要求。</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杠杆率</w:t>
      </w:r>
      <w:r>
        <w:rPr>
          <w:rFonts w:hint="eastAsia" w:ascii="楷体" w:hAnsi="楷体" w:eastAsia="楷体"/>
          <w:color w:val="auto"/>
          <w:sz w:val="21"/>
          <w:szCs w:val="21"/>
          <w:highlight w:val="none"/>
        </w:rPr>
        <w:t>不超过</w:t>
      </w:r>
      <w:r>
        <w:rPr>
          <w:rFonts w:hint="eastAsia" w:ascii="楷体" w:hAnsi="楷体" w:eastAsia="楷体"/>
          <w:color w:val="auto"/>
          <w:sz w:val="21"/>
          <w:szCs w:val="21"/>
          <w:highlight w:val="none"/>
          <w:lang w:val="en-US" w:eastAsia="zh-CN"/>
        </w:rPr>
        <w:t>200%</w:t>
      </w:r>
      <w:r>
        <w:rPr>
          <w:rFonts w:hint="eastAsia" w:ascii="楷体" w:hAnsi="楷体" w:eastAsia="楷体"/>
          <w:color w:val="auto"/>
          <w:sz w:val="21"/>
          <w:szCs w:val="21"/>
          <w:highlight w:val="none"/>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投资管理调整</w:t>
      </w:r>
    </w:p>
    <w:p>
      <w:pPr>
        <w:pStyle w:val="15"/>
        <w:keepNext w:val="0"/>
        <w:keepLines w:val="0"/>
        <w:pageBreakBefore w:val="0"/>
        <w:widowControl w:val="0"/>
        <w:bidi w:val="0"/>
        <w:spacing w:before="0"/>
        <w:ind w:left="0" w:firstLine="420"/>
        <w:jc w:val="both"/>
        <w:rPr>
          <w:rFonts w:hint="eastAsia"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lang w:val="en-US" w:eastAsia="zh-CN" w:bidi="ar-SA"/>
        </w:rPr>
        <w:t>若法律法规、国家监管政策或市场情况发生重大变化，管理人在不改变产品类型的情况下，可对本说明书中已约定的投资范围、投资品种、投资比例等事项进行调整，产品管理人将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15"/>
        <w:keepNext w:val="0"/>
        <w:keepLines w:val="0"/>
        <w:pageBreakBefore w:val="0"/>
        <w:widowControl w:val="0"/>
        <w:bidi w:val="0"/>
        <w:spacing w:before="0"/>
        <w:ind w:left="0" w:firstLine="420"/>
        <w:jc w:val="both"/>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如监管有最新规定的，可参照监管规定</w:t>
      </w:r>
      <w:r>
        <w:rPr>
          <w:rFonts w:hint="eastAsia" w:ascii="楷体" w:hAnsi="楷体" w:eastAsia="楷体" w:cs="楷体"/>
          <w:color w:val="auto"/>
          <w:sz w:val="21"/>
          <w:szCs w:val="21"/>
          <w:highlight w:val="none"/>
          <w:lang w:val="en-US" w:eastAsia="zh-CN"/>
        </w:rPr>
        <w:t>执行</w:t>
      </w:r>
      <w:r>
        <w:rPr>
          <w:rFonts w:hint="eastAsia" w:ascii="楷体" w:hAnsi="楷体" w:eastAsia="楷体" w:cs="楷体"/>
          <w:color w:val="auto"/>
          <w:sz w:val="21"/>
          <w:szCs w:val="21"/>
          <w:highlight w:val="none"/>
        </w:rPr>
        <w:t>。</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产品终止</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提前终止</w:t>
      </w:r>
    </w:p>
    <w:p>
      <w:pPr>
        <w:numPr>
          <w:ilvl w:val="0"/>
          <w:numId w:val="0"/>
        </w:numPr>
        <w:ind w:left="0"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在理财产品投资运作期间内，投资者无权要求提前终止该理财产品。在理财产品投资运作期间内，</w:t>
      </w:r>
      <w:r>
        <w:rPr>
          <w:rFonts w:hint="eastAsia" w:ascii="楷体" w:hAnsi="楷体" w:eastAsia="楷体" w:cs="楷体"/>
          <w:b w:val="0"/>
          <w:bCs w:val="0"/>
          <w:color w:val="auto"/>
          <w:sz w:val="21"/>
          <w:szCs w:val="21"/>
          <w:highlight w:val="none"/>
          <w:lang w:val="en-US" w:eastAsia="zh-CN"/>
        </w:rPr>
        <w:t>包括但不限于</w:t>
      </w:r>
      <w:r>
        <w:rPr>
          <w:rFonts w:hint="eastAsia" w:ascii="楷体" w:hAnsi="楷体" w:eastAsia="楷体" w:cs="楷体"/>
          <w:b w:val="0"/>
          <w:bCs w:val="0"/>
          <w:color w:val="auto"/>
          <w:sz w:val="21"/>
          <w:szCs w:val="21"/>
          <w:highlight w:val="none"/>
        </w:rPr>
        <w:t>出现下列情形时，产品管理人有权提前终止本产品：因不可抗力原因导致理财产品无法继续运作；因法律法规变化或国家金融政策调整。如理财产品管理人提前终止本理财产品，将至少提前2个工作日（含）按说明书约定的信息披露方式予以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明确产品终止日</w:t>
      </w:r>
      <w:r>
        <w:rPr>
          <w:rFonts w:hint="eastAsia" w:ascii="楷体" w:hAnsi="楷体" w:eastAsia="楷体" w:cs="楷体"/>
          <w:b w:val="0"/>
          <w:bCs w:val="0"/>
          <w:color w:val="auto"/>
          <w:sz w:val="21"/>
          <w:szCs w:val="21"/>
          <w:highlight w:val="none"/>
        </w:rPr>
        <w:t>。</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正常终止</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投资者持有本理财产品至产品</w:t>
      </w:r>
      <w:r>
        <w:rPr>
          <w:rFonts w:hint="eastAsia" w:ascii="楷体" w:hAnsi="楷体" w:eastAsia="楷体" w:cs="楷体"/>
          <w:b w:val="0"/>
          <w:bCs w:val="0"/>
          <w:color w:val="auto"/>
          <w:sz w:val="21"/>
          <w:szCs w:val="21"/>
          <w:highlight w:val="none"/>
          <w:lang w:val="en-US" w:eastAsia="zh-CN"/>
        </w:rPr>
        <w:t>到期日</w:t>
      </w:r>
      <w:r>
        <w:rPr>
          <w:rFonts w:hint="eastAsia" w:ascii="楷体" w:hAnsi="楷体" w:eastAsia="楷体" w:cs="楷体"/>
          <w:b w:val="0"/>
          <w:bCs w:val="0"/>
          <w:color w:val="auto"/>
          <w:sz w:val="21"/>
          <w:szCs w:val="21"/>
          <w:highlight w:val="none"/>
        </w:rPr>
        <w:t>，投资者的投资本金和收益（如有）将在产品到期后一次性支付。</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延期</w:t>
      </w:r>
      <w:r>
        <w:rPr>
          <w:rFonts w:hint="eastAsia" w:ascii="楷体" w:hAnsi="楷体" w:eastAsia="楷体" w:cs="楷体"/>
          <w:color w:val="auto"/>
          <w:sz w:val="21"/>
          <w:szCs w:val="21"/>
          <w:highlight w:val="none"/>
          <w:lang w:val="en-US" w:eastAsia="zh-CN"/>
        </w:rPr>
        <w:t>终止</w:t>
      </w:r>
    </w:p>
    <w:p>
      <w:pPr>
        <w:ind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因不可抗力、法律法规规定或监管部门认定的其他情形</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产品管理人有权延长本理财产品的终止日。产品管理人决定延期兑付的，将至少提前2个工作日（含）按说明书约定的信息披露方式予以披露。</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投资者可得资金计算</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投资者可得资金=投资者持有份额×产品到期</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终止）</w:t>
      </w:r>
      <w:r>
        <w:rPr>
          <w:rFonts w:hint="eastAsia" w:ascii="楷体" w:hAnsi="楷体" w:eastAsia="楷体" w:cs="楷体"/>
          <w:b w:val="0"/>
          <w:bCs w:val="0"/>
          <w:color w:val="auto"/>
          <w:sz w:val="21"/>
          <w:szCs w:val="21"/>
          <w:highlight w:val="none"/>
        </w:rPr>
        <w:t>时单位净值</w:t>
      </w:r>
      <w:r>
        <w:rPr>
          <w:rFonts w:hint="eastAsia" w:ascii="楷体" w:hAnsi="楷体" w:eastAsia="楷体" w:cs="楷体"/>
          <w:b w:val="0"/>
          <w:bCs w:val="0"/>
          <w:color w:val="auto"/>
          <w:sz w:val="21"/>
          <w:szCs w:val="21"/>
          <w:highlight w:val="none"/>
          <w:lang w:val="en-US" w:eastAsia="zh-CN"/>
        </w:rPr>
        <w:t>-超额业绩报酬（如有）</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投资者可得资金以四舍五入的方法保留到小数点后两位。</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终止</w:t>
      </w:r>
      <w:r>
        <w:rPr>
          <w:rFonts w:hint="eastAsia" w:ascii="楷体" w:hAnsi="楷体" w:eastAsia="楷体" w:cs="楷体"/>
          <w:color w:val="auto"/>
          <w:sz w:val="21"/>
          <w:szCs w:val="21"/>
          <w:highlight w:val="none"/>
        </w:rPr>
        <w:t>清算</w:t>
      </w:r>
    </w:p>
    <w:p>
      <w:pPr>
        <w:keepNext w:val="0"/>
        <w:keepLines w:val="0"/>
        <w:pageBreakBefore w:val="0"/>
        <w:bidi w:val="0"/>
        <w:spacing w:line="240" w:lineRule="auto"/>
        <w:ind w:firstLine="420"/>
        <w:rPr>
          <w:rFonts w:hint="eastAsia" w:ascii="楷体" w:hAnsi="楷体" w:eastAsia="楷体" w:cs="楷体"/>
          <w:sz w:val="21"/>
          <w:szCs w:val="21"/>
          <w:highlight w:val="none"/>
          <w:lang w:eastAsia="zh-CN"/>
        </w:rPr>
      </w:pPr>
      <w:r>
        <w:rPr>
          <w:rFonts w:hint="eastAsia" w:ascii="楷体" w:hAnsi="楷体" w:eastAsia="楷体" w:cs="楷体"/>
          <w:color w:val="auto"/>
          <w:sz w:val="21"/>
          <w:szCs w:val="21"/>
          <w:highlight w:val="none"/>
        </w:rPr>
        <w:t>投资者的投资本金和收益（如有）将于产品到期日</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产品终止日）</w:t>
      </w:r>
      <w:r>
        <w:rPr>
          <w:rFonts w:hint="eastAsia" w:ascii="楷体" w:hAnsi="楷体" w:eastAsia="楷体" w:cs="楷体"/>
          <w:color w:val="auto"/>
          <w:sz w:val="21"/>
          <w:szCs w:val="21"/>
          <w:highlight w:val="none"/>
        </w:rPr>
        <w:t>后5个工作日以内划至投资者指定账户，如遇</w:t>
      </w:r>
      <w:r>
        <w:rPr>
          <w:rFonts w:hint="eastAsia" w:ascii="楷体" w:hAnsi="楷体" w:eastAsia="楷体" w:cs="楷体"/>
          <w:color w:val="auto"/>
          <w:sz w:val="21"/>
          <w:szCs w:val="21"/>
          <w:highlight w:val="none"/>
          <w:lang w:val="en-US" w:eastAsia="zh-CN"/>
        </w:rPr>
        <w:t>非工作日</w:t>
      </w:r>
      <w:r>
        <w:rPr>
          <w:rFonts w:hint="eastAsia" w:ascii="楷体" w:hAnsi="楷体" w:eastAsia="楷体" w:cs="楷体"/>
          <w:color w:val="auto"/>
          <w:sz w:val="21"/>
          <w:szCs w:val="21"/>
          <w:highlight w:val="none"/>
        </w:rPr>
        <w:t>则相应顺延。如预期无法</w:t>
      </w:r>
      <w:r>
        <w:rPr>
          <w:rFonts w:hint="eastAsia" w:ascii="楷体" w:hAnsi="楷体" w:eastAsia="楷体" w:cs="楷体"/>
          <w:color w:val="auto"/>
          <w:sz w:val="21"/>
          <w:szCs w:val="21"/>
          <w:highlight w:val="none"/>
          <w:lang w:val="en-US" w:eastAsia="zh-CN"/>
        </w:rPr>
        <w:t>在</w:t>
      </w:r>
      <w:r>
        <w:rPr>
          <w:rFonts w:hint="eastAsia" w:ascii="楷体" w:hAnsi="楷体" w:eastAsia="楷体" w:cs="楷体"/>
          <w:color w:val="auto"/>
          <w:sz w:val="21"/>
          <w:szCs w:val="21"/>
          <w:highlight w:val="none"/>
        </w:rPr>
        <w:t>规定的清算期内完成清算，管理人</w:t>
      </w:r>
      <w:r>
        <w:rPr>
          <w:rFonts w:hint="eastAsia" w:ascii="楷体" w:hAnsi="楷体" w:eastAsia="楷体" w:cs="楷体"/>
          <w:color w:val="auto"/>
          <w:sz w:val="21"/>
          <w:szCs w:val="21"/>
          <w:highlight w:val="none"/>
          <w:lang w:val="en-US" w:eastAsia="zh-CN"/>
        </w:rPr>
        <w:t>将</w:t>
      </w:r>
      <w:r>
        <w:rPr>
          <w:rFonts w:hint="eastAsia" w:ascii="楷体" w:hAnsi="楷体" w:eastAsia="楷体" w:cs="楷体"/>
          <w:color w:val="auto"/>
          <w:sz w:val="21"/>
          <w:szCs w:val="21"/>
          <w:highlight w:val="none"/>
        </w:rPr>
        <w:t>在原清算期结束前向投资者进行披露</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rPr>
        <w:t>理财产品终止清算后，因发生无法预期事项</w:t>
      </w:r>
      <w:r>
        <w:rPr>
          <w:rFonts w:hint="eastAsia" w:ascii="楷体" w:hAnsi="楷体" w:eastAsia="楷体" w:cs="楷体"/>
          <w:color w:val="auto"/>
          <w:sz w:val="21"/>
          <w:szCs w:val="21"/>
          <w:highlight w:val="none"/>
          <w:lang w:val="en-US" w:eastAsia="zh-CN"/>
        </w:rPr>
        <w:t>须</w:t>
      </w:r>
      <w:r>
        <w:rPr>
          <w:rFonts w:hint="eastAsia" w:ascii="楷体" w:hAnsi="楷体" w:eastAsia="楷体" w:cs="楷体"/>
          <w:color w:val="auto"/>
          <w:sz w:val="21"/>
          <w:szCs w:val="21"/>
          <w:highlight w:val="none"/>
        </w:rPr>
        <w:t>再次清算的，</w:t>
      </w:r>
      <w:r>
        <w:rPr>
          <w:rFonts w:hint="eastAsia" w:ascii="楷体" w:hAnsi="楷体" w:eastAsia="楷体" w:cs="楷体"/>
          <w:color w:val="auto"/>
          <w:sz w:val="21"/>
          <w:szCs w:val="21"/>
          <w:highlight w:val="none"/>
          <w:lang w:val="en-US" w:eastAsia="zh-CN"/>
        </w:rPr>
        <w:t>管理人将</w:t>
      </w:r>
      <w:r>
        <w:rPr>
          <w:rFonts w:hint="eastAsia" w:ascii="楷体" w:hAnsi="楷体" w:eastAsia="楷体" w:cs="楷体"/>
          <w:color w:val="auto"/>
          <w:sz w:val="21"/>
          <w:szCs w:val="21"/>
          <w:highlight w:val="none"/>
        </w:rPr>
        <w:t>在完成再次清算之日起</w:t>
      </w: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个工作日内，向投资者披露清算资金分配情况等信息。</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lang w:val="en-US" w:eastAsia="zh-CN"/>
        </w:rPr>
      </w:pPr>
      <w:r>
        <w:rPr>
          <w:rFonts w:hint="eastAsia" w:ascii="楷体" w:hAnsi="楷体" w:eastAsia="楷体" w:cs="楷体"/>
          <w:b/>
          <w:color w:val="auto"/>
          <w:sz w:val="21"/>
          <w:szCs w:val="21"/>
          <w:highlight w:val="none"/>
          <w:lang w:val="en-US" w:eastAsia="zh-CN"/>
        </w:rPr>
        <w:t>情景示例</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以下示例均为假设情况，不代表本产品实际投资业绩。</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1.情景一</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-10,000.00=</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2.情景二</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-10,000.00=-</w:t>
      </w:r>
      <w:r>
        <w:rPr>
          <w:rFonts w:ascii="楷体" w:hAnsi="楷体" w:eastAsia="楷体"/>
          <w:color w:val="auto"/>
          <w:sz w:val="21"/>
          <w:szCs w:val="21"/>
          <w:highlight w:val="none"/>
        </w:rPr>
        <w:t>2</w:t>
      </w: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w:t>
      </w:r>
      <w:r>
        <w:rPr>
          <w:rFonts w:ascii="楷体" w:hAnsi="楷体" w:eastAsia="楷体"/>
          <w:color w:val="auto"/>
          <w:sz w:val="21"/>
          <w:szCs w:val="21"/>
          <w:highlight w:val="none"/>
        </w:rPr>
        <w:t>0</w:t>
      </w: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（元）</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最不利的情形下，投资者可能损失100%本金。</w:t>
      </w:r>
    </w:p>
    <w:p>
      <w:pPr>
        <w:ind w:left="0" w:firstLine="422"/>
        <w:rPr>
          <w:highlight w:val="none"/>
        </w:rPr>
      </w:pPr>
      <w:r>
        <w:rPr>
          <w:rFonts w:hint="eastAsia" w:ascii="楷体" w:hAnsi="楷体" w:eastAsia="楷体"/>
          <w:b/>
          <w:color w:val="auto"/>
          <w:sz w:val="21"/>
          <w:szCs w:val="21"/>
          <w:highlight w:val="none"/>
          <w:u w:val="single"/>
        </w:rPr>
        <w:t>上述情况假设仅用于向投资者示例收益计算方法之用，并不代表管理人对实际投资情况的预期判断，</w:t>
      </w:r>
      <w:r>
        <w:rPr>
          <w:rFonts w:hint="eastAsia" w:ascii="楷体" w:hAnsi="楷体" w:eastAsia="楷体"/>
          <w:b/>
          <w:color w:val="auto"/>
          <w:sz w:val="21"/>
          <w:szCs w:val="21"/>
          <w:highlight w:val="none"/>
          <w:u w:val="single"/>
          <w:lang w:val="en-US" w:eastAsia="zh-CN"/>
        </w:rPr>
        <w:t>也不代表</w:t>
      </w:r>
      <w:r>
        <w:rPr>
          <w:rFonts w:hint="eastAsia" w:ascii="楷体" w:hAnsi="楷体" w:eastAsia="楷体"/>
          <w:b/>
          <w:color w:val="auto"/>
          <w:sz w:val="21"/>
          <w:szCs w:val="21"/>
          <w:highlight w:val="none"/>
          <w:u w:val="single"/>
        </w:rPr>
        <w:t>以上所有情形或某一情形一定会发生，或管理人认为发生的可能性很大。投资者获得的最终收益以产品实际运作表现及管理人实际支付为准。</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产品估值</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估值对象</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本产品所拥有的各类证券、银行存款、应收款项及其它资产及负债。</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估值目的和</w:t>
      </w:r>
      <w:r>
        <w:rPr>
          <w:rFonts w:hint="eastAsia" w:ascii="楷体" w:hAnsi="楷体" w:eastAsia="楷体" w:cs="楷体"/>
          <w:color w:val="auto"/>
          <w:sz w:val="21"/>
          <w:szCs w:val="21"/>
          <w:highlight w:val="none"/>
        </w:rPr>
        <w:t>估值</w:t>
      </w:r>
      <w:r>
        <w:rPr>
          <w:rFonts w:hint="eastAsia" w:ascii="楷体" w:hAnsi="楷体" w:eastAsia="楷体" w:cs="楷体"/>
          <w:color w:val="auto"/>
          <w:sz w:val="21"/>
          <w:szCs w:val="21"/>
          <w:highlight w:val="none"/>
          <w:lang w:val="en-US" w:eastAsia="zh-CN"/>
        </w:rPr>
        <w:t>原则</w:t>
      </w:r>
    </w:p>
    <w:p>
      <w:pPr>
        <w:numPr>
          <w:ilvl w:val="0"/>
          <w:numId w:val="0"/>
        </w:numPr>
        <w:tabs>
          <w:tab w:val="left" w:pos="728"/>
        </w:tabs>
        <w:ind w:left="0" w:firstLine="420"/>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本产品资产估值的</w:t>
      </w:r>
      <w:r>
        <w:rPr>
          <w:rFonts w:hint="eastAsia" w:ascii="楷体" w:hAnsi="楷体" w:eastAsia="楷体" w:cs="楷体"/>
          <w:color w:val="auto"/>
          <w:sz w:val="21"/>
          <w:szCs w:val="21"/>
          <w:highlight w:val="none"/>
          <w:lang w:val="en-US" w:eastAsia="zh-CN"/>
        </w:rPr>
        <w:t>目的</w:t>
      </w:r>
      <w:r>
        <w:rPr>
          <w:rFonts w:hint="eastAsia" w:ascii="楷体" w:hAnsi="楷体" w:eastAsia="楷体" w:cs="楷体"/>
          <w:color w:val="auto"/>
          <w:sz w:val="21"/>
          <w:szCs w:val="21"/>
          <w:highlight w:val="none"/>
        </w:rPr>
        <w:t>是客观、准确</w:t>
      </w:r>
      <w:r>
        <w:rPr>
          <w:rFonts w:hint="eastAsia" w:ascii="楷体" w:hAnsi="楷体" w:eastAsia="楷体" w:cs="楷体"/>
          <w:color w:val="auto"/>
          <w:sz w:val="21"/>
          <w:szCs w:val="21"/>
          <w:highlight w:val="none"/>
          <w:lang w:val="en-US" w:eastAsia="zh-CN"/>
        </w:rPr>
        <w:t>地</w:t>
      </w:r>
      <w:r>
        <w:rPr>
          <w:rFonts w:hint="eastAsia" w:ascii="楷体" w:hAnsi="楷体" w:eastAsia="楷体" w:cs="楷体"/>
          <w:color w:val="auto"/>
          <w:sz w:val="21"/>
          <w:szCs w:val="21"/>
          <w:highlight w:val="none"/>
        </w:rPr>
        <w:t>反映资产净值，确定理财产品资产净值，并为理财产品的</w:t>
      </w:r>
      <w:r>
        <w:rPr>
          <w:rFonts w:hint="eastAsia" w:ascii="楷体" w:hAnsi="楷体" w:eastAsia="楷体" w:cs="楷体"/>
          <w:color w:val="auto"/>
          <w:sz w:val="21"/>
          <w:szCs w:val="21"/>
          <w:highlight w:val="none"/>
          <w:lang w:val="en-US" w:eastAsia="zh-CN"/>
        </w:rPr>
        <w:t>申购、赎回和</w:t>
      </w:r>
      <w:r>
        <w:rPr>
          <w:rFonts w:hint="eastAsia" w:ascii="楷体" w:hAnsi="楷体" w:eastAsia="楷体" w:cs="楷体"/>
          <w:color w:val="auto"/>
          <w:sz w:val="21"/>
          <w:szCs w:val="21"/>
          <w:highlight w:val="none"/>
        </w:rPr>
        <w:t>兑付提供计价依据。</w:t>
      </w:r>
      <w:r>
        <w:rPr>
          <w:rFonts w:hint="eastAsia" w:ascii="楷体" w:hAnsi="楷体" w:eastAsia="楷体" w:cs="楷体"/>
          <w:color w:val="auto"/>
          <w:sz w:val="21"/>
          <w:szCs w:val="21"/>
          <w:highlight w:val="none"/>
          <w:lang w:val="en-US" w:eastAsia="zh-CN"/>
        </w:rPr>
        <w:t>估值中坚持公允价值计量原则。金融资产的公允价值确定方法应与理财产品的类型相匹配。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估值方法</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1.存款类资产、货币市场工具：以本金列示，逐日计提利息。</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2.货币市场基金：按公允价值进行估值，以估值截止时间点能够取得的最新每万份收益进行估值。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5.权益类资产：按公允价值进行估值，采用市价、监管认可的第三方估值机构提供的估值价格进行估值。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7.其他资产：按公允价值进行估值。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如有新增事项或变更事项，按国家法律法规及监管最新规定执行。</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估值错误的处理</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暂停估值</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产品单位净值的计算</w:t>
      </w:r>
    </w:p>
    <w:p>
      <w:pPr>
        <w:numPr>
          <w:ilvl w:val="0"/>
          <w:numId w:val="0"/>
        </w:numPr>
        <w:tabs>
          <w:tab w:val="left" w:pos="728"/>
        </w:tabs>
        <w:ind w:left="0" w:firstLine="420"/>
        <w:rPr>
          <w:rFonts w:hint="eastAsia" w:ascii="楷体" w:hAnsi="楷体" w:eastAsia="楷体" w:cs="楷体"/>
          <w:b/>
          <w:color w:val="auto"/>
          <w:sz w:val="21"/>
          <w:szCs w:val="21"/>
          <w:highlight w:val="none"/>
        </w:rPr>
      </w:pPr>
      <w:r>
        <w:rPr>
          <w:rFonts w:hint="eastAsia" w:ascii="楷体" w:hAnsi="楷体" w:eastAsia="楷体" w:cs="楷体"/>
          <w:color w:val="auto"/>
          <w:sz w:val="21"/>
          <w:szCs w:val="21"/>
          <w:highlight w:val="none"/>
          <w:lang w:val="en-US" w:eastAsia="zh-CN"/>
        </w:rPr>
        <w:t>产品单位</w:t>
      </w:r>
      <w:r>
        <w:rPr>
          <w:rFonts w:hint="eastAsia" w:ascii="楷体" w:hAnsi="楷体" w:eastAsia="楷体" w:cs="楷体"/>
          <w:color w:val="auto"/>
          <w:sz w:val="21"/>
          <w:szCs w:val="21"/>
          <w:highlight w:val="none"/>
        </w:rPr>
        <w:t>净值为提取相关费用后的理财产品份额净值，投资者按该</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净值进行申购、赎回和到期/终止时的分配。本产品单位净值精确到小数点后6位，小数点</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位后截位。</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风险提示</w:t>
      </w:r>
    </w:p>
    <w:p>
      <w:pPr>
        <w:keepNext w:val="0"/>
        <w:keepLines w:val="0"/>
        <w:pageBreakBefore w:val="0"/>
        <w:bidi w:val="0"/>
        <w:spacing w:line="240" w:lineRule="auto"/>
        <w:ind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u w:val="single"/>
        </w:rPr>
        <w:t>本理财产品为非保本浮动收益净值型理财产品，根据法律法规及监管要求的有关规定，特向投资者提示如下：与银行存款比较，本理财产品存在投资风险，投资者的本金和收益可能会因市场变动等原因而蒙受损失，投资者应充分认识投资风险，谨慎投资。本理财产品可能面临的风险主要包括</w:t>
      </w:r>
      <w:r>
        <w:rPr>
          <w:rFonts w:hint="eastAsia" w:ascii="楷体" w:hAnsi="楷体" w:eastAsia="楷体" w:cs="楷体"/>
          <w:b/>
          <w:color w:val="auto"/>
          <w:sz w:val="21"/>
          <w:szCs w:val="21"/>
          <w:highlight w:val="none"/>
          <w:u w:val="single"/>
          <w:lang w:eastAsia="zh-CN"/>
        </w:rPr>
        <w:t>但不限于</w:t>
      </w:r>
      <w:r>
        <w:rPr>
          <w:rFonts w:hint="eastAsia" w:ascii="楷体" w:hAnsi="楷体" w:eastAsia="楷体" w:cs="楷体"/>
          <w:b/>
          <w:color w:val="auto"/>
          <w:sz w:val="21"/>
          <w:szCs w:val="21"/>
          <w:highlight w:val="none"/>
          <w:u w:val="single"/>
        </w:rPr>
        <w:t>：</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sz w:val="21"/>
          <w:szCs w:val="21"/>
          <w:highlight w:val="none"/>
        </w:rPr>
      </w:pP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特定投资标的风险：</w:t>
      </w:r>
    </w:p>
    <w:p>
      <w:pPr>
        <w:keepNext w:val="0"/>
        <w:keepLines w:val="0"/>
        <w:pageBreakBefore w:val="0"/>
        <w:widowControl w:val="0"/>
        <w:numPr>
          <w:ilvl w:val="0"/>
          <w:numId w:val="0"/>
        </w:numPr>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1.非标准化债权的特殊风险：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①融资方还款履约能力可能的变化导致的信用风险。②债务人提前还款或逾期还款的风险。③保证人未履行保证义务的风险等。</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2.股票投资的特殊风险：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3.黄金、黄金主题股票、黄金ETF基金等黄金类资产的特殊风险：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影响黄金类资产的价格的主要因素包括但不限于：①黄金的供给与需求；②投资者的黄金交易行为；③外汇汇率；④全球和地区性政治经济环境的变化等。</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4.结构性存款的特殊风险：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5.债券投资的特殊风险：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略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6.资产管理计划或基金产品的特殊风险：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olor w:val="auto"/>
          <w:sz w:val="21"/>
          <w:szCs w:val="21"/>
          <w:highlight w:val="none"/>
          <w:lang w:val="en-US" w:eastAsia="zh-CN"/>
        </w:rPr>
        <w:t>本理财产品风险管理措施：管理人将本着“诚实信用、勤勉尽责”的原则管理和运用理财产品财产。管理人将密切跟踪货币市场、债券市场及其他证券市场走势，在各类资产间灵活配置，设定单类资产的配置比例，降低市场风险。同时，限制理财产品财产的投资范围和比例，严格按投资原则进行投资运作。管理人将对所投资的各类债权类资产的风险承担主体的财务状况、行业背景以及公司治理等进行密切跟踪及分析，并根据内部投资评级的要求，严格控制风险暴露；另外，管理人将基于谨慎性原则，对交易对手的资质进行严格挑选。</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信息披露</w:t>
      </w:r>
      <w:bookmarkEnd w:id="0"/>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渠道</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通过</w:t>
      </w:r>
      <w:r>
        <w:rPr>
          <w:rFonts w:hint="eastAsia" w:ascii="楷体" w:hAnsi="楷体" w:eastAsia="楷体" w:cs="楷体"/>
          <w:sz w:val="21"/>
          <w:szCs w:val="21"/>
          <w:highlight w:val="none"/>
          <w:lang w:val="en-US" w:eastAsia="zh-CN"/>
        </w:rPr>
        <w:t>中国理财网（www.chinawealth.com.cn)、</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公募理财产品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lang w:val="en-US" w:eastAsia="zh-CN"/>
        </w:rPr>
        <w:t>通过</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私募理财产品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将信息披露内容发送销售机构，由销售机构通过</w:t>
      </w:r>
      <w:r>
        <w:rPr>
          <w:rFonts w:hint="eastAsia" w:ascii="楷体" w:hAnsi="楷体" w:eastAsia="楷体" w:cs="楷体"/>
          <w:sz w:val="21"/>
          <w:szCs w:val="21"/>
          <w:highlight w:val="none"/>
          <w:lang w:val="en-US" w:eastAsia="zh-CN"/>
        </w:rPr>
        <w:t>短信及</w:t>
      </w:r>
      <w:r>
        <w:rPr>
          <w:rFonts w:hint="eastAsia" w:ascii="楷体" w:hAnsi="楷体" w:eastAsia="楷体" w:cs="楷体"/>
          <w:sz w:val="21"/>
          <w:szCs w:val="21"/>
          <w:highlight w:val="none"/>
        </w:rPr>
        <w:t>销售机构电子渠道和营业网点</w:t>
      </w:r>
      <w:r>
        <w:rPr>
          <w:rFonts w:hint="eastAsia" w:ascii="楷体" w:hAnsi="楷体" w:eastAsia="楷体" w:cs="楷体"/>
          <w:sz w:val="21"/>
          <w:szCs w:val="21"/>
          <w:highlight w:val="none"/>
          <w:lang w:val="en-US" w:eastAsia="zh-CN"/>
        </w:rPr>
        <w:t>等方式</w:t>
      </w:r>
      <w:r>
        <w:rPr>
          <w:rFonts w:hint="eastAsia" w:ascii="楷体" w:hAnsi="楷体" w:eastAsia="楷体" w:cs="楷体"/>
          <w:sz w:val="21"/>
          <w:szCs w:val="21"/>
          <w:highlight w:val="none"/>
        </w:rPr>
        <w:t>进行信息披露。</w:t>
      </w:r>
    </w:p>
    <w:p>
      <w:pPr>
        <w:numPr>
          <w:ilvl w:val="0"/>
          <w:numId w:val="0"/>
        </w:numPr>
        <w:tabs>
          <w:tab w:val="left" w:pos="728"/>
        </w:tabs>
        <w:ind w:firstLine="420"/>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eastAsia="zh-CN"/>
        </w:rPr>
        <w:t>相关信息在发布或发出之日视为通知已送达投资者并生效，</w:t>
      </w:r>
      <w:r>
        <w:rPr>
          <w:rFonts w:hint="eastAsia" w:ascii="楷体" w:hAnsi="楷体" w:eastAsia="楷体" w:cs="楷体"/>
          <w:color w:val="auto"/>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cs="楷体"/>
          <w:color w:val="auto"/>
          <w:sz w:val="21"/>
          <w:szCs w:val="21"/>
          <w:highlight w:val="none"/>
          <w:lang w:eastAsia="zh-CN"/>
        </w:rPr>
        <w:t>请</w:t>
      </w:r>
      <w:r>
        <w:rPr>
          <w:rFonts w:hint="eastAsia" w:ascii="楷体" w:hAnsi="楷体" w:eastAsia="楷体" w:cs="楷体"/>
          <w:color w:val="auto"/>
          <w:sz w:val="21"/>
          <w:szCs w:val="21"/>
          <w:highlight w:val="none"/>
          <w:lang w:val="en-US" w:eastAsia="zh-CN"/>
        </w:rPr>
        <w:t>投资者</w:t>
      </w:r>
      <w:r>
        <w:rPr>
          <w:rFonts w:hint="eastAsia" w:ascii="楷体" w:hAnsi="楷体" w:eastAsia="楷体" w:cs="楷体"/>
          <w:color w:val="auto"/>
          <w:sz w:val="21"/>
          <w:szCs w:val="21"/>
          <w:highlight w:val="none"/>
          <w:lang w:eastAsia="zh-CN"/>
        </w:rPr>
        <w:t>及时登陆苏银理财有限责任</w:t>
      </w:r>
      <w:r>
        <w:rPr>
          <w:rFonts w:hint="eastAsia" w:ascii="楷体" w:hAnsi="楷体" w:eastAsia="楷体" w:cs="楷体"/>
          <w:color w:val="auto"/>
          <w:sz w:val="21"/>
          <w:szCs w:val="21"/>
          <w:highlight w:val="none"/>
          <w:lang w:val="en-US" w:eastAsia="zh-CN"/>
        </w:rPr>
        <w:t>公司</w:t>
      </w:r>
      <w:r>
        <w:rPr>
          <w:rFonts w:hint="eastAsia" w:ascii="楷体" w:hAnsi="楷体" w:eastAsia="楷体" w:cs="楷体"/>
          <w:color w:val="auto"/>
          <w:sz w:val="21"/>
          <w:szCs w:val="21"/>
          <w:highlight w:val="none"/>
          <w:lang w:eastAsia="zh-CN"/>
        </w:rPr>
        <w:t>官方网站或者向销售机构查询获取披露信息。</w:t>
      </w:r>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内容及时间</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产品净值：</w:t>
      </w:r>
      <w:r>
        <w:rPr>
          <w:rFonts w:hint="eastAsia" w:ascii="楷体" w:hAnsi="楷体" w:eastAsia="楷体" w:cs="楷体"/>
          <w:color w:val="auto"/>
          <w:sz w:val="21"/>
          <w:szCs w:val="21"/>
          <w:highlight w:val="none"/>
          <w:lang w:val="en-US" w:eastAsia="zh-CN"/>
        </w:rPr>
        <w:t>公募封闭式产品和处于封闭期的定期开放式产品至少</w:t>
      </w:r>
      <w:r>
        <w:rPr>
          <w:rFonts w:hint="eastAsia" w:ascii="楷体" w:hAnsi="楷体" w:eastAsia="楷体" w:cs="楷体"/>
          <w:color w:val="auto"/>
          <w:sz w:val="21"/>
          <w:szCs w:val="21"/>
          <w:highlight w:val="none"/>
        </w:rPr>
        <w:t>每周向投资者披露一次产品的份额净值、份额累计净值</w:t>
      </w:r>
      <w:r>
        <w:rPr>
          <w:rFonts w:hint="eastAsia" w:ascii="楷体" w:hAnsi="楷体" w:eastAsia="楷体" w:cs="楷体"/>
          <w:color w:val="auto"/>
          <w:sz w:val="21"/>
          <w:szCs w:val="21"/>
          <w:highlight w:val="none"/>
          <w:lang w:val="en-US" w:eastAsia="zh-CN"/>
        </w:rPr>
        <w:t>和资产净值；公募开放式产品</w:t>
      </w:r>
      <w:r>
        <w:rPr>
          <w:rFonts w:hint="eastAsia" w:ascii="楷体" w:hAnsi="楷体" w:eastAsia="楷体" w:cs="楷体"/>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楷体"/>
          <w:color w:val="auto"/>
          <w:sz w:val="21"/>
          <w:szCs w:val="21"/>
          <w:highlight w:val="none"/>
          <w:lang w:val="en-US" w:eastAsia="zh-CN"/>
        </w:rPr>
        <w:t>；私募产品至少每季度向投资者披露一次产品的份额净值、份额累计净值、资产净值，以管理人实际披露为准；现金管理类产品在每个开放日披露上一开放日每万份收益和七日年化收益率。</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发行公告：管理人在产品成立后5个工作日内，披露产品成立公告，内容包括理财产品成立日期和募集规模等信息。</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定期公告：管理人在每个季度结束之日起15个工作日内</w:t>
      </w:r>
      <w:r>
        <w:rPr>
          <w:rFonts w:hint="eastAsia" w:ascii="楷体" w:hAnsi="楷体" w:eastAsia="楷体" w:cs="楷体"/>
          <w:color w:val="auto"/>
          <w:sz w:val="21"/>
          <w:szCs w:val="21"/>
          <w:highlight w:val="none"/>
          <w:lang w:val="en-US" w:eastAsia="zh-CN"/>
        </w:rPr>
        <w:t>披露产品的季度报告，每年8月31日前披露产品的半年度报告，每年4月30日前披露产品上一年度的年度报告。</w:t>
      </w:r>
      <w:r>
        <w:rPr>
          <w:rFonts w:hint="eastAsia" w:ascii="楷体" w:hAnsi="楷体" w:eastAsia="楷体" w:cs="楷体"/>
          <w:color w:val="auto"/>
          <w:sz w:val="21"/>
          <w:szCs w:val="21"/>
          <w:highlight w:val="none"/>
        </w:rPr>
        <w:t>产品成立不足90个</w:t>
      </w:r>
      <w:r>
        <w:rPr>
          <w:rFonts w:hint="eastAsia" w:ascii="楷体" w:hAnsi="楷体" w:eastAsia="楷体" w:cs="楷体"/>
          <w:color w:val="auto"/>
          <w:sz w:val="21"/>
          <w:szCs w:val="21"/>
          <w:highlight w:val="none"/>
          <w:lang w:val="en-US" w:eastAsia="zh-CN"/>
        </w:rPr>
        <w:t>自然日</w:t>
      </w:r>
      <w:r>
        <w:rPr>
          <w:rFonts w:hint="eastAsia" w:ascii="楷体" w:hAnsi="楷体" w:eastAsia="楷体" w:cs="楷体"/>
          <w:color w:val="auto"/>
          <w:sz w:val="21"/>
          <w:szCs w:val="21"/>
          <w:highlight w:val="none"/>
        </w:rPr>
        <w:t>的，管理人</w:t>
      </w:r>
      <w:r>
        <w:rPr>
          <w:rFonts w:hint="eastAsia" w:ascii="楷体" w:hAnsi="楷体" w:eastAsia="楷体" w:cs="楷体"/>
          <w:color w:val="auto"/>
          <w:sz w:val="21"/>
          <w:szCs w:val="21"/>
          <w:highlight w:val="none"/>
          <w:lang w:val="en-US" w:eastAsia="zh-CN"/>
        </w:rPr>
        <w:t>可以</w:t>
      </w:r>
      <w:r>
        <w:rPr>
          <w:rFonts w:hint="eastAsia" w:ascii="楷体" w:hAnsi="楷体" w:eastAsia="楷体" w:cs="楷体"/>
          <w:color w:val="auto"/>
          <w:sz w:val="21"/>
          <w:szCs w:val="21"/>
          <w:highlight w:val="none"/>
        </w:rPr>
        <w:t>不编制当期的季度、半年和年度报告；内容包括理财产品的存续规模、收益表现，</w:t>
      </w:r>
      <w:r>
        <w:rPr>
          <w:rFonts w:hint="eastAsia" w:ascii="楷体" w:hAnsi="楷体" w:eastAsia="楷体" w:cs="楷体"/>
          <w:color w:val="auto"/>
          <w:sz w:val="21"/>
          <w:szCs w:val="21"/>
          <w:highlight w:val="none"/>
          <w:lang w:val="en-US" w:eastAsia="zh-CN"/>
        </w:rPr>
        <w:t>产品主要投资资产情况</w:t>
      </w:r>
      <w:r>
        <w:rPr>
          <w:rFonts w:hint="eastAsia" w:ascii="楷体" w:hAnsi="楷体" w:eastAsia="楷体" w:cs="楷体"/>
          <w:color w:val="auto"/>
          <w:sz w:val="21"/>
          <w:szCs w:val="21"/>
          <w:highlight w:val="none"/>
        </w:rPr>
        <w:t>、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到期公告：</w:t>
      </w:r>
      <w:r>
        <w:rPr>
          <w:rFonts w:hint="eastAsia" w:ascii="楷体" w:hAnsi="楷体" w:eastAsia="楷体" w:cs="Calibri"/>
          <w:color w:val="auto"/>
          <w:sz w:val="21"/>
          <w:szCs w:val="21"/>
          <w:highlight w:val="none"/>
        </w:rPr>
        <w:t>管理人在产品终止后5个工作日内，披露产品到期公告，内容包括理财产品的存续期限、终止日期、收费情况和收益分配情况等信息。</w:t>
      </w:r>
    </w:p>
    <w:p>
      <w:pPr>
        <w:numPr>
          <w:ilvl w:val="0"/>
          <w:numId w:val="12"/>
        </w:numPr>
        <w:tabs>
          <w:tab w:val="left" w:pos="728"/>
        </w:tabs>
        <w:ind w:left="0" w:firstLine="420"/>
        <w:rPr>
          <w:rFonts w:hint="eastAsia" w:ascii="楷体" w:hAnsi="楷体" w:eastAsia="楷体"/>
          <w:b w:val="0"/>
          <w:bCs w:val="0"/>
          <w:sz w:val="21"/>
          <w:szCs w:val="21"/>
          <w:highlight w:val="none"/>
          <w:lang w:val="en-US" w:eastAsia="zh-CN"/>
        </w:rPr>
      </w:pPr>
      <w:r>
        <w:rPr>
          <w:rFonts w:hint="eastAsia" w:ascii="楷体" w:hAnsi="楷体" w:eastAsia="楷体" w:cs="Calibri"/>
          <w:color w:val="auto"/>
          <w:sz w:val="21"/>
          <w:szCs w:val="21"/>
          <w:highlight w:val="none"/>
        </w:rPr>
        <w:t>临时性信息：管理人将及时披露国务院银行业监督管理机构规定的其他信息。</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半年度整体报告：每半年披露从事理财业务活动的有关信息。</w:t>
      </w:r>
    </w:p>
    <w:p>
      <w:pPr>
        <w:numPr>
          <w:ilvl w:val="0"/>
          <w:numId w:val="12"/>
        </w:numPr>
        <w:tabs>
          <w:tab w:val="left" w:pos="728"/>
        </w:tabs>
        <w:ind w:left="0" w:firstLine="420"/>
        <w:rPr>
          <w:rFonts w:hint="eastAsia" w:ascii="楷体" w:hAnsi="楷体" w:eastAsia="楷体" w:cs="楷体"/>
          <w:sz w:val="21"/>
          <w:szCs w:val="21"/>
          <w:highlight w:val="none"/>
        </w:rPr>
      </w:pPr>
      <w:r>
        <w:rPr>
          <w:rFonts w:hint="eastAsia" w:ascii="楷体" w:hAnsi="楷体" w:eastAsia="楷体" w:cs="楷体"/>
          <w:color w:val="auto"/>
          <w:sz w:val="21"/>
          <w:szCs w:val="21"/>
          <w:highlight w:val="none"/>
        </w:rPr>
        <w:t>理财账单：管理人每月向投资者提供其所持有的理财产品账单，账单内容包括但不限于投资者持有的理财产品份额、认购金额、份额</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净值、份额累计净值、资产净值、收益情况、投资者理财交易账户发生的交易明细记录等信息。</w:t>
      </w:r>
    </w:p>
    <w:p>
      <w:pPr>
        <w:keepNext w:val="0"/>
        <w:keepLines w:val="0"/>
        <w:pageBreakBefore w:val="0"/>
        <w:numPr>
          <w:ilvl w:val="0"/>
          <w:numId w:val="2"/>
        </w:numPr>
        <w:tabs>
          <w:tab w:val="left" w:pos="1134"/>
        </w:tabs>
        <w:bidi w:val="0"/>
        <w:spacing w:line="240" w:lineRule="auto"/>
        <w:ind w:left="0"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其他</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追索条款</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信息安全</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苏银理财及</w:t>
      </w:r>
      <w:r>
        <w:rPr>
          <w:rFonts w:hint="eastAsia" w:ascii="楷体" w:hAnsi="楷体" w:eastAsia="楷体" w:cs="楷体"/>
          <w:color w:val="auto"/>
          <w:sz w:val="21"/>
          <w:szCs w:val="21"/>
          <w:highlight w:val="none"/>
          <w:lang w:val="en-US" w:eastAsia="zh-CN"/>
        </w:rPr>
        <w:t>销售</w:t>
      </w:r>
      <w:r>
        <w:rPr>
          <w:rFonts w:hint="eastAsia" w:ascii="楷体" w:hAnsi="楷体" w:eastAsia="楷体" w:cs="楷体"/>
          <w:color w:val="auto"/>
          <w:sz w:val="21"/>
          <w:szCs w:val="21"/>
          <w:highlight w:val="none"/>
        </w:rPr>
        <w:t>机构将据相关法律、法规严格履行投资者信息保密责任，除监管机构或司法机关等有权机构外，不得对其他第三方提供任何投资者信息。</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争议解决</w:t>
      </w:r>
    </w:p>
    <w:p>
      <w:pPr>
        <w:keepNext w:val="0"/>
        <w:keepLines w:val="0"/>
        <w:pageBreakBefore w:val="0"/>
        <w:bidi w:val="0"/>
        <w:spacing w:line="240" w:lineRule="auto"/>
        <w:ind w:firstLine="420"/>
        <w:jc w:val="left"/>
        <w:rPr>
          <w:rFonts w:hint="eastAsia" w:ascii="楷体" w:hAnsi="楷体" w:eastAsia="楷体" w:cs="楷体"/>
          <w:highlight w:val="none"/>
        </w:rPr>
      </w:pP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的订立、生效、履行、解释、修改和终止等事项均适用中华人民共和国（为本合同目的，不包括香港特别行政区、澳门特别行政区和台湾地区）法律。</w:t>
      </w:r>
      <w:r>
        <w:rPr>
          <w:rFonts w:hint="eastAsia" w:ascii="楷体" w:hAnsi="楷体" w:eastAsia="楷体" w:cs="楷体"/>
          <w:b w:val="0"/>
          <w:bCs w:val="0"/>
          <w:color w:val="auto"/>
          <w:sz w:val="21"/>
          <w:szCs w:val="21"/>
          <w:highlight w:val="none"/>
          <w:lang w:val="en-US" w:eastAsia="zh-CN"/>
        </w:rPr>
        <w:t>因本产品说明书</w:t>
      </w:r>
      <w:r>
        <w:rPr>
          <w:rFonts w:hint="eastAsia" w:ascii="楷体" w:hAnsi="楷体" w:eastAsia="楷体" w:cs="楷体"/>
          <w:b w:val="0"/>
          <w:bCs w:val="0"/>
          <w:color w:val="auto"/>
          <w:sz w:val="21"/>
          <w:szCs w:val="21"/>
          <w:highlight w:val="none"/>
        </w:rPr>
        <w:t>引起的或与</w:t>
      </w: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有关的任何争议，应当首先通过双方之间的友好协商解决；协商不成的，双方均有权提交产品管理人住所地有管辖权的人民法院诉讼解决。</w:t>
      </w: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浠垮畫">
    <w:altName w:val="方正仿宋简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before="0" w:line="320" w:lineRule="exact"/>
      <w:ind w:left="20"/>
      <w:jc w:val="both"/>
      <w:rPr>
        <w:rFonts w:ascii="楷体" w:hAnsi="楷体" w:eastAsia="楷体" w:cs="黑体"/>
        <w:b/>
        <w:spacing w:val="-2"/>
        <w:sz w:val="24"/>
        <w:szCs w:val="24"/>
      </w:rPr>
    </w:pPr>
    <w:r>
      <w:drawing>
        <wp:anchor distT="0" distB="0" distL="114300" distR="114300" simplePos="0" relativeHeight="251659264" behindDoc="0" locked="0" layoutInCell="1" allowOverlap="1">
          <wp:simplePos x="0" y="0"/>
          <wp:positionH relativeFrom="column">
            <wp:posOffset>4965065</wp:posOffset>
          </wp:positionH>
          <wp:positionV relativeFrom="paragraph">
            <wp:posOffset>-94615</wp:posOffset>
          </wp:positionV>
          <wp:extent cx="1325245" cy="424815"/>
          <wp:effectExtent l="0" t="0" r="0" b="0"/>
          <wp:wrapSquare wrapText="bothSides"/>
          <wp:docPr id="3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图片 1"/>
                  <pic:cNvPicPr>
                    <a:picLocks noChangeAspect="1"/>
                  </pic:cNvPicPr>
                </pic:nvPicPr>
                <pic:blipFill>
                  <a:blip r:embed="rId1"/>
                  <a:stretch>
                    <a:fillRect/>
                  </a:stretch>
                </pic:blipFill>
                <pic:spPr>
                  <a:xfrm>
                    <a:off x="0" y="0"/>
                    <a:ext cx="1325245" cy="424815"/>
                  </a:xfrm>
                  <a:prstGeom prst="rect">
                    <a:avLst/>
                  </a:prstGeom>
                  <a:noFill/>
                  <a:ln>
                    <a:noFill/>
                  </a:ln>
                </pic:spPr>
              </pic:pic>
            </a:graphicData>
          </a:graphic>
        </wp:anchor>
      </w:drawing>
    </w:r>
    <w:r>
      <w:rPr>
        <w:rFonts w:ascii="楷体" w:hAnsi="楷体" w:eastAsia="楷体"/>
        <w:b/>
      </w:rPr>
      <w:drawing>
        <wp:anchor distT="0" distB="0" distL="114300" distR="114300" simplePos="0" relativeHeight="251660288" behindDoc="1" locked="0" layoutInCell="0" allowOverlap="1">
          <wp:simplePos x="0" y="0"/>
          <wp:positionH relativeFrom="margin">
            <wp:posOffset>-4011295</wp:posOffset>
          </wp:positionH>
          <wp:positionV relativeFrom="margin">
            <wp:posOffset>-1028700</wp:posOffset>
          </wp:positionV>
          <wp:extent cx="14449425" cy="10958195"/>
          <wp:effectExtent l="0" t="0" r="0" b="0"/>
          <wp:wrapNone/>
          <wp:docPr id="400"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WordPictureWatermark367128483"/>
                  <pic:cNvPicPr>
                    <a:picLocks noChangeAspect="1"/>
                  </pic:cNvPicPr>
                </pic:nvPicPr>
                <pic:blipFill>
                  <a:blip r:embed="rId2"/>
                  <a:stretch>
                    <a:fillRect/>
                  </a:stretch>
                </pic:blipFill>
                <pic:spPr>
                  <a:xfrm>
                    <a:off x="0" y="0"/>
                    <a:ext cx="14449425" cy="1095819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398"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401"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5EC3C5"/>
    <w:multiLevelType w:val="multilevel"/>
    <w:tmpl w:val="825EC3C5"/>
    <w:lvl w:ilvl="0" w:tentative="0">
      <w:start w:val="1"/>
      <w:numFmt w:val="decimal"/>
      <w:suff w:val="nothing"/>
      <w:lvlText w:val="%1."/>
      <w:lvlJc w:val="left"/>
      <w:pPr>
        <w:tabs>
          <w:tab w:val="left" w:pos="0"/>
        </w:tabs>
        <w:ind w:left="0" w:firstLine="0"/>
      </w:pPr>
      <w:rPr>
        <w:rFonts w:hint="default"/>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883B3669"/>
    <w:multiLevelType w:val="multilevel"/>
    <w:tmpl w:val="883B366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9F81B9F9"/>
    <w:multiLevelType w:val="multilevel"/>
    <w:tmpl w:val="9F81B9F9"/>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A9AC3AA7"/>
    <w:multiLevelType w:val="multilevel"/>
    <w:tmpl w:val="A9AC3AA7"/>
    <w:lvl w:ilvl="0" w:tentative="0">
      <w:start w:val="1"/>
      <w:numFmt w:val="decimal"/>
      <w:suff w:val="nothing"/>
      <w:lvlText w:val="%1."/>
      <w:lvlJc w:val="left"/>
      <w:pPr>
        <w:tabs>
          <w:tab w:val="left" w:pos="420"/>
        </w:tabs>
        <w:ind w:left="420" w:hanging="420"/>
      </w:pPr>
      <w:rPr>
        <w:rFonts w:hint="default" w:eastAsia="楷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BF50FE6B"/>
    <w:multiLevelType w:val="multilevel"/>
    <w:tmpl w:val="BF50FE6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C90D1B09"/>
    <w:multiLevelType w:val="multilevel"/>
    <w:tmpl w:val="C90D1B0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E0294EC7"/>
    <w:multiLevelType w:val="multilevel"/>
    <w:tmpl w:val="E0294EC7"/>
    <w:lvl w:ilvl="0" w:tentative="0">
      <w:start w:val="1"/>
      <w:numFmt w:val="decimalEnclosedCircleChinese"/>
      <w:suff w:val="nothing"/>
      <w:lvlText w:val="%1　"/>
      <w:lvlJc w:val="left"/>
      <w:pPr>
        <w:ind w:left="0" w:firstLine="400"/>
      </w:pPr>
      <w:rPr>
        <w:rFonts w:hint="default"/>
        <w:sz w:val="20"/>
        <w:u w:val="none"/>
      </w:rPr>
    </w:lvl>
    <w:lvl w:ilvl="1" w:tentative="0">
      <w:start w:val="0"/>
      <w:numFmt w:val="bullet"/>
      <w:lvlText w:val=""/>
      <w:lvlJc w:val="left"/>
      <w:rPr>
        <w:rFonts w:hint="default"/>
        <w:u w:val="none"/>
      </w:rPr>
    </w:lvl>
    <w:lvl w:ilvl="2" w:tentative="0">
      <w:start w:val="0"/>
      <w:numFmt w:val="bullet"/>
      <w:lvlText w:val=""/>
      <w:lvlJc w:val="left"/>
      <w:rPr>
        <w:rFonts w:hint="default"/>
        <w:u w:val="none"/>
      </w:rPr>
    </w:lvl>
    <w:lvl w:ilvl="3" w:tentative="0">
      <w:start w:val="0"/>
      <w:numFmt w:val="bullet"/>
      <w:lvlText w:val=""/>
      <w:lvlJc w:val="left"/>
      <w:rPr>
        <w:rFonts w:hint="default"/>
        <w:u w:val="none"/>
      </w:rPr>
    </w:lvl>
    <w:lvl w:ilvl="4" w:tentative="0">
      <w:start w:val="0"/>
      <w:numFmt w:val="bullet"/>
      <w:lvlText w:val=""/>
      <w:lvlJc w:val="left"/>
      <w:rPr>
        <w:rFonts w:hint="default"/>
        <w:u w:val="none"/>
      </w:rPr>
    </w:lvl>
    <w:lvl w:ilvl="5" w:tentative="0">
      <w:start w:val="0"/>
      <w:numFmt w:val="bullet"/>
      <w:lvlText w:val=""/>
      <w:lvlJc w:val="left"/>
      <w:rPr>
        <w:rFonts w:hint="default"/>
        <w:u w:val="none"/>
      </w:rPr>
    </w:lvl>
    <w:lvl w:ilvl="6" w:tentative="0">
      <w:start w:val="0"/>
      <w:numFmt w:val="bullet"/>
      <w:lvlText w:val=""/>
      <w:lvlJc w:val="left"/>
      <w:rPr>
        <w:rFonts w:hint="default"/>
        <w:u w:val="none"/>
      </w:rPr>
    </w:lvl>
    <w:lvl w:ilvl="7" w:tentative="0">
      <w:start w:val="0"/>
      <w:numFmt w:val="bullet"/>
      <w:lvlText w:val=""/>
      <w:lvlJc w:val="left"/>
      <w:rPr>
        <w:rFonts w:hint="default"/>
        <w:u w:val="none"/>
      </w:rPr>
    </w:lvl>
    <w:lvl w:ilvl="8" w:tentative="0">
      <w:start w:val="0"/>
      <w:numFmt w:val="bullet"/>
      <w:lvlText w:val=""/>
      <w:lvlJc w:val="left"/>
      <w:rPr>
        <w:rFonts w:hint="default"/>
        <w:u w:val="none"/>
      </w:rPr>
    </w:lvl>
  </w:abstractNum>
  <w:abstractNum w:abstractNumId="7">
    <w:nsid w:val="F4A942FE"/>
    <w:multiLevelType w:val="multilevel"/>
    <w:tmpl w:val="F4A942F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836A6D"/>
    <w:multiLevelType w:val="multilevel"/>
    <w:tmpl w:val="01836A6D"/>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1AD50295"/>
    <w:multiLevelType w:val="multilevel"/>
    <w:tmpl w:val="1AD50295"/>
    <w:lvl w:ilvl="0" w:tentative="0">
      <w:start w:val="1"/>
      <w:numFmt w:val="chineseCountingThousand"/>
      <w:suff w:val="nothing"/>
      <w:lvlText w:val="%1、"/>
      <w:lvlJc w:val="left"/>
      <w:pPr>
        <w:ind w:left="0" w:firstLine="4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0">
    <w:nsid w:val="4A51D704"/>
    <w:multiLevelType w:val="multilevel"/>
    <w:tmpl w:val="4A51D704"/>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FCE4367"/>
    <w:multiLevelType w:val="multilevel"/>
    <w:tmpl w:val="5FCE4367"/>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10EFE5C"/>
    <w:multiLevelType w:val="multilevel"/>
    <w:tmpl w:val="610EFE5C"/>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9"/>
  </w:num>
  <w:num w:numId="3">
    <w:abstractNumId w:val="10"/>
  </w:num>
  <w:num w:numId="4">
    <w:abstractNumId w:val="3"/>
  </w:num>
  <w:num w:numId="5">
    <w:abstractNumId w:val="12"/>
  </w:num>
  <w:num w:numId="6">
    <w:abstractNumId w:val="0"/>
  </w:num>
  <w:num w:numId="7">
    <w:abstractNumId w:val="1"/>
  </w:num>
  <w:num w:numId="8">
    <w:abstractNumId w:val="8"/>
  </w:num>
  <w:num w:numId="9">
    <w:abstractNumId w:val="2"/>
  </w:num>
  <w:num w:numId="10">
    <w:abstractNumId w:val="4"/>
  </w:num>
  <w:num w:numId="11">
    <w:abstractNumId w:val="5"/>
  </w:num>
  <w:num w:numId="12">
    <w:abstractNumId w:val="7"/>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NotTrackMoves/>
  <w:documentProtection w:enforcement="0"/>
  <w:defaultTabStop w:val="420"/>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651229"/>
    <w:rsid w:val="0F4474BD"/>
    <w:rsid w:val="14A16D42"/>
    <w:rsid w:val="1B0568CC"/>
    <w:rsid w:val="24763A6D"/>
    <w:rsid w:val="2BA6776C"/>
    <w:rsid w:val="37B62A2F"/>
    <w:rsid w:val="3FF30C17"/>
    <w:rsid w:val="41832714"/>
    <w:rsid w:val="52852528"/>
    <w:rsid w:val="57106A6E"/>
    <w:rsid w:val="581F10A0"/>
    <w:rsid w:val="6C164D5D"/>
    <w:rsid w:val="7547165D"/>
    <w:rsid w:val="7BDA2AB6"/>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宋体" w:hAnsi="宋体" w:eastAsia="宋体" w:cs="宋体"/>
      <w:sz w:val="28"/>
      <w:szCs w:val="22"/>
      <w:lang w:val="en-US" w:eastAsia="zh-CN" w:bidi="ar-SA"/>
    </w:rPr>
  </w:style>
  <w:style w:type="paragraph" w:styleId="4">
    <w:name w:val="heading 1"/>
    <w:basedOn w:val="1"/>
    <w:next w:val="1"/>
    <w:link w:val="204"/>
    <w:qFormat/>
    <w:uiPriority w:val="1"/>
    <w:pPr>
      <w:spacing w:before="17"/>
      <w:ind w:left="1144"/>
      <w:jc w:val="left"/>
      <w:outlineLvl w:val="0"/>
    </w:pPr>
    <w:rPr>
      <w:rFonts w:ascii="黑体" w:eastAsia="黑体"/>
      <w:b/>
      <w:bCs/>
      <w:sz w:val="36"/>
      <w:szCs w:val="36"/>
    </w:rPr>
  </w:style>
  <w:style w:type="paragraph" w:styleId="5">
    <w:name w:val="heading 2"/>
    <w:basedOn w:val="1"/>
    <w:next w:val="1"/>
    <w:link w:val="205"/>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206"/>
    <w:qFormat/>
    <w:uiPriority w:val="1"/>
    <w:pPr>
      <w:spacing w:before="34"/>
      <w:ind w:left="120"/>
      <w:jc w:val="left"/>
      <w:outlineLvl w:val="2"/>
    </w:pPr>
    <w:rPr>
      <w:rFonts w:ascii="宋体"/>
      <w:b/>
      <w:bCs/>
      <w:sz w:val="20"/>
      <w:szCs w:val="21"/>
    </w:rPr>
  </w:style>
  <w:style w:type="paragraph" w:styleId="7">
    <w:name w:val="heading 4"/>
    <w:basedOn w:val="1"/>
    <w:next w:val="1"/>
    <w:link w:val="165"/>
    <w:unhideWhenUsed/>
    <w:qFormat/>
    <w:uiPriority w:val="9"/>
    <w:pPr>
      <w:keepNext/>
      <w:keepLines/>
      <w:spacing w:before="80" w:after="40"/>
      <w:outlineLvl w:val="3"/>
    </w:pPr>
    <w:rPr>
      <w:rFonts w:ascii="Arial" w:hAnsi="Arial" w:eastAsia="Arial" w:cs="Arial"/>
      <w:i/>
      <w:iCs/>
      <w:color w:val="2E75B6" w:themeColor="accent1" w:themeShade="BF"/>
    </w:rPr>
  </w:style>
  <w:style w:type="paragraph" w:styleId="8">
    <w:name w:val="heading 5"/>
    <w:basedOn w:val="1"/>
    <w:next w:val="1"/>
    <w:link w:val="166"/>
    <w:unhideWhenUsed/>
    <w:qFormat/>
    <w:uiPriority w:val="9"/>
    <w:pPr>
      <w:keepNext/>
      <w:keepLines/>
      <w:spacing w:before="80" w:after="40"/>
      <w:outlineLvl w:val="4"/>
    </w:pPr>
    <w:rPr>
      <w:rFonts w:ascii="Arial" w:hAnsi="Arial" w:eastAsia="Arial" w:cs="Arial"/>
      <w:color w:val="2E75B6" w:themeColor="accent1" w:themeShade="BF"/>
    </w:rPr>
  </w:style>
  <w:style w:type="paragraph" w:styleId="9">
    <w:name w:val="heading 6"/>
    <w:basedOn w:val="1"/>
    <w:next w:val="1"/>
    <w:link w:val="167"/>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10">
    <w:name w:val="heading 7"/>
    <w:basedOn w:val="1"/>
    <w:next w:val="1"/>
    <w:link w:val="168"/>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169"/>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2">
    <w:name w:val="heading 9"/>
    <w:basedOn w:val="1"/>
    <w:next w:val="1"/>
    <w:link w:val="170"/>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0">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2">
    <w:name w:val="Grid Table 4"/>
    <w:basedOn w:val="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paragraph" w:styleId="13">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4">
    <w:name w:val="annotation text"/>
    <w:basedOn w:val="1"/>
    <w:unhideWhenUsed/>
    <w:qFormat/>
    <w:uiPriority w:val="99"/>
    <w:pPr>
      <w:jc w:val="left"/>
    </w:pPr>
  </w:style>
  <w:style w:type="paragraph" w:styleId="15">
    <w:name w:val="Body Text"/>
    <w:basedOn w:val="1"/>
    <w:next w:val="1"/>
    <w:qFormat/>
    <w:uiPriority w:val="1"/>
    <w:pPr>
      <w:spacing w:before="162"/>
      <w:ind w:left="120"/>
      <w:jc w:val="left"/>
    </w:pPr>
    <w:rPr>
      <w:rFonts w:ascii="宋体"/>
      <w:sz w:val="20"/>
      <w:szCs w:val="21"/>
    </w:rPr>
  </w:style>
  <w:style w:type="paragraph" w:styleId="16">
    <w:name w:val="Date"/>
    <w:basedOn w:val="1"/>
    <w:next w:val="1"/>
    <w:unhideWhenUsed/>
    <w:qFormat/>
    <w:uiPriority w:val="99"/>
    <w:pPr>
      <w:ind w:left="100"/>
    </w:pPr>
  </w:style>
  <w:style w:type="paragraph" w:styleId="17">
    <w:name w:val="endnote text"/>
    <w:basedOn w:val="1"/>
    <w:semiHidden/>
    <w:unhideWhenUsed/>
    <w:qFormat/>
    <w:uiPriority w:val="99"/>
    <w:pPr>
      <w:spacing w:after="0" w:line="240" w:lineRule="auto"/>
    </w:pPr>
    <w:rPr>
      <w:sz w:val="20"/>
      <w:szCs w:val="20"/>
    </w:rPr>
  </w:style>
  <w:style w:type="paragraph" w:styleId="18">
    <w:name w:val="Balloon Text"/>
    <w:basedOn w:val="1"/>
    <w:unhideWhenUsed/>
    <w:qFormat/>
    <w:uiPriority w:val="99"/>
    <w:rPr>
      <w:sz w:val="18"/>
      <w:szCs w:val="18"/>
    </w:rPr>
  </w:style>
  <w:style w:type="paragraph" w:styleId="19">
    <w:name w:val="footer"/>
    <w:basedOn w:val="1"/>
    <w:unhideWhenUsed/>
    <w:qFormat/>
    <w:uiPriority w:val="99"/>
    <w:pPr>
      <w:tabs>
        <w:tab w:val="center" w:pos="4153"/>
        <w:tab w:val="right" w:pos="8306"/>
      </w:tabs>
      <w:jc w:val="left"/>
    </w:pPr>
    <w:rPr>
      <w:sz w:val="18"/>
      <w:szCs w:val="18"/>
    </w:rPr>
  </w:style>
  <w:style w:type="paragraph" w:styleId="20">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21">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2">
    <w:name w:val="footnote text"/>
    <w:basedOn w:val="1"/>
    <w:semiHidden/>
    <w:unhideWhenUsed/>
    <w:qFormat/>
    <w:uiPriority w:val="99"/>
    <w:pPr>
      <w:jc w:val="left"/>
    </w:pPr>
    <w:rPr>
      <w:sz w:val="18"/>
      <w:szCs w:val="18"/>
    </w:rPr>
  </w:style>
  <w:style w:type="paragraph" w:styleId="23">
    <w:name w:val="table of figures"/>
    <w:basedOn w:val="1"/>
    <w:next w:val="1"/>
    <w:unhideWhenUsed/>
    <w:qFormat/>
    <w:uiPriority w:val="99"/>
    <w:pPr>
      <w:spacing w:after="0" w:afterAutospacing="0"/>
    </w:pPr>
  </w:style>
  <w:style w:type="paragraph" w:styleId="2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sz w:val="24"/>
      <w:szCs w:val="24"/>
    </w:rPr>
  </w:style>
  <w:style w:type="paragraph" w:styleId="25">
    <w:name w:val="Normal (Web)"/>
    <w:basedOn w:val="1"/>
    <w:unhideWhenUsed/>
    <w:qFormat/>
    <w:uiPriority w:val="99"/>
    <w:pPr>
      <w:widowControl/>
      <w:spacing w:before="100" w:beforeAutospacing="1" w:after="100" w:afterAutospacing="1"/>
      <w:jc w:val="left"/>
    </w:pPr>
    <w:rPr>
      <w:rFonts w:ascii="宋体" w:hAnsi="宋体" w:cs="宋体"/>
      <w:sz w:val="24"/>
      <w:szCs w:val="24"/>
    </w:rPr>
  </w:style>
  <w:style w:type="paragraph" w:styleId="26">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7">
    <w:name w:val="annotation subject"/>
    <w:basedOn w:val="14"/>
    <w:next w:val="14"/>
    <w:link w:val="213"/>
    <w:unhideWhenUsed/>
    <w:qFormat/>
    <w:uiPriority w:val="99"/>
    <w:rPr>
      <w:b/>
      <w:bCs/>
    </w:rPr>
  </w:style>
  <w:style w:type="paragraph" w:styleId="28">
    <w:name w:val="Body Text First Indent"/>
    <w:qFormat/>
    <w:uiPriority w:val="0"/>
    <w:pPr>
      <w:widowControl w:val="0"/>
      <w:spacing w:line="312" w:lineRule="auto"/>
      <w:ind w:left="860" w:firstLine="420"/>
      <w:jc w:val="both"/>
    </w:pPr>
    <w:rPr>
      <w:rFonts w:hint="default" w:ascii="Times New Roman" w:hAnsi="Times New Roman" w:eastAsia="宋体" w:cs="Times New Roman"/>
      <w:sz w:val="32"/>
      <w:szCs w:val="32"/>
      <w:lang w:val="en-US" w:eastAsia="zh-CN" w:bidi="ar-SA"/>
    </w:rPr>
  </w:style>
  <w:style w:type="table" w:styleId="29">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1">
    <w:name w:val="Strong"/>
    <w:qFormat/>
    <w:uiPriority w:val="22"/>
    <w:rPr>
      <w:rFonts w:ascii="Times New Roman" w:hAnsi="Times New Roman" w:eastAsia="宋体" w:cs="Times New Roman"/>
      <w:b/>
      <w:bCs/>
    </w:rPr>
  </w:style>
  <w:style w:type="character" w:styleId="32">
    <w:name w:val="endnote reference"/>
    <w:basedOn w:val="30"/>
    <w:semiHidden/>
    <w:unhideWhenUsed/>
    <w:qFormat/>
    <w:uiPriority w:val="99"/>
    <w:rPr>
      <w:vertAlign w:val="superscript"/>
    </w:rPr>
  </w:style>
  <w:style w:type="character" w:styleId="33">
    <w:name w:val="FollowedHyperlink"/>
    <w:basedOn w:val="30"/>
    <w:semiHidden/>
    <w:unhideWhenUsed/>
    <w:qFormat/>
    <w:uiPriority w:val="99"/>
    <w:rPr>
      <w:color w:val="954F72" w:themeColor="followedHyperlink"/>
      <w:u w:val="single"/>
      <w14:textFill>
        <w14:solidFill>
          <w14:schemeClr w14:val="folHlink"/>
        </w14:solidFill>
      </w14:textFill>
    </w:rPr>
  </w:style>
  <w:style w:type="character" w:styleId="34">
    <w:name w:val="Emphasis"/>
    <w:basedOn w:val="30"/>
    <w:qFormat/>
    <w:uiPriority w:val="20"/>
    <w:rPr>
      <w:i/>
      <w:iCs/>
    </w:rPr>
  </w:style>
  <w:style w:type="character" w:styleId="35">
    <w:name w:val="Hyperlink"/>
    <w:unhideWhenUsed/>
    <w:qFormat/>
    <w:uiPriority w:val="99"/>
    <w:rPr>
      <w:rFonts w:ascii="Times New Roman" w:hAnsi="Times New Roman" w:eastAsia="宋体" w:cs="Times New Roman"/>
      <w:color w:val="0000FF"/>
      <w:u w:val="single"/>
    </w:rPr>
  </w:style>
  <w:style w:type="character" w:styleId="36">
    <w:name w:val="annotation reference"/>
    <w:unhideWhenUsed/>
    <w:qFormat/>
    <w:uiPriority w:val="99"/>
    <w:rPr>
      <w:rFonts w:ascii="Times New Roman" w:hAnsi="Times New Roman" w:eastAsia="宋体" w:cs="Times New Roman"/>
      <w:sz w:val="21"/>
      <w:szCs w:val="21"/>
    </w:rPr>
  </w:style>
  <w:style w:type="character" w:styleId="37">
    <w:name w:val="footnote reference"/>
    <w:semiHidden/>
    <w:unhideWhenUsed/>
    <w:qFormat/>
    <w:uiPriority w:val="99"/>
    <w:rPr>
      <w:rFonts w:ascii="Times New Roman" w:hAnsi="Times New Roman" w:eastAsia="宋体" w:cs="Times New Roman"/>
      <w:vertAlign w:val="superscript"/>
    </w:rPr>
  </w:style>
  <w:style w:type="table" w:customStyle="1" w:styleId="38">
    <w:name w:val="Table Grid Light"/>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9">
    <w:name w:val="Plain Table 1"/>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fill="F1F1F1"/>
      </w:tcPr>
    </w:tblStylePr>
    <w:tblStylePr w:type="band2Vert"/>
    <w:tblStylePr w:type="band1Horz">
      <w:tcPr>
        <w:shd w:val="clear" w:color="F1F1F1" w:fill="F1F1F1"/>
      </w:tcPr>
    </w:tblStylePr>
    <w:tblStylePr w:type="band2Horz"/>
    <w:tblStylePr w:type="neCell"/>
    <w:tblStylePr w:type="nwCell"/>
    <w:tblStylePr w:type="seCell"/>
    <w:tblStylePr w:type="swCell"/>
  </w:style>
  <w:style w:type="table" w:customStyle="1" w:styleId="40">
    <w:name w:val="Plain Table 2"/>
    <w:basedOn w:val="3"/>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1">
    <w:name w:val="Plain Table 3"/>
    <w:basedOn w:val="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2">
    <w:name w:val="Plain Table 4"/>
    <w:basedOn w:val="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3">
    <w:name w:val="Plain Table 5"/>
    <w:basedOn w:val="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4">
    <w:name w:val="Grid Table 1 Light"/>
    <w:basedOn w:val="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5">
    <w:name w:val="Grid Table 1 Light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6">
    <w:name w:val="Grid Table 1 Light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7">
    <w:name w:val="Grid Table 1 Light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48">
    <w:name w:val="Grid Table 1 Light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49">
    <w:name w:val="Grid Table 1 Light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50">
    <w:name w:val="Grid Table 1 Light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1">
    <w:name w:val="Grid Table 2"/>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52">
    <w:name w:val="Grid Table 2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cPr>
    </w:tblStylePr>
    <w:tblStylePr w:type="band2Vert"/>
    <w:tblStylePr w:type="band1Horz">
      <w:rPr>
        <w:rFonts w:ascii="Arial" w:hAnsi="Arial"/>
        <w:color w:val="404040"/>
        <w:sz w:val="22"/>
      </w:rPr>
      <w:tcPr>
        <w:shd w:val="clear" w:color="DDEAF6" w:fill="DDEAF6"/>
      </w:tcPr>
    </w:tblStylePr>
    <w:tblStylePr w:type="band2Horz"/>
    <w:tblStylePr w:type="neCell"/>
    <w:tblStylePr w:type="nwCell"/>
    <w:tblStylePr w:type="seCell"/>
    <w:tblStylePr w:type="swCell"/>
  </w:style>
  <w:style w:type="table" w:customStyle="1" w:styleId="53">
    <w:name w:val="Grid Table 2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54">
    <w:name w:val="Grid Table 2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55">
    <w:name w:val="Grid Table 2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56">
    <w:name w:val="Grid Table 2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57">
    <w:name w:val="Grid Table 2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58">
    <w:name w:val="Grid Table 3"/>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59">
    <w:name w:val="Grid Table 3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fill="DDEAF6"/>
      </w:tcPr>
    </w:tblStylePr>
    <w:tblStylePr w:type="band2Vert"/>
    <w:tblStylePr w:type="band1Horz">
      <w:rPr>
        <w:rFonts w:ascii="Arial" w:hAnsi="Arial"/>
        <w:color w:val="404040"/>
        <w:sz w:val="22"/>
      </w:rPr>
      <w:tcPr>
        <w:shd w:val="clear" w:color="DDEAF6" w:fill="DDEAF6"/>
      </w:tcPr>
    </w:tblStylePr>
    <w:tblStylePr w:type="band2Horz"/>
    <w:tblStylePr w:type="neCell"/>
    <w:tblStylePr w:type="nwCell"/>
    <w:tblStylePr w:type="seCell"/>
    <w:tblStylePr w:type="swCell"/>
  </w:style>
  <w:style w:type="table" w:customStyle="1" w:styleId="60">
    <w:name w:val="Grid Table 3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61">
    <w:name w:val="Grid Table 3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62">
    <w:name w:val="Grid Table 3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63">
    <w:name w:val="Grid Table 3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64">
    <w:name w:val="Grid Table 3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65">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fill="68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fill="DEEBF6"/>
      </w:tcPr>
    </w:tblStylePr>
    <w:tblStylePr w:type="band2Vert"/>
    <w:tblStylePr w:type="band1Horz">
      <w:rPr>
        <w:rFonts w:ascii="Arial" w:hAnsi="Arial"/>
        <w:color w:val="404040"/>
        <w:sz w:val="22"/>
      </w:rPr>
      <w:tcPr>
        <w:shd w:val="clear" w:color="DEEBF6" w:fill="DEEBF6"/>
      </w:tcPr>
    </w:tblStylePr>
    <w:tblStylePr w:type="band2Horz"/>
    <w:tblStylePr w:type="neCell"/>
    <w:tblStylePr w:type="nwCell"/>
    <w:tblStylePr w:type="seCell"/>
    <w:tblStylePr w:type="swCell"/>
  </w:style>
  <w:style w:type="table" w:customStyle="1" w:styleId="66">
    <w:name w:val="Grid Table 4 - Accent 2"/>
    <w:basedOn w:val="3"/>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67">
    <w:name w:val="Grid Table 4 - Accent 3"/>
    <w:basedOn w:val="3"/>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68">
    <w:name w:val="Grid Table 4 - Accent 4"/>
    <w:basedOn w:val="3"/>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fill="FFD864"/>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69">
    <w:name w:val="Grid Table 4 - Accent 5"/>
    <w:basedOn w:val="3"/>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70">
    <w:name w:val="Grid Table 4 - Accent 6"/>
    <w:basedOn w:val="3"/>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71">
    <w:name w:val="Grid Table 5 Dark"/>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themeColor="light1"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98989" w:fill="898989"/>
      </w:tcPr>
    </w:tblStylePr>
    <w:tblStylePr w:type="band2Vert"/>
    <w:tblStylePr w:type="band1Horz">
      <w:tcPr>
        <w:shd w:val="clear" w:color="898989" w:fill="898989"/>
      </w:tcPr>
    </w:tblStylePr>
    <w:tblStylePr w:type="band2Horz"/>
    <w:tblStylePr w:type="neCell"/>
    <w:tblStylePr w:type="nwCell"/>
    <w:tblStylePr w:type="seCell"/>
    <w:tblStylePr w:type="swCell"/>
  </w:style>
  <w:style w:type="table" w:customStyle="1" w:styleId="72">
    <w:name w:val="Grid Table 5 Dark- Accent 1"/>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fill="5B9BD5"/>
      </w:tcPr>
    </w:tblStylePr>
    <w:tblStylePr w:type="lastRow">
      <w:rPr>
        <w:rFonts w:ascii="Arial" w:hAnsi="Arial"/>
        <w:b/>
        <w:color w:val="FFFFFF"/>
        <w:sz w:val="22"/>
      </w:rPr>
      <w:tcPr>
        <w:tcBorders>
          <w:top w:val="single" w:color="FFFFFF" w:themeColor="light1" w:sz="4" w:space="0"/>
        </w:tcBorders>
        <w:shd w:val="clear" w:color="5B9BD5" w:fill="5B9BD5"/>
      </w:tcPr>
    </w:tblStylePr>
    <w:tblStylePr w:type="firstCol">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band1Vert">
      <w:tcPr>
        <w:shd w:val="clear" w:color="B3D1EB" w:fill="B3D1EB"/>
      </w:tcPr>
    </w:tblStylePr>
    <w:tblStylePr w:type="band2Vert"/>
    <w:tblStylePr w:type="band1Horz">
      <w:tcPr>
        <w:shd w:val="clear" w:color="B3D1EB" w:fill="B3D1EB"/>
      </w:tcPr>
    </w:tblStylePr>
    <w:tblStylePr w:type="band2Horz"/>
    <w:tblStylePr w:type="neCell"/>
    <w:tblStylePr w:type="nwCell"/>
    <w:tblStylePr w:type="seCell"/>
    <w:tblStylePr w:type="swCell"/>
  </w:style>
  <w:style w:type="table" w:customStyle="1" w:styleId="73">
    <w:name w:val="Grid Table 5 Dark - Accent 2"/>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fill="ED7D31"/>
      </w:tcPr>
    </w:tblStylePr>
    <w:tblStylePr w:type="lastRow">
      <w:rPr>
        <w:rFonts w:ascii="Arial" w:hAnsi="Arial"/>
        <w:b/>
        <w:color w:val="FFFFFF"/>
        <w:sz w:val="22"/>
      </w:rPr>
      <w:tcPr>
        <w:tcBorders>
          <w:top w:val="single" w:color="FFFFFF" w:themeColor="light1" w:sz="4" w:space="0"/>
        </w:tcBorders>
        <w:shd w:val="clear" w:color="ED7D31" w:fill="ED7D31"/>
      </w:tcPr>
    </w:tblStylePr>
    <w:tblStylePr w:type="firstCol">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band1Vert">
      <w:tcPr>
        <w:shd w:val="clear" w:color="F6C3A0" w:fill="F6C3A0"/>
      </w:tcPr>
    </w:tblStylePr>
    <w:tblStylePr w:type="band2Vert"/>
    <w:tblStylePr w:type="band1Horz">
      <w:tcPr>
        <w:shd w:val="clear" w:color="F6C3A0" w:fill="F6C3A0"/>
      </w:tcPr>
    </w:tblStylePr>
    <w:tblStylePr w:type="band2Horz"/>
    <w:tblStylePr w:type="neCell"/>
    <w:tblStylePr w:type="nwCell"/>
    <w:tblStylePr w:type="seCell"/>
    <w:tblStylePr w:type="swCell"/>
  </w:style>
  <w:style w:type="table" w:customStyle="1" w:styleId="74">
    <w:name w:val="Grid Table 5 Dark - Accent 3"/>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fill="A5A5A5"/>
      </w:tcPr>
    </w:tblStylePr>
    <w:tblStylePr w:type="lastRow">
      <w:rPr>
        <w:rFonts w:ascii="Arial" w:hAnsi="Arial"/>
        <w:b/>
        <w:color w:val="FFFFFF"/>
        <w:sz w:val="22"/>
      </w:rPr>
      <w:tcPr>
        <w:tcBorders>
          <w:top w:val="single" w:color="FFFFFF" w:themeColor="light1" w:sz="4" w:space="0"/>
        </w:tcBorders>
        <w:shd w:val="clear" w:color="A5A5A5" w:fill="A5A5A5"/>
      </w:tcPr>
    </w:tblStylePr>
    <w:tblStylePr w:type="firstCol">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band1Vert">
      <w:tcPr>
        <w:shd w:val="clear" w:color="D5D5D5" w:fill="D5D5D5"/>
      </w:tcPr>
    </w:tblStylePr>
    <w:tblStylePr w:type="band2Vert"/>
    <w:tblStylePr w:type="band1Horz">
      <w:tcPr>
        <w:shd w:val="clear" w:color="D5D5D5" w:fill="D5D5D5"/>
      </w:tcPr>
    </w:tblStylePr>
    <w:tblStylePr w:type="band2Horz"/>
    <w:tblStylePr w:type="neCell"/>
    <w:tblStylePr w:type="nwCell"/>
    <w:tblStylePr w:type="seCell"/>
    <w:tblStylePr w:type="swCell"/>
  </w:style>
  <w:style w:type="table" w:customStyle="1" w:styleId="75">
    <w:name w:val="Grid Table 5 Dark- Accent 4"/>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fill="FFC000"/>
      </w:tcPr>
    </w:tblStylePr>
    <w:tblStylePr w:type="lastRow">
      <w:rPr>
        <w:rFonts w:ascii="Arial" w:hAnsi="Arial"/>
        <w:b/>
        <w:color w:val="FFFFFF"/>
        <w:sz w:val="22"/>
      </w:rPr>
      <w:tcPr>
        <w:tcBorders>
          <w:top w:val="single" w:color="FFFFFF" w:themeColor="light1" w:sz="4" w:space="0"/>
        </w:tcBorders>
        <w:shd w:val="clear" w:color="FFC000" w:fill="FFC000"/>
      </w:tcPr>
    </w:tblStylePr>
    <w:tblStylePr w:type="firstCol">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band1Vert">
      <w:tcPr>
        <w:shd w:val="clear" w:color="FEE289" w:fill="FEE289"/>
      </w:tcPr>
    </w:tblStylePr>
    <w:tblStylePr w:type="band2Vert"/>
    <w:tblStylePr w:type="band1Horz">
      <w:tcPr>
        <w:shd w:val="clear" w:color="FEE289" w:fill="FEE289"/>
      </w:tcPr>
    </w:tblStylePr>
    <w:tblStylePr w:type="band2Horz"/>
    <w:tblStylePr w:type="neCell"/>
    <w:tblStylePr w:type="nwCell"/>
    <w:tblStylePr w:type="seCell"/>
    <w:tblStylePr w:type="swCell"/>
  </w:style>
  <w:style w:type="table" w:customStyle="1" w:styleId="76">
    <w:name w:val="Grid Table 5 Dark - Accent 5"/>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fill="4472C4"/>
      </w:tcPr>
    </w:tblStylePr>
    <w:tblStylePr w:type="lastRow">
      <w:rPr>
        <w:rFonts w:ascii="Arial" w:hAnsi="Arial"/>
        <w:b/>
        <w:color w:val="FFFFFF"/>
        <w:sz w:val="22"/>
      </w:rPr>
      <w:tcPr>
        <w:tcBorders>
          <w:top w:val="single" w:color="FFFFFF" w:themeColor="light1" w:sz="4" w:space="0"/>
        </w:tcBorders>
        <w:shd w:val="clear" w:color="4472C4" w:fill="4472C4"/>
      </w:tcPr>
    </w:tblStylePr>
    <w:tblStylePr w:type="firstCol">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band1Vert">
      <w:tcPr>
        <w:shd w:val="clear" w:color="A9BEE3" w:fill="A9BEE3"/>
      </w:tcPr>
    </w:tblStylePr>
    <w:tblStylePr w:type="band2Vert"/>
    <w:tblStylePr w:type="band1Horz">
      <w:tcPr>
        <w:shd w:val="clear" w:color="A9BEE3" w:fill="A9BEE3"/>
      </w:tcPr>
    </w:tblStylePr>
    <w:tblStylePr w:type="band2Horz"/>
    <w:tblStylePr w:type="neCell"/>
    <w:tblStylePr w:type="nwCell"/>
    <w:tblStylePr w:type="seCell"/>
    <w:tblStylePr w:type="swCell"/>
  </w:style>
  <w:style w:type="table" w:customStyle="1" w:styleId="77">
    <w:name w:val="Grid Table 5 Dark - Accent 6"/>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fill="70AD47"/>
      </w:tcPr>
    </w:tblStylePr>
    <w:tblStylePr w:type="lastRow">
      <w:rPr>
        <w:rFonts w:ascii="Arial" w:hAnsi="Arial"/>
        <w:b/>
        <w:color w:val="FFFFFF"/>
        <w:sz w:val="22"/>
      </w:rPr>
      <w:tcPr>
        <w:tcBorders>
          <w:top w:val="single" w:color="FFFFFF" w:themeColor="light1" w:sz="4" w:space="0"/>
        </w:tcBorders>
        <w:shd w:val="clear" w:color="70AD47" w:fill="70AD47"/>
      </w:tcPr>
    </w:tblStylePr>
    <w:tblStylePr w:type="firstCol">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band1Vert">
      <w:tcPr>
        <w:shd w:val="clear" w:color="BCDBA8" w:fill="BCDBA8"/>
      </w:tcPr>
    </w:tblStylePr>
    <w:tblStylePr w:type="band2Vert"/>
    <w:tblStylePr w:type="band1Horz">
      <w:tcPr>
        <w:shd w:val="clear" w:color="BCDBA8" w:fill="BCDBA8"/>
      </w:tcPr>
    </w:tblStylePr>
    <w:tblStylePr w:type="band2Horz"/>
    <w:tblStylePr w:type="neCell"/>
    <w:tblStylePr w:type="nwCell"/>
    <w:tblStylePr w:type="seCell"/>
    <w:tblStylePr w:type="swCell"/>
  </w:style>
  <w:style w:type="table" w:customStyle="1" w:styleId="78">
    <w:name w:val="Grid Table 6 Colorful"/>
    <w:basedOn w:val="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fill="CACACA"/>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1"/>
    <w:basedOn w:val="3"/>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fill="DDEA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fill="DDEA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0">
    <w:name w:val="Grid Table 6 Colorful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fill="FBE5D6"/>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1">
    <w:name w:val="Grid Table 6 Colorful - Accent 3"/>
    <w:basedOn w:val="3"/>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fill="ECECEC"/>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2">
    <w:name w:val="Grid Table 6 Colorful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fill="FEF2CA"/>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3">
    <w:name w:val="Grid Table 6 Colorful - Accent 5"/>
    <w:basedOn w:val="3"/>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fill="D8E2F2"/>
      </w:tcPr>
    </w:tblStylePr>
    <w:tblStylePr w:type="band2Vert"/>
    <w:tblStylePr w:type="band1Horz">
      <w:rPr>
        <w:rFonts w:ascii="Arial" w:hAnsi="Arial"/>
        <w:color w:val="254174" w:themeColor="accent5" w:themeShade="94"/>
        <w:sz w:val="22"/>
      </w:rPr>
      <w:tcPr>
        <w:shd w:val="clear" w:color="D8E2F2" w:fill="D8E2F2"/>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4">
    <w:name w:val="Grid Table 6 Colorful - Accent 6"/>
    <w:basedOn w:val="3"/>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fill="E1EFD8"/>
      </w:tcPr>
    </w:tblStylePr>
    <w:tblStylePr w:type="band2Vert"/>
    <w:tblStylePr w:type="band1Horz">
      <w:rPr>
        <w:rFonts w:ascii="Arial" w:hAnsi="Arial"/>
        <w:color w:val="254174" w:themeColor="accent5" w:themeShade="94"/>
        <w:sz w:val="22"/>
      </w:rPr>
      <w:tcPr>
        <w:shd w:val="clear" w:color="E1EFD8" w:fill="E1EFD8"/>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5">
    <w:name w:val="Grid Table 7 Colorful"/>
    <w:basedOn w:val="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fill="F1F1F1"/>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1"/>
    <w:basedOn w:val="3"/>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fill="DDEA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fill="DDEA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7">
    <w:name w:val="Grid Table 7 Colorful - Accent 2"/>
    <w:basedOn w:val="3"/>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fill="FBE5D6"/>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8">
    <w:name w:val="Grid Table 7 Colorful - Accent 3"/>
    <w:basedOn w:val="3"/>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fill="ECECEC"/>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9">
    <w:name w:val="Grid Table 7 Colorful - Accent 4"/>
    <w:basedOn w:val="3"/>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fill="FEF2CA"/>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0">
    <w:name w:val="Grid Table 7 Colorful - Accent 5"/>
    <w:basedOn w:val="3"/>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fill="D8E2F2"/>
      </w:tcPr>
    </w:tblStylePr>
    <w:tblStylePr w:type="band2Vert"/>
    <w:tblStylePr w:type="band1Horz">
      <w:rPr>
        <w:rFonts w:ascii="Arial" w:hAnsi="Arial"/>
        <w:color w:val="254174" w:themeColor="accent5" w:themeShade="94"/>
        <w:sz w:val="22"/>
      </w:rPr>
      <w:tcPr>
        <w:shd w:val="clear" w:color="D8E2F2" w:fill="D8E2F2"/>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1">
    <w:name w:val="Grid Table 7 Colorful - Accent 6"/>
    <w:basedOn w:val="3"/>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fill="E1EFD8"/>
      </w:tcPr>
    </w:tblStylePr>
    <w:tblStylePr w:type="band2Vert"/>
    <w:tblStylePr w:type="band1Horz">
      <w:rPr>
        <w:rFonts w:ascii="Arial" w:hAnsi="Arial"/>
        <w:color w:val="416429" w:themeColor="accent6" w:themeShade="94"/>
        <w:sz w:val="22"/>
      </w:rPr>
      <w:tcPr>
        <w:shd w:val="clear" w:color="E1EFD8" w:fill="E1EFD8"/>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2">
    <w:name w:val="List Table 1 Light"/>
    <w:basedOn w:val="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fill="BEBEBE"/>
      </w:tcPr>
    </w:tblStylePr>
    <w:tblStylePr w:type="band2Vert"/>
    <w:tblStylePr w:type="band1Horz">
      <w:tcPr>
        <w:shd w:val="clear" w:color="BEBEBE" w:fill="BEBEBE"/>
      </w:tcPr>
    </w:tblStylePr>
    <w:tblStylePr w:type="band2Horz"/>
    <w:tblStylePr w:type="neCell"/>
    <w:tblStylePr w:type="nwCell"/>
    <w:tblStylePr w:type="seCell"/>
    <w:tblStylePr w:type="swCell"/>
  </w:style>
  <w:style w:type="table" w:customStyle="1" w:styleId="93">
    <w:name w:val="List Table 1 Light - Accent 1"/>
    <w:basedOn w:val="3"/>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fill="D5E5F4"/>
      </w:tcPr>
    </w:tblStylePr>
    <w:tblStylePr w:type="band2Vert"/>
    <w:tblStylePr w:type="band1Horz">
      <w:tcPr>
        <w:shd w:val="clear" w:color="D5E5F4" w:fill="D5E5F4"/>
      </w:tcPr>
    </w:tblStylePr>
    <w:tblStylePr w:type="band2Horz"/>
    <w:tblStylePr w:type="neCell"/>
    <w:tblStylePr w:type="nwCell"/>
    <w:tblStylePr w:type="seCell"/>
    <w:tblStylePr w:type="swCell"/>
  </w:style>
  <w:style w:type="table" w:customStyle="1" w:styleId="94">
    <w:name w:val="List Table 1 Light - Accent 2"/>
    <w:basedOn w:val="3"/>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fill="FADECB"/>
      </w:tcPr>
    </w:tblStylePr>
    <w:tblStylePr w:type="band2Vert"/>
    <w:tblStylePr w:type="band1Horz">
      <w:tcPr>
        <w:shd w:val="clear" w:color="FADECB" w:fill="FADECB"/>
      </w:tcPr>
    </w:tblStylePr>
    <w:tblStylePr w:type="band2Horz"/>
    <w:tblStylePr w:type="neCell"/>
    <w:tblStylePr w:type="nwCell"/>
    <w:tblStylePr w:type="seCell"/>
    <w:tblStylePr w:type="swCell"/>
  </w:style>
  <w:style w:type="table" w:customStyle="1" w:styleId="95">
    <w:name w:val="List Table 1 Light - Accent 3"/>
    <w:basedOn w:val="3"/>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fill="E8E8E8"/>
      </w:tcPr>
    </w:tblStylePr>
    <w:tblStylePr w:type="band2Vert"/>
    <w:tblStylePr w:type="band1Horz">
      <w:tcPr>
        <w:shd w:val="clear" w:color="E8E8E8" w:fill="E8E8E8"/>
      </w:tcPr>
    </w:tblStylePr>
    <w:tblStylePr w:type="band2Horz"/>
    <w:tblStylePr w:type="neCell"/>
    <w:tblStylePr w:type="nwCell"/>
    <w:tblStylePr w:type="seCell"/>
    <w:tblStylePr w:type="swCell"/>
  </w:style>
  <w:style w:type="table" w:customStyle="1" w:styleId="96">
    <w:name w:val="List Table 1 Light - Accent 4"/>
    <w:basedOn w:val="3"/>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fill="FFEFBE"/>
      </w:tcPr>
    </w:tblStylePr>
    <w:tblStylePr w:type="band2Vert"/>
    <w:tblStylePr w:type="band1Horz">
      <w:tcPr>
        <w:shd w:val="clear" w:color="FFEFBE" w:fill="FFEFBE"/>
      </w:tcPr>
    </w:tblStylePr>
    <w:tblStylePr w:type="band2Horz"/>
    <w:tblStylePr w:type="neCell"/>
    <w:tblStylePr w:type="nwCell"/>
    <w:tblStylePr w:type="seCell"/>
    <w:tblStylePr w:type="swCell"/>
  </w:style>
  <w:style w:type="table" w:customStyle="1" w:styleId="97">
    <w:name w:val="List Table 1 Light - Accent 5"/>
    <w:basedOn w:val="3"/>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fill="D0DBF0"/>
      </w:tcPr>
    </w:tblStylePr>
    <w:tblStylePr w:type="band2Vert"/>
    <w:tblStylePr w:type="band1Horz">
      <w:tcPr>
        <w:shd w:val="clear" w:color="D0DBF0" w:fill="D0DBF0"/>
      </w:tcPr>
    </w:tblStylePr>
    <w:tblStylePr w:type="band2Horz"/>
    <w:tblStylePr w:type="neCell"/>
    <w:tblStylePr w:type="nwCell"/>
    <w:tblStylePr w:type="seCell"/>
    <w:tblStylePr w:type="swCell"/>
  </w:style>
  <w:style w:type="table" w:customStyle="1" w:styleId="98">
    <w:name w:val="List Table 1 Light - Accent 6"/>
    <w:basedOn w:val="3"/>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fill="DAEBCF"/>
      </w:tcPr>
    </w:tblStylePr>
    <w:tblStylePr w:type="band2Vert"/>
    <w:tblStylePr w:type="band1Horz">
      <w:tcPr>
        <w:shd w:val="clear" w:color="DAEBCF" w:fill="DAEBCF"/>
      </w:tcPr>
    </w:tblStylePr>
    <w:tblStylePr w:type="band2Horz"/>
    <w:tblStylePr w:type="neCell"/>
    <w:tblStylePr w:type="nwCell"/>
    <w:tblStylePr w:type="seCell"/>
    <w:tblStylePr w:type="swCell"/>
  </w:style>
  <w:style w:type="table" w:customStyle="1" w:styleId="99">
    <w:name w:val="List Table 2"/>
    <w:basedOn w:val="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100">
    <w:name w:val="List Table 2 - Accent 1"/>
    <w:basedOn w:val="3"/>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fill="D5E5F4"/>
      </w:tcPr>
    </w:tblStylePr>
    <w:tblStylePr w:type="band2Vert"/>
    <w:tblStylePr w:type="band1Horz">
      <w:rPr>
        <w:rFonts w:ascii="Arial" w:hAnsi="Arial"/>
        <w:color w:val="404040"/>
        <w:sz w:val="22"/>
      </w:rPr>
      <w:tcPr>
        <w:shd w:val="clear" w:color="D5E5F4" w:fill="D5E5F4"/>
      </w:tcPr>
    </w:tblStylePr>
    <w:tblStylePr w:type="band2Horz"/>
    <w:tblStylePr w:type="neCell"/>
    <w:tblStylePr w:type="nwCell"/>
    <w:tblStylePr w:type="seCell"/>
    <w:tblStylePr w:type="swCell"/>
  </w:style>
  <w:style w:type="table" w:customStyle="1" w:styleId="101">
    <w:name w:val="List Table 2 - Accent 2"/>
    <w:basedOn w:val="3"/>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fill="FADECB"/>
      </w:tcPr>
    </w:tblStylePr>
    <w:tblStylePr w:type="band2Vert"/>
    <w:tblStylePr w:type="band1Horz">
      <w:rPr>
        <w:rFonts w:ascii="Arial" w:hAnsi="Arial"/>
        <w:color w:val="404040"/>
        <w:sz w:val="22"/>
      </w:rPr>
      <w:tcPr>
        <w:shd w:val="clear" w:color="FADECB" w:fill="FADECB"/>
      </w:tcPr>
    </w:tblStylePr>
    <w:tblStylePr w:type="band2Horz"/>
    <w:tblStylePr w:type="neCell"/>
    <w:tblStylePr w:type="nwCell"/>
    <w:tblStylePr w:type="seCell"/>
    <w:tblStylePr w:type="swCell"/>
  </w:style>
  <w:style w:type="table" w:customStyle="1" w:styleId="102">
    <w:name w:val="List Table 2 - Accent 3"/>
    <w:basedOn w:val="3"/>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fill="E8E8E8"/>
      </w:tcPr>
    </w:tblStylePr>
    <w:tblStylePr w:type="band2Vert"/>
    <w:tblStylePr w:type="band1Horz">
      <w:rPr>
        <w:rFonts w:ascii="Arial" w:hAnsi="Arial"/>
        <w:color w:val="404040"/>
        <w:sz w:val="22"/>
      </w:rPr>
      <w:tcPr>
        <w:shd w:val="clear" w:color="E8E8E8" w:fill="E8E8E8"/>
      </w:tcPr>
    </w:tblStylePr>
    <w:tblStylePr w:type="band2Horz"/>
    <w:tblStylePr w:type="neCell"/>
    <w:tblStylePr w:type="nwCell"/>
    <w:tblStylePr w:type="seCell"/>
    <w:tblStylePr w:type="swCell"/>
  </w:style>
  <w:style w:type="table" w:customStyle="1" w:styleId="103">
    <w:name w:val="List Table 2 - Accent 4"/>
    <w:basedOn w:val="3"/>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fill="FFEFBE"/>
      </w:tcPr>
    </w:tblStylePr>
    <w:tblStylePr w:type="band2Vert"/>
    <w:tblStylePr w:type="band1Horz">
      <w:rPr>
        <w:rFonts w:ascii="Arial" w:hAnsi="Arial"/>
        <w:color w:val="404040"/>
        <w:sz w:val="22"/>
      </w:rPr>
      <w:tcPr>
        <w:shd w:val="clear" w:color="FFEFBE" w:fill="FFEFBE"/>
      </w:tcPr>
    </w:tblStylePr>
    <w:tblStylePr w:type="band2Horz"/>
    <w:tblStylePr w:type="neCell"/>
    <w:tblStylePr w:type="nwCell"/>
    <w:tblStylePr w:type="seCell"/>
    <w:tblStylePr w:type="swCell"/>
  </w:style>
  <w:style w:type="table" w:customStyle="1" w:styleId="104">
    <w:name w:val="List Table 2 - Accent 5"/>
    <w:basedOn w:val="3"/>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fill="D0DBF0"/>
      </w:tcPr>
    </w:tblStylePr>
    <w:tblStylePr w:type="band2Vert"/>
    <w:tblStylePr w:type="band1Horz">
      <w:rPr>
        <w:rFonts w:ascii="Arial" w:hAnsi="Arial"/>
        <w:color w:val="404040"/>
        <w:sz w:val="22"/>
      </w:rPr>
      <w:tcPr>
        <w:shd w:val="clear" w:color="D0DBF0" w:fill="D0DBF0"/>
      </w:tcPr>
    </w:tblStylePr>
    <w:tblStylePr w:type="band2Horz"/>
    <w:tblStylePr w:type="neCell"/>
    <w:tblStylePr w:type="nwCell"/>
    <w:tblStylePr w:type="seCell"/>
    <w:tblStylePr w:type="swCell"/>
  </w:style>
  <w:style w:type="table" w:customStyle="1" w:styleId="105">
    <w:name w:val="List Table 2 - Accent 6"/>
    <w:basedOn w:val="3"/>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fill="DAEBCF"/>
      </w:tcPr>
    </w:tblStylePr>
    <w:tblStylePr w:type="band2Vert"/>
    <w:tblStylePr w:type="band1Horz">
      <w:rPr>
        <w:rFonts w:ascii="Arial" w:hAnsi="Arial"/>
        <w:color w:val="404040"/>
        <w:sz w:val="22"/>
      </w:rPr>
      <w:tcPr>
        <w:shd w:val="clear" w:color="DAEBCF" w:fill="DAEBCF"/>
      </w:tcPr>
    </w:tblStylePr>
    <w:tblStylePr w:type="band2Horz"/>
    <w:tblStylePr w:type="neCell"/>
    <w:tblStylePr w:type="nwCell"/>
    <w:tblStylePr w:type="seCell"/>
    <w:tblStylePr w:type="swCell"/>
  </w:style>
  <w:style w:type="table" w:customStyle="1" w:styleId="106">
    <w:name w:val="List Table 3"/>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7">
    <w:name w:val="List Table 3 - Accent 1"/>
    <w:basedOn w:val="3"/>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08">
    <w:name w:val="List Table 3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09">
    <w:name w:val="List Table 3 - Accent 3"/>
    <w:basedOn w:val="3"/>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10">
    <w:name w:val="List Table 3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fill="FFD86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1">
    <w:name w:val="List Table 3 - Accent 5"/>
    <w:basedOn w:val="3"/>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fill="8E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2">
    <w:name w:val="List Table 3 - Accent 6"/>
    <w:basedOn w:val="3"/>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3">
    <w:name w:val="List Table 4"/>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114">
    <w:name w:val="List Table 4 - Accent 1"/>
    <w:basedOn w:val="3"/>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fill="D5E5F4"/>
      </w:tcPr>
    </w:tblStylePr>
    <w:tblStylePr w:type="band2Vert"/>
    <w:tblStylePr w:type="band1Horz">
      <w:rPr>
        <w:rFonts w:ascii="Arial" w:hAnsi="Arial"/>
        <w:color w:val="404040"/>
        <w:sz w:val="22"/>
      </w:rPr>
      <w:tcPr>
        <w:shd w:val="clear" w:color="D5E5F4" w:fill="D5E5F4"/>
      </w:tcPr>
    </w:tblStylePr>
    <w:tblStylePr w:type="band2Horz"/>
    <w:tblStylePr w:type="neCell"/>
    <w:tblStylePr w:type="nwCell"/>
    <w:tblStylePr w:type="seCell"/>
    <w:tblStylePr w:type="swCell"/>
  </w:style>
  <w:style w:type="table" w:customStyle="1" w:styleId="115">
    <w:name w:val="List Table 4 - Accent 2"/>
    <w:basedOn w:val="3"/>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fill="FADECB"/>
      </w:tcPr>
    </w:tblStylePr>
    <w:tblStylePr w:type="band2Vert"/>
    <w:tblStylePr w:type="band1Horz">
      <w:rPr>
        <w:rFonts w:ascii="Arial" w:hAnsi="Arial"/>
        <w:color w:val="404040"/>
        <w:sz w:val="22"/>
      </w:rPr>
      <w:tcPr>
        <w:shd w:val="clear" w:color="FADECB" w:fill="FADECB"/>
      </w:tcPr>
    </w:tblStylePr>
    <w:tblStylePr w:type="band2Horz"/>
    <w:tblStylePr w:type="neCell"/>
    <w:tblStylePr w:type="nwCell"/>
    <w:tblStylePr w:type="seCell"/>
    <w:tblStylePr w:type="swCell"/>
  </w:style>
  <w:style w:type="table" w:customStyle="1" w:styleId="116">
    <w:name w:val="List Table 4 - Accent 3"/>
    <w:basedOn w:val="3"/>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fill="E8E8E8"/>
      </w:tcPr>
    </w:tblStylePr>
    <w:tblStylePr w:type="band2Vert"/>
    <w:tblStylePr w:type="band1Horz">
      <w:rPr>
        <w:rFonts w:ascii="Arial" w:hAnsi="Arial"/>
        <w:color w:val="404040"/>
        <w:sz w:val="22"/>
      </w:rPr>
      <w:tcPr>
        <w:shd w:val="clear" w:color="E8E8E8" w:fill="E8E8E8"/>
      </w:tcPr>
    </w:tblStylePr>
    <w:tblStylePr w:type="band2Horz"/>
    <w:tblStylePr w:type="neCell"/>
    <w:tblStylePr w:type="nwCell"/>
    <w:tblStylePr w:type="seCell"/>
    <w:tblStylePr w:type="swCell"/>
  </w:style>
  <w:style w:type="table" w:customStyle="1" w:styleId="117">
    <w:name w:val="List Table 4 - Accent 4"/>
    <w:basedOn w:val="3"/>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fill="FFEFBE"/>
      </w:tcPr>
    </w:tblStylePr>
    <w:tblStylePr w:type="band2Vert"/>
    <w:tblStylePr w:type="band1Horz">
      <w:rPr>
        <w:rFonts w:ascii="Arial" w:hAnsi="Arial"/>
        <w:color w:val="404040"/>
        <w:sz w:val="22"/>
      </w:rPr>
      <w:tcPr>
        <w:shd w:val="clear" w:color="FFEFBE" w:fill="FFEFBE"/>
      </w:tcPr>
    </w:tblStylePr>
    <w:tblStylePr w:type="band2Horz"/>
    <w:tblStylePr w:type="neCell"/>
    <w:tblStylePr w:type="nwCell"/>
    <w:tblStylePr w:type="seCell"/>
    <w:tblStylePr w:type="swCell"/>
  </w:style>
  <w:style w:type="table" w:customStyle="1" w:styleId="118">
    <w:name w:val="List Table 4 - Accent 5"/>
    <w:basedOn w:val="3"/>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fill="D0DBF0"/>
      </w:tcPr>
    </w:tblStylePr>
    <w:tblStylePr w:type="band2Vert"/>
    <w:tblStylePr w:type="band1Horz">
      <w:rPr>
        <w:rFonts w:ascii="Arial" w:hAnsi="Arial"/>
        <w:color w:val="404040"/>
        <w:sz w:val="22"/>
      </w:rPr>
      <w:tcPr>
        <w:shd w:val="clear" w:color="D0DBF0" w:fill="D0DBF0"/>
      </w:tcPr>
    </w:tblStylePr>
    <w:tblStylePr w:type="band2Horz"/>
    <w:tblStylePr w:type="neCell"/>
    <w:tblStylePr w:type="nwCell"/>
    <w:tblStylePr w:type="seCell"/>
    <w:tblStylePr w:type="swCell"/>
  </w:style>
  <w:style w:type="table" w:customStyle="1" w:styleId="119">
    <w:name w:val="List Table 4 - Accent 6"/>
    <w:basedOn w:val="3"/>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fill="DAEBCF"/>
      </w:tcPr>
    </w:tblStylePr>
    <w:tblStylePr w:type="band2Vert"/>
    <w:tblStylePr w:type="band1Horz">
      <w:rPr>
        <w:rFonts w:ascii="Arial" w:hAnsi="Arial"/>
        <w:color w:val="404040"/>
        <w:sz w:val="22"/>
      </w:rPr>
      <w:tcPr>
        <w:shd w:val="clear" w:color="DAEBCF" w:fill="DAEBCF"/>
      </w:tcPr>
    </w:tblStylePr>
    <w:tblStylePr w:type="band2Horz"/>
    <w:tblStylePr w:type="neCell"/>
    <w:tblStylePr w:type="nwCell"/>
    <w:tblStylePr w:type="seCell"/>
    <w:tblStylePr w:type="swCell"/>
  </w:style>
  <w:style w:type="table" w:customStyle="1" w:styleId="120">
    <w:name w:val="List Table 5 Dark"/>
    <w:basedOn w:val="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fill="7E7E7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fill="7E7E7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fill="7E7E7E"/>
      </w:tcPr>
    </w:tblStylePr>
    <w:tblStylePr w:type="band2Horz">
      <w:tcPr>
        <w:tcBorders>
          <w:top w:val="single" w:color="FFFFFF" w:themeColor="light1" w:sz="4" w:space="0"/>
          <w:bottom w:val="single" w:color="FFFFFF" w:themeColor="light1" w:sz="4" w:space="0"/>
        </w:tcBorders>
        <w:shd w:val="clear" w:color="7E7E7E" w:fill="7E7E7E"/>
      </w:tcPr>
    </w:tblStylePr>
    <w:tblStylePr w:type="neCell"/>
    <w:tblStylePr w:type="nwCell"/>
    <w:tblStylePr w:type="seCell"/>
    <w:tblStylePr w:type="swCell"/>
  </w:style>
  <w:style w:type="table" w:customStyle="1" w:styleId="121">
    <w:name w:val="List Table 5 Dark - Accent 1"/>
    <w:basedOn w:val="3"/>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fill="5B9BD5"/>
      </w:tcPr>
    </w:tblStylePr>
    <w:tblStylePr w:type="band2Horz">
      <w:tcPr>
        <w:tcBorders>
          <w:top w:val="single" w:color="FFFFFF" w:themeColor="light1" w:sz="4" w:space="0"/>
          <w:bottom w:val="single" w:color="FFFFFF" w:themeColor="light1" w:sz="4" w:space="0"/>
        </w:tcBorders>
        <w:shd w:val="clear" w:color="5B9BD5" w:fill="5B9BD5"/>
      </w:tcPr>
    </w:tblStylePr>
    <w:tblStylePr w:type="neCell"/>
    <w:tblStylePr w:type="nwCell"/>
    <w:tblStylePr w:type="seCell"/>
    <w:tblStylePr w:type="swCell"/>
  </w:style>
  <w:style w:type="table" w:customStyle="1" w:styleId="122">
    <w:name w:val="List Table 5 Dark - Accent 2"/>
    <w:basedOn w:val="3"/>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fill="F4B285"/>
      </w:tcPr>
    </w:tblStylePr>
    <w:tblStylePr w:type="band2Horz">
      <w:tcPr>
        <w:tcBorders>
          <w:top w:val="single" w:color="FFFFFF" w:themeColor="light1" w:sz="4" w:space="0"/>
          <w:bottom w:val="single" w:color="FFFFFF" w:themeColor="light1" w:sz="4" w:space="0"/>
        </w:tcBorders>
        <w:shd w:val="clear" w:color="F4B285" w:fill="F4B285"/>
      </w:tcPr>
    </w:tblStylePr>
    <w:tblStylePr w:type="neCell"/>
    <w:tblStylePr w:type="nwCell"/>
    <w:tblStylePr w:type="seCell"/>
    <w:tblStylePr w:type="swCell"/>
  </w:style>
  <w:style w:type="table" w:customStyle="1" w:styleId="123">
    <w:name w:val="List Table 5 Dark - Accent 3"/>
    <w:basedOn w:val="3"/>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fill="C9C9C9"/>
      </w:tcPr>
    </w:tblStylePr>
    <w:tblStylePr w:type="band2Horz">
      <w:tcPr>
        <w:tcBorders>
          <w:top w:val="single" w:color="FFFFFF" w:themeColor="light1" w:sz="4" w:space="0"/>
          <w:bottom w:val="single" w:color="FFFFFF" w:themeColor="light1" w:sz="4" w:space="0"/>
        </w:tcBorders>
        <w:shd w:val="clear" w:color="C9C9C9" w:fill="C9C9C9"/>
      </w:tcPr>
    </w:tblStylePr>
    <w:tblStylePr w:type="neCell"/>
    <w:tblStylePr w:type="nwCell"/>
    <w:tblStylePr w:type="seCell"/>
    <w:tblStylePr w:type="swCell"/>
  </w:style>
  <w:style w:type="table" w:customStyle="1" w:styleId="124">
    <w:name w:val="List Table 5 Dark - Accent 4"/>
    <w:basedOn w:val="3"/>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fill="FFD864"/>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fill="FFD864"/>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fill="FFD864"/>
      </w:tcPr>
    </w:tblStylePr>
    <w:tblStylePr w:type="band2Horz">
      <w:tcPr>
        <w:tcBorders>
          <w:top w:val="single" w:color="FFFFFF" w:themeColor="light1" w:sz="4" w:space="0"/>
          <w:bottom w:val="single" w:color="FFFFFF" w:themeColor="light1" w:sz="4" w:space="0"/>
        </w:tcBorders>
        <w:shd w:val="clear" w:color="FFD864" w:fill="FFD864"/>
      </w:tcPr>
    </w:tblStylePr>
    <w:tblStylePr w:type="neCell"/>
    <w:tblStylePr w:type="nwCell"/>
    <w:tblStylePr w:type="seCell"/>
    <w:tblStylePr w:type="swCell"/>
  </w:style>
  <w:style w:type="table" w:customStyle="1" w:styleId="125">
    <w:name w:val="List Table 5 Dark - Accent 5"/>
    <w:basedOn w:val="3"/>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fill="8EA9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fill="8EA9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fill="8EA9DB"/>
      </w:tcPr>
    </w:tblStylePr>
    <w:tblStylePr w:type="band2Horz">
      <w:tcPr>
        <w:tcBorders>
          <w:top w:val="single" w:color="FFFFFF" w:themeColor="light1" w:sz="4" w:space="0"/>
          <w:bottom w:val="single" w:color="FFFFFF" w:themeColor="light1" w:sz="4" w:space="0"/>
        </w:tcBorders>
        <w:shd w:val="clear" w:color="8EA9DB" w:fill="8EA9DB"/>
      </w:tcPr>
    </w:tblStylePr>
    <w:tblStylePr w:type="neCell"/>
    <w:tblStylePr w:type="nwCell"/>
    <w:tblStylePr w:type="seCell"/>
    <w:tblStylePr w:type="swCell"/>
  </w:style>
  <w:style w:type="table" w:customStyle="1" w:styleId="126">
    <w:name w:val="List Table 5 Dark - Accent 6"/>
    <w:basedOn w:val="3"/>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fill="A9D08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fill="A9D08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fill="A9D08E"/>
      </w:tcPr>
    </w:tblStylePr>
    <w:tblStylePr w:type="band2Horz">
      <w:tcPr>
        <w:tcBorders>
          <w:top w:val="single" w:color="FFFFFF" w:themeColor="light1" w:sz="4" w:space="0"/>
          <w:bottom w:val="single" w:color="FFFFFF" w:themeColor="light1" w:sz="4" w:space="0"/>
        </w:tcBorders>
        <w:shd w:val="clear" w:color="A9D08E" w:fill="A9D08E"/>
      </w:tcPr>
    </w:tblStylePr>
    <w:tblStylePr w:type="neCell"/>
    <w:tblStylePr w:type="nwCell"/>
    <w:tblStylePr w:type="seCell"/>
    <w:tblStylePr w:type="swCell"/>
  </w:style>
  <w:style w:type="table" w:customStyle="1" w:styleId="127">
    <w:name w:val="List Table 6 Colorful"/>
    <w:basedOn w:val="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fill="BEBEBE"/>
      </w:tcPr>
    </w:tblStylePr>
    <w:tblStylePr w:type="band2Vert"/>
    <w:tblStylePr w:type="band1Horz">
      <w:rPr>
        <w:rFonts w:ascii="Arial" w:hAnsi="Arial"/>
        <w:color w:val="000000" w:themeColor="text1"/>
        <w:sz w:val="22"/>
        <w14:textFill>
          <w14:solidFill>
            <w14:schemeClr w14:val="tx1"/>
          </w14:solidFill>
        </w14:textFill>
      </w:rPr>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8">
    <w:name w:val="List Table 6 Colorful - Accent 1"/>
    <w:basedOn w:val="3"/>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fill="D5E5F4"/>
      </w:tcPr>
    </w:tblStylePr>
    <w:tblStylePr w:type="band2Vert"/>
    <w:tblStylePr w:type="band1Horz">
      <w:rPr>
        <w:rFonts w:ascii="Arial" w:hAnsi="Arial"/>
        <w:color w:val="245B8C" w:themeColor="accent1" w:themeShade="94"/>
        <w:sz w:val="22"/>
      </w:rPr>
      <w:tcPr>
        <w:shd w:val="clear" w:color="D5E5F4" w:fill="D5E5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29">
    <w:name w:val="List Table 6 Colorful - Accent 2"/>
    <w:basedOn w:val="3"/>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0">
    <w:name w:val="List Table 6 Colorful - Accent 3"/>
    <w:basedOn w:val="3"/>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4"/>
    <w:basedOn w:val="3"/>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fill="FFEFBE"/>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5"/>
    <w:basedOn w:val="3"/>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fill="D0DB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fill="D0DB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3">
    <w:name w:val="List Table 6 Colorful - Accent 6"/>
    <w:basedOn w:val="3"/>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fill="DAEBCF"/>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4">
    <w:name w:val="List Table 7 Colorful"/>
    <w:basedOn w:val="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fill="BEBEBE"/>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5">
    <w:name w:val="List Table 7 Colorful - Accent 1"/>
    <w:basedOn w:val="3"/>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fill="D5E5F4"/>
      </w:tcPr>
    </w:tblStylePr>
    <w:tblStylePr w:type="band2Vert"/>
    <w:tblStylePr w:type="band1Horz">
      <w:rPr>
        <w:rFonts w:ascii="Arial" w:hAnsi="Arial"/>
        <w:color w:val="245B8C" w:themeColor="accent1" w:themeShade="94"/>
        <w:sz w:val="22"/>
      </w:rPr>
      <w:tcPr>
        <w:shd w:val="clear" w:color="D5E5F4" w:fill="D5E5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6">
    <w:name w:val="List Table 7 Colorful - Accent 2"/>
    <w:basedOn w:val="3"/>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7">
    <w:name w:val="List Table 7 Colorful - Accent 3"/>
    <w:basedOn w:val="3"/>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4"/>
    <w:basedOn w:val="3"/>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fill="FFEFBE"/>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5"/>
    <w:basedOn w:val="3"/>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fill="D0DB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fill="D0DB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0">
    <w:name w:val="List Table 7 Colorful - Accent 6"/>
    <w:basedOn w:val="3"/>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fill="DAEBCF"/>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1">
    <w:name w:val="Lined - Accent"/>
    <w:basedOn w:val="3"/>
    <w:qFormat/>
    <w:uiPriority w:val="99"/>
    <w:pPr>
      <w:spacing w:after="0" w:line="240" w:lineRule="auto"/>
    </w:pPr>
    <w:rPr>
      <w:color w:val="404040"/>
    </w:r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42">
    <w:name w:val="Lined - Accent 1"/>
    <w:basedOn w:val="3"/>
    <w:qFormat/>
    <w:uiPriority w:val="99"/>
    <w:pPr>
      <w:spacing w:after="0" w:line="240" w:lineRule="auto"/>
    </w:pPr>
    <w:rPr>
      <w:color w:val="404040"/>
    </w:r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tblStylePr w:type="neCell"/>
    <w:tblStylePr w:type="nwCell"/>
    <w:tblStylePr w:type="seCell"/>
    <w:tblStylePr w:type="swCell"/>
  </w:style>
  <w:style w:type="table" w:customStyle="1" w:styleId="143">
    <w:name w:val="Lined - Accent 2"/>
    <w:basedOn w:val="3"/>
    <w:qFormat/>
    <w:uiPriority w:val="99"/>
    <w:pPr>
      <w:spacing w:after="0" w:line="240" w:lineRule="auto"/>
    </w:pPr>
    <w:rPr>
      <w:color w:val="404040"/>
    </w:r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tblStylePr w:type="neCell"/>
    <w:tblStylePr w:type="nwCell"/>
    <w:tblStylePr w:type="seCell"/>
    <w:tblStylePr w:type="swCell"/>
  </w:style>
  <w:style w:type="table" w:customStyle="1" w:styleId="144">
    <w:name w:val="Lined - Accent 3"/>
    <w:basedOn w:val="3"/>
    <w:qFormat/>
    <w:uiPriority w:val="99"/>
    <w:pPr>
      <w:spacing w:after="0" w:line="240" w:lineRule="auto"/>
    </w:pPr>
    <w:rPr>
      <w:color w:val="404040"/>
    </w:r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tblStylePr w:type="neCell"/>
    <w:tblStylePr w:type="nwCell"/>
    <w:tblStylePr w:type="seCell"/>
    <w:tblStylePr w:type="swCell"/>
  </w:style>
  <w:style w:type="table" w:customStyle="1" w:styleId="145">
    <w:name w:val="Lined - Accent 4"/>
    <w:basedOn w:val="3"/>
    <w:qFormat/>
    <w:uiPriority w:val="99"/>
    <w:pPr>
      <w:spacing w:after="0" w:line="240" w:lineRule="auto"/>
    </w:pPr>
    <w:rPr>
      <w:color w:val="404040"/>
    </w:r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tblStylePr w:type="neCell"/>
    <w:tblStylePr w:type="nwCell"/>
    <w:tblStylePr w:type="seCell"/>
    <w:tblStylePr w:type="swCell"/>
  </w:style>
  <w:style w:type="table" w:customStyle="1" w:styleId="146">
    <w:name w:val="Lined - Accent 5"/>
    <w:basedOn w:val="3"/>
    <w:qFormat/>
    <w:uiPriority w:val="99"/>
    <w:pPr>
      <w:spacing w:after="0" w:line="240" w:lineRule="auto"/>
    </w:pPr>
    <w:rPr>
      <w:color w:val="404040"/>
    </w:r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tblStylePr w:type="neCell"/>
    <w:tblStylePr w:type="nwCell"/>
    <w:tblStylePr w:type="seCell"/>
    <w:tblStylePr w:type="swCell"/>
  </w:style>
  <w:style w:type="table" w:customStyle="1" w:styleId="147">
    <w:name w:val="Lined - Accent 6"/>
    <w:basedOn w:val="3"/>
    <w:qFormat/>
    <w:uiPriority w:val="99"/>
    <w:pPr>
      <w:spacing w:after="0" w:line="240" w:lineRule="auto"/>
    </w:pPr>
    <w:rPr>
      <w:color w:val="404040"/>
    </w:r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tblStylePr w:type="neCell"/>
    <w:tblStylePr w:type="nwCell"/>
    <w:tblStylePr w:type="seCell"/>
    <w:tblStylePr w:type="swCell"/>
  </w:style>
  <w:style w:type="table" w:customStyle="1" w:styleId="148">
    <w:name w:val="Bordered &amp; Lined - Accent"/>
    <w:basedOn w:val="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49">
    <w:name w:val="Bordered &amp; Lined - Accent 1"/>
    <w:basedOn w:val="3"/>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tblStylePr w:type="neCell"/>
    <w:tblStylePr w:type="nwCell"/>
    <w:tblStylePr w:type="seCell"/>
    <w:tblStylePr w:type="swCell"/>
  </w:style>
  <w:style w:type="table" w:customStyle="1" w:styleId="150">
    <w:name w:val="Bordered &amp; Lined - Accent 2"/>
    <w:basedOn w:val="3"/>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tblStylePr w:type="neCell"/>
    <w:tblStylePr w:type="nwCell"/>
    <w:tblStylePr w:type="seCell"/>
    <w:tblStylePr w:type="swCell"/>
  </w:style>
  <w:style w:type="table" w:customStyle="1" w:styleId="151">
    <w:name w:val="Bordered &amp; Lined - Accent 3"/>
    <w:basedOn w:val="3"/>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tblStylePr w:type="neCell"/>
    <w:tblStylePr w:type="nwCell"/>
    <w:tblStylePr w:type="seCell"/>
    <w:tblStylePr w:type="swCell"/>
  </w:style>
  <w:style w:type="table" w:customStyle="1" w:styleId="152">
    <w:name w:val="Bordered &amp; Lined - Accent 4"/>
    <w:basedOn w:val="3"/>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tblStylePr w:type="neCell"/>
    <w:tblStylePr w:type="nwCell"/>
    <w:tblStylePr w:type="seCell"/>
    <w:tblStylePr w:type="swCell"/>
  </w:style>
  <w:style w:type="table" w:customStyle="1" w:styleId="153">
    <w:name w:val="Bordered &amp; Lined - Accent 5"/>
    <w:basedOn w:val="3"/>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tblStylePr w:type="neCell"/>
    <w:tblStylePr w:type="nwCell"/>
    <w:tblStylePr w:type="seCell"/>
    <w:tblStylePr w:type="swCell"/>
  </w:style>
  <w:style w:type="table" w:customStyle="1" w:styleId="154">
    <w:name w:val="Bordered &amp; Lined - Accent 6"/>
    <w:basedOn w:val="3"/>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tblStylePr w:type="neCell"/>
    <w:tblStylePr w:type="nwCell"/>
    <w:tblStylePr w:type="seCell"/>
    <w:tblStylePr w:type="swCell"/>
  </w:style>
  <w:style w:type="table" w:customStyle="1" w:styleId="155">
    <w:name w:val="Bordered"/>
    <w:basedOn w:val="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6">
    <w:name w:val="Bordered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7">
    <w:name w:val="Bordered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58">
    <w:name w:val="Bordered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59">
    <w:name w:val="Bordered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60">
    <w:name w:val="Bordered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1">
    <w:name w:val="Bordered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2">
    <w:name w:val="Heading 1 Char"/>
    <w:basedOn w:val="30"/>
    <w:qFormat/>
    <w:uiPriority w:val="9"/>
    <w:rPr>
      <w:rFonts w:ascii="Arial" w:hAnsi="Arial" w:eastAsia="Arial" w:cs="Arial"/>
      <w:color w:val="2E75B6" w:themeColor="accent1" w:themeShade="BF"/>
      <w:sz w:val="40"/>
      <w:szCs w:val="40"/>
    </w:rPr>
  </w:style>
  <w:style w:type="character" w:customStyle="1" w:styleId="163">
    <w:name w:val="Heading 2 Char"/>
    <w:basedOn w:val="30"/>
    <w:qFormat/>
    <w:uiPriority w:val="9"/>
    <w:rPr>
      <w:rFonts w:ascii="Arial" w:hAnsi="Arial" w:eastAsia="Arial" w:cs="Arial"/>
      <w:color w:val="2E75B6" w:themeColor="accent1" w:themeShade="BF"/>
      <w:sz w:val="32"/>
      <w:szCs w:val="32"/>
    </w:rPr>
  </w:style>
  <w:style w:type="character" w:customStyle="1" w:styleId="164">
    <w:name w:val="Heading 3 Char"/>
    <w:basedOn w:val="30"/>
    <w:qFormat/>
    <w:uiPriority w:val="9"/>
    <w:rPr>
      <w:rFonts w:ascii="Arial" w:hAnsi="Arial" w:eastAsia="Arial" w:cs="Arial"/>
      <w:color w:val="2E75B6" w:themeColor="accent1" w:themeShade="BF"/>
      <w:sz w:val="28"/>
      <w:szCs w:val="28"/>
    </w:rPr>
  </w:style>
  <w:style w:type="character" w:customStyle="1" w:styleId="165">
    <w:name w:val="Heading 4 Char"/>
    <w:basedOn w:val="30"/>
    <w:link w:val="7"/>
    <w:qFormat/>
    <w:uiPriority w:val="9"/>
    <w:rPr>
      <w:rFonts w:ascii="Arial" w:hAnsi="Arial" w:eastAsia="Arial" w:cs="Arial"/>
      <w:i/>
      <w:iCs/>
      <w:color w:val="2E75B6" w:themeColor="accent1" w:themeShade="BF"/>
    </w:rPr>
  </w:style>
  <w:style w:type="character" w:customStyle="1" w:styleId="166">
    <w:name w:val="Heading 5 Char"/>
    <w:basedOn w:val="30"/>
    <w:link w:val="8"/>
    <w:qFormat/>
    <w:uiPriority w:val="9"/>
    <w:rPr>
      <w:rFonts w:ascii="Arial" w:hAnsi="Arial" w:eastAsia="Arial" w:cs="Arial"/>
      <w:color w:val="2E75B6" w:themeColor="accent1" w:themeShade="BF"/>
    </w:rPr>
  </w:style>
  <w:style w:type="character" w:customStyle="1" w:styleId="167">
    <w:name w:val="Heading 6 Char"/>
    <w:basedOn w:val="30"/>
    <w:link w:val="9"/>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8">
    <w:name w:val="Heading 7 Char"/>
    <w:basedOn w:val="30"/>
    <w:link w:val="10"/>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9">
    <w:name w:val="Heading 8 Char"/>
    <w:basedOn w:val="30"/>
    <w:link w:val="1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Heading 9 Char"/>
    <w:basedOn w:val="30"/>
    <w:link w:val="1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1">
    <w:name w:val="Title Char"/>
    <w:basedOn w:val="30"/>
    <w:qFormat/>
    <w:uiPriority w:val="10"/>
    <w:rPr>
      <w:rFonts w:ascii="Arial" w:hAnsi="Arial" w:eastAsia="Arial" w:cs="Arial"/>
      <w:spacing w:val="-10"/>
      <w:sz w:val="56"/>
      <w:szCs w:val="56"/>
    </w:rPr>
  </w:style>
  <w:style w:type="character" w:customStyle="1" w:styleId="172">
    <w:name w:val="Subtitle Char"/>
    <w:basedOn w:val="30"/>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3">
    <w:name w:val="Quote"/>
    <w:basedOn w:val="1"/>
    <w:next w:val="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4">
    <w:name w:val="Quote Char"/>
    <w:basedOn w:val="30"/>
    <w:qFormat/>
    <w:uiPriority w:val="29"/>
    <w:rPr>
      <w:i/>
      <w:iCs/>
      <w:color w:val="404040" w:themeColor="text1" w:themeTint="BF"/>
      <w14:textFill>
        <w14:solidFill>
          <w14:schemeClr w14:val="tx1">
            <w14:lumMod w14:val="75000"/>
            <w14:lumOff w14:val="25000"/>
          </w14:schemeClr>
        </w14:solidFill>
      </w14:textFill>
    </w:rPr>
  </w:style>
  <w:style w:type="character" w:customStyle="1" w:styleId="175">
    <w:name w:val="Intense Emphasis"/>
    <w:basedOn w:val="30"/>
    <w:qFormat/>
    <w:uiPriority w:val="21"/>
    <w:rPr>
      <w:i/>
      <w:iCs/>
      <w:color w:val="2E75B6" w:themeColor="accent1" w:themeShade="BF"/>
    </w:rPr>
  </w:style>
  <w:style w:type="paragraph" w:styleId="176">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7">
    <w:name w:val="Intense Quote Char"/>
    <w:basedOn w:val="30"/>
    <w:qFormat/>
    <w:uiPriority w:val="30"/>
    <w:rPr>
      <w:i/>
      <w:iCs/>
      <w:color w:val="2E75B6" w:themeColor="accent1" w:themeShade="BF"/>
    </w:rPr>
  </w:style>
  <w:style w:type="character" w:customStyle="1" w:styleId="178">
    <w:name w:val="Intense Reference"/>
    <w:basedOn w:val="30"/>
    <w:qFormat/>
    <w:uiPriority w:val="32"/>
    <w:rPr>
      <w:b/>
      <w:bCs/>
      <w:smallCaps/>
      <w:color w:val="2E75B6" w:themeColor="accent1" w:themeShade="BF"/>
      <w:spacing w:val="5"/>
    </w:rPr>
  </w:style>
  <w:style w:type="paragraph" w:styleId="179">
    <w:name w:val="No Spacing"/>
    <w:basedOn w:val="1"/>
    <w:qFormat/>
    <w:uiPriority w:val="1"/>
    <w:pPr>
      <w:spacing w:after="0" w:line="240" w:lineRule="auto"/>
    </w:pPr>
  </w:style>
  <w:style w:type="character" w:customStyle="1" w:styleId="180">
    <w:name w:val="Subtle Emphasis"/>
    <w:basedOn w:val="30"/>
    <w:qFormat/>
    <w:uiPriority w:val="19"/>
    <w:rPr>
      <w:i/>
      <w:iCs/>
      <w:color w:val="404040" w:themeColor="text1" w:themeTint="BF"/>
      <w14:textFill>
        <w14:solidFill>
          <w14:schemeClr w14:val="tx1">
            <w14:lumMod w14:val="75000"/>
            <w14:lumOff w14:val="25000"/>
          </w14:schemeClr>
        </w14:solidFill>
      </w14:textFill>
    </w:rPr>
  </w:style>
  <w:style w:type="character" w:customStyle="1" w:styleId="181">
    <w:name w:val="Subtle Reference"/>
    <w:basedOn w:val="30"/>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2">
    <w:name w:val="Book Title"/>
    <w:basedOn w:val="30"/>
    <w:qFormat/>
    <w:uiPriority w:val="33"/>
    <w:rPr>
      <w:b/>
      <w:bCs/>
      <w:i/>
      <w:iCs/>
      <w:spacing w:val="5"/>
    </w:rPr>
  </w:style>
  <w:style w:type="character" w:customStyle="1" w:styleId="183">
    <w:name w:val="Header Char"/>
    <w:basedOn w:val="30"/>
    <w:qFormat/>
    <w:uiPriority w:val="99"/>
  </w:style>
  <w:style w:type="character" w:customStyle="1" w:styleId="184">
    <w:name w:val="Footer Char"/>
    <w:basedOn w:val="30"/>
    <w:qFormat/>
    <w:uiPriority w:val="99"/>
  </w:style>
  <w:style w:type="character" w:customStyle="1" w:styleId="185">
    <w:name w:val="Footnote Text Char"/>
    <w:basedOn w:val="30"/>
    <w:semiHidden/>
    <w:qFormat/>
    <w:uiPriority w:val="99"/>
    <w:rPr>
      <w:sz w:val="20"/>
      <w:szCs w:val="20"/>
    </w:rPr>
  </w:style>
  <w:style w:type="character" w:customStyle="1" w:styleId="186">
    <w:name w:val="Endnote Text Char"/>
    <w:basedOn w:val="30"/>
    <w:semiHidden/>
    <w:qFormat/>
    <w:uiPriority w:val="99"/>
    <w:rPr>
      <w:sz w:val="20"/>
      <w:szCs w:val="20"/>
    </w:rPr>
  </w:style>
  <w:style w:type="paragraph" w:customStyle="1" w:styleId="187">
    <w:name w:val="TOC Heading"/>
    <w:unhideWhenUsed/>
    <w:qFormat/>
    <w:uiPriority w:val="39"/>
    <w:rPr>
      <w:rFonts w:hint="default" w:ascii="Times New Roman" w:hAnsi="Times New Roman" w:eastAsia="宋体" w:cs="Times New Roman"/>
    </w:rPr>
  </w:style>
  <w:style w:type="character" w:customStyle="1" w:styleId="188">
    <w:name w:val="批注文字 字符"/>
    <w:qFormat/>
    <w:uiPriority w:val="99"/>
    <w:rPr>
      <w:rFonts w:ascii="Times New Roman" w:hAnsi="Times New Roman" w:eastAsia="宋体" w:cs="Times New Roman"/>
    </w:rPr>
  </w:style>
  <w:style w:type="character" w:customStyle="1" w:styleId="189">
    <w:name w:val="标题 3 字符"/>
    <w:qFormat/>
    <w:uiPriority w:val="1"/>
    <w:rPr>
      <w:rFonts w:ascii="宋体" w:hAnsi="Times New Roman" w:eastAsia="宋体" w:cs="Times New Roman"/>
      <w:b/>
      <w:bCs/>
      <w:sz w:val="20"/>
      <w:szCs w:val="21"/>
    </w:rPr>
  </w:style>
  <w:style w:type="character" w:customStyle="1" w:styleId="190">
    <w:name w:val="脚注文本 字符1"/>
    <w:semiHidden/>
    <w:qFormat/>
    <w:uiPriority w:val="99"/>
    <w:rPr>
      <w:rFonts w:ascii="Times New Roman" w:hAnsi="Times New Roman" w:eastAsia="宋体" w:cs="Times New Roman"/>
      <w:sz w:val="18"/>
      <w:szCs w:val="18"/>
    </w:rPr>
  </w:style>
  <w:style w:type="character" w:customStyle="1" w:styleId="191">
    <w:name w:val="标题 2 字符"/>
    <w:qFormat/>
    <w:uiPriority w:val="9"/>
    <w:rPr>
      <w:rFonts w:ascii="Cambria" w:hAnsi="Cambria" w:eastAsia="宋体" w:cs="Times New Roman"/>
      <w:b/>
      <w:bCs/>
      <w:sz w:val="32"/>
      <w:szCs w:val="32"/>
    </w:rPr>
  </w:style>
  <w:style w:type="character" w:customStyle="1" w:styleId="192">
    <w:name w:val="正文文本 字符"/>
    <w:qFormat/>
    <w:uiPriority w:val="1"/>
    <w:rPr>
      <w:rFonts w:ascii="宋体" w:hAnsi="Times New Roman" w:eastAsia="宋体" w:cs="Times New Roman"/>
      <w:sz w:val="20"/>
      <w:szCs w:val="21"/>
    </w:rPr>
  </w:style>
  <w:style w:type="character" w:customStyle="1" w:styleId="193">
    <w:name w:val="脚注文本 字符"/>
    <w:semiHidden/>
    <w:qFormat/>
    <w:uiPriority w:val="99"/>
    <w:rPr>
      <w:rFonts w:ascii="Times New Roman" w:hAnsi="Times New Roman" w:eastAsia="宋体" w:cs="Times New Roman"/>
      <w:sz w:val="18"/>
      <w:szCs w:val="18"/>
    </w:rPr>
  </w:style>
  <w:style w:type="character" w:customStyle="1" w:styleId="194">
    <w:name w:val="批注主题 字符"/>
    <w:semiHidden/>
    <w:qFormat/>
    <w:uiPriority w:val="99"/>
    <w:rPr>
      <w:rFonts w:ascii="Times New Roman" w:hAnsi="Times New Roman" w:eastAsia="宋体" w:cs="Times New Roman"/>
      <w:b/>
      <w:bCs/>
    </w:rPr>
  </w:style>
  <w:style w:type="character" w:customStyle="1" w:styleId="195">
    <w:name w:val="日期 字符"/>
    <w:basedOn w:val="30"/>
    <w:semiHidden/>
    <w:qFormat/>
    <w:uiPriority w:val="99"/>
    <w:rPr>
      <w:rFonts w:ascii="Times New Roman" w:hAnsi="Times New Roman" w:eastAsia="宋体" w:cs="Times New Roman"/>
    </w:rPr>
  </w:style>
  <w:style w:type="character" w:customStyle="1" w:styleId="196">
    <w:name w:val="标题 1 字符"/>
    <w:qFormat/>
    <w:uiPriority w:val="1"/>
    <w:rPr>
      <w:rFonts w:ascii="黑体" w:hAnsi="Times New Roman" w:eastAsia="黑体" w:cs="Times New Roman"/>
      <w:b/>
      <w:bCs/>
      <w:sz w:val="36"/>
      <w:szCs w:val="36"/>
    </w:rPr>
  </w:style>
  <w:style w:type="character" w:customStyle="1" w:styleId="197">
    <w:name w:val="页脚 字符"/>
    <w:qFormat/>
    <w:uiPriority w:val="99"/>
    <w:rPr>
      <w:rFonts w:ascii="Times New Roman" w:hAnsi="Times New Roman" w:eastAsia="宋体" w:cs="Times New Roman"/>
      <w:sz w:val="18"/>
      <w:szCs w:val="18"/>
    </w:rPr>
  </w:style>
  <w:style w:type="character" w:customStyle="1" w:styleId="198">
    <w:name w:val="页眉 字符"/>
    <w:qFormat/>
    <w:uiPriority w:val="99"/>
    <w:rPr>
      <w:rFonts w:ascii="Times New Roman" w:hAnsi="Times New Roman" w:eastAsia="宋体" w:cs="Times New Roman"/>
      <w:sz w:val="18"/>
      <w:szCs w:val="18"/>
    </w:rPr>
  </w:style>
  <w:style w:type="character" w:customStyle="1" w:styleId="199">
    <w:name w:val="批注框文本 字符"/>
    <w:semiHidden/>
    <w:qFormat/>
    <w:uiPriority w:val="99"/>
    <w:rPr>
      <w:rFonts w:ascii="Times New Roman" w:hAnsi="Times New Roman" w:eastAsia="宋体" w:cs="Times New Roman"/>
      <w:sz w:val="18"/>
      <w:szCs w:val="18"/>
    </w:rPr>
  </w:style>
  <w:style w:type="paragraph" w:customStyle="1" w:styleId="200">
    <w:name w:val="Table Paragraph"/>
    <w:basedOn w:val="1"/>
    <w:qFormat/>
    <w:uiPriority w:val="1"/>
    <w:pPr>
      <w:jc w:val="left"/>
    </w:pPr>
    <w:rPr>
      <w:sz w:val="24"/>
      <w:szCs w:val="24"/>
    </w:rPr>
  </w:style>
  <w:style w:type="paragraph" w:customStyle="1" w:styleId="201">
    <w:name w:val="Default"/>
    <w:qFormat/>
    <w:uiPriority w:val="0"/>
    <w:pPr>
      <w:widowControl w:val="0"/>
    </w:pPr>
    <w:rPr>
      <w:rFonts w:hint="default" w:ascii="宋体" w:hAnsi="宋体" w:eastAsia="宋体" w:cs="宋体"/>
      <w:color w:val="000000"/>
      <w:sz w:val="24"/>
      <w:szCs w:val="24"/>
      <w:lang w:val="en-US" w:eastAsia="zh-CN" w:bidi="ar-SA"/>
    </w:rPr>
  </w:style>
  <w:style w:type="paragraph" w:styleId="202">
    <w:name w:val="List Paragraph"/>
    <w:basedOn w:val="1"/>
    <w:qFormat/>
    <w:uiPriority w:val="72"/>
    <w:pPr>
      <w:ind w:firstLine="420"/>
    </w:pPr>
  </w:style>
  <w:style w:type="paragraph" w:customStyle="1" w:styleId="203">
    <w:name w:val="_Style 36"/>
    <w:semiHidden/>
    <w:qFormat/>
    <w:uiPriority w:val="99"/>
    <w:rPr>
      <w:rFonts w:hint="default" w:ascii="Times New Roman" w:hAnsi="Times New Roman" w:eastAsia="宋体" w:cs="Times New Roman"/>
      <w:sz w:val="21"/>
      <w:szCs w:val="22"/>
      <w:lang w:val="en-US" w:eastAsia="zh-CN" w:bidi="ar-SA"/>
    </w:rPr>
  </w:style>
  <w:style w:type="character" w:customStyle="1" w:styleId="204">
    <w:name w:val="标题 1 字符1"/>
    <w:link w:val="4"/>
    <w:qFormat/>
    <w:uiPriority w:val="1"/>
    <w:rPr>
      <w:rFonts w:ascii="黑体" w:hAnsi="Times New Roman" w:eastAsia="黑体" w:cs="黑体"/>
      <w:b/>
      <w:bCs/>
      <w:sz w:val="36"/>
      <w:szCs w:val="36"/>
    </w:rPr>
  </w:style>
  <w:style w:type="character" w:customStyle="1" w:styleId="205">
    <w:name w:val="标题 2 字符1"/>
    <w:link w:val="5"/>
    <w:qFormat/>
    <w:uiPriority w:val="9"/>
    <w:rPr>
      <w:rFonts w:ascii="Cambria" w:hAnsi="Cambria" w:eastAsia="宋体" w:cs="Times New Roman"/>
      <w:b/>
      <w:bCs/>
      <w:sz w:val="32"/>
      <w:szCs w:val="32"/>
    </w:rPr>
  </w:style>
  <w:style w:type="character" w:customStyle="1" w:styleId="206">
    <w:name w:val="标题 3 字符1"/>
    <w:link w:val="6"/>
    <w:qFormat/>
    <w:uiPriority w:val="1"/>
    <w:rPr>
      <w:rFonts w:ascii="宋体" w:hAnsi="Times New Roman" w:eastAsia="宋体" w:cs="宋体"/>
      <w:b/>
      <w:bCs/>
      <w:szCs w:val="21"/>
    </w:rPr>
  </w:style>
  <w:style w:type="character" w:customStyle="1" w:styleId="207">
    <w:name w:val="批注文字 字符1"/>
    <w:qFormat/>
    <w:uiPriority w:val="99"/>
    <w:rPr>
      <w:rFonts w:ascii="Times New Roman" w:hAnsi="Times New Roman" w:eastAsia="宋体" w:cs="Times New Roman"/>
      <w:sz w:val="21"/>
      <w:szCs w:val="22"/>
    </w:rPr>
  </w:style>
  <w:style w:type="character" w:customStyle="1" w:styleId="208">
    <w:name w:val="正文文本 字符1"/>
    <w:qFormat/>
    <w:uiPriority w:val="1"/>
    <w:rPr>
      <w:rFonts w:ascii="宋体" w:hAnsi="Times New Roman" w:eastAsia="宋体" w:cs="宋体"/>
      <w:szCs w:val="21"/>
    </w:rPr>
  </w:style>
  <w:style w:type="character" w:customStyle="1" w:styleId="209">
    <w:name w:val="日期 字符1"/>
    <w:basedOn w:val="30"/>
    <w:semiHidden/>
    <w:qFormat/>
    <w:uiPriority w:val="99"/>
    <w:rPr>
      <w:rFonts w:ascii="Times New Roman" w:hAnsi="Times New Roman" w:eastAsia="宋体" w:cs="Times New Roman"/>
    </w:rPr>
  </w:style>
  <w:style w:type="character" w:customStyle="1" w:styleId="210">
    <w:name w:val="批注框文本 字符1"/>
    <w:semiHidden/>
    <w:qFormat/>
    <w:uiPriority w:val="99"/>
    <w:rPr>
      <w:rFonts w:ascii="Times New Roman" w:hAnsi="Times New Roman" w:eastAsia="宋体" w:cs="Times New Roman"/>
      <w:sz w:val="18"/>
      <w:szCs w:val="18"/>
    </w:rPr>
  </w:style>
  <w:style w:type="character" w:customStyle="1" w:styleId="211">
    <w:name w:val="页脚 字符1"/>
    <w:qFormat/>
    <w:uiPriority w:val="99"/>
    <w:rPr>
      <w:rFonts w:ascii="Times New Roman" w:hAnsi="Times New Roman" w:eastAsia="宋体" w:cs="Times New Roman"/>
      <w:sz w:val="18"/>
      <w:szCs w:val="18"/>
    </w:rPr>
  </w:style>
  <w:style w:type="character" w:customStyle="1" w:styleId="212">
    <w:name w:val="页眉 字符1"/>
    <w:qFormat/>
    <w:uiPriority w:val="99"/>
    <w:rPr>
      <w:rFonts w:ascii="Times New Roman" w:hAnsi="Times New Roman" w:eastAsia="宋体" w:cs="Times New Roman"/>
      <w:sz w:val="18"/>
      <w:szCs w:val="18"/>
    </w:rPr>
  </w:style>
  <w:style w:type="character" w:customStyle="1" w:styleId="213">
    <w:name w:val="脚注文本 字符2"/>
    <w:link w:val="27"/>
    <w:semiHidden/>
    <w:qFormat/>
    <w:uiPriority w:val="99"/>
    <w:rPr>
      <w:rFonts w:ascii="Times New Roman" w:hAnsi="Times New Roman" w:eastAsia="宋体" w:cs="Times New Roman"/>
      <w:sz w:val="18"/>
      <w:szCs w:val="18"/>
    </w:rPr>
  </w:style>
  <w:style w:type="character" w:customStyle="1" w:styleId="214">
    <w:name w:val="批注主题 字符1"/>
    <w:semiHidden/>
    <w:qFormat/>
    <w:uiPriority w:val="99"/>
    <w:rPr>
      <w:rFonts w:ascii="Times New Roman" w:hAnsi="Times New Roman" w:eastAsia="宋体" w:cs="Times New Roman"/>
      <w:b/>
      <w:bCs/>
      <w:sz w:val="21"/>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3D9DA4FEC1AC4898A5CD8A2776F83D6F</vt:lpwstr>
  </property>
</Properties>
</file>

<file path=customXml/item3.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Template>
</Properties>
</file>

<file path=customXml/item4.xml><?xml version="1.0" encoding="utf-8"?>
<cp:coreProperties xmlns:cp="http://schemas.openxmlformats.org/package/2006/metadata/core-properties" xmlns:dc="http://purl.org/dc/elements/1.1/" xmlns:dcterms="http://purl.org/dc/terms/" xmlns:xsi="http://www.w3.org/2001/XMLSchema-instance">
  <dcterms:created xsi:type="dcterms:W3CDTF">2024-05-11T09:26:00Z</dcterms:created>
  <dc:creator>孙伯略</dc:creator>
  <cp:lastModifiedBy>匿名用户</cp:lastModifiedBy>
  <dcterms:modified xsi:type="dcterms:W3CDTF">2026-08-26T10:27:37Z</dcterms:modified>
  <cp:revision>56</cp:revision>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1b5fe9-1d38-403b-a0a8-823ddc68e190}">
  <ds:schemaRefs/>
</ds:datastoreItem>
</file>

<file path=customXml/itemProps3.xml><?xml version="1.0" encoding="utf-8"?>
<ds:datastoreItem xmlns:ds="http://schemas.openxmlformats.org/officeDocument/2006/customXml" ds:itemID="{2b4ba183-bf4f-4ace-a80b-b14f2bcfaf81}">
  <ds:schemaRefs/>
</ds:datastoreItem>
</file>

<file path=customXml/itemProps4.xml><?xml version="1.0" encoding="utf-8"?>
<ds:datastoreItem xmlns:ds="http://schemas.openxmlformats.org/officeDocument/2006/customXml" ds:itemID="{b8ad409f-561b-41de-8026-7abf628eb626}">
  <ds:schemaRefs/>
</ds:datastoreItem>
</file>

<file path=docProps/app.xml><?xml version="1.0" encoding="utf-8"?>
<Properties xmlns="http://schemas.openxmlformats.org/officeDocument/2006/extended-properties" xmlns:vt="http://schemas.openxmlformats.org/officeDocument/2006/docPropsVTypes">
  <Template>Normal</Template>
  <TotalTime>1</TotalTime>
  <ScaleCrop>false</ScaleCrop>
  <LinksUpToDate>false</LinksUpToDate>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2024-05-11T09:26:00Z</dcterms:created>
  <dc:creator>孙伯略</dc:creator>
  <cp:lastModifiedBy>jsyh</cp:lastModifiedBy>
  <dcterms:modified xsi:type="dcterms:W3CDTF">2026-08-27T08:43:02Z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