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
        <w:keepNext w:val="0"/>
        <w:keepLines w:val="0"/>
        <w:pageBreakBefore w:val="0"/>
        <w:widowControl/>
        <w:kinsoku/>
        <w:wordWrap/>
        <w:overflowPunct/>
        <w:topLinePunct w:val="0"/>
        <w:autoSpaceDE/>
        <w:autoSpaceDN/>
        <w:bidi w:val="0"/>
        <w:adjustRightInd/>
        <w:snapToGrid/>
        <w:spacing w:before="0" w:beforeLines="50" w:beforeAutospacing="0" w:after="0" w:afterLines="50" w:afterAutospacing="0" w:line="240" w:lineRule="auto"/>
        <w:jc w:val="center"/>
        <w:textAlignment w:val="auto"/>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w:t>
      </w:r>
      <w:r>
        <w:rPr>
          <w:rFonts w:hint="eastAsia" w:ascii="楷体" w:hAnsi="楷体" w:eastAsia="楷体"/>
          <w:b/>
          <w:color w:val="auto"/>
          <w:sz w:val="28"/>
          <w:szCs w:val="28"/>
          <w:highlight w:val="none"/>
          <w:lang w:val="en-US" w:eastAsia="zh-CN"/>
        </w:rPr>
        <w:t>苏银理财恒源封闭债权385期优选2年</w:t>
      </w:r>
      <w:r>
        <w:rPr>
          <w:rFonts w:hint="eastAsia" w:ascii="楷体" w:hAnsi="楷体" w:eastAsia="楷体"/>
          <w:b/>
          <w:color w:val="auto"/>
          <w:sz w:val="28"/>
          <w:szCs w:val="28"/>
          <w:highlight w:val="none"/>
        </w:rPr>
        <w:t>”理财产品风险揭示书</w:t>
      </w:r>
    </w:p>
    <w:p>
      <w:pPr>
        <w:keepNext w:val="0"/>
        <w:keepLines w:val="0"/>
        <w:pageBreakBefore w:val="0"/>
        <w:widowControl w:val="0"/>
        <w:kinsoku/>
        <w:wordWrap/>
        <w:overflowPunct/>
        <w:topLinePunct w:val="0"/>
        <w:autoSpaceDE/>
        <w:autoSpaceDN/>
        <w:bidi w:val="0"/>
        <w:adjustRightInd/>
        <w:snapToGrid/>
        <w:spacing w:after="0" w:afterLines="50" w:line="240" w:lineRule="auto"/>
        <w:jc w:val="center"/>
        <w:textAlignment w:val="auto"/>
        <w:rPr>
          <w:rFonts w:hint="eastAsia" w:ascii="楷体" w:hAnsi="楷体" w:eastAsia="楷体" w:cs="宋体"/>
          <w:b/>
          <w:color w:val="auto"/>
          <w:sz w:val="28"/>
          <w:szCs w:val="28"/>
          <w:highlight w:val="none"/>
        </w:rPr>
      </w:pPr>
      <w:r>
        <w:rPr>
          <w:rFonts w:hint="eastAsia" w:ascii="楷体" w:hAnsi="楷体" w:eastAsia="楷体" w:cs="宋体"/>
          <w:b/>
          <w:color w:val="auto"/>
          <w:sz w:val="28"/>
          <w:szCs w:val="28"/>
          <w:highlight w:val="none"/>
        </w:rPr>
        <w:t>理财非存款、产品有风险、投资须谨慎</w:t>
      </w:r>
    </w:p>
    <w:p>
      <w:pPr>
        <w:pStyle w:val="25"/>
        <w:keepNext w:val="0"/>
        <w:keepLines w:val="0"/>
        <w:pageBreakBefore w:val="0"/>
        <w:bidi w:val="0"/>
        <w:spacing w:before="0" w:beforeAutospacing="0" w:after="0" w:afterAutospacing="0" w:line="310" w:lineRule="exact"/>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尊敬的投资者：</w:t>
      </w: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由于理财资金在管理运用过程中可能面临多种风险因素，根据</w:t>
      </w:r>
      <w:r>
        <w:rPr>
          <w:rFonts w:hint="eastAsia" w:ascii="楷体" w:hAnsi="楷体" w:eastAsia="楷体" w:cs="Times New Roman"/>
          <w:sz w:val="21"/>
          <w:szCs w:val="21"/>
          <w:highlight w:val="none"/>
          <w:lang w:val="en-US" w:eastAsia="zh-CN"/>
        </w:rPr>
        <w:t>国家金融监督管理总局（以下简称“金融监管总局”）</w:t>
      </w:r>
      <w:r>
        <w:rPr>
          <w:rFonts w:hint="eastAsia" w:ascii="楷体" w:hAnsi="楷体" w:eastAsia="楷体" w:cs="Times New Roman"/>
          <w:color w:val="auto"/>
          <w:sz w:val="21"/>
          <w:szCs w:val="21"/>
          <w:highlight w:val="none"/>
        </w:rPr>
        <w:t>相关监管规定，苏银理财有限责任公司（以下简称“苏银理财”</w:t>
      </w:r>
      <w:r>
        <w:rPr>
          <w:rFonts w:hint="eastAsia" w:ascii="楷体" w:hAnsi="楷体" w:eastAsia="楷体" w:cs="Times New Roman"/>
          <w:color w:val="auto"/>
          <w:sz w:val="21"/>
          <w:szCs w:val="21"/>
          <w:highlight w:val="none"/>
          <w:lang w:val="en-US" w:eastAsia="zh-CN"/>
        </w:rPr>
        <w:t>或“管理人”</w:t>
      </w:r>
      <w:r>
        <w:rPr>
          <w:rFonts w:hint="eastAsia" w:ascii="楷体" w:hAnsi="楷体" w:eastAsia="楷体" w:cs="Times New Roman"/>
          <w:color w:val="auto"/>
          <w:sz w:val="21"/>
          <w:szCs w:val="21"/>
          <w:highlight w:val="none"/>
        </w:rPr>
        <w:t>）作为本理财产品的产品管理人郑重提示您：在您选择购买理财产品前，请仔细阅读本理财产品</w:t>
      </w:r>
      <w:r>
        <w:rPr>
          <w:rFonts w:hint="eastAsia" w:ascii="楷体" w:hAnsi="楷体" w:eastAsia="楷体" w:cs="Times New Roman"/>
          <w:color w:val="auto"/>
          <w:sz w:val="21"/>
          <w:szCs w:val="21"/>
          <w:highlight w:val="none"/>
          <w:lang w:val="en-US" w:eastAsia="zh-CN"/>
        </w:rPr>
        <w:t>完整销售文件</w:t>
      </w:r>
      <w:r>
        <w:rPr>
          <w:rFonts w:hint="eastAsia" w:ascii="楷体" w:hAnsi="楷体" w:eastAsia="楷体" w:cs="Times New Roman"/>
          <w:color w:val="auto"/>
          <w:sz w:val="21"/>
          <w:szCs w:val="21"/>
          <w:highlight w:val="none"/>
        </w:rPr>
        <w:t>（包括《风险揭示书》、《理财产品说明书》、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val="en-US" w:eastAsia="zh-CN"/>
        </w:rPr>
        <w:t>理财</w:t>
      </w:r>
      <w:r>
        <w:rPr>
          <w:rFonts w:hint="eastAsia" w:ascii="楷体" w:hAnsi="楷体" w:eastAsia="楷体" w:cs="Times New Roman"/>
          <w:color w:val="auto"/>
          <w:sz w:val="21"/>
          <w:szCs w:val="21"/>
          <w:highlight w:val="none"/>
        </w:rPr>
        <w:t>产品投资协议书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《投资者权益须知》</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理财产品（代理）销售协议书</w:t>
      </w:r>
      <w:r>
        <w:rPr>
          <w:rFonts w:hint="eastAsia" w:ascii="楷体" w:hAnsi="楷体" w:eastAsia="楷体" w:cs="Times New Roman"/>
          <w:color w:val="auto"/>
          <w:sz w:val="21"/>
          <w:szCs w:val="21"/>
          <w:highlight w:val="none"/>
        </w:rPr>
        <w:t>》），了解理财产品具体情况；在您购买理财产品后，请关注本理财产品的信息披露，及时获取相关信息。</w:t>
      </w: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苏银理财作为本理财产品管理人承诺以诚实信用、勤勉尽责的原则管理和运用理财产品资产，</w:t>
      </w:r>
      <w:r>
        <w:rPr>
          <w:rFonts w:hint="eastAsia" w:ascii="楷体" w:hAnsi="楷体" w:eastAsia="楷体" w:cs="Times New Roman"/>
          <w:b/>
          <w:color w:val="auto"/>
          <w:sz w:val="21"/>
          <w:szCs w:val="21"/>
          <w:highlight w:val="none"/>
          <w:u w:val="single"/>
        </w:rPr>
        <w:t>但不保证理财产品一定盈利，也不保证最低收益，极端情况下有可能会损失部分甚至全部本金。</w:t>
      </w:r>
      <w:r>
        <w:rPr>
          <w:rFonts w:hint="eastAsia" w:ascii="楷体" w:hAnsi="楷体" w:eastAsia="楷体" w:cs="Times New Roman"/>
          <w:color w:val="auto"/>
          <w:sz w:val="21"/>
          <w:szCs w:val="21"/>
          <w:highlight w:val="none"/>
        </w:rPr>
        <w:t>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leftChars="0"/>
        <w:rPr>
          <w:rFonts w:hint="eastAsia"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一、</w:t>
      </w:r>
      <w:r>
        <w:rPr>
          <w:rFonts w:hint="eastAsia" w:ascii="楷体" w:hAnsi="楷体" w:eastAsia="楷体"/>
          <w:b/>
          <w:color w:val="auto"/>
          <w:sz w:val="24"/>
          <w:szCs w:val="24"/>
          <w:highlight w:val="none"/>
        </w:rPr>
        <w:t>风险揭示</w:t>
      </w: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一）</w:t>
      </w: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二）</w:t>
      </w: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三）</w:t>
      </w: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四）</w:t>
      </w: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五）</w:t>
      </w: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六）</w:t>
      </w: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（七）理财产品不成立风险：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八）</w:t>
      </w: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九）</w:t>
      </w: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w:t>
      </w: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sz w:val="21"/>
          <w:szCs w:val="21"/>
          <w:highlight w:val="none"/>
        </w:rPr>
      </w:pP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十一）</w:t>
      </w: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十二）</w:t>
      </w: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lang w:eastAsia="zh-CN"/>
        </w:rPr>
        <w:t>（</w:t>
      </w:r>
      <w:r>
        <w:rPr>
          <w:rFonts w:hint="eastAsia" w:ascii="楷体" w:hAnsi="楷体" w:eastAsia="楷体" w:cs="Times New Roman"/>
          <w:b/>
          <w:bCs/>
          <w:color w:val="auto"/>
          <w:sz w:val="21"/>
          <w:szCs w:val="21"/>
          <w:highlight w:val="none"/>
          <w:lang w:val="en-US" w:eastAsia="zh-CN"/>
        </w:rPr>
        <w:t>十三）</w:t>
      </w: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hint="eastAsia" w:ascii="楷体" w:hAnsi="楷体" w:eastAsia="楷体" w:cs="楷体"/>
          <w:b/>
          <w:bCs/>
          <w:color w:val="auto"/>
          <w:sz w:val="21"/>
          <w:szCs w:val="21"/>
          <w:highlight w:val="none"/>
          <w:u w:val="single"/>
          <w:lang w:val="en-US" w:eastAsia="zh-CN"/>
        </w:rPr>
        <w:t>管理人在此特别披露：销售机构销售机构江苏苏州农村商业银行股份有限公司、江苏仪征农村商业银行股份有限公司、江苏银行股份有限公司、苏银理财有限责任公司</w:t>
      </w:r>
      <w:bookmarkStart w:id="0" w:name="_GoBack"/>
      <w:bookmarkEnd w:id="0"/>
      <w:r>
        <w:rPr>
          <w:rFonts w:hint="eastAsia" w:ascii="楷体" w:hAnsi="楷体" w:eastAsia="楷体" w:cs="楷体"/>
          <w:b/>
          <w:bCs/>
          <w:color w:val="auto"/>
          <w:sz w:val="21"/>
          <w:szCs w:val="21"/>
          <w:highlight w:val="none"/>
          <w:u w:val="single"/>
          <w:lang w:val="en-US" w:eastAsia="zh-CN"/>
        </w:rPr>
        <w:t>为产品管理人的关联方。</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十四）</w:t>
      </w:r>
      <w:r>
        <w:rPr>
          <w:rFonts w:hint="eastAsia" w:ascii="楷体" w:hAnsi="楷体" w:eastAsia="楷体"/>
          <w:b/>
          <w:color w:val="auto"/>
          <w:sz w:val="21"/>
          <w:szCs w:val="21"/>
          <w:highlight w:val="none"/>
        </w:rPr>
        <w:t>特定投资标的风险：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1.非标准化债权的特殊风险：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2.股票投资的特殊风险：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3.黄金、黄金主题股票、黄金ETF基金等黄金类资产的特殊风险：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4.结构性存款的特殊风险：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5.债券投资的特殊风险：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6.资产管理计划或基金产品的特殊风险：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b/>
          <w:color w:val="auto"/>
          <w:sz w:val="21"/>
          <w:szCs w:val="21"/>
          <w:highlight w:val="none"/>
          <w:u w:val="single"/>
          <w:lang w:val="en-US" w:eastAsia="zh-CN"/>
        </w:rPr>
        <w:t>独立做出</w:t>
      </w:r>
      <w:r>
        <w:rPr>
          <w:rFonts w:hint="eastAsia" w:ascii="楷体" w:hAnsi="楷体" w:eastAsia="楷体"/>
          <w:b/>
          <w:color w:val="auto"/>
          <w:sz w:val="21"/>
          <w:szCs w:val="21"/>
          <w:highlight w:val="none"/>
          <w:u w:val="single"/>
        </w:rPr>
        <w:t>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leftChars="0"/>
        <w:rPr>
          <w:rFonts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二、</w:t>
      </w:r>
      <w:r>
        <w:rPr>
          <w:rFonts w:hint="eastAsia" w:ascii="楷体" w:hAnsi="楷体" w:eastAsia="楷体"/>
          <w:b/>
          <w:color w:val="auto"/>
          <w:sz w:val="24"/>
          <w:szCs w:val="24"/>
          <w:highlight w:val="none"/>
        </w:rPr>
        <w:t>投资者提示</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2" w:firstLineChars="200"/>
        <w:textAlignment w:val="auto"/>
        <w:rPr>
          <w:rFonts w:ascii="楷体" w:hAnsi="楷体" w:eastAsia="楷体"/>
          <w:b w:val="0"/>
          <w:bCs/>
          <w:color w:val="auto"/>
          <w:sz w:val="21"/>
          <w:szCs w:val="21"/>
          <w:highlight w:val="none"/>
          <w:u w:val="none"/>
        </w:rPr>
      </w:pPr>
      <w:r>
        <w:rPr>
          <w:rFonts w:hint="eastAsia" w:ascii="楷体" w:hAnsi="楷体" w:eastAsia="楷体"/>
          <w:b/>
          <w:color w:val="auto"/>
          <w:sz w:val="21"/>
          <w:szCs w:val="21"/>
          <w:highlight w:val="none"/>
          <w:u w:val="none"/>
          <w:lang w:val="en-US" w:eastAsia="zh-CN"/>
        </w:rPr>
        <w:t>1.</w:t>
      </w:r>
      <w:r>
        <w:rPr>
          <w:rFonts w:hint="eastAsia" w:ascii="楷体" w:hAnsi="楷体" w:eastAsia="楷体"/>
          <w:b/>
          <w:color w:val="auto"/>
          <w:sz w:val="21"/>
          <w:szCs w:val="21"/>
          <w:highlight w:val="none"/>
          <w:u w:val="single"/>
        </w:rPr>
        <w:t>本理财产品不保证本金及收益，您的本金可能因市场变动或者交易违约等事项而蒙受相应损失，</w:t>
      </w:r>
      <w:r>
        <w:rPr>
          <w:rFonts w:hint="eastAsia" w:ascii="楷体" w:hAnsi="楷体" w:eastAsia="楷体"/>
          <w:b/>
          <w:bCs/>
          <w:color w:val="auto"/>
          <w:sz w:val="21"/>
          <w:szCs w:val="21"/>
          <w:highlight w:val="none"/>
          <w:u w:val="single"/>
        </w:rPr>
        <w:t>在最不利的情况下甚至可能损失全部本金。</w:t>
      </w:r>
      <w:r>
        <w:rPr>
          <w:rFonts w:hint="eastAsia" w:ascii="楷体" w:hAnsi="楷体" w:eastAsia="楷体"/>
          <w:b/>
          <w:color w:val="auto"/>
          <w:sz w:val="21"/>
          <w:szCs w:val="21"/>
          <w:highlight w:val="none"/>
          <w:u w:val="single"/>
        </w:rPr>
        <w:t>投资者应充分认识投资风险，谨慎投资。</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0" w:firstLineChars="200"/>
        <w:textAlignment w:val="auto"/>
        <w:rPr>
          <w:rFonts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2" w:firstLineChars="200"/>
        <w:textAlignment w:val="auto"/>
        <w:rPr>
          <w:rFonts w:ascii="楷体" w:hAnsi="楷体" w:eastAsia="楷体"/>
          <w:b/>
          <w:color w:val="auto"/>
          <w:sz w:val="21"/>
          <w:szCs w:val="21"/>
          <w:highlight w:val="none"/>
          <w:u w:val="single"/>
        </w:rPr>
      </w:pPr>
      <w:r>
        <w:rPr>
          <w:rFonts w:hint="eastAsia" w:ascii="楷体" w:hAnsi="楷体" w:eastAsia="楷体"/>
          <w:b/>
          <w:color w:val="auto"/>
          <w:sz w:val="21"/>
          <w:szCs w:val="21"/>
          <w:highlight w:val="none"/>
          <w:u w:val="none"/>
          <w:lang w:val="en-US" w:eastAsia="zh-CN"/>
        </w:rPr>
        <w:t>2.</w:t>
      </w:r>
      <w:r>
        <w:rPr>
          <w:rFonts w:hint="eastAsia" w:ascii="楷体" w:hAnsi="楷体" w:eastAsia="楷体"/>
          <w:b/>
          <w:color w:val="auto"/>
          <w:sz w:val="21"/>
          <w:szCs w:val="21"/>
          <w:highlight w:val="none"/>
          <w:u w:val="single"/>
        </w:rPr>
        <w:t>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0" w:firstLineChars="200"/>
        <w:textAlignment w:val="auto"/>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3.</w:t>
      </w:r>
      <w:r>
        <w:rPr>
          <w:rFonts w:hint="eastAsia" w:ascii="楷体" w:hAnsi="楷体" w:eastAsia="楷体"/>
          <w:color w:val="auto"/>
          <w:sz w:val="21"/>
          <w:szCs w:val="21"/>
          <w:highlight w:val="none"/>
        </w:rPr>
        <w:t>本理财产品类型为</w:t>
      </w:r>
      <w:r>
        <w:rPr>
          <w:rFonts w:hint="eastAsia" w:ascii="楷体" w:hAnsi="楷体" w:eastAsia="楷体"/>
          <w:b/>
          <w:bCs/>
          <w:color w:val="auto"/>
          <w:sz w:val="21"/>
          <w:szCs w:val="21"/>
          <w:highlight w:val="none"/>
          <w:u w:val="single"/>
        </w:rPr>
        <w:t>固定收益类、公募、封闭式</w:t>
      </w:r>
      <w:r>
        <w:rPr>
          <w:rFonts w:hint="eastAsia" w:ascii="楷体" w:hAnsi="楷体" w:eastAsia="楷体"/>
          <w:color w:val="auto"/>
          <w:sz w:val="21"/>
          <w:szCs w:val="21"/>
          <w:highlight w:val="none"/>
        </w:rPr>
        <w:t>，计划存续期限为</w:t>
      </w:r>
      <w:r>
        <w:rPr>
          <w:rFonts w:hint="eastAsia" w:ascii="楷体" w:hAnsi="楷体" w:eastAsia="楷体"/>
          <w:b/>
          <w:bCs/>
          <w:color w:val="auto"/>
          <w:sz w:val="21"/>
          <w:szCs w:val="21"/>
          <w:highlight w:val="none"/>
          <w:u w:val="single"/>
          <w:lang w:val="en-US" w:eastAsia="zh-CN"/>
        </w:rPr>
        <w:t>762天</w:t>
      </w:r>
      <w:r>
        <w:rPr>
          <w:rFonts w:hint="eastAsia" w:ascii="楷体" w:hAnsi="楷体" w:eastAsia="楷体"/>
          <w:b/>
          <w:bCs/>
          <w:color w:val="auto"/>
          <w:sz w:val="21"/>
          <w:szCs w:val="21"/>
          <w:highlight w:val="none"/>
          <w:u w:val="single"/>
        </w:rPr>
        <w:t>天</w:t>
      </w:r>
      <w:r>
        <w:rPr>
          <w:rFonts w:hint="eastAsia" w:ascii="楷体" w:hAnsi="楷体" w:eastAsia="楷体"/>
          <w:color w:val="auto"/>
          <w:sz w:val="21"/>
          <w:szCs w:val="21"/>
          <w:highlight w:val="none"/>
        </w:rPr>
        <w:t>，产品管理人对本理财产品的内部风险评级为</w:t>
      </w:r>
      <w:r>
        <w:rPr>
          <w:rFonts w:hint="eastAsia" w:ascii="楷体" w:hAnsi="楷体" w:eastAsia="楷体"/>
          <w:b/>
          <w:bCs/>
          <w:color w:val="auto"/>
          <w:sz w:val="21"/>
          <w:szCs w:val="21"/>
          <w:highlight w:val="none"/>
          <w:u w:val="single"/>
        </w:rPr>
        <w:t>★★二级</w:t>
      </w:r>
      <w:r>
        <w:rPr>
          <w:rFonts w:hint="eastAsia" w:ascii="楷体" w:hAnsi="楷体" w:eastAsia="楷体"/>
          <w:b/>
          <w:color w:val="auto"/>
          <w:sz w:val="21"/>
          <w:szCs w:val="21"/>
          <w:highlight w:val="none"/>
          <w:u w:val="single"/>
        </w:rPr>
        <w:t>，适合</w:t>
      </w:r>
      <w:r>
        <w:rPr>
          <w:rFonts w:hint="eastAsia" w:ascii="楷体" w:hAnsi="楷体" w:eastAsia="楷体"/>
          <w:b/>
          <w:bCs/>
          <w:color w:val="auto"/>
          <w:sz w:val="21"/>
          <w:szCs w:val="21"/>
          <w:highlight w:val="none"/>
          <w:u w:val="single"/>
        </w:rPr>
        <w:t>中低风险型</w:t>
      </w:r>
      <w:r>
        <w:rPr>
          <w:rFonts w:hint="eastAsia" w:ascii="楷体" w:hAnsi="楷体" w:eastAsia="楷体"/>
          <w:color w:val="auto"/>
          <w:sz w:val="21"/>
          <w:szCs w:val="21"/>
          <w:highlight w:val="none"/>
          <w:u w:val="single"/>
        </w:rPr>
        <w:t>。</w:t>
      </w:r>
      <w:r>
        <w:rPr>
          <w:rFonts w:hint="eastAsia" w:ascii="楷体" w:hAnsi="楷体" w:eastAsia="楷体"/>
          <w:color w:val="auto"/>
          <w:sz w:val="21"/>
          <w:szCs w:val="21"/>
          <w:highlight w:val="none"/>
        </w:rPr>
        <w:t>本理财产品的风险特征为：</w:t>
      </w:r>
      <w:r>
        <w:rPr>
          <w:rFonts w:hint="eastAsia" w:ascii="楷体" w:hAnsi="楷体" w:eastAsia="楷体"/>
          <w:b/>
          <w:bCs/>
          <w:color w:val="auto"/>
          <w:sz w:val="21"/>
          <w:szCs w:val="21"/>
          <w:highlight w:val="none"/>
          <w:u w:val="single"/>
        </w:rPr>
        <w:t>【</w:t>
      </w:r>
      <w:r>
        <w:rPr>
          <w:rFonts w:hint="eastAsia" w:ascii="楷体" w:hAnsi="楷体" w:eastAsia="楷体"/>
          <w:b/>
          <w:bCs/>
          <w:color w:val="auto"/>
          <w:sz w:val="21"/>
          <w:szCs w:val="21"/>
          <w:highlight w:val="none"/>
          <w:u w:val="single"/>
          <w:lang w:val="en-US" w:eastAsia="zh-CN"/>
        </w:rPr>
        <w:t>总体风险程度较低，净值波动较小，本金遭受损失的可能性较低。</w:t>
      </w:r>
      <w:r>
        <w:rPr>
          <w:rFonts w:hint="eastAsia" w:ascii="楷体" w:hAnsi="楷体" w:eastAsia="楷体"/>
          <w:b/>
          <w:bCs/>
          <w:color w:val="auto"/>
          <w:sz w:val="21"/>
          <w:szCs w:val="21"/>
          <w:highlight w:val="none"/>
          <w:u w:val="single"/>
        </w:rPr>
        <w:t>】</w:t>
      </w:r>
      <w:r>
        <w:rPr>
          <w:rFonts w:hint="eastAsia" w:ascii="楷体" w:hAnsi="楷体" w:eastAsia="楷体" w:cs="Calibri"/>
          <w:b/>
          <w:color w:val="auto"/>
          <w:sz w:val="21"/>
          <w:szCs w:val="21"/>
          <w:highlight w:val="none"/>
          <w:u w:val="single"/>
        </w:rPr>
        <w:t>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0" w:firstLineChars="200"/>
        <w:textAlignment w:val="auto"/>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lang w:val="en-US" w:eastAsia="zh-CN"/>
        </w:rPr>
        <w:t>并对评估结果签字确认</w:t>
      </w:r>
      <w:r>
        <w:rPr>
          <w:rFonts w:hint="eastAsia" w:ascii="楷体" w:hAnsi="楷体" w:eastAsia="楷体"/>
          <w:color w:val="auto"/>
          <w:sz w:val="21"/>
          <w:szCs w:val="21"/>
          <w:highlight w:val="none"/>
        </w:rPr>
        <w:t>。</w:t>
      </w:r>
    </w:p>
    <w:p>
      <w:pPr>
        <w:pStyle w:val="25"/>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风险揭示方：苏银理财有限责任公司</w:t>
      </w:r>
    </w:p>
    <w:p>
      <w:pPr>
        <w:pStyle w:val="25"/>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p>
    <w:p>
      <w:pPr>
        <w:pStyle w:val="25"/>
        <w:keepNext w:val="0"/>
        <w:keepLines w:val="0"/>
        <w:pageBreakBefore w:val="0"/>
        <w:widowControl/>
        <w:numPr>
          <w:ilvl w:val="0"/>
          <w:numId w:val="0"/>
        </w:numPr>
        <w:bidi w:val="0"/>
        <w:spacing w:before="313" w:beforeAutospacing="0" w:after="157" w:afterAutospacing="0" w:line="310" w:lineRule="exact"/>
        <w:ind w:left="0" w:firstLine="0"/>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投资者风险确认函</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ascii="楷体" w:hAnsi="楷体" w:eastAsia="楷体"/>
          <w:color w:val="auto"/>
          <w:sz w:val="21"/>
          <w:szCs w:val="21"/>
          <w:highlight w:val="none"/>
        </w:rPr>
        <w:t>投资决策系由</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ascii="楷体" w:hAnsi="楷体" w:eastAsia="楷体"/>
          <w:color w:val="auto"/>
          <w:sz w:val="21"/>
          <w:szCs w:val="21"/>
          <w:highlight w:val="none"/>
        </w:rPr>
        <w:t>独立、自主、谨慎做出，</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机构确认已经收到本理财产品的风险揭示书，且已经认真阅读本理财产品完整</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全部约定。</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机构确认理解投资本理财产品将涉及的所有风险，并将承担且有能力承担该等风险。</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承诺理财购买资金来源合法合规，</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将配合管理人及销售机构开展反洗钱、反恐怖融资及非居民金融账户涉税信息尽职调查等工作。</w:t>
      </w:r>
    </w:p>
    <w:p>
      <w:pPr>
        <w:keepNext w:val="0"/>
        <w:keepLines w:val="0"/>
        <w:pageBreakBefore w:val="0"/>
        <w:bidi w:val="0"/>
        <w:spacing w:line="310" w:lineRule="exact"/>
        <w:ind w:firstLine="420"/>
        <w:rPr>
          <w:rFonts w:hint="eastAsia" w:ascii="楷体" w:hAnsi="楷体" w:eastAsia="楷体"/>
          <w:b/>
          <w:color w:val="auto"/>
          <w:sz w:val="21"/>
          <w:szCs w:val="21"/>
          <w:highlight w:val="none"/>
        </w:rPr>
      </w:pPr>
      <w:r>
        <w:rPr>
          <w:rFonts w:hint="eastAsia" w:ascii="楷体" w:hAnsi="楷体" w:eastAsia="楷体"/>
          <w:color w:val="auto"/>
          <w:sz w:val="21"/>
          <w:szCs w:val="21"/>
          <w:highlight w:val="none"/>
        </w:rPr>
        <w:t>经销售机构评估，本人/本机构的风险承受能力评级结果为</w:t>
      </w:r>
      <w:r>
        <w:rPr>
          <w:rFonts w:ascii="楷体" w:hAnsi="楷体" w:eastAsia="楷体"/>
          <w:b/>
          <w:color w:val="auto"/>
          <w:sz w:val="21"/>
          <w:szCs w:val="21"/>
          <w:highlight w:val="none"/>
        </w:rPr>
        <w:t>：</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u w:val="single"/>
        </w:rPr>
        <w:t xml:space="preserve">                                        </w:t>
      </w:r>
    </w:p>
    <w:p>
      <w:pPr>
        <w:keepNext w:val="0"/>
        <w:keepLines w:val="0"/>
        <w:pageBreakBefore w:val="0"/>
        <w:bidi w:val="0"/>
        <w:spacing w:line="310" w:lineRule="exact"/>
        <w:ind w:firstLine="420"/>
        <w:rPr>
          <w:rFonts w:hint="eastAsia" w:ascii="楷体" w:hAnsi="楷体" w:eastAsia="楷体"/>
          <w:color w:val="auto"/>
          <w:sz w:val="21"/>
          <w:szCs w:val="21"/>
          <w:highlight w:val="none"/>
          <w:lang w:val="en-US" w:eastAsia="zh-CN"/>
        </w:rPr>
      </w:pPr>
      <w:r>
        <w:rPr>
          <w:rFonts w:hint="eastAsia" w:ascii="楷体" w:hAnsi="楷体" w:eastAsia="楷体"/>
          <w:color w:val="auto"/>
          <w:sz w:val="21"/>
          <w:szCs w:val="21"/>
          <w:highlight w:val="none"/>
        </w:rPr>
        <w:t>风险承受能力不低于本理财产品的风险评级，适合购买本理财产品。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影响风险承受能力的因素发生变化，本人/本机构</w:t>
      </w:r>
      <w:r>
        <w:rPr>
          <w:rFonts w:hint="eastAsia" w:ascii="楷体" w:hAnsi="楷体" w:eastAsia="楷体"/>
          <w:color w:val="auto"/>
          <w:sz w:val="21"/>
          <w:szCs w:val="21"/>
          <w:highlight w:val="none"/>
        </w:rPr>
        <w:t>将及时完成风险承受能力的重新评估。</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rPr>
        <w:t>须</w:t>
      </w:r>
      <w:r>
        <w:rPr>
          <w:rFonts w:hint="eastAsia" w:ascii="楷体" w:hAnsi="楷体" w:eastAsia="楷体"/>
          <w:b/>
          <w:color w:val="auto"/>
          <w:sz w:val="21"/>
          <w:szCs w:val="21"/>
          <w:highlight w:val="none"/>
          <w:u w:val="single"/>
        </w:rPr>
        <w:t>投资者亲笔抄录</w:t>
      </w:r>
      <w:r>
        <w:rPr>
          <w:rFonts w:hint="eastAsia" w:ascii="楷体" w:hAnsi="楷体" w:eastAsia="楷体"/>
          <w:color w:val="auto"/>
          <w:sz w:val="21"/>
          <w:szCs w:val="21"/>
          <w:highlight w:val="none"/>
        </w:rPr>
        <w:t>以下内容：</w:t>
      </w:r>
      <w:r>
        <w:rPr>
          <w:rFonts w:hint="eastAsia" w:ascii="楷体" w:hAnsi="楷体" w:eastAsia="楷体"/>
          <w:b/>
          <w:color w:val="auto"/>
          <w:sz w:val="21"/>
          <w:szCs w:val="21"/>
          <w:highlight w:val="none"/>
        </w:rPr>
        <w:t>“本人/本机构</w:t>
      </w:r>
      <w:r>
        <w:rPr>
          <w:rFonts w:hint="eastAsia" w:ascii="楷体" w:hAnsi="楷体" w:eastAsia="楷体"/>
          <w:b/>
          <w:color w:val="auto"/>
          <w:sz w:val="21"/>
          <w:szCs w:val="21"/>
          <w:highlight w:val="none"/>
          <w:u w:val="single"/>
        </w:rPr>
        <w:t>已经阅读风险揭示，愿意承担投资风险</w:t>
      </w:r>
      <w:r>
        <w:rPr>
          <w:rFonts w:hint="eastAsia" w:ascii="楷体" w:hAnsi="楷体" w:eastAsia="楷体"/>
          <w:b/>
          <w:color w:val="auto"/>
          <w:sz w:val="21"/>
          <w:szCs w:val="21"/>
          <w:highlight w:val="none"/>
        </w:rPr>
        <w:t>”</w:t>
      </w:r>
      <w:r>
        <w:rPr>
          <w:rFonts w:hint="eastAsia" w:ascii="楷体" w:hAnsi="楷体" w:eastAsia="楷体"/>
          <w:color w:val="auto"/>
          <w:sz w:val="21"/>
          <w:szCs w:val="21"/>
          <w:highlight w:val="none"/>
        </w:rPr>
        <w:t>。</w:t>
      </w:r>
    </w:p>
    <w:p>
      <w:pPr>
        <w:keepNext w:val="0"/>
        <w:keepLines w:val="0"/>
        <w:pageBreakBefore w:val="0"/>
        <w:bidi w:val="0"/>
        <w:spacing w:line="310" w:lineRule="exact"/>
        <w:rPr>
          <w:rFonts w:hint="default" w:ascii="楷体" w:hAnsi="楷体" w:eastAsia="楷体"/>
          <w:color w:val="auto"/>
          <w:sz w:val="21"/>
          <w:szCs w:val="21"/>
          <w:highlight w:val="none"/>
          <w:u w:val="single"/>
          <w:lang w:val="en-US" w:eastAsia="zh-CN"/>
        </w:rPr>
      </w:pP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p>
    <w:p>
      <w:pPr>
        <w:keepNext w:val="0"/>
        <w:keepLines w:val="0"/>
        <w:pageBreakBefore w:val="0"/>
        <w:bidi w:val="0"/>
        <w:spacing w:line="310" w:lineRule="exact"/>
        <w:jc w:val="both"/>
        <w:rPr>
          <w:rFonts w:hint="eastAsia" w:ascii="楷体" w:hAnsi="楷体" w:eastAsia="楷体"/>
          <w:color w:val="auto"/>
          <w:sz w:val="21"/>
          <w:szCs w:val="21"/>
          <w:highlight w:val="none"/>
        </w:rPr>
      </w:pPr>
      <w:r>
        <w:rPr>
          <w:rFonts w:hint="eastAsia" w:ascii="楷体" w:hAnsi="楷体" w:eastAsia="楷体"/>
          <w:color w:val="auto"/>
          <w:sz w:val="21"/>
          <w:szCs w:val="21"/>
          <w:highlight w:val="none"/>
        </w:rPr>
        <w:t>个人投资者签字：</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机构投资者（盖章）：</w:t>
      </w:r>
    </w:p>
    <w:p>
      <w:pPr>
        <w:keepNext w:val="0"/>
        <w:keepLines w:val="0"/>
        <w:pageBreakBefore w:val="0"/>
        <w:bidi w:val="0"/>
        <w:spacing w:line="310" w:lineRule="exact"/>
        <w:rPr>
          <w:rFonts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sz w:val="24"/>
          <w:szCs w:val="24"/>
          <w:highlight w:val="none"/>
          <w:lang w:val="en-US" w:eastAsia="zh-CN"/>
        </w:rPr>
      </w:pPr>
      <w:r>
        <w:rPr>
          <w:rFonts w:hint="eastAsia" w:ascii="楷体" w:hAnsi="楷体" w:eastAsia="楷体"/>
          <w:color w:val="auto"/>
          <w:sz w:val="21"/>
          <w:szCs w:val="21"/>
          <w:highlight w:val="none"/>
        </w:rPr>
        <w:t>机构投资者法定代表人或授权代表（签字或盖章）</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before="0" w:line="240" w:lineRule="auto"/>
      <w:ind w:left="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0" b="0"/>
          <wp:wrapNone/>
          <wp:docPr id="419"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WordPictureWatermark367128483"/>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420"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418"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421"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NotTrackMoves/>
  <w:documentProtection w:enforcement="0"/>
  <w:defaultTabStop w:val="420"/>
  <w:noPunctuationKerning w:val="1"/>
  <w:characterSpacingControl w:val="doNotCompress"/>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4730991"/>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nhideWhenUsed="0" w:uiPriority="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paragraph" w:styleId="4">
    <w:name w:val="heading 1"/>
    <w:basedOn w:val="1"/>
    <w:next w:val="1"/>
    <w:link w:val="192"/>
    <w:qFormat/>
    <w:uiPriority w:val="1"/>
    <w:pPr>
      <w:spacing w:before="17"/>
      <w:ind w:left="1144"/>
      <w:jc w:val="left"/>
      <w:outlineLvl w:val="0"/>
    </w:pPr>
    <w:rPr>
      <w:rFonts w:ascii="黑体" w:hAnsi="Times New Roman" w:eastAsia="黑体"/>
      <w:b/>
      <w:bCs/>
      <w:sz w:val="36"/>
      <w:szCs w:val="36"/>
    </w:rPr>
  </w:style>
  <w:style w:type="paragraph" w:styleId="5">
    <w:name w:val="heading 2"/>
    <w:basedOn w:val="1"/>
    <w:next w:val="1"/>
    <w:link w:val="197"/>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01"/>
    <w:qFormat/>
    <w:uiPriority w:val="1"/>
    <w:pPr>
      <w:spacing w:before="34"/>
      <w:ind w:left="120"/>
      <w:jc w:val="left"/>
      <w:outlineLvl w:val="2"/>
    </w:pPr>
    <w:rPr>
      <w:rFonts w:ascii="宋体" w:hAnsi="Times New Roman"/>
      <w:b/>
      <w:bCs/>
      <w:sz w:val="20"/>
      <w:szCs w:val="21"/>
    </w:rPr>
  </w:style>
  <w:style w:type="paragraph" w:styleId="7">
    <w:name w:val="heading 4"/>
    <w:basedOn w:val="1"/>
    <w:next w:val="1"/>
    <w:link w:val="164"/>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8">
    <w:name w:val="heading 5"/>
    <w:basedOn w:val="1"/>
    <w:next w:val="1"/>
    <w:link w:val="165"/>
    <w:unhideWhenUsed/>
    <w:qFormat/>
    <w:uiPriority w:val="9"/>
    <w:pPr>
      <w:keepNext/>
      <w:keepLines/>
      <w:spacing w:before="80" w:after="40"/>
      <w:outlineLvl w:val="4"/>
    </w:pPr>
    <w:rPr>
      <w:rFonts w:ascii="Arial" w:hAnsi="Arial" w:eastAsia="Arial" w:cs="Arial"/>
      <w:color w:val="2E75B6" w:themeColor="accent1" w:themeShade="BF"/>
    </w:rPr>
  </w:style>
  <w:style w:type="paragraph" w:styleId="9">
    <w:name w:val="heading 6"/>
    <w:basedOn w:val="1"/>
    <w:next w:val="1"/>
    <w:link w:val="166"/>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10">
    <w:name w:val="heading 7"/>
    <w:basedOn w:val="1"/>
    <w:next w:val="1"/>
    <w:link w:val="167"/>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168"/>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2">
    <w:name w:val="heading 9"/>
    <w:basedOn w:val="1"/>
    <w:next w:val="1"/>
    <w:link w:val="169"/>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9">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FFFFFF" w:fill="69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EBF7"/>
      </w:tcPr>
    </w:tblStylePr>
    <w:tblStylePr w:type="band2Vert"/>
    <w:tblStylePr w:type="band1Horz">
      <w:rPr>
        <w:rFonts w:ascii="Arial" w:hAnsi="Arial"/>
        <w:color w:val="404040"/>
        <w:sz w:val="22"/>
      </w:rPr>
      <w:tcPr>
        <w:shd w:val="clear" w:color="FFFFFF" w:fill="DFEBF7"/>
      </w:tcPr>
    </w:tblStylePr>
    <w:tblStylePr w:type="band2Horz"/>
    <w:tblStylePr w:type="neCell"/>
    <w:tblStylePr w:type="nwCell"/>
    <w:tblStylePr w:type="seCell"/>
    <w:tblStylePr w:type="swCell"/>
  </w:style>
  <w:style w:type="paragraph" w:styleId="13">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unhideWhenUsed/>
    <w:qFormat/>
    <w:uiPriority w:val="99"/>
    <w:pPr>
      <w:jc w:val="left"/>
    </w:pPr>
  </w:style>
  <w:style w:type="paragraph" w:styleId="15">
    <w:name w:val="Body Text"/>
    <w:basedOn w:val="1"/>
    <w:next w:val="1"/>
    <w:qFormat/>
    <w:uiPriority w:val="1"/>
    <w:pPr>
      <w:spacing w:before="162"/>
      <w:ind w:left="120"/>
      <w:jc w:val="left"/>
    </w:pPr>
    <w:rPr>
      <w:rFonts w:ascii="宋体" w:hAnsi="Times New Roman"/>
      <w:sz w:val="20"/>
      <w:szCs w:val="21"/>
    </w:rPr>
  </w:style>
  <w:style w:type="paragraph" w:styleId="16">
    <w:name w:val="Date"/>
    <w:basedOn w:val="1"/>
    <w:next w:val="1"/>
    <w:unhideWhenUsed/>
    <w:qFormat/>
    <w:uiPriority w:val="99"/>
    <w:pPr>
      <w:ind w:left="100"/>
    </w:pPr>
  </w:style>
  <w:style w:type="paragraph" w:styleId="17">
    <w:name w:val="endnote text"/>
    <w:basedOn w:val="1"/>
    <w:semiHidden/>
    <w:unhideWhenUsed/>
    <w:qFormat/>
    <w:uiPriority w:val="99"/>
    <w:pPr>
      <w:spacing w:after="0" w:line="240" w:lineRule="auto"/>
    </w:pPr>
    <w:rPr>
      <w:sz w:val="20"/>
      <w:szCs w:val="20"/>
    </w:rPr>
  </w:style>
  <w:style w:type="paragraph" w:styleId="18">
    <w:name w:val="Balloon Text"/>
    <w:basedOn w:val="1"/>
    <w:unhideWhenUsed/>
    <w:qFormat/>
    <w:uiPriority w:val="99"/>
    <w:rPr>
      <w:sz w:val="18"/>
      <w:szCs w:val="18"/>
    </w:rPr>
  </w:style>
  <w:style w:type="paragraph" w:styleId="19">
    <w:name w:val="footer"/>
    <w:basedOn w:val="1"/>
    <w:unhideWhenUsed/>
    <w:qFormat/>
    <w:uiPriority w:val="99"/>
    <w:pPr>
      <w:tabs>
        <w:tab w:val="center" w:pos="4153"/>
        <w:tab w:val="right" w:pos="8306"/>
      </w:tabs>
      <w:jc w:val="left"/>
    </w:pPr>
    <w:rPr>
      <w:sz w:val="18"/>
      <w:szCs w:val="18"/>
    </w:rPr>
  </w:style>
  <w:style w:type="paragraph" w:styleId="20">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21">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unhideWhenUsed/>
    <w:qFormat/>
    <w:uiPriority w:val="99"/>
    <w:pPr>
      <w:jc w:val="left"/>
    </w:pPr>
    <w:rPr>
      <w:sz w:val="18"/>
      <w:szCs w:val="18"/>
    </w:rPr>
  </w:style>
  <w:style w:type="paragraph" w:styleId="23">
    <w:name w:val="table of figures"/>
    <w:basedOn w:val="1"/>
    <w:next w:val="1"/>
    <w:unhideWhenUsed/>
    <w:qFormat/>
    <w:uiPriority w:val="99"/>
    <w:pPr>
      <w:spacing w:after="0" w:afterAutospacing="0"/>
    </w:pPr>
  </w:style>
  <w:style w:type="paragraph" w:styleId="2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rPr>
  </w:style>
  <w:style w:type="paragraph" w:styleId="25">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26">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7">
    <w:name w:val="annotation subject"/>
    <w:basedOn w:val="14"/>
    <w:next w:val="14"/>
    <w:unhideWhenUsed/>
    <w:qFormat/>
    <w:uiPriority w:val="99"/>
    <w:rPr>
      <w:b/>
      <w:bCs/>
    </w:rPr>
  </w:style>
  <w:style w:type="table" w:styleId="28">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0">
    <w:name w:val="Strong"/>
    <w:qFormat/>
    <w:uiPriority w:val="22"/>
    <w:rPr>
      <w:rFonts w:ascii="Times New Roman" w:hAnsi="Times New Roman" w:eastAsia="宋体" w:cs="Times New Roman"/>
      <w:b/>
      <w:bCs/>
    </w:rPr>
  </w:style>
  <w:style w:type="character" w:styleId="31">
    <w:name w:val="endnote reference"/>
    <w:basedOn w:val="29"/>
    <w:semiHidden/>
    <w:unhideWhenUsed/>
    <w:qFormat/>
    <w:uiPriority w:val="99"/>
    <w:rPr>
      <w:vertAlign w:val="superscript"/>
    </w:rPr>
  </w:style>
  <w:style w:type="character" w:styleId="32">
    <w:name w:val="FollowedHyperlink"/>
    <w:basedOn w:val="29"/>
    <w:semiHidden/>
    <w:unhideWhenUsed/>
    <w:qFormat/>
    <w:uiPriority w:val="99"/>
    <w:rPr>
      <w:color w:val="954F72" w:themeColor="followedHyperlink"/>
      <w:u w:val="single"/>
      <w14:textFill>
        <w14:solidFill>
          <w14:schemeClr w14:val="folHlink"/>
        </w14:solidFill>
      </w14:textFill>
    </w:rPr>
  </w:style>
  <w:style w:type="character" w:styleId="33">
    <w:name w:val="Emphasis"/>
    <w:basedOn w:val="29"/>
    <w:qFormat/>
    <w:uiPriority w:val="20"/>
    <w:rPr>
      <w:i/>
      <w:iCs/>
    </w:rPr>
  </w:style>
  <w:style w:type="character" w:styleId="34">
    <w:name w:val="Hyperlink"/>
    <w:unhideWhenUsed/>
    <w:qFormat/>
    <w:uiPriority w:val="99"/>
    <w:rPr>
      <w:rFonts w:ascii="Times New Roman" w:hAnsi="Times New Roman" w:eastAsia="宋体" w:cs="Times New Roman"/>
      <w:color w:val="0000FF"/>
      <w:u w:val="single"/>
    </w:rPr>
  </w:style>
  <w:style w:type="character" w:styleId="35">
    <w:name w:val="annotation reference"/>
    <w:unhideWhenUsed/>
    <w:qFormat/>
    <w:uiPriority w:val="99"/>
    <w:rPr>
      <w:rFonts w:ascii="Times New Roman" w:hAnsi="Times New Roman" w:eastAsia="宋体" w:cs="Times New Roman"/>
      <w:sz w:val="21"/>
      <w:szCs w:val="21"/>
    </w:rPr>
  </w:style>
  <w:style w:type="character" w:styleId="36">
    <w:name w:val="footnote reference"/>
    <w:unhideWhenUsed/>
    <w:qFormat/>
    <w:uiPriority w:val="99"/>
    <w:rPr>
      <w:rFonts w:ascii="Times New Roman" w:hAnsi="Times New Roman" w:eastAsia="宋体" w:cs="Times New Roman"/>
      <w:vertAlign w:val="superscript"/>
    </w:rPr>
  </w:style>
  <w:style w:type="table" w:customStyle="1" w:styleId="37">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8">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2F2F2"/>
      </w:tcPr>
    </w:tblStylePr>
    <w:tblStylePr w:type="band2Vert"/>
    <w:tblStylePr w:type="band1Horz">
      <w:tcPr>
        <w:shd w:val="clear" w:color="FFFFFF" w:fill="F2F2F2"/>
      </w:tcPr>
    </w:tblStylePr>
    <w:tblStylePr w:type="band2Horz"/>
    <w:tblStylePr w:type="neCell"/>
    <w:tblStylePr w:type="nwCell"/>
    <w:tblStylePr w:type="seCell"/>
    <w:tblStylePr w:type="swCell"/>
  </w:style>
  <w:style w:type="table" w:customStyle="1" w:styleId="39">
    <w:name w:val="Plain Table 2"/>
    <w:basedOn w:val="3"/>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0">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1">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2">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3">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4">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5">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6">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7">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8">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49">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0">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1">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2">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53">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54">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55">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56">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57">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8">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9">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0">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1">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2">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3">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4">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5">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FFFFF"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6">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FFFFFF"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7">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FFFF" w:fill="FFD965"/>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8">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FFFFFF"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9">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70">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cPr>
    </w:tblStylePr>
    <w:tblStylePr w:type="lastRow">
      <w:rPr>
        <w:rFonts w:ascii="Arial" w:hAnsi="Arial"/>
        <w:b/>
        <w:color w:val="FFFFFF"/>
        <w:sz w:val="22"/>
      </w:rPr>
      <w:tcPr>
        <w:tcBorders>
          <w:top w:val="single" w:color="FFFFFF" w:themeColor="light1" w:sz="4" w:space="0"/>
        </w:tcBorders>
        <w:shd w:val="clear" w:color="FFFFFF" w:fill="000000"/>
      </w:tcPr>
    </w:tblStylePr>
    <w:tblStylePr w:type="firstCol">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band1Vert">
      <w:tcPr>
        <w:shd w:val="clear" w:color="FFFFFF" w:fill="8A8A8A"/>
      </w:tcPr>
    </w:tblStylePr>
    <w:tblStylePr w:type="band2Vert"/>
    <w:tblStylePr w:type="band1Horz">
      <w:tcPr>
        <w:shd w:val="clear" w:color="FFFFFF" w:fill="8A8A8A"/>
      </w:tcPr>
    </w:tblStylePr>
    <w:tblStylePr w:type="band2Horz"/>
    <w:tblStylePr w:type="neCell"/>
    <w:tblStylePr w:type="nwCell"/>
    <w:tblStylePr w:type="seCell"/>
    <w:tblStylePr w:type="swCell"/>
  </w:style>
  <w:style w:type="table" w:customStyle="1" w:styleId="71">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5B9BD5"/>
      </w:tcPr>
    </w:tblStylePr>
    <w:tblStylePr w:type="lastRow">
      <w:rPr>
        <w:rFonts w:ascii="Arial" w:hAnsi="Arial"/>
        <w:b/>
        <w:color w:val="FFFFFF"/>
        <w:sz w:val="22"/>
      </w:rPr>
      <w:tcPr>
        <w:tcBorders>
          <w:top w:val="single" w:color="FFFFFF" w:themeColor="light1" w:sz="4" w:space="0"/>
        </w:tcBorders>
        <w:shd w:val="clear" w:color="FFFFFF" w:fill="5B9BD5"/>
      </w:tcPr>
    </w:tblStylePr>
    <w:tblStylePr w:type="firstCol">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band1Vert">
      <w:tcPr>
        <w:shd w:val="clear" w:color="FFFFFF" w:fill="B4D1EC"/>
      </w:tcPr>
    </w:tblStylePr>
    <w:tblStylePr w:type="band2Vert"/>
    <w:tblStylePr w:type="band1Horz">
      <w:tcPr>
        <w:shd w:val="clear" w:color="FFFFFF" w:fill="B4D1EC"/>
      </w:tcPr>
    </w:tblStylePr>
    <w:tblStylePr w:type="band2Horz"/>
    <w:tblStylePr w:type="neCell"/>
    <w:tblStylePr w:type="nwCell"/>
    <w:tblStylePr w:type="seCell"/>
    <w:tblStylePr w:type="swCell"/>
  </w:style>
  <w:style w:type="table" w:customStyle="1" w:styleId="72">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ED7D31"/>
      </w:tcPr>
    </w:tblStylePr>
    <w:tblStylePr w:type="lastRow">
      <w:rPr>
        <w:rFonts w:ascii="Arial" w:hAnsi="Arial"/>
        <w:b/>
        <w:color w:val="FFFFFF"/>
        <w:sz w:val="22"/>
      </w:rPr>
      <w:tcPr>
        <w:tcBorders>
          <w:top w:val="single" w:color="FFFFFF" w:themeColor="light1" w:sz="4" w:space="0"/>
        </w:tcBorders>
        <w:shd w:val="clear" w:color="FFFFFF" w:fill="ED7D31"/>
      </w:tcPr>
    </w:tblStylePr>
    <w:tblStylePr w:type="firstCol">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band1Vert">
      <w:tcPr>
        <w:shd w:val="clear" w:color="FFFFFF" w:fill="F7C3A0"/>
      </w:tcPr>
    </w:tblStylePr>
    <w:tblStylePr w:type="band2Vert"/>
    <w:tblStylePr w:type="band1Horz">
      <w:tcPr>
        <w:shd w:val="clear" w:color="FFFFFF" w:fill="F7C3A0"/>
      </w:tcPr>
    </w:tblStylePr>
    <w:tblStylePr w:type="band2Horz"/>
    <w:tblStylePr w:type="neCell"/>
    <w:tblStylePr w:type="nwCell"/>
    <w:tblStylePr w:type="seCell"/>
    <w:tblStylePr w:type="swCell"/>
  </w:style>
  <w:style w:type="table" w:customStyle="1" w:styleId="73">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A5A5A5"/>
      </w:tcPr>
    </w:tblStylePr>
    <w:tblStylePr w:type="lastRow">
      <w:rPr>
        <w:rFonts w:ascii="Arial" w:hAnsi="Arial"/>
        <w:b/>
        <w:color w:val="FFFFFF"/>
        <w:sz w:val="22"/>
      </w:rPr>
      <w:tcPr>
        <w:tcBorders>
          <w:top w:val="single" w:color="FFFFFF" w:themeColor="light1" w:sz="4" w:space="0"/>
        </w:tcBorders>
        <w:shd w:val="clear" w:color="FFFFFF" w:fill="A5A5A5"/>
      </w:tcPr>
    </w:tblStylePr>
    <w:tblStylePr w:type="firstCol">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band1Vert">
      <w:tcPr>
        <w:shd w:val="clear" w:color="FFFFFF" w:fill="D6D6D6"/>
      </w:tcPr>
    </w:tblStylePr>
    <w:tblStylePr w:type="band2Vert"/>
    <w:tblStylePr w:type="band1Horz">
      <w:tcPr>
        <w:shd w:val="clear" w:color="FFFFFF" w:fill="D6D6D6"/>
      </w:tcPr>
    </w:tblStylePr>
    <w:tblStylePr w:type="band2Horz"/>
    <w:tblStylePr w:type="neCell"/>
    <w:tblStylePr w:type="nwCell"/>
    <w:tblStylePr w:type="seCell"/>
    <w:tblStylePr w:type="swCell"/>
  </w:style>
  <w:style w:type="table" w:customStyle="1" w:styleId="74">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FC000"/>
      </w:tcPr>
    </w:tblStylePr>
    <w:tblStylePr w:type="lastRow">
      <w:rPr>
        <w:rFonts w:ascii="Arial" w:hAnsi="Arial"/>
        <w:b/>
        <w:color w:val="FFFFFF"/>
        <w:sz w:val="22"/>
      </w:rPr>
      <w:tcPr>
        <w:tcBorders>
          <w:top w:val="single" w:color="FFFFFF" w:themeColor="light1" w:sz="4" w:space="0"/>
        </w:tcBorders>
        <w:shd w:val="clear" w:color="FFFFFF" w:fill="FFC000"/>
      </w:tcPr>
    </w:tblStylePr>
    <w:tblStylePr w:type="firstCol">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band1Vert">
      <w:tcPr>
        <w:shd w:val="clear" w:color="FFFFFF" w:fill="FFE28A"/>
      </w:tcPr>
    </w:tblStylePr>
    <w:tblStylePr w:type="band2Vert"/>
    <w:tblStylePr w:type="band1Horz">
      <w:tcPr>
        <w:shd w:val="clear" w:color="FFFFFF" w:fill="FFE28A"/>
      </w:tcPr>
    </w:tblStylePr>
    <w:tblStylePr w:type="band2Horz"/>
    <w:tblStylePr w:type="neCell"/>
    <w:tblStylePr w:type="nwCell"/>
    <w:tblStylePr w:type="seCell"/>
    <w:tblStylePr w:type="swCell"/>
  </w:style>
  <w:style w:type="table" w:customStyle="1" w:styleId="75">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472C4"/>
      </w:tcPr>
    </w:tblStylePr>
    <w:tblStylePr w:type="lastRow">
      <w:rPr>
        <w:rFonts w:ascii="Arial" w:hAnsi="Arial"/>
        <w:b/>
        <w:color w:val="FFFFFF"/>
        <w:sz w:val="22"/>
      </w:rPr>
      <w:tcPr>
        <w:tcBorders>
          <w:top w:val="single" w:color="FFFFFF" w:themeColor="light1" w:sz="4" w:space="0"/>
        </w:tcBorders>
        <w:shd w:val="clear" w:color="FFFFFF" w:fill="4472C4"/>
      </w:tcPr>
    </w:tblStylePr>
    <w:tblStylePr w:type="firstCol">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band1Vert">
      <w:tcPr>
        <w:shd w:val="clear" w:color="FFFFFF" w:fill="A9BEE4"/>
      </w:tcPr>
    </w:tblStylePr>
    <w:tblStylePr w:type="band2Vert"/>
    <w:tblStylePr w:type="band1Horz">
      <w:tcPr>
        <w:shd w:val="clear" w:color="FFFFFF" w:fill="A9BEE4"/>
      </w:tcPr>
    </w:tblStylePr>
    <w:tblStylePr w:type="band2Horz"/>
    <w:tblStylePr w:type="neCell"/>
    <w:tblStylePr w:type="nwCell"/>
    <w:tblStylePr w:type="seCell"/>
    <w:tblStylePr w:type="swCell"/>
  </w:style>
  <w:style w:type="table" w:customStyle="1" w:styleId="76">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70AD47"/>
      </w:tcPr>
    </w:tblStylePr>
    <w:tblStylePr w:type="lastRow">
      <w:rPr>
        <w:rFonts w:ascii="Arial" w:hAnsi="Arial"/>
        <w:b/>
        <w:color w:val="FFFFFF"/>
        <w:sz w:val="22"/>
      </w:rPr>
      <w:tcPr>
        <w:tcBorders>
          <w:top w:val="single" w:color="FFFFFF" w:themeColor="light1" w:sz="4" w:space="0"/>
        </w:tcBorders>
        <w:shd w:val="clear" w:color="FFFFFF" w:fill="70AD47"/>
      </w:tcPr>
    </w:tblStylePr>
    <w:tblStylePr w:type="firstCol">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band1Vert">
      <w:tcPr>
        <w:shd w:val="clear" w:color="FFFFFF" w:fill="BDDBA8"/>
      </w:tcPr>
    </w:tblStylePr>
    <w:tblStylePr w:type="band2Vert"/>
    <w:tblStylePr w:type="band1Horz">
      <w:tcPr>
        <w:shd w:val="clear" w:color="FFFFFF" w:fill="BDDBA8"/>
      </w:tcPr>
    </w:tblStylePr>
    <w:tblStylePr w:type="band2Horz"/>
    <w:tblStylePr w:type="neCell"/>
    <w:tblStylePr w:type="nwCell"/>
    <w:tblStylePr w:type="seCell"/>
    <w:tblStylePr w:type="swCell"/>
  </w:style>
  <w:style w:type="table" w:customStyle="1" w:styleId="77">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BCBCB"/>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8">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0">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1">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2">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3">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E2EFD9"/>
      </w:tcPr>
    </w:tblStylePr>
    <w:tblStylePr w:type="band2Vert"/>
    <w:tblStylePr w:type="band1Horz">
      <w:rPr>
        <w:rFonts w:ascii="Arial" w:hAnsi="Arial"/>
        <w:color w:val="254174" w:themeColor="accent5" w:themeShade="94"/>
        <w:sz w:val="22"/>
      </w:rPr>
      <w:tcPr>
        <w:shd w:val="clear" w:color="FFFFFF" w:fill="E2EFD9"/>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F2F2F2"/>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5">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7">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8">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9">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0">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FFFFFF" w:fill="E2EFD9"/>
      </w:tcPr>
    </w:tblStylePr>
    <w:tblStylePr w:type="band2Vert"/>
    <w:tblStylePr w:type="band1Horz">
      <w:rPr>
        <w:rFonts w:ascii="Arial" w:hAnsi="Arial"/>
        <w:color w:val="416429" w:themeColor="accent6" w:themeShade="94"/>
        <w:sz w:val="22"/>
      </w:rPr>
      <w:tcPr>
        <w:shd w:val="clear" w:color="FFFFFF" w:fill="E2EFD9"/>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1">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2Vert"/>
    <w:tblStylePr w:type="band1Horz">
      <w:tcPr>
        <w:shd w:val="clear" w:color="FFFFFF" w:fill="BFBFBF"/>
      </w:tcPr>
    </w:tblStylePr>
    <w:tblStylePr w:type="band2Horz"/>
    <w:tblStylePr w:type="neCell"/>
    <w:tblStylePr w:type="nwCell"/>
    <w:tblStylePr w:type="seCell"/>
    <w:tblStylePr w:type="swCell"/>
  </w:style>
  <w:style w:type="table" w:customStyle="1" w:styleId="92">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6E6F4"/>
      </w:tcPr>
    </w:tblStylePr>
    <w:tblStylePr w:type="band2Vert"/>
    <w:tblStylePr w:type="band1Horz">
      <w:tcPr>
        <w:shd w:val="clear" w:color="FFFFFF" w:fill="D6E6F4"/>
      </w:tcPr>
    </w:tblStylePr>
    <w:tblStylePr w:type="band2Horz"/>
    <w:tblStylePr w:type="neCell"/>
    <w:tblStylePr w:type="nwCell"/>
    <w:tblStylePr w:type="seCell"/>
    <w:tblStylePr w:type="swCell"/>
  </w:style>
  <w:style w:type="table" w:customStyle="1" w:styleId="93">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ADECB"/>
      </w:tcPr>
    </w:tblStylePr>
    <w:tblStylePr w:type="band2Vert"/>
    <w:tblStylePr w:type="band1Horz">
      <w:tcPr>
        <w:shd w:val="clear" w:color="FFFFFF" w:fill="FADECB"/>
      </w:tcPr>
    </w:tblStylePr>
    <w:tblStylePr w:type="band2Horz"/>
    <w:tblStylePr w:type="neCell"/>
    <w:tblStylePr w:type="nwCell"/>
    <w:tblStylePr w:type="seCell"/>
    <w:tblStylePr w:type="swCell"/>
  </w:style>
  <w:style w:type="table" w:customStyle="1" w:styleId="94">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8E8E8"/>
      </w:tcPr>
    </w:tblStylePr>
    <w:tblStylePr w:type="band2Vert"/>
    <w:tblStylePr w:type="band1Horz">
      <w:tcPr>
        <w:shd w:val="clear" w:color="FFFFFF" w:fill="E8E8E8"/>
      </w:tcPr>
    </w:tblStylePr>
    <w:tblStylePr w:type="band2Horz"/>
    <w:tblStylePr w:type="neCell"/>
    <w:tblStylePr w:type="nwCell"/>
    <w:tblStylePr w:type="seCell"/>
    <w:tblStylePr w:type="swCell"/>
  </w:style>
  <w:style w:type="table" w:customStyle="1" w:styleId="95">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FEFBF"/>
      </w:tcPr>
    </w:tblStylePr>
    <w:tblStylePr w:type="band2Vert"/>
    <w:tblStylePr w:type="band1Horz">
      <w:tcPr>
        <w:shd w:val="clear" w:color="FFFFFF" w:fill="FFEFBF"/>
      </w:tcPr>
    </w:tblStylePr>
    <w:tblStylePr w:type="band2Horz"/>
    <w:tblStylePr w:type="neCell"/>
    <w:tblStylePr w:type="nwCell"/>
    <w:tblStylePr w:type="seCell"/>
    <w:tblStylePr w:type="swCell"/>
  </w:style>
  <w:style w:type="table" w:customStyle="1" w:styleId="96">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0DCF0"/>
      </w:tcPr>
    </w:tblStylePr>
    <w:tblStylePr w:type="band2Vert"/>
    <w:tblStylePr w:type="band1Horz">
      <w:tcPr>
        <w:shd w:val="clear" w:color="FFFFFF" w:fill="D0DCF0"/>
      </w:tcPr>
    </w:tblStylePr>
    <w:tblStylePr w:type="band2Horz"/>
    <w:tblStylePr w:type="neCell"/>
    <w:tblStylePr w:type="nwCell"/>
    <w:tblStylePr w:type="seCell"/>
    <w:tblStylePr w:type="swCell"/>
  </w:style>
  <w:style w:type="table" w:customStyle="1" w:styleId="97">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BECD0"/>
      </w:tcPr>
    </w:tblStylePr>
    <w:tblStylePr w:type="band2Vert"/>
    <w:tblStylePr w:type="band1Horz">
      <w:tcPr>
        <w:shd w:val="clear" w:color="FFFFFF" w:fill="DBECD0"/>
      </w:tcPr>
    </w:tblStylePr>
    <w:tblStylePr w:type="band2Horz"/>
    <w:tblStylePr w:type="neCell"/>
    <w:tblStylePr w:type="nwCell"/>
    <w:tblStylePr w:type="seCell"/>
    <w:tblStylePr w:type="swCell"/>
  </w:style>
  <w:style w:type="table" w:customStyle="1" w:styleId="98">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99">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00">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01">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02">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03">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04">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05">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6">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7">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FFFFF"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8">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FFFFFF"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09">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FFFF" w:fill="FFD9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0">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FFFFFF" w:fill="8EAA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1">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FFFFFF" w:fill="A9D18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2">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13">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14">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FFFFFF"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15">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FFFFFF"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16">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FFFF"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17">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FFFFFF"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18">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FFFFFF"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19">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F7F7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F7F7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F7F7F"/>
      </w:tcPr>
    </w:tblStylePr>
    <w:tblStylePr w:type="band2Horz">
      <w:tcPr>
        <w:tcBorders>
          <w:top w:val="single" w:color="FFFFFF" w:themeColor="light1" w:sz="4" w:space="0"/>
          <w:bottom w:val="single" w:color="FFFFFF" w:themeColor="light1" w:sz="4" w:space="0"/>
        </w:tcBorders>
        <w:shd w:val="clear" w:color="FFFFFF" w:fill="7F7F7F"/>
      </w:tcPr>
    </w:tblStylePr>
    <w:tblStylePr w:type="neCell"/>
    <w:tblStylePr w:type="nwCell"/>
    <w:tblStylePr w:type="seCell"/>
    <w:tblStylePr w:type="swCell"/>
  </w:style>
  <w:style w:type="table" w:customStyle="1" w:styleId="120">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FFFFFF"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FFFFFF"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5B9BD5"/>
      </w:tcPr>
    </w:tblStylePr>
    <w:tblStylePr w:type="band2Horz">
      <w:tcPr>
        <w:tcBorders>
          <w:top w:val="single" w:color="FFFFFF" w:themeColor="light1" w:sz="4" w:space="0"/>
          <w:bottom w:val="single" w:color="FFFFFF" w:themeColor="light1" w:sz="4" w:space="0"/>
        </w:tcBorders>
        <w:shd w:val="clear" w:color="FFFFFF" w:fill="5B9BD5"/>
      </w:tcPr>
    </w:tblStylePr>
    <w:tblStylePr w:type="neCell"/>
    <w:tblStylePr w:type="nwCell"/>
    <w:tblStylePr w:type="seCell"/>
    <w:tblStylePr w:type="swCell"/>
  </w:style>
  <w:style w:type="table" w:customStyle="1" w:styleId="121">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FFFFF"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4B285"/>
      </w:tcPr>
    </w:tblStylePr>
    <w:tblStylePr w:type="band2Horz">
      <w:tcPr>
        <w:tcBorders>
          <w:top w:val="single" w:color="FFFFFF" w:themeColor="light1" w:sz="4" w:space="0"/>
          <w:bottom w:val="single" w:color="FFFFFF" w:themeColor="light1" w:sz="4" w:space="0"/>
        </w:tcBorders>
        <w:shd w:val="clear" w:color="FFFFFF" w:fill="F4B285"/>
      </w:tcPr>
    </w:tblStylePr>
    <w:tblStylePr w:type="neCell"/>
    <w:tblStylePr w:type="nwCell"/>
    <w:tblStylePr w:type="seCell"/>
    <w:tblStylePr w:type="swCell"/>
  </w:style>
  <w:style w:type="table" w:customStyle="1" w:styleId="122">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FFFFFF"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9C9C9"/>
      </w:tcPr>
    </w:tblStylePr>
    <w:tblStylePr w:type="band2Horz">
      <w:tcPr>
        <w:tcBorders>
          <w:top w:val="single" w:color="FFFFFF" w:themeColor="light1" w:sz="4" w:space="0"/>
          <w:bottom w:val="single" w:color="FFFFFF" w:themeColor="light1" w:sz="4" w:space="0"/>
        </w:tcBorders>
        <w:shd w:val="clear" w:color="FFFFFF" w:fill="C9C9C9"/>
      </w:tcPr>
    </w:tblStylePr>
    <w:tblStylePr w:type="neCell"/>
    <w:tblStylePr w:type="nwCell"/>
    <w:tblStylePr w:type="seCell"/>
    <w:tblStylePr w:type="swCell"/>
  </w:style>
  <w:style w:type="table" w:customStyle="1" w:styleId="123">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FFFF" w:fill="FFD96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FFD96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FD965"/>
      </w:tcPr>
    </w:tblStylePr>
    <w:tblStylePr w:type="band2Horz">
      <w:tcPr>
        <w:tcBorders>
          <w:top w:val="single" w:color="FFFFFF" w:themeColor="light1" w:sz="4" w:space="0"/>
          <w:bottom w:val="single" w:color="FFFFFF" w:themeColor="light1" w:sz="4" w:space="0"/>
        </w:tcBorders>
        <w:shd w:val="clear" w:color="FFFFFF" w:fill="FFD965"/>
      </w:tcPr>
    </w:tblStylePr>
    <w:tblStylePr w:type="neCell"/>
    <w:tblStylePr w:type="nwCell"/>
    <w:tblStylePr w:type="seCell"/>
    <w:tblStylePr w:type="swCell"/>
  </w:style>
  <w:style w:type="table" w:customStyle="1" w:styleId="124">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FFFFFF" w:fill="8EAA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8EAA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8EAADB"/>
      </w:tcPr>
    </w:tblStylePr>
    <w:tblStylePr w:type="band2Horz">
      <w:tcPr>
        <w:tcBorders>
          <w:top w:val="single" w:color="FFFFFF" w:themeColor="light1" w:sz="4" w:space="0"/>
          <w:bottom w:val="single" w:color="FFFFFF" w:themeColor="light1" w:sz="4" w:space="0"/>
        </w:tcBorders>
        <w:shd w:val="clear" w:color="FFFFFF" w:fill="8EAADB"/>
      </w:tcPr>
    </w:tblStylePr>
    <w:tblStylePr w:type="neCell"/>
    <w:tblStylePr w:type="nwCell"/>
    <w:tblStylePr w:type="seCell"/>
    <w:tblStylePr w:type="swCell"/>
  </w:style>
  <w:style w:type="table" w:customStyle="1" w:styleId="125">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FFFFFF" w:fill="A9D18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A9D18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A9D18F"/>
      </w:tcPr>
    </w:tblStylePr>
    <w:tblStylePr w:type="band2Horz">
      <w:tcPr>
        <w:tcBorders>
          <w:top w:val="single" w:color="FFFFFF" w:themeColor="light1" w:sz="4" w:space="0"/>
          <w:bottom w:val="single" w:color="FFFFFF" w:themeColor="light1" w:sz="4" w:space="0"/>
        </w:tcBorders>
        <w:shd w:val="clear" w:color="FFFFFF" w:fill="A9D18F"/>
      </w:tcPr>
    </w:tblStylePr>
    <w:tblStylePr w:type="neCell"/>
    <w:tblStylePr w:type="nwCell"/>
    <w:tblStylePr w:type="seCell"/>
    <w:tblStylePr w:type="swCell"/>
  </w:style>
  <w:style w:type="table" w:customStyle="1" w:styleId="126">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FBFBF"/>
      </w:tcPr>
    </w:tblStylePr>
    <w:tblStylePr w:type="band2Vert"/>
    <w:tblStylePr w:type="band1Horz">
      <w:rPr>
        <w:rFonts w:ascii="Arial" w:hAnsi="Arial"/>
        <w:color w:val="000000" w:themeColor="text1"/>
        <w:sz w:val="22"/>
        <w14:textFill>
          <w14:solidFill>
            <w14:schemeClr w14:val="tx1"/>
          </w14:solidFill>
        </w14:textFill>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7">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8">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29">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0">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3">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BFBFBF"/>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4">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5">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6">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7">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0">
    <w:name w:val="Lined - Accent"/>
    <w:basedOn w:val="3"/>
    <w:qFormat/>
    <w:uiPriority w:val="99"/>
    <w:pPr>
      <w:spacing w:after="0" w:line="240" w:lineRule="auto"/>
    </w:pPr>
    <w:rPr>
      <w:color w:val="404040"/>
    </w:r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1">
    <w:name w:val="Lined - Accent 1"/>
    <w:basedOn w:val="3"/>
    <w:qFormat/>
    <w:uiPriority w:val="99"/>
    <w:pPr>
      <w:spacing w:after="0" w:line="240" w:lineRule="auto"/>
    </w:pPr>
    <w:rPr>
      <w:color w:val="404040"/>
    </w:r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2">
    <w:name w:val="Lined - Accent 2"/>
    <w:basedOn w:val="3"/>
    <w:qFormat/>
    <w:uiPriority w:val="99"/>
    <w:pPr>
      <w:spacing w:after="0" w:line="240" w:lineRule="auto"/>
    </w:pPr>
    <w:rPr>
      <w:color w:val="404040"/>
    </w:r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43">
    <w:name w:val="Lined - Accent 3"/>
    <w:basedOn w:val="3"/>
    <w:qFormat/>
    <w:uiPriority w:val="99"/>
    <w:pPr>
      <w:spacing w:after="0" w:line="240" w:lineRule="auto"/>
    </w:pPr>
    <w:rPr>
      <w:color w:val="404040"/>
    </w:r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44">
    <w:name w:val="Lined - Accent 4"/>
    <w:basedOn w:val="3"/>
    <w:qFormat/>
    <w:uiPriority w:val="99"/>
    <w:pPr>
      <w:spacing w:after="0" w:line="240" w:lineRule="auto"/>
    </w:pPr>
    <w:rPr>
      <w:color w:val="404040"/>
    </w:r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45">
    <w:name w:val="Lined - Accent 5"/>
    <w:basedOn w:val="3"/>
    <w:qFormat/>
    <w:uiPriority w:val="99"/>
    <w:pPr>
      <w:spacing w:after="0" w:line="240" w:lineRule="auto"/>
    </w:pPr>
    <w:rPr>
      <w:color w:val="404040"/>
    </w:r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46">
    <w:name w:val="Lined - Accent 6"/>
    <w:basedOn w:val="3"/>
    <w:qFormat/>
    <w:uiPriority w:val="99"/>
    <w:pPr>
      <w:spacing w:after="0" w:line="240" w:lineRule="auto"/>
    </w:pPr>
    <w:rPr>
      <w:color w:val="404040"/>
    </w:r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47">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8">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9">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50">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51">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52">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53">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4">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5">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6">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7">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8">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59">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0">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1">
    <w:name w:val="Heading 1 Char"/>
    <w:basedOn w:val="29"/>
    <w:qFormat/>
    <w:uiPriority w:val="9"/>
    <w:rPr>
      <w:rFonts w:ascii="Arial" w:hAnsi="Arial" w:eastAsia="Arial" w:cs="Arial"/>
      <w:color w:val="2E75B6" w:themeColor="accent1" w:themeShade="BF"/>
      <w:sz w:val="40"/>
      <w:szCs w:val="40"/>
    </w:rPr>
  </w:style>
  <w:style w:type="character" w:customStyle="1" w:styleId="162">
    <w:name w:val="Heading 2 Char"/>
    <w:basedOn w:val="29"/>
    <w:qFormat/>
    <w:uiPriority w:val="9"/>
    <w:rPr>
      <w:rFonts w:ascii="Arial" w:hAnsi="Arial" w:eastAsia="Arial" w:cs="Arial"/>
      <w:color w:val="2E75B6" w:themeColor="accent1" w:themeShade="BF"/>
      <w:sz w:val="32"/>
      <w:szCs w:val="32"/>
    </w:rPr>
  </w:style>
  <w:style w:type="character" w:customStyle="1" w:styleId="163">
    <w:name w:val="Heading 3 Char"/>
    <w:basedOn w:val="29"/>
    <w:qFormat/>
    <w:uiPriority w:val="9"/>
    <w:rPr>
      <w:rFonts w:ascii="Arial" w:hAnsi="Arial" w:eastAsia="Arial" w:cs="Arial"/>
      <w:color w:val="2E75B6" w:themeColor="accent1" w:themeShade="BF"/>
      <w:sz w:val="28"/>
      <w:szCs w:val="28"/>
    </w:rPr>
  </w:style>
  <w:style w:type="character" w:customStyle="1" w:styleId="164">
    <w:name w:val="Heading 4 Char"/>
    <w:basedOn w:val="29"/>
    <w:link w:val="7"/>
    <w:qFormat/>
    <w:uiPriority w:val="9"/>
    <w:rPr>
      <w:rFonts w:ascii="Arial" w:hAnsi="Arial" w:eastAsia="Arial" w:cs="Arial"/>
      <w:i/>
      <w:iCs/>
      <w:color w:val="2E75B6" w:themeColor="accent1" w:themeShade="BF"/>
    </w:rPr>
  </w:style>
  <w:style w:type="character" w:customStyle="1" w:styleId="165">
    <w:name w:val="Heading 5 Char"/>
    <w:basedOn w:val="29"/>
    <w:link w:val="8"/>
    <w:qFormat/>
    <w:uiPriority w:val="9"/>
    <w:rPr>
      <w:rFonts w:ascii="Arial" w:hAnsi="Arial" w:eastAsia="Arial" w:cs="Arial"/>
      <w:color w:val="2E75B6" w:themeColor="accent1" w:themeShade="BF"/>
    </w:rPr>
  </w:style>
  <w:style w:type="character" w:customStyle="1" w:styleId="166">
    <w:name w:val="Heading 6 Char"/>
    <w:basedOn w:val="29"/>
    <w:link w:val="9"/>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7">
    <w:name w:val="Heading 7 Char"/>
    <w:basedOn w:val="29"/>
    <w:link w:val="10"/>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8">
    <w:name w:val="Heading 8 Char"/>
    <w:basedOn w:val="29"/>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9">
    <w:name w:val="Heading 9 Char"/>
    <w:basedOn w:val="29"/>
    <w:link w:val="1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Title Char"/>
    <w:basedOn w:val="29"/>
    <w:qFormat/>
    <w:uiPriority w:val="10"/>
    <w:rPr>
      <w:rFonts w:ascii="Arial" w:hAnsi="Arial" w:eastAsia="Arial" w:cs="Arial"/>
      <w:spacing w:val="-10"/>
      <w:sz w:val="56"/>
      <w:szCs w:val="56"/>
    </w:rPr>
  </w:style>
  <w:style w:type="character" w:customStyle="1" w:styleId="171">
    <w:name w:val="Subtitle Char"/>
    <w:basedOn w:val="29"/>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2">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3">
    <w:name w:val="Quote Char"/>
    <w:basedOn w:val="29"/>
    <w:qFormat/>
    <w:uiPriority w:val="29"/>
    <w:rPr>
      <w:i/>
      <w:iCs/>
      <w:color w:val="404040" w:themeColor="text1" w:themeTint="BF"/>
      <w14:textFill>
        <w14:solidFill>
          <w14:schemeClr w14:val="tx1">
            <w14:lumMod w14:val="75000"/>
            <w14:lumOff w14:val="25000"/>
          </w14:schemeClr>
        </w14:solidFill>
      </w14:textFill>
    </w:rPr>
  </w:style>
  <w:style w:type="character" w:customStyle="1" w:styleId="174">
    <w:name w:val="Intense Emphasis"/>
    <w:basedOn w:val="29"/>
    <w:qFormat/>
    <w:uiPriority w:val="21"/>
    <w:rPr>
      <w:i/>
      <w:iCs/>
      <w:color w:val="2E75B6" w:themeColor="accent1" w:themeShade="BF"/>
    </w:rPr>
  </w:style>
  <w:style w:type="paragraph" w:styleId="175">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6">
    <w:name w:val="Intense Quote Char"/>
    <w:basedOn w:val="29"/>
    <w:qFormat/>
    <w:uiPriority w:val="30"/>
    <w:rPr>
      <w:i/>
      <w:iCs/>
      <w:color w:val="2E75B6" w:themeColor="accent1" w:themeShade="BF"/>
    </w:rPr>
  </w:style>
  <w:style w:type="character" w:customStyle="1" w:styleId="177">
    <w:name w:val="Intense Reference"/>
    <w:basedOn w:val="29"/>
    <w:qFormat/>
    <w:uiPriority w:val="32"/>
    <w:rPr>
      <w:b/>
      <w:bCs/>
      <w:smallCaps/>
      <w:color w:val="2E75B6" w:themeColor="accent1" w:themeShade="BF"/>
      <w:spacing w:val="5"/>
    </w:rPr>
  </w:style>
  <w:style w:type="paragraph" w:styleId="178">
    <w:name w:val="No Spacing"/>
    <w:basedOn w:val="1"/>
    <w:link w:val="196"/>
    <w:qFormat/>
    <w:uiPriority w:val="1"/>
    <w:pPr>
      <w:spacing w:after="0" w:line="240" w:lineRule="auto"/>
    </w:pPr>
  </w:style>
  <w:style w:type="character" w:customStyle="1" w:styleId="179">
    <w:name w:val="Subtle Emphasis"/>
    <w:basedOn w:val="29"/>
    <w:qFormat/>
    <w:uiPriority w:val="19"/>
    <w:rPr>
      <w:i/>
      <w:iCs/>
      <w:color w:val="404040" w:themeColor="text1" w:themeTint="BF"/>
      <w14:textFill>
        <w14:solidFill>
          <w14:schemeClr w14:val="tx1">
            <w14:lumMod w14:val="75000"/>
            <w14:lumOff w14:val="25000"/>
          </w14:schemeClr>
        </w14:solidFill>
      </w14:textFill>
    </w:rPr>
  </w:style>
  <w:style w:type="character" w:customStyle="1" w:styleId="180">
    <w:name w:val="Subtle Reference"/>
    <w:basedOn w:val="29"/>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1">
    <w:name w:val="Book Title"/>
    <w:basedOn w:val="29"/>
    <w:qFormat/>
    <w:uiPriority w:val="33"/>
    <w:rPr>
      <w:b/>
      <w:bCs/>
      <w:i/>
      <w:iCs/>
      <w:spacing w:val="5"/>
    </w:rPr>
  </w:style>
  <w:style w:type="character" w:customStyle="1" w:styleId="182">
    <w:name w:val="Header Char"/>
    <w:basedOn w:val="29"/>
    <w:qFormat/>
    <w:uiPriority w:val="99"/>
  </w:style>
  <w:style w:type="character" w:customStyle="1" w:styleId="183">
    <w:name w:val="Footer Char"/>
    <w:basedOn w:val="29"/>
    <w:qFormat/>
    <w:uiPriority w:val="99"/>
  </w:style>
  <w:style w:type="character" w:customStyle="1" w:styleId="184">
    <w:name w:val="Footnote Text Char"/>
    <w:basedOn w:val="29"/>
    <w:semiHidden/>
    <w:qFormat/>
    <w:uiPriority w:val="99"/>
    <w:rPr>
      <w:sz w:val="20"/>
      <w:szCs w:val="20"/>
    </w:rPr>
  </w:style>
  <w:style w:type="character" w:customStyle="1" w:styleId="185">
    <w:name w:val="Endnote Text Char"/>
    <w:basedOn w:val="29"/>
    <w:semiHidden/>
    <w:qFormat/>
    <w:uiPriority w:val="99"/>
    <w:rPr>
      <w:sz w:val="20"/>
      <w:szCs w:val="20"/>
    </w:rPr>
  </w:style>
  <w:style w:type="paragraph" w:customStyle="1" w:styleId="186">
    <w:name w:val="TOC Heading"/>
    <w:unhideWhenUsed/>
    <w:qFormat/>
    <w:uiPriority w:val="39"/>
    <w:rPr>
      <w:rFonts w:hint="default" w:ascii="Times New Roman" w:hAnsi="Times New Roman" w:eastAsia="宋体" w:cs="Times New Roman"/>
    </w:rPr>
  </w:style>
  <w:style w:type="paragraph" w:customStyle="1" w:styleId="187">
    <w:name w:val="_Style 21"/>
    <w:semiHidden/>
    <w:qFormat/>
    <w:uiPriority w:val="99"/>
    <w:rPr>
      <w:rFonts w:hint="default" w:ascii="Times New Roman" w:hAnsi="Times New Roman" w:eastAsia="宋体" w:cs="Times New Roman"/>
      <w:sz w:val="21"/>
      <w:szCs w:val="22"/>
      <w:lang w:val="en-US" w:eastAsia="zh-CN" w:bidi="ar-SA"/>
    </w:rPr>
  </w:style>
  <w:style w:type="paragraph" w:customStyle="1" w:styleId="188">
    <w:name w:val="Table Paragraph"/>
    <w:basedOn w:val="1"/>
    <w:qFormat/>
    <w:uiPriority w:val="1"/>
    <w:pPr>
      <w:jc w:val="left"/>
    </w:pPr>
    <w:rPr>
      <w:rFonts w:ascii="Times New Roman" w:hAnsi="Times New Roman" w:cs="Times New Roman"/>
      <w:sz w:val="24"/>
      <w:szCs w:val="24"/>
    </w:rPr>
  </w:style>
  <w:style w:type="paragraph" w:styleId="189">
    <w:name w:val="List Paragraph"/>
    <w:basedOn w:val="1"/>
    <w:qFormat/>
    <w:uiPriority w:val="72"/>
    <w:pPr>
      <w:ind w:firstLine="420"/>
    </w:pPr>
  </w:style>
  <w:style w:type="paragraph" w:customStyle="1" w:styleId="190">
    <w:name w:val="Default"/>
    <w:qFormat/>
    <w:uiPriority w:val="0"/>
    <w:pPr>
      <w:widowControl w:val="0"/>
    </w:pPr>
    <w:rPr>
      <w:rFonts w:hint="default" w:ascii="宋体" w:hAnsi="宋体" w:eastAsia="宋体" w:cs="宋体"/>
      <w:color w:val="000000"/>
      <w:sz w:val="24"/>
      <w:szCs w:val="24"/>
      <w:lang w:val="en-US" w:eastAsia="zh-CN" w:bidi="ar-SA"/>
    </w:rPr>
  </w:style>
  <w:style w:type="character" w:customStyle="1" w:styleId="191">
    <w:name w:val="页眉 Char"/>
    <w:qFormat/>
    <w:uiPriority w:val="99"/>
    <w:rPr>
      <w:rFonts w:ascii="Times New Roman" w:hAnsi="Times New Roman" w:eastAsia="宋体" w:cs="Times New Roman"/>
      <w:sz w:val="18"/>
      <w:szCs w:val="18"/>
    </w:rPr>
  </w:style>
  <w:style w:type="character" w:customStyle="1" w:styleId="192">
    <w:name w:val="标题 1 Char"/>
    <w:link w:val="4"/>
    <w:qFormat/>
    <w:uiPriority w:val="1"/>
    <w:rPr>
      <w:rFonts w:ascii="黑体" w:hAnsi="Times New Roman" w:eastAsia="黑体" w:cs="黑体"/>
      <w:b/>
      <w:bCs/>
      <w:sz w:val="36"/>
      <w:szCs w:val="36"/>
    </w:rPr>
  </w:style>
  <w:style w:type="character" w:customStyle="1" w:styleId="193">
    <w:name w:val="批注文字 Char"/>
    <w:qFormat/>
    <w:uiPriority w:val="99"/>
    <w:rPr>
      <w:rFonts w:ascii="Times New Roman" w:hAnsi="Times New Roman" w:eastAsia="宋体" w:cs="Times New Roman"/>
      <w:sz w:val="21"/>
      <w:szCs w:val="22"/>
    </w:rPr>
  </w:style>
  <w:style w:type="character" w:customStyle="1" w:styleId="194">
    <w:name w:val="脚注文本 Char"/>
    <w:semiHidden/>
    <w:qFormat/>
    <w:uiPriority w:val="99"/>
    <w:rPr>
      <w:rFonts w:ascii="Times New Roman" w:hAnsi="Times New Roman" w:eastAsia="宋体" w:cs="Times New Roman"/>
      <w:sz w:val="18"/>
      <w:szCs w:val="18"/>
    </w:rPr>
  </w:style>
  <w:style w:type="character" w:customStyle="1" w:styleId="195">
    <w:name w:val="页脚 Char"/>
    <w:qFormat/>
    <w:uiPriority w:val="99"/>
    <w:rPr>
      <w:rFonts w:ascii="Times New Roman" w:hAnsi="Times New Roman" w:eastAsia="宋体" w:cs="Times New Roman"/>
      <w:sz w:val="18"/>
      <w:szCs w:val="18"/>
    </w:rPr>
  </w:style>
  <w:style w:type="character" w:customStyle="1" w:styleId="196">
    <w:name w:val="批注框文本 Char"/>
    <w:link w:val="178"/>
    <w:semiHidden/>
    <w:qFormat/>
    <w:uiPriority w:val="99"/>
    <w:rPr>
      <w:rFonts w:ascii="Times New Roman" w:hAnsi="Times New Roman" w:eastAsia="宋体" w:cs="Times New Roman"/>
      <w:sz w:val="18"/>
      <w:szCs w:val="18"/>
    </w:rPr>
  </w:style>
  <w:style w:type="character" w:customStyle="1" w:styleId="197">
    <w:name w:val="标题 2 Char"/>
    <w:link w:val="5"/>
    <w:qFormat/>
    <w:uiPriority w:val="9"/>
    <w:rPr>
      <w:rFonts w:ascii="Cambria" w:hAnsi="Cambria" w:eastAsia="宋体" w:cs="Times New Roman"/>
      <w:b/>
      <w:bCs/>
      <w:sz w:val="32"/>
      <w:szCs w:val="32"/>
    </w:rPr>
  </w:style>
  <w:style w:type="character" w:customStyle="1" w:styleId="198">
    <w:name w:val="日期 Char"/>
    <w:basedOn w:val="29"/>
    <w:semiHidden/>
    <w:qFormat/>
    <w:uiPriority w:val="99"/>
    <w:rPr>
      <w:rFonts w:ascii="Times New Roman" w:hAnsi="Times New Roman" w:eastAsia="宋体" w:cs="Times New Roman"/>
    </w:rPr>
  </w:style>
  <w:style w:type="character" w:customStyle="1" w:styleId="199">
    <w:name w:val="脚注文本 字符"/>
    <w:semiHidden/>
    <w:qFormat/>
    <w:uiPriority w:val="99"/>
    <w:rPr>
      <w:rFonts w:ascii="Times New Roman" w:hAnsi="Times New Roman" w:eastAsia="宋体" w:cs="Times New Roman"/>
      <w:sz w:val="18"/>
      <w:szCs w:val="18"/>
    </w:rPr>
  </w:style>
  <w:style w:type="character" w:customStyle="1" w:styleId="200">
    <w:name w:val="批注主题 Char"/>
    <w:semiHidden/>
    <w:qFormat/>
    <w:uiPriority w:val="99"/>
    <w:rPr>
      <w:rFonts w:ascii="Times New Roman" w:hAnsi="Times New Roman" w:eastAsia="宋体" w:cs="Times New Roman"/>
      <w:b/>
      <w:bCs/>
      <w:sz w:val="21"/>
      <w:szCs w:val="22"/>
    </w:rPr>
  </w:style>
  <w:style w:type="character" w:customStyle="1" w:styleId="201">
    <w:name w:val="标题 3 Char"/>
    <w:link w:val="6"/>
    <w:qFormat/>
    <w:uiPriority w:val="1"/>
    <w:rPr>
      <w:rFonts w:ascii="宋体" w:hAnsi="Times New Roman" w:eastAsia="宋体" w:cs="宋体"/>
      <w:b/>
      <w:bCs/>
      <w:szCs w:val="21"/>
    </w:rPr>
  </w:style>
  <w:style w:type="character" w:customStyle="1" w:styleId="202">
    <w:name w:val="正文文本 Char"/>
    <w:qFormat/>
    <w:uiPriority w:val="1"/>
    <w:rPr>
      <w:rFonts w:ascii="宋体" w:hAnsi="Times New Roman" w:eastAsia="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7.xml"/><Relationship Id="rId13" Type="http://schemas.openxmlformats.org/officeDocument/2006/relationships/customXml" Target="../customXml/item6.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

<file path=customXml/item3.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2026-06-04T07:59:28Z</dcterms:modified>
  <cp:revision>3</cp:revision>
</cp:coreProperties>
</file>

<file path=customXml/item4.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DACFA670345B46109B510CD60729262E</vt:lpwstr>
  </property>
</Properties>
</file>

<file path=customXml/item6.xml><?xml version="1.0" encoding="utf-8"?>
<Properties xmlns="http://schemas.openxmlformats.org/officeDocument/2006/extended-properties" xmlns:vt="http://schemas.openxmlformats.org/officeDocument/2006/docPropsVTypes">
  <Template>Normal.dotm</Template>
  <TotalTime>5</TotalTime>
  <ScaleCrop>false</ScaleCrop>
  <LinksUpToDate>false</LinksUpToDate>
  <Application>WPS Office_11.8.2.11734_F1E327BC-269C-435d-A152-05C5408002CA</Application>
  <DocSecurity>0</DocSecurity>
</Properties>
</file>

<file path=customXml/item7.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陈哲琨</cp:lastModifiedBy>
  <dcterms:modified xsi:type="dcterms:W3CDTF">2026-08-26T08:38:40Z</dcterms:modified>
  <cp:revision>3</cp:revision>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7390bd-7426-4027-9fc0-e8d34a2b4cac}">
  <ds:schemaRefs/>
</ds:datastoreItem>
</file>

<file path=customXml/itemProps3.xml><?xml version="1.0" encoding="utf-8"?>
<ds:datastoreItem xmlns:ds="http://schemas.openxmlformats.org/officeDocument/2006/customXml" ds:itemID="{b4ca3d73-f516-4afa-b4b8-d6bb46c8e545}">
  <ds:schemaRefs/>
</ds:datastoreItem>
</file>

<file path=customXml/itemProps4.xml><?xml version="1.0" encoding="utf-8"?>
<ds:datastoreItem xmlns:ds="http://schemas.openxmlformats.org/officeDocument/2006/customXml" ds:itemID="{ef1b1ee3-10ef-4af2-946a-673b99c1b38c}">
  <ds:schemaRefs/>
</ds:datastoreItem>
</file>

<file path=customXml/itemProps5.xml><?xml version="1.0" encoding="utf-8"?>
<ds:datastoreItem xmlns:ds="http://schemas.openxmlformats.org/officeDocument/2006/customXml" ds:itemID="{09289ae9-ab1b-400b-81e1-5de1a8d52f7a}">
  <ds:schemaRefs/>
</ds:datastoreItem>
</file>

<file path=customXml/itemProps6.xml><?xml version="1.0" encoding="utf-8"?>
<ds:datastoreItem xmlns:ds="http://schemas.openxmlformats.org/officeDocument/2006/customXml" ds:itemID="{d7970948-95a2-4bc8-8898-559023bf8a16}">
  <ds:schemaRefs/>
</ds:datastoreItem>
</file>

<file path=customXml/itemProps7.xml><?xml version="1.0" encoding="utf-8"?>
<ds:datastoreItem xmlns:ds="http://schemas.openxmlformats.org/officeDocument/2006/customXml" ds:itemID="{e4e2ea0f-5d48-404e-88d9-fb58b5e7351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ScaleCrop>false</ScaleCrop>
  <LinksUpToDate>false</LinksUpToDate>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2024-03-28T01:26:00Z</dcterms:created>
  <dc:creator>jsyh</dc:creator>
  <cp:lastModifiedBy>jsyh</cp:lastModifiedBy>
  <dcterms:modified xsi:type="dcterms:W3CDTF">2026-08-27T06:34:39Z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