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310" w:lineRule="exact"/>
        <w:jc w:val="center"/>
        <w:textAlignment w:val="auto"/>
        <w:rPr>
          <w:rFonts w:ascii="楷体" w:eastAsia="楷体" w:hAnsi="楷体" w:hint="eastAsia"/>
          <w:b/>
          <w:sz w:val="21"/>
          <w:szCs w:val="21"/>
        </w:rPr>
      </w:pPr>
      <w:r>
        <w:rPr>
          <w:rFonts w:ascii="楷体" w:eastAsia="楷体" w:hAnsi="楷体" w:hint="eastAsia"/>
          <w:b/>
          <w:sz w:val="28"/>
          <w:szCs w:val="28"/>
        </w:rPr>
        <w:t xml:space="preserve">苏银理财有限责任公司投资者权益须知</w:t>
      </w:r>
    </w:p>
    <w:p>
      <w:pPr>
        <w:pStyle w:val="Normal(Web)"/>
        <w:keepNext w:val="0"/>
        <w:keepLines w:val="0"/>
        <w:pageBreakBefore w:val="0"/>
        <w:widowControl/>
        <w:kinsoku/>
        <w:wordWrap/>
        <w:overflowPunct/>
        <w:topLinePunct w:val="0"/>
        <w:autoSpaceDE/>
        <w:autoSpaceDN/>
        <w:bidi w:val="0"/>
        <w:adjustRightInd/>
        <w:snapToGrid/>
        <w:spacing w:before="0" w:beforeAutospacing="0" w:after="157" w:afterLines="50" w:afterAutospacing="0" w:line="310" w:lineRule="exact"/>
        <w:jc w:val="center"/>
        <w:textAlignment w:val="auto"/>
        <w:rPr>
          <w:rFonts w:ascii="楷体" w:eastAsia="楷体" w:hAnsi="楷体" w:hint="eastAsia"/>
          <w:b/>
          <w:sz w:val="24"/>
          <w:szCs w:val="24"/>
        </w:rPr>
      </w:pPr>
      <w:r>
        <w:rPr>
          <w:rFonts w:ascii="楷体" w:eastAsia="楷体" w:hAnsi="楷体" w:hint="eastAsia"/>
          <w:b/>
          <w:sz w:val="24"/>
          <w:szCs w:val="24"/>
        </w:rPr>
        <w:t xml:space="preserve">理财非存款、产品有风险、投资须谨慎</w:t>
      </w:r>
    </w:p>
    <w:p>
      <w:pPr>
        <w:pStyle w:val="Normal(Web)"/>
        <w:keepNext w:val="0"/>
        <w:keepLines w:val="0"/>
        <w:pageBreakBefore w:val="0"/>
        <w:kinsoku/>
        <w:wordWrap/>
        <w:overflowPunct/>
        <w:topLinePunct w:val="0"/>
        <w:bidi w:val="0"/>
        <w:snapToGrid/>
        <w:spacing w:before="0" w:beforeAutospacing="0" w:after="0" w:afterAutospacing="0" w:line="310" w:lineRule="exact"/>
        <w:jc w:val="center"/>
        <w:textAlignment w:val="auto"/>
        <w:rPr>
          <w:rFonts w:ascii="楷体" w:eastAsia="楷体" w:hAnsi="楷体" w:cs="浠垮畫" w:hint="eastAsia"/>
          <w:sz w:val="21"/>
          <w:szCs w:val="21"/>
          <w:lang w:val="en-US" w:eastAsia="zh-CN"/>
        </w:rPr>
      </w:pPr>
      <w:r>
        <w:rPr>
          <w:rFonts w:ascii="楷体" w:eastAsia="楷体" w:hAnsi="楷体" w:cs="浠垮畫" w:hint="eastAsia"/>
          <w:sz w:val="21"/>
          <w:szCs w:val="21"/>
        </w:rPr>
        <w:t xml:space="preserve">（适用于代销渠道）</w:t>
      </w:r>
    </w:p>
    <w:p>
      <w:pPr>
        <w:keepNext w:val="0"/>
        <w:keepLines w:val="0"/>
        <w:pageBreakBefore w:val="0"/>
        <w:kinsoku/>
        <w:wordWrap/>
        <w:overflowPunct/>
        <w:topLinePunct w:val="0"/>
        <w:autoSpaceDE w:val="0"/>
        <w:autoSpaceDN w:val="0"/>
        <w:bidi w:val="0"/>
        <w:adjustRightInd w:val="0"/>
        <w:snapToGrid/>
        <w:spacing w:line="310" w:lineRule="exact"/>
        <w:jc w:val="left"/>
        <w:textAlignment w:val="auto"/>
        <w:rPr>
          <w:rFonts w:ascii="楷体" w:eastAsia="楷体" w:hAnsi="楷体" w:cs="浠垮畫" w:hint="eastAsia"/>
          <w:kern w:val="0"/>
          <w:sz w:val="21"/>
          <w:szCs w:val="21"/>
          <w:lang w:val="en-US" w:eastAsia="zh-CN"/>
        </w:rPr>
      </w:pPr>
      <w:r>
        <w:rPr>
          <w:rFonts w:ascii="楷体" w:eastAsia="楷体" w:hAnsi="楷体" w:cs="浠垮畫" w:hint="eastAsia"/>
          <w:kern w:val="0"/>
          <w:sz w:val="21"/>
          <w:szCs w:val="21"/>
        </w:rPr>
        <w:t xml:space="preserve">尊敬的投资者：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感谢您购买苏银理财有限责任公司(以下简称“苏银理财”)发行管理的理财产品，</w:t>
      </w:r>
      <w:r>
        <w:rPr>
          <w:rFonts w:ascii="楷体" w:eastAsia="楷体" w:hAnsi="楷体" w:cs="浠垮畫"/>
          <w:b/>
          <w:kern w:val="0"/>
          <w:sz w:val="21"/>
          <w:szCs w:val="21"/>
          <w:u w:val="single"/>
        </w:rPr>
        <w:t xml:space="preserve">理财非存款、产品有风险、投资须谨慎</w:t>
      </w:r>
      <w:r>
        <w:rPr>
          <w:rFonts w:ascii="楷体" w:eastAsia="楷体" w:hAnsi="楷体" w:cs="浠垮畫" w:hint="eastAsia"/>
          <w:b/>
          <w:kern w:val="0"/>
          <w:sz w:val="21"/>
          <w:szCs w:val="21"/>
          <w:u w:val="single"/>
        </w:rPr>
        <w:t xml:space="preserve">。苏银理财对本产品的理财本金和收益不提供保证承诺，您的本金和收益可能因市场变动而蒙受相应损失，您应充分认识投资风险，谨慎投资。</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hint="eastAsia"/>
          <w:kern w:val="0"/>
          <w:sz w:val="21"/>
          <w:szCs w:val="21"/>
        </w:rPr>
      </w:pPr>
      <w:r>
        <w:rPr>
          <w:rFonts w:ascii="楷体" w:eastAsia="楷体" w:hAnsi="楷体" w:cs="浠垮畫" w:hint="eastAsia"/>
          <w:b/>
          <w:kern w:val="0"/>
          <w:sz w:val="21"/>
          <w:szCs w:val="21"/>
          <w:u w:val="single"/>
        </w:rPr>
        <w:t xml:space="preserve">本产品由苏银理财发行和管理，代销机构负责您与苏银理财之间的资金划转工作，不承担产品投资</w:t>
      </w:r>
      <w:r>
        <w:rPr>
          <w:rFonts w:ascii="楷体" w:eastAsia="楷体" w:hAnsi="楷体" w:cs="浠垮畫" w:hint="eastAsia"/>
          <w:b/>
          <w:kern w:val="0"/>
          <w:sz w:val="21"/>
          <w:szCs w:val="21"/>
          <w:u w:val="single"/>
          <w:lang w:val="en-US" w:eastAsia="zh-CN"/>
        </w:rPr>
        <w:t xml:space="preserve">和</w:t>
      </w:r>
      <w:r>
        <w:rPr>
          <w:rFonts w:ascii="楷体" w:eastAsia="楷体" w:hAnsi="楷体" w:cs="浠垮畫" w:hint="eastAsia"/>
          <w:b/>
          <w:kern w:val="0"/>
          <w:sz w:val="21"/>
          <w:szCs w:val="21"/>
          <w:u w:val="single"/>
        </w:rPr>
        <w:t xml:space="preserve">兑付责任。</w:t>
      </w:r>
      <w:r>
        <w:rPr>
          <w:rFonts w:ascii="楷体" w:eastAsia="楷体" w:hAnsi="楷体" w:cs="浠垮畫" w:hint="eastAsia"/>
          <w:kern w:val="0"/>
          <w:sz w:val="21"/>
          <w:szCs w:val="21"/>
        </w:rPr>
        <w:t xml:space="preserve">为方便您办理苏银理财有限责任公司理财业务，请仔细阅读以下内容。如对理财产品合同或购买流程等有不明之处，请及时与代销机构相关人员进行咨询；在购买理财产品后，请关注理财产品的信息披露情况，及时获取相关信息；如对理财产品有任何意见或建议，请关注产品管理人相关联络方式并予以反馈，或通过代销机构转达。</w:t>
      </w:r>
      <w:bookmarkStart w:id="0" w:name="_GoBack"/>
      <w:bookmarkEnd w:id="0"/>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hint="eastAsia"/>
          <w:b/>
          <w:kern w:val="0"/>
          <w:sz w:val="21"/>
          <w:szCs w:val="21"/>
        </w:rPr>
      </w:pPr>
      <w:r>
        <w:rPr>
          <w:rFonts w:ascii="楷体" w:eastAsia="楷体" w:hAnsi="楷体" w:cs="浠垮畫"/>
          <w:b/>
          <w:kern w:val="0"/>
          <w:sz w:val="21"/>
          <w:szCs w:val="21"/>
        </w:rPr>
        <w:t xml:space="preserve">一、代销机构代理销售苏银理财产品的流程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（一）</w:t>
      </w:r>
      <w:r>
        <w:rPr>
          <w:rFonts w:ascii="楷体" w:eastAsia="楷体" w:hAnsi="楷体" w:cs="浠垮畫" w:hint="eastAsia"/>
          <w:kern w:val="0"/>
          <w:sz w:val="21"/>
          <w:szCs w:val="21"/>
          <w:lang w:val="en-US" w:eastAsia="zh-CN"/>
        </w:rPr>
        <w:t xml:space="preserve">普通</w:t>
      </w:r>
      <w:r>
        <w:rPr>
          <w:rFonts w:ascii="楷体" w:eastAsia="楷体" w:hAnsi="楷体" w:cs="浠垮畫" w:hint="eastAsia"/>
          <w:kern w:val="0"/>
          <w:sz w:val="21"/>
          <w:szCs w:val="21"/>
        </w:rPr>
        <w:t xml:space="preserve">投资者</w:t>
      </w:r>
    </w:p>
    <w:p>
      <w:pPr>
        <w:keepNext w:val="0"/>
        <w:keepLines w:val="0"/>
        <w:pageBreakBefore w:val="0"/>
        <w:kinsoku/>
        <w:wordWrap/>
        <w:overflowPunct/>
        <w:topLinePunct w:val="0"/>
        <w:autoSpaceDE w:val="0"/>
        <w:autoSpaceDN w:val="0"/>
        <w:bidi w:val="0"/>
        <w:adjustRightInd w:val="0"/>
        <w:snapToGrid/>
        <w:spacing w:line="310" w:lineRule="exact"/>
        <w:ind w:left="0" w:firstLine="420" w:firstLineChars="200"/>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1.开户流程：</w:t>
      </w:r>
      <w:r>
        <w:rPr>
          <w:rFonts w:ascii="楷体" w:eastAsia="楷体" w:hAnsi="楷体" w:cs="楷体" w:hint="eastAsia"/>
          <w:kern w:val="0"/>
          <w:sz w:val="21"/>
          <w:szCs w:val="21"/>
          <w:lang w:val="en-US" w:eastAsia="zh-CN"/>
        </w:rPr>
        <w:t xml:space="preserve">普通</w:t>
      </w:r>
      <w:r>
        <w:rPr>
          <w:rFonts w:ascii="楷体" w:eastAsia="楷体" w:hAnsi="楷体" w:cs="楷体" w:hint="eastAsia"/>
          <w:kern w:val="0"/>
          <w:sz w:val="21"/>
          <w:szCs w:val="21"/>
        </w:rPr>
        <w:t xml:space="preserve">投资者首次购买理财产品需进行开户，可持有效证件</w:t>
      </w:r>
      <w:r>
        <w:rPr>
          <w:rFonts w:ascii="楷体" w:eastAsia="楷体" w:hAnsi="楷体" w:cs="楷体" w:hint="eastAsia"/>
          <w:kern w:val="0"/>
          <w:sz w:val="21"/>
          <w:szCs w:val="21"/>
          <w:lang w:val="en-US" w:eastAsia="zh-CN"/>
        </w:rPr>
        <w:t xml:space="preserve">和相关材料（具体以代销机构所需材料为准）</w:t>
      </w:r>
      <w:r>
        <w:rPr>
          <w:rFonts w:ascii="楷体" w:eastAsia="楷体" w:hAnsi="楷体" w:cs="楷体" w:hint="eastAsia"/>
          <w:kern w:val="0"/>
          <w:sz w:val="21"/>
          <w:szCs w:val="21"/>
        </w:rPr>
        <w:t xml:space="preserve">至代销机构营业网点或登录代销机构电子渠道填写《风险承受能力测评问卷》，开立苏银理财有限责任公司理财账户，签字确认开户申请并取得开户凭证。开户完成后可按以下购买流程购买理财产品。</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w:t>
      </w:r>
      <w:r>
        <w:rPr>
          <w:rFonts w:ascii="楷体" w:eastAsia="楷体" w:hAnsi="楷体" w:cs="浠垮畫"/>
          <w:kern w:val="0"/>
          <w:sz w:val="21"/>
          <w:szCs w:val="21"/>
        </w:rPr>
        <w:t xml:space="preserve">）</w:t>
      </w:r>
      <w:r>
        <w:rPr>
          <w:rFonts w:ascii="楷体" w:eastAsia="楷体" w:hAnsi="楷体" w:cs="浠垮畫" w:hint="eastAsia"/>
          <w:kern w:val="0"/>
          <w:sz w:val="21"/>
          <w:szCs w:val="21"/>
          <w:lang w:val="en-US" w:eastAsia="zh-CN"/>
        </w:rPr>
        <w:t xml:space="preserve">专业</w:t>
      </w:r>
      <w:r>
        <w:rPr>
          <w:rFonts w:ascii="楷体" w:eastAsia="楷体" w:hAnsi="楷体" w:cs="浠垮畫" w:hint="eastAsia"/>
          <w:kern w:val="0"/>
          <w:sz w:val="21"/>
          <w:szCs w:val="21"/>
        </w:rPr>
        <w:t xml:space="preserve">投资者</w:t>
      </w:r>
    </w:p>
    <w:p>
      <w:pPr>
        <w:keepNext w:val="0"/>
        <w:keepLines w:val="0"/>
        <w:pageBreakBefore w:val="0"/>
        <w:kinsoku/>
        <w:wordWrap/>
        <w:overflowPunct/>
        <w:topLinePunct w:val="0"/>
        <w:autoSpaceDE w:val="0"/>
        <w:autoSpaceDN w:val="0"/>
        <w:bidi w:val="0"/>
        <w:adjustRightInd w:val="0"/>
        <w:snapToGrid/>
        <w:spacing w:line="310" w:lineRule="exact"/>
        <w:ind w:left="0" w:firstLine="420" w:firstLineChars="200"/>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1.开户流程：</w:t>
      </w:r>
      <w:r>
        <w:rPr>
          <w:rFonts w:ascii="楷体" w:eastAsia="楷体" w:hAnsi="楷体" w:cs="楷体" w:hint="eastAsia"/>
          <w:kern w:val="0"/>
          <w:sz w:val="21"/>
          <w:szCs w:val="21"/>
          <w:lang w:val="en-US" w:eastAsia="zh-CN"/>
        </w:rPr>
        <w:t xml:space="preserve">专业</w:t>
      </w:r>
      <w:r>
        <w:rPr>
          <w:rFonts w:ascii="楷体" w:eastAsia="楷体" w:hAnsi="楷体" w:cs="楷体" w:hint="eastAsia"/>
          <w:kern w:val="0"/>
          <w:sz w:val="21"/>
          <w:szCs w:val="21"/>
        </w:rPr>
        <w:t xml:space="preserve">投资者首次购买理财产品需进行开户，可持有效</w:t>
      </w:r>
      <w:r>
        <w:rPr>
          <w:rFonts w:ascii="楷体" w:eastAsia="楷体" w:hAnsi="楷体" w:cs="楷体" w:hint="eastAsia"/>
          <w:kern w:val="0"/>
          <w:sz w:val="21"/>
          <w:szCs w:val="21"/>
          <w:lang w:val="en-US" w:eastAsia="zh-CN"/>
        </w:rPr>
        <w:t xml:space="preserve">证件和相关材料（具体以代销机构所需材料为准）</w:t>
      </w:r>
      <w:r>
        <w:rPr>
          <w:rFonts w:ascii="楷体" w:eastAsia="楷体" w:hAnsi="楷体" w:cs="楷体" w:hint="eastAsia"/>
          <w:kern w:val="0"/>
          <w:sz w:val="21"/>
          <w:szCs w:val="21"/>
        </w:rPr>
        <w:t xml:space="preserve">至代销机构营业网点或登录代销机构电子渠道开立苏银理财有限责任公司理财账户，签字确认开户申请并取得开户凭证。开户完成后可按以下购买流程购买理财产品。</w:t>
      </w:r>
    </w:p>
    <w:p>
      <w:pPr>
        <w:keepNext w:val="0"/>
        <w:keepLines w:val="0"/>
        <w:pageBreakBefore w:val="0"/>
        <w:kinsoku/>
        <w:wordWrap/>
        <w:overflowPunct/>
        <w:topLinePunct w:val="0"/>
        <w:autoSpaceDE w:val="0"/>
        <w:autoSpaceDN w:val="0"/>
        <w:bidi w:val="0"/>
        <w:adjustRightInd w:val="0"/>
        <w:snapToGrid/>
        <w:spacing w:line="310" w:lineRule="exact"/>
        <w:ind w:firstLine="420"/>
        <w:jc w:val="left"/>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kinsoku/>
        <w:wordWrap/>
        <w:overflowPunct/>
        <w:topLinePunct w:val="0"/>
        <w:autoSpaceDE w:val="0"/>
        <w:autoSpaceDN w:val="0"/>
        <w:bidi w:val="0"/>
        <w:adjustRightInd w:val="0"/>
        <w:snapToGrid/>
        <w:spacing w:line="310" w:lineRule="exact"/>
        <w:ind w:firstLine="318" w:firstLineChars="151"/>
        <w:textAlignment w:val="auto"/>
        <w:rPr>
          <w:rFonts w:ascii="楷体" w:eastAsia="楷体" w:hAnsi="楷体" w:cs="浠垮畫" w:hint="default"/>
          <w:b/>
          <w:kern w:val="0"/>
          <w:sz w:val="21"/>
          <w:szCs w:val="21"/>
          <w:lang w:val="en-US" w:eastAsia="zh-CN"/>
        </w:rPr>
      </w:pPr>
      <w:r>
        <w:rPr>
          <w:rFonts w:ascii="楷体" w:eastAsia="楷体" w:hAnsi="楷体" w:cs="浠垮畫" w:hint="eastAsia"/>
          <w:b/>
          <w:kern w:val="0"/>
          <w:sz w:val="21"/>
          <w:szCs w:val="21"/>
        </w:rPr>
        <w:t xml:space="preserve">二、产品内部风险评级</w:t>
      </w:r>
      <w:r>
        <w:rPr>
          <w:rFonts w:ascii="楷体" w:eastAsia="楷体" w:hAnsi="楷体" w:cs="浠垮畫" w:hint="eastAsia"/>
          <w:b/>
          <w:kern w:val="0"/>
          <w:sz w:val="21"/>
          <w:szCs w:val="21"/>
          <w:lang w:val="en-US" w:eastAsia="zh-CN"/>
        </w:rPr>
        <w:t xml:space="preserve">与投资者类型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kern w:val="0"/>
          <w:sz w:val="21"/>
          <w:szCs w:val="21"/>
        </w:rPr>
        <w:t xml:space="preserve">苏银理财发行的理财产品内部风险评级共分为五级：</w:t>
      </w:r>
      <w:r>
        <w:rPr>
          <w:rFonts w:ascii="楷体" w:eastAsia="楷体" w:hAnsi="楷体" w:cs="浠垮畫" w:hint="eastAsia"/>
          <w:kern w:val="0"/>
          <w:sz w:val="21"/>
          <w:szCs w:val="21"/>
        </w:rPr>
        <w:t xml:space="preserve">★一级（PR1）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★★★★四级（PR4）</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★★★★★五级（PR5）</w:t>
      </w:r>
      <w:r>
        <w:rPr>
          <w:rFonts w:ascii="楷体" w:eastAsia="楷体" w:hAnsi="楷体" w:cs="浠垮畫"/>
          <w:kern w:val="0"/>
          <w:sz w:val="21"/>
          <w:szCs w:val="21"/>
        </w:rPr>
        <w:t xml:space="preserve">。具体分类见下表：</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firstRow="0" w:lastRow="0" w:firstColumn="0" w:lastColumn="0" w:noHBand="1" w:noVBand="1"/>
      </w:tblPr>
      <w:tblGrid>
        <w:gridCol w:w="1323"/>
        <w:gridCol w:w="1430"/>
        <w:gridCol w:w="3437"/>
        <w:gridCol w:w="1910"/>
        <w:gridCol w:w="1539"/>
      </w:tblGrid>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72"/>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风险星级</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风险级别</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lang w:val="en-US" w:eastAsia="zh-CN"/>
              </w:rPr>
            </w:pPr>
            <w:r>
              <w:rPr>
                <w:rFonts w:ascii="楷体" w:eastAsia="楷体" w:hAnsi="楷体" w:cs="浠垮畫" w:hint="eastAsia"/>
                <w:kern w:val="0"/>
                <w:sz w:val="21"/>
                <w:szCs w:val="21"/>
                <w:lang w:val="en-US" w:eastAsia="zh-CN"/>
              </w:rPr>
              <w:t xml:space="preserve">产品风险评级说明</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适合的投资者类别</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适合投资策略</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11"/>
          <w:jc w:val="center"/>
        </w:trPr>
        <w:tc>
          <w:tcPr>
            <w:tcW w:w="1323"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一级（PR1）</w:t>
            </w:r>
          </w:p>
        </w:tc>
        <w:tc>
          <w:tcPr>
            <w:tcW w:w="3437"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both"/>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总体风险程度低，净值波动小，本金遭受损失的可能性低。</w:t>
            </w:r>
          </w:p>
        </w:tc>
        <w:tc>
          <w:tcPr>
            <w:tcW w:w="1910"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低风险型</w:t>
            </w:r>
          </w:p>
        </w:tc>
        <w:tc>
          <w:tcPr>
            <w:tcW w:w="1539"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风险控制</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91"/>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二级（PR2）</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both"/>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总体风险程度较低，净值波动较小，本金遭受损失的可能性较低。</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中低风险型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稳健发展</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91"/>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三级（PR3）</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left"/>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总体风险程度中等，净值波动中等，本金遭受损失的可能性中等。</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中风险型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均衡发展</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81"/>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四级（PR4）</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left"/>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总体风险程度较高，净值波动较大，本金遭受损失的可能性较高。</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中高风险型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积极成长</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71"/>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五级（PR5）</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总体风险程度高，净值波动大，本金遭受损失的可能性高。</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高风险型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风险承受</w:t>
            </w:r>
          </w:p>
        </w:tc>
      </w:tr>
    </w:tbl>
    <w:p>
      <w:pPr>
        <w:keepNext w:val="0"/>
        <w:keepLines w:val="0"/>
        <w:pageBreakBefore w:val="0"/>
        <w:numPr>
          <w:ilvl w:val="0"/>
          <w:numId w:val="3"/>
        </w:numPr>
        <w:kinsoku/>
        <w:wordWrap/>
        <w:overflowPunct/>
        <w:topLinePunct w:val="0"/>
        <w:autoSpaceDE w:val="0"/>
        <w:autoSpaceDN w:val="0"/>
        <w:bidi w:val="0"/>
        <w:adjustRightInd w:val="0"/>
        <w:snapToGrid/>
        <w:spacing w:line="310" w:lineRule="exact"/>
        <w:ind w:firstLine="371" w:firstLineChars="177"/>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低风险投资者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保护本金安全和保持资产的流动性是客户的首要目标。客户对投资的态度是希望投资收益极度稳定，不愿承担高风险以换取高收益，通常不太在意资金是否有较大增值，不愿意承受投资波动对心理的煎熬，追求稳定。</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p>
    <w:p>
      <w:pPr>
        <w:keepNext w:val="0"/>
        <w:keepLines w:val="0"/>
        <w:pageBreakBefore w:val="0"/>
        <w:numPr>
          <w:ilvl w:val="0"/>
          <w:numId w:val="3"/>
        </w:numPr>
        <w:kinsoku/>
        <w:wordWrap/>
        <w:overflowPunct/>
        <w:topLinePunct w:val="0"/>
        <w:autoSpaceDE w:val="0"/>
        <w:autoSpaceDN w:val="0"/>
        <w:bidi w:val="0"/>
        <w:adjustRightInd w:val="0"/>
        <w:snapToGrid/>
        <w:spacing w:line="310" w:lineRule="exact"/>
        <w:ind w:left="0" w:firstLine="371" w:leftChars="0" w:firstLineChars="177"/>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中低风险投资者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投资者特征：在任何投资中，承担较小的风险取得相对稳定的收益是客户的主要目标，通常愿意承受略低于市场平均水平的风险。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p>
    <w:p>
      <w:pPr>
        <w:keepNext w:val="0"/>
        <w:keepLines w:val="0"/>
        <w:pageBreakBefore w:val="0"/>
        <w:numPr>
          <w:ilvl w:val="0"/>
          <w:numId w:val="3"/>
        </w:numPr>
        <w:kinsoku/>
        <w:wordWrap/>
        <w:overflowPunct/>
        <w:topLinePunct w:val="0"/>
        <w:autoSpaceDE w:val="0"/>
        <w:autoSpaceDN w:val="0"/>
        <w:bidi w:val="0"/>
        <w:adjustRightInd w:val="0"/>
        <w:snapToGrid/>
        <w:spacing w:line="310" w:lineRule="exact"/>
        <w:ind w:left="0" w:firstLine="371" w:leftChars="0" w:firstLineChars="177"/>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中风险投资者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在风险较小的情况下获得一定的收益是客户主要的投资目的。客户通常愿意使本金面临一定的风险，但在做投资决定时，会仔细的对将要面临的风险进行认真的分析。客户对风险总是客观存在的道理有清楚的认识。总体来看，客户愿意承受市场的平均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p>
    <w:p>
      <w:pPr>
        <w:keepNext w:val="0"/>
        <w:keepLines w:val="0"/>
        <w:pageBreakBefore w:val="0"/>
        <w:numPr>
          <w:ilvl w:val="0"/>
          <w:numId w:val="3"/>
        </w:numPr>
        <w:kinsoku/>
        <w:wordWrap/>
        <w:overflowPunct/>
        <w:topLinePunct w:val="0"/>
        <w:autoSpaceDE w:val="0"/>
        <w:autoSpaceDN w:val="0"/>
        <w:bidi w:val="0"/>
        <w:adjustRightInd w:val="0"/>
        <w:snapToGrid/>
        <w:spacing w:line="310" w:lineRule="exact"/>
        <w:ind w:left="0" w:firstLine="371" w:leftChars="0" w:firstLineChars="177"/>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中高风险投资者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投资者特征：在任何投资中，客户比较注重长期投资收益。客户的风险承受能力一般，投资产品业绩的波动会对客户产生一定的影响，但通常愿意承受略高于市场平均水平的风险。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★★★★四级（PR4）</w:t>
      </w:r>
    </w:p>
    <w:p>
      <w:pPr>
        <w:keepNext w:val="0"/>
        <w:keepLines w:val="0"/>
        <w:pageBreakBefore w:val="0"/>
        <w:numPr>
          <w:ilvl w:val="0"/>
          <w:numId w:val="3"/>
        </w:numPr>
        <w:kinsoku/>
        <w:wordWrap/>
        <w:overflowPunct/>
        <w:topLinePunct w:val="0"/>
        <w:autoSpaceDE w:val="0"/>
        <w:autoSpaceDN w:val="0"/>
        <w:bidi w:val="0"/>
        <w:adjustRightInd w:val="0"/>
        <w:snapToGrid/>
        <w:spacing w:line="310" w:lineRule="exact"/>
        <w:ind w:left="0" w:firstLine="371" w:leftChars="0" w:firstLineChars="177"/>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高风险投资者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投资者特征：在任何投资中，客户通常专注于投资的长期增值，并愿意为此承受较大的风险。短期的投资波动并不会对客户造成大的影响，追求超高的回报才是客户关注的目标。</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★★★★四级（PR4）</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★★★★★五级（PR5）</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b/>
          <w:kern w:val="0"/>
          <w:sz w:val="21"/>
          <w:szCs w:val="21"/>
        </w:rPr>
      </w:pPr>
      <w:r>
        <w:rPr>
          <w:rFonts w:ascii="楷体" w:eastAsia="楷体" w:hAnsi="楷体" w:cs="浠垮畫" w:hint="eastAsia"/>
          <w:b/>
          <w:kern w:val="0"/>
          <w:sz w:val="21"/>
          <w:szCs w:val="21"/>
        </w:rPr>
        <w:t xml:space="preserve">三、投资者风险承受能力评估</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（一）代销机构负责</w:t>
      </w:r>
      <w:r>
        <w:rPr>
          <w:rFonts w:ascii="楷体" w:eastAsia="楷体" w:hAnsi="楷体" w:cs="浠垮畫" w:hint="eastAsia"/>
          <w:kern w:val="0"/>
          <w:sz w:val="21"/>
          <w:szCs w:val="21"/>
        </w:rPr>
        <w:t xml:space="preserve">代理</w:t>
      </w:r>
      <w:r>
        <w:rPr>
          <w:rFonts w:ascii="楷体" w:eastAsia="楷体" w:hAnsi="楷体" w:cs="浠垮畫"/>
          <w:kern w:val="0"/>
          <w:sz w:val="21"/>
          <w:szCs w:val="21"/>
        </w:rPr>
        <w:t xml:space="preserve">销售工作及投资者适当性评估。</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投资者首次通过代销机构购买苏银理财产品，需要与代销机构签署相关协议，并按照该协议约定在代销机构销售渠道进行风险承受能力评估。</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（二）</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投资者风险承受能力评估结果有效期为一年，如风险承受能力评估时效已超过一年，或影响风险承受能力的因素发生变化，请及时完成风险承受能力的重新评估。</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hint="eastAsia"/>
          <w:sz w:val="21"/>
          <w:szCs w:val="21"/>
        </w:rPr>
      </w:pPr>
      <w:r>
        <w:rPr>
          <w:rFonts w:ascii="楷体" w:eastAsia="楷体" w:hAnsi="楷体" w:cs="浠垮畫"/>
          <w:kern w:val="0"/>
          <w:sz w:val="21"/>
          <w:szCs w:val="21"/>
        </w:rPr>
        <w:t xml:space="preserve">（三）</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投资者风险承受能力评估流程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jc w:val="left"/>
        <w:textAlignment w:val="auto"/>
        <w:rPr>
          <w:rFonts w:ascii="楷体" w:eastAsia="楷体" w:hAnsi="楷体" w:cs="浠垮畫" w:hint="eastAsia"/>
          <w:kern w:val="0"/>
          <w:sz w:val="21"/>
          <w:szCs w:val="21"/>
        </w:rPr>
      </w:pPr>
      <w:r>
        <w:rPr>
          <w:rFonts w:ascii="楷体" w:eastAsia="楷体" w:hAnsi="楷体" w:cs="楷体" w:hint="eastAsia"/>
          <w:kern w:val="0"/>
          <w:sz w:val="21"/>
          <w:szCs w:val="21"/>
          <w:lang w:val="en-US" w:eastAsia="zh-CN"/>
        </w:rPr>
        <w:t xml:space="preserve">普通</w:t>
      </w:r>
      <w:r>
        <w:rPr>
          <w:rFonts w:ascii="楷体" w:eastAsia="楷体" w:hAnsi="楷体" w:cs="楷体" w:hint="eastAsia"/>
          <w:kern w:val="0"/>
          <w:sz w:val="21"/>
          <w:szCs w:val="21"/>
        </w:rPr>
        <w:t xml:space="preserve">投资者首次购买理财产品以及</w:t>
      </w:r>
      <w:r>
        <w:rPr>
          <w:rFonts w:ascii="楷体" w:eastAsia="楷体" w:hAnsi="楷体" w:cs="楷体" w:hint="eastAsia"/>
          <w:kern w:val="0"/>
          <w:sz w:val="21"/>
          <w:szCs w:val="21"/>
          <w:lang w:val="en-US" w:eastAsia="zh-CN"/>
        </w:rPr>
        <w:t xml:space="preserve">普通</w:t>
      </w:r>
      <w:r>
        <w:rPr>
          <w:rFonts w:ascii="楷体" w:eastAsia="楷体" w:hAnsi="楷体" w:cs="楷体" w:hint="eastAsia"/>
          <w:kern w:val="0"/>
          <w:sz w:val="21"/>
          <w:szCs w:val="21"/>
        </w:rPr>
        <w:t xml:space="preserve">投资者超过一年未进行风险承受能力评估或发生可能影响自身风险承受能力的情况，均需进行风险承受能力评估。可至代销机构营业网点或登录电子渠道填写《风险承受能力评测问卷》，在知晓本人</w:t>
      </w:r>
      <w:r>
        <w:rPr>
          <w:rFonts w:ascii="楷体" w:eastAsia="楷体" w:hAnsi="楷体" w:cs="楷体" w:hint="eastAsia"/>
          <w:kern w:val="0"/>
          <w:sz w:val="21"/>
          <w:szCs w:val="21"/>
          <w:lang w:val="en-US" w:eastAsia="zh-CN"/>
        </w:rPr>
        <w:t xml:space="preserve">/本机构</w:t>
      </w:r>
      <w:r>
        <w:rPr>
          <w:rFonts w:ascii="楷体" w:eastAsia="楷体" w:hAnsi="楷体" w:cs="楷体" w:hint="eastAsia"/>
          <w:kern w:val="0"/>
          <w:sz w:val="21"/>
          <w:szCs w:val="21"/>
        </w:rPr>
        <w:t xml:space="preserve">风险评测结果后签字或点击确认。</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（四）风险承受能力评估结果将作为评价</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投资者是否适合购买理财产品的重要因素，风险承受能力评级越高适合购买的理财产品风险评级越高，适合购买的理财产品类型越丰富。</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（五）代销机构在代销过程中，可参考苏银理财的产品风险评级结果，自行判断确定本产品的风险评级，</w:t>
      </w:r>
      <w:r>
        <w:rPr>
          <w:rFonts w:ascii="楷体" w:eastAsia="楷体" w:hAnsi="楷体" w:cs="浠垮畫" w:hint="eastAsia"/>
          <w:kern w:val="0"/>
          <w:sz w:val="21"/>
          <w:szCs w:val="21"/>
        </w:rPr>
        <w:t xml:space="preserve">但代销机构自行确定的产品风险评级不得低于苏银理财的产品风险评级。</w:t>
      </w:r>
      <w:r>
        <w:rPr>
          <w:rFonts w:ascii="楷体" w:eastAsia="楷体" w:hAnsi="楷体" w:cs="宋体" w:hint="eastAsia"/>
          <w:b/>
          <w:spacing w:val="-2"/>
          <w:sz w:val="21"/>
          <w:szCs w:val="21"/>
          <w:u w:val="single"/>
        </w:rPr>
        <w:t xml:space="preserve">该产品</w:t>
      </w:r>
      <w:r>
        <w:rPr>
          <w:rFonts w:ascii="楷体" w:eastAsia="楷体" w:hAnsi="楷体" w:cs="宋体"/>
          <w:b/>
          <w:spacing w:val="-2"/>
          <w:sz w:val="21"/>
          <w:szCs w:val="21"/>
          <w:u w:val="single"/>
        </w:rPr>
        <w:t xml:space="preserve">通过代理销售机构渠道销售的，理财产品评级应当</w:t>
      </w:r>
      <w:r>
        <w:rPr>
          <w:rFonts w:ascii="楷体" w:eastAsia="楷体" w:hAnsi="楷体" w:cs="宋体" w:hint="eastAsia"/>
          <w:b/>
          <w:spacing w:val="-2"/>
          <w:sz w:val="21"/>
          <w:szCs w:val="21"/>
          <w:u w:val="single"/>
        </w:rPr>
        <w:t xml:space="preserve">以</w:t>
      </w:r>
      <w:r>
        <w:rPr>
          <w:rFonts w:ascii="楷体" w:eastAsia="楷体" w:hAnsi="楷体" w:cs="宋体"/>
          <w:b/>
          <w:spacing w:val="-2"/>
          <w:sz w:val="21"/>
          <w:szCs w:val="21"/>
          <w:u w:val="single"/>
        </w:rPr>
        <w:t xml:space="preserve">代理销售机构最终披露的评级结果为准</w:t>
      </w:r>
      <w:r>
        <w:rPr>
          <w:rFonts w:ascii="楷体" w:eastAsia="楷体" w:hAnsi="楷体" w:cs="宋体" w:hint="eastAsia"/>
          <w:b/>
          <w:spacing w:val="-2"/>
          <w:sz w:val="21"/>
          <w:szCs w:val="21"/>
          <w:u w:val="single"/>
        </w:rPr>
        <w:t xml:space="preserve">。</w:t>
      </w:r>
      <w:r>
        <w:rPr>
          <w:rFonts w:ascii="楷体" w:eastAsia="楷体" w:hAnsi="楷体" w:cs="浠垮畫" w:hint="eastAsia"/>
          <w:kern w:val="0"/>
          <w:sz w:val="21"/>
          <w:szCs w:val="21"/>
        </w:rPr>
        <w:t xml:space="preserve">代销商在销售过程中</w:t>
      </w:r>
      <w:r>
        <w:rPr>
          <w:rFonts w:ascii="楷体" w:eastAsia="楷体" w:hAnsi="楷体" w:cs="浠垮畫"/>
          <w:kern w:val="0"/>
          <w:sz w:val="21"/>
          <w:szCs w:val="21"/>
        </w:rPr>
        <w:t xml:space="preserve">应确保</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投资者的风险承受能力等级不低于本产品风险评级。</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b/>
          <w:kern w:val="0"/>
          <w:sz w:val="21"/>
          <w:szCs w:val="21"/>
        </w:rPr>
      </w:pPr>
      <w:r>
        <w:rPr>
          <w:rFonts w:ascii="楷体" w:eastAsia="楷体" w:hAnsi="楷体" w:cs="浠垮畫" w:hint="eastAsia"/>
          <w:b/>
          <w:kern w:val="0"/>
          <w:sz w:val="21"/>
          <w:szCs w:val="21"/>
        </w:rPr>
        <w:t xml:space="preserve">四、理财产品信息披露</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（一）信息披露内容</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1.产品类型、募集信息、产品净值、产品规模、托管安排、投资账户信息；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2.产品投向、投资比例、持仓情况、杠杆水平以及主要投资风险；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3.产品收益分配、各项费用情况；</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4.产品涉及关联交易；</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5.其他影响本产品投资运作的重大事项、临时性信息披露等。</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（二）信息披露频率（适用于公募理财产品）</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1.发行公告：管理人在产品成立后</w:t>
      </w:r>
      <w:r>
        <w:rPr>
          <w:rFonts w:ascii="楷体" w:eastAsia="楷体" w:hAnsi="楷体" w:cs="浠垮畫"/>
          <w:kern w:val="0"/>
          <w:sz w:val="21"/>
          <w:szCs w:val="21"/>
        </w:rPr>
        <w:t xml:space="preserve">5</w:t>
      </w:r>
      <w:r>
        <w:rPr>
          <w:rFonts w:ascii="楷体" w:eastAsia="楷体" w:hAnsi="楷体" w:cs="浠垮畫" w:hint="eastAsia"/>
          <w:kern w:val="0"/>
          <w:sz w:val="21"/>
          <w:szCs w:val="21"/>
        </w:rPr>
        <w:t xml:space="preserve">个工作日内，披露产品成立公告，内容包括理财产品成立日期和募集规模等信息。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2.定期公告：管理人在每个季度结束之日起</w:t>
      </w:r>
      <w:r>
        <w:rPr>
          <w:rFonts w:ascii="楷体" w:eastAsia="楷体" w:hAnsi="楷体" w:cs="浠垮畫"/>
          <w:kern w:val="0"/>
          <w:sz w:val="21"/>
          <w:szCs w:val="21"/>
        </w:rPr>
        <w:t xml:space="preserve">15</w:t>
      </w:r>
      <w:r>
        <w:rPr>
          <w:rFonts w:ascii="楷体" w:eastAsia="楷体" w:hAnsi="楷体" w:cs="浠垮畫" w:hint="eastAsia"/>
          <w:kern w:val="0"/>
          <w:sz w:val="21"/>
          <w:szCs w:val="21"/>
        </w:rPr>
        <w:t xml:space="preserve">个工作日内、上半年结束之日起</w:t>
      </w:r>
      <w:r>
        <w:rPr>
          <w:rFonts w:ascii="楷体" w:eastAsia="楷体" w:hAnsi="楷体" w:cs="浠垮畫"/>
          <w:kern w:val="0"/>
          <w:sz w:val="21"/>
          <w:szCs w:val="21"/>
        </w:rPr>
        <w:t xml:space="preserve">60</w:t>
      </w:r>
      <w:r>
        <w:rPr>
          <w:rFonts w:ascii="楷体" w:eastAsia="楷体" w:hAnsi="楷体" w:cs="浠垮畫" w:hint="eastAsia"/>
          <w:kern w:val="0"/>
          <w:sz w:val="21"/>
          <w:szCs w:val="21"/>
        </w:rPr>
        <w:t xml:space="preserve">个工作日内、每年结束之日起</w:t>
      </w:r>
      <w:r>
        <w:rPr>
          <w:rFonts w:ascii="楷体" w:eastAsia="楷体" w:hAnsi="楷体" w:cs="浠垮畫"/>
          <w:kern w:val="0"/>
          <w:sz w:val="21"/>
          <w:szCs w:val="21"/>
        </w:rPr>
        <w:t xml:space="preserve">90</w:t>
      </w:r>
      <w:r>
        <w:rPr>
          <w:rFonts w:ascii="楷体" w:eastAsia="楷体" w:hAnsi="楷体" w:cs="浠垮畫" w:hint="eastAsia"/>
          <w:kern w:val="0"/>
          <w:sz w:val="21"/>
          <w:szCs w:val="21"/>
        </w:rPr>
        <w:t xml:space="preserve">个工作日内，披露产品季度、半年和年度报告等定期报告；产品成立不足</w:t>
      </w:r>
      <w:r>
        <w:rPr>
          <w:rFonts w:ascii="楷体" w:eastAsia="楷体" w:hAnsi="楷体" w:cs="浠垮畫"/>
          <w:kern w:val="0"/>
          <w:sz w:val="21"/>
          <w:szCs w:val="21"/>
        </w:rPr>
        <w:t xml:space="preserve">90</w:t>
      </w:r>
      <w:r>
        <w:rPr>
          <w:rFonts w:ascii="楷体" w:eastAsia="楷体" w:hAnsi="楷体" w:cs="浠垮畫" w:hint="eastAsia"/>
          <w:kern w:val="0"/>
          <w:sz w:val="21"/>
          <w:szCs w:val="21"/>
        </w:rPr>
        <w:t xml:space="preserve">个工作日或者剩余存续期不超过</w:t>
      </w:r>
      <w:r>
        <w:rPr>
          <w:rFonts w:ascii="楷体" w:eastAsia="楷体" w:hAnsi="楷体" w:cs="浠垮畫"/>
          <w:kern w:val="0"/>
          <w:sz w:val="21"/>
          <w:szCs w:val="21"/>
        </w:rPr>
        <w:t xml:space="preserve">90</w:t>
      </w:r>
      <w:r>
        <w:rPr>
          <w:rFonts w:ascii="楷体" w:eastAsia="楷体" w:hAnsi="楷体" w:cs="浠垮畫" w:hint="eastAsia"/>
          <w:kern w:val="0"/>
          <w:sz w:val="21"/>
          <w:szCs w:val="21"/>
        </w:rPr>
        <w:t xml:space="preserve">个工作日的，管理人将不编制产品当期的季度、半年和年度报告；内容包括理财产品的存续规模、收益表现，并分别列示直接和间接投资的资产种类、投资比例、投资组合的流动性风险分析，以及前十项资产具体名称、规模和比例等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3.到期公告：管理人在产品终止后</w:t>
      </w:r>
      <w:r>
        <w:rPr>
          <w:rFonts w:ascii="楷体" w:eastAsia="楷体" w:hAnsi="楷体" w:cs="浠垮畫"/>
          <w:kern w:val="0"/>
          <w:sz w:val="21"/>
          <w:szCs w:val="21"/>
        </w:rPr>
        <w:t xml:space="preserve">5</w:t>
      </w:r>
      <w:r>
        <w:rPr>
          <w:rFonts w:ascii="楷体" w:eastAsia="楷体" w:hAnsi="楷体" w:cs="浠垮畫" w:hint="eastAsia"/>
          <w:kern w:val="0"/>
          <w:sz w:val="21"/>
          <w:szCs w:val="21"/>
        </w:rPr>
        <w:t xml:space="preserve">个工作日内，披露产品到期公告，内容包括理财产品的存续期限、终止日期、收费情况和收益分配情况等信息。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4.重大事项公告：管理人在发生可能对理财产品投资者或者理财产品收益产生重大事项的事件后</w:t>
      </w:r>
      <w:r>
        <w:rPr>
          <w:rFonts w:ascii="楷体" w:eastAsia="楷体" w:hAnsi="楷体" w:cs="浠垮畫"/>
          <w:kern w:val="0"/>
          <w:sz w:val="21"/>
          <w:szCs w:val="21"/>
        </w:rPr>
        <w:t xml:space="preserve">2</w:t>
      </w:r>
      <w:r>
        <w:rPr>
          <w:rFonts w:ascii="楷体" w:eastAsia="楷体" w:hAnsi="楷体" w:cs="浠垮畫" w:hint="eastAsia"/>
          <w:kern w:val="0"/>
          <w:sz w:val="21"/>
          <w:szCs w:val="21"/>
        </w:rPr>
        <w:t xml:space="preserve">个工作日内发布重大事项公告。</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5.产品净值披露：开放式公募理财产品将于每个开放日结束后2个工作日内披露开放日的份额净值、份额累计净值、</w:t>
      </w:r>
      <w:r>
        <w:rPr>
          <w:rFonts w:ascii="楷体" w:eastAsia="楷体" w:hAnsi="楷体" w:cs="浠垮畫" w:hint="eastAsia"/>
          <w:kern w:val="0"/>
          <w:sz w:val="21"/>
          <w:szCs w:val="21"/>
          <w:lang w:eastAsia="zh-CN"/>
        </w:rPr>
        <w:t xml:space="preserve">认/申购价格</w:t>
      </w:r>
      <w:r>
        <w:rPr>
          <w:rFonts w:ascii="楷体" w:eastAsia="楷体" w:hAnsi="楷体" w:cs="浠垮畫" w:hint="eastAsia"/>
          <w:kern w:val="0"/>
          <w:sz w:val="21"/>
          <w:szCs w:val="21"/>
        </w:rPr>
        <w:t xml:space="preserve">和赎回价格；封闭式公募理财产品将每周向投资者披露一次产品的资产净值和份额净值。</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6.临时性信息披露：管理人将及时披露国务院银行业监督管理机构规定的其他信息或除重大事项事件以外的其他信息。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7.半年度整体报告：每半年披露从事理财业务活动的有关信息。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8.理财账单：管理人每月向投资者提供其所持有的理财产品账单，账单内容包括但不限于投资者持有的理财产品份额、认购金额、份额净值、份额累计净值、资产净值、收益情况、投资者理财交易账户发生的交易明细记录等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（三）信息披露方式</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由苏银理财按监管要求和说明书的约定，同时通过以下方式向投资者进行信息披露，披露方式包括：</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1.苏银理财通过苏银理财有限责任公司官方网站（</w:t>
      </w:r>
      <w:r>
        <w:rPr>
          <w:rFonts w:ascii="楷体" w:eastAsia="楷体" w:hAnsi="楷体" w:cs="浠垮畫"/>
          <w:kern w:val="0"/>
          <w:sz w:val="21"/>
          <w:szCs w:val="21"/>
        </w:rPr>
        <w:t xml:space="preserve">www</w:t>
      </w:r>
      <w:r>
        <w:rPr>
          <w:rFonts w:ascii="楷体" w:eastAsia="楷体" w:hAnsi="楷体" w:cs="浠垮畫" w:hint="eastAsia"/>
          <w:kern w:val="0"/>
          <w:sz w:val="21"/>
          <w:szCs w:val="21"/>
          <w:lang w:val="en-US" w:eastAsia="zh-CN"/>
        </w:rPr>
        <w:t xml:space="preserve">.</w:t>
      </w:r>
      <w:r>
        <w:rPr>
          <w:rFonts w:ascii="楷体" w:eastAsia="楷体" w:hAnsi="楷体" w:cs="浠垮畫"/>
          <w:kern w:val="0"/>
          <w:sz w:val="21"/>
          <w:szCs w:val="21"/>
        </w:rPr>
        <w:t xml:space="preserve">suyinwealth</w:t>
      </w:r>
      <w:r>
        <w:rPr>
          <w:rFonts w:ascii="楷体" w:eastAsia="楷体" w:hAnsi="楷体" w:cs="浠垮畫" w:hint="eastAsia"/>
          <w:kern w:val="0"/>
          <w:sz w:val="21"/>
          <w:szCs w:val="21"/>
          <w:lang w:val="en-US" w:eastAsia="zh-CN"/>
        </w:rPr>
        <w:t xml:space="preserve">.</w:t>
      </w:r>
      <w:r>
        <w:rPr>
          <w:rFonts w:ascii="楷体" w:eastAsia="楷体" w:hAnsi="楷体" w:cs="浠垮畫"/>
          <w:kern w:val="0"/>
          <w:sz w:val="21"/>
          <w:szCs w:val="21"/>
        </w:rPr>
        <w:t xml:space="preserve">com</w:t>
      </w:r>
      <w:r>
        <w:rPr>
          <w:rFonts w:ascii="楷体" w:eastAsia="楷体" w:hAnsi="楷体" w:cs="浠垮畫" w:hint="eastAsia"/>
          <w:kern w:val="0"/>
          <w:sz w:val="21"/>
          <w:szCs w:val="21"/>
        </w:rPr>
        <w:t xml:space="preserve">）进行信息披露。</w:t>
      </w:r>
    </w:p>
    <w:p>
      <w:pPr>
        <w:keepNext w:val="0"/>
        <w:keepLines w:val="0"/>
        <w:pageBreakBefore w:val="0"/>
        <w:numPr>
          <w:ilvl w:val="0"/>
          <w:numId w:val="0"/>
        </w:numPr>
        <w:tabs>
          <w:tab w:val="left" w:pos="728"/>
        </w:tabs>
        <w:kinsoku/>
        <w:wordWrap/>
        <w:overflowPunct/>
        <w:topLinePunct w:val="0"/>
        <w:bidi w:val="0"/>
        <w:snapToGrid/>
        <w:spacing w:line="310" w:lineRule="exact"/>
        <w:ind w:firstLine="420" w:firstLineChars="200"/>
        <w:textAlignment w:val="auto"/>
        <w:rPr>
          <w:rFonts w:ascii="楷体" w:eastAsia="楷体" w:hAnsi="楷体" w:cs="Calibri"/>
          <w:sz w:val="21"/>
          <w:szCs w:val="21"/>
        </w:rPr>
      </w:pPr>
      <w:r>
        <w:rPr>
          <w:rFonts w:ascii="楷体" w:eastAsia="楷体" w:hAnsi="楷体" w:cs="浠垮畫" w:hint="eastAsia"/>
          <w:kern w:val="0"/>
          <w:sz w:val="21"/>
          <w:szCs w:val="21"/>
        </w:rPr>
        <w:t xml:space="preserve">2.</w:t>
      </w:r>
      <w:r>
        <w:rPr>
          <w:rFonts w:ascii="楷体" w:eastAsia="楷体" w:hAnsi="楷体" w:cs="Calibri" w:hint="eastAsia"/>
          <w:sz w:val="21"/>
          <w:szCs w:val="21"/>
        </w:rPr>
        <w:t xml:space="preserve">苏银理财将信息披露内容发送</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机构，由</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机构通过</w:t>
      </w:r>
      <w:r>
        <w:rPr>
          <w:rFonts w:ascii="楷体" w:eastAsia="楷体" w:hAnsi="楷体" w:cs="Calibri" w:hint="eastAsia"/>
          <w:sz w:val="21"/>
          <w:szCs w:val="21"/>
          <w:lang w:val="en-US" w:eastAsia="zh-CN"/>
        </w:rPr>
        <w:t xml:space="preserve">短信及代销</w:t>
      </w:r>
      <w:r>
        <w:rPr>
          <w:rFonts w:ascii="楷体" w:eastAsia="楷体" w:hAnsi="楷体" w:cs="Calibri" w:hint="eastAsia"/>
          <w:sz w:val="21"/>
          <w:szCs w:val="21"/>
        </w:rPr>
        <w:t xml:space="preserve">机构电子渠道和营业网点</w:t>
      </w:r>
      <w:r>
        <w:rPr>
          <w:rFonts w:ascii="楷体" w:eastAsia="楷体" w:hAnsi="楷体" w:cs="Calibri" w:hint="eastAsia"/>
          <w:sz w:val="21"/>
          <w:szCs w:val="21"/>
          <w:lang w:val="en-US" w:eastAsia="zh-CN"/>
        </w:rPr>
        <w:t xml:space="preserve">等方式</w:t>
      </w:r>
      <w:r>
        <w:rPr>
          <w:rFonts w:ascii="楷体" w:eastAsia="楷体" w:hAnsi="楷体" w:cs="Calibri" w:hint="eastAsia"/>
          <w:sz w:val="21"/>
          <w:szCs w:val="21"/>
        </w:rPr>
        <w:t xml:space="preserve">进行信息披露。</w:t>
      </w:r>
    </w:p>
    <w:p>
      <w:pPr>
        <w:keepNext w:val="0"/>
        <w:keepLines w:val="0"/>
        <w:pageBreakBefore w:val="0"/>
        <w:kinsoku/>
        <w:wordWrap/>
        <w:overflowPunct/>
        <w:topLinePunct w:val="0"/>
        <w:bidi w:val="0"/>
        <w:snapToGrid/>
        <w:spacing w:line="310" w:lineRule="exact"/>
        <w:ind w:firstLine="420" w:firstLineChars="200"/>
        <w:textAlignment w:val="auto"/>
        <w:rPr>
          <w:rFonts w:ascii="楷体" w:eastAsia="楷体" w:hAnsi="楷体"/>
          <w:sz w:val="21"/>
          <w:szCs w:val="21"/>
        </w:rPr>
      </w:pPr>
      <w:r>
        <w:rPr>
          <w:rFonts w:ascii="楷体" w:eastAsia="楷体" w:hAnsi="楷体" w:hint="eastAsia"/>
          <w:sz w:val="21"/>
          <w:szCs w:val="21"/>
        </w:rPr>
        <w:t xml:space="preserve">相关信息在发布或发出之日视为通知已送达投资者并生效，请您及时登陆苏银理财有限责任</w:t>
      </w:r>
      <w:r>
        <w:rPr>
          <w:rFonts w:ascii="楷体" w:eastAsia="楷体" w:hAnsi="楷体" w:hint="eastAsia"/>
          <w:sz w:val="21"/>
          <w:szCs w:val="21"/>
          <w:lang w:val="en-US" w:eastAsia="zh-CN"/>
        </w:rPr>
        <w:t xml:space="preserve">公司</w:t>
      </w:r>
      <w:r>
        <w:rPr>
          <w:rFonts w:ascii="楷体" w:eastAsia="楷体" w:hAnsi="楷体" w:hint="eastAsia"/>
          <w:sz w:val="21"/>
          <w:szCs w:val="21"/>
        </w:rPr>
        <w:t xml:space="preserve">官方网站或者向</w:t>
      </w:r>
      <w:r>
        <w:rPr>
          <w:rFonts w:ascii="楷体" w:eastAsia="楷体" w:hAnsi="楷体" w:hint="eastAsia"/>
          <w:sz w:val="21"/>
          <w:szCs w:val="21"/>
          <w:lang w:val="en-US" w:eastAsia="zh-CN"/>
        </w:rPr>
        <w:t xml:space="preserve">代销</w:t>
      </w:r>
      <w:r>
        <w:rPr>
          <w:rFonts w:ascii="楷体" w:eastAsia="楷体" w:hAnsi="楷体" w:hint="eastAsia"/>
          <w:sz w:val="21"/>
          <w:szCs w:val="21"/>
        </w:rPr>
        <w:t xml:space="preserve">机构查询获取披露信息。</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b/>
          <w:kern w:val="0"/>
          <w:sz w:val="21"/>
          <w:szCs w:val="21"/>
        </w:rPr>
      </w:pPr>
      <w:r>
        <w:rPr>
          <w:rFonts w:ascii="楷体" w:eastAsia="楷体" w:hAnsi="楷体" w:cs="浠垮畫" w:hint="eastAsia"/>
          <w:b/>
          <w:kern w:val="0"/>
          <w:sz w:val="21"/>
          <w:szCs w:val="21"/>
        </w:rPr>
        <w:t xml:space="preserve">五、投资者对理财产品的投诉方式和程序</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（一）投诉方式</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您</w:t>
      </w:r>
      <w:r>
        <w:rPr>
          <w:rFonts w:ascii="楷体" w:eastAsia="楷体" w:hAnsi="楷体" w:cs="浠垮畫"/>
          <w:kern w:val="0"/>
          <w:sz w:val="21"/>
          <w:szCs w:val="21"/>
        </w:rPr>
        <w:t xml:space="preserve">如认为代销机构推介、销售产品时有不实或未尽风险告知职责或其它疑义事项，或对代销机构服务有任何意见或建议，</w:t>
      </w:r>
      <w:r>
        <w:rPr>
          <w:rFonts w:ascii="楷体" w:eastAsia="楷体" w:hAnsi="楷体" w:cs="浠垮畫" w:hint="eastAsia"/>
          <w:kern w:val="0"/>
          <w:sz w:val="21"/>
          <w:szCs w:val="21"/>
        </w:rPr>
        <w:t xml:space="preserve">您</w:t>
      </w:r>
      <w:r>
        <w:rPr>
          <w:rFonts w:ascii="楷体" w:eastAsia="楷体" w:hAnsi="楷体" w:cs="浠垮畫"/>
          <w:kern w:val="0"/>
          <w:sz w:val="21"/>
          <w:szCs w:val="21"/>
        </w:rPr>
        <w:t xml:space="preserve">可通过拨打代销机构客服</w:t>
      </w:r>
      <w:r>
        <w:rPr>
          <w:rFonts w:ascii="楷体" w:eastAsia="楷体" w:hAnsi="楷体" w:cs="浠垮畫" w:hint="eastAsia"/>
          <w:kern w:val="0"/>
          <w:sz w:val="21"/>
          <w:szCs w:val="21"/>
        </w:rPr>
        <w:t xml:space="preserve">电话</w:t>
      </w:r>
      <w:r>
        <w:rPr>
          <w:rFonts w:ascii="楷体" w:eastAsia="楷体" w:hAnsi="楷体" w:cs="浠垮畫"/>
          <w:kern w:val="0"/>
          <w:sz w:val="21"/>
          <w:szCs w:val="21"/>
        </w:rPr>
        <w:t xml:space="preserve">进行反馈。代销机构将由专人接听、记录您的意见或建议，并</w:t>
      </w:r>
      <w:r>
        <w:rPr>
          <w:rFonts w:ascii="楷体" w:eastAsia="楷体" w:hAnsi="楷体" w:cs="浠垮畫" w:hint="eastAsia"/>
          <w:kern w:val="0"/>
          <w:sz w:val="21"/>
          <w:szCs w:val="21"/>
        </w:rPr>
        <w:t xml:space="preserve">向您反馈</w:t>
      </w:r>
      <w:r>
        <w:rPr>
          <w:rFonts w:ascii="楷体" w:eastAsia="楷体" w:hAnsi="楷体" w:cs="浠垮畫"/>
          <w:kern w:val="0"/>
          <w:sz w:val="21"/>
          <w:szCs w:val="21"/>
        </w:rPr>
        <w:t xml:space="preserve">。</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您如认为对理财产品设计、投资管理、风险控制、信息披露等事项有任何</w:t>
      </w:r>
      <w:r>
        <w:rPr>
          <w:rFonts w:ascii="楷体" w:eastAsia="楷体" w:hAnsi="楷体" w:cs="浠垮畫"/>
          <w:kern w:val="0"/>
          <w:sz w:val="21"/>
          <w:szCs w:val="21"/>
        </w:rPr>
        <w:t xml:space="preserve">意见或建议</w:t>
      </w:r>
      <w:r>
        <w:rPr>
          <w:rFonts w:ascii="楷体" w:eastAsia="楷体" w:hAnsi="楷体" w:cs="浠垮畫" w:hint="eastAsia"/>
          <w:kern w:val="0"/>
          <w:sz w:val="21"/>
          <w:szCs w:val="21"/>
        </w:rPr>
        <w:t xml:space="preserve">，您</w:t>
      </w:r>
      <w:r>
        <w:rPr>
          <w:rFonts w:ascii="楷体" w:eastAsia="楷体" w:hAnsi="楷体" w:cs="浠垮畫"/>
          <w:kern w:val="0"/>
          <w:sz w:val="21"/>
          <w:szCs w:val="21"/>
        </w:rPr>
        <w:t xml:space="preserve">可通过管理人客服</w:t>
      </w:r>
      <w:r>
        <w:rPr>
          <w:rFonts w:ascii="楷体" w:eastAsia="楷体" w:hAnsi="楷体" w:cs="浠垮畫" w:hint="eastAsia"/>
          <w:kern w:val="0"/>
          <w:sz w:val="21"/>
          <w:szCs w:val="21"/>
        </w:rPr>
        <w:t xml:space="preserve">电话或电子邮箱</w:t>
      </w:r>
      <w:r>
        <w:rPr>
          <w:rFonts w:ascii="楷体" w:eastAsia="楷体" w:hAnsi="楷体" w:cs="浠垮畫"/>
          <w:kern w:val="0"/>
          <w:sz w:val="21"/>
          <w:szCs w:val="21"/>
        </w:rPr>
        <w:t xml:space="preserve">进行反馈。产品管理人将由专人接听、记录您的意见或建议，并</w:t>
      </w:r>
      <w:r>
        <w:rPr>
          <w:rFonts w:ascii="楷体" w:eastAsia="楷体" w:hAnsi="楷体" w:cs="浠垮畫" w:hint="eastAsia"/>
          <w:kern w:val="0"/>
          <w:sz w:val="21"/>
          <w:szCs w:val="21"/>
        </w:rPr>
        <w:t xml:space="preserve">向您反馈</w:t>
      </w:r>
      <w:r>
        <w:rPr>
          <w:rFonts w:ascii="楷体" w:eastAsia="楷体" w:hAnsi="楷体" w:cs="浠垮畫"/>
          <w:kern w:val="0"/>
          <w:sz w:val="21"/>
          <w:szCs w:val="21"/>
        </w:rPr>
        <w:t xml:space="preserve">。</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（二）投诉处理流程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1.苏银理财投诉处理流程</w:t>
      </w:r>
    </w:p>
    <w:p>
      <w:pPr>
        <w:autoSpaceDE w:val="0"/>
        <w:autoSpaceDN w:val="0"/>
        <w:adjustRightInd w:val="0"/>
        <w:jc w:val="center"/>
        <w:rPr>
          <w:rFonts w:ascii="楷体" w:eastAsia="楷体" w:hAnsi="楷体" w:cs="浠垮畫" w:hint="eastAsia"/>
          <w:kern w:val="0"/>
          <w:sz w:val="21"/>
          <w:szCs w:val="21"/>
        </w:rPr>
      </w:pPr>
      <w:r>
        <w:rPr>
          <w:sz w:val="21"/>
          <w:szCs w:val="21"/>
        </w:rPr>
        <w:object>
          <v:shape id="_x0000_i1025" o:spid="_x0000_i1302" type="#_x0000_t75" style="height:243.65pt;width:249.9pt" o:oleicon="f" o:ole="" o:bordertopcolor="this" o:borderleftcolor="this" o:borderbottomcolor="this" o:borderrightcolor="this" coordsize="21600,21600" o:preferrelative="t" filled="f" stroked="f">
            <v:imagedata r:id="rId4" o:title=""/>
            <o:lock v:ext="edit" aspectratio="t"/>
            <w10:anchorlock/>
          </v:shape>
          <o:OLEObject Type="Embed" ProgID="Visio.Drawing.11" ShapeID="_x0000_i1025" DrawAspect="Content" ObjectID="_1200195957" r:id="rId5"/>
        </w:objec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2.</w:t>
      </w:r>
      <w:r>
        <w:rPr>
          <w:rFonts w:ascii="楷体" w:eastAsia="楷体" w:hAnsi="楷体" w:cs="浠垮畫"/>
          <w:kern w:val="0"/>
          <w:sz w:val="21"/>
          <w:szCs w:val="21"/>
        </w:rPr>
        <w:t xml:space="preserve">代销机构</w:t>
      </w:r>
      <w:r>
        <w:rPr>
          <w:rFonts w:ascii="楷体" w:eastAsia="楷体" w:hAnsi="楷体" w:cs="浠垮畫" w:hint="eastAsia"/>
          <w:kern w:val="0"/>
          <w:sz w:val="21"/>
          <w:szCs w:val="21"/>
        </w:rPr>
        <w:t xml:space="preserve">投诉处理流程见</w:t>
      </w:r>
      <w:r>
        <w:rPr>
          <w:rFonts w:ascii="楷体" w:eastAsia="楷体" w:hAnsi="楷体" w:cs="浠垮畫"/>
          <w:kern w:val="0"/>
          <w:sz w:val="21"/>
          <w:szCs w:val="21"/>
        </w:rPr>
        <w:t xml:space="preserve">代销机构提供的</w:t>
      </w:r>
      <w:r>
        <w:rPr>
          <w:rFonts w:ascii="楷体" w:eastAsia="楷体" w:hAnsi="楷体" w:cs="浠垮畫" w:hint="eastAsia"/>
          <w:kern w:val="0"/>
          <w:sz w:val="21"/>
          <w:szCs w:val="21"/>
        </w:rPr>
        <w:t xml:space="preserve">代销</w:t>
      </w:r>
      <w:r>
        <w:rPr>
          <w:rFonts w:ascii="楷体" w:eastAsia="楷体" w:hAnsi="楷体" w:cs="浠垮畫"/>
          <w:kern w:val="0"/>
          <w:sz w:val="21"/>
          <w:szCs w:val="21"/>
        </w:rPr>
        <w:t xml:space="preserve">协议</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b/>
          <w:kern w:val="0"/>
          <w:sz w:val="21"/>
          <w:szCs w:val="21"/>
        </w:rPr>
      </w:pPr>
      <w:r>
        <w:rPr>
          <w:rFonts w:ascii="楷体" w:eastAsia="楷体" w:hAnsi="楷体" w:cs="浠垮畫" w:hint="eastAsia"/>
          <w:b/>
          <w:kern w:val="0"/>
          <w:sz w:val="21"/>
          <w:szCs w:val="21"/>
        </w:rPr>
        <w:t xml:space="preserve">六、联络方式</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（一）苏银理财有限责任公司</w:t>
      </w:r>
    </w:p>
    <w:p>
      <w:pPr>
        <w:keepNext w:val="0"/>
        <w:keepLines w:val="0"/>
        <w:pageBreakBefore w:val="0"/>
        <w:widowControl w:val="0"/>
        <w:tabs>
          <w:tab w:val="right" w:pos="8306"/>
        </w:tabs>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1.官方网站：www.suyinwealth.com</w:t>
      </w:r>
      <w:r>
        <w:rPr>
          <w:rFonts w:ascii="楷体" w:eastAsia="楷体" w:hAnsi="楷体" w:cs="浠垮畫"/>
          <w:kern w:val="0"/>
          <w:sz w:val="21"/>
          <w:szCs w:val="21"/>
        </w:rPr>
        <w:tab/>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2.电子邮箱：service@suyinwealth.com</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lang w:val="en-US" w:eastAsia="zh-CN"/>
        </w:rPr>
      </w:pPr>
      <w:r>
        <w:rPr>
          <w:rFonts w:ascii="楷体" w:eastAsia="楷体" w:hAnsi="楷体" w:cs="浠垮畫" w:hint="eastAsia"/>
          <w:kern w:val="0"/>
          <w:sz w:val="21"/>
          <w:szCs w:val="21"/>
        </w:rPr>
        <w:t xml:space="preserve">3.客户服务热线：95319</w:t>
      </w:r>
      <w:r>
        <w:rPr>
          <w:rFonts w:ascii="楷体" w:eastAsia="楷体" w:hAnsi="楷体" w:cs="浠垮畫" w:hint="eastAsia"/>
          <w:kern w:val="0"/>
          <w:sz w:val="21"/>
          <w:szCs w:val="21"/>
          <w:lang w:val="en-US" w:eastAsia="zh-CN"/>
        </w:rPr>
        <w:t xml:space="preserve">-8-2</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default"/>
          <w:kern w:val="0"/>
          <w:sz w:val="21"/>
          <w:szCs w:val="21"/>
          <w:lang w:val="en-US" w:eastAsia="zh-CN"/>
        </w:rPr>
      </w:pPr>
      <w:r>
        <w:rPr>
          <w:rFonts w:ascii="楷体" w:eastAsia="楷体" w:hAnsi="楷体" w:cs="浠垮畫" w:hint="default"/>
          <w:kern w:val="0"/>
          <w:sz w:val="21"/>
          <w:szCs w:val="21"/>
          <w:lang w:val="en-US" w:eastAsia="zh-CN"/>
        </w:rPr>
        <w:t xml:space="preserve">4.地址：南京市建邺区江山大街70号国际博览中心三期B幢11-13层</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若上述联系方式变更，苏银理财将提前发布公告及时告知投资者。</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b/>
          <w:kern w:val="0"/>
          <w:sz w:val="21"/>
          <w:szCs w:val="21"/>
        </w:rPr>
      </w:pPr>
      <w:r>
        <w:rPr>
          <w:rFonts w:ascii="楷体" w:eastAsia="楷体" w:hAnsi="楷体" w:cs="浠垮畫"/>
          <w:kern w:val="0"/>
          <w:sz w:val="21"/>
          <w:szCs w:val="21"/>
        </w:rPr>
        <w:t xml:space="preserve">（二）代销机构联络方式详见代销机构提供的</w:t>
      </w:r>
      <w:r>
        <w:rPr>
          <w:rFonts w:ascii="楷体" w:eastAsia="楷体" w:hAnsi="楷体" w:cs="浠垮畫" w:hint="eastAsia"/>
          <w:kern w:val="0"/>
          <w:sz w:val="21"/>
          <w:szCs w:val="21"/>
        </w:rPr>
        <w:t xml:space="preserve">代销</w:t>
      </w:r>
      <w:r>
        <w:rPr>
          <w:rFonts w:ascii="楷体" w:eastAsia="楷体" w:hAnsi="楷体" w:cs="浠垮畫"/>
          <w:kern w:val="0"/>
          <w:sz w:val="21"/>
          <w:szCs w:val="21"/>
        </w:rPr>
        <w:t xml:space="preserve">协议</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hint="eastAsia"/>
          <w:b/>
          <w:kern w:val="0"/>
          <w:sz w:val="21"/>
          <w:szCs w:val="21"/>
          <w:u w:val="single"/>
        </w:rPr>
      </w:pPr>
      <w:r>
        <w:rPr>
          <w:rFonts w:ascii="楷体" w:eastAsia="楷体" w:hAnsi="楷体" w:cs="浠垮畫" w:hint="eastAsia"/>
          <w:b/>
          <w:kern w:val="0"/>
          <w:sz w:val="21"/>
          <w:szCs w:val="21"/>
          <w:u w:val="single"/>
        </w:rPr>
        <w:t xml:space="preserve">声明：本人/本机构知悉本理财产品合同由对应的《理财产品说明书》、《风险揭示书》、《投资者权益须知》、《理财产品投资协议书》及《</w:t>
      </w:r>
      <w:r>
        <w:rPr>
          <w:rFonts w:ascii="楷体" w:eastAsia="楷体" w:hAnsi="楷体" w:cs="浠垮畫" w:hint="eastAsia"/>
          <w:b/>
          <w:kern w:val="0"/>
          <w:sz w:val="21"/>
          <w:szCs w:val="21"/>
          <w:u w:val="single"/>
          <w:lang w:eastAsia="zh-CN"/>
        </w:rPr>
        <w:t xml:space="preserve">理财产品（代理）销售协议书</w:t>
      </w:r>
      <w:r>
        <w:rPr>
          <w:rFonts w:ascii="楷体" w:eastAsia="楷体" w:hAnsi="楷体" w:cs="浠垮畫" w:hint="eastAsia"/>
          <w:b/>
          <w:kern w:val="0"/>
          <w:sz w:val="21"/>
          <w:szCs w:val="21"/>
          <w:u w:val="single"/>
        </w:rPr>
        <w:t xml:space="preserve">》共同组成，本人/本机构确认已经收到本理财产品合同，且已经认真阅读、理解并接受所有条款及相关法律规定，确认已经获得满意的信息披露，理解本理财产品的性质、风险及可能的损失，并愿意承担且有能力承担该等风险。本人/本机构认可代销机构为管理人关联方及关联交易情形的存在并自愿承担相关投资风险。本人/本机构签署</w:t>
      </w:r>
      <w:r>
        <w:rPr>
          <w:rFonts w:ascii="楷体" w:eastAsia="楷体" w:hAnsi="楷体" w:cs="浠垮畫" w:hint="eastAsia"/>
          <w:b/>
          <w:kern w:val="0"/>
          <w:sz w:val="21"/>
          <w:szCs w:val="21"/>
          <w:u w:val="single"/>
          <w:lang w:eastAsia="zh-CN"/>
        </w:rPr>
        <w:t xml:space="preserve">理财产品（代理）销售协议书</w:t>
      </w:r>
      <w:r>
        <w:rPr>
          <w:rFonts w:ascii="楷体" w:eastAsia="楷体" w:hAnsi="楷体" w:cs="浠垮畫" w:hint="eastAsia"/>
          <w:b/>
          <w:kern w:val="0"/>
          <w:sz w:val="21"/>
          <w:szCs w:val="21"/>
          <w:u w:val="single"/>
        </w:rPr>
        <w:t xml:space="preserve">等销售文件后，划款时无需通过任何方式与本人/本机构进行最后确认，可以直接划款。</w:t>
      </w:r>
    </w:p>
    <w:p>
      <w:pPr>
        <w:rPr>
          <w:rFonts w:ascii="楷体" w:eastAsia="楷体" w:hAnsi="楷体" w:hint="eastAsia"/>
          <w:sz w:val="21"/>
          <w:szCs w:val="21"/>
        </w:rPr>
      </w:pPr>
    </w:p>
    <w:p>
      <w:pPr>
        <w:ind w:firstLine="420" w:firstLineChars="200"/>
        <w:rPr>
          <w:rFonts w:ascii="楷体" w:eastAsia="楷体" w:hAnsi="楷体" w:hint="eastAsia"/>
          <w:sz w:val="21"/>
          <w:szCs w:val="21"/>
        </w:rPr>
      </w:pPr>
    </w:p>
    <w:sectPr>
      <w:headerReference w:type="even" r:id="rId6"/>
      <w:headerReference w:type="default" r:id="rId7"/>
      <w:headerReference w:type="first" r:id="rId8"/>
      <w:footerReference w:type="default" r:id="rId9"/>
      <w:pgSz w:w="11906" w:h="16838" w:orient="portrait"/>
      <w:pgMar w:top="1440" w:right="1134" w:bottom="1440" w:left="1134" w:header="851" w:footer="992" w:gutter="0"/>
      <w:cols w:num="1" w:space="0">
        <w:col w:w="9638"/>
      </w:cols>
      <w:rtlGutter w:val="0"/>
      <w:docGrid w:linePitch="312" w:charSpace="0"/>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Auto"/>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Auto"/>
    <w:pitch w:val="default"/>
    <w:sig w:usb0="E0002E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方正仿宋简体"/>
    <w:panose1 w:val="00000000000000000000"/>
    <w:charset w:val="86"/>
    <w:family w:val="Auto"/>
    <w:pitch w:val="default"/>
    <w:sig w:usb0="00000000" w:usb1="00000000" w:usb2="00000010" w:usb3="00000000" w:csb0="00040000" w:csb1="00000000"/>
  </w:font>
  <w:font w:name="方正仿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34</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169"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insoku w:val="0"/>
      <w:overflowPunct w:val="0"/>
      <w:spacing w:before="0" w:line="320" w:lineRule="exact"/>
      <w:ind w:left="20"/>
      <w:jc w:val="both"/>
      <w:rPr>
        <w:rFonts w:ascii="楷体" w:eastAsia="楷体" w:hAnsi="楷体" w:cs="黑体"/>
        <w:b/>
        <w:spacing w:val="-2"/>
        <w:sz w:val="24"/>
        <w:szCs w:val="24"/>
      </w:rPr>
    </w:pPr>
    <w:r>
      <w:rPr>
        <w:rFonts w:ascii="楷体" w:eastAsia="楷体" w:hAnsi="楷体"/>
        <w:b/>
      </w:rPr>
      <w:drawing>
        <wp:anchor distT="0" distB="0" distL="114300" distR="114300" simplePos="0" relativeHeight="251661312" behindDoc="1" locked="0" layoutInCell="0" allowOverlap="1">
          <wp:simplePos x="0" y="0"/>
          <wp:positionH relativeFrom="margin">
            <wp:posOffset>-4171950</wp:posOffset>
          </wp:positionH>
          <wp:positionV relativeFrom="margin">
            <wp:posOffset>-1054735</wp:posOffset>
          </wp:positionV>
          <wp:extent cx="14449425" cy="10958195"/>
          <wp:effectExtent l="0" t="0" r="9525" b="14605"/>
          <wp:wrapNone/>
          <wp:docPr id="170"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5026660</wp:posOffset>
          </wp:positionH>
          <wp:positionV relativeFrom="paragraph">
            <wp:posOffset>-124460</wp:posOffset>
          </wp:positionV>
          <wp:extent cx="1325245" cy="424815"/>
          <wp:effectExtent l="0" t="0" r="8255" b="3810"/>
          <wp:wrapSquare wrapText="bothSides"/>
          <wp:docPr id="171"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172"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chineseCounting"/>
      <w:suff w:val="space"/>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30"/>
  <w:bordersDoNotSurroundFooter w:val="0"/>
  <w:bordersDoNotSurroundHeader w:val="0"/>
  <w:doNotTrackMoves/>
  <w:defaultTabStop w:val="420"/>
  <w:drawingGridHorizontalSpacing w:val="21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semiHidden="0" w:qFormat="1"/>
    <w:lsdException w:name="annotation text" w:semiHidden="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semiHidden="0" w:qFormat="1"/>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Variable"/>
    <w:lsdException w:name="Normal Table" w:semiHidden="0"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72"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宋体" w:eastAsia="宋体" w:hAnsi="宋体" w:cs="宋体"/>
      <w:kern w:val="2"/>
      <w:sz w:val="28"/>
      <w:szCs w:val="22"/>
      <w:lang w:val="en-US" w:eastAsia="zh-CN" w:bidi="ar-SA"/>
    </w:rPr>
  </w:style>
  <w:style w:type="paragraph" w:styleId="Heading1">
    <w:name w:val="Heading 1"/>
    <w:basedOn w:val="Normal"/>
    <w:next w:val="Normal"/>
    <w:uiPriority w:val="1"/>
    <w:qFormat/>
    <w:pPr>
      <w:autoSpaceDE w:val="0"/>
      <w:autoSpaceDN w:val="0"/>
      <w:adjustRightInd w:val="0"/>
      <w:spacing w:before="17"/>
      <w:ind w:left="1144"/>
      <w:jc w:val="left"/>
      <w:outlineLvl w:val="0"/>
    </w:pPr>
    <w:rPr>
      <w:rFonts w:ascii="黑体" w:eastAsia="黑体" w:hAnsi="Times New Roman"/>
      <w:b/>
      <w:bCs/>
      <w:kern w:val="0"/>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kern w:val="0"/>
      <w:sz w:val="32"/>
      <w:szCs w:val="32"/>
    </w:rPr>
  </w:style>
  <w:style w:type="paragraph" w:styleId="Heading3">
    <w:name w:val="Heading 3"/>
    <w:basedOn w:val="Normal"/>
    <w:next w:val="Normal"/>
    <w:uiPriority w:val="1"/>
    <w:qFormat/>
    <w:pPr>
      <w:autoSpaceDE w:val="0"/>
      <w:autoSpaceDN w:val="0"/>
      <w:adjustRightInd w:val="0"/>
      <w:spacing w:before="34"/>
      <w:ind w:left="120"/>
      <w:jc w:val="left"/>
      <w:outlineLvl w:val="2"/>
    </w:pPr>
    <w:rPr>
      <w:rFonts w:ascii="宋体" w:hAnsi="Times New Roman"/>
      <w:b/>
      <w:bCs/>
      <w:kern w:val="0"/>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pPr>
      <w:keepNext w:val="0"/>
      <w:keepLines w:val="0"/>
      <w:widowControl/>
      <w:suppressLineNumbers w:val="0"/>
      <w:spacing w:before="0" w:beforeAutospacing="0" w:after="0" w:afterAutospacing="0"/>
      <w:ind w:left="0" w:right="0"/>
    </w:pPr>
    <w:rPr>
      <w:rFonts w:ascii="Calibri" w:hAnsi="Calibri" w:cs="Times New Roman" w:hint="default"/>
      <w:sz w:val="20"/>
      <w:szCs w:val="20"/>
    </w:rPr>
    <w:tblPr>
      <w:tblCellMar>
        <w:top w:w="0" w:type="dxa"/>
        <w:left w:w="108" w:type="dxa"/>
        <w:bottom w:w="0" w:type="dxa"/>
        <w:right w:w="108" w:type="dxa"/>
      </w:tblCellMar>
    </w:tbl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autoSpaceDE w:val="0"/>
      <w:autoSpaceDN w:val="0"/>
      <w:adjustRightInd w:val="0"/>
      <w:spacing w:before="162"/>
      <w:ind w:left="120"/>
      <w:jc w:val="left"/>
    </w:pPr>
    <w:rPr>
      <w:rFonts w:ascii="宋体" w:hAnsi="Times New Roman"/>
      <w:kern w:val="0"/>
      <w:sz w:val="20"/>
      <w:szCs w:val="21"/>
    </w:rPr>
  </w:style>
  <w:style w:type="paragraph" w:styleId="Date">
    <w:name w:val="Date"/>
    <w:basedOn w:val="Normal"/>
    <w:next w:val="Normal"/>
    <w:uiPriority w:val="99"/>
    <w:unhideWhenUsed/>
    <w:qFormat/>
    <w:pPr>
      <w:ind w:left="100" w:leftChars="2500"/>
    </w:pPr>
    <w:rPr/>
  </w:style>
  <w:style w:type="paragraph" w:styleId="BalloonText">
    <w:name w:val="Balloon Text"/>
    <w:basedOn w:val="Normal"/>
    <w:uiPriority w:val="99"/>
    <w:unhideWhenUsed/>
    <w:qFormat/>
    <w:rPr>
      <w:kern w:val="0"/>
      <w:sz w:val="18"/>
      <w:szCs w:val="18"/>
    </w:rPr>
  </w:style>
  <w:style w:type="paragraph" w:styleId="Footer">
    <w:name w:val="Footer"/>
    <w:basedOn w:val="Normal"/>
    <w:uiPriority w:val="99"/>
    <w:unhideWhenUsed/>
    <w:qFormat/>
    <w:pPr>
      <w:tabs>
        <w:tab w:val="center" w:pos="4153"/>
        <w:tab w:val="right" w:pos="8306"/>
      </w:tabs>
      <w:snapToGrid w:val="0"/>
      <w:jc w:val="left"/>
    </w:pPr>
    <w:rPr>
      <w:kern w:val="0"/>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FootnoteText">
    <w:name w:val="Footnote Text"/>
    <w:basedOn w:val="Normal"/>
    <w:uiPriority w:val="99"/>
    <w:unhideWhenUsed/>
    <w:qFormat/>
    <w:pPr>
      <w:snapToGrid w:val="0"/>
      <w:jc w:val="left"/>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styleId="FootnoteReference">
    <w:name w:val="Footnote Reference"/>
    <w:uiPriority w:val="99"/>
    <w:unhideWhenUsed/>
    <w:qFormat/>
    <w:rPr>
      <w:vertAlign w:val="superscript"/>
    </w:rPr>
  </w:style>
  <w:style w:type="character" w:customStyle="1" w:styleId="脚注文本字符1">
    <w:name w:val="脚注文本 字符1"/>
    <w:link w:val="脚注文本字符1"/>
    <w:uiPriority w:val="99"/>
    <w:semiHidden/>
    <w:qFormat/>
    <w:rPr>
      <w:kern w:val="2"/>
      <w:sz w:val="18"/>
      <w:szCs w:val="18"/>
    </w:rPr>
  </w:style>
  <w:style w:type="character" w:customStyle="1" w:styleId="正文文本字符">
    <w:name w:val="正文文本 字符"/>
    <w:uiPriority w:val="1"/>
    <w:qFormat/>
    <w:rPr>
      <w:rFonts w:ascii="宋体" w:eastAsia="宋体" w:hAnsi="Times New Roman" w:cs="宋体"/>
      <w:kern w:val="0"/>
      <w:szCs w:val="21"/>
    </w:rPr>
  </w:style>
  <w:style w:type="character" w:customStyle="1" w:styleId="脚注文本字符">
    <w:name w:val="脚注文本 字符"/>
    <w:uiPriority w:val="99"/>
    <w:semiHidden/>
    <w:qFormat/>
    <w:rPr>
      <w:kern w:val="2"/>
      <w:sz w:val="18"/>
      <w:szCs w:val="18"/>
    </w:rPr>
  </w:style>
  <w:style w:type="character" w:customStyle="1" w:styleId="批注主题字符">
    <w:name w:val="批注主题 字符"/>
    <w:uiPriority w:val="99"/>
    <w:semiHidden/>
    <w:qFormat/>
    <w:rPr>
      <w:b/>
      <w:bCs/>
      <w:kern w:val="2"/>
      <w:sz w:val="21"/>
      <w:szCs w:val="22"/>
    </w:rPr>
  </w:style>
  <w:style w:type="character" w:customStyle="1" w:styleId="批注框文本字符">
    <w:name w:val="批注框文本 字符"/>
    <w:uiPriority w:val="99"/>
    <w:semiHidden/>
    <w:qFormat/>
    <w:rPr>
      <w:sz w:val="18"/>
      <w:szCs w:val="18"/>
    </w:rPr>
  </w:style>
  <w:style w:type="character" w:customStyle="1" w:styleId="页眉字符">
    <w:name w:val="页眉 字符"/>
    <w:link w:val="脚注文本字符"/>
    <w:uiPriority w:val="99"/>
    <w:qFormat/>
    <w:rPr>
      <w:sz w:val="18"/>
      <w:szCs w:val="18"/>
    </w:rPr>
  </w:style>
  <w:style w:type="character" w:customStyle="1" w:styleId="页脚字符">
    <w:name w:val="页脚 字符"/>
    <w:link w:val="批注主题字符"/>
    <w:uiPriority w:val="99"/>
    <w:qFormat/>
    <w:rPr>
      <w:sz w:val="18"/>
      <w:szCs w:val="18"/>
    </w:rPr>
  </w:style>
  <w:style w:type="character" w:customStyle="1" w:styleId="日期字符">
    <w:name w:val="日期 字符"/>
    <w:basedOn w:val="DefaultParagraphFont"/>
    <w:uiPriority w:val="99"/>
    <w:semiHidden/>
    <w:qFormat/>
    <w:rPr/>
  </w:style>
  <w:style w:type="character" w:customStyle="1" w:styleId="批注文字字符">
    <w:name w:val="批注文字 字符"/>
    <w:uiPriority w:val="99"/>
    <w:qFormat/>
    <w:rPr>
      <w:kern w:val="2"/>
      <w:sz w:val="21"/>
      <w:szCs w:val="22"/>
    </w:rPr>
  </w:style>
  <w:style w:type="character" w:customStyle="1" w:styleId="标题3字符">
    <w:name w:val="标题 3 字符"/>
    <w:link w:val="Heading3"/>
    <w:uiPriority w:val="1"/>
    <w:qFormat/>
    <w:rPr>
      <w:rFonts w:ascii="宋体" w:eastAsia="宋体" w:hAnsi="Times New Roman" w:cs="宋体"/>
      <w:b/>
      <w:bCs/>
      <w:kern w:val="0"/>
      <w:szCs w:val="21"/>
    </w:rPr>
  </w:style>
  <w:style w:type="character" w:customStyle="1" w:styleId="标题1字符">
    <w:name w:val="标题 1 字符"/>
    <w:link w:val="Heading1"/>
    <w:uiPriority w:val="1"/>
    <w:qFormat/>
    <w:rPr>
      <w:rFonts w:ascii="黑体" w:eastAsia="黑体" w:hAnsi="Times New Roman" w:cs="黑体"/>
      <w:b/>
      <w:bCs/>
      <w:kern w:val="0"/>
      <w:sz w:val="36"/>
      <w:szCs w:val="36"/>
    </w:rPr>
  </w:style>
  <w:style w:type="character" w:customStyle="1" w:styleId="标题2字符">
    <w:name w:val="标题 2 字符"/>
    <w:link w:val="Heading2"/>
    <w:uiPriority w:val="9"/>
    <w:qFormat/>
    <w:rPr>
      <w:rFonts w:ascii="Cambria" w:eastAsia="宋体" w:hAnsi="Cambria" w:cs="Times New Roman"/>
      <w:b/>
      <w:bCs/>
      <w:sz w:val="32"/>
      <w:szCs w:val="32"/>
    </w:rPr>
  </w:style>
  <w:style w:type="paragraph" w:styleId="ListParagraph">
    <w:name w:val="List Paragraph"/>
    <w:basedOn w:val="Normal"/>
    <w:uiPriority w:val="72"/>
    <w:qFormat/>
    <w:pPr>
      <w:ind w:firstLine="420" w:firstLineChars="200"/>
    </w:pPr>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lang w:val="en-US" w:eastAsia="zh-CN" w:bidi="ar-SA"/>
    </w:rPr>
  </w:style>
  <w:style w:type="paragraph" w:customStyle="1" w:styleId="TableParagraph">
    <w:name w:val="Table Paragraph"/>
    <w:basedOn w:val="Normal"/>
    <w:uiPriority w:val="1"/>
    <w:qFormat/>
    <w:pPr>
      <w:autoSpaceDE w:val="0"/>
      <w:autoSpaceDN w:val="0"/>
      <w:adjustRightInd w:val="0"/>
      <w:jc w:val="left"/>
    </w:pPr>
    <w:rPr>
      <w:rFonts w:ascii="Times New Roman" w:hAnsi="Times New Roman" w:cs="Times New Roman"/>
      <w:kern w:val="0"/>
      <w:sz w:val="24"/>
      <w:szCs w:val="24"/>
    </w:rPr>
  </w:style>
  <w:style w:type="paragraph" w:customStyle="1" w:styleId="_Style35">
    <w:name w:val="_Style 35"/>
    <w:uiPriority w:val="99"/>
    <w:semiHidden/>
    <w:qFormat/>
    <w:rPr>
      <w:rFonts w:ascii="Times New Roman" w:eastAsia="宋体" w:hAnsi="Times New Roman" w:cs="Times New Roman"/>
      <w:kern w:val="2"/>
      <w:sz w:val="21"/>
      <w:szCs w:val="22"/>
      <w:lang w:val="en-US" w:eastAsia="zh-CN" w:bidi="ar-SA"/>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webSettings" Target="webSettings.xml" /><Relationship Id="rId13" Type="http://schemas.openxmlformats.org/officeDocument/2006/relationships/numbering" Target="numbering.xml" /><Relationship Id="rId14" Type="http://schemas.openxmlformats.org/officeDocument/2006/relationships/fontTable" Target="fontTable.xml" /><Relationship Id="rId15"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image" Target="media/image1.emf" /><Relationship Id="rId5" Type="http://schemas.openxmlformats.org/officeDocument/2006/relationships/oleObject" Target="embeddings/oleObject1.bin"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1.xml" /></Relationships>
</file>

<file path=word/_rels/header1.xml.rels>&#65279;<?xml version="1.0" encoding="utf-8"?><Relationships xmlns="http://schemas.openxmlformats.org/package/2006/relationships"><Relationship Id="rId1" Type="http://schemas.openxmlformats.org/officeDocument/2006/relationships/image" Target="media/image2.png" /></Relationships>
</file>

<file path=word/_rels/header2.xml.rels>&#65279;<?xml version="1.0" encoding="utf-8"?><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png" /></Relationships>
</file>

<file path=word/_rels/header3.xml.rels>&#65279;<?xml version="1.0" encoding="utf-8"?><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2020-12-23T08:08:00Z</dcterms:created>
  <dc:creator>JSYH</dc:creator>
  <cp:lastModifiedBy>sylc</cp:lastModifiedBy>
  <cp:lastPrinted>2026-07-08T03:07:00Z</cp:lastPrinted>
  <dcterms:modified xsi:type="dcterms:W3CDTF">2026-07-13T07:46:38Z</dcterms:modified>
  <cp:revision>3</cp:revision>
</cp:coreProperties>
</file>

<file path=customXml/item2.xml><?xml version="1.0" encoding="utf-8"?>
<Properties xmlns="http://schemas.openxmlformats.org/officeDocument/2006/extended-properties" xmlns:vt="http://schemas.openxmlformats.org/officeDocument/2006/docPropsVTypes">
  <Template>Normal</Template>
  <Company>Microsoft</Company>
  <Pages>4</Pages>
  <Words>4125</Words>
  <Characters>4276</Characters>
  <Lines>26</Lines>
  <Paragraphs>7</Paragraphs>
  <TotalTime>3</TotalTime>
  <ScaleCrop>false</ScaleCrop>
  <LinksUpToDate>false</LinksUpToDate>
  <CharactersWithSpaces>4287</CharactersWithSpaces>
  <Application>WPS Office_11.8.2.11734_F1E327BC-269C-435d-A152-05C5408002CA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37E062FBF20D4AB69A351A39742709D9</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3</TotalTime>
  <Pages>4</Pages>
  <Words>4125</Words>
  <Characters>4276</Characters>
  <Application>WPS Office_11.8.2.11734_F1E327BC-269C-435d-A152-05C5408002CA</Application>
  <DocSecurity>0</DocSecurity>
  <Lines>26</Lines>
  <Paragraphs>7</Paragraphs>
  <Company>Microsoft</Company>
  <CharactersWithSpaces>4287</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sylc</cp:lastModifiedBy>
  <cp:revision>3</cp:revision>
  <cp:lastPrinted>2026-07-08T03:07:00Z</cp:lastPrinted>
  <dcterms:created xsi:type="dcterms:W3CDTF">2020-12-23T08:08:00Z</dcterms:created>
  <dcterms:modified xsi:type="dcterms:W3CDTF">2026-08-19T10:02:32Z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37E062FBF20D4AB69A351A39742709D9</vt:lpstr>
  </property>
</Properties>
</file>