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1"/>
        <w:pageBreakBefore w:val="0"/>
        <w:spacing w:before="0" w:beforeAutospacing="0" w:after="0" w:afterAutospacing="0" w:line="240" w:lineRule="auto"/>
        <w:jc w:val="center"/>
        <w:rPr>
          <w:rFonts w:hint="eastAsia" w:ascii="楷体" w:hAnsi="楷体" w:eastAsia="楷体" w:cs="楷体"/>
          <w:b/>
          <w:color w:val="auto"/>
          <w:sz w:val="28"/>
          <w:szCs w:val="28"/>
        </w:rPr>
      </w:pPr>
      <w:r>
        <w:rPr>
          <w:rFonts w:ascii="楷体" w:hAnsi="楷体" w:eastAsia="楷体" w:cs="楷体"/>
          <w:b/>
          <w:bCs/>
          <w:color w:val="000000"/>
          <w:sz w:val="28"/>
          <w:szCs w:val="28"/>
        </w:rPr>
        <w:t>“</w:t>
      </w:r>
      <w:r>
        <w:rPr>
          <w:rFonts w:hint="eastAsia" w:ascii="楷体" w:hAnsi="楷体" w:eastAsia="楷体" w:cs="楷体"/>
          <w:b/>
          <w:bCs/>
          <w:color w:val="000000"/>
          <w:sz w:val="28"/>
          <w:szCs w:val="28"/>
        </w:rPr>
        <w:t>苏银理财恒源封闭债权368期”</w:t>
      </w:r>
      <w:r>
        <w:rPr>
          <w:rFonts w:hint="eastAsia" w:ascii="楷体" w:hAnsi="楷体" w:eastAsia="楷体" w:cs="楷体"/>
          <w:b/>
          <w:color w:val="auto"/>
          <w:sz w:val="28"/>
          <w:szCs w:val="28"/>
        </w:rPr>
        <w:t>理财产品风险揭示书</w:t>
      </w:r>
    </w:p>
    <w:p>
      <w:pPr>
        <w:spacing w:line="240" w:lineRule="auto"/>
        <w:jc w:val="center"/>
        <w:rPr>
          <w:rFonts w:hint="eastAsia" w:ascii="楷体" w:hAnsi="楷体" w:eastAsia="楷体" w:cs="楷体"/>
          <w:b/>
          <w:color w:val="auto"/>
          <w:kern w:val="0"/>
          <w:sz w:val="28"/>
          <w:szCs w:val="28"/>
        </w:rPr>
      </w:pPr>
      <w:r>
        <w:rPr>
          <w:rFonts w:hint="eastAsia" w:ascii="楷体" w:hAnsi="楷体" w:eastAsia="楷体" w:cs="楷体"/>
          <w:b/>
          <w:color w:val="auto"/>
          <w:kern w:val="0"/>
          <w:sz w:val="24"/>
          <w:szCs w:val="24"/>
        </w:rPr>
        <w:t>理财非存款、产品有风险、投资须谨慎</w:t>
      </w:r>
    </w:p>
    <w:p>
      <w:pPr>
        <w:pStyle w:val="11"/>
        <w:spacing w:before="0" w:beforeAutospacing="0" w:after="0" w:afterAutospacing="0" w:line="240" w:lineRule="atLeast"/>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rPr>
        <w:t>尊敬的投资者：</w:t>
      </w:r>
    </w:p>
    <w:p>
      <w:pPr>
        <w:pStyle w:val="11"/>
        <w:spacing w:before="0" w:beforeAutospacing="0" w:after="0" w:afterAutospacing="0" w:line="240" w:lineRule="atLeast"/>
        <w:ind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由于理财资金在管理运用过程中可能面临多种风险因素，根据</w:t>
      </w:r>
      <w:r>
        <w:rPr>
          <w:rFonts w:hint="eastAsia" w:ascii="楷体" w:hAnsi="楷体" w:eastAsia="楷体" w:cs="楷体"/>
          <w:sz w:val="21"/>
          <w:szCs w:val="21"/>
          <w:lang w:val="en-US" w:eastAsia="zh-CN"/>
        </w:rPr>
        <w:t>国家金融监督管理总局（以下简称“金融监管总局”）</w:t>
      </w:r>
      <w:r>
        <w:rPr>
          <w:rFonts w:hint="eastAsia" w:ascii="楷体" w:hAnsi="楷体" w:eastAsia="楷体" w:cs="楷体"/>
          <w:color w:val="auto"/>
          <w:sz w:val="21"/>
          <w:szCs w:val="21"/>
        </w:rPr>
        <w:t>相关监管规定，苏银理财有限责任公司（以下简称“苏银理财”</w:t>
      </w:r>
      <w:r>
        <w:rPr>
          <w:rFonts w:hint="eastAsia" w:ascii="楷体" w:hAnsi="楷体" w:eastAsia="楷体" w:cs="楷体"/>
          <w:color w:val="auto"/>
          <w:sz w:val="21"/>
          <w:szCs w:val="21"/>
          <w:lang w:val="en-US" w:eastAsia="zh-CN"/>
        </w:rPr>
        <w:t>或“管理人”</w:t>
      </w:r>
      <w:r>
        <w:rPr>
          <w:rFonts w:hint="eastAsia" w:ascii="楷体" w:hAnsi="楷体" w:eastAsia="楷体" w:cs="楷体"/>
          <w:color w:val="auto"/>
          <w:sz w:val="21"/>
          <w:szCs w:val="21"/>
        </w:rPr>
        <w:t>）作为本理财产品的产品管理人郑重提示您：在您选择购买理财产品前，请仔细阅读本理财产品</w:t>
      </w:r>
      <w:r>
        <w:rPr>
          <w:rFonts w:hint="eastAsia" w:ascii="楷体" w:hAnsi="楷体" w:eastAsia="楷体" w:cs="楷体"/>
          <w:color w:val="auto"/>
          <w:sz w:val="21"/>
          <w:szCs w:val="21"/>
          <w:lang w:val="en-US" w:eastAsia="zh-CN"/>
        </w:rPr>
        <w:t>完整销售文件</w:t>
      </w:r>
      <w:r>
        <w:rPr>
          <w:rFonts w:hint="eastAsia" w:ascii="楷体" w:hAnsi="楷体" w:eastAsia="楷体" w:cs="楷体"/>
          <w:color w:val="auto"/>
          <w:sz w:val="21"/>
          <w:szCs w:val="21"/>
        </w:rPr>
        <w:t>（包括《风险揭示书》、《理财产品说明书》、《</w:t>
      </w:r>
      <w:r>
        <w:rPr>
          <w:rFonts w:hint="eastAsia" w:ascii="楷体" w:hAnsi="楷体" w:eastAsia="楷体" w:cs="楷体"/>
          <w:color w:val="auto"/>
          <w:sz w:val="21"/>
          <w:szCs w:val="21"/>
          <w:lang w:val="en-US" w:eastAsia="zh-CN"/>
        </w:rPr>
        <w:t>理财</w:t>
      </w:r>
      <w:r>
        <w:rPr>
          <w:rFonts w:hint="eastAsia" w:ascii="楷体" w:hAnsi="楷体" w:eastAsia="楷体" w:cs="楷体"/>
          <w:color w:val="auto"/>
          <w:sz w:val="21"/>
          <w:szCs w:val="21"/>
        </w:rPr>
        <w:t>产品投资协议书》</w:t>
      </w:r>
      <w:r>
        <w:rPr>
          <w:rFonts w:hint="eastAsia" w:ascii="楷体" w:hAnsi="楷体" w:eastAsia="楷体" w:cs="楷体"/>
          <w:color w:val="auto"/>
          <w:sz w:val="21"/>
          <w:szCs w:val="21"/>
          <w:lang w:eastAsia="zh-CN"/>
        </w:rPr>
        <w:t>、</w:t>
      </w:r>
      <w:r>
        <w:rPr>
          <w:rFonts w:hint="eastAsia" w:ascii="楷体" w:hAnsi="楷体" w:eastAsia="楷体" w:cs="楷体"/>
          <w:color w:val="auto"/>
          <w:sz w:val="21"/>
          <w:szCs w:val="21"/>
        </w:rPr>
        <w:t>《投资者权益须知》</w:t>
      </w:r>
      <w:r>
        <w:rPr>
          <w:rFonts w:hint="eastAsia" w:ascii="楷体" w:hAnsi="楷体" w:eastAsia="楷体" w:cs="楷体"/>
          <w:color w:val="auto"/>
          <w:sz w:val="21"/>
          <w:szCs w:val="21"/>
          <w:lang w:eastAsia="zh-CN"/>
        </w:rPr>
        <w:t>、</w:t>
      </w:r>
      <w:r>
        <w:rPr>
          <w:rFonts w:hint="eastAsia" w:ascii="楷体" w:hAnsi="楷体" w:eastAsia="楷体" w:cs="楷体"/>
          <w:color w:val="auto"/>
          <w:sz w:val="21"/>
          <w:szCs w:val="21"/>
        </w:rPr>
        <w:t>《</w:t>
      </w:r>
      <w:r>
        <w:rPr>
          <w:rFonts w:hint="eastAsia" w:ascii="楷体" w:hAnsi="楷体" w:eastAsia="楷体" w:cs="楷体"/>
          <w:color w:val="auto"/>
          <w:sz w:val="21"/>
          <w:szCs w:val="21"/>
          <w:lang w:eastAsia="zh-CN"/>
        </w:rPr>
        <w:t>理财产品（代理）销售协议书</w:t>
      </w:r>
      <w:r>
        <w:rPr>
          <w:rFonts w:hint="eastAsia" w:ascii="楷体" w:hAnsi="楷体" w:eastAsia="楷体" w:cs="楷体"/>
          <w:color w:val="auto"/>
          <w:sz w:val="21"/>
          <w:szCs w:val="21"/>
        </w:rPr>
        <w:t>》），了解理财产品具体情况；在您购买理财产品后，请关注本理财产品的信息披露，及时获取相关信息。</w:t>
      </w:r>
    </w:p>
    <w:p>
      <w:pPr>
        <w:pStyle w:val="11"/>
        <w:spacing w:before="0" w:beforeAutospacing="0" w:after="0" w:afterAutospacing="0" w:line="240" w:lineRule="atLeast"/>
        <w:ind w:firstLine="420" w:firstLineChars="200"/>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rPr>
        <w:t>苏银理财作为本理财产品管理人承诺以诚实信用、勤勉尽责的原则管理和运用理财产品资产，</w:t>
      </w:r>
      <w:r>
        <w:rPr>
          <w:rFonts w:hint="eastAsia" w:ascii="楷体" w:hAnsi="楷体" w:eastAsia="楷体" w:cs="楷体"/>
          <w:b/>
          <w:color w:val="auto"/>
          <w:sz w:val="21"/>
          <w:szCs w:val="21"/>
          <w:u w:val="single"/>
        </w:rPr>
        <w:t>但不保证理财产品一定盈利，也不保证最低收益，极端情况下有可能会损失部分甚至全部本金。</w:t>
      </w:r>
      <w:r>
        <w:rPr>
          <w:rFonts w:hint="eastAsia" w:ascii="楷体" w:hAnsi="楷体" w:eastAsia="楷体" w:cs="楷体"/>
          <w:color w:val="auto"/>
          <w:sz w:val="21"/>
          <w:szCs w:val="21"/>
        </w:rPr>
        <w:t>本风险揭示书旨在揭示本理财产品可能面临的各种风险，请您务必充分认识以下风险。</w:t>
      </w:r>
    </w:p>
    <w:p>
      <w:pPr>
        <w:numPr>
          <w:ilvl w:val="0"/>
          <w:numId w:val="1"/>
        </w:numPr>
        <w:tabs>
          <w:tab w:val="left" w:pos="1134"/>
        </w:tabs>
        <w:spacing w:line="240" w:lineRule="atLeast"/>
        <w:ind w:left="0" w:firstLine="482" w:firstLineChars="200"/>
        <w:rPr>
          <w:rFonts w:hint="eastAsia" w:ascii="楷体" w:hAnsi="楷体" w:eastAsia="楷体" w:cs="楷体"/>
          <w:b/>
          <w:color w:val="auto"/>
          <w:sz w:val="24"/>
          <w:szCs w:val="24"/>
        </w:rPr>
      </w:pPr>
      <w:r>
        <w:rPr>
          <w:rFonts w:hint="eastAsia" w:ascii="楷体" w:hAnsi="楷体" w:eastAsia="楷体" w:cs="楷体"/>
          <w:b/>
          <w:color w:val="auto"/>
          <w:sz w:val="24"/>
          <w:szCs w:val="24"/>
        </w:rPr>
        <w:t>风险揭示</w:t>
      </w:r>
    </w:p>
    <w:p>
      <w:pPr>
        <w:pStyle w:val="11"/>
        <w:spacing w:before="0" w:beforeAutospacing="0" w:after="0" w:afterAutospacing="0" w:line="240" w:lineRule="atLeast"/>
        <w:ind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请投资者根据自身理财目标、投资经验、财务状况、风险承受能力以及其他相关情况慎重考虑购买本理财产品。本风险揭示书列示的风险指理财产品项下可能涉及的风险，包括但不限于：</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政策风险：</w:t>
      </w:r>
      <w:r>
        <w:rPr>
          <w:rFonts w:hint="eastAsia" w:ascii="楷体" w:hAnsi="楷体" w:eastAsia="楷体" w:cs="楷体"/>
          <w:color w:val="auto"/>
          <w:sz w:val="21"/>
          <w:szCs w:val="21"/>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b/>
          <w:color w:val="auto"/>
          <w:sz w:val="21"/>
          <w:szCs w:val="21"/>
        </w:rPr>
      </w:pPr>
      <w:r>
        <w:rPr>
          <w:rFonts w:hint="eastAsia" w:ascii="楷体" w:hAnsi="楷体" w:eastAsia="楷体" w:cs="楷体"/>
          <w:b/>
          <w:color w:val="auto"/>
          <w:sz w:val="21"/>
          <w:szCs w:val="21"/>
        </w:rPr>
        <w:t>信用风险：</w:t>
      </w:r>
      <w:r>
        <w:rPr>
          <w:rFonts w:hint="eastAsia" w:ascii="楷体" w:hAnsi="楷体" w:eastAsia="楷体" w:cs="楷体"/>
          <w:color w:val="auto"/>
          <w:sz w:val="21"/>
          <w:szCs w:val="21"/>
        </w:rPr>
        <w:t>本理财产品</w:t>
      </w:r>
      <w:r>
        <w:rPr>
          <w:rFonts w:hint="eastAsia" w:ascii="楷体" w:hAnsi="楷体" w:eastAsia="楷体" w:cs="楷体"/>
          <w:color w:val="auto"/>
          <w:sz w:val="21"/>
          <w:szCs w:val="21"/>
          <w:lang w:val="en-US" w:eastAsia="zh-CN"/>
        </w:rPr>
        <w:t>投资于各类金融</w:t>
      </w:r>
      <w:r>
        <w:rPr>
          <w:rFonts w:hint="eastAsia" w:ascii="楷体" w:hAnsi="楷体" w:eastAsia="楷体" w:cs="楷体"/>
          <w:color w:val="auto"/>
          <w:sz w:val="21"/>
          <w:szCs w:val="21"/>
        </w:rPr>
        <w:t>资产，因此有可能由于发行主体或交易对手信用状况恶化导致交易违约，致使本理财产品到期实际收益不足业绩比较基准，该种情况下，</w:t>
      </w:r>
      <w:r>
        <w:rPr>
          <w:rFonts w:hint="eastAsia" w:ascii="楷体" w:hAnsi="楷体" w:eastAsia="楷体" w:cs="楷体"/>
          <w:color w:val="auto"/>
          <w:sz w:val="21"/>
          <w:szCs w:val="21"/>
          <w:lang w:val="en-US" w:eastAsia="zh-CN"/>
        </w:rPr>
        <w:t>管理人</w:t>
      </w:r>
      <w:r>
        <w:rPr>
          <w:rFonts w:hint="eastAsia" w:ascii="楷体" w:hAnsi="楷体" w:eastAsia="楷体" w:cs="楷体"/>
          <w:color w:val="auto"/>
          <w:sz w:val="21"/>
          <w:szCs w:val="21"/>
        </w:rPr>
        <w:t>将按照投资实际收益情况，并以资产变现实际收到的资金为限支付投资</w:t>
      </w:r>
      <w:r>
        <w:rPr>
          <w:rFonts w:hint="eastAsia" w:ascii="楷体" w:hAnsi="楷体" w:eastAsia="楷体" w:cs="楷体"/>
          <w:color w:val="auto"/>
          <w:sz w:val="21"/>
          <w:szCs w:val="21"/>
          <w:lang w:val="en-US" w:eastAsia="zh-CN"/>
        </w:rPr>
        <w:t>者</w:t>
      </w:r>
      <w:r>
        <w:rPr>
          <w:rFonts w:hint="eastAsia" w:ascii="楷体" w:hAnsi="楷体" w:eastAsia="楷体" w:cs="楷体"/>
          <w:color w:val="auto"/>
          <w:sz w:val="21"/>
          <w:szCs w:val="21"/>
        </w:rPr>
        <w:t>收益，投资</w:t>
      </w:r>
      <w:r>
        <w:rPr>
          <w:rFonts w:hint="eastAsia" w:ascii="楷体" w:hAnsi="楷体" w:eastAsia="楷体" w:cs="楷体"/>
          <w:color w:val="auto"/>
          <w:sz w:val="21"/>
          <w:szCs w:val="21"/>
          <w:lang w:val="en-US" w:eastAsia="zh-CN"/>
        </w:rPr>
        <w:t>者</w:t>
      </w:r>
      <w:r>
        <w:rPr>
          <w:rFonts w:hint="eastAsia" w:ascii="楷体" w:hAnsi="楷体" w:eastAsia="楷体" w:cs="楷体"/>
          <w:color w:val="auto"/>
          <w:sz w:val="21"/>
          <w:szCs w:val="21"/>
        </w:rPr>
        <w:t>将自行承担由此而导致本金和收益遭受部分甚至全部损失的风险。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市场风险：</w:t>
      </w:r>
      <w:r>
        <w:rPr>
          <w:rFonts w:hint="eastAsia" w:ascii="楷体" w:hAnsi="楷体" w:eastAsia="楷体" w:cs="楷体"/>
          <w:color w:val="auto"/>
          <w:sz w:val="21"/>
          <w:szCs w:val="21"/>
        </w:rPr>
        <w:t>本理财产品投资</w:t>
      </w:r>
      <w:r>
        <w:rPr>
          <w:rFonts w:hint="eastAsia" w:ascii="楷体" w:hAnsi="楷体" w:eastAsia="楷体" w:cs="楷体"/>
          <w:color w:val="auto"/>
          <w:sz w:val="21"/>
          <w:szCs w:val="21"/>
          <w:lang w:val="en-US" w:eastAsia="zh-CN"/>
        </w:rPr>
        <w:t>的金融</w:t>
      </w:r>
      <w:r>
        <w:rPr>
          <w:rFonts w:hint="eastAsia" w:ascii="楷体" w:hAnsi="楷体" w:eastAsia="楷体" w:cs="楷体"/>
          <w:color w:val="auto"/>
          <w:sz w:val="21"/>
          <w:szCs w:val="21"/>
        </w:rPr>
        <w:t>资产的价格受到经济因素、政治因素、投资心理和交易制度等各种因素的影响，可能导致本理财产品资产收益水平变化，投资者可能面临本金和收益遭受部分甚至全部损失的风险。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流动性风险：</w:t>
      </w:r>
      <w:r>
        <w:rPr>
          <w:rFonts w:hint="eastAsia" w:ascii="楷体" w:hAnsi="楷体" w:eastAsia="楷体" w:cs="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cs="楷体"/>
          <w:b w:val="0"/>
          <w:bCs/>
          <w:color w:val="auto"/>
          <w:sz w:val="21"/>
          <w:szCs w:val="21"/>
          <w:highlight w:val="none"/>
          <w:lang w:val="en-US" w:eastAsia="zh-CN"/>
        </w:rPr>
        <w:t>满足本理财产品履行相关</w:t>
      </w:r>
      <w:r>
        <w:rPr>
          <w:rFonts w:hint="eastAsia" w:ascii="楷体" w:hAnsi="楷体" w:eastAsia="楷体" w:cs="楷体"/>
          <w:b w:val="0"/>
          <w:bCs/>
          <w:color w:val="auto"/>
          <w:sz w:val="21"/>
          <w:szCs w:val="21"/>
          <w:highlight w:val="none"/>
        </w:rPr>
        <w:t>支付义务，带来流动性风险。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管理风险：</w:t>
      </w:r>
      <w:r>
        <w:rPr>
          <w:rFonts w:hint="eastAsia" w:ascii="楷体" w:hAnsi="楷体" w:eastAsia="楷体" w:cs="楷体"/>
          <w:color w:val="auto"/>
          <w:sz w:val="21"/>
          <w:szCs w:val="21"/>
        </w:rPr>
        <w:t>在本理财产品运作过程中，投资管理各方受经验、技能、执行力等综合因素的限制，可能会对本理财产品的运作和管理造成一定影响，投资者可能面临本金和收益遭受部分甚至全部损失的风险。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操作风险：</w:t>
      </w:r>
      <w:r>
        <w:rPr>
          <w:rFonts w:hint="eastAsia" w:ascii="楷体" w:hAnsi="楷体" w:eastAsia="楷体" w:cs="楷体"/>
          <w:color w:val="auto"/>
          <w:sz w:val="21"/>
          <w:szCs w:val="21"/>
        </w:rPr>
        <w:t>如本理财产品管理人由于内部作业、人员管理、系统操作及事务处理不当或失误等，则投资者可能面临本金和收益遭受部分甚至全部损失的风险。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延期兑付风险：</w:t>
      </w:r>
      <w:r>
        <w:rPr>
          <w:rFonts w:hint="eastAsia" w:ascii="楷体" w:hAnsi="楷体" w:eastAsia="楷体" w:cs="楷体"/>
          <w:color w:val="auto"/>
          <w:sz w:val="21"/>
          <w:szCs w:val="21"/>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提前终止风险：</w:t>
      </w:r>
      <w:r>
        <w:rPr>
          <w:rFonts w:hint="eastAsia" w:ascii="楷体" w:hAnsi="楷体" w:eastAsia="楷体" w:cs="楷体"/>
          <w:color w:val="auto"/>
          <w:sz w:val="21"/>
          <w:szCs w:val="21"/>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s="楷体"/>
          <w:color w:val="auto"/>
          <w:sz w:val="21"/>
          <w:szCs w:val="21"/>
          <w:lang w:val="en-US" w:eastAsia="zh-CN"/>
        </w:rPr>
        <w:t>产品销售文件</w:t>
      </w:r>
      <w:r>
        <w:rPr>
          <w:rFonts w:hint="eastAsia" w:ascii="楷体" w:hAnsi="楷体" w:eastAsia="楷体" w:cs="楷体"/>
          <w:color w:val="auto"/>
          <w:sz w:val="21"/>
          <w:szCs w:val="21"/>
        </w:rPr>
        <w:t>的，产品管理人有权提前终止理财产品</w:t>
      </w:r>
      <w:r>
        <w:rPr>
          <w:rFonts w:hint="eastAsia" w:ascii="楷体" w:hAnsi="楷体" w:eastAsia="楷体" w:cs="楷体"/>
          <w:color w:val="auto"/>
          <w:sz w:val="21"/>
          <w:szCs w:val="21"/>
          <w:lang w:val="en-US" w:eastAsia="zh-CN"/>
        </w:rPr>
        <w:t>销售文件</w:t>
      </w:r>
      <w:r>
        <w:rPr>
          <w:rFonts w:hint="eastAsia" w:ascii="楷体" w:hAnsi="楷体" w:eastAsia="楷体" w:cs="楷体"/>
          <w:color w:val="auto"/>
          <w:sz w:val="21"/>
          <w:szCs w:val="21"/>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cs="楷体"/>
          <w:b/>
          <w:color w:val="auto"/>
          <w:sz w:val="21"/>
          <w:szCs w:val="21"/>
        </w:rPr>
        <w:t>信息传递风险：</w:t>
      </w:r>
      <w:r>
        <w:rPr>
          <w:rFonts w:hint="eastAsia" w:ascii="楷体" w:hAnsi="楷体" w:eastAsia="楷体" w:cs="楷体"/>
          <w:color w:val="auto"/>
          <w:sz w:val="21"/>
          <w:szCs w:val="21"/>
        </w:rPr>
        <w:t>产品管理人将按照本理财产品</w:t>
      </w:r>
      <w:r>
        <w:rPr>
          <w:rFonts w:hint="eastAsia" w:ascii="楷体" w:hAnsi="楷体" w:eastAsia="楷体" w:cs="楷体"/>
          <w:color w:val="auto"/>
          <w:sz w:val="21"/>
          <w:szCs w:val="21"/>
          <w:lang w:val="en-US" w:eastAsia="zh-CN"/>
        </w:rPr>
        <w:t>销售文件</w:t>
      </w:r>
      <w:r>
        <w:rPr>
          <w:rFonts w:hint="eastAsia" w:ascii="楷体" w:hAnsi="楷体" w:eastAsia="楷体" w:cs="楷体"/>
          <w:color w:val="auto"/>
          <w:sz w:val="21"/>
          <w:szCs w:val="21"/>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numPr>
          <w:ilvl w:val="0"/>
          <w:numId w:val="2"/>
        </w:numPr>
        <w:tabs>
          <w:tab w:val="left" w:pos="993"/>
        </w:tabs>
        <w:spacing w:line="240" w:lineRule="atLeast"/>
        <w:ind w:left="0" w:firstLine="422" w:firstLineChars="200"/>
        <w:rPr>
          <w:rFonts w:hint="eastAsia" w:ascii="楷体" w:hAnsi="楷体" w:eastAsia="楷体" w:cs="楷体"/>
          <w:sz w:val="21"/>
          <w:szCs w:val="21"/>
        </w:rPr>
      </w:pPr>
      <w:r>
        <w:rPr>
          <w:rFonts w:hint="eastAsia" w:ascii="楷体" w:hAnsi="楷体" w:eastAsia="楷体" w:cs="楷体"/>
          <w:b/>
          <w:sz w:val="21"/>
          <w:szCs w:val="21"/>
          <w:highlight w:val="none"/>
        </w:rPr>
        <w:t>代销风险</w:t>
      </w:r>
      <w:r>
        <w:rPr>
          <w:rFonts w:hint="eastAsia" w:ascii="楷体" w:hAnsi="楷体" w:eastAsia="楷体" w:cs="楷体"/>
          <w:b/>
          <w:sz w:val="21"/>
          <w:szCs w:val="21"/>
          <w:highlight w:val="none"/>
          <w:lang w:eastAsia="zh-CN"/>
        </w:rPr>
        <w:t>（</w:t>
      </w:r>
      <w:r>
        <w:rPr>
          <w:rFonts w:hint="eastAsia" w:ascii="楷体" w:hAnsi="楷体" w:eastAsia="楷体" w:cs="楷体"/>
          <w:b/>
          <w:sz w:val="21"/>
          <w:szCs w:val="21"/>
          <w:highlight w:val="none"/>
          <w:lang w:val="en-US" w:eastAsia="zh-CN"/>
        </w:rPr>
        <w:t>如有）</w:t>
      </w:r>
      <w:r>
        <w:rPr>
          <w:rFonts w:hint="eastAsia" w:ascii="楷体" w:hAnsi="楷体" w:eastAsia="楷体" w:cs="楷体"/>
          <w:b/>
          <w:sz w:val="21"/>
          <w:szCs w:val="21"/>
          <w:highlight w:val="none"/>
        </w:rPr>
        <w:t>：</w:t>
      </w:r>
      <w:r>
        <w:rPr>
          <w:rFonts w:hint="eastAsia" w:ascii="楷体" w:hAnsi="楷体" w:eastAsia="楷体" w:cs="楷体"/>
          <w:b w:val="0"/>
          <w:bCs/>
          <w:sz w:val="21"/>
          <w:szCs w:val="21"/>
          <w:highlight w:val="none"/>
          <w:lang w:val="en-US" w:eastAsia="zh-CN"/>
        </w:rPr>
        <w:t>如</w:t>
      </w:r>
      <w:r>
        <w:rPr>
          <w:rFonts w:hint="eastAsia" w:ascii="楷体" w:hAnsi="楷体" w:eastAsia="楷体" w:cs="楷体"/>
          <w:sz w:val="21"/>
          <w:szCs w:val="21"/>
          <w:highlight w:val="none"/>
        </w:rPr>
        <w:t>本产品通过代销渠道（非产品管理人自有渠道）销售，投资者认购</w:t>
      </w:r>
      <w:r>
        <w:rPr>
          <w:rFonts w:hint="eastAsia" w:ascii="楷体" w:hAnsi="楷体" w:eastAsia="楷体" w:cs="楷体"/>
          <w:sz w:val="21"/>
          <w:szCs w:val="21"/>
          <w:highlight w:val="none"/>
          <w:lang w:val="en-US" w:eastAsia="zh-CN"/>
        </w:rPr>
        <w:t>/申购</w:t>
      </w:r>
      <w:r>
        <w:rPr>
          <w:rFonts w:hint="eastAsia" w:ascii="楷体" w:hAnsi="楷体" w:eastAsia="楷体" w:cs="楷体"/>
          <w:sz w:val="21"/>
          <w:szCs w:val="21"/>
          <w:highlight w:val="none"/>
        </w:rPr>
        <w:t>理财产品的资金由代销机构从投资者资金账户扣收；份额赎回时，赎回资金按本理财产品</w:t>
      </w:r>
      <w:r>
        <w:rPr>
          <w:rFonts w:hint="eastAsia" w:ascii="楷体" w:hAnsi="楷体" w:eastAsia="楷体" w:cs="楷体"/>
          <w:color w:val="auto"/>
          <w:sz w:val="21"/>
          <w:szCs w:val="21"/>
          <w:lang w:val="en-US" w:eastAsia="zh-CN"/>
        </w:rPr>
        <w:t>销售文件</w:t>
      </w:r>
      <w:r>
        <w:rPr>
          <w:rFonts w:hint="eastAsia" w:ascii="楷体" w:hAnsi="楷体" w:eastAsia="楷体" w:cs="楷体"/>
          <w:sz w:val="21"/>
          <w:szCs w:val="21"/>
          <w:highlight w:val="none"/>
        </w:rPr>
        <w:t>约定划付至代销机构清算账户后，由代销机构向投资者划付投资者应得赎回资金。不同代销机构的销售渠道，</w:t>
      </w:r>
      <w:r>
        <w:rPr>
          <w:rFonts w:hint="eastAsia" w:ascii="楷体" w:hAnsi="楷体" w:eastAsia="楷体" w:cs="楷体"/>
          <w:sz w:val="21"/>
          <w:szCs w:val="21"/>
        </w:rPr>
        <w:t>其</w:t>
      </w:r>
      <w:r>
        <w:rPr>
          <w:rFonts w:hint="eastAsia" w:ascii="楷体" w:hAnsi="楷体" w:eastAsia="楷体" w:cs="楷体"/>
          <w:sz w:val="21"/>
          <w:szCs w:val="21"/>
          <w:highlight w:val="none"/>
        </w:rPr>
        <w:t>认购</w:t>
      </w:r>
      <w:r>
        <w:rPr>
          <w:rFonts w:hint="eastAsia" w:ascii="楷体" w:hAnsi="楷体" w:eastAsia="楷体" w:cs="楷体"/>
          <w:sz w:val="21"/>
          <w:szCs w:val="21"/>
          <w:highlight w:val="none"/>
          <w:lang w:val="en-US" w:eastAsia="zh-CN"/>
        </w:rPr>
        <w:t>/申购</w:t>
      </w:r>
      <w:r>
        <w:rPr>
          <w:rFonts w:hint="eastAsia" w:ascii="楷体" w:hAnsi="楷体" w:eastAsia="楷体" w:cs="楷体"/>
          <w:sz w:val="21"/>
          <w:szCs w:val="21"/>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numPr>
          <w:ilvl w:val="0"/>
          <w:numId w:val="2"/>
        </w:numPr>
        <w:tabs>
          <w:tab w:val="left" w:pos="993"/>
        </w:tabs>
        <w:spacing w:line="240" w:lineRule="atLeast"/>
        <w:ind w:left="0" w:firstLine="422" w:firstLineChars="200"/>
        <w:rPr>
          <w:rFonts w:hint="eastAsia" w:ascii="楷体" w:hAnsi="楷体" w:eastAsia="楷体" w:cs="楷体"/>
          <w:color w:val="auto"/>
          <w:sz w:val="21"/>
          <w:szCs w:val="21"/>
        </w:rPr>
      </w:pPr>
      <w:r>
        <w:rPr>
          <w:rFonts w:hint="eastAsia" w:ascii="楷体" w:hAnsi="楷体" w:eastAsia="楷体"/>
          <w:b/>
          <w:color w:val="auto"/>
          <w:sz w:val="21"/>
          <w:szCs w:val="21"/>
        </w:rPr>
        <w:t>不可抗力</w:t>
      </w:r>
      <w:r>
        <w:rPr>
          <w:rFonts w:hint="eastAsia" w:ascii="楷体" w:hAnsi="楷体" w:eastAsia="楷体"/>
          <w:b/>
          <w:color w:val="auto"/>
          <w:sz w:val="21"/>
          <w:szCs w:val="21"/>
          <w:lang w:val="en-US" w:eastAsia="zh-CN"/>
        </w:rPr>
        <w:t>及意外事件</w:t>
      </w:r>
      <w:r>
        <w:rPr>
          <w:rFonts w:hint="eastAsia" w:ascii="楷体" w:hAnsi="楷体" w:eastAsia="楷体"/>
          <w:b/>
          <w:color w:val="auto"/>
          <w:sz w:val="21"/>
          <w:szCs w:val="21"/>
        </w:rPr>
        <w:t>风险：</w:t>
      </w:r>
      <w:r>
        <w:rPr>
          <w:rFonts w:hint="eastAsia" w:ascii="楷体" w:hAnsi="楷体" w:eastAsia="楷体"/>
          <w:color w:val="auto"/>
          <w:sz w:val="21"/>
          <w:szCs w:val="21"/>
        </w:rPr>
        <w:t>自然</w:t>
      </w:r>
      <w:r>
        <w:rPr>
          <w:rFonts w:hint="eastAsia" w:ascii="楷体" w:hAnsi="楷体" w:eastAsia="楷体"/>
          <w:color w:val="auto"/>
          <w:sz w:val="21"/>
          <w:szCs w:val="21"/>
          <w:highlight w:val="none"/>
        </w:rPr>
        <w:t>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w:t>
      </w:r>
      <w:r>
        <w:rPr>
          <w:rFonts w:hint="eastAsia" w:ascii="楷体" w:hAnsi="楷体" w:eastAsia="楷体"/>
          <w:color w:val="auto"/>
          <w:sz w:val="21"/>
          <w:szCs w:val="21"/>
        </w:rPr>
        <w:t>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numPr>
          <w:ilvl w:val="0"/>
          <w:numId w:val="2"/>
        </w:numPr>
        <w:tabs>
          <w:tab w:val="left" w:pos="993"/>
        </w:tabs>
        <w:ind w:left="0" w:firstLine="422" w:firstLineChars="200"/>
        <w:rPr>
          <w:rFonts w:hint="eastAsia" w:ascii="楷体" w:hAnsi="楷体" w:eastAsia="楷体" w:cs="楷体"/>
          <w:color w:val="auto"/>
          <w:sz w:val="21"/>
          <w:szCs w:val="21"/>
        </w:rPr>
      </w:pPr>
      <w:r>
        <w:rPr>
          <w:rFonts w:hint="eastAsia" w:ascii="楷体" w:hAnsi="楷体" w:eastAsia="楷体" w:cs="楷体"/>
          <w:b/>
          <w:bCs/>
          <w:color w:val="auto"/>
          <w:sz w:val="21"/>
          <w:szCs w:val="21"/>
        </w:rPr>
        <w:t>关联关系及关联交易风险</w:t>
      </w:r>
      <w:r>
        <w:rPr>
          <w:rFonts w:hint="eastAsia" w:ascii="楷体" w:hAnsi="楷体" w:eastAsia="楷体" w:cs="楷体"/>
          <w:color w:val="auto"/>
          <w:sz w:val="21"/>
          <w:szCs w:val="21"/>
        </w:rPr>
        <w:t>：本理财产品由</w:t>
      </w:r>
      <w:r>
        <w:rPr>
          <w:rFonts w:hint="eastAsia" w:ascii="楷体" w:hAnsi="楷体" w:eastAsia="楷体" w:cs="楷体"/>
          <w:color w:val="auto"/>
          <w:sz w:val="21"/>
          <w:szCs w:val="21"/>
          <w:lang w:val="en-US" w:eastAsia="zh-CN"/>
        </w:rPr>
        <w:t>苏银</w:t>
      </w:r>
      <w:r>
        <w:rPr>
          <w:rFonts w:hint="eastAsia" w:ascii="楷体" w:hAnsi="楷体" w:eastAsia="楷体" w:cs="楷体"/>
          <w:color w:val="auto"/>
          <w:sz w:val="21"/>
          <w:szCs w:val="21"/>
        </w:rPr>
        <w:t>理财发行并作为管理人，独立履行产品管理职责，</w:t>
      </w:r>
      <w:r>
        <w:rPr>
          <w:rFonts w:hint="eastAsia" w:ascii="楷体" w:hAnsi="楷体" w:eastAsia="楷体" w:cs="楷体"/>
          <w:color w:val="auto"/>
          <w:sz w:val="21"/>
          <w:szCs w:val="21"/>
          <w:lang w:val="en-US" w:eastAsia="zh-CN"/>
        </w:rPr>
        <w:t>苏银</w:t>
      </w:r>
      <w:r>
        <w:rPr>
          <w:rFonts w:hint="eastAsia" w:ascii="楷体" w:hAnsi="楷体" w:eastAsia="楷体" w:cs="楷体"/>
          <w:color w:val="auto"/>
          <w:sz w:val="21"/>
          <w:szCs w:val="21"/>
        </w:rPr>
        <w:t>理财委托销售机构销售理财产品的，可能涉及委托</w:t>
      </w:r>
      <w:r>
        <w:rPr>
          <w:rFonts w:hint="eastAsia" w:ascii="楷体" w:hAnsi="楷体" w:eastAsia="楷体" w:cs="楷体"/>
          <w:color w:val="auto"/>
          <w:sz w:val="21"/>
          <w:szCs w:val="21"/>
          <w:lang w:val="en-US" w:eastAsia="zh-CN"/>
        </w:rPr>
        <w:t>江苏</w:t>
      </w:r>
      <w:r>
        <w:rPr>
          <w:rFonts w:hint="eastAsia" w:ascii="楷体" w:hAnsi="楷体" w:eastAsia="楷体" w:cs="楷体"/>
          <w:color w:val="auto"/>
          <w:sz w:val="21"/>
          <w:szCs w:val="21"/>
        </w:rPr>
        <w:t>银行股份有限公司（以下简称“</w:t>
      </w:r>
      <w:r>
        <w:rPr>
          <w:rFonts w:hint="eastAsia" w:ascii="楷体" w:hAnsi="楷体" w:eastAsia="楷体" w:cs="楷体"/>
          <w:color w:val="auto"/>
          <w:sz w:val="21"/>
          <w:szCs w:val="21"/>
          <w:lang w:val="en-US" w:eastAsia="zh-CN"/>
        </w:rPr>
        <w:t>江苏</w:t>
      </w:r>
      <w:r>
        <w:rPr>
          <w:rFonts w:hint="eastAsia" w:ascii="楷体" w:hAnsi="楷体" w:eastAsia="楷体" w:cs="楷体"/>
          <w:color w:val="auto"/>
          <w:sz w:val="21"/>
          <w:szCs w:val="21"/>
        </w:rPr>
        <w:t>银行”）作为理财产品的销售机构，负责理财产品的代理销售工作。</w:t>
      </w:r>
      <w:r>
        <w:rPr>
          <w:rFonts w:hint="eastAsia" w:ascii="楷体" w:hAnsi="楷体" w:eastAsia="楷体" w:cs="楷体"/>
          <w:color w:val="auto"/>
          <w:sz w:val="21"/>
          <w:szCs w:val="21"/>
          <w:lang w:val="en-US" w:eastAsia="zh-CN"/>
        </w:rPr>
        <w:t>苏银</w:t>
      </w:r>
      <w:r>
        <w:rPr>
          <w:rFonts w:hint="eastAsia" w:ascii="楷体" w:hAnsi="楷体" w:eastAsia="楷体" w:cs="楷体"/>
          <w:color w:val="auto"/>
          <w:sz w:val="21"/>
          <w:szCs w:val="21"/>
        </w:rPr>
        <w:t>理财是</w:t>
      </w:r>
      <w:r>
        <w:rPr>
          <w:rFonts w:hint="eastAsia" w:ascii="楷体" w:hAnsi="楷体" w:eastAsia="楷体" w:cs="楷体"/>
          <w:color w:val="auto"/>
          <w:sz w:val="21"/>
          <w:szCs w:val="21"/>
          <w:lang w:val="en-US" w:eastAsia="zh-CN"/>
        </w:rPr>
        <w:t>江苏</w:t>
      </w:r>
      <w:r>
        <w:rPr>
          <w:rFonts w:hint="eastAsia" w:ascii="楷体" w:hAnsi="楷体" w:eastAsia="楷体" w:cs="楷体"/>
          <w:color w:val="auto"/>
          <w:sz w:val="21"/>
          <w:szCs w:val="21"/>
        </w:rPr>
        <w:t>银行控股的子公司，二者互为关联方，可能出现关联交易行为。</w:t>
      </w:r>
      <w:r>
        <w:rPr>
          <w:rFonts w:hint="eastAsia" w:ascii="楷体" w:hAnsi="楷体" w:eastAsia="楷体" w:cs="楷体"/>
          <w:color w:val="auto"/>
          <w:sz w:val="21"/>
          <w:szCs w:val="21"/>
          <w:lang w:val="en-US" w:eastAsia="zh-CN"/>
        </w:rPr>
        <w:t>苏银</w:t>
      </w:r>
      <w:r>
        <w:rPr>
          <w:rFonts w:hint="eastAsia" w:ascii="楷体" w:hAnsi="楷体" w:eastAsia="楷体" w:cs="楷体"/>
          <w:color w:val="auto"/>
          <w:sz w:val="21"/>
          <w:szCs w:val="21"/>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numPr>
          <w:ilvl w:val="0"/>
          <w:numId w:val="2"/>
        </w:numPr>
        <w:tabs>
          <w:tab w:val="left" w:pos="993"/>
        </w:tabs>
        <w:ind w:left="0" w:firstLine="422" w:firstLineChars="200"/>
        <w:rPr>
          <w:rFonts w:hint="eastAsia" w:ascii="楷体" w:hAnsi="楷体" w:eastAsia="楷体" w:cs="楷体"/>
          <w:b/>
          <w:color w:val="auto"/>
          <w:sz w:val="21"/>
          <w:szCs w:val="21"/>
        </w:rPr>
      </w:pPr>
      <w:r>
        <w:rPr>
          <w:rFonts w:hint="eastAsia" w:ascii="楷体" w:hAnsi="楷体" w:eastAsia="楷体" w:cs="楷体"/>
          <w:b/>
          <w:color w:val="auto"/>
          <w:sz w:val="21"/>
          <w:szCs w:val="21"/>
        </w:rPr>
        <w:t>特定投资标的风险：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1.非标准化债权的特殊风险：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①融资方还款履约能力可能的变化导致的信用风险。②债务人提前还款或逾期还款的风险。③保证人未履行保证义务的风险等。</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2.股票投资的特殊风险：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①国家货币政策、财政政策、产业政策等的变化对证券市场产生一定的影响，导致市场价格水平波动的风险。②宏观经济运行周期性波动，对股票市场的收益水平产生影响的风险。③上市公司的经营状况受多种因素影响，如市场、技术、竞争、管理、财务等都会导致公司盈利发生变化，从而导致股票价格变动的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3.黄金、黄金主题股票、黄金ETF基金等黄金类资产的特殊风险：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影响黄金类资产的价格的主要因素包括但不限于：①黄金的供给与需求；②投资者的黄金交易行为；③外汇汇率；④全球和地区性政治经济环境的变化等。</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4.结构性存款的特殊风险：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①市场风险。结构性存款挂钩的境内外债券、股票、利率、汇率、指数等标的受相关国家或地区的金融市场和经济趋势的影响，收益存在不确定性。②信用风险。结构性存款可能面临交易对手银行无力偿付或未履行该结构性存款相关义务（含支付义务）的风险，同时结构性存款挂钩的标的如果出现信用违约，结构性存款的本金与收益也会受到影响，在最不利的情况下可能损失全部本金。③利率风险。结构性存款如挂钩特定债券或债券指数，可能因相关利率变动而导致产品收益发生变化。④汇率风险。结构性存款如挂钩境外证券资产，可能面临以非人民币计价的各类资产受汇率波动影响而引起人民币估值下的理财产品资产净值波动的风险。⑤衍生品投资风险。结构性存款所嵌入的金融衍生工具，可能存在杠杆风险、操作风险、交易对手的信用风险、衍生品价格与其基础品种的相关度变化带来的风险等。以上风险事项若发生，可能影响投资者收益，甚至使产品本金遭受损失。</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5.债券投资的特殊风险：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略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6.资产管理计划或基金产品的特殊风险：</w:t>
      </w:r>
    </w:p>
    <w:p>
      <w:pPr>
        <w:pStyle w:val="11"/>
        <w:spacing w:before="0" w:beforeAutospacing="0" w:after="0" w:afterAutospacing="0"/>
        <w:ind w:firstLine="420" w:firstLineChars="200"/>
        <w:jc w:val="both"/>
        <w:rPr>
          <w:rFonts w:hint="eastAsia" w:ascii="楷体" w:hAnsi="楷体" w:eastAsia="楷体" w:cs="楷体"/>
          <w:b/>
          <w:color w:val="auto"/>
          <w:sz w:val="21"/>
          <w:szCs w:val="21"/>
          <w:u w:val="single"/>
        </w:rPr>
      </w:pPr>
      <w:r>
        <w:rPr>
          <w:rFonts w:ascii="楷体" w:hAnsi="楷体" w:eastAsia="楷体" w:cs="楷体"/>
          <w:color w:val="000000"/>
          <w:sz w:val="21"/>
          <w:szCs w:val="21"/>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pStyle w:val="11"/>
        <w:spacing w:before="0" w:beforeAutospacing="0" w:after="0" w:afterAutospacing="0"/>
        <w:ind w:firstLine="422" w:firstLineChars="200"/>
        <w:jc w:val="both"/>
        <w:rPr>
          <w:rFonts w:hint="eastAsia" w:ascii="楷体" w:hAnsi="楷体" w:eastAsia="楷体" w:cs="楷体"/>
          <w:b/>
          <w:color w:val="auto"/>
          <w:sz w:val="21"/>
          <w:szCs w:val="21"/>
          <w:u w:val="single"/>
        </w:rPr>
      </w:pPr>
      <w:r>
        <w:rPr>
          <w:rFonts w:hint="eastAsia" w:ascii="楷体" w:hAnsi="楷体" w:eastAsia="楷体" w:cs="楷体"/>
          <w:b/>
          <w:color w:val="auto"/>
          <w:sz w:val="21"/>
          <w:szCs w:val="21"/>
          <w:u w:val="single"/>
        </w:rPr>
        <w:t>上述风险揭示事项仅为列举性质，未能详尽列明投资者参与本理财产品所面临的全部风险和可能导致投资者资产损失的所有因素。在您选择购买理财产品前，请仔细阅读本理财产品完整销售文件（包括《风险揭示书》、《理财产品说明书》、《理财产品投资协议书》、《投资者权益须知》、《理财产品（代理）销售协议书》），同时向销售机构了解本理财产品的其他相关信息，并自己</w:t>
      </w:r>
      <w:r>
        <w:rPr>
          <w:rFonts w:hint="eastAsia" w:ascii="楷体" w:hAnsi="楷体" w:eastAsia="楷体" w:cs="楷体"/>
          <w:b/>
          <w:color w:val="auto"/>
          <w:sz w:val="21"/>
          <w:szCs w:val="21"/>
          <w:u w:val="single"/>
          <w:lang w:val="en-US" w:eastAsia="zh-CN"/>
        </w:rPr>
        <w:t>独立做出</w:t>
      </w:r>
      <w:r>
        <w:rPr>
          <w:rFonts w:hint="eastAsia" w:ascii="楷体" w:hAnsi="楷体" w:eastAsia="楷体" w:cs="楷体"/>
          <w:b/>
          <w:color w:val="auto"/>
          <w:sz w:val="21"/>
          <w:szCs w:val="21"/>
          <w:u w:val="single"/>
        </w:rPr>
        <w:t>是否认购本理财产品的决定。您签署本理财产品销售文件并将资金委托给苏银理财运作是您真实的意思表示。</w:t>
      </w:r>
    </w:p>
    <w:p>
      <w:pPr>
        <w:numPr>
          <w:ilvl w:val="0"/>
          <w:numId w:val="1"/>
        </w:numPr>
        <w:tabs>
          <w:tab w:val="left" w:pos="1134"/>
        </w:tabs>
        <w:ind w:left="0" w:firstLine="482" w:firstLineChars="200"/>
        <w:rPr>
          <w:rFonts w:hint="eastAsia" w:ascii="楷体" w:hAnsi="楷体" w:eastAsia="楷体" w:cs="楷体"/>
          <w:b/>
          <w:color w:val="auto"/>
          <w:sz w:val="24"/>
          <w:szCs w:val="24"/>
        </w:rPr>
      </w:pPr>
      <w:r>
        <w:rPr>
          <w:rFonts w:hint="eastAsia" w:ascii="楷体" w:hAnsi="楷体" w:eastAsia="楷体" w:cs="楷体"/>
          <w:b/>
          <w:color w:val="auto"/>
          <w:sz w:val="24"/>
          <w:szCs w:val="24"/>
        </w:rPr>
        <w:t>投资者提示</w:t>
      </w:r>
    </w:p>
    <w:p>
      <w:pPr>
        <w:numPr>
          <w:ilvl w:val="0"/>
          <w:numId w:val="3"/>
        </w:numPr>
        <w:tabs>
          <w:tab w:val="left" w:pos="742"/>
        </w:tabs>
        <w:ind w:left="0" w:firstLine="422" w:firstLineChars="200"/>
        <w:rPr>
          <w:rFonts w:hint="eastAsia" w:ascii="楷体" w:hAnsi="楷体" w:eastAsia="楷体" w:cs="楷体"/>
          <w:b/>
          <w:color w:val="auto"/>
          <w:sz w:val="21"/>
          <w:szCs w:val="21"/>
          <w:u w:val="single"/>
        </w:rPr>
      </w:pPr>
      <w:r>
        <w:rPr>
          <w:rFonts w:hint="eastAsia" w:ascii="楷体" w:hAnsi="楷体" w:eastAsia="楷体" w:cs="楷体"/>
          <w:b/>
          <w:color w:val="auto"/>
          <w:sz w:val="21"/>
          <w:szCs w:val="21"/>
          <w:u w:val="single"/>
        </w:rPr>
        <w:t>本理财产品不保证本金及收益，您的本金可能因市场变动或者交易违约等事项而蒙受相应损失，</w:t>
      </w:r>
      <w:r>
        <w:rPr>
          <w:rFonts w:hint="eastAsia" w:ascii="楷体" w:hAnsi="楷体" w:eastAsia="楷体" w:cs="楷体"/>
          <w:b/>
          <w:bCs/>
          <w:color w:val="auto"/>
          <w:sz w:val="21"/>
          <w:szCs w:val="21"/>
          <w:u w:val="single"/>
        </w:rPr>
        <w:t>在最不利的情况下甚至可能损失全部本金。</w:t>
      </w:r>
      <w:r>
        <w:rPr>
          <w:rFonts w:hint="eastAsia" w:ascii="楷体" w:hAnsi="楷体" w:eastAsia="楷体" w:cs="楷体"/>
          <w:b/>
          <w:color w:val="auto"/>
          <w:sz w:val="21"/>
          <w:szCs w:val="21"/>
          <w:u w:val="single"/>
        </w:rPr>
        <w:t>投资者应充分认识投资风险，谨慎投资。</w:t>
      </w:r>
    </w:p>
    <w:p>
      <w:pPr>
        <w:numPr>
          <w:ilvl w:val="0"/>
          <w:numId w:val="0"/>
        </w:numPr>
        <w:tabs>
          <w:tab w:val="left" w:pos="742"/>
        </w:tabs>
        <w:ind w:left="0" w:leftChars="0"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示例：如投资者购买本理财产品，本金为1万元，在理财产品资产组合项下资产全部亏损的最不利情况下，理财产品1万元本金将全部损失。</w:t>
      </w:r>
    </w:p>
    <w:p>
      <w:pPr>
        <w:numPr>
          <w:ilvl w:val="0"/>
          <w:numId w:val="3"/>
        </w:numPr>
        <w:tabs>
          <w:tab w:val="left" w:pos="742"/>
        </w:tabs>
        <w:ind w:left="0" w:firstLine="422" w:firstLineChars="200"/>
        <w:rPr>
          <w:rFonts w:hint="eastAsia" w:ascii="楷体" w:hAnsi="楷体" w:eastAsia="楷体" w:cs="楷体"/>
          <w:b/>
          <w:color w:val="auto"/>
          <w:sz w:val="21"/>
          <w:szCs w:val="21"/>
          <w:u w:val="single"/>
        </w:rPr>
      </w:pPr>
      <w:r>
        <w:rPr>
          <w:rFonts w:hint="eastAsia" w:ascii="楷体" w:hAnsi="楷体" w:eastAsia="楷体" w:cs="楷体"/>
          <w:b/>
          <w:color w:val="auto"/>
          <w:sz w:val="21"/>
          <w:szCs w:val="21"/>
          <w:u w:val="single"/>
        </w:rPr>
        <w:t>本理财产品过往业绩不代表其未来表现，不等于理财产品实际收益。理财非存款、产品有风险、投资须谨慎。</w:t>
      </w:r>
    </w:p>
    <w:p>
      <w:pPr>
        <w:numPr>
          <w:ilvl w:val="0"/>
          <w:numId w:val="3"/>
        </w:numPr>
        <w:tabs>
          <w:tab w:val="left" w:pos="742"/>
        </w:tabs>
        <w:ind w:left="0" w:firstLine="420" w:firstLineChars="20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本理财产品类型为</w:t>
      </w:r>
      <w:r>
        <w:rPr>
          <w:rFonts w:ascii="楷体" w:hAnsi="楷体" w:eastAsia="楷体" w:cs="楷体"/>
          <w:b/>
          <w:bCs/>
          <w:color w:val="000000"/>
          <w:sz w:val="21"/>
          <w:szCs w:val="21"/>
          <w:u w:val="single"/>
        </w:rPr>
        <w:t>固定收益类、公募、封闭式</w:t>
      </w:r>
      <w:r>
        <w:rPr>
          <w:rFonts w:hint="eastAsia" w:ascii="楷体" w:hAnsi="楷体" w:eastAsia="楷体" w:cs="楷体"/>
          <w:b/>
          <w:color w:val="auto"/>
          <w:sz w:val="21"/>
          <w:szCs w:val="21"/>
          <w:highlight w:val="none"/>
          <w:u w:val="single"/>
          <w:lang w:val="en-US" w:eastAsia="zh-CN"/>
        </w:rPr>
        <w:t>，计划存续期限为391天。</w:t>
      </w:r>
      <w:r>
        <w:rPr>
          <w:rFonts w:hint="eastAsia" w:ascii="楷体" w:hAnsi="楷体" w:eastAsia="楷体" w:cs="楷体"/>
          <w:color w:val="auto"/>
          <w:sz w:val="21"/>
          <w:szCs w:val="21"/>
          <w:highlight w:val="none"/>
        </w:rPr>
        <w:t>产品管理人对本理财产品的内部风险评级为</w:t>
      </w:r>
      <w:r>
        <w:rPr>
          <w:rFonts w:ascii="楷体" w:hAnsi="楷体" w:eastAsia="楷体" w:cs="楷体"/>
          <w:b/>
          <w:bCs/>
          <w:color w:val="000000"/>
          <w:sz w:val="21"/>
          <w:szCs w:val="21"/>
          <w:u w:val="single"/>
        </w:rPr>
        <w:t>★★二级</w:t>
      </w:r>
      <w:r>
        <w:rPr>
          <w:rFonts w:hint="eastAsia" w:ascii="楷体" w:hAnsi="楷体" w:eastAsia="楷体" w:cs="楷体"/>
          <w:b/>
          <w:color w:val="auto"/>
          <w:sz w:val="21"/>
          <w:szCs w:val="21"/>
          <w:highlight w:val="none"/>
          <w:u w:val="single"/>
        </w:rPr>
        <w:t>，适合</w:t>
      </w:r>
      <w:r>
        <w:rPr>
          <w:rFonts w:ascii="楷体" w:hAnsi="楷体" w:eastAsia="楷体" w:cs="楷体"/>
          <w:b/>
          <w:bCs/>
          <w:color w:val="000000"/>
          <w:sz w:val="21"/>
          <w:szCs w:val="21"/>
          <w:u w:val="single"/>
        </w:rPr>
        <w:t>中低风险型</w:t>
      </w:r>
      <w:r>
        <w:rPr>
          <w:rFonts w:hint="eastAsia" w:ascii="楷体" w:hAnsi="楷体" w:eastAsia="楷体" w:cs="楷体"/>
          <w:b/>
          <w:color w:val="auto"/>
          <w:sz w:val="21"/>
          <w:szCs w:val="21"/>
          <w:highlight w:val="none"/>
          <w:u w:val="single"/>
        </w:rPr>
        <w:t>投资者</w:t>
      </w:r>
      <w:r>
        <w:rPr>
          <w:rFonts w:hint="eastAsia" w:ascii="楷体" w:hAnsi="楷体" w:eastAsia="楷体" w:cs="楷体"/>
          <w:color w:val="auto"/>
          <w:sz w:val="21"/>
          <w:szCs w:val="21"/>
          <w:highlight w:val="none"/>
          <w:u w:val="single"/>
        </w:rPr>
        <w:t>。</w:t>
      </w:r>
      <w:r>
        <w:rPr>
          <w:rFonts w:hint="eastAsia" w:ascii="楷体" w:hAnsi="楷体" w:eastAsia="楷体" w:cs="楷体"/>
          <w:b/>
          <w:color w:val="auto"/>
          <w:sz w:val="21"/>
          <w:szCs w:val="21"/>
          <w:highlight w:val="none"/>
          <w:u w:val="single"/>
        </w:rPr>
        <w:t>如本产品通过代理销售机构渠道销售，理财产品评级以代理销售机构最终披露的评级结果为准。</w:t>
      </w:r>
    </w:p>
    <w:p>
      <w:pPr>
        <w:numPr>
          <w:ilvl w:val="0"/>
          <w:numId w:val="3"/>
        </w:numPr>
        <w:tabs>
          <w:tab w:val="left" w:pos="742"/>
        </w:tabs>
        <w:ind w:left="0" w:firstLine="420" w:firstLineChars="200"/>
        <w:rPr>
          <w:rFonts w:hint="eastAsia" w:ascii="楷体" w:hAnsi="楷体" w:eastAsia="楷体" w:cs="楷体"/>
          <w:color w:val="auto"/>
          <w:sz w:val="21"/>
          <w:szCs w:val="21"/>
        </w:rPr>
      </w:pPr>
      <w:r>
        <w:rPr>
          <w:rFonts w:hint="eastAsia" w:ascii="楷体" w:hAnsi="楷体" w:eastAsia="楷体" w:cs="楷体"/>
          <w:color w:val="auto"/>
          <w:sz w:val="21"/>
          <w:szCs w:val="21"/>
        </w:rPr>
        <w:t>本产品销售工作及投资者适当性评估由销售机构负责。销售机构应确保普通投资者的风险承受能力等级不低于本产品风险评级。若普通投资者风险承受能力评估已超过一年，或影响风险承受能力的因素发生变化，请及时完成风险承受能力的重新评估，并对评估结果签字确认。</w:t>
      </w:r>
    </w:p>
    <w:p>
      <w:pPr>
        <w:pStyle w:val="11"/>
        <w:numPr>
          <w:ilvl w:val="0"/>
          <w:numId w:val="0"/>
        </w:numPr>
        <w:spacing w:before="0" w:beforeAutospacing="0" w:after="0" w:afterAutospacing="0" w:line="360" w:lineRule="auto"/>
        <w:ind w:left="0" w:firstLine="0"/>
        <w:jc w:val="right"/>
        <w:rPr>
          <w:rFonts w:hint="eastAsia" w:ascii="楷体" w:hAnsi="楷体" w:eastAsia="楷体" w:cs="楷体"/>
          <w:b/>
          <w:color w:val="auto"/>
          <w:sz w:val="21"/>
          <w:szCs w:val="21"/>
        </w:rPr>
      </w:pPr>
      <w:r>
        <w:rPr>
          <w:rFonts w:hint="eastAsia" w:ascii="楷体" w:hAnsi="楷体" w:eastAsia="楷体" w:cs="楷体"/>
          <w:b/>
          <w:color w:val="auto"/>
          <w:sz w:val="21"/>
          <w:szCs w:val="21"/>
        </w:rPr>
        <w:t>风险揭示方：苏银理财有限责任公司</w:t>
      </w:r>
    </w:p>
    <w:p>
      <w:pPr>
        <w:rPr>
          <w:rFonts w:hint="eastAsia" w:ascii="楷体" w:hAnsi="楷体" w:eastAsia="楷体" w:cs="楷体"/>
          <w:b/>
          <w:color w:val="auto"/>
          <w:sz w:val="28"/>
          <w:szCs w:val="28"/>
        </w:rPr>
      </w:pPr>
      <w:r>
        <w:br w:type="page"/>
      </w:r>
    </w:p>
    <w:p>
      <w:pPr>
        <w:pStyle w:val="11"/>
        <w:numPr>
          <w:ilvl w:val="0"/>
          <w:numId w:val="0"/>
        </w:numPr>
        <w:spacing w:before="0" w:beforeAutospacing="0" w:after="0" w:afterAutospacing="0" w:line="360" w:lineRule="auto"/>
        <w:ind w:left="0" w:firstLine="0"/>
        <w:jc w:val="center"/>
        <w:rPr>
          <w:rFonts w:hint="eastAsia" w:ascii="楷体" w:hAnsi="楷体" w:eastAsia="楷体"/>
          <w:b/>
          <w:color w:val="auto"/>
          <w:sz w:val="28"/>
          <w:szCs w:val="28"/>
        </w:rPr>
      </w:pPr>
      <w:r>
        <w:rPr>
          <w:rFonts w:hint="eastAsia" w:ascii="楷体" w:hAnsi="楷体" w:eastAsia="楷体"/>
          <w:b/>
          <w:color w:val="auto"/>
          <w:sz w:val="28"/>
          <w:szCs w:val="28"/>
        </w:rPr>
        <w:t>投资者风险确认函</w:t>
      </w:r>
    </w:p>
    <w:p>
      <w:pPr>
        <w:ind w:firstLine="420" w:firstLineChars="200"/>
        <w:rPr>
          <w:rFonts w:hint="eastAsia" w:ascii="楷体" w:hAnsi="楷体" w:eastAsia="楷体"/>
          <w:color w:val="auto"/>
          <w:sz w:val="21"/>
          <w:szCs w:val="21"/>
        </w:rPr>
      </w:pPr>
      <w:r>
        <w:rPr>
          <w:rFonts w:ascii="楷体" w:hAnsi="楷体" w:eastAsia="楷体"/>
          <w:color w:val="auto"/>
          <w:sz w:val="21"/>
          <w:szCs w:val="21"/>
        </w:rPr>
        <w:t>投资决策系由</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ascii="楷体" w:hAnsi="楷体" w:eastAsia="楷体"/>
          <w:color w:val="auto"/>
          <w:sz w:val="21"/>
          <w:szCs w:val="21"/>
        </w:rPr>
        <w:t>独立、自主、谨慎做出，</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机构确认已经收到本理财产品的风险揭示书，且已经认真阅读本理财产品完整</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（包括《风险揭示书》、《理财产品说明书》、《理财产品投资协议书》、《投资者权益须知》、《理财产品（代理）销售协议书》），充分了解并清楚知晓理财产品的风险，愿意承担相关风险，接受本理财产品</w:t>
      </w:r>
      <w:r>
        <w:rPr>
          <w:rFonts w:hint="eastAsia" w:ascii="楷体" w:hAnsi="楷体" w:eastAsia="楷体"/>
          <w:color w:val="auto"/>
          <w:sz w:val="21"/>
          <w:szCs w:val="21"/>
          <w:lang w:val="en-US" w:eastAsia="zh-CN"/>
        </w:rPr>
        <w:t>销售文件</w:t>
      </w:r>
      <w:r>
        <w:rPr>
          <w:rFonts w:hint="eastAsia" w:ascii="楷体" w:hAnsi="楷体" w:eastAsia="楷体"/>
          <w:color w:val="auto"/>
          <w:sz w:val="21"/>
          <w:szCs w:val="21"/>
        </w:rPr>
        <w:t>全部约定。</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机构确认理解投资本理财产品将涉及的所有风险，并将承担且有能力承担该等风险。</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hint="eastAsia" w:ascii="楷体" w:hAnsi="楷体" w:eastAsia="楷体"/>
          <w:b w:val="0"/>
          <w:bCs/>
          <w:color w:val="auto"/>
          <w:sz w:val="21"/>
          <w:szCs w:val="21"/>
          <w:u w:val="none"/>
        </w:rPr>
        <w:t>承诺理财购买资金来源合法合规，</w:t>
      </w:r>
      <w:r>
        <w:rPr>
          <w:rFonts w:hint="eastAsia" w:ascii="楷体" w:hAnsi="楷体" w:eastAsia="楷体"/>
          <w:color w:val="auto"/>
          <w:sz w:val="21"/>
          <w:szCs w:val="21"/>
          <w:lang w:val="en-US" w:eastAsia="zh-CN"/>
        </w:rPr>
        <w:t>本人/</w:t>
      </w:r>
      <w:r>
        <w:rPr>
          <w:rFonts w:ascii="楷体" w:hAnsi="楷体" w:eastAsia="楷体"/>
          <w:color w:val="auto"/>
          <w:sz w:val="21"/>
          <w:szCs w:val="21"/>
        </w:rPr>
        <w:t>本</w:t>
      </w:r>
      <w:r>
        <w:rPr>
          <w:rFonts w:hint="eastAsia" w:ascii="楷体" w:hAnsi="楷体" w:eastAsia="楷体"/>
          <w:color w:val="auto"/>
          <w:sz w:val="21"/>
          <w:szCs w:val="21"/>
        </w:rPr>
        <w:t>机构</w:t>
      </w:r>
      <w:r>
        <w:rPr>
          <w:rFonts w:hint="eastAsia" w:ascii="楷体" w:hAnsi="楷体" w:eastAsia="楷体"/>
          <w:b w:val="0"/>
          <w:bCs/>
          <w:color w:val="auto"/>
          <w:sz w:val="21"/>
          <w:szCs w:val="21"/>
          <w:u w:val="none"/>
        </w:rPr>
        <w:t>将配合管理人及销售机构开展反洗钱、反恐怖融资及非居民金融账户涉税信息尽职调查等工作。</w:t>
      </w:r>
    </w:p>
    <w:p>
      <w:pPr>
        <w:ind w:firstLine="420" w:firstLineChars="200"/>
        <w:rPr>
          <w:rFonts w:hint="eastAsia" w:ascii="楷体" w:hAnsi="楷体" w:eastAsia="楷体"/>
          <w:b/>
          <w:color w:val="auto"/>
          <w:sz w:val="21"/>
          <w:szCs w:val="21"/>
        </w:rPr>
      </w:pPr>
      <w:r>
        <w:rPr>
          <w:rFonts w:hint="eastAsia" w:ascii="楷体" w:hAnsi="楷体" w:eastAsia="楷体"/>
          <w:color w:val="auto"/>
          <w:sz w:val="21"/>
          <w:szCs w:val="21"/>
        </w:rPr>
        <w:t>经销售机构评估，本人</w:t>
      </w:r>
      <w:r>
        <w:rPr>
          <w:rFonts w:hint="eastAsia" w:ascii="楷体" w:hAnsi="楷体" w:eastAsia="楷体"/>
          <w:color w:val="auto"/>
          <w:sz w:val="21"/>
          <w:szCs w:val="21"/>
          <w:lang w:val="en-US" w:eastAsia="zh-CN"/>
        </w:rPr>
        <w:t>/本机构</w:t>
      </w:r>
      <w:r>
        <w:rPr>
          <w:rFonts w:hint="eastAsia" w:ascii="楷体" w:hAnsi="楷体" w:eastAsia="楷体"/>
          <w:color w:val="auto"/>
          <w:sz w:val="21"/>
          <w:szCs w:val="21"/>
        </w:rPr>
        <w:t>的风险承受能力评级结果为</w:t>
      </w:r>
      <w:r>
        <w:rPr>
          <w:rFonts w:ascii="楷体" w:hAnsi="楷体" w:eastAsia="楷体"/>
          <w:b/>
          <w:color w:val="auto"/>
          <w:sz w:val="21"/>
          <w:szCs w:val="21"/>
        </w:rPr>
        <w:t>：</w:t>
      </w:r>
    </w:p>
    <w:p>
      <w:pPr>
        <w:ind w:firstLine="420" w:firstLineChars="200"/>
        <w:rPr>
          <w:rFonts w:hint="eastAsia" w:ascii="楷体" w:hAnsi="楷体" w:eastAsia="楷体"/>
          <w:color w:val="auto"/>
          <w:sz w:val="21"/>
          <w:szCs w:val="21"/>
          <w:u w:val="single"/>
        </w:rPr>
      </w:pPr>
      <w:r>
        <w:rPr>
          <w:rFonts w:hint="eastAsia" w:ascii="楷体" w:hAnsi="楷体" w:eastAsia="楷体"/>
          <w:color w:val="auto"/>
          <w:sz w:val="21"/>
          <w:szCs w:val="21"/>
          <w:u w:val="single"/>
        </w:rPr>
        <w:t xml:space="preserve">                                        </w:t>
      </w:r>
    </w:p>
    <w:p>
      <w:pPr>
        <w:ind w:firstLine="420" w:firstLineChars="200"/>
        <w:rPr>
          <w:rFonts w:hint="eastAsia" w:ascii="楷体" w:hAnsi="楷体" w:eastAsia="楷体"/>
          <w:color w:val="auto"/>
          <w:sz w:val="21"/>
          <w:szCs w:val="21"/>
          <w:lang w:val="en-US" w:eastAsia="zh-CN"/>
        </w:rPr>
      </w:pPr>
      <w:r>
        <w:rPr>
          <w:rFonts w:hint="eastAsia" w:ascii="楷体" w:hAnsi="楷体" w:eastAsia="楷体"/>
          <w:color w:val="auto"/>
          <w:sz w:val="21"/>
          <w:szCs w:val="21"/>
        </w:rPr>
        <w:t>风险承受能力不低于本理财产品的风险评级，适合购买本理财产</w:t>
      </w:r>
      <w:r>
        <w:rPr>
          <w:rFonts w:hint="eastAsia" w:ascii="楷体" w:hAnsi="楷体" w:eastAsia="楷体"/>
          <w:color w:val="auto"/>
          <w:sz w:val="21"/>
          <w:szCs w:val="21"/>
          <w:highlight w:val="none"/>
        </w:rPr>
        <w:t>品。</w:t>
      </w:r>
      <w:r>
        <w:rPr>
          <w:rFonts w:hint="eastAsia" w:ascii="楷体" w:hAnsi="楷体" w:eastAsia="楷体"/>
          <w:sz w:val="21"/>
          <w:szCs w:val="21"/>
          <w:highlight w:val="none"/>
        </w:rPr>
        <w:t>如风险承受能力评估已超过一年，</w:t>
      </w:r>
      <w:r>
        <w:rPr>
          <w:rFonts w:ascii="楷体" w:hAnsi="楷体" w:eastAsia="楷体"/>
          <w:sz w:val="21"/>
          <w:szCs w:val="21"/>
          <w:highlight w:val="none"/>
        </w:rPr>
        <w:t>或</w:t>
      </w:r>
      <w:r>
        <w:rPr>
          <w:rFonts w:hint="eastAsia" w:ascii="楷体" w:hAnsi="楷体" w:eastAsia="楷体"/>
          <w:sz w:val="21"/>
          <w:szCs w:val="21"/>
          <w:highlight w:val="none"/>
        </w:rPr>
        <w:t>影响风险承受能力的因素发生变化，</w:t>
      </w:r>
      <w:r>
        <w:rPr>
          <w:rFonts w:hint="eastAsia" w:ascii="楷体" w:hAnsi="楷体" w:eastAsia="楷体"/>
          <w:color w:val="auto"/>
          <w:sz w:val="21"/>
          <w:szCs w:val="21"/>
          <w:highlight w:val="none"/>
        </w:rPr>
        <w:t>本人</w:t>
      </w:r>
      <w:r>
        <w:rPr>
          <w:rFonts w:hint="eastAsia" w:ascii="楷体" w:hAnsi="楷体" w:eastAsia="楷体"/>
          <w:color w:val="auto"/>
          <w:sz w:val="21"/>
          <w:szCs w:val="21"/>
          <w:highlight w:val="none"/>
          <w:lang w:val="en-US" w:eastAsia="zh-CN"/>
        </w:rPr>
        <w:t>/本机构</w:t>
      </w:r>
      <w:r>
        <w:rPr>
          <w:rFonts w:hint="eastAsia" w:ascii="楷体" w:hAnsi="楷体" w:eastAsia="楷体"/>
          <w:color w:val="auto"/>
          <w:sz w:val="21"/>
          <w:szCs w:val="21"/>
          <w:highlight w:val="none"/>
        </w:rPr>
        <w:t>将</w:t>
      </w:r>
      <w:r>
        <w:rPr>
          <w:rFonts w:hint="eastAsia" w:ascii="楷体" w:hAnsi="楷体" w:eastAsia="楷体"/>
          <w:color w:val="auto"/>
          <w:sz w:val="21"/>
          <w:szCs w:val="21"/>
        </w:rPr>
        <w:t>及时完成风险承受能力的重新评估。</w:t>
      </w:r>
    </w:p>
    <w:p>
      <w:pPr>
        <w:ind w:firstLine="420" w:firstLineChars="200"/>
        <w:rPr>
          <w:rFonts w:hint="eastAsia" w:ascii="楷体" w:hAnsi="楷体" w:eastAsia="楷体"/>
          <w:color w:val="auto"/>
          <w:sz w:val="21"/>
          <w:szCs w:val="21"/>
          <w:u w:val="single"/>
        </w:rPr>
      </w:pPr>
      <w:r>
        <w:rPr>
          <w:rFonts w:hint="eastAsia" w:ascii="楷体" w:hAnsi="楷体" w:eastAsia="楷体"/>
          <w:color w:val="auto"/>
          <w:sz w:val="21"/>
          <w:szCs w:val="21"/>
        </w:rPr>
        <w:t>须</w:t>
      </w:r>
      <w:r>
        <w:rPr>
          <w:rFonts w:hint="eastAsia" w:ascii="楷体" w:hAnsi="楷体" w:eastAsia="楷体"/>
          <w:b/>
          <w:color w:val="auto"/>
          <w:sz w:val="21"/>
          <w:szCs w:val="21"/>
          <w:u w:val="single"/>
        </w:rPr>
        <w:t>投资者亲笔抄录</w:t>
      </w:r>
      <w:r>
        <w:rPr>
          <w:rFonts w:hint="eastAsia" w:ascii="楷体" w:hAnsi="楷体" w:eastAsia="楷体"/>
          <w:color w:val="auto"/>
          <w:sz w:val="21"/>
          <w:szCs w:val="21"/>
        </w:rPr>
        <w:t>以下内容：</w:t>
      </w:r>
      <w:r>
        <w:rPr>
          <w:rFonts w:hint="eastAsia" w:ascii="楷体" w:hAnsi="楷体" w:eastAsia="楷体"/>
          <w:b/>
          <w:color w:val="auto"/>
          <w:sz w:val="21"/>
          <w:szCs w:val="21"/>
        </w:rPr>
        <w:t>“</w:t>
      </w:r>
      <w:r>
        <w:rPr>
          <w:rFonts w:hint="eastAsia" w:ascii="楷体" w:hAnsi="楷体" w:eastAsia="楷体"/>
          <w:b/>
          <w:color w:val="auto"/>
          <w:sz w:val="21"/>
          <w:szCs w:val="21"/>
          <w:u w:val="single"/>
        </w:rPr>
        <w:t>本人</w:t>
      </w:r>
      <w:r>
        <w:rPr>
          <w:rFonts w:hint="eastAsia" w:ascii="楷体" w:hAnsi="楷体" w:eastAsia="楷体"/>
          <w:b/>
          <w:color w:val="auto"/>
          <w:sz w:val="21"/>
          <w:szCs w:val="21"/>
          <w:u w:val="single"/>
          <w:lang w:val="en-US" w:eastAsia="zh-CN"/>
        </w:rPr>
        <w:t>/本机构</w:t>
      </w:r>
      <w:r>
        <w:rPr>
          <w:rFonts w:hint="eastAsia" w:ascii="楷体" w:hAnsi="楷体" w:eastAsia="楷体"/>
          <w:b/>
          <w:color w:val="auto"/>
          <w:sz w:val="21"/>
          <w:szCs w:val="21"/>
          <w:u w:val="single"/>
        </w:rPr>
        <w:t>已经阅读风险揭示，愿意承担投资风险</w:t>
      </w:r>
      <w:r>
        <w:rPr>
          <w:rFonts w:hint="eastAsia" w:ascii="楷体" w:hAnsi="楷体" w:eastAsia="楷体"/>
          <w:b/>
          <w:color w:val="auto"/>
          <w:sz w:val="21"/>
          <w:szCs w:val="21"/>
        </w:rPr>
        <w:t>”</w:t>
      </w:r>
      <w:r>
        <w:rPr>
          <w:rFonts w:hint="eastAsia" w:ascii="楷体" w:hAnsi="楷体" w:eastAsia="楷体"/>
          <w:color w:val="auto"/>
          <w:sz w:val="21"/>
          <w:szCs w:val="21"/>
        </w:rPr>
        <w:t>。</w:t>
      </w:r>
    </w:p>
    <w:p>
      <w:pPr>
        <w:rPr>
          <w:rFonts w:hint="eastAsia" w:ascii="楷体" w:hAnsi="楷体" w:eastAsia="楷体"/>
          <w:color w:val="auto"/>
          <w:sz w:val="21"/>
          <w:szCs w:val="21"/>
          <w:u w:val="single"/>
        </w:rPr>
      </w:pPr>
      <w:r>
        <w:rPr>
          <w:rFonts w:hint="eastAsia" w:ascii="楷体" w:hAnsi="楷体" w:eastAsia="楷体"/>
          <w:color w:val="auto"/>
          <w:sz w:val="21"/>
          <w:szCs w:val="21"/>
          <w:u w:val="single"/>
        </w:rPr>
        <w:t xml:space="preserve">                                                           </w:t>
      </w:r>
      <w:r>
        <w:rPr>
          <w:rFonts w:hint="eastAsia" w:ascii="楷体" w:hAnsi="楷体" w:eastAsia="楷体"/>
          <w:color w:val="auto"/>
          <w:sz w:val="21"/>
          <w:szCs w:val="21"/>
          <w:u w:val="single"/>
          <w:lang w:val="en-US" w:eastAsia="zh-CN"/>
        </w:rPr>
        <w:t xml:space="preserve">      </w:t>
      </w:r>
      <w:r>
        <w:rPr>
          <w:rFonts w:hint="eastAsia" w:ascii="楷体" w:hAnsi="楷体" w:eastAsia="楷体"/>
          <w:color w:val="auto"/>
          <w:sz w:val="21"/>
          <w:szCs w:val="21"/>
          <w:u w:val="single"/>
        </w:rPr>
        <w:t xml:space="preserve">              </w:t>
      </w:r>
    </w:p>
    <w:p>
      <w:pPr>
        <w:jc w:val="both"/>
        <w:rPr>
          <w:rFonts w:hint="eastAsia" w:ascii="楷体" w:hAnsi="楷体" w:eastAsia="楷体"/>
          <w:color w:val="auto"/>
          <w:sz w:val="21"/>
          <w:szCs w:val="21"/>
        </w:rPr>
      </w:pPr>
      <w:r>
        <w:rPr>
          <w:rFonts w:hint="eastAsia" w:ascii="楷体" w:hAnsi="楷体" w:eastAsia="楷体"/>
          <w:color w:val="auto"/>
          <w:sz w:val="21"/>
          <w:szCs w:val="21"/>
        </w:rPr>
        <w:t>个人投资者签字：</w:t>
      </w:r>
      <w:r>
        <w:rPr>
          <w:rFonts w:hint="eastAsia" w:ascii="楷体" w:hAnsi="楷体" w:eastAsia="楷体"/>
          <w:color w:val="auto"/>
          <w:sz w:val="21"/>
          <w:szCs w:val="21"/>
          <w:lang w:val="en-US" w:eastAsia="zh-CN"/>
        </w:rPr>
        <w:t xml:space="preserve">                                                </w:t>
      </w:r>
      <w:r>
        <w:rPr>
          <w:rFonts w:hint="eastAsia" w:ascii="楷体" w:hAnsi="楷体" w:eastAsia="楷体"/>
          <w:color w:val="auto"/>
          <w:sz w:val="21"/>
          <w:szCs w:val="21"/>
        </w:rPr>
        <w:t>年   月   日</w:t>
      </w:r>
    </w:p>
    <w:p>
      <w:pPr>
        <w:ind w:firstLine="315" w:firstLineChars="150"/>
        <w:jc w:val="both"/>
        <w:rPr>
          <w:rFonts w:hint="eastAsia" w:ascii="楷体" w:hAnsi="楷体" w:eastAsia="楷体"/>
          <w:color w:val="auto"/>
          <w:sz w:val="21"/>
          <w:szCs w:val="21"/>
        </w:rPr>
      </w:pPr>
    </w:p>
    <w:p>
      <w:pPr>
        <w:ind w:firstLine="315" w:firstLineChars="150"/>
        <w:jc w:val="both"/>
        <w:rPr>
          <w:rFonts w:hint="eastAsia" w:ascii="楷体" w:hAnsi="楷体" w:eastAsia="楷体"/>
          <w:color w:val="auto"/>
          <w:sz w:val="21"/>
          <w:szCs w:val="21"/>
        </w:rPr>
      </w:pPr>
    </w:p>
    <w:p>
      <w:pPr>
        <w:rPr>
          <w:rFonts w:hint="eastAsia" w:ascii="楷体" w:hAnsi="楷体" w:eastAsia="楷体"/>
          <w:color w:val="auto"/>
          <w:sz w:val="21"/>
          <w:szCs w:val="21"/>
        </w:rPr>
      </w:pPr>
      <w:r>
        <w:rPr>
          <w:rFonts w:hint="eastAsia" w:ascii="楷体" w:hAnsi="楷体" w:eastAsia="楷体"/>
          <w:color w:val="auto"/>
          <w:sz w:val="21"/>
          <w:szCs w:val="21"/>
        </w:rPr>
        <w:t>机构投资者（盖章）：</w:t>
      </w:r>
    </w:p>
    <w:p>
      <w:pPr>
        <w:rPr>
          <w:rFonts w:ascii="楷体" w:hAnsi="楷体" w:eastAsia="楷体"/>
          <w:color w:val="auto"/>
          <w:sz w:val="21"/>
          <w:szCs w:val="21"/>
        </w:rPr>
      </w:pPr>
    </w:p>
    <w:p>
      <w:pPr>
        <w:jc w:val="both"/>
        <w:rPr>
          <w:rFonts w:hint="eastAsia" w:ascii="楷体" w:hAnsi="楷体" w:eastAsia="楷体" w:cs="楷体"/>
          <w:color w:val="auto"/>
          <w:sz w:val="21"/>
          <w:szCs w:val="21"/>
        </w:rPr>
      </w:pPr>
      <w:r>
        <w:rPr>
          <w:rFonts w:hint="eastAsia" w:ascii="楷体" w:hAnsi="楷体" w:eastAsia="楷体"/>
          <w:color w:val="auto"/>
          <w:sz w:val="21"/>
          <w:szCs w:val="21"/>
        </w:rPr>
        <w:t>机构投资者法定代表人或授权代表（签字或盖章）</w:t>
      </w:r>
      <w:r>
        <w:rPr>
          <w:rFonts w:hint="eastAsia" w:ascii="楷体" w:hAnsi="楷体" w:eastAsia="楷体"/>
          <w:color w:val="auto"/>
          <w:sz w:val="21"/>
          <w:szCs w:val="21"/>
          <w:lang w:val="en-US" w:eastAsia="zh-CN"/>
        </w:rPr>
        <w:t xml:space="preserve">                    </w:t>
      </w:r>
      <w:r>
        <w:rPr>
          <w:rFonts w:hint="eastAsia" w:ascii="楷体" w:hAnsi="楷体" w:eastAsia="楷体"/>
          <w:color w:val="auto"/>
          <w:sz w:val="21"/>
          <w:szCs w:val="21"/>
        </w:rPr>
        <w:t>年   月   日</w:t>
      </w:r>
    </w:p>
    <w:p>
      <w:pPr>
        <w:sectPr>
          <w:headerReference r:id="rId5" w:type="first"/>
          <w:headerReference r:id="rId3" w:type="default"/>
          <w:footerReference r:id="rId6" w:type="default"/>
          <w:headerReference r:id="rId4" w:type="even"/>
          <w:pgSz w:w="11906" w:h="16838"/>
          <w:pgMar w:top="1440" w:right="1134" w:bottom="1440" w:left="1134" w:header="851" w:footer="992" w:gutter="0"/>
          <w:cols w:space="720" w:num="1"/>
          <w:docGrid w:type="lines" w:linePitch="312" w:charSpace="0"/>
        </w:sectPr>
      </w:pPr>
    </w:p>
    <w:p>
      <w:pPr>
        <w:pStyle w:val="11"/>
        <w:spacing w:before="0" w:beforeAutospacing="0" w:after="0" w:afterAutospacing="0" w:line="360" w:lineRule="auto"/>
        <w:jc w:val="center"/>
        <w:rPr>
          <w:rFonts w:hint="eastAsia" w:ascii="楷体" w:hAnsi="楷体" w:eastAsia="楷体"/>
          <w:b/>
          <w:color w:val="auto"/>
          <w:sz w:val="28"/>
          <w:szCs w:val="28"/>
          <w:highlight w:val="none"/>
        </w:rPr>
      </w:pPr>
      <w:r>
        <w:rPr>
          <w:rFonts w:hint="eastAsia" w:ascii="楷体" w:hAnsi="楷体" w:eastAsia="楷体"/>
          <w:b/>
          <w:color w:val="auto"/>
          <w:sz w:val="28"/>
          <w:szCs w:val="28"/>
        </w:rPr>
        <w:t>“苏银理财恒源封闭债权368期</w:t>
      </w:r>
      <w:r>
        <w:rPr>
          <w:rFonts w:hint="eastAsia" w:ascii="楷体" w:hAnsi="楷体" w:eastAsia="楷体"/>
          <w:b/>
          <w:color w:val="auto"/>
          <w:sz w:val="28"/>
          <w:szCs w:val="28"/>
          <w:highlight w:val="none"/>
        </w:rPr>
        <w:t>”理财产品说明书</w:t>
      </w:r>
    </w:p>
    <w:p>
      <w:pPr>
        <w:jc w:val="center"/>
        <w:rPr>
          <w:rFonts w:hint="eastAsia" w:ascii="楷体" w:hAnsi="楷体" w:eastAsia="楷体" w:cs="宋体"/>
          <w:b/>
          <w:bCs/>
          <w:color w:val="auto"/>
          <w:sz w:val="24"/>
          <w:szCs w:val="24"/>
        </w:rPr>
      </w:pPr>
      <w:r>
        <w:rPr>
          <w:rFonts w:hint="eastAsia" w:ascii="楷体" w:hAnsi="楷体" w:eastAsia="楷体" w:cs="宋体"/>
          <w:b/>
          <w:color w:val="auto"/>
          <w:sz w:val="24"/>
          <w:szCs w:val="24"/>
        </w:rPr>
        <w:t>2026年9月版</w:t>
      </w:r>
    </w:p>
    <w:p>
      <w:pPr>
        <w:jc w:val="center"/>
        <w:rPr>
          <w:rFonts w:hint="eastAsia" w:ascii="楷体" w:hAnsi="楷体" w:eastAsia="楷体"/>
          <w:b/>
          <w:bCs/>
          <w:color w:val="auto"/>
          <w:sz w:val="24"/>
          <w:szCs w:val="24"/>
        </w:rPr>
      </w:pPr>
      <w:r>
        <w:rPr>
          <w:rFonts w:hint="eastAsia" w:ascii="楷体" w:hAnsi="楷体" w:eastAsia="楷体" w:cs="宋体"/>
          <w:b/>
          <w:color w:val="auto"/>
          <w:sz w:val="24"/>
          <w:szCs w:val="24"/>
        </w:rPr>
        <w:t>理财非存款、产品有风险、投资须谨慎</w:t>
      </w:r>
    </w:p>
    <w:p>
      <w:pPr>
        <w:rPr>
          <w:rFonts w:hint="eastAsia" w:ascii="楷体" w:hAnsi="楷体" w:eastAsia="楷体"/>
          <w:b/>
          <w:color w:val="auto"/>
          <w:sz w:val="21"/>
          <w:szCs w:val="21"/>
        </w:rPr>
      </w:pPr>
      <w:r>
        <w:rPr>
          <w:rFonts w:hint="eastAsia" w:ascii="楷体" w:hAnsi="楷体" w:eastAsia="楷体"/>
          <w:b/>
          <w:color w:val="auto"/>
          <w:sz w:val="21"/>
          <w:szCs w:val="21"/>
        </w:rPr>
        <w:t>重要须知</w:t>
      </w:r>
    </w:p>
    <w:p>
      <w:pPr>
        <w:numPr>
          <w:ilvl w:val="0"/>
          <w:numId w:val="4"/>
        </w:numPr>
        <w:ind w:left="420" w:hanging="420"/>
        <w:rPr>
          <w:rFonts w:ascii="楷体" w:hAnsi="楷体" w:eastAsia="楷体"/>
          <w:sz w:val="21"/>
          <w:szCs w:val="21"/>
        </w:rPr>
      </w:pPr>
      <w:r>
        <w:rPr>
          <w:rFonts w:hint="eastAsia" w:ascii="楷体" w:hAnsi="楷体" w:eastAsia="楷体"/>
          <w:sz w:val="21"/>
          <w:szCs w:val="21"/>
        </w:rPr>
        <w:t>在购买本理财产品前，投资者应确保自己完全理解该项投资的性质和所涉及的风险，详细了解和审慎评估该理财产品的</w:t>
      </w:r>
      <w:r>
        <w:rPr>
          <w:rFonts w:hint="eastAsia" w:ascii="楷体" w:hAnsi="楷体" w:eastAsia="楷体"/>
          <w:sz w:val="21"/>
          <w:szCs w:val="21"/>
          <w:lang w:val="en-US" w:eastAsia="zh-CN"/>
        </w:rPr>
        <w:t>投资范围</w:t>
      </w:r>
      <w:r>
        <w:rPr>
          <w:rFonts w:hint="eastAsia" w:ascii="楷体" w:hAnsi="楷体" w:eastAsia="楷体"/>
          <w:sz w:val="21"/>
          <w:szCs w:val="21"/>
        </w:rPr>
        <w:t>、风险类型等基本情况，在慎重考虑后自行决定购买与自身风险承受能力和资产管理需求匹配的理财产品。</w:t>
      </w:r>
    </w:p>
    <w:p>
      <w:pPr>
        <w:numPr>
          <w:ilvl w:val="0"/>
          <w:numId w:val="4"/>
        </w:numPr>
        <w:ind w:left="420" w:hanging="420"/>
        <w:rPr>
          <w:rFonts w:ascii="楷体" w:hAnsi="楷体" w:eastAsia="楷体"/>
          <w:b/>
          <w:sz w:val="21"/>
          <w:szCs w:val="21"/>
          <w:u w:val="single"/>
        </w:rPr>
      </w:pPr>
      <w:r>
        <w:rPr>
          <w:rFonts w:hint="eastAsia" w:ascii="楷体" w:hAnsi="楷体" w:eastAsia="楷体"/>
          <w:b/>
          <w:sz w:val="21"/>
          <w:szCs w:val="21"/>
          <w:u w:val="single"/>
        </w:rPr>
        <w:t>本理财产品不保证本金及收益，您的本金可能因市场变动</w:t>
      </w:r>
      <w:r>
        <w:rPr>
          <w:rFonts w:hint="eastAsia" w:ascii="楷体" w:hAnsi="楷体" w:eastAsia="楷体"/>
          <w:b/>
          <w:sz w:val="21"/>
          <w:szCs w:val="21"/>
          <w:u w:val="single"/>
          <w:lang w:val="en-US" w:eastAsia="zh-CN"/>
        </w:rPr>
        <w:t>或者交易违约等事项</w:t>
      </w:r>
      <w:r>
        <w:rPr>
          <w:rFonts w:hint="eastAsia" w:ascii="楷体" w:hAnsi="楷体" w:eastAsia="楷体"/>
          <w:b/>
          <w:sz w:val="21"/>
          <w:szCs w:val="21"/>
          <w:u w:val="single"/>
        </w:rPr>
        <w:t>而蒙受相应损失，投资者应充分认识投资风险，谨慎投资</w:t>
      </w:r>
      <w:r>
        <w:rPr>
          <w:rFonts w:hint="eastAsia" w:ascii="楷体" w:hAnsi="楷体" w:eastAsia="楷体"/>
          <w:b/>
          <w:sz w:val="21"/>
          <w:szCs w:val="21"/>
          <w:u w:val="single"/>
          <w:lang w:eastAsia="zh-CN"/>
        </w:rPr>
        <w:t>。</w:t>
      </w:r>
    </w:p>
    <w:p>
      <w:pPr>
        <w:numPr>
          <w:ilvl w:val="0"/>
          <w:numId w:val="4"/>
        </w:numPr>
        <w:ind w:left="420" w:hanging="420"/>
        <w:rPr>
          <w:rFonts w:ascii="楷体" w:hAnsi="楷体" w:eastAsia="楷体"/>
          <w:b/>
          <w:sz w:val="21"/>
          <w:szCs w:val="21"/>
          <w:u w:val="single"/>
        </w:rPr>
      </w:pPr>
      <w:r>
        <w:rPr>
          <w:rFonts w:hint="eastAsia" w:ascii="楷体" w:hAnsi="楷体" w:eastAsia="楷体"/>
          <w:b/>
          <w:sz w:val="21"/>
          <w:szCs w:val="21"/>
          <w:u w:val="single"/>
        </w:rPr>
        <w:t>本理财产品过往业绩不代表其未来表现，不等于理财产品实际收益，投资须谨慎；理财非存款、产品有风险、投资须谨慎。</w:t>
      </w:r>
    </w:p>
    <w:p>
      <w:pPr>
        <w:numPr>
          <w:ilvl w:val="0"/>
          <w:numId w:val="4"/>
        </w:numPr>
        <w:ind w:left="420" w:hanging="420"/>
        <w:rPr>
          <w:rFonts w:hint="eastAsia" w:ascii="楷体" w:hAnsi="楷体" w:eastAsia="楷体"/>
          <w:b/>
          <w:sz w:val="21"/>
          <w:szCs w:val="21"/>
          <w:u w:val="single"/>
        </w:rPr>
      </w:pPr>
      <w:r>
        <w:rPr>
          <w:rFonts w:hint="eastAsia" w:ascii="楷体" w:hAnsi="楷体" w:eastAsia="楷体"/>
          <w:b/>
          <w:sz w:val="21"/>
          <w:szCs w:val="21"/>
          <w:u w:val="single"/>
        </w:rPr>
        <w:t>本理财产品任何业绩比较基准</w:t>
      </w:r>
      <w:r>
        <w:rPr>
          <w:rFonts w:hint="eastAsia" w:ascii="楷体" w:hAnsi="楷体" w:eastAsia="楷体"/>
          <w:b/>
          <w:sz w:val="21"/>
          <w:szCs w:val="21"/>
          <w:u w:val="single"/>
          <w:lang w:val="en-US" w:eastAsia="zh-CN"/>
        </w:rPr>
        <w:t>及</w:t>
      </w:r>
      <w:r>
        <w:rPr>
          <w:rFonts w:hint="eastAsia" w:ascii="楷体" w:hAnsi="楷体" w:eastAsia="楷体"/>
          <w:b/>
          <w:sz w:val="21"/>
          <w:szCs w:val="21"/>
          <w:u w:val="single"/>
        </w:rPr>
        <w:t>类似表述均属不具有法律约束力的用语</w:t>
      </w:r>
      <w:r>
        <w:rPr>
          <w:rFonts w:hint="eastAsia" w:ascii="楷体" w:hAnsi="楷体" w:eastAsia="楷体"/>
          <w:b/>
          <w:sz w:val="21"/>
          <w:szCs w:val="21"/>
          <w:u w:val="single"/>
          <w:lang w:eastAsia="zh-CN"/>
        </w:rPr>
        <w:t>。</w:t>
      </w:r>
      <w:r>
        <w:rPr>
          <w:rFonts w:hint="eastAsia" w:ascii="楷体" w:hAnsi="楷体" w:eastAsia="楷体"/>
          <w:b/>
          <w:sz w:val="21"/>
          <w:szCs w:val="21"/>
          <w:u w:val="single"/>
        </w:rPr>
        <w:t>业绩比较基准</w:t>
      </w:r>
      <w:r>
        <w:rPr>
          <w:rFonts w:hint="eastAsia" w:ascii="楷体" w:hAnsi="楷体" w:eastAsia="楷体"/>
          <w:b/>
          <w:sz w:val="21"/>
          <w:szCs w:val="21"/>
          <w:u w:val="single"/>
          <w:lang w:val="en-US" w:eastAsia="zh-CN"/>
        </w:rPr>
        <w:t>为</w:t>
      </w:r>
      <w:r>
        <w:rPr>
          <w:rFonts w:hint="eastAsia" w:ascii="楷体" w:hAnsi="楷体" w:eastAsia="楷体"/>
          <w:b/>
          <w:sz w:val="21"/>
          <w:szCs w:val="21"/>
          <w:u w:val="single"/>
        </w:rPr>
        <w:t>管理人基于产品性质、投资策略、过往经验等因素对产品设定的投资目标。业绩比较基准不是预期收益率，不代表产品的未来表现和实际收益，不构成对产品收益的承诺。</w:t>
      </w:r>
    </w:p>
    <w:p>
      <w:pPr>
        <w:numPr>
          <w:ilvl w:val="0"/>
          <w:numId w:val="4"/>
        </w:numPr>
        <w:ind w:left="420" w:hanging="420"/>
        <w:rPr>
          <w:rFonts w:hint="eastAsia" w:ascii="楷体" w:hAnsi="楷体" w:eastAsia="楷体"/>
          <w:sz w:val="21"/>
          <w:szCs w:val="21"/>
        </w:rPr>
      </w:pPr>
      <w:r>
        <w:rPr>
          <w:rFonts w:hint="eastAsia" w:ascii="楷体" w:hAnsi="楷体" w:eastAsia="楷体"/>
          <w:sz w:val="21"/>
          <w:szCs w:val="21"/>
        </w:rPr>
        <w:t>《风险揭示书》、《理财产品说明书》、《理财产品投资协议书》、《投资者权益须知》、《理财产品（代理）销售协议书》共同构成本理财产品完整的不可分割的理财产品合同。</w:t>
      </w:r>
    </w:p>
    <w:p>
      <w:pPr>
        <w:numPr>
          <w:ilvl w:val="0"/>
          <w:numId w:val="4"/>
        </w:numPr>
        <w:ind w:left="420" w:hanging="420"/>
        <w:rPr>
          <w:rFonts w:hint="eastAsia" w:ascii="楷体" w:hAnsi="楷体" w:eastAsia="楷体"/>
          <w:sz w:val="21"/>
          <w:szCs w:val="21"/>
        </w:rPr>
      </w:pPr>
      <w:r>
        <w:rPr>
          <w:rFonts w:hint="eastAsia" w:ascii="楷体" w:hAnsi="楷体" w:eastAsia="楷体"/>
          <w:sz w:val="21"/>
          <w:szCs w:val="21"/>
        </w:rPr>
        <w:t>本理财产品涉及的主要风险包括政策风险、信用风险、市场风险、流动性风险、管理风险、操作风险、延期兑付风险、提前终止风险、信息传递风险、代销风险</w:t>
      </w:r>
      <w:r>
        <w:rPr>
          <w:rFonts w:hint="eastAsia" w:ascii="楷体" w:hAnsi="楷体" w:eastAsia="楷体"/>
          <w:sz w:val="21"/>
          <w:szCs w:val="21"/>
          <w:lang w:eastAsia="zh-CN"/>
        </w:rPr>
        <w:t>（</w:t>
      </w:r>
      <w:r>
        <w:rPr>
          <w:rFonts w:hint="eastAsia" w:ascii="楷体" w:hAnsi="楷体" w:eastAsia="楷体"/>
          <w:sz w:val="21"/>
          <w:szCs w:val="21"/>
          <w:lang w:val="en-US" w:eastAsia="zh-CN"/>
        </w:rPr>
        <w:t>如有）</w:t>
      </w:r>
      <w:r>
        <w:rPr>
          <w:rFonts w:hint="eastAsia" w:ascii="楷体" w:hAnsi="楷体" w:eastAsia="楷体"/>
          <w:sz w:val="21"/>
          <w:szCs w:val="21"/>
        </w:rPr>
        <w:t>、不可抗力风险</w:t>
      </w:r>
      <w:r>
        <w:rPr>
          <w:rFonts w:hint="eastAsia" w:ascii="楷体" w:hAnsi="楷体" w:eastAsia="楷体"/>
          <w:sz w:val="21"/>
          <w:szCs w:val="21"/>
          <w:lang w:eastAsia="zh-CN"/>
        </w:rPr>
        <w:t>、</w:t>
      </w:r>
      <w:r>
        <w:rPr>
          <w:rFonts w:hint="eastAsia" w:ascii="楷体" w:hAnsi="楷体" w:eastAsia="楷体"/>
          <w:sz w:val="21"/>
          <w:szCs w:val="21"/>
          <w:lang w:val="en-US" w:eastAsia="zh-CN"/>
        </w:rPr>
        <w:t>关联关系及关联交易风险、</w:t>
      </w:r>
      <w:r>
        <w:rPr>
          <w:rFonts w:hint="eastAsia" w:ascii="楷体" w:hAnsi="楷体" w:eastAsia="楷体"/>
          <w:sz w:val="21"/>
          <w:szCs w:val="21"/>
          <w:lang w:eastAsia="zh-CN"/>
        </w:rPr>
        <w:t>特定投资标的风险</w:t>
      </w:r>
      <w:r>
        <w:rPr>
          <w:rFonts w:hint="eastAsia" w:ascii="楷体" w:hAnsi="楷体" w:eastAsia="楷体"/>
          <w:sz w:val="21"/>
          <w:szCs w:val="21"/>
        </w:rPr>
        <w:t>等。请仔细阅读《“</w:t>
      </w:r>
      <w:r>
        <w:rPr>
          <w:rFonts w:hint="eastAsia" w:ascii="楷体" w:hAnsi="楷体" w:eastAsia="楷体"/>
          <w:b w:val="0"/>
          <w:bCs w:val="0"/>
          <w:sz w:val="21"/>
          <w:szCs w:val="21"/>
          <w:highlight w:val="none"/>
          <w:lang w:eastAsia="zh-CN"/>
        </w:rPr>
        <w:t>苏银理财恒源封闭债权368期</w:t>
      </w:r>
      <w:r>
        <w:rPr>
          <w:rFonts w:hint="eastAsia" w:ascii="楷体" w:hAnsi="楷体" w:eastAsia="楷体"/>
          <w:sz w:val="21"/>
          <w:szCs w:val="21"/>
        </w:rPr>
        <w:t>”理财产品风险揭示书》的“风险揭示”部分。</w:t>
      </w:r>
    </w:p>
    <w:p>
      <w:pPr>
        <w:numPr>
          <w:ilvl w:val="0"/>
          <w:numId w:val="4"/>
        </w:numPr>
        <w:ind w:left="420" w:hanging="420"/>
        <w:rPr>
          <w:rFonts w:ascii="楷体" w:hAnsi="楷体" w:eastAsia="楷体"/>
          <w:b/>
          <w:sz w:val="21"/>
          <w:szCs w:val="21"/>
          <w:highlight w:val="none"/>
          <w:u w:val="single"/>
        </w:rPr>
      </w:pPr>
      <w:r>
        <w:rPr>
          <w:rFonts w:hint="eastAsia" w:ascii="楷体" w:hAnsi="楷体" w:eastAsia="楷体" w:cs="楷体"/>
          <w:b/>
          <w:bCs/>
          <w:sz w:val="21"/>
          <w:szCs w:val="21"/>
          <w:highlight w:val="none"/>
          <w:u w:val="single"/>
          <w:lang w:val="en-US" w:eastAsia="zh-CN"/>
        </w:rPr>
        <w:t>本产品可设置多类份额，各类份额可能设置不同的销售对象、销售起点、业绩比较基准等，各类份额实际收取的销售服务费率、投资管理费率、超额业绩报酬（如有）等可能存在差异，投资者应根据实际情况自主选择购买。</w:t>
      </w:r>
    </w:p>
    <w:p>
      <w:pPr>
        <w:numPr>
          <w:ilvl w:val="0"/>
          <w:numId w:val="4"/>
        </w:numPr>
        <w:ind w:left="420" w:hanging="420"/>
        <w:rPr>
          <w:rFonts w:ascii="楷体" w:hAnsi="楷体" w:eastAsia="楷体"/>
          <w:b/>
          <w:sz w:val="21"/>
          <w:szCs w:val="21"/>
          <w:highlight w:val="none"/>
          <w:u w:val="singl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4"/>
        </w:numPr>
        <w:ind w:left="420" w:hanging="420"/>
        <w:rPr>
          <w:rFonts w:ascii="楷体" w:hAnsi="楷体" w:eastAsia="楷体"/>
          <w:sz w:val="21"/>
          <w:szCs w:val="21"/>
          <w:highlight w:val="none"/>
        </w:rPr>
      </w:pPr>
      <w:r>
        <w:rPr>
          <w:rFonts w:hint="eastAsia" w:ascii="楷体" w:hAnsi="楷体" w:eastAsia="楷体"/>
          <w:sz w:val="21"/>
          <w:szCs w:val="21"/>
        </w:rPr>
        <w:t>在本产品存续期内，如因监管政策或法律法规发生变化，在不损害投资者利益的前提下</w:t>
      </w:r>
      <w:r>
        <w:rPr>
          <w:rFonts w:hint="eastAsia" w:ascii="楷体" w:hAnsi="楷体" w:eastAsia="楷体"/>
          <w:sz w:val="21"/>
          <w:szCs w:val="21"/>
          <w:highlight w:val="none"/>
        </w:rPr>
        <w:t>，苏银理财有权单方对本产品条款进行修订，并按本理财产品说明书约定的信息披露方式予以披露。</w:t>
      </w:r>
    </w:p>
    <w:p>
      <w:pPr>
        <w:keepNext w:val="0"/>
        <w:keepLines w:val="0"/>
        <w:pageBreakBefore w:val="0"/>
        <w:widowControl w:val="0"/>
        <w:numPr>
          <w:ilvl w:val="0"/>
          <w:numId w:val="5"/>
        </w:numPr>
        <w:tabs>
          <w:tab w:val="left" w:pos="1134"/>
        </w:tabs>
        <w:bidi w:val="0"/>
        <w:ind w:left="0" w:firstLine="422"/>
        <w:outlineLvl w:val="0"/>
        <w:rPr>
          <w:rFonts w:hint="eastAsia" w:ascii="楷体" w:hAnsi="楷体" w:eastAsia="楷体"/>
          <w:b/>
          <w:color w:val="auto"/>
          <w:sz w:val="21"/>
          <w:szCs w:val="21"/>
        </w:rPr>
      </w:pPr>
      <w:r>
        <w:rPr>
          <w:rFonts w:hint="eastAsia" w:ascii="楷体" w:hAnsi="楷体" w:eastAsia="楷体"/>
          <w:b/>
          <w:color w:val="auto"/>
          <w:sz w:val="21"/>
          <w:szCs w:val="21"/>
        </w:rPr>
        <w:t>产品要素</w:t>
      </w:r>
    </w:p>
    <w:p>
      <w:pPr>
        <w:ind w:firstLine="420"/>
        <w:rPr>
          <w:rFonts w:ascii="楷体" w:hAnsi="楷体" w:eastAsia="楷体" w:cs="Calibri"/>
          <w:color w:val="auto"/>
          <w:sz w:val="21"/>
          <w:szCs w:val="21"/>
        </w:rPr>
      </w:pPr>
      <w:r>
        <w:rPr>
          <w:rFonts w:hint="eastAsia" w:ascii="楷体" w:hAnsi="楷体" w:eastAsia="楷体" w:cs="Calibri"/>
          <w:color w:val="auto"/>
          <w:sz w:val="21"/>
          <w:szCs w:val="21"/>
        </w:rPr>
        <w:t>为保护投资者合法权益，尊重投资者的知情权和自主选择权，现将本理财产品的基本要素说明如下：</w:t>
      </w:r>
    </w:p>
    <w:tbl>
      <w:tblPr>
        <w:tblStyle w:val="3"/>
        <w:tblW w:w="96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701"/>
        <w:gridCol w:w="793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产品名称</w:t>
            </w:r>
          </w:p>
        </w:tc>
        <w:tc>
          <w:tcPr>
            <w:tcW w:w="7937" w:type="dxa"/>
            <w:noWrap w:val="0"/>
            <w:vAlign w:val="center"/>
          </w:tcPr>
          <w:p>
            <w:pPr>
              <w:pStyle w:val="37"/>
              <w:keepNext w:val="0"/>
              <w:keepLines w:val="0"/>
              <w:pageBreakBefore w:val="0"/>
              <w:widowControl w:val="0"/>
              <w:bidi w:val="0"/>
              <w:spacing w:before="0" w:line="0" w:lineRule="atLeast"/>
              <w:ind w:left="0" w:right="0"/>
              <w:jc w:val="both"/>
              <w:rPr>
                <w:rFonts w:hint="eastAsia" w:ascii="楷体" w:hAnsi="楷体" w:eastAsia="楷体" w:cs="宋体"/>
                <w:color w:val="auto"/>
                <w:spacing w:val="-2"/>
                <w:sz w:val="18"/>
                <w:szCs w:val="18"/>
                <w:highlight w:val="none"/>
                <w:lang w:eastAsia="zh-CN"/>
              </w:rPr>
            </w:pPr>
            <w:r>
              <w:rPr>
                <w:rFonts w:hint="eastAsia" w:ascii="楷体" w:hAnsi="楷体" w:eastAsia="楷体" w:cs="宋体"/>
                <w:color w:val="auto"/>
                <w:spacing w:val="-2"/>
                <w:sz w:val="18"/>
                <w:szCs w:val="18"/>
                <w:highlight w:val="none"/>
                <w:lang w:eastAsia="zh-CN"/>
              </w:rPr>
              <w:t>苏银理财恒源封闭债权368期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line="0" w:lineRule="atLeast"/>
              <w:ind w:left="0"/>
              <w:jc w:val="both"/>
              <w:outlineLvl w:val="9"/>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理财产品登记编码</w:t>
            </w:r>
          </w:p>
        </w:tc>
        <w:tc>
          <w:tcPr>
            <w:tcW w:w="7937" w:type="dxa"/>
            <w:noWrap w:val="0"/>
            <w:vAlign w:val="center"/>
          </w:tcPr>
          <w:p>
            <w:pPr>
              <w:pStyle w:val="37"/>
              <w:keepNext w:val="0"/>
              <w:keepLines w:val="0"/>
              <w:pageBreakBefore w:val="0"/>
              <w:widowControl w:val="0"/>
              <w:bidi w:val="0"/>
              <w:spacing w:line="0" w:lineRule="atLeast"/>
              <w:ind w:left="0" w:right="0"/>
              <w:jc w:val="both"/>
              <w:rPr>
                <w:rFonts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lang w:val="en-US" w:eastAsia="zh-CN"/>
              </w:rPr>
              <w:t>Z7003126000382，投资者可依据该编码在中国理财网www.chinawealth.com.cn查询产品信息。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shd w:val="clear" w:color="auto" w:fill="auto"/>
            <w:noWrap w:val="0"/>
            <w:vAlign w:val="center"/>
          </w:tcPr>
          <w:p>
            <w:pPr>
              <w:pStyle w:val="37"/>
              <w:keepNext w:val="0"/>
              <w:keepLines w:val="0"/>
              <w:pageBreakBefore w:val="0"/>
              <w:widowControl w:val="0"/>
              <w:bidi w:val="0"/>
              <w:spacing w:before="0" w:line="0" w:lineRule="atLeast"/>
              <w:jc w:val="both"/>
              <w:outlineLvl w:val="9"/>
              <w:rPr>
                <w:rFonts w:ascii="楷体" w:hAnsi="楷体" w:eastAsia="楷体" w:cs="宋体"/>
                <w:b/>
                <w:color w:val="auto"/>
                <w:spacing w:val="-2"/>
                <w:sz w:val="18"/>
                <w:szCs w:val="18"/>
                <w:highlight w:val="none"/>
              </w:rPr>
            </w:pPr>
            <w:r>
              <w:rPr>
                <w:rFonts w:hint="eastAsia" w:ascii="楷体" w:hAnsi="楷体" w:eastAsia="楷体" w:cs="宋体"/>
                <w:b/>
                <w:spacing w:val="-2"/>
                <w:sz w:val="18"/>
                <w:szCs w:val="18"/>
                <w:lang w:val="en-US" w:eastAsia="zh-CN"/>
              </w:rPr>
              <w:t>销售名称</w:t>
            </w:r>
            <w:r>
              <w:rPr>
                <w:rFonts w:hint="eastAsia" w:ascii="楷体" w:hAnsi="楷体" w:eastAsia="楷体" w:cs="宋体"/>
                <w:b/>
                <w:spacing w:val="-2"/>
                <w:sz w:val="18"/>
                <w:szCs w:val="18"/>
              </w:rPr>
              <w:t>/销售代码</w:t>
            </w:r>
          </w:p>
        </w:tc>
        <w:tc>
          <w:tcPr>
            <w:tcW w:w="7937" w:type="dxa"/>
            <w:shd w:val="clear" w:color="auto" w:fill="auto"/>
            <w:noWrap w:val="0"/>
            <w:vAlign w:val="center"/>
          </w:tcPr>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A份额：苏银理财恒源封闭债权368期13月A/J27157</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B份额：苏银理财恒源封闭债权368期13月B/J27158</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C份额：苏银理财恒源封闭债权368期13月C/J27159</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D份额：苏银理财恒源封闭债权368期13月D/J27160</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E份额：苏银理财恒源封闭债权368期13月E/J27161</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F份额：苏银理财恒源封闭债权368期13月F/J27162</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G份额：苏银理财恒源封闭债权368期13月G/J27163</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I份额：苏银理财恒源封闭债权368期13月I/J27164</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J份额：苏银理财恒源封闭债权368期13月J/J27165</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K份额：苏银理财恒源封闭债权368期13月K（新客专属）/J27166</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M份额：苏银理财恒源封闭债权368期13月M/J27167</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N份额：苏银理财恒源封闭债权368期13月N/J27168</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O份额：苏银理财恒源封闭债权368期13月O/J27169</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P份额：苏银理财恒源封闭债权368期13月P/J27170</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Q份额：苏银理财恒源封闭债权368期13月Q/J27171</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R份额：苏银理财恒源封闭债权368期13月R/J27172</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S份额：苏银理财恒源封闭债权368期13月S/J27173</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U份额：苏银理财恒源封闭债权368期13月U/J27174</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W份额：苏银理财恒源封闭债权368期13月W/J27176</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JS份额：苏银理财恒源封闭债权368期13月JS鑫福款/J27177</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Z份额：苏银理财恒源封闭债权368期13月Z/J27178</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LS份额：苏银理财恒源封闭债权368期13月LS/J27179</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X份额：苏银理财恒源封闭债权368期13月X（恒盈财富专属）/J27180</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WF份额：苏银理财恒源封闭债权368期13月WF/J27181</w:t>
            </w:r>
          </w:p>
          <w:p>
            <w:pPr>
              <w:pStyle w:val="37"/>
              <w:keepNext w:val="0"/>
              <w:keepLines w:val="0"/>
              <w:pageBreakBefore w:val="0"/>
              <w:bidi w:val="0"/>
              <w:spacing w:line="0" w:lineRule="atLeast"/>
              <w:ind w:left="0" w:right="0"/>
              <w:jc w:val="both"/>
              <w:rPr>
                <w:rFonts w:hint="default" w:ascii="楷体" w:hAnsi="楷体" w:eastAsia="楷体" w:cs="宋体"/>
                <w:color w:val="auto"/>
                <w:spacing w:val="-2"/>
                <w:sz w:val="18"/>
                <w:szCs w:val="18"/>
                <w:highlight w:val="none"/>
                <w:lang w:val="en-US" w:eastAsia="zh-CN"/>
              </w:rPr>
            </w:pPr>
            <w:r>
              <w:rPr>
                <w:rFonts w:hint="eastAsia" w:ascii="楷体" w:hAnsi="楷体" w:eastAsia="楷体" w:cs="宋体"/>
                <w:color w:val="auto"/>
                <w:spacing w:val="-2"/>
                <w:sz w:val="18"/>
                <w:szCs w:val="18"/>
                <w:highlight w:val="none"/>
                <w:lang w:val="en-US" w:eastAsia="zh-CN"/>
              </w:rPr>
              <w:t>B1份额：苏银理财恒源封闭债权368期13月B1（大同专享）/J27182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shd w:val="clear" w:color="auto" w:fill="auto"/>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lang w:val="en-US" w:eastAsia="zh-CN" w:bidi="ar-SA"/>
              </w:rPr>
            </w:pPr>
            <w:r>
              <w:rPr>
                <w:rFonts w:hint="eastAsia" w:ascii="楷体" w:hAnsi="楷体" w:eastAsia="楷体" w:cs="宋体"/>
                <w:b/>
                <w:color w:val="auto"/>
                <w:spacing w:val="-2"/>
                <w:sz w:val="18"/>
                <w:szCs w:val="18"/>
              </w:rPr>
              <w:t>产品类型</w:t>
            </w:r>
          </w:p>
        </w:tc>
        <w:tc>
          <w:tcPr>
            <w:tcW w:w="7937" w:type="dxa"/>
            <w:shd w:val="clear" w:color="auto" w:fill="auto"/>
            <w:noWrap w:val="0"/>
            <w:vAlign w:val="center"/>
          </w:tcPr>
          <w:p>
            <w:pPr>
              <w:pStyle w:val="37"/>
              <w:keepNext w:val="0"/>
              <w:keepLines w:val="0"/>
              <w:pageBreakBefore w:val="0"/>
              <w:widowControl w:val="0"/>
              <w:bidi w:val="0"/>
              <w:spacing w:line="0" w:lineRule="atLeast"/>
              <w:ind w:left="0" w:right="0"/>
              <w:jc w:val="both"/>
              <w:rPr>
                <w:rFonts w:hint="eastAsia" w:ascii="楷体" w:hAnsi="楷体" w:eastAsia="楷体" w:cs="宋体"/>
                <w:b/>
                <w:color w:val="auto"/>
                <w:spacing w:val="-2"/>
                <w:sz w:val="18"/>
                <w:szCs w:val="18"/>
                <w:u w:val="single"/>
                <w:lang w:val="en-US" w:eastAsia="zh-CN" w:bidi="ar-SA"/>
              </w:rPr>
            </w:pPr>
            <w:r>
              <w:rPr>
                <w:rFonts w:hint="eastAsia" w:ascii="楷体" w:hAnsi="楷体" w:eastAsia="楷体" w:cs="宋体"/>
                <w:b/>
                <w:color w:val="auto"/>
                <w:spacing w:val="-2"/>
                <w:sz w:val="18"/>
                <w:szCs w:val="18"/>
                <w:highlight w:val="none"/>
                <w:u w:val="single"/>
              </w:rPr>
              <w:t>固定收益类、公募、封闭式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产品内部风险评级</w:t>
            </w:r>
          </w:p>
        </w:tc>
        <w:tc>
          <w:tcPr>
            <w:tcW w:w="7937" w:type="dxa"/>
            <w:noWrap w:val="0"/>
            <w:vAlign w:val="center"/>
          </w:tcPr>
          <w:p>
            <w:pPr>
              <w:keepNext w:val="0"/>
              <w:keepLines w:val="0"/>
              <w:pageBreakBefore w:val="0"/>
              <w:widowControl w:val="0"/>
              <w:numPr>
                <w:ilvl w:val="0"/>
                <w:numId w:val="0"/>
              </w:numPr>
              <w:bidi w:val="0"/>
              <w:spacing w:line="0" w:lineRule="atLeast"/>
              <w:ind w:left="0" w:right="0" w:firstLine="0"/>
              <w:rPr>
                <w:rFonts w:hint="eastAsia" w:ascii="楷体" w:hAnsi="楷体" w:eastAsia="楷体"/>
                <w:color w:val="auto"/>
                <w:sz w:val="18"/>
                <w:szCs w:val="18"/>
              </w:rPr>
            </w:pPr>
            <w:r>
              <w:rPr>
                <w:rFonts w:hint="eastAsia" w:ascii="楷体" w:hAnsi="楷体" w:eastAsia="楷体"/>
                <w:color w:val="auto"/>
                <w:sz w:val="18"/>
                <w:szCs w:val="18"/>
                <w:lang w:val="en-US" w:eastAsia="zh-CN"/>
              </w:rPr>
              <w:t>1.</w:t>
            </w:r>
            <w:r>
              <w:rPr>
                <w:rFonts w:hint="eastAsia" w:ascii="楷体" w:hAnsi="楷体" w:eastAsia="楷体"/>
                <w:color w:val="auto"/>
                <w:sz w:val="18"/>
                <w:szCs w:val="18"/>
              </w:rPr>
              <w:t>本理财产品经苏银理财内部风险评级为</w:t>
            </w:r>
            <w:r>
              <w:rPr>
                <w:rFonts w:hint="eastAsia" w:ascii="楷体" w:hAnsi="楷体" w:eastAsia="楷体"/>
                <w:b/>
                <w:color w:val="auto"/>
                <w:sz w:val="18"/>
                <w:szCs w:val="18"/>
                <w:u w:val="single"/>
              </w:rPr>
              <w:t>★★二级，适合中低风险型投资者，适合投资策略为稳健发展</w:t>
            </w:r>
            <w:r>
              <w:rPr>
                <w:rFonts w:hint="eastAsia" w:ascii="楷体" w:hAnsi="楷体" w:eastAsia="楷体"/>
                <w:b/>
                <w:color w:val="auto"/>
                <w:sz w:val="18"/>
                <w:szCs w:val="18"/>
                <w:u w:val="single"/>
                <w:lang w:val="en-US" w:eastAsia="zh-CN"/>
              </w:rPr>
              <w:t>的投资者</w:t>
            </w:r>
            <w:r>
              <w:rPr>
                <w:rFonts w:hint="eastAsia" w:ascii="楷体" w:hAnsi="楷体" w:eastAsia="楷体"/>
                <w:color w:val="auto"/>
                <w:sz w:val="18"/>
                <w:szCs w:val="18"/>
              </w:rPr>
              <w:t>。本评级为</w:t>
            </w:r>
            <w:r>
              <w:rPr>
                <w:rFonts w:hint="eastAsia" w:ascii="楷体" w:hAnsi="楷体" w:eastAsia="楷体"/>
                <w:color w:val="auto"/>
                <w:sz w:val="18"/>
                <w:szCs w:val="18"/>
                <w:lang w:val="en-US" w:eastAsia="zh-CN"/>
              </w:rPr>
              <w:t>管理人</w:t>
            </w:r>
            <w:r>
              <w:rPr>
                <w:rFonts w:hint="eastAsia" w:ascii="楷体" w:hAnsi="楷体" w:eastAsia="楷体"/>
                <w:color w:val="auto"/>
                <w:sz w:val="18"/>
                <w:szCs w:val="18"/>
              </w:rPr>
              <w:t>内部评级，由</w:t>
            </w:r>
            <w:r>
              <w:rPr>
                <w:rFonts w:hint="eastAsia" w:ascii="楷体" w:hAnsi="楷体" w:eastAsia="楷体"/>
                <w:color w:val="auto"/>
                <w:sz w:val="18"/>
                <w:szCs w:val="18"/>
                <w:lang w:val="en-US" w:eastAsia="zh-CN"/>
              </w:rPr>
              <w:t>管理人</w:t>
            </w:r>
            <w:r>
              <w:rPr>
                <w:rFonts w:hint="eastAsia" w:ascii="楷体" w:hAnsi="楷体" w:eastAsia="楷体"/>
                <w:color w:val="auto"/>
                <w:sz w:val="18"/>
                <w:szCs w:val="18"/>
              </w:rPr>
              <w:t>根据理财产品的投资组合、同类产品过往业绩和风险状况等因素，对理财产品进行评级，仅供</w:t>
            </w:r>
            <w:r>
              <w:rPr>
                <w:rFonts w:hint="eastAsia" w:ascii="楷体" w:hAnsi="楷体" w:eastAsia="楷体"/>
                <w:color w:val="auto"/>
                <w:sz w:val="18"/>
                <w:szCs w:val="18"/>
                <w:lang w:val="en-US" w:eastAsia="zh-CN"/>
              </w:rPr>
              <w:t>投资者</w:t>
            </w:r>
            <w:r>
              <w:rPr>
                <w:rFonts w:hint="eastAsia" w:ascii="楷体" w:hAnsi="楷体" w:eastAsia="楷体"/>
                <w:color w:val="auto"/>
                <w:sz w:val="18"/>
                <w:szCs w:val="18"/>
              </w:rPr>
              <w:t>参考。理财产品存续期间，若市场环境等因素发生变化，在符合监管政策要求的前提下管理人可对产品风险评级进行调整，并及时将调整情况向投资者披露。</w:t>
            </w:r>
          </w:p>
          <w:tbl>
            <w:tblPr>
              <w:tblStyle w:val="3"/>
              <w:tblW w:w="42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05"/>
              <w:gridCol w:w="1489"/>
              <w:gridCol w:w="2029"/>
              <w:gridCol w:w="16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风险星级</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风险级别</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适合的投资者类别</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tcBorders>
                    <w:bottom w:val="single" w:color="auto" w:sz="4" w:space="0"/>
                  </w:tcBorders>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一级（PR1）</w:t>
                  </w:r>
                </w:p>
              </w:tc>
              <w:tc>
                <w:tcPr>
                  <w:tcW w:w="1493"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低风险型</w:t>
                  </w:r>
                </w:p>
              </w:tc>
              <w:tc>
                <w:tcPr>
                  <w:tcW w:w="1229" w:type="pct"/>
                  <w:tcBorders>
                    <w:bottom w:val="single" w:color="auto" w:sz="4" w:space="0"/>
                  </w:tcBorders>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二级（PR2）</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中低风险型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b/>
                      <w:color w:val="auto"/>
                      <w:sz w:val="18"/>
                      <w:szCs w:val="18"/>
                    </w:rPr>
                  </w:pPr>
                  <w:r>
                    <w:rPr>
                      <w:rFonts w:hint="eastAsia" w:ascii="楷体" w:hAnsi="楷体" w:eastAsia="楷体" w:cs="浠垮畫"/>
                      <w:b/>
                      <w:color w:val="auto"/>
                      <w:sz w:val="18"/>
                      <w:szCs w:val="18"/>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三级（PR3）</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中风险型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四级（PR4）</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中高风险型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1" w:type="pct"/>
                  <w:noWrap w:val="0"/>
                  <w:vAlign w:val="bottom"/>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w:t>
                  </w:r>
                </w:p>
              </w:tc>
              <w:tc>
                <w:tcPr>
                  <w:tcW w:w="1095"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五级（PR5）</w:t>
                  </w:r>
                </w:p>
              </w:tc>
              <w:tc>
                <w:tcPr>
                  <w:tcW w:w="1493"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高风险型</w:t>
                  </w:r>
                </w:p>
              </w:tc>
              <w:tc>
                <w:tcPr>
                  <w:tcW w:w="1229" w:type="pct"/>
                  <w:noWrap w:val="0"/>
                  <w:vAlign w:val="center"/>
                </w:tcPr>
                <w:p>
                  <w:pPr>
                    <w:keepNext w:val="0"/>
                    <w:keepLines w:val="0"/>
                    <w:pageBreakBefore w:val="0"/>
                    <w:widowControl w:val="0"/>
                    <w:bidi w:val="0"/>
                    <w:spacing w:line="0" w:lineRule="atLeast"/>
                    <w:ind w:left="0" w:right="0" w:firstLine="0"/>
                    <w:jc w:val="center"/>
                    <w:rPr>
                      <w:rFonts w:ascii="楷体" w:hAnsi="楷体" w:eastAsia="楷体" w:cs="浠垮畫"/>
                      <w:color w:val="auto"/>
                      <w:sz w:val="18"/>
                      <w:szCs w:val="18"/>
                    </w:rPr>
                  </w:pPr>
                  <w:r>
                    <w:rPr>
                      <w:rFonts w:hint="eastAsia" w:ascii="楷体" w:hAnsi="楷体" w:eastAsia="楷体" w:cs="浠垮畫"/>
                      <w:color w:val="auto"/>
                      <w:sz w:val="18"/>
                      <w:szCs w:val="18"/>
                    </w:rPr>
                    <w:t>风险承受</w:t>
                  </w:r>
                </w:p>
              </w:tc>
            </w:tr>
          </w:tbl>
          <w:p>
            <w:pPr>
              <w:keepNext w:val="0"/>
              <w:keepLines w:val="0"/>
              <w:pageBreakBefore w:val="0"/>
              <w:widowControl w:val="0"/>
              <w:numPr>
                <w:ilvl w:val="0"/>
                <w:numId w:val="0"/>
              </w:numPr>
              <w:bidi w:val="0"/>
              <w:spacing w:line="0" w:lineRule="atLeast"/>
              <w:ind w:left="0" w:right="0" w:firstLine="0"/>
              <w:rPr>
                <w:rFonts w:ascii="楷体" w:hAnsi="楷体" w:eastAsia="楷体"/>
                <w:b/>
                <w:sz w:val="18"/>
                <w:szCs w:val="18"/>
                <w:highlight w:val="none"/>
                <w:u w:val="single"/>
              </w:rPr>
            </w:pPr>
            <w:r>
              <w:rPr>
                <w:rFonts w:hint="eastAsia" w:ascii="楷体" w:hAnsi="楷体" w:eastAsia="楷体"/>
                <w:sz w:val="18"/>
                <w:szCs w:val="18"/>
                <w:highlight w:val="none"/>
                <w:lang w:val="en-US" w:eastAsia="zh-CN"/>
              </w:rPr>
              <w:t>2.</w:t>
            </w:r>
            <w:r>
              <w:rPr>
                <w:rFonts w:hint="eastAsia" w:ascii="楷体" w:hAnsi="楷体" w:eastAsia="楷体"/>
                <w:sz w:val="18"/>
                <w:szCs w:val="18"/>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r>
              <w:rPr>
                <w:rFonts w:hint="eastAsia" w:ascii="楷体" w:hAnsi="楷体" w:eastAsia="楷体"/>
                <w:b/>
                <w:bCs/>
                <w:sz w:val="18"/>
                <w:szCs w:val="18"/>
                <w:highlight w:val="none"/>
                <w:u w:val="single"/>
              </w:rPr>
              <w:t>如本产品通过代理销售机构渠道销售，</w:t>
            </w:r>
            <w:r>
              <w:rPr>
                <w:rFonts w:hint="eastAsia" w:ascii="楷体" w:hAnsi="楷体" w:eastAsia="楷体"/>
                <w:b/>
                <w:sz w:val="18"/>
                <w:szCs w:val="18"/>
                <w:highlight w:val="none"/>
                <w:u w:val="single"/>
              </w:rPr>
              <w:t>理财产品评级以代理销售机构最终披露的评级结果为准。</w:t>
            </w:r>
          </w:p>
          <w:p>
            <w:pPr>
              <w:keepNext w:val="0"/>
              <w:keepLines w:val="0"/>
              <w:pageBreakBefore w:val="0"/>
              <w:widowControl w:val="0"/>
              <w:bidi w:val="0"/>
              <w:spacing w:line="0" w:lineRule="atLeast"/>
              <w:ind w:left="0" w:right="0" w:firstLine="0"/>
              <w:jc w:val="both"/>
              <w:rPr>
                <w:rFonts w:ascii="楷体" w:hAnsi="楷体" w:eastAsia="楷体" w:cs="宋体"/>
                <w:color w:val="auto"/>
                <w:spacing w:val="-2"/>
                <w:sz w:val="18"/>
                <w:szCs w:val="18"/>
              </w:rPr>
            </w:pPr>
            <w:r>
              <w:rPr>
                <w:rFonts w:hint="eastAsia" w:ascii="楷体" w:hAnsi="楷体" w:eastAsia="楷体"/>
                <w:color w:val="auto"/>
                <w:sz w:val="18"/>
                <w:szCs w:val="18"/>
                <w:lang w:val="en-US" w:eastAsia="zh-CN"/>
              </w:rPr>
              <w:t>3.</w:t>
            </w:r>
            <w:r>
              <w:rPr>
                <w:rFonts w:hint="eastAsia" w:ascii="楷体" w:hAnsi="楷体" w:eastAsia="楷体"/>
                <w:color w:val="auto"/>
                <w:sz w:val="18"/>
                <w:szCs w:val="18"/>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销售对象</w:t>
            </w:r>
          </w:p>
        </w:tc>
        <w:tc>
          <w:tcPr>
            <w:tcW w:w="7937" w:type="dxa"/>
            <w:noWrap w:val="0"/>
            <w:vAlign w:val="center"/>
          </w:tcPr>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A份额：面向个人和机构投资者销售；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B份额：面向个人和机构投资者销售；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C份额：面向个人和机构投资者销售，份额销售机构江苏银行仅限代发工资客户、新资金客户、新客户，具体以销售机构系统设置为准。新客户是指首次购买理财产品的客户；新资金的达标条件为“客户前一日资产时点余额”较“前一月末资产月日均余额”的新增额大于5万元；</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D份额：面向个人和机构投资者销售；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E份额：面向个人和机构投资者销售，份额销售机构江苏银行仅限财富客户、私行客户、企业高管客户，具体以销售机构系统设置为准。江苏银行财富客户指在江苏银行日均资产大于等于200万元的个人客户；江苏银行私行客户指在江苏银行日均资产大于等于600万元的个人客户；企业高管客户是指与江苏银行有业务来往的企业的高管客户；</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F份额：面向个人和机构投资者销售；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G份额：面向个人和机构投资者销售；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I份额：面向个人和机构投资者销售；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J份额：面向个人和机构投资者销售；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K份额：面向个人和机构投资者销售；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M份额：面向个人和机构投资者销售；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N份额：面向个人和机构投资者销售；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O份额：面向个人和机构投资者销售；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P份额：面向个人和机构投资者销售；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Q份额：面向个人和机构投资者销售；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R份额：面向个人和机构投资者销售；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S份额：面向个人和机构投资者销售；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U份额：面向个人和机构投资者销售；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W份额：面向个人和机构投资者销售；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JS份额：面向个人和机构投资者销售；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Z份额：面向个人和机构投资者销售；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LS份额：面向个人和机构投资者销售；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X份额：面向个人和机构投资者销售；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WF份额：面向个人和机构投资者销售；</w:t>
            </w:r>
          </w:p>
          <w:p>
            <w:pPr>
              <w:pStyle w:val="37"/>
              <w:keepNext w:val="0"/>
              <w:keepLines w:val="0"/>
              <w:pageBreakBefore w:val="0"/>
              <w:widowControl w:val="0"/>
              <w:bidi w:val="0"/>
              <w:spacing w:before="0" w:line="0" w:lineRule="atLeast"/>
              <w:ind w:left="0" w:right="0"/>
              <w:jc w:val="both"/>
              <w:rPr>
                <w:rFonts w:hint="default" w:ascii="楷体" w:hAnsi="楷体" w:eastAsia="楷体" w:cs="宋体"/>
                <w:color w:val="auto"/>
                <w:spacing w:val="-2"/>
                <w:sz w:val="18"/>
                <w:szCs w:val="18"/>
                <w:lang w:val="en-US" w:eastAsia="zh-CN"/>
              </w:rPr>
            </w:pPr>
            <w:r>
              <w:rPr>
                <w:rFonts w:hint="default" w:ascii="楷体" w:hAnsi="楷体" w:eastAsia="楷体" w:cs="宋体"/>
                <w:color w:val="auto"/>
                <w:spacing w:val="-2"/>
                <w:sz w:val="18"/>
                <w:szCs w:val="18"/>
                <w:lang w:val="en-US" w:eastAsia="zh-CN"/>
              </w:rPr>
              <w:t>B1份额：面向个人和机构投资者销售。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ascii="楷体" w:hAnsi="楷体" w:eastAsia="楷体" w:cs="宋体"/>
                <w:b/>
                <w:color w:val="auto"/>
                <w:spacing w:val="-2"/>
                <w:sz w:val="18"/>
                <w:szCs w:val="18"/>
              </w:rPr>
            </w:pPr>
            <w:r>
              <w:rPr>
                <w:rFonts w:hint="eastAsia" w:ascii="楷体" w:hAnsi="楷体" w:eastAsia="楷体" w:cs="宋体"/>
                <w:b/>
                <w:color w:val="auto"/>
                <w:spacing w:val="-2"/>
                <w:sz w:val="18"/>
                <w:szCs w:val="18"/>
              </w:rPr>
              <w:t>币种</w:t>
            </w:r>
          </w:p>
        </w:tc>
        <w:tc>
          <w:tcPr>
            <w:tcW w:w="7937" w:type="dxa"/>
            <w:noWrap w:val="0"/>
            <w:vAlign w:val="center"/>
          </w:tcPr>
          <w:p>
            <w:pPr>
              <w:pStyle w:val="37"/>
              <w:keepNext w:val="0"/>
              <w:keepLines w:val="0"/>
              <w:pageBreakBefore w:val="0"/>
              <w:widowControl w:val="0"/>
              <w:bidi w:val="0"/>
              <w:spacing w:before="0" w:line="0" w:lineRule="atLeast"/>
              <w:ind w:left="0" w:right="0"/>
              <w:jc w:val="both"/>
              <w:rPr>
                <w:rFonts w:ascii="楷体" w:hAnsi="楷体" w:eastAsia="楷体" w:cs="宋体"/>
                <w:color w:val="auto"/>
                <w:spacing w:val="-2"/>
                <w:sz w:val="18"/>
                <w:szCs w:val="18"/>
              </w:rPr>
            </w:pPr>
            <w:r>
              <w:rPr>
                <w:rFonts w:hint="eastAsia" w:ascii="楷体" w:hAnsi="楷体" w:eastAsia="楷体" w:cs="宋体"/>
                <w:color w:val="auto"/>
                <w:spacing w:val="-2"/>
                <w:sz w:val="18"/>
                <w:szCs w:val="18"/>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lang w:val="en-US" w:eastAsia="zh-CN" w:bidi="ar-SA"/>
              </w:rPr>
            </w:pPr>
            <w:r>
              <w:rPr>
                <w:rFonts w:hint="eastAsia" w:ascii="楷体" w:hAnsi="楷体" w:eastAsia="楷体" w:cs="宋体"/>
                <w:b/>
                <w:color w:val="auto"/>
                <w:spacing w:val="-2"/>
                <w:sz w:val="18"/>
                <w:szCs w:val="18"/>
              </w:rPr>
              <w:t>份额面值</w:t>
            </w:r>
          </w:p>
        </w:tc>
        <w:tc>
          <w:tcPr>
            <w:tcW w:w="7937" w:type="dxa"/>
            <w:noWrap w:val="0"/>
            <w:vAlign w:val="center"/>
          </w:tcPr>
          <w:p>
            <w:pPr>
              <w:pStyle w:val="37"/>
              <w:keepNext w:val="0"/>
              <w:keepLines w:val="0"/>
              <w:pageBreakBefore w:val="0"/>
              <w:widowControl w:val="0"/>
              <w:bidi w:val="0"/>
              <w:spacing w:before="0" w:line="0" w:lineRule="atLeast"/>
              <w:ind w:left="0" w:right="0"/>
              <w:jc w:val="both"/>
              <w:rPr>
                <w:rFonts w:hint="eastAsia" w:ascii="楷体" w:hAnsi="楷体" w:eastAsia="楷体" w:cs="宋体"/>
                <w:color w:val="auto"/>
                <w:spacing w:val="-2"/>
                <w:sz w:val="18"/>
                <w:szCs w:val="18"/>
                <w:lang w:val="en-US" w:eastAsia="zh-CN" w:bidi="ar-SA"/>
              </w:rPr>
            </w:pPr>
            <w:r>
              <w:rPr>
                <w:rFonts w:hint="eastAsia" w:ascii="楷体" w:hAnsi="楷体" w:eastAsia="楷体" w:cs="宋体"/>
                <w:color w:val="auto"/>
                <w:spacing w:val="-2"/>
                <w:sz w:val="18"/>
                <w:szCs w:val="18"/>
              </w:rPr>
              <w:t>1元/份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color w:val="auto"/>
                <w:spacing w:val="-2"/>
                <w:sz w:val="18"/>
                <w:szCs w:val="18"/>
              </w:rPr>
            </w:pPr>
            <w:r>
              <w:rPr>
                <w:rFonts w:hint="eastAsia" w:ascii="楷体" w:hAnsi="楷体" w:eastAsia="楷体" w:cs="宋体"/>
                <w:b/>
                <w:color w:val="auto"/>
                <w:spacing w:val="-2"/>
                <w:sz w:val="18"/>
                <w:szCs w:val="18"/>
                <w:highlight w:val="none"/>
              </w:rPr>
              <w:t>计划发行规模</w:t>
            </w:r>
          </w:p>
        </w:tc>
        <w:tc>
          <w:tcPr>
            <w:tcW w:w="7937" w:type="dxa"/>
            <w:noWrap w:val="0"/>
            <w:vAlign w:val="center"/>
          </w:tcPr>
          <w:p>
            <w:pPr>
              <w:keepNext w:val="0"/>
              <w:keepLines w:val="0"/>
              <w:pageBreakBefore w:val="0"/>
              <w:widowControl w:val="0"/>
              <w:bidi w:val="0"/>
              <w:spacing w:line="0" w:lineRule="atLeast"/>
              <w:ind w:left="0" w:right="0"/>
              <w:jc w:val="both"/>
              <w:rPr>
                <w:rFonts w:hint="eastAsia" w:ascii="楷体" w:hAnsi="楷体" w:eastAsia="楷体" w:cs="宋体"/>
                <w:color w:val="auto"/>
                <w:spacing w:val="-2"/>
                <w:sz w:val="18"/>
                <w:szCs w:val="18"/>
              </w:rPr>
            </w:pPr>
            <w:r>
              <w:rPr>
                <w:rFonts w:hint="eastAsia" w:ascii="楷体" w:hAnsi="楷体" w:eastAsia="楷体" w:cs="宋体"/>
                <w:color w:val="auto"/>
                <w:spacing w:val="-2"/>
                <w:sz w:val="18"/>
                <w:szCs w:val="18"/>
                <w:highlight w:val="none"/>
                <w:lang w:val="en-US" w:eastAsia="zh-CN"/>
              </w:rPr>
              <w:t>20亿元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lang w:val="en-US" w:eastAsia="zh-CN" w:bidi="ar-SA"/>
              </w:rPr>
            </w:pPr>
            <w:r>
              <w:rPr>
                <w:rFonts w:hint="eastAsia" w:ascii="楷体" w:hAnsi="楷体" w:eastAsia="楷体" w:cs="宋体"/>
                <w:b/>
                <w:color w:val="auto"/>
                <w:spacing w:val="-2"/>
                <w:sz w:val="18"/>
                <w:szCs w:val="18"/>
                <w:highlight w:val="none"/>
                <w:lang w:val="en-US" w:eastAsia="zh-CN"/>
              </w:rPr>
              <w:t>最低发行规模</w:t>
            </w:r>
          </w:p>
        </w:tc>
        <w:tc>
          <w:tcPr>
            <w:tcW w:w="7937" w:type="dxa"/>
            <w:noWrap w:val="0"/>
            <w:vAlign w:val="center"/>
          </w:tcPr>
          <w:p>
            <w:pPr>
              <w:pStyle w:val="37"/>
              <w:keepNext w:val="0"/>
              <w:keepLines w:val="0"/>
              <w:pageBreakBefore w:val="0"/>
              <w:widowControl w:val="0"/>
              <w:bidi w:val="0"/>
              <w:spacing w:line="0" w:lineRule="atLeast"/>
              <w:ind w:left="0" w:right="0"/>
              <w:jc w:val="both"/>
              <w:rPr>
                <w:rFonts w:hint="eastAsia" w:ascii="楷体" w:hAnsi="楷体" w:eastAsia="楷体" w:cs="宋体"/>
                <w:color w:val="auto"/>
                <w:spacing w:val="-2"/>
                <w:sz w:val="18"/>
                <w:szCs w:val="18"/>
                <w:highlight w:val="none"/>
                <w:lang w:val="en-US" w:eastAsia="zh-CN" w:bidi="ar-SA"/>
              </w:rPr>
            </w:pPr>
            <w:r>
              <w:rPr>
                <w:rFonts w:hint="eastAsia" w:ascii="楷体" w:hAnsi="楷体" w:eastAsia="楷体" w:cs="宋体"/>
                <w:color w:val="auto"/>
                <w:spacing w:val="-2"/>
                <w:sz w:val="18"/>
                <w:szCs w:val="18"/>
                <w:highlight w:val="none"/>
                <w:lang w:val="en-US" w:eastAsia="zh-CN" w:bidi="ar-SA"/>
              </w:rPr>
              <w:t>本产品最低发行规模为3000万元。若产品认购规模未达到最低发行规模，或新的法律、法规或监管政策导致本产品无法合法合规运行，或出现其他导致影响产品成立不可抗力因素，产品管理人将宣布产品不成立，并于产品募集期结束后5个工作日内将投资者认购资金返还至投资者资金账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jc w:val="both"/>
              <w:rPr>
                <w:rFonts w:ascii="楷体" w:hAnsi="楷体" w:eastAsia="楷体" w:cs="宋体"/>
                <w:b/>
                <w:color w:val="auto"/>
                <w:spacing w:val="-2"/>
                <w:sz w:val="18"/>
                <w:szCs w:val="18"/>
              </w:rPr>
            </w:pPr>
            <w:r>
              <w:rPr>
                <w:rFonts w:hint="eastAsia" w:ascii="楷体" w:hAnsi="楷体" w:eastAsia="楷体" w:cs="宋体"/>
                <w:b/>
                <w:spacing w:val="-2"/>
                <w:sz w:val="18"/>
                <w:szCs w:val="18"/>
              </w:rPr>
              <w:t>购买起点</w:t>
            </w:r>
            <w:r>
              <w:rPr>
                <w:rFonts w:ascii="楷体" w:hAnsi="楷体" w:eastAsia="楷体" w:cs="宋体"/>
                <w:b/>
                <w:spacing w:val="-2"/>
                <w:sz w:val="18"/>
                <w:szCs w:val="18"/>
              </w:rPr>
              <w:t>/</w:t>
            </w:r>
            <w:r>
              <w:rPr>
                <w:rFonts w:hint="eastAsia" w:ascii="楷体" w:hAnsi="楷体" w:eastAsia="楷体" w:cs="宋体"/>
                <w:b/>
                <w:spacing w:val="-2"/>
                <w:sz w:val="18"/>
                <w:szCs w:val="18"/>
              </w:rPr>
              <w:t>追加金额</w:t>
            </w:r>
          </w:p>
        </w:tc>
        <w:tc>
          <w:tcPr>
            <w:tcW w:w="7937" w:type="dxa"/>
            <w:noWrap w:val="0"/>
            <w:vAlign w:val="center"/>
          </w:tcPr>
          <w:p>
            <w:pPr>
              <w:keepNext w:val="0"/>
              <w:keepLines w:val="0"/>
              <w:pageBreakBefore w:val="0"/>
              <w:bidi w:val="0"/>
              <w:spacing w:line="0" w:lineRule="atLeast"/>
              <w:ind w:left="0" w:right="0"/>
              <w:rPr>
                <w:rFonts w:hint="default" w:ascii="楷体" w:hAnsi="楷体" w:eastAsia="楷体" w:cs="宋体"/>
                <w:color w:val="auto"/>
                <w:spacing w:val="-2"/>
                <w:sz w:val="18"/>
                <w:szCs w:val="18"/>
                <w:lang w:val="en-US" w:eastAsia="zh-CN"/>
              </w:rPr>
            </w:pPr>
            <w:r>
              <w:rPr>
                <w:rFonts w:hint="eastAsia" w:ascii="楷体" w:hAnsi="楷体" w:eastAsia="楷体"/>
                <w:sz w:val="18"/>
                <w:szCs w:val="18"/>
                <w:highlight w:val="none"/>
                <w:lang w:val="en-US" w:eastAsia="zh-CN"/>
              </w:rPr>
              <w:t>A份额：1元/1元的整数倍；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B份额：1元/1元的整数倍；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C份额：1元/1元的整数倍；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D份额：1元/1元的整数倍；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E份额：300,000元/10,000元的整数倍；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F份额：1元/1元的整数倍；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G份额：1元/1元的整数倍；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I份额：1元/1元的整数倍；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K份额：1元/1元的整数倍；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M份额：1元/1元的整数倍；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N份额：1元/1元的整数倍；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O份额：1元/1元的整数倍；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P份额：300,000元/10,000元的整数倍；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Q份额：1元/1元的整数倍；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R份额：1元/1元的整数倍；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S份额：1元/1元的整数倍；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U份额：1元/1元的整数倍；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W份额：1元/1元的整数倍；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JS份额：1元/1元的整数倍；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Z份额：1元/1元的整数倍；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LS份额：1元/1元的整数倍；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X份额：1元/1元的整数倍；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WF份额：1元/1元的整数倍；</w:t>
            </w:r>
            <w:r>
              <w:rPr>
                <w:rFonts w:hint="eastAsia" w:ascii="楷体" w:hAnsi="楷体" w:eastAsia="楷体"/>
                <w:sz w:val="18"/>
                <w:szCs w:val="18"/>
                <w:highlight w:val="none"/>
                <w:lang w:val="en-US" w:eastAsia="zh-CN"/>
              </w:rPr>
              <w:br w:type="textWrapping"/>
            </w:r>
            <w:r>
              <w:rPr>
                <w:rFonts w:hint="eastAsia" w:ascii="楷体" w:hAnsi="楷体" w:eastAsia="楷体"/>
                <w:sz w:val="18"/>
                <w:szCs w:val="18"/>
                <w:highlight w:val="none"/>
                <w:lang w:val="en-US" w:eastAsia="zh-CN"/>
              </w:rPr>
              <w:t>B1份额：1元/1元的整数倍。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lang w:val="en-US" w:eastAsia="zh-CN"/>
              </w:rPr>
              <w:t>募集期</w:t>
            </w:r>
          </w:p>
        </w:tc>
        <w:tc>
          <w:tcPr>
            <w:tcW w:w="7937" w:type="dxa"/>
            <w:noWrap w:val="0"/>
            <w:vAlign w:val="center"/>
          </w:tcPr>
          <w:p>
            <w:pPr>
              <w:pStyle w:val="37"/>
              <w:keepNext w:val="0"/>
              <w:keepLines w:val="0"/>
              <w:pageBreakBefore w:val="0"/>
              <w:widowControl w:val="0"/>
              <w:bidi w:val="0"/>
              <w:spacing w:line="0" w:lineRule="atLeast"/>
              <w:ind w:left="0"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lang w:val="en-US" w:eastAsia="zh-CN"/>
              </w:rPr>
              <w:t>2026年8月26日</w:t>
            </w:r>
            <w:r>
              <w:rPr>
                <w:rFonts w:hint="eastAsia" w:ascii="楷体" w:hAnsi="楷体" w:eastAsia="楷体" w:cs="宋体"/>
                <w:spacing w:val="-2"/>
                <w:sz w:val="18"/>
                <w:szCs w:val="18"/>
                <w:highlight w:val="none"/>
              </w:rPr>
              <w:t>至</w:t>
            </w:r>
            <w:r>
              <w:rPr>
                <w:rFonts w:hint="eastAsia" w:ascii="楷体" w:hAnsi="楷体" w:eastAsia="楷体" w:cs="宋体"/>
                <w:spacing w:val="-2"/>
                <w:sz w:val="18"/>
                <w:szCs w:val="18"/>
                <w:highlight w:val="none"/>
                <w:lang w:val="en-US" w:eastAsia="zh-CN"/>
              </w:rPr>
              <w:t>2026年9月1日</w:t>
            </w:r>
            <w:r>
              <w:rPr>
                <w:rFonts w:hint="eastAsia" w:ascii="楷体" w:hAnsi="楷体" w:eastAsia="楷体" w:cs="宋体"/>
                <w:spacing w:val="-2"/>
                <w:sz w:val="18"/>
                <w:szCs w:val="18"/>
                <w:highlight w:val="none"/>
              </w:rPr>
              <w:t>。</w:t>
            </w:r>
          </w:p>
          <w:p>
            <w:pPr>
              <w:pStyle w:val="37"/>
              <w:keepNext w:val="0"/>
              <w:keepLines w:val="0"/>
              <w:pageBreakBefore w:val="0"/>
              <w:bidi w:val="0"/>
              <w:spacing w:line="0" w:lineRule="atLeast"/>
              <w:ind w:left="0" w:right="0"/>
              <w:jc w:val="both"/>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rPr>
              <w:t>投资者可于募集期结束日交易闭市前撤销认购申请，该时点后不得撤销。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line="0" w:lineRule="atLeast"/>
              <w:jc w:val="both"/>
              <w:rPr>
                <w:rFonts w:hint="eastAsia" w:ascii="楷体" w:hAnsi="楷体" w:eastAsia="楷体" w:cs="宋体"/>
                <w:b/>
                <w:color w:val="auto"/>
                <w:spacing w:val="-2"/>
                <w:sz w:val="18"/>
                <w:szCs w:val="18"/>
              </w:rPr>
            </w:pPr>
            <w:r>
              <w:rPr>
                <w:rFonts w:hint="eastAsia" w:ascii="楷体" w:hAnsi="楷体" w:eastAsia="楷体" w:cs="宋体"/>
                <w:b/>
                <w:spacing w:val="-2"/>
                <w:sz w:val="18"/>
                <w:szCs w:val="18"/>
              </w:rPr>
              <w:t>产品成立日</w:t>
            </w:r>
          </w:p>
        </w:tc>
        <w:tc>
          <w:tcPr>
            <w:tcW w:w="7937" w:type="dxa"/>
            <w:noWrap w:val="0"/>
            <w:vAlign w:val="center"/>
          </w:tcPr>
          <w:p>
            <w:pPr>
              <w:pStyle w:val="37"/>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lang w:val="en-US" w:eastAsia="zh-CN"/>
              </w:rPr>
              <w:t>2026年9月2日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line="0" w:lineRule="atLeast"/>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产品</w:t>
            </w:r>
            <w:r>
              <w:rPr>
                <w:rFonts w:hint="eastAsia" w:ascii="楷体" w:hAnsi="楷体" w:eastAsia="楷体" w:cs="宋体"/>
                <w:b/>
                <w:color w:val="auto"/>
                <w:spacing w:val="-2"/>
                <w:sz w:val="18"/>
                <w:szCs w:val="18"/>
                <w:lang w:val="en-US" w:eastAsia="zh-CN"/>
              </w:rPr>
              <w:t>终止日/</w:t>
            </w:r>
            <w:r>
              <w:rPr>
                <w:rFonts w:hint="eastAsia" w:ascii="楷体" w:hAnsi="楷体" w:eastAsia="楷体" w:cs="宋体"/>
                <w:b/>
                <w:color w:val="auto"/>
                <w:spacing w:val="-2"/>
                <w:sz w:val="18"/>
                <w:szCs w:val="18"/>
              </w:rPr>
              <w:t>到期日</w:t>
            </w:r>
          </w:p>
        </w:tc>
        <w:tc>
          <w:tcPr>
            <w:tcW w:w="7937" w:type="dxa"/>
            <w:noWrap w:val="0"/>
          </w:tcPr>
          <w:p>
            <w:pPr>
              <w:pStyle w:val="37"/>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lang w:val="en-US" w:eastAsia="zh-CN"/>
              </w:rPr>
              <w:t>2027年9月28日</w:t>
            </w:r>
            <w:r>
              <w:rPr>
                <w:rFonts w:hint="eastAsia" w:ascii="楷体" w:hAnsi="楷体" w:eastAsia="楷体" w:cs="宋体"/>
                <w:spacing w:val="-2"/>
                <w:sz w:val="18"/>
                <w:szCs w:val="18"/>
                <w:highlight w:val="none"/>
                <w:lang w:eastAsia="zh-CN"/>
              </w:rPr>
              <w:t>。</w:t>
            </w:r>
            <w:r>
              <w:rPr>
                <w:rFonts w:hint="eastAsia" w:ascii="楷体" w:hAnsi="楷体" w:eastAsia="楷体" w:cs="宋体"/>
                <w:spacing w:val="-2"/>
                <w:sz w:val="18"/>
                <w:szCs w:val="18"/>
                <w:highlight w:val="none"/>
              </w:rPr>
              <w:t>如遇节假日，顺延至下一工作日。产品到期日受制于提前终止、延期终止条款。详见下文“产品终止”。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产品存续期限</w:t>
            </w:r>
          </w:p>
        </w:tc>
        <w:tc>
          <w:tcPr>
            <w:tcW w:w="7937" w:type="dxa"/>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color w:val="auto"/>
                <w:spacing w:val="-2"/>
                <w:sz w:val="18"/>
                <w:szCs w:val="18"/>
                <w:highlight w:val="none"/>
                <w:lang w:val="en-US" w:eastAsia="zh-CN"/>
              </w:rPr>
              <w:t>391天</w:t>
            </w:r>
            <w:r>
              <w:rPr>
                <w:rFonts w:hint="eastAsia" w:ascii="楷体" w:hAnsi="楷体" w:eastAsia="楷体" w:cs="宋体"/>
                <w:color w:val="auto"/>
                <w:spacing w:val="-2"/>
                <w:sz w:val="18"/>
                <w:szCs w:val="18"/>
                <w:highlight w:val="none"/>
              </w:rPr>
              <w:t>（以理财产品实际存续天数为准）</w:t>
            </w:r>
            <w:r>
              <w:rPr>
                <w:rFonts w:hint="eastAsia" w:ascii="楷体" w:hAnsi="楷体" w:eastAsia="楷体" w:cs="宋体"/>
                <w:color w:val="auto"/>
                <w:spacing w:val="-2"/>
                <w:sz w:val="18"/>
                <w:szCs w:val="18"/>
                <w:highlight w:val="none"/>
                <w:lang w:eastAsia="zh-CN"/>
              </w:rPr>
              <w:t>。</w:t>
            </w:r>
            <w:r>
              <w:rPr>
                <w:rFonts w:hint="eastAsia" w:ascii="楷体" w:hAnsi="楷体" w:eastAsia="楷体" w:cs="宋体"/>
                <w:b/>
                <w:bCs/>
                <w:color w:val="auto"/>
                <w:spacing w:val="-2"/>
                <w:sz w:val="18"/>
                <w:szCs w:val="18"/>
                <w:highlight w:val="none"/>
                <w:u w:val="single"/>
                <w:lang w:eastAsia="zh-CN"/>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rPr>
            </w:pPr>
            <w:r>
              <w:rPr>
                <w:rFonts w:hint="eastAsia" w:ascii="楷体" w:hAnsi="楷体" w:eastAsia="楷体" w:cs="宋体"/>
                <w:b/>
                <w:spacing w:val="-2"/>
                <w:sz w:val="18"/>
                <w:szCs w:val="18"/>
                <w:highlight w:val="none"/>
              </w:rPr>
              <w:t>单个</w:t>
            </w:r>
            <w:r>
              <w:rPr>
                <w:rFonts w:hint="eastAsia" w:ascii="楷体" w:hAnsi="楷体" w:eastAsia="楷体" w:cs="宋体"/>
                <w:b/>
                <w:spacing w:val="-2"/>
                <w:sz w:val="18"/>
                <w:szCs w:val="18"/>
                <w:highlight w:val="none"/>
                <w:lang w:val="en-US" w:eastAsia="zh-CN"/>
              </w:rPr>
              <w:t>投资者</w:t>
            </w:r>
            <w:r>
              <w:rPr>
                <w:rFonts w:hint="eastAsia" w:ascii="楷体" w:hAnsi="楷体" w:eastAsia="楷体" w:cs="宋体"/>
                <w:b/>
                <w:spacing w:val="-2"/>
                <w:sz w:val="18"/>
                <w:szCs w:val="18"/>
                <w:highlight w:val="none"/>
              </w:rPr>
              <w:t>持有</w:t>
            </w:r>
            <w:r>
              <w:rPr>
                <w:rFonts w:hint="eastAsia" w:ascii="楷体" w:hAnsi="楷体" w:eastAsia="楷体" w:cs="宋体"/>
                <w:b/>
                <w:spacing w:val="-2"/>
                <w:sz w:val="18"/>
                <w:szCs w:val="18"/>
                <w:highlight w:val="none"/>
                <w:lang w:val="en-US" w:eastAsia="zh-CN"/>
              </w:rPr>
              <w:t>比例</w:t>
            </w:r>
            <w:r>
              <w:rPr>
                <w:rFonts w:hint="eastAsia" w:ascii="楷体" w:hAnsi="楷体" w:eastAsia="楷体" w:cs="宋体"/>
                <w:b/>
                <w:spacing w:val="-2"/>
                <w:sz w:val="18"/>
                <w:szCs w:val="18"/>
                <w:highlight w:val="none"/>
              </w:rPr>
              <w:t>上限</w:t>
            </w:r>
          </w:p>
        </w:tc>
        <w:tc>
          <w:tcPr>
            <w:tcW w:w="7937" w:type="dxa"/>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lang w:val="en-US" w:eastAsia="zh-CN"/>
              </w:rPr>
            </w:pPr>
            <w:r>
              <w:rPr>
                <w:rFonts w:hint="eastAsia" w:ascii="楷体" w:hAnsi="楷体" w:eastAsia="楷体" w:cs="宋体"/>
                <w:spacing w:val="-2"/>
                <w:sz w:val="18"/>
                <w:szCs w:val="18"/>
                <w:highlight w:val="none"/>
                <w:lang w:val="en-US" w:eastAsia="zh-CN" w:bidi="ar-SA"/>
              </w:rPr>
              <w:t>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业绩比较基准</w:t>
            </w:r>
          </w:p>
          <w:p>
            <w:pPr>
              <w:pStyle w:val="37"/>
              <w:keepNext w:val="0"/>
              <w:keepLines w:val="0"/>
              <w:pageBreakBefore w:val="0"/>
              <w:widowControl w:val="0"/>
              <w:bidi w:val="0"/>
              <w:spacing w:before="0" w:line="0" w:lineRule="atLeast"/>
              <w:ind w:left="0" w:right="0"/>
              <w:jc w:val="both"/>
              <w:rPr>
                <w:rFonts w:hint="eastAsia" w:ascii="楷体" w:hAnsi="楷体" w:eastAsia="楷体" w:cs="宋体"/>
                <w:b/>
                <w:color w:val="auto"/>
                <w:spacing w:val="-2"/>
                <w:sz w:val="18"/>
                <w:szCs w:val="18"/>
              </w:rPr>
            </w:pPr>
            <w:r>
              <w:rPr>
                <w:rFonts w:hint="eastAsia" w:ascii="楷体" w:hAnsi="楷体" w:eastAsia="楷体" w:cs="宋体"/>
                <w:b/>
                <w:color w:val="auto"/>
                <w:spacing w:val="-2"/>
                <w:sz w:val="18"/>
                <w:szCs w:val="18"/>
              </w:rPr>
              <w:t>（年化）</w:t>
            </w:r>
          </w:p>
        </w:tc>
        <w:tc>
          <w:tcPr>
            <w:tcW w:w="7937" w:type="dxa"/>
            <w:noWrap w:val="0"/>
            <w:vAlign w:val="center"/>
          </w:tcPr>
          <w:p>
            <w:pPr>
              <w:keepNext w:val="0"/>
              <w:keepLines w:val="0"/>
              <w:pageBreakBefore w:val="0"/>
              <w:widowControl/>
              <w:numPr>
                <w:ilvl w:val="0"/>
                <w:numId w:val="0"/>
              </w:numPr>
              <w:bidi w:val="0"/>
              <w:spacing w:line="0" w:lineRule="atLeast"/>
              <w:ind w:right="0"/>
              <w:jc w:val="left"/>
              <w:rPr>
                <w:rFonts w:hint="eastAsia" w:ascii="楷体" w:hAnsi="楷体" w:eastAsia="楷体" w:cs="宋体"/>
                <w:b/>
                <w:bCs/>
                <w:spacing w:val="-2"/>
                <w:sz w:val="18"/>
                <w:szCs w:val="18"/>
                <w:u w:val="single"/>
                <w:lang w:val="en-US" w:eastAsia="zh-CN"/>
              </w:rPr>
            </w:pPr>
            <w:r>
              <w:rPr>
                <w:rFonts w:hint="eastAsia" w:ascii="楷体" w:hAnsi="楷体" w:eastAsia="楷体" w:cs="宋体"/>
                <w:b/>
                <w:bCs/>
                <w:spacing w:val="-2"/>
                <w:sz w:val="18"/>
                <w:szCs w:val="18"/>
                <w:u w:val="single"/>
                <w:lang w:val="en-US" w:eastAsia="zh-CN"/>
              </w:rPr>
              <w:t>1.管理人参考过往投资经验，依据近期货币市场工具、债券、非标准化债权资产投资收益水平，在产品说明书约定的投资范围和投资比例内，综合考虑收取的销售服务费和投资管理费等费用情况，模拟测算得出业绩比较基准。</w:t>
            </w:r>
          </w:p>
          <w:p>
            <w:pPr>
              <w:keepNext w:val="0"/>
              <w:keepLines w:val="0"/>
              <w:pageBreakBefore w:val="0"/>
              <w:widowControl/>
              <w:numPr>
                <w:ilvl w:val="0"/>
                <w:numId w:val="0"/>
              </w:numPr>
              <w:bidi w:val="0"/>
              <w:spacing w:line="0" w:lineRule="atLeast"/>
              <w:ind w:right="0"/>
              <w:jc w:val="left"/>
              <w:rPr>
                <w:rFonts w:hint="eastAsia" w:ascii="楷体" w:hAnsi="楷体" w:eastAsia="楷体" w:cs="宋体"/>
                <w:b/>
                <w:bCs/>
                <w:spacing w:val="-2"/>
                <w:sz w:val="18"/>
                <w:szCs w:val="18"/>
                <w:u w:val="single"/>
                <w:lang w:val="en-US" w:eastAsia="zh-CN"/>
              </w:rPr>
            </w:pPr>
            <w:r>
              <w:rPr>
                <w:rFonts w:hint="eastAsia" w:ascii="楷体" w:hAnsi="楷体" w:eastAsia="楷体" w:cs="宋体"/>
                <w:b/>
                <w:bCs/>
                <w:spacing w:val="-2"/>
                <w:sz w:val="18"/>
                <w:szCs w:val="18"/>
                <w:u w:val="single"/>
                <w:lang w:val="en-US" w:eastAsia="zh-CN"/>
              </w:rPr>
              <w:t>2.本产品业绩比较基准如下：</w:t>
            </w:r>
          </w:p>
          <w:p>
            <w:pPr>
              <w:keepNext w:val="0"/>
              <w:keepLines w:val="0"/>
              <w:pageBreakBefore w:val="0"/>
              <w:widowControl w:val="0"/>
              <w:bidi w:val="0"/>
              <w:spacing w:line="0" w:lineRule="atLeast"/>
              <w:ind w:left="0" w:right="0"/>
              <w:jc w:val="left"/>
              <w:rPr>
                <w:rFonts w:hint="default" w:ascii="楷体" w:hAnsi="楷体" w:eastAsia="楷体" w:cs="宋体"/>
                <w:b w:val="0"/>
                <w:bCs/>
                <w:spacing w:val="-2"/>
                <w:sz w:val="18"/>
                <w:szCs w:val="18"/>
                <w:highlight w:val="none"/>
                <w:u w:val="none"/>
                <w:lang w:val="en-US" w:eastAsia="zh-CN"/>
              </w:rPr>
            </w:pPr>
            <w:r>
              <w:rPr>
                <w:rFonts w:hint="eastAsia" w:ascii="楷体" w:hAnsi="楷体" w:eastAsia="楷体" w:cs="宋体"/>
                <w:b w:val="0"/>
                <w:bCs/>
                <w:spacing w:val="-2"/>
                <w:sz w:val="18"/>
                <w:szCs w:val="18"/>
                <w:highlight w:val="none"/>
                <w:u w:val="none"/>
                <w:lang w:val="en-US" w:eastAsia="zh-CN"/>
              </w:rPr>
              <w:t>A份额：2.35%-2.75%；B份额：2.35%-2.75%；C份额：2.45%-2.85%；D份额：2.45%-2.85%；E份额：2.45%-2.85%；F份额：2.40%-2.80%；G份额：2.30%-2.70%；I份额：2.35%-2.75%；J份额：2.30%-2.70%；K份额：2.55%-2.95%；M份额：2.25%-2.65%；N份额：2.35%-2.75%；O份额：2.37%-2.77%；P份额：2.45%-2.85%；Q份额：2.55%-2.95%；R份额：2.60%-3.00%；S份额：2.40%-2.80%；U份额：2.50%-2.90%；W份额：2.35%-2.75%；JS份额：2.35%-2.75%；Z份额：2.50%-2.90%；LS份额：2.50%-2.90%；X份额：2.60%-3.00%；WF份额：2.65%-3.05%；B1份额：2.50%-2.90%。</w:t>
            </w:r>
          </w:p>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rPr>
            </w:pPr>
            <w:r>
              <w:rPr>
                <w:rFonts w:hint="eastAsia" w:ascii="楷体" w:hAnsi="楷体" w:eastAsia="楷体" w:cs="宋体"/>
                <w:b/>
                <w:spacing w:val="-2"/>
                <w:sz w:val="18"/>
                <w:szCs w:val="18"/>
                <w:u w:val="single"/>
                <w:lang w:val="en-US" w:eastAsia="zh-CN"/>
              </w:rPr>
              <w:t>3.</w:t>
            </w:r>
            <w:r>
              <w:rPr>
                <w:rFonts w:hint="eastAsia" w:ascii="楷体" w:hAnsi="楷体" w:eastAsia="楷体" w:cs="宋体"/>
                <w:b/>
                <w:spacing w:val="-2"/>
                <w:sz w:val="18"/>
                <w:szCs w:val="18"/>
                <w:u w:val="single"/>
              </w:rPr>
              <w:t>本产品为净值型产品，业绩表现将随市场波动，具有不确定性。业绩比较</w:t>
            </w:r>
            <w:r>
              <w:rPr>
                <w:rFonts w:hint="eastAsia" w:ascii="楷体" w:hAnsi="楷体" w:eastAsia="楷体" w:cs="宋体"/>
                <w:b/>
                <w:spacing w:val="-2"/>
                <w:sz w:val="18"/>
                <w:szCs w:val="18"/>
                <w:u w:val="single"/>
                <w:lang w:val="en-US" w:eastAsia="zh-CN"/>
              </w:rPr>
              <w:t>基准是</w:t>
            </w:r>
            <w:r>
              <w:rPr>
                <w:rFonts w:hint="eastAsia" w:ascii="楷体" w:hAnsi="楷体" w:eastAsia="楷体" w:cs="宋体"/>
                <w:b/>
                <w:spacing w:val="-2"/>
                <w:sz w:val="18"/>
                <w:szCs w:val="18"/>
                <w:u w:val="single"/>
              </w:rPr>
              <w:t>管理人基于产品性质、投资策略、过往经验等因素对产品设定的投资目标。业绩比较基准不是预期收益率，不代表产品的未来表现和实际收益，不构成对产品收益的承诺。投资者的实际收益由产品净值表现决定。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color w:val="auto"/>
                <w:spacing w:val="-2"/>
                <w:sz w:val="18"/>
                <w:szCs w:val="18"/>
              </w:rPr>
            </w:pPr>
            <w:r>
              <w:rPr>
                <w:rFonts w:hint="eastAsia" w:ascii="楷体" w:hAnsi="楷体" w:eastAsia="楷体" w:cs="宋体"/>
                <w:b/>
                <w:color w:val="auto"/>
                <w:spacing w:val="-2"/>
                <w:sz w:val="18"/>
                <w:szCs w:val="18"/>
              </w:rPr>
              <w:t>产品费用</w:t>
            </w:r>
          </w:p>
        </w:tc>
        <w:tc>
          <w:tcPr>
            <w:tcW w:w="7937" w:type="dxa"/>
            <w:noWrap w:val="0"/>
            <w:vAlign w:val="center"/>
          </w:tcPr>
          <w:p>
            <w:pPr>
              <w:keepNext w:val="0"/>
              <w:keepLines w:val="0"/>
              <w:pageBreakBefore w:val="0"/>
              <w:bidi w:val="0"/>
              <w:spacing w:line="0" w:lineRule="atLeast"/>
              <w:ind w:right="0"/>
              <w:rPr>
                <w:rFonts w:hint="eastAsia" w:ascii="楷体" w:hAnsi="楷体" w:eastAsia="楷体" w:cs="宋体"/>
                <w:color w:val="auto"/>
                <w:spacing w:val="-2"/>
                <w:sz w:val="18"/>
                <w:szCs w:val="18"/>
                <w:lang w:val="en-US" w:eastAsia="zh-CN"/>
              </w:rPr>
            </w:pPr>
            <w:r>
              <w:rPr>
                <w:rFonts w:hint="eastAsia" w:ascii="楷体" w:hAnsi="楷体" w:eastAsia="楷体" w:cs="宋体"/>
                <w:color w:val="auto"/>
                <w:spacing w:val="-2"/>
                <w:sz w:val="18"/>
                <w:szCs w:val="18"/>
                <w:lang w:val="en-US" w:eastAsia="zh-CN"/>
              </w:rPr>
              <w:t>本产品费用包括托管费、销售服务费、投资管理费、信息技术服务费、超额业绩报酬（如有）以及产品运作和清算中产生的其他费用等。</w:t>
            </w:r>
          </w:p>
          <w:p>
            <w:pPr>
              <w:pStyle w:val="37"/>
              <w:keepNext w:val="0"/>
              <w:keepLines w:val="0"/>
              <w:pageBreakBefore w:val="0"/>
              <w:widowControl w:val="0"/>
              <w:bidi w:val="0"/>
              <w:spacing w:line="0" w:lineRule="atLeast"/>
              <w:ind w:right="0"/>
              <w:rPr>
                <w:rFonts w:hint="eastAsia" w:ascii="楷体" w:hAnsi="楷体" w:eastAsia="楷体" w:cs="宋体"/>
                <w:spacing w:val="-2"/>
                <w:sz w:val="18"/>
                <w:szCs w:val="18"/>
                <w:highlight w:val="none"/>
              </w:rPr>
            </w:pPr>
            <w:r>
              <w:rPr>
                <w:rFonts w:hint="eastAsia" w:ascii="楷体" w:hAnsi="楷体" w:eastAsia="楷体" w:cs="宋体"/>
                <w:spacing w:val="-2"/>
                <w:sz w:val="18"/>
                <w:szCs w:val="18"/>
              </w:rPr>
              <w:t>1.托管费率（年化）：</w:t>
            </w:r>
            <w:r>
              <w:rPr>
                <w:rFonts w:hint="eastAsia" w:ascii="楷体" w:hAnsi="楷体" w:eastAsia="楷体" w:cs="宋体"/>
                <w:spacing w:val="-2"/>
                <w:sz w:val="18"/>
                <w:szCs w:val="18"/>
                <w:highlight w:val="none"/>
                <w:lang w:val="en-US" w:eastAsia="zh-CN"/>
              </w:rPr>
              <w:t>0.02%</w:t>
            </w:r>
          </w:p>
          <w:p>
            <w:pPr>
              <w:pStyle w:val="37"/>
              <w:keepNext w:val="0"/>
              <w:keepLines w:val="0"/>
              <w:pageBreakBefore w:val="0"/>
              <w:widowControl w:val="0"/>
              <w:bidi w:val="0"/>
              <w:spacing w:line="0" w:lineRule="atLeast"/>
              <w:ind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rPr>
              <w:t>2.销售服务费率（年化）：A份额：0.20%；B份额：0.30%；C份额：0.20%；D份额：0.20%；E份额：0.20%；F份额：0.20%；G份额：0.30%；I份额：0.15%；J份额：0.20%；K份额：0.10%；M份额：0.35%；N份额：0.25%；O份额：0.30%；P份额：0.15%；Q份额：0.10%；R份额：0.05%；S份额：0.15%；U份额：0.20%；W份额：0.20%；JS份额：0.20%；Z份额：0.10%；LS份额：0.15%；X份额：0.05%；WF份额：0.05%；B1份额：0.15%。其中D/K/M份额采用一次性提取模式，其他份额采用每日计提模式</w:t>
            </w:r>
          </w:p>
          <w:p>
            <w:pPr>
              <w:pStyle w:val="37"/>
              <w:keepNext w:val="0"/>
              <w:keepLines w:val="0"/>
              <w:pageBreakBefore w:val="0"/>
              <w:widowControl w:val="0"/>
              <w:bidi w:val="0"/>
              <w:spacing w:line="0" w:lineRule="atLeast"/>
              <w:ind w:right="0"/>
              <w:rPr>
                <w:rFonts w:hint="eastAsia" w:ascii="楷体" w:hAnsi="楷体" w:eastAsia="楷体" w:cs="宋体"/>
                <w:spacing w:val="-2"/>
                <w:sz w:val="18"/>
                <w:szCs w:val="18"/>
                <w:highlight w:val="none"/>
              </w:rPr>
            </w:pPr>
            <w:r>
              <w:rPr>
                <w:rFonts w:hint="eastAsia" w:ascii="楷体" w:hAnsi="楷体" w:eastAsia="楷体" w:cs="宋体"/>
                <w:spacing w:val="-2"/>
                <w:sz w:val="18"/>
                <w:szCs w:val="18"/>
                <w:highlight w:val="none"/>
              </w:rPr>
              <w:t>3.投资管理费率（年化）：A份额：0.20%；B份额：0.10%；C份额：0.10%；D份额：0.10%；E份额：0.10%；F份额：0.15%；G份额：0.15%；I份额：0.25%；J份额：0.25%；K份额：0.10%；M份额：0.15%；N份额：0.15%；O份额：0.08%；P份额：0.15%；Q份额：0.10%；R份额：0.10%；S份额：0.20%；U份额：0.05%；W份额：0.20%；JS份额：0.20%；Z份额：0.15%；LS份额：0.10%；X份额：0.10%；WF份额：0.05%；B1份额：0.10%</w:t>
            </w:r>
          </w:p>
          <w:p>
            <w:pPr>
              <w:pStyle w:val="37"/>
              <w:keepNext w:val="0"/>
              <w:keepLines w:val="0"/>
              <w:pageBreakBefore w:val="0"/>
              <w:widowControl w:val="0"/>
              <w:bidi w:val="0"/>
              <w:spacing w:line="0" w:lineRule="atLeast"/>
              <w:ind w:right="0"/>
              <w:rPr>
                <w:rFonts w:hint="eastAsia" w:ascii="楷体" w:hAnsi="楷体" w:eastAsia="楷体" w:cs="宋体"/>
                <w:b w:val="0"/>
                <w:bCs w:val="0"/>
                <w:spacing w:val="-2"/>
                <w:sz w:val="18"/>
                <w:szCs w:val="18"/>
                <w:highlight w:val="none"/>
              </w:rPr>
            </w:pPr>
            <w:r>
              <w:rPr>
                <w:rFonts w:hint="eastAsia" w:ascii="楷体" w:hAnsi="楷体" w:eastAsia="楷体" w:cs="宋体"/>
                <w:b w:val="0"/>
                <w:bCs w:val="0"/>
                <w:spacing w:val="-2"/>
                <w:sz w:val="18"/>
                <w:szCs w:val="18"/>
                <w:highlight w:val="none"/>
                <w:lang w:val="en-US" w:eastAsia="zh-CN"/>
              </w:rPr>
              <w:t>4.信息技术服务费（年化）：0.002%</w:t>
            </w:r>
          </w:p>
          <w:p>
            <w:pPr>
              <w:keepNext w:val="0"/>
              <w:keepLines w:val="0"/>
              <w:pageBreakBefore w:val="0"/>
              <w:bidi w:val="0"/>
              <w:spacing w:line="0" w:lineRule="atLeast"/>
              <w:ind w:right="0"/>
              <w:rPr>
                <w:rFonts w:hint="eastAsia" w:ascii="楷体" w:hAnsi="楷体" w:eastAsia="楷体" w:cs="宋体"/>
                <w:b w:val="0"/>
                <w:bCs w:val="0"/>
                <w:color w:val="auto"/>
                <w:spacing w:val="-2"/>
                <w:sz w:val="18"/>
                <w:szCs w:val="18"/>
                <w:highlight w:val="none"/>
              </w:rPr>
            </w:pPr>
            <w:r>
              <w:rPr>
                <w:rFonts w:hint="eastAsia" w:ascii="楷体" w:hAnsi="楷体" w:eastAsia="楷体" w:cs="宋体"/>
                <w:b w:val="0"/>
                <w:bCs w:val="0"/>
                <w:color w:val="auto"/>
                <w:spacing w:val="-2"/>
                <w:sz w:val="18"/>
                <w:szCs w:val="18"/>
                <w:highlight w:val="none"/>
                <w:lang w:val="en-US" w:eastAsia="zh-CN"/>
              </w:rPr>
              <w:t>5</w:t>
            </w:r>
            <w:r>
              <w:rPr>
                <w:rFonts w:hint="eastAsia" w:ascii="楷体" w:hAnsi="楷体" w:eastAsia="楷体" w:cs="宋体"/>
                <w:b w:val="0"/>
                <w:bCs w:val="0"/>
                <w:color w:val="auto"/>
                <w:spacing w:val="-2"/>
                <w:sz w:val="18"/>
                <w:szCs w:val="18"/>
                <w:highlight w:val="none"/>
              </w:rPr>
              <w:t>.超额业绩报酬</w:t>
            </w:r>
            <w:r>
              <w:rPr>
                <w:rFonts w:hint="eastAsia" w:ascii="楷体" w:hAnsi="楷体" w:eastAsia="楷体" w:cs="宋体"/>
                <w:b w:val="0"/>
                <w:bCs w:val="0"/>
                <w:color w:val="auto"/>
                <w:spacing w:val="-2"/>
                <w:sz w:val="18"/>
                <w:szCs w:val="18"/>
                <w:highlight w:val="none"/>
                <w:lang w:eastAsia="zh-CN"/>
              </w:rPr>
              <w:t>（</w:t>
            </w:r>
            <w:r>
              <w:rPr>
                <w:rFonts w:hint="eastAsia" w:ascii="楷体" w:hAnsi="楷体" w:eastAsia="楷体" w:cs="宋体"/>
                <w:b w:val="0"/>
                <w:bCs w:val="0"/>
                <w:color w:val="auto"/>
                <w:spacing w:val="-2"/>
                <w:sz w:val="18"/>
                <w:szCs w:val="18"/>
                <w:highlight w:val="none"/>
                <w:lang w:val="en-US" w:eastAsia="zh-CN"/>
              </w:rPr>
              <w:t>如有）</w:t>
            </w:r>
            <w:r>
              <w:rPr>
                <w:rFonts w:hint="eastAsia" w:ascii="楷体" w:hAnsi="楷体" w:eastAsia="楷体" w:cs="宋体"/>
                <w:b w:val="0"/>
                <w:bCs w:val="0"/>
                <w:color w:val="auto"/>
                <w:spacing w:val="-2"/>
                <w:sz w:val="18"/>
                <w:szCs w:val="18"/>
                <w:highlight w:val="none"/>
              </w:rPr>
              <w:t>：</w:t>
            </w:r>
            <w:r>
              <w:rPr>
                <w:rFonts w:hint="eastAsia" w:ascii="楷体" w:hAnsi="楷体" w:eastAsia="楷体" w:cs="宋体"/>
                <w:b w:val="0"/>
                <w:bCs w:val="0"/>
                <w:color w:val="auto"/>
                <w:spacing w:val="-2"/>
                <w:sz w:val="18"/>
                <w:szCs w:val="18"/>
              </w:rPr>
              <w:t>若产品各份额实际投资收益在扣除托管费、销售服务费、投资管理费</w:t>
            </w:r>
            <w:r>
              <w:rPr>
                <w:rFonts w:hint="eastAsia" w:ascii="楷体" w:hAnsi="楷体" w:eastAsia="楷体" w:cs="宋体"/>
                <w:b w:val="0"/>
                <w:bCs w:val="0"/>
                <w:color w:val="auto"/>
                <w:spacing w:val="-2"/>
                <w:sz w:val="18"/>
                <w:szCs w:val="18"/>
                <w:lang w:eastAsia="zh-CN"/>
              </w:rPr>
              <w:t>、</w:t>
            </w:r>
            <w:r>
              <w:rPr>
                <w:rFonts w:hint="eastAsia" w:ascii="楷体" w:hAnsi="楷体" w:eastAsia="楷体" w:cs="宋体"/>
                <w:b w:val="0"/>
                <w:bCs w:val="0"/>
                <w:color w:val="auto"/>
                <w:spacing w:val="-2"/>
                <w:sz w:val="18"/>
                <w:szCs w:val="18"/>
                <w:lang w:val="en-US" w:eastAsia="zh-CN"/>
              </w:rPr>
              <w:t>信息技术服务费</w:t>
            </w:r>
            <w:r>
              <w:rPr>
                <w:rFonts w:hint="eastAsia" w:ascii="楷体" w:hAnsi="楷体" w:eastAsia="楷体" w:cs="宋体"/>
                <w:b w:val="0"/>
                <w:bCs w:val="0"/>
                <w:color w:val="auto"/>
                <w:spacing w:val="-2"/>
                <w:sz w:val="18"/>
                <w:szCs w:val="18"/>
              </w:rPr>
              <w:t>等费用后超过各份额业绩比较基准，产品管理人将按照超出部分的50%收取超额业绩报酬。</w:t>
            </w:r>
          </w:p>
          <w:p>
            <w:pPr>
              <w:keepNext w:val="0"/>
              <w:keepLines w:val="0"/>
              <w:pageBreakBefore w:val="0"/>
              <w:bidi w:val="0"/>
              <w:spacing w:line="0" w:lineRule="atLeast"/>
              <w:ind w:right="0"/>
              <w:rPr>
                <w:rFonts w:ascii="楷体" w:hAnsi="楷体" w:eastAsia="楷体"/>
                <w:color w:val="auto"/>
                <w:sz w:val="18"/>
                <w:szCs w:val="18"/>
              </w:rPr>
            </w:pPr>
            <w:r>
              <w:rPr>
                <w:rFonts w:hint="eastAsia" w:ascii="楷体" w:hAnsi="楷体" w:eastAsia="楷体" w:cs="宋体"/>
                <w:b w:val="0"/>
                <w:bCs w:val="0"/>
                <w:color w:val="auto"/>
                <w:spacing w:val="-2"/>
                <w:sz w:val="18"/>
                <w:szCs w:val="18"/>
              </w:rPr>
              <w:t>产品存续期内理财产品将每日暂估超额业绩报酬，仅用于理财产品会计核算，并将扣除“暂估超额业绩报酬”后的理财产品份额净值按照说明书约定向投资者进行披露。理财产品实际</w:t>
            </w:r>
            <w:r>
              <w:rPr>
                <w:rFonts w:hint="eastAsia" w:ascii="楷体" w:hAnsi="楷体" w:eastAsia="楷体" w:cs="宋体"/>
                <w:b w:val="0"/>
                <w:bCs w:val="0"/>
                <w:color w:val="auto"/>
                <w:spacing w:val="-2"/>
                <w:sz w:val="18"/>
                <w:szCs w:val="18"/>
                <w:lang w:val="en-US" w:eastAsia="zh-CN"/>
              </w:rPr>
              <w:t>收取</w:t>
            </w:r>
            <w:r>
              <w:rPr>
                <w:rFonts w:hint="eastAsia" w:ascii="楷体" w:hAnsi="楷体" w:eastAsia="楷体" w:cs="宋体"/>
                <w:b w:val="0"/>
                <w:bCs w:val="0"/>
                <w:color w:val="auto"/>
                <w:spacing w:val="-2"/>
                <w:sz w:val="18"/>
                <w:szCs w:val="18"/>
              </w:rPr>
              <w:t>的超额业绩报酬以到期日计提核算的数值为准。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tcBorders>
              <w:bottom w:val="single" w:color="auto" w:sz="4" w:space="0"/>
            </w:tcBorders>
            <w:noWrap w:val="0"/>
            <w:vAlign w:val="center"/>
          </w:tcPr>
          <w:p>
            <w:pPr>
              <w:pStyle w:val="37"/>
              <w:keepNext w:val="0"/>
              <w:keepLines w:val="0"/>
              <w:pageBreakBefore w:val="0"/>
              <w:widowControl w:val="0"/>
              <w:bidi w:val="0"/>
              <w:spacing w:before="0" w:line="0" w:lineRule="atLeast"/>
              <w:ind w:left="0"/>
              <w:jc w:val="both"/>
              <w:rPr>
                <w:rFonts w:hint="eastAsia" w:ascii="楷体" w:hAnsi="楷体" w:eastAsia="楷体" w:cs="宋体"/>
                <w:b/>
                <w:color w:val="auto"/>
                <w:spacing w:val="-2"/>
                <w:sz w:val="18"/>
                <w:szCs w:val="18"/>
                <w:highlight w:val="none"/>
              </w:rPr>
            </w:pPr>
            <w:r>
              <w:rPr>
                <w:rFonts w:hint="eastAsia" w:ascii="楷体" w:hAnsi="楷体" w:eastAsia="楷体" w:cs="宋体"/>
                <w:b/>
                <w:color w:val="auto"/>
                <w:spacing w:val="-2"/>
                <w:sz w:val="18"/>
                <w:szCs w:val="18"/>
                <w:lang w:val="en-US" w:eastAsia="zh-CN"/>
              </w:rPr>
              <w:t>收益分配</w:t>
            </w:r>
          </w:p>
        </w:tc>
        <w:tc>
          <w:tcPr>
            <w:tcW w:w="7937" w:type="dxa"/>
            <w:tcBorders>
              <w:bottom w:val="single" w:color="auto" w:sz="4" w:space="0"/>
            </w:tcBorders>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highlight w:val="none"/>
              </w:rPr>
            </w:pPr>
            <w:r>
              <w:rPr>
                <w:rFonts w:hint="eastAsia" w:ascii="楷体" w:hAnsi="楷体" w:eastAsia="楷体" w:cs="宋体"/>
                <w:spacing w:val="-2"/>
                <w:sz w:val="18"/>
                <w:szCs w:val="18"/>
                <w:highlight w:val="none"/>
              </w:rPr>
              <w:t>本产品无分红机制，投资运作情况体现为产品净值变化。产品投资运作到期，投资收益扣除相关费用后</w:t>
            </w:r>
            <w:r>
              <w:rPr>
                <w:rFonts w:hint="eastAsia" w:ascii="楷体" w:hAnsi="楷体" w:eastAsia="楷体" w:cs="宋体"/>
                <w:spacing w:val="-2"/>
                <w:sz w:val="18"/>
                <w:szCs w:val="18"/>
                <w:highlight w:val="none"/>
                <w:lang w:val="en-US" w:eastAsia="zh-CN"/>
              </w:rPr>
              <w:t>全部</w:t>
            </w:r>
            <w:r>
              <w:rPr>
                <w:rFonts w:hint="eastAsia" w:ascii="楷体" w:hAnsi="楷体" w:eastAsia="楷体" w:cs="宋体"/>
                <w:spacing w:val="-2"/>
                <w:sz w:val="18"/>
                <w:szCs w:val="18"/>
                <w:highlight w:val="none"/>
              </w:rPr>
              <w:t>分配给投资者。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0" w:hRule="atLeast"/>
          <w:jc w:val="center"/>
        </w:trPr>
        <w:tc>
          <w:tcPr>
            <w:tcW w:w="1701" w:type="dxa"/>
            <w:tcBorders>
              <w:bottom w:val="single" w:color="auto" w:sz="4" w:space="0"/>
            </w:tcBorders>
            <w:noWrap w:val="0"/>
            <w:vAlign w:val="center"/>
          </w:tcPr>
          <w:p>
            <w:pPr>
              <w:pStyle w:val="37"/>
              <w:keepNext w:val="0"/>
              <w:keepLines w:val="0"/>
              <w:pageBreakBefore w:val="0"/>
              <w:widowControl w:val="0"/>
              <w:bidi w:val="0"/>
              <w:spacing w:before="0" w:line="0" w:lineRule="atLeast"/>
              <w:ind w:left="0"/>
              <w:jc w:val="both"/>
              <w:rPr>
                <w:rFonts w:hint="default" w:ascii="楷体" w:hAnsi="楷体" w:eastAsia="楷体" w:cs="宋体"/>
                <w:b/>
                <w:color w:val="auto"/>
                <w:spacing w:val="-2"/>
                <w:sz w:val="18"/>
                <w:szCs w:val="18"/>
                <w:lang w:val="en-US"/>
              </w:rPr>
            </w:pPr>
            <w:r>
              <w:rPr>
                <w:rFonts w:hint="eastAsia" w:ascii="楷体" w:hAnsi="楷体" w:eastAsia="楷体" w:cs="宋体"/>
                <w:b/>
                <w:color w:val="auto"/>
                <w:spacing w:val="-2"/>
                <w:sz w:val="18"/>
                <w:szCs w:val="18"/>
                <w:lang w:val="en-US" w:eastAsia="zh-CN"/>
              </w:rPr>
              <w:t>税款</w:t>
            </w:r>
          </w:p>
        </w:tc>
        <w:tc>
          <w:tcPr>
            <w:tcW w:w="7937" w:type="dxa"/>
            <w:tcBorders>
              <w:bottom w:val="single" w:color="auto" w:sz="4" w:space="0"/>
            </w:tcBorders>
            <w:noWrap w:val="0"/>
            <w:vAlign w:val="center"/>
          </w:tcPr>
          <w:p>
            <w:pPr>
              <w:keepNext w:val="0"/>
              <w:keepLines w:val="0"/>
              <w:pageBreakBefore w:val="0"/>
              <w:widowControl w:val="0"/>
              <w:bidi w:val="0"/>
              <w:spacing w:line="0" w:lineRule="atLeast"/>
              <w:ind w:left="0" w:right="0"/>
              <w:rPr>
                <w:rFonts w:hint="eastAsia" w:ascii="楷体" w:hAnsi="楷体" w:eastAsia="楷体" w:cs="宋体"/>
                <w:color w:val="auto"/>
                <w:spacing w:val="-2"/>
                <w:sz w:val="18"/>
                <w:szCs w:val="18"/>
              </w:rPr>
            </w:pPr>
            <w:r>
              <w:rPr>
                <w:rFonts w:hint="eastAsia" w:ascii="楷体" w:hAnsi="楷体" w:eastAsia="楷体" w:cs="宋体"/>
                <w:color w:val="auto"/>
                <w:spacing w:val="-2"/>
                <w:sz w:val="18"/>
                <w:szCs w:val="18"/>
              </w:rPr>
              <w:t>根据中国增值税等税收相关法律法规、税收政策等要求，</w:t>
            </w:r>
            <w:r>
              <w:rPr>
                <w:rFonts w:hint="eastAsia" w:ascii="楷体" w:hAnsi="楷体" w:eastAsia="楷体" w:cs="宋体"/>
                <w:color w:val="auto"/>
                <w:spacing w:val="-2"/>
                <w:sz w:val="18"/>
                <w:szCs w:val="18"/>
                <w:shd w:val="clear" w:color="auto" w:fill="auto"/>
                <w:lang w:val="en-US" w:eastAsia="zh-CN"/>
              </w:rPr>
              <w:t>产品</w:t>
            </w:r>
            <w:r>
              <w:rPr>
                <w:rFonts w:hint="eastAsia" w:ascii="楷体" w:hAnsi="楷体" w:eastAsia="楷体" w:cs="宋体"/>
                <w:color w:val="auto"/>
                <w:spacing w:val="-2"/>
                <w:sz w:val="18"/>
                <w:szCs w:val="18"/>
              </w:rPr>
              <w:t>应缴纳的增值税及附加税费（包括但不限于城市维护建设税、教育费附加及地方教育附加等）</w:t>
            </w:r>
            <w:r>
              <w:rPr>
                <w:rFonts w:hint="eastAsia" w:ascii="楷体" w:hAnsi="楷体" w:eastAsia="楷体" w:cs="宋体"/>
                <w:color w:val="auto"/>
                <w:spacing w:val="-2"/>
                <w:sz w:val="18"/>
                <w:szCs w:val="18"/>
                <w:lang w:eastAsia="zh-CN"/>
              </w:rPr>
              <w:t>、</w:t>
            </w:r>
            <w:r>
              <w:rPr>
                <w:rFonts w:hint="eastAsia" w:ascii="楷体" w:hAnsi="楷体" w:eastAsia="楷体" w:cs="宋体"/>
                <w:color w:val="auto"/>
                <w:spacing w:val="-2"/>
                <w:sz w:val="18"/>
                <w:szCs w:val="18"/>
                <w:lang w:val="en-US" w:eastAsia="zh-CN"/>
              </w:rPr>
              <w:t>印花税等</w:t>
            </w:r>
            <w:r>
              <w:rPr>
                <w:rFonts w:hint="eastAsia" w:ascii="楷体" w:hAnsi="楷体" w:eastAsia="楷体" w:cs="宋体"/>
                <w:color w:val="auto"/>
                <w:spacing w:val="-2"/>
                <w:sz w:val="18"/>
                <w:szCs w:val="18"/>
              </w:rPr>
              <w:t>由管理人从理财产品财产中支付，由此可能会使理财产品净值或实际收益降低。</w:t>
            </w:r>
            <w:r>
              <w:rPr>
                <w:rFonts w:hint="eastAsia" w:ascii="楷体" w:hAnsi="楷体" w:eastAsia="楷体" w:cs="宋体"/>
                <w:b/>
                <w:bCs/>
                <w:color w:val="auto"/>
                <w:spacing w:val="-2"/>
                <w:sz w:val="18"/>
                <w:szCs w:val="18"/>
                <w:u w:val="single"/>
              </w:rPr>
              <w:t>投资者从理财产品取得的收益应缴纳的税款，由投资者自行申报及缴纳。</w:t>
            </w:r>
          </w:p>
        </w:tc>
      </w:tr>
    </w:tbl>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二、</w:t>
      </w:r>
      <w:r>
        <w:rPr>
          <w:rFonts w:hint="eastAsia" w:ascii="楷体" w:hAnsi="楷体" w:eastAsia="楷体"/>
          <w:b/>
          <w:color w:val="auto"/>
          <w:sz w:val="21"/>
          <w:szCs w:val="21"/>
        </w:rPr>
        <w:t>产品管理人</w:t>
      </w:r>
    </w:p>
    <w:p>
      <w:pPr>
        <w:numPr>
          <w:ilvl w:val="0"/>
          <w:numId w:val="0"/>
        </w:numPr>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b w:val="0"/>
          <w:bCs w:val="0"/>
          <w:color w:val="auto"/>
          <w:sz w:val="21"/>
          <w:szCs w:val="21"/>
          <w:highlight w:val="none"/>
          <w:u w:val="none"/>
        </w:rPr>
        <w:t>（以下简称“苏银理财”）</w:t>
      </w:r>
      <w:r>
        <w:rPr>
          <w:rFonts w:hint="eastAsia" w:ascii="楷体" w:hAnsi="楷体" w:eastAsia="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olor w:val="auto"/>
          <w:sz w:val="21"/>
          <w:szCs w:val="21"/>
          <w:highlight w:val="none"/>
          <w:lang w:val="en-US" w:eastAsia="zh-CN"/>
        </w:rPr>
        <w:t>监管机构</w:t>
      </w:r>
      <w:r>
        <w:rPr>
          <w:rFonts w:hint="eastAsia" w:ascii="楷体" w:hAnsi="楷体" w:eastAsia="楷体"/>
          <w:color w:val="auto"/>
          <w:sz w:val="21"/>
          <w:szCs w:val="21"/>
          <w:highlight w:val="none"/>
        </w:rPr>
        <w:t>批准的其他业务等。</w:t>
      </w:r>
    </w:p>
    <w:p>
      <w:pPr>
        <w:numPr>
          <w:ilvl w:val="0"/>
          <w:numId w:val="0"/>
        </w:numPr>
        <w:ind w:left="0" w:firstLine="420"/>
        <w:rPr>
          <w:rFonts w:hint="eastAsia" w:ascii="楷体" w:hAnsi="楷体" w:eastAsia="楷体" w:cs="Times New Roman"/>
          <w:color w:val="auto"/>
          <w:sz w:val="21"/>
          <w:szCs w:val="21"/>
          <w:highlight w:val="none"/>
        </w:rPr>
      </w:pPr>
      <w:r>
        <w:rPr>
          <w:rFonts w:hint="eastAsia" w:ascii="楷体" w:hAnsi="楷体" w:eastAsia="楷体"/>
          <w:color w:val="auto"/>
          <w:sz w:val="21"/>
          <w:szCs w:val="21"/>
          <w:highlight w:val="none"/>
        </w:rPr>
        <w:t>投资者在此授权并同意苏银理财享有以下权利：</w:t>
      </w:r>
      <w:r>
        <w:rPr>
          <w:rFonts w:hint="eastAsia" w:ascii="楷体" w:hAnsi="楷体" w:eastAsia="楷体" w:cs="Times New Roman"/>
          <w:color w:val="auto"/>
          <w:sz w:val="21"/>
          <w:szCs w:val="21"/>
          <w:highlight w:val="none"/>
        </w:rPr>
        <w:t>按照本理财产品合同的约定，管理、运用和处分理财计划资金</w:t>
      </w:r>
      <w:r>
        <w:rPr>
          <w:rFonts w:hint="eastAsia" w:ascii="楷体" w:hAnsi="楷体" w:eastAsia="楷体" w:cs="Times New Roman"/>
          <w:color w:val="auto"/>
          <w:sz w:val="21"/>
          <w:szCs w:val="21"/>
          <w:highlight w:val="none"/>
          <w:lang w:val="en-US" w:eastAsia="zh-CN"/>
        </w:rPr>
        <w:t>；</w:t>
      </w:r>
      <w:r>
        <w:rPr>
          <w:rFonts w:hint="eastAsia" w:ascii="楷体" w:hAnsi="楷体" w:eastAsia="楷体" w:cs="Times New Roman"/>
          <w:color w:val="auto"/>
          <w:sz w:val="21"/>
          <w:szCs w:val="21"/>
          <w:highlight w:val="none"/>
        </w:rPr>
        <w:t>按照本理财产品合同的约定，及时、足额获得投资管理费</w:t>
      </w:r>
      <w:r>
        <w:rPr>
          <w:rFonts w:hint="eastAsia" w:ascii="楷体" w:hAnsi="楷体" w:eastAsia="楷体" w:cs="Times New Roman"/>
          <w:color w:val="auto"/>
          <w:sz w:val="21"/>
          <w:szCs w:val="21"/>
          <w:highlight w:val="none"/>
          <w:lang w:val="en-US" w:eastAsia="zh-CN"/>
        </w:rPr>
        <w:t>；</w:t>
      </w:r>
      <w:r>
        <w:rPr>
          <w:rFonts w:hint="eastAsia" w:ascii="楷体" w:hAnsi="楷体" w:eastAsia="楷体" w:cs="Times New Roman"/>
          <w:color w:val="auto"/>
          <w:sz w:val="21"/>
          <w:szCs w:val="21"/>
          <w:highlight w:val="none"/>
        </w:rPr>
        <w:t>管理人有权依照法律规定和监管机构的要求将投资者的信息向有权部门或相关机构披露</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以理财产品投资管理人的名义，依照法律法规相关规定以及代表理财产品份额持有人的利益行使代为追索的权利（包括但不限于提起诉讼/仲裁、申请保全/执行的权利）或者实施其他法律行为</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法律法规、监管政策和本理财计划文件约定的其他权利。</w:t>
      </w:r>
    </w:p>
    <w:p>
      <w:pPr>
        <w:numPr>
          <w:ilvl w:val="0"/>
          <w:numId w:val="0"/>
        </w:numPr>
        <w:tabs>
          <w:tab w:val="left" w:pos="1134"/>
        </w:tabs>
        <w:ind w:left="420"/>
        <w:outlineLvl w:val="0"/>
        <w:rPr>
          <w:rFonts w:hint="eastAsia" w:ascii="楷体" w:hAnsi="楷体" w:eastAsia="楷体" w:cs="Times New Roman"/>
          <w:b/>
          <w:color w:val="auto"/>
          <w:sz w:val="21"/>
          <w:szCs w:val="21"/>
          <w:highlight w:val="none"/>
          <w:lang w:val="en-US" w:eastAsia="zh-CN"/>
        </w:rPr>
      </w:pPr>
      <w:r>
        <w:rPr>
          <w:rFonts w:hint="eastAsia" w:ascii="楷体" w:hAnsi="楷体" w:eastAsia="楷体" w:cs="Times New Roman"/>
          <w:b/>
          <w:color w:val="auto"/>
          <w:sz w:val="21"/>
          <w:szCs w:val="21"/>
          <w:highlight w:val="none"/>
          <w:lang w:val="en-US" w:eastAsia="zh-CN"/>
        </w:rPr>
        <w:t>三、产品托管人</w:t>
      </w:r>
    </w:p>
    <w:p>
      <w:pPr>
        <w:numPr>
          <w:ilvl w:val="0"/>
          <w:numId w:val="0"/>
        </w:numPr>
        <w:ind w:firstLine="420"/>
        <w:rPr>
          <w:rFonts w:hint="default" w:ascii="楷体" w:hAnsi="楷体" w:eastAsia="楷体"/>
          <w:color w:val="auto"/>
          <w:sz w:val="21"/>
          <w:szCs w:val="21"/>
          <w:lang w:val="en-US" w:eastAsia="zh-CN"/>
        </w:rPr>
      </w:pPr>
      <w:r>
        <w:rPr>
          <w:rFonts w:hint="eastAsia" w:ascii="楷体" w:hAnsi="楷体" w:eastAsia="楷体"/>
          <w:color w:val="auto"/>
          <w:sz w:val="21"/>
          <w:szCs w:val="21"/>
          <w:highlight w:val="none"/>
        </w:rPr>
        <w:t>本产品托管人为</w:t>
      </w:r>
      <w:r>
        <w:rPr>
          <w:rFonts w:hint="eastAsia" w:ascii="楷体" w:hAnsi="楷体" w:eastAsia="楷体"/>
          <w:b/>
          <w:bCs/>
          <w:color w:val="auto"/>
          <w:sz w:val="21"/>
          <w:szCs w:val="21"/>
          <w:highlight w:val="none"/>
          <w:u w:val="single"/>
        </w:rPr>
        <w:t>中国工商银行股份有限公司</w:t>
      </w:r>
      <w:r>
        <w:rPr>
          <w:rFonts w:hint="eastAsia" w:ascii="楷体" w:hAnsi="楷体" w:eastAsia="楷体"/>
          <w:color w:val="auto"/>
          <w:sz w:val="21"/>
          <w:szCs w:val="21"/>
          <w:highlight w:val="none"/>
        </w:rPr>
        <w:t>。</w:t>
      </w:r>
      <w:r>
        <w:rPr>
          <w:rFonts w:hint="eastAsia" w:ascii="楷体" w:hAnsi="楷体" w:eastAsia="楷体" w:cs="Times New Roman"/>
          <w:color w:val="auto"/>
          <w:sz w:val="21"/>
          <w:szCs w:val="21"/>
          <w:highlight w:val="none"/>
        </w:rPr>
        <w:t>托管人职责</w:t>
      </w:r>
      <w:r>
        <w:rPr>
          <w:rFonts w:hint="eastAsia" w:ascii="楷体" w:hAnsi="楷体" w:eastAsia="楷体" w:cs="Times New Roman"/>
          <w:color w:val="auto"/>
          <w:sz w:val="21"/>
          <w:szCs w:val="21"/>
          <w:highlight w:val="none"/>
          <w:lang w:eastAsia="zh-CN"/>
        </w:rPr>
        <w:t>：</w:t>
      </w:r>
      <w:r>
        <w:rPr>
          <w:rFonts w:hint="eastAsia" w:ascii="楷体" w:hAnsi="楷体" w:eastAsia="楷体" w:cs="Times New Roman"/>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numPr>
          <w:ilvl w:val="0"/>
          <w:numId w:val="0"/>
        </w:numPr>
        <w:tabs>
          <w:tab w:val="left" w:pos="1134"/>
        </w:tabs>
        <w:ind w:left="420"/>
        <w:outlineLvl w:val="0"/>
        <w:rPr>
          <w:rFonts w:hint="eastAsia" w:ascii="楷体" w:hAnsi="楷体" w:eastAsia="楷体" w:cs="Times New Roman"/>
          <w:b/>
          <w:color w:val="auto"/>
          <w:sz w:val="21"/>
          <w:szCs w:val="21"/>
          <w:highlight w:val="none"/>
        </w:rPr>
      </w:pPr>
      <w:r>
        <w:rPr>
          <w:rFonts w:hint="eastAsia" w:ascii="楷体" w:hAnsi="楷体" w:eastAsia="楷体" w:cs="Times New Roman"/>
          <w:b/>
          <w:color w:val="auto"/>
          <w:sz w:val="21"/>
          <w:szCs w:val="21"/>
          <w:highlight w:val="none"/>
          <w:lang w:val="en-US" w:eastAsia="zh-CN"/>
        </w:rPr>
        <w:t>四、</w:t>
      </w:r>
      <w:r>
        <w:rPr>
          <w:rFonts w:hint="eastAsia" w:ascii="楷体" w:hAnsi="楷体" w:eastAsia="楷体" w:cs="Times New Roman"/>
          <w:b/>
          <w:color w:val="auto"/>
          <w:sz w:val="21"/>
          <w:szCs w:val="21"/>
          <w:highlight w:val="none"/>
        </w:rPr>
        <w:t>销售机构</w:t>
      </w:r>
    </w:p>
    <w:p>
      <w:pPr>
        <w:numPr>
          <w:ilvl w:val="0"/>
          <w:numId w:val="0"/>
        </w:numPr>
        <w:tabs>
          <w:tab w:val="left" w:pos="1134"/>
        </w:tabs>
        <w:ind w:left="0" w:firstLine="420"/>
        <w:rPr>
          <w:rFonts w:hint="eastAsia" w:ascii="楷体" w:hAnsi="楷体" w:eastAsia="楷体"/>
          <w:sz w:val="21"/>
          <w:szCs w:val="21"/>
          <w:highlight w:val="none"/>
        </w:rPr>
      </w:pPr>
      <w:r>
        <w:rPr>
          <w:rFonts w:hint="eastAsia" w:ascii="楷体" w:hAnsi="楷体" w:eastAsia="楷体"/>
          <w:sz w:val="21"/>
          <w:szCs w:val="21"/>
          <w:highlight w:val="none"/>
        </w:rPr>
        <w:t>本产品可以通过商业银行、农村合作银行、村镇银行、农村信用合作社等吸收公众存款的银行业金融机构，或者国务院银行业监督管理机构认可的其他机构进行销售。</w:t>
      </w:r>
      <w:r>
        <w:rPr>
          <w:rFonts w:hint="eastAsia" w:ascii="楷体" w:hAnsi="楷体" w:eastAsia="楷体"/>
          <w:b w:val="0"/>
          <w:bCs w:val="0"/>
          <w:sz w:val="21"/>
          <w:szCs w:val="21"/>
          <w:highlight w:val="none"/>
          <w:u w:val="none"/>
        </w:rPr>
        <w:t>销售机构负责理财产品宣传推广、投资者风险承受能力评估和投资者适当性管理、理财产品</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身份识别及反洗钱、反恐怖融资及非居民金融账户涉税信息调查、理财产品份额认购/申购/赎回、协助管理人与投资者订立理财产品</w:t>
      </w:r>
      <w:r>
        <w:rPr>
          <w:rFonts w:hint="eastAsia" w:ascii="楷体" w:hAnsi="楷体" w:eastAsia="楷体"/>
          <w:color w:val="auto"/>
          <w:sz w:val="21"/>
          <w:szCs w:val="21"/>
          <w:lang w:val="en-US" w:eastAsia="zh-CN"/>
        </w:rPr>
        <w:t>销售文件</w:t>
      </w:r>
      <w:r>
        <w:rPr>
          <w:rFonts w:hint="eastAsia" w:ascii="楷体" w:hAnsi="楷体" w:eastAsia="楷体"/>
          <w:b w:val="0"/>
          <w:bCs w:val="0"/>
          <w:sz w:val="21"/>
          <w:szCs w:val="21"/>
          <w:highlight w:val="none"/>
          <w:u w:val="none"/>
        </w:rPr>
        <w:t>、协助投资者与管理人沟通、接受投资者咨询和</w:t>
      </w:r>
      <w:r>
        <w:rPr>
          <w:rFonts w:hint="eastAsia" w:ascii="楷体" w:hAnsi="楷体" w:eastAsia="楷体"/>
          <w:b w:val="0"/>
          <w:bCs w:val="0"/>
          <w:sz w:val="21"/>
          <w:szCs w:val="21"/>
          <w:highlight w:val="none"/>
          <w:u w:val="none"/>
          <w:lang w:val="en-US" w:eastAsia="zh-CN"/>
        </w:rPr>
        <w:t>投资者</w:t>
      </w:r>
      <w:r>
        <w:rPr>
          <w:rFonts w:hint="eastAsia" w:ascii="楷体" w:hAnsi="楷体" w:eastAsia="楷体"/>
          <w:b w:val="0"/>
          <w:bCs w:val="0"/>
          <w:sz w:val="21"/>
          <w:szCs w:val="21"/>
          <w:highlight w:val="none"/>
          <w:u w:val="none"/>
        </w:rPr>
        <w:t>维护等销售服务工作。销售机构不承担产品投资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兑付责任，产品的投资</w:t>
      </w:r>
      <w:r>
        <w:rPr>
          <w:rFonts w:hint="eastAsia" w:ascii="楷体" w:hAnsi="楷体" w:eastAsia="楷体"/>
          <w:b w:val="0"/>
          <w:bCs w:val="0"/>
          <w:sz w:val="21"/>
          <w:szCs w:val="21"/>
          <w:highlight w:val="none"/>
          <w:u w:val="none"/>
          <w:lang w:val="en-US" w:eastAsia="zh-CN"/>
        </w:rPr>
        <w:t>和</w:t>
      </w:r>
      <w:r>
        <w:rPr>
          <w:rFonts w:hint="eastAsia" w:ascii="楷体" w:hAnsi="楷体" w:eastAsia="楷体"/>
          <w:b w:val="0"/>
          <w:bCs w:val="0"/>
          <w:sz w:val="21"/>
          <w:szCs w:val="21"/>
          <w:highlight w:val="none"/>
          <w:u w:val="none"/>
        </w:rPr>
        <w:t>兑付责任由管理人承担。</w:t>
      </w:r>
    </w:p>
    <w:p>
      <w:pPr>
        <w:numPr>
          <w:ilvl w:val="0"/>
          <w:numId w:val="0"/>
        </w:numPr>
        <w:tabs>
          <w:tab w:val="left" w:pos="993"/>
        </w:tabs>
        <w:ind w:left="0" w:firstLine="42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本产品各类份额销售机构如下：</w:t>
      </w:r>
    </w:p>
    <w:p>
      <w:pPr>
        <w:numPr>
          <w:ilvl w:val="0"/>
          <w:numId w:val="0"/>
        </w:num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A份额：江苏常熟农村商业银行股份有限公司/江苏高淳农村商业银行股份有限公司/江苏姜堰农村商业银行股份有限公司/江苏银行股份有限公司/徽商银行股份有限公司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B份额：东莞农村商业银行股份有限公司/晋商银行股份有限公司/齐鲁银行股份有限公司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C份额：江苏银行股份有限公司/宁夏银行股份有限公司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D份额：宁波东海银行股份有限公司/齐鲁银行股份有限公司/武汉农村商业银行股份有限公司/浙江安吉农村商业银行股份有限公司/浙江德清农村商业银行股份有限公司/浙江禾城农村商业银行股份有限公司/浙江嘉善农村商业银行股份有限公司/浙江江山农村商业银行股份有限公司/浙江南浔农村商业银行股份有限公司/浙江平湖农村商业银行股份有限公司/浙江绍兴恒信农村商业银行股份有限公司/浙江绍兴瑞丰农村商业银行股份有限公司/浙江松阳农村商业银行股份有限公司/浙江桐乡农村商业银行股份有限公司/浙江温州瓯海农村商业银行股份有限公司/浙江义乌农村商业银行股份有限公司/浙江舟山定海海洋农村商业银行股份有限公司/浙江诸暨农村商业银行股份有限公司/浙江岱山农村商业银行股份有限公司/重庆农村商业银行股份有限公司/浙江青田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E份额：江苏常熟农村商业银行股份有限公司/江苏宜兴农村商业银行股份有限公司/江苏银行股份有限公司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F份额：东营银行股份有限公司/广东华润银行股份有限公司/广州银行股份有限公司/江苏苏州农村商业银行股份有限公司/莱商银行股份有限公司/齐鲁银行股份有限公司/秦皇岛银行股份有限公司/青岛银行股份有限公司/上海银行股份有限公司/威海银行股份有限公司/郑州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G份额：北京农村商业银行股份有限公司/江苏常熟农村商业银行股份有限公司/江苏苏州农村商业银行股份有限公司/山西银行股份有限公司/上海农村商业银行股份有限公司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I份额：杭州联合农村商业银行股份有限公司/宁波慈溪农村商业银行股份有限公司/宁波宁海农村商业银行股份有限公司/宁波余姚农村商业银行股份有限公司/宁波镇海农村商业银行股份有限公司/宁波鄞州农村商业银行股份有限公司/宁波甬城农村商业银行股份有限公司/浙江富阳农村商业银行股份有限公司/浙江杭州余杭农村商业银行股份有限公司/浙江建德农村商业银行股份有限公司/浙江临安农村商业银行股份有限公司/浙江桐庐农村商业银行股份有限公司/浙江萧山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J份额：杭州联合农村商业银行股份有限公司/宁波慈溪农村商业银行股份有限公司/宁波宁海农村商业银行股份有限公司/宁波余姚农村商业银行股份有限公司/宁波镇海农村商业银行股份有限公司/宁波鄞州农村商业银行股份有限公司/宁波甬城农村商业银行股份有限公司/苏银理财有限责任公司/浙江富阳农村商业银行股份有限公司/浙江杭州余杭农村商业银行股份有限公司/浙江建德农村商业银行股份有限公司/浙江临安农村商业银行股份有限公司/浙江绍兴恒信农村商业银行股份有限公司/浙江绍兴瑞丰农村商业银行股份有限公司/浙江桐庐农村商业银行股份有限公司/浙江萧山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K份额：武汉农村商业银行股份有限公司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M份额：重庆农村商业银行股份有限公司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N份额：青岛银行股份有限公司/兴业银行股份有限公司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O份额：东莞农村商业银行股份有限公司/湖北银行股份有限公司/九江银行股份有限公司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P份额：东营银行股份有限公司/上海银行股份有限公司/浙江杭州余杭农村商业银行股份有限公司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Q份额：广西北部湾银行股份有限公司/湖州吴兴农村商业银行股份有限公司/齐鲁银行股份有限公司/青岛银行股份有限公司/日照银行股份有限公司/苏银理财有限责任公司/泰安银行股份有限公司/浙江安吉农村商业银行股份有限公司/浙江苍南农村商业银行股份有限公司/浙江长兴农村商业银行股份有限公司/浙江淳安农村商业银行股份有限公司/浙江德清农村商业银行股份有限公司/浙江东阳农村商业银行股份有限公司/浙江海宁农村商业银行股份有限公司/浙江海盐农村商业银行股份有限公司/浙江禾城农村商业银行股份有限公司/浙江嘉善农村商业银行股份有限公司/浙江建德农村商业银行股份有限公司/浙江江山农村商业银行股份有限公司/浙江金华成泰农村商业银行股份有限公司/浙江开化农村商业银行股份有限公司/浙江兰溪农村商业银行股份有限公司/浙江乐清农村商业银行股份有限公司/浙江临海农村商业银行股份有限公司/浙江龙泉农村商业银行股份有限公司/浙江龙游农村商业银行股份有限公司/浙江南浔农村商业银行股份有限公司/浙江平湖农村商业银行股份有限公司/浙江浦江农村商业银行股份有限公司/浙江青田农村商业银行股份有限公司/浙江瑞安农村商业银行股份有限公司/浙江上虞农村商业银行股份有限公司/浙江绍兴恒信农村商业银行股份有限公司/浙江绍兴瑞丰农村商业银行股份有限公司/浙江遂昌农村商业银行股份有限公司/浙江台州黄岩农村商业银行股份有限公司/浙江台州路桥农村商业银行股份有限公司/浙江泰顺农村商业银行股份有限公司/浙江天台农村商业银行股份有限公司/浙江桐乡农村商业银行股份有限公司/浙江温岭农村商业银行股份有限公司/浙江温州龙湾农村商业银行股份有限公司/浙江温州鹿城农村商业银行股份有限公司/浙江温州瓯海农村商业银行股份有限公司/浙江文成农村商业银行股份有限公司/浙江武义农村商业银行股份有限公司/浙江仙居农村商业银行股份有限公司/浙江新昌农村商业银行股份有限公司/浙江义乌农村商业银行股份有限公司/浙江永嘉农村商业银行股份有限公司/浙江永康农村商业银行股份有限公司/浙江舟山定海海洋农村商业银行股份有限公司/浙江舟山普陀农村商业银行股份有限公司/浙江诸暨农村商业银行股份有限公司/浙江岱山农村商业银行股份有限公司/浙江嵊州农村商业银行股份有限公司/浙江衢州柯城农村商业银行股份有限公司/浙江缙云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R份额：浙江淳安农村商业银行股份有限公司/浙江海宁农村商业银行股份有限公司/浙江海盐农村商业银行股份有限公司/浙江嘉善农村商业银行股份有限公司/浙江青田农村商业银行股份有限公司/浙江绍兴瑞丰农村商业银行股份有限公司/浙江永康农村商业银行股份有限公司/浙江岱山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S份额：湖州吴兴农村商业银行股份有限公司/浙江安吉农村商业银行股份有限公司/浙江苍南农村商业银行股份有限公司/浙江长兴农村商业银行股份有限公司/浙江德清农村商业银行股份有限公司/浙江东阳农村商业银行股份有限公司/浙江海宁农村商业银行股份有限公司/浙江海盐农村商业银行股份有限公司/浙江禾城农村商业银行股份有限公司/浙江嘉善农村商业银行股份有限公司/浙江建德农村商业银行股份有限公司/浙江江山农村商业银行股份有限公司/浙江金华成泰农村商业银行股份有限公司/浙江开化农村商业银行股份有限公司/浙江兰溪农村商业银行股份有限公司/浙江乐清农村商业银行股份有限公司/浙江临海农村商业银行股份有限公司/浙江龙泉农村商业银行股份有限公司/浙江龙游农村商业银行股份有限公司/浙江南浔农村商业银行股份有限公司/浙江平湖农村商业银行股份有限公司/浙江浦江农村商业银行股份有限公司/浙江青田农村商业银行股份有限公司/浙江瑞安农村商业银行股份有限公司/浙江上虞农村商业银行股份有限公司/浙江绍兴恒信农村商业银行股份有限公司/浙江遂昌农村商业银行股份有限公司/浙江台州黄岩农村商业银行股份有限公司/浙江台州路桥农村商业银行股份有限公司/浙江泰顺农村商业银行股份有限公司/浙江天台农村商业银行股份有限公司/浙江桐乡农村商业银行股份有限公司/浙江温岭农村商业银行股份有限公司/浙江温州龙湾农村商业银行股份有限公司/浙江温州鹿城农村商业银行股份有限公司/浙江温州瓯海农村商业银行股份有限公司/浙江文成农村商业银行股份有限公司/浙江武义农村商业银行股份有限公司/浙江仙居农村商业银行股份有限公司/浙江新昌农村商业银行股份有限公司/浙江义乌农村商业银行股份有限公司/浙江永嘉农村商业银行股份有限公司/浙江永康农村商业银行股份有限公司/浙江舟山定海海洋农村商业银行股份有限公司/浙江舟山普陀农村商业银行股份有限公司/浙江诸暨农村商业银行股份有限公司/浙江岱山农村商业银行股份有限公司/浙江嵊州农村商业银行股份有限公司/浙江衢州柯城农村商业银行股份有限公司/浙江缙云农村商业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U份额：嘉兴银行股份有限公司</w:t>
      </w:r>
    </w:p>
    <w:p>
      <w:pPr>
        <w:tabs>
          <w:tab w:val="left" w:pos="993"/>
        </w:tabs>
        <w:ind w:left="0" w:firstLine="420"/>
        <w:rPr>
          <w:rFonts w:hint="default"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W份额：苏银理财有限责任公司/浙江绍兴瑞丰农村商业银行股份有限公司</w:t>
      </w:r>
    </w:p>
    <w:p>
      <w:pPr>
        <w:tabs>
          <w:tab w:val="left" w:pos="993"/>
        </w:tabs>
        <w:ind w:left="0" w:firstLine="420"/>
        <w:rPr>
          <w:rFonts w:hint="eastAsia" w:ascii="楷体" w:hAnsi="楷体" w:eastAsia="楷体"/>
          <w:b w:val="0"/>
          <w:bCs w:val="0"/>
          <w:sz w:val="21"/>
          <w:szCs w:val="21"/>
          <w:highlight w:val="none"/>
          <w:u w:val="none"/>
          <w:lang w:val="en-US" w:eastAsia="zh-CN"/>
        </w:rPr>
      </w:pPr>
      <w:r>
        <w:rPr>
          <w:rFonts w:hint="eastAsia" w:ascii="楷体" w:hAnsi="楷体" w:eastAsia="楷体"/>
          <w:b w:val="0"/>
          <w:bCs w:val="0"/>
          <w:sz w:val="21"/>
          <w:szCs w:val="21"/>
          <w:highlight w:val="none"/>
          <w:u w:val="none"/>
          <w:lang w:val="en-US" w:eastAsia="zh-CN"/>
        </w:rPr>
        <w:t>JS份额：江苏常熟农村商业银行股份有限公司/江苏大丰农村商业银行股份有限公司/江苏东海农村商业银行股份有限公司/江苏东台农村商业银行股份有限公司/江苏丰县农村商业银行股份有限公司/江苏阜宁农村商业银行股份有限公司/江苏赣榆农村商业银行股份有限公司/江苏高淳农村商业银行股份有限公司/江苏高邮农村商业银行股份有限公司/江苏灌南农村商业银行股份有限公司/江苏灌云农村商业银行股份有限公司/江苏海安农村商业银行股份有限公司/江苏海门农村商业银行股份有限公司/江苏淮安农村商业银行股份有限公司/江苏建湖农村商业银行股份有限公司/江苏姜堰农村商业银行股份有限公司/江苏江都农村商业银行股份有限公司/江苏金湖农村商业银行股份有限公司/江苏靖江农村商业银行股份有限公司/江苏句容农村商业银行股份有限公司/江苏民丰农村商业银行股份有限公司/江苏沛县农村商业银行股份有限公司/江苏启东农村商业银行股份有限公司/江苏如东农村商业银行股份有限公司/江苏如皋农村商业银行股份有限公司/江苏射阳农村商业银行股份有限公司/江苏泰兴农村商业银行股份有限公司/江苏响水农村商业银行股份有限公司/江苏新沂农村商业银行股份有限公司/江苏盐城农村商业银行股份有限公司/江苏扬中农村商业银行股份有限公司/江苏扬州农村商业银行股份有限公司/江苏仪征农村商业银行股份有限公司/江苏宜兴农村商业银行股份有限公司/江苏张家港农村商业银行股份有限公司/江苏镇江农村商业银行股份有限公司/江苏紫金农村商业银行股份有限公司/江苏邳州农村商业银行股份有限公司/江苏沭阳农村商业银行股份有限公司/江苏泗洪农村商业银行股份有限公司/江苏泗阳农村商业银行股份有限公司/江苏溧水农村商业银行股份有限公司/江苏睢宁农村商业银行股份有限公司/连云港东方农村商业银行股份有限公司/徐州农村商业银行股份有限公司/江苏太仓农村商业银行股份有限公司</w:t>
      </w:r>
    </w:p>
    <w:p>
      <w:pPr>
        <w:ind w:firstLine="420" w:firstLineChars="0"/>
        <w:rPr>
          <w:rFonts w:hint="eastAsia" w:ascii="楷体" w:hAnsi="楷体" w:eastAsia="楷体" w:cs="宋体"/>
          <w:b w:val="0"/>
          <w:bCs w:val="0"/>
          <w:sz w:val="21"/>
          <w:szCs w:val="21"/>
          <w:highlight w:val="none"/>
          <w:u w:val="none"/>
          <w:lang w:val="en-US" w:eastAsia="zh-CN" w:bidi="ar-SA"/>
        </w:rPr>
      </w:pPr>
      <w:r>
        <w:rPr>
          <w:rFonts w:hint="eastAsia" w:ascii="楷体" w:hAnsi="楷体" w:eastAsia="楷体" w:cs="宋体"/>
          <w:b w:val="0"/>
          <w:bCs w:val="0"/>
          <w:sz w:val="21"/>
          <w:szCs w:val="21"/>
          <w:highlight w:val="none"/>
          <w:u w:val="none"/>
          <w:lang w:val="en-US" w:eastAsia="zh-CN" w:bidi="ar-SA"/>
        </w:rPr>
        <w:t>Z份额：郑州银行股份有限公司/齐鲁银行股份有限公司</w:t>
      </w:r>
    </w:p>
    <w:p>
      <w:pPr>
        <w:ind w:firstLine="420" w:firstLineChars="0"/>
        <w:rPr>
          <w:rFonts w:hint="eastAsia" w:ascii="楷体" w:hAnsi="楷体" w:eastAsia="楷体" w:cs="宋体"/>
          <w:b w:val="0"/>
          <w:bCs w:val="0"/>
          <w:sz w:val="21"/>
          <w:szCs w:val="21"/>
          <w:highlight w:val="none"/>
          <w:u w:val="none"/>
          <w:lang w:val="en-US" w:eastAsia="zh-CN" w:bidi="ar-SA"/>
        </w:rPr>
      </w:pPr>
      <w:r>
        <w:rPr>
          <w:rFonts w:hint="eastAsia" w:ascii="楷体" w:hAnsi="楷体" w:eastAsia="楷体" w:cs="宋体"/>
          <w:b w:val="0"/>
          <w:bCs w:val="0"/>
          <w:sz w:val="21"/>
          <w:szCs w:val="21"/>
          <w:highlight w:val="none"/>
          <w:u w:val="none"/>
          <w:lang w:val="en-US" w:eastAsia="zh-CN" w:bidi="ar-SA"/>
        </w:rPr>
        <w:t>LS份额：莱商银行股份有限公司</w:t>
      </w:r>
    </w:p>
    <w:p>
      <w:pPr>
        <w:ind w:firstLine="420" w:firstLineChars="0"/>
        <w:rPr>
          <w:rFonts w:hint="eastAsia" w:ascii="楷体" w:hAnsi="楷体" w:eastAsia="楷体" w:cs="宋体"/>
          <w:b w:val="0"/>
          <w:bCs w:val="0"/>
          <w:sz w:val="21"/>
          <w:szCs w:val="21"/>
          <w:highlight w:val="none"/>
          <w:u w:val="none"/>
          <w:lang w:val="en-US" w:eastAsia="zh-CN" w:bidi="ar-SA"/>
        </w:rPr>
      </w:pPr>
      <w:r>
        <w:rPr>
          <w:rFonts w:hint="eastAsia" w:ascii="楷体" w:hAnsi="楷体" w:eastAsia="楷体" w:cs="宋体"/>
          <w:b w:val="0"/>
          <w:bCs w:val="0"/>
          <w:sz w:val="21"/>
          <w:szCs w:val="21"/>
          <w:highlight w:val="none"/>
          <w:u w:val="none"/>
          <w:lang w:val="en-US" w:eastAsia="zh-CN" w:bidi="ar-SA"/>
        </w:rPr>
        <w:t>X份额：浙江绍兴恒信农村商业银行股份有限公司</w:t>
      </w:r>
    </w:p>
    <w:p>
      <w:pPr>
        <w:ind w:firstLine="420" w:firstLineChars="0"/>
        <w:rPr>
          <w:rFonts w:hint="eastAsia" w:ascii="楷体" w:hAnsi="楷体" w:eastAsia="楷体" w:cs="宋体"/>
          <w:b w:val="0"/>
          <w:bCs w:val="0"/>
          <w:sz w:val="21"/>
          <w:szCs w:val="21"/>
          <w:highlight w:val="none"/>
          <w:u w:val="none"/>
          <w:lang w:val="en-US" w:eastAsia="zh-CN" w:bidi="ar-SA"/>
        </w:rPr>
      </w:pPr>
      <w:r>
        <w:rPr>
          <w:rFonts w:hint="eastAsia" w:ascii="楷体" w:hAnsi="楷体" w:eastAsia="楷体" w:cs="宋体"/>
          <w:b w:val="0"/>
          <w:bCs w:val="0"/>
          <w:sz w:val="21"/>
          <w:szCs w:val="21"/>
          <w:highlight w:val="none"/>
          <w:u w:val="none"/>
          <w:lang w:val="en-US" w:eastAsia="zh-CN" w:bidi="ar-SA"/>
        </w:rPr>
        <w:t>WF份额：潍坊银行股份有限公司</w:t>
      </w:r>
    </w:p>
    <w:p>
      <w:pPr>
        <w:ind w:firstLine="420" w:firstLineChars="0"/>
        <w:rPr>
          <w:rFonts w:hint="default" w:ascii="楷体" w:hAnsi="楷体" w:eastAsia="楷体" w:cs="宋体"/>
          <w:b w:val="0"/>
          <w:bCs w:val="0"/>
          <w:sz w:val="21"/>
          <w:szCs w:val="21"/>
          <w:highlight w:val="none"/>
          <w:u w:val="none"/>
          <w:lang w:val="en-US" w:eastAsia="zh-CN" w:bidi="ar-SA"/>
        </w:rPr>
      </w:pPr>
      <w:r>
        <w:rPr>
          <w:rFonts w:hint="eastAsia" w:ascii="楷体" w:hAnsi="楷体" w:eastAsia="楷体" w:cs="宋体"/>
          <w:b w:val="0"/>
          <w:bCs w:val="0"/>
          <w:sz w:val="21"/>
          <w:szCs w:val="21"/>
          <w:highlight w:val="none"/>
          <w:u w:val="none"/>
          <w:lang w:val="en-US" w:eastAsia="zh-CN" w:bidi="ar-SA"/>
        </w:rPr>
        <w:t>B1份额：晋商银行股份有限公司</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五、名词释义</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在本</w:t>
      </w:r>
      <w:r>
        <w:rPr>
          <w:rFonts w:hint="eastAsia" w:ascii="楷体" w:hAnsi="楷体" w:eastAsia="楷体"/>
          <w:color w:val="auto"/>
          <w:sz w:val="21"/>
          <w:szCs w:val="21"/>
          <w:highlight w:val="none"/>
          <w:lang w:val="en-US" w:eastAsia="zh-CN"/>
        </w:rPr>
        <w:t>理财</w:t>
      </w:r>
      <w:r>
        <w:rPr>
          <w:rFonts w:hint="eastAsia" w:ascii="楷体" w:hAnsi="楷体" w:eastAsia="楷体"/>
          <w:color w:val="auto"/>
          <w:sz w:val="21"/>
          <w:szCs w:val="21"/>
          <w:highlight w:val="none"/>
        </w:rPr>
        <w:t>产品说明书中，除非上下文另有明确约定，下列用词将具有如下含义：</w:t>
      </w:r>
    </w:p>
    <w:p>
      <w:pPr>
        <w:numPr>
          <w:ilvl w:val="0"/>
          <w:numId w:val="6"/>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理财产品用语</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销售代码：指本理财产品可能</w:t>
      </w:r>
      <w:r>
        <w:rPr>
          <w:rFonts w:hint="eastAsia" w:ascii="楷体" w:hAnsi="楷体" w:eastAsia="楷体" w:cs="Calibri"/>
          <w:color w:val="auto"/>
          <w:sz w:val="21"/>
          <w:szCs w:val="21"/>
          <w:lang w:val="en-US" w:eastAsia="zh-CN"/>
        </w:rPr>
        <w:t>设置一类或多类</w:t>
      </w:r>
      <w:r>
        <w:rPr>
          <w:rFonts w:hint="eastAsia" w:ascii="楷体" w:hAnsi="楷体" w:eastAsia="楷体" w:cs="Calibri"/>
          <w:color w:val="auto"/>
          <w:sz w:val="21"/>
          <w:szCs w:val="21"/>
        </w:rPr>
        <w:t>产品份额，管理人在理财产品销售管理过程中</w:t>
      </w:r>
      <w:r>
        <w:rPr>
          <w:rFonts w:hint="eastAsia" w:ascii="楷体" w:hAnsi="楷体" w:eastAsia="楷体" w:cs="Calibri"/>
          <w:color w:val="auto"/>
          <w:sz w:val="21"/>
          <w:szCs w:val="21"/>
          <w:lang w:val="en-US" w:eastAsia="zh-CN"/>
        </w:rPr>
        <w:t>对各类份额</w:t>
      </w:r>
      <w:r>
        <w:rPr>
          <w:rFonts w:hint="eastAsia" w:ascii="楷体" w:hAnsi="楷体" w:eastAsia="楷体" w:cs="Calibri"/>
          <w:color w:val="auto"/>
          <w:sz w:val="21"/>
          <w:szCs w:val="21"/>
        </w:rPr>
        <w:t>设置的</w:t>
      </w:r>
      <w:r>
        <w:rPr>
          <w:rFonts w:hint="eastAsia" w:ascii="楷体" w:hAnsi="楷体" w:eastAsia="楷体" w:cs="Calibri"/>
          <w:color w:val="auto"/>
          <w:sz w:val="21"/>
          <w:szCs w:val="21"/>
          <w:lang w:val="en-US" w:eastAsia="zh-CN"/>
        </w:rPr>
        <w:t>内部代</w:t>
      </w:r>
      <w:r>
        <w:rPr>
          <w:rFonts w:hint="eastAsia" w:ascii="楷体" w:hAnsi="楷体" w:eastAsia="楷体" w:cs="Calibri"/>
          <w:color w:val="auto"/>
          <w:sz w:val="21"/>
          <w:szCs w:val="21"/>
        </w:rPr>
        <w:t>码。</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理财产品份额：指投资者持有本理财产品的单位数额。</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理财</w:t>
      </w:r>
      <w:r>
        <w:rPr>
          <w:rFonts w:hint="eastAsia" w:ascii="楷体" w:hAnsi="楷体" w:eastAsia="楷体" w:cs="Calibri"/>
          <w:color w:val="auto"/>
          <w:sz w:val="21"/>
          <w:szCs w:val="21"/>
          <w:highlight w:val="none"/>
        </w:rPr>
        <w:t>产品资产总值</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指产品拥有的各类有价证券、银行存款、应收款项及其他资产的价值总和。</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lang w:val="en-US" w:eastAsia="zh-CN"/>
        </w:rPr>
        <w:t>理财</w:t>
      </w:r>
      <w:r>
        <w:rPr>
          <w:rFonts w:hint="eastAsia" w:ascii="楷体" w:hAnsi="楷体" w:eastAsia="楷体" w:cs="Calibri"/>
          <w:color w:val="auto"/>
          <w:sz w:val="21"/>
          <w:szCs w:val="21"/>
          <w:highlight w:val="none"/>
        </w:rPr>
        <w:t>产品负债总值</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指产品运作及融资时形成的负债价值总和，包括融资资金本息、应付各项费用（包括托管费、销售</w:t>
      </w:r>
      <w:r>
        <w:rPr>
          <w:rFonts w:ascii="楷体" w:hAnsi="楷体" w:eastAsia="楷体" w:cs="Calibri"/>
          <w:color w:val="auto"/>
          <w:sz w:val="21"/>
          <w:szCs w:val="21"/>
          <w:highlight w:val="none"/>
        </w:rPr>
        <w:t>服务费、</w:t>
      </w:r>
      <w:r>
        <w:rPr>
          <w:rFonts w:hint="eastAsia" w:ascii="楷体" w:hAnsi="楷体" w:eastAsia="楷体" w:cs="Calibri"/>
          <w:color w:val="auto"/>
          <w:sz w:val="21"/>
          <w:szCs w:val="21"/>
          <w:highlight w:val="none"/>
        </w:rPr>
        <w:t>投资管理费、</w:t>
      </w:r>
      <w:r>
        <w:rPr>
          <w:rFonts w:hint="eastAsia" w:ascii="楷体" w:hAnsi="楷体" w:eastAsia="楷体" w:cs="Calibri"/>
          <w:color w:val="auto"/>
          <w:sz w:val="21"/>
          <w:szCs w:val="21"/>
          <w:highlight w:val="none"/>
          <w:lang w:val="en-US" w:eastAsia="zh-CN"/>
        </w:rPr>
        <w:t>信息技术服务费、</w:t>
      </w:r>
      <w:r>
        <w:rPr>
          <w:rFonts w:hint="eastAsia" w:ascii="楷体" w:hAnsi="楷体" w:eastAsia="楷体" w:cs="Calibri"/>
          <w:color w:val="auto"/>
          <w:sz w:val="21"/>
          <w:szCs w:val="21"/>
          <w:highlight w:val="none"/>
        </w:rPr>
        <w:t>超额业绩报酬、其他费用等）、应付税金及其他应付款项等。</w:t>
      </w:r>
    </w:p>
    <w:p>
      <w:pPr>
        <w:keepNext w:val="0"/>
        <w:keepLines w:val="0"/>
        <w:pageBreakBefore w:val="0"/>
        <w:widowControl w:val="0"/>
        <w:numPr>
          <w:ilvl w:val="0"/>
          <w:numId w:val="7"/>
        </w:numPr>
        <w:tabs>
          <w:tab w:val="left" w:pos="728"/>
          <w:tab w:val="clear" w:pos="420"/>
        </w:tabs>
        <w:bidi w:val="0"/>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理财产品资产净值/</w:t>
      </w:r>
      <w:r>
        <w:rPr>
          <w:rFonts w:hint="eastAsia" w:ascii="楷体" w:hAnsi="楷体" w:eastAsia="楷体" w:cs="Calibri"/>
          <w:color w:val="auto"/>
          <w:sz w:val="21"/>
          <w:szCs w:val="21"/>
          <w:highlight w:val="none"/>
          <w:lang w:val="en-US" w:eastAsia="zh-CN"/>
        </w:rPr>
        <w:t>净资产</w:t>
      </w:r>
      <w:r>
        <w:rPr>
          <w:rFonts w:hint="eastAsia" w:ascii="楷体" w:hAnsi="楷体" w:eastAsia="楷体" w:cs="Calibri"/>
          <w:color w:val="auto"/>
          <w:sz w:val="21"/>
          <w:szCs w:val="21"/>
          <w:highlight w:val="none"/>
        </w:rPr>
        <w:t>：</w:t>
      </w:r>
      <w:r>
        <w:rPr>
          <w:rFonts w:hint="eastAsia" w:ascii="楷体" w:hAnsi="楷体" w:eastAsia="楷体" w:cs="Calibri"/>
          <w:color w:val="auto"/>
          <w:sz w:val="21"/>
          <w:szCs w:val="21"/>
          <w:highlight w:val="none"/>
          <w:lang w:val="en-US" w:eastAsia="zh-CN"/>
        </w:rPr>
        <w:t>指产品</w:t>
      </w:r>
      <w:r>
        <w:rPr>
          <w:rFonts w:hint="eastAsia" w:ascii="楷体" w:hAnsi="楷体" w:eastAsia="楷体" w:cs="Calibri"/>
          <w:color w:val="auto"/>
          <w:sz w:val="21"/>
          <w:szCs w:val="21"/>
          <w:highlight w:val="none"/>
        </w:rPr>
        <w:t>资产总值</w:t>
      </w:r>
      <w:r>
        <w:rPr>
          <w:rFonts w:hint="eastAsia" w:ascii="楷体" w:hAnsi="楷体" w:eastAsia="楷体" w:cs="Calibri"/>
          <w:color w:val="auto"/>
          <w:sz w:val="21"/>
          <w:szCs w:val="21"/>
          <w:highlight w:val="none"/>
          <w:lang w:val="en-US" w:eastAsia="zh-CN"/>
        </w:rPr>
        <w:t>减去</w:t>
      </w:r>
      <w:r>
        <w:rPr>
          <w:rFonts w:hint="eastAsia" w:ascii="楷体" w:hAnsi="楷体" w:eastAsia="楷体" w:cs="Calibri"/>
          <w:color w:val="auto"/>
          <w:sz w:val="21"/>
          <w:szCs w:val="21"/>
          <w:highlight w:val="none"/>
        </w:rPr>
        <w:t>产品负债总值</w:t>
      </w:r>
      <w:r>
        <w:rPr>
          <w:rFonts w:hint="eastAsia" w:ascii="楷体" w:hAnsi="楷体" w:eastAsia="楷体" w:cs="Calibri"/>
          <w:color w:val="auto"/>
          <w:sz w:val="21"/>
          <w:szCs w:val="21"/>
          <w:highlight w:val="none"/>
          <w:lang w:val="en-US" w:eastAsia="zh-CN"/>
        </w:rPr>
        <w:t>后的价值</w:t>
      </w:r>
      <w:r>
        <w:rPr>
          <w:rFonts w:hint="eastAsia" w:ascii="楷体" w:hAnsi="楷体" w:eastAsia="楷体" w:cs="Calibri"/>
          <w:color w:val="auto"/>
          <w:sz w:val="21"/>
          <w:szCs w:val="21"/>
          <w:highlight w:val="none"/>
        </w:rPr>
        <w:t>。</w:t>
      </w:r>
    </w:p>
    <w:p>
      <w:pPr>
        <w:keepNext w:val="0"/>
        <w:keepLines w:val="0"/>
        <w:pageBreakBefore w:val="0"/>
        <w:widowControl w:val="0"/>
        <w:numPr>
          <w:ilvl w:val="0"/>
          <w:numId w:val="7"/>
        </w:numPr>
        <w:tabs>
          <w:tab w:val="left" w:pos="851"/>
          <w:tab w:val="clear" w:pos="420"/>
        </w:tabs>
        <w:bidi w:val="0"/>
        <w:ind w:left="0" w:firstLine="420"/>
        <w:rPr>
          <w:rFonts w:hint="eastAsia" w:ascii="楷体" w:hAnsi="楷体" w:eastAsia="楷体" w:cs="Calibri"/>
          <w:sz w:val="21"/>
          <w:szCs w:val="21"/>
        </w:rPr>
      </w:pPr>
      <w:r>
        <w:rPr>
          <w:rFonts w:hint="eastAsia" w:ascii="楷体" w:hAnsi="楷体" w:eastAsia="楷体" w:cs="Calibri"/>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7"/>
        </w:numPr>
        <w:tabs>
          <w:tab w:val="left" w:pos="851"/>
          <w:tab w:val="clear" w:pos="420"/>
        </w:tabs>
        <w:bidi w:val="0"/>
        <w:ind w:left="0" w:firstLine="420"/>
        <w:rPr>
          <w:rFonts w:hint="eastAsia" w:ascii="楷体" w:hAnsi="楷体" w:eastAsia="楷体" w:cs="Calibri"/>
          <w:sz w:val="21"/>
          <w:szCs w:val="21"/>
        </w:rPr>
      </w:pPr>
      <w:r>
        <w:rPr>
          <w:rFonts w:hint="eastAsia" w:ascii="楷体" w:hAnsi="楷体" w:eastAsia="楷体" w:cs="Calibri"/>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7"/>
        </w:numPr>
        <w:tabs>
          <w:tab w:val="left" w:pos="851"/>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sz w:val="21"/>
          <w:szCs w:val="21"/>
          <w:lang w:val="en-US" w:eastAsia="zh-CN"/>
        </w:rPr>
        <w:t>流动性受限资产：</w:t>
      </w:r>
      <w:r>
        <w:rPr>
          <w:rFonts w:hint="eastAsia" w:ascii="楷体" w:hAnsi="楷体" w:eastAsia="楷体" w:cs="Calibri"/>
          <w:sz w:val="21"/>
          <w:szCs w:val="21"/>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7"/>
        </w:numPr>
        <w:tabs>
          <w:tab w:val="left" w:pos="851"/>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sz w:val="21"/>
          <w:szCs w:val="21"/>
        </w:rPr>
        <w:t>7个工作日可变现资产</w:t>
      </w:r>
      <w:r>
        <w:rPr>
          <w:rFonts w:hint="eastAsia" w:ascii="楷体" w:hAnsi="楷体" w:eastAsia="楷体" w:cs="Calibri"/>
          <w:sz w:val="21"/>
          <w:szCs w:val="21"/>
          <w:lang w:eastAsia="zh-CN"/>
        </w:rPr>
        <w:t>：</w:t>
      </w:r>
      <w:r>
        <w:rPr>
          <w:rFonts w:hint="eastAsia" w:ascii="楷体" w:hAnsi="楷体" w:eastAsia="楷体" w:cs="Calibri"/>
          <w:sz w:val="21"/>
          <w:szCs w:val="21"/>
        </w:rPr>
        <w:t>包括可在交易所、银行间市场正常交易的股票、债券、非金融企业债务融资工具、期货及期权合约以及同业存单，7个工作日内到期或可支取的买入返售、银行存款，7个工作日内能够确认收到的各类应收款项等。</w:t>
      </w:r>
    </w:p>
    <w:p>
      <w:pPr>
        <w:numPr>
          <w:ilvl w:val="0"/>
          <w:numId w:val="6"/>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期间与日期</w:t>
      </w:r>
    </w:p>
    <w:p>
      <w:pPr>
        <w:keepNext w:val="0"/>
        <w:keepLines w:val="0"/>
        <w:pageBreakBefore w:val="0"/>
        <w:widowControl w:val="0"/>
        <w:numPr>
          <w:ilvl w:val="0"/>
          <w:numId w:val="8"/>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工作日：指国家法定工作日。</w:t>
      </w:r>
    </w:p>
    <w:p>
      <w:pPr>
        <w:keepNext w:val="0"/>
        <w:keepLines w:val="0"/>
        <w:pageBreakBefore w:val="0"/>
        <w:widowControl w:val="0"/>
        <w:numPr>
          <w:ilvl w:val="0"/>
          <w:numId w:val="8"/>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交易日：</w:t>
      </w:r>
      <w:r>
        <w:rPr>
          <w:rFonts w:ascii="楷体" w:hAnsi="楷体" w:eastAsia="楷体" w:cs="Calibri"/>
          <w:color w:val="auto"/>
          <w:sz w:val="21"/>
          <w:szCs w:val="21"/>
        </w:rPr>
        <w:t>指上海证券交易所和深圳证券交易所的正常开盘交易日</w:t>
      </w:r>
      <w:r>
        <w:rPr>
          <w:rFonts w:hint="eastAsia" w:ascii="楷体" w:hAnsi="楷体" w:eastAsia="楷体" w:cs="Calibri"/>
          <w:color w:val="auto"/>
          <w:sz w:val="21"/>
          <w:szCs w:val="21"/>
        </w:rPr>
        <w:t>。</w:t>
      </w:r>
    </w:p>
    <w:p>
      <w:pPr>
        <w:keepNext w:val="0"/>
        <w:keepLines w:val="0"/>
        <w:pageBreakBefore w:val="0"/>
        <w:widowControl w:val="0"/>
        <w:numPr>
          <w:ilvl w:val="0"/>
          <w:numId w:val="8"/>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份额登记日/份额确认日：指管理人对投资者提交的</w:t>
      </w:r>
      <w:r>
        <w:rPr>
          <w:rFonts w:hint="eastAsia" w:ascii="楷体" w:hAnsi="楷体" w:eastAsia="楷体" w:cs="Calibri"/>
          <w:color w:val="auto"/>
          <w:sz w:val="21"/>
          <w:szCs w:val="21"/>
          <w:lang w:val="en-US" w:eastAsia="zh-CN"/>
        </w:rPr>
        <w:t>购买</w:t>
      </w:r>
      <w:r>
        <w:rPr>
          <w:rFonts w:hint="eastAsia" w:ascii="楷体" w:hAnsi="楷体" w:eastAsia="楷体" w:cs="Calibri"/>
          <w:color w:val="auto"/>
          <w:sz w:val="21"/>
          <w:szCs w:val="21"/>
        </w:rPr>
        <w:t>申请进行份额登记的日期。</w:t>
      </w:r>
    </w:p>
    <w:p>
      <w:pPr>
        <w:keepNext w:val="0"/>
        <w:keepLines w:val="0"/>
        <w:pageBreakBefore w:val="0"/>
        <w:widowControl w:val="0"/>
        <w:numPr>
          <w:ilvl w:val="0"/>
          <w:numId w:val="8"/>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产品存续期：指自理财产品成立日起，至理财产品终止日的期间。</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六、投资管理</w:t>
      </w:r>
    </w:p>
    <w:p>
      <w:pPr>
        <w:numPr>
          <w:ilvl w:val="0"/>
          <w:numId w:val="9"/>
        </w:numPr>
        <w:tabs>
          <w:tab w:val="left" w:pos="993"/>
        </w:tabs>
        <w:ind w:left="0" w:firstLine="42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投资范围和比例</w:t>
      </w:r>
    </w:p>
    <w:p>
      <w:pPr>
        <w:ind w:firstLine="420"/>
        <w:rPr>
          <w:rFonts w:hint="default" w:ascii="楷体" w:hAnsi="楷体" w:eastAsia="楷体"/>
          <w:sz w:val="21"/>
          <w:szCs w:val="21"/>
          <w:highlight w:val="none"/>
          <w:lang w:val="en-US" w:eastAsia="zh-CN"/>
        </w:rPr>
      </w:pPr>
      <w:r>
        <w:rPr>
          <w:rFonts w:hint="default" w:ascii="楷体" w:hAnsi="楷体" w:eastAsia="楷体"/>
          <w:sz w:val="21"/>
          <w:szCs w:val="21"/>
          <w:highlight w:val="none"/>
          <w:lang w:val="en-US" w:eastAsia="zh-CN"/>
        </w:rPr>
        <w:t>本理财产品直接或间接投资于货币市场工具、债券、非标准化债权类资产和监管机构允许投资的其他资产（如纳入权益类资产核算的永续债等）。具体资产投资比例为：货币市场工具、债券、非标准化债权类资产等固定收益类资产占产品资产总值比例80%-100%，其中非标准化债权类资产合计投资比例不高于产品净资产50%；符合监管要求的其他资产占产品资产总值比例0%-20%。</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p>
      <w:pPr>
        <w:numPr>
          <w:ilvl w:val="0"/>
          <w:numId w:val="9"/>
        </w:numPr>
        <w:tabs>
          <w:tab w:val="left" w:pos="993"/>
        </w:tabs>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拟投资</w:t>
      </w:r>
      <w:r>
        <w:rPr>
          <w:rFonts w:hint="eastAsia" w:ascii="楷体" w:hAnsi="楷体" w:eastAsia="楷体" w:cs="Calibri"/>
          <w:b w:val="0"/>
          <w:bCs w:val="0"/>
          <w:color w:val="auto"/>
          <w:sz w:val="21"/>
          <w:szCs w:val="21"/>
          <w:highlight w:val="none"/>
          <w:u w:val="none"/>
        </w:rPr>
        <w:t>非标准化债权类资产</w:t>
      </w:r>
    </w:p>
    <w:p>
      <w:pPr>
        <w:ind w:firstLine="420"/>
        <w:rPr>
          <w:rFonts w:hint="eastAsia" w:ascii="楷体" w:hAnsi="楷体" w:eastAsia="楷体"/>
          <w:b w:val="0"/>
          <w:bCs/>
          <w:color w:val="auto"/>
          <w:sz w:val="21"/>
          <w:szCs w:val="21"/>
          <w:highlight w:val="none"/>
          <w:u w:val="none"/>
        </w:rPr>
      </w:pPr>
      <w:r>
        <w:rPr>
          <w:rFonts w:hint="eastAsia" w:ascii="楷体" w:hAnsi="楷体" w:eastAsia="楷体"/>
          <w:b w:val="0"/>
          <w:bCs/>
          <w:color w:val="auto"/>
          <w:sz w:val="21"/>
          <w:szCs w:val="21"/>
          <w:highlight w:val="none"/>
          <w:u w:val="none"/>
        </w:rPr>
        <w:t>本产品计划配置以下</w:t>
      </w:r>
      <w:r>
        <w:rPr>
          <w:rFonts w:ascii="楷体" w:hAnsi="楷体" w:eastAsia="楷体"/>
          <w:b w:val="0"/>
          <w:bCs/>
          <w:color w:val="auto"/>
          <w:sz w:val="21"/>
          <w:szCs w:val="21"/>
          <w:highlight w:val="none"/>
          <w:u w:val="none"/>
        </w:rPr>
        <w:t>备选</w:t>
      </w:r>
      <w:r>
        <w:rPr>
          <w:rFonts w:hint="eastAsia" w:ascii="楷体" w:hAnsi="楷体" w:eastAsia="楷体"/>
          <w:b w:val="0"/>
          <w:bCs/>
          <w:color w:val="auto"/>
          <w:sz w:val="21"/>
          <w:szCs w:val="21"/>
          <w:highlight w:val="none"/>
          <w:u w:val="none"/>
        </w:rPr>
        <w:t>非标准化债权类资产：</w:t>
      </w:r>
    </w:p>
    <w:p>
      <w:pPr>
        <w:ind w:firstLine="420"/>
        <w:rPr>
          <w:rFonts w:hint="default" w:ascii="楷体" w:hAnsi="楷体" w:eastAsia="楷体" w:cs="Times New Roman"/>
          <w:bCs/>
          <w:color w:val="auto"/>
          <w:sz w:val="21"/>
          <w:szCs w:val="21"/>
          <w:highlight w:val="none"/>
          <w:u w:val="none"/>
          <w:lang w:val="en-US" w:eastAsia="zh-CN"/>
        </w:rPr>
      </w:pPr>
      <w:r>
        <w:rPr>
          <w:rFonts w:hint="eastAsia" w:ascii="楷体" w:hAnsi="楷体" w:eastAsia="楷体" w:cs="楷体"/>
          <w:sz w:val="21"/>
          <w:szCs w:val="21"/>
          <w:lang w:eastAsia="zh-CN"/>
        </w:rPr>
        <w:t>(1)同业借款：融资人为中国中信金融资产管理股份有限公司。融资人经营正常，是依法成立的国有公司，主要股东为中国中信集团有限公司、财政局、中国融信私募基金有限公司，实际控制人为财政部。 (2)同业借款：融资人为中国东方资产管理股份有限公司。融资人经营正常，是依法成立的国有公司，主要股东为中央汇金投资有限责任公司、全国社会保障基金理事会、中国电信集团有限公司，实际控制人为国务院。 (3)同业借款：融资人为中国信达资产管理股份有限公司。融资人经营正常，是依法成立的国有公司，主要股东为中央汇金投资有限责任公司，实际控制人为国务院。 (4)同业借款：融资人为中国长城资产管理股份有限公司。融资人经营正常，是依法成立的国有公司，主要股东为中央汇金投资有限责任公司、全国社会保障基金理事会、中国财产再保险有限责任公司、中国大地财产保险股份有限公司、中国人寿保险（集团）公司，实际控制人为国务院。 (5)收益凭证：融资人为中信证券股份有限公司。融资人经营正常，是依法设立的持牌金融机构，主要股东为中国中信金融控股有限公司、香港中央结算（代理人）有限公司、广州越秀资本控股集团有限公司，实际控制人为中国中信集团有限公司 (6)收益凭证：融资人为中国国际金融股份有限公司。融资人经营正常，是依法设立的持牌金融机构，主要股东为中央汇金投资有限责任公司、香港中央结算（代理人）有限公司、香港中央结算有限公司，实际控制人为中央汇金投资有限责任公司。 (7)收益凭证：融资人为中信建投证券股份有限公司。融资人经营正常，是依法设立的持牌金融机构，主要股东为北京金融控股集团有限公司、中央汇金投资有限责任公司、香港中央结算（代理人）有限公司，实际控制人为中央汇金投资有限责任公司。 (8)收益凭证：融资人为中国银河证券股份有限公司。融资人经营正常，是依法设立的持牌金融机构，主要股东为中国银河金融控股有限责任公司、香港中央结算（代理人）有限公司、香港中央结算有限公司，实际控制人为中央汇金投资有限责任公司。 (9)收益凭证：融资人为华泰证券股份有限公司。融资人经营正常，是依法设立的持牌金融机构，主要股东为江苏省国信集团有限公司、香港中央结算（代理人）有限公司、江苏交通控股有限公司，无实际控制人。 (10)收益凭证：融资人为国泰海通证券股份有限公司。融资人经营正常，是依法设立的持牌金融机构，主要股东为香港中央结算（代理人）有限公司、上海国有资产经营有限公司、上海国际集团有限公司，实际控制人为上海市国有资产监督管理委员会。 (11)收益凭证：融资人为申万宏源证券有限公司。融资人经营正常，是依法设立的持牌金融机构，主要股东为申万宏源集团股份有限公司，实际控制人为中央汇金投资有限责任公司。 (12)收益凭证：融资人为东方证券股份有限公司。融资人经营正常，是依法设立的持牌金融机构，主要股东为申能（集团）有限公司、香港中央结算（代理人）有限公司、上海海烟投资管理有限公司，实际控制人为上海市国有资产监督管理委员会。 (13)收益凭证：融资人为浙商证券股份有限公司。融资人经营正常，是依法设立的持牌金融机构，主要股东为浙江上三高速公路有限公司、台州市金融投资集团有限公司，实际控制人为浙江省交通投资集团有限公司。 (14)收益凭证：融资人为国投证券股份有限公司。融资人经营正常，是依法设立的持牌金融机构，主要股东为国投资本股份有限公司、上海毅胜投资有限公司，实际控制人为国家开发投资集团有限公司。 (15)收益凭证：融资人为平安证券股份有限公司。融资人经营正常，是依法设立的持牌金融机构，主要股东为平安信托有限责任公司、中国平安保险（集团）股份有限公司、深圳市英华柏涛投资有限公司，实际控制人为中国平安保险（集团）股份有限公司。 (16)收益凭证：融资人为中泰证券股份有限公司。融资人经营正常，是依法设立的持牌金融机构，主要股东为枣庄矿业（集团）有限责任公司、莱芜钢铁集团有限公司、山东高速投资控股有限公司，实际控制人为山东省人民政府国有资产监督管理委员会。 (17)收益凭证：融资人为兴业证券股份有限公司。融资人经营正常，是依法设立的持牌金融机构，主要股东为福建省财政厅、福建省投资开发集团有限责任公司、上海申新（集团）有限公司，实际控制人为福建省财政厅。 (18)收益凭证：融资人为财通证券股份有限公司。融资人经营正常，是依法设立的持牌金融机构，主要股东为浙江省创新投资集团有限公司、浙江省财开集团有限公司、台州市金融投资集团有限公司，实际控制人为浙江省财政厅。 (19)收益凭证：融资人为金融街证券股份有限公司。融资人经营正常，是依法设立的持牌金融机构，主要股东为北京华融综合投资有限公司、天风证券股份有限公司、包头华资实业股份有限公司，实际控制人为北京金融街投资（集团）有限公司。 (20)收益凭证：融资人为东海证券股份有限公司。融资人经营正常，是依法设立的持牌金融机构，主要股东为常州投资集团有限公司、山东金控资本管理有限公司，实际控制人为常州投资集团有限公司。 (21)收益凭证：融资人为国联民生证券股份有限公司。融资人经营正常，是依法设立的持牌金融机构，主要股东为无锡市国联发展（集团）有限公司、香港中央结算（代理人）有限公司、国联信托股份有限公司，实际控制人为无锡市人民政府国有资产监督管理委员会。 (22)收益凭证：融资人为光大证券股份有限公司。融资人经营正常，是依法设立的持牌金融机构，主要股东为中国光大集团股份有限公司、中国光大控股有限公司、香港中央结算（代理人）有限公司，实际控制人为中央汇金投资有限责任公司。 (23)收益凭证：融资人为长城证券股份有限公司。融资人经营正常，是依法设立的持牌金融机构，主要股东为华能资本服务有限公司、深圳新江南投资有限公司、深圳能源集团股份有限公司，实际控制人为中央汇金投资有限责任公司。 (24)收益凭证：融资人为中国中金财富证券有限公司。融资人经营正常，是依法设立的持牌金融机构，主要股东为中国国际金融股份有限公司，实际控制人为中央汇金投资有限责任公司。 (25)收益凭证：融资人为山西证券股份有限公司。融资人经营正常，是依法设立的持牌金融机构，主要股东为山西金融投资控股集团有限公司、太原钢铁（集团）有限公司、山西国际电力集团有限公司，实际控制人为山西省财政厅。 (26)收益凭证：融资人为国都证券股份有限公司。融资人经营正常，是依法设立的持牌金融机构，主要股东为浙商证券股份有限公司、中诚信托有限责任公司、北京国际信托有限公司，实际控制人为浙江省交通投资集团有限公司。 (27)收益凭证：融资人为东莞证券股份有限公司。融资人经营正常，是依法设立的持牌金融机构，主要股东为东莞市投资控股集团有限公司、东莞发展控股股份有限公司、广东锦龙发展股份有限公司，实际控制人为东莞市人民政府国有资产监督管理委员会。 (28)收益凭证：融资人为华鑫证券有限责任公司。融资人经营正常，是依法设立的持牌金融机构，主要股东为上海华鑫股份有限公司，实际控制人为上海市国有资产监督管理委员会。 (29)收益凭证：融资人为第一创业证券股份有限公司。融资人经营正常，是依法设立的持牌金融机构，主要股东为北京国有资本运营管理有限公司、北京首农食品集团有限公司，实际控制人为北京市人民政府国有资产监督管理委员会。 (30)收益凭证：融资人为西南证券股份有限公司。融资人经营正常，是依法设立的持牌金融机构，主要股东为重庆渝富资本运营集团有限公司、重庆市城市建设投资（集团）有限公司和重庆市江北嘴中央商务区投资集团有限公司，实际控制人为重庆市国有资产监督管理委员会。 (31)收益凭证：融资人为广发证券股份有限公司。融资人经营正常，是依法设立的持牌金融机构，主要股东为香港中央结算（代理人）有限公司、吉林敖东药业集团股份有限公司、辽宁成大股份有限公司，无实际控制人。 (32)收益凭证：融资人为方正证券股份有限公司。融资人经营正常，是依法设立的持牌金融机构，主要股东为新方正控股发展有限责任公司、全国社会保障基金理事会、中国信达资产管理股份有限公司，实际控制人为中国平安保险（集团）股份有限公司。 (33)收益凭证：融资人为招商证券股份有限公司。融资人经营正常，是依法设立的持牌金融机构，主要股东为招商局金融控股有限公司、深圳市集盛投资发展有限公司、香港中央结算（代理人）有限公司，实际控制人为招商局集团有限公司。</w:t>
      </w:r>
    </w:p>
    <w:p>
      <w:pPr>
        <w:numPr>
          <w:ilvl w:val="0"/>
          <w:numId w:val="0"/>
        </w:numPr>
        <w:ind w:left="0" w:firstLine="420"/>
        <w:rPr>
          <w:rFonts w:hint="default" w:ascii="楷体" w:hAnsi="楷体" w:eastAsia="楷体" w:cs="楷体"/>
          <w:b/>
          <w:bCs/>
          <w:sz w:val="21"/>
          <w:szCs w:val="21"/>
          <w:highlight w:val="yellow"/>
          <w:u w:val="single"/>
          <w:lang w:val="en-US" w:eastAsia="zh-CN" w:bidi="ar-SA"/>
        </w:rPr>
      </w:pPr>
      <w:r>
        <w:rPr>
          <w:rFonts w:hint="eastAsia" w:ascii="楷体" w:hAnsi="楷体" w:eastAsia="楷体" w:cs="Times New Roman"/>
          <w:bCs/>
          <w:color w:val="auto"/>
          <w:sz w:val="21"/>
          <w:szCs w:val="21"/>
          <w:highlight w:val="none"/>
          <w:u w:val="none"/>
          <w:lang w:eastAsia="zh-CN"/>
        </w:rPr>
        <w:t>资产到期日不超过理财产品</w:t>
      </w:r>
      <w:r>
        <w:rPr>
          <w:rFonts w:hint="eastAsia" w:ascii="楷体" w:hAnsi="楷体" w:eastAsia="楷体" w:cs="Times New Roman"/>
          <w:bCs/>
          <w:color w:val="auto"/>
          <w:sz w:val="21"/>
          <w:szCs w:val="21"/>
          <w:highlight w:val="none"/>
          <w:u w:val="none"/>
          <w:lang w:val="en-US" w:eastAsia="zh-CN"/>
        </w:rPr>
        <w:t>到期</w:t>
      </w:r>
      <w:r>
        <w:rPr>
          <w:rFonts w:hint="eastAsia" w:ascii="楷体" w:hAnsi="楷体" w:eastAsia="楷体" w:cs="Times New Roman"/>
          <w:bCs/>
          <w:color w:val="auto"/>
          <w:sz w:val="21"/>
          <w:szCs w:val="21"/>
          <w:highlight w:val="none"/>
          <w:u w:val="none"/>
          <w:lang w:eastAsia="zh-CN"/>
        </w:rPr>
        <w:t>日，循环期不还本、摊还期过手摊还本息</w:t>
      </w:r>
      <w:r>
        <w:rPr>
          <w:rFonts w:hint="eastAsia" w:ascii="楷体" w:hAnsi="楷体" w:eastAsia="楷体" w:cs="Times New Roman"/>
          <w:bCs/>
          <w:color w:val="auto"/>
          <w:sz w:val="21"/>
          <w:szCs w:val="21"/>
          <w:highlight w:val="none"/>
          <w:u w:val="none"/>
          <w:lang w:val="en-US" w:eastAsia="zh-CN"/>
        </w:rPr>
        <w:t>。</w:t>
      </w:r>
    </w:p>
    <w:p>
      <w:pPr>
        <w:numPr>
          <w:ilvl w:val="0"/>
          <w:numId w:val="9"/>
        </w:numPr>
        <w:tabs>
          <w:tab w:val="left" w:pos="993"/>
        </w:tabs>
        <w:ind w:firstLine="0"/>
        <w:rPr>
          <w:rFonts w:hint="eastAsia" w:ascii="楷体" w:hAnsi="楷体" w:eastAsia="楷体" w:cs="Calibri"/>
          <w:color w:val="auto"/>
          <w:sz w:val="21"/>
          <w:szCs w:val="21"/>
          <w:lang w:val="en-US" w:eastAsia="zh-CN"/>
        </w:rPr>
      </w:pPr>
      <w:r>
        <w:rPr>
          <w:rFonts w:hint="eastAsia" w:ascii="楷体" w:hAnsi="楷体" w:eastAsia="楷体" w:cs="Calibri"/>
          <w:color w:val="auto"/>
          <w:sz w:val="21"/>
          <w:szCs w:val="21"/>
          <w:highlight w:val="none"/>
          <w:lang w:val="en-US" w:eastAsia="zh-CN"/>
        </w:rPr>
        <w:t>投资合作机构</w:t>
      </w:r>
    </w:p>
    <w:p>
      <w:pPr>
        <w:numPr>
          <w:ilvl w:val="0"/>
          <w:numId w:val="0"/>
        </w:numPr>
        <w:ind w:firstLine="420"/>
        <w:rPr>
          <w:rFonts w:hint="eastAsia" w:ascii="楷体" w:hAnsi="楷体" w:eastAsia="楷体"/>
          <w:color w:val="auto"/>
          <w:sz w:val="21"/>
          <w:szCs w:val="21"/>
        </w:rPr>
      </w:pPr>
      <w:r>
        <w:rPr>
          <w:rFonts w:hint="eastAsia" w:ascii="楷体" w:hAnsi="楷体" w:eastAsia="楷体"/>
          <w:color w:val="auto"/>
          <w:sz w:val="21"/>
          <w:szCs w:val="21"/>
        </w:rPr>
        <w:t>投资合作机构主要职责是对理财产品受托资金进行投资管理，</w:t>
      </w:r>
      <w:r>
        <w:rPr>
          <w:rFonts w:hint="eastAsia" w:ascii="楷体" w:hAnsi="楷体" w:eastAsia="楷体"/>
          <w:color w:val="auto"/>
          <w:sz w:val="21"/>
          <w:szCs w:val="21"/>
          <w:lang w:val="en-US" w:eastAsia="zh-CN"/>
        </w:rPr>
        <w:t>管理人</w:t>
      </w:r>
      <w:r>
        <w:rPr>
          <w:rFonts w:hint="eastAsia" w:ascii="楷体" w:hAnsi="楷体" w:eastAsia="楷体"/>
          <w:color w:val="auto"/>
          <w:sz w:val="21"/>
          <w:szCs w:val="21"/>
        </w:rPr>
        <w:t>已按投资决策流程对投资合作机构进行了准入，并持续开展投资合作机构的存续期管理。本产品投资合作机构包括：</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①江苏省国际信托有限责任公司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江苏省国际信托有限责任公司是经江苏省人民政府和中国银行业监督管理委员会批准设立的非银行金融机构，是江苏省国信集团的主要成员企业之一，专业从事金融信托业务。</w:t>
      </w:r>
    </w:p>
    <w:p>
      <w:pPr>
        <w:ind w:firstLine="420" w:firstLineChars="200"/>
        <w:rPr>
          <w:rFonts w:hint="eastAsia" w:ascii="楷体" w:hAnsi="楷体" w:eastAsia="楷体" w:cs="楷体"/>
          <w:sz w:val="21"/>
          <w:szCs w:val="21"/>
        </w:rPr>
      </w:pPr>
      <w:r>
        <w:rPr>
          <w:rFonts w:hint="eastAsia" w:ascii="楷体" w:hAnsi="楷体" w:eastAsia="楷体" w:cs="楷体"/>
          <w:sz w:val="21"/>
          <w:szCs w:val="21"/>
          <w:lang w:eastAsia="zh-CN"/>
        </w:rPr>
        <w:t>②</w:t>
      </w:r>
      <w:r>
        <w:rPr>
          <w:rFonts w:hint="eastAsia" w:ascii="楷体" w:hAnsi="楷体" w:eastAsia="楷体" w:cs="楷体"/>
          <w:sz w:val="21"/>
          <w:szCs w:val="21"/>
        </w:rPr>
        <w:t>创金合信基金管理有限公司</w:t>
      </w:r>
      <w:r>
        <w:rPr>
          <w:rFonts w:hint="eastAsia" w:ascii="楷体" w:hAnsi="楷体" w:eastAsia="楷体" w:cs="楷体"/>
          <w:sz w:val="21"/>
          <w:szCs w:val="21"/>
          <w:lang w:eastAsia="zh-CN"/>
        </w:rPr>
        <w:t>：</w:t>
      </w:r>
      <w:r>
        <w:rPr>
          <w:rFonts w:hint="eastAsia" w:ascii="楷体" w:hAnsi="楷体" w:eastAsia="楷体" w:cs="楷体"/>
          <w:sz w:val="21"/>
          <w:szCs w:val="21"/>
        </w:rPr>
        <w:t>创金合信基金管理有限公司成立于2014年7月9日，由第一创业证券股份有限公司、深圳市金合信投资合伙企业（有限合伙）共同发起设立，注册地为深圳。</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③华鑫国际信托有限公司</w:t>
      </w:r>
      <w:r>
        <w:rPr>
          <w:rFonts w:hint="eastAsia" w:ascii="楷体" w:hAnsi="楷体" w:eastAsia="楷体" w:cs="楷体"/>
          <w:sz w:val="21"/>
          <w:szCs w:val="21"/>
          <w:lang w:eastAsia="zh-CN"/>
        </w:rPr>
        <w:t>：</w:t>
      </w:r>
      <w:r>
        <w:rPr>
          <w:rFonts w:hint="eastAsia" w:ascii="楷体" w:hAnsi="楷体" w:eastAsia="楷体" w:cs="楷体"/>
          <w:sz w:val="21"/>
          <w:szCs w:val="21"/>
        </w:rPr>
        <w:t>华鑫国际信托有限公司于2010年2月获得中国银行业监督管理委员会批准重新登记，并于同年3月正式挂牌开业，实际控制人为中国华电集团有限公司，注册资本73.95亿元。</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④中国国际金融股份有限公司</w:t>
      </w:r>
      <w:r>
        <w:rPr>
          <w:rFonts w:hint="eastAsia" w:ascii="楷体" w:hAnsi="楷体" w:eastAsia="楷体" w:cs="楷体"/>
          <w:sz w:val="21"/>
          <w:szCs w:val="21"/>
          <w:lang w:eastAsia="zh-CN"/>
        </w:rPr>
        <w:t>：</w:t>
      </w:r>
      <w:r>
        <w:rPr>
          <w:rFonts w:hint="eastAsia" w:ascii="楷体" w:hAnsi="楷体" w:eastAsia="楷体" w:cs="楷体"/>
          <w:sz w:val="21"/>
          <w:szCs w:val="21"/>
        </w:rPr>
        <w:t>中国国际金融股份有限公司于1995年7月31日成立，实际控制人为中央汇金投资有限责任公司，注册资本4,827,256,868元。</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⑤中粮信托有限责任公司：中粮信托有限责任公司成立于2009年7月27日，是中国银行保险监督管理委员会核准的国有控股金融机构，注册资本28.3095亿元，前三大股东分别为中粮资本投资有限公司、蒙特利尔银行、中粮财务有限责任公司。</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⑥中国对外经济贸易信托有限公司：中国对外经济贸易信托有限公司成立于1987年9月30日，是中国银行保险监督管理委员会核准的国有控股金融机构，注册资本80亿元，股东为中化资本有限公司和中化集团财务有限责任公司。</w:t>
      </w:r>
    </w:p>
    <w:p>
      <w:pPr>
        <w:ind w:firstLine="420" w:firstLineChars="200"/>
        <w:rPr>
          <w:rFonts w:hint="eastAsia" w:ascii="楷体" w:hAnsi="楷体" w:eastAsia="楷体" w:cs="楷体"/>
          <w:sz w:val="21"/>
          <w:szCs w:val="21"/>
        </w:rPr>
      </w:pPr>
      <w:r>
        <w:rPr>
          <w:rFonts w:hint="eastAsia" w:ascii="楷体" w:hAnsi="楷体" w:eastAsia="楷体" w:cs="楷体"/>
          <w:sz w:val="21"/>
          <w:szCs w:val="21"/>
        </w:rPr>
        <w:t>⑦南方资本管理有限公司：南方资本管理有限公司成立于2013年11月14日，注册资本5.42亿元人民币，注册地为深圳前海。经中国证监会核准，南方资本业务范围为特定客户资产管理业务以及中国证监会许可的其他业务。公司股东为南方基金管理股份有限公司（100%）。</w:t>
      </w:r>
    </w:p>
    <w:p>
      <w:pPr>
        <w:ind w:firstLine="420"/>
        <w:rPr>
          <w:rFonts w:hint="eastAsia"/>
          <w:lang w:eastAsia="zh-CN"/>
        </w:rPr>
      </w:pPr>
      <w:r>
        <w:rPr>
          <w:rFonts w:hint="eastAsia" w:ascii="楷体" w:hAnsi="楷体" w:eastAsia="楷体" w:cs="楷体"/>
          <w:sz w:val="21"/>
          <w:szCs w:val="21"/>
        </w:rPr>
        <w:t>⑧建信保险资产管理有限公司：建信保险资产管理有限公司成立于2016年4月7日，是中国银行保险监督管理委员会核准的国有控股金融机构，注册资本3亿元，股东为建信人寿保险股份有限公司和建银国际（中国）有限公司</w:t>
      </w:r>
      <w:r>
        <w:rPr>
          <w:rFonts w:hint="default" w:ascii="Calibri" w:hAnsi="Calibri" w:eastAsia="楷体" w:cs="Calibri"/>
          <w:b w:val="0"/>
          <w:bCs w:val="0"/>
          <w:sz w:val="21"/>
          <w:szCs w:val="21"/>
        </w:rPr>
        <w:t>。</w:t>
      </w:r>
    </w:p>
    <w:p>
      <w:pPr>
        <w:numPr>
          <w:ilvl w:val="0"/>
          <w:numId w:val="9"/>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highlight w:val="none"/>
          <w:lang w:val="en-US" w:eastAsia="zh-CN"/>
        </w:rPr>
        <w:t>投资限制</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1.本理财产品投资于单只证券或单只公募证券投资基金的市值不超过本产品净资产的10%。</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2.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bidi w:val="0"/>
        <w:ind w:left="0" w:firstLine="420"/>
        <w:rPr>
          <w:rFonts w:hint="eastAsia"/>
        </w:rPr>
      </w:pPr>
      <w:r>
        <w:rPr>
          <w:rFonts w:hint="eastAsia" w:ascii="楷体" w:hAnsi="楷体" w:eastAsia="楷体" w:cs="Calibri"/>
          <w:color w:val="auto"/>
          <w:sz w:val="21"/>
          <w:szCs w:val="21"/>
        </w:rPr>
        <w:t>3.管理人全部产品持有单一上市公司发行的股票，不得超过该上市公司可流通股票的30%。</w:t>
      </w:r>
    </w:p>
    <w:p>
      <w:pPr>
        <w:keepNext w:val="0"/>
        <w:keepLines w:val="0"/>
        <w:pageBreakBefore w:val="0"/>
        <w:widowControl w:val="0"/>
        <w:numPr>
          <w:ilvl w:val="0"/>
          <w:numId w:val="0"/>
        </w:numPr>
        <w:tabs>
          <w:tab w:val="left" w:pos="728"/>
        </w:tabs>
        <w:bidi w:val="0"/>
        <w:ind w:left="420"/>
        <w:rPr>
          <w:rFonts w:hint="eastAsia" w:ascii="楷体" w:hAnsi="楷体" w:eastAsia="楷体" w:cs="Calibri"/>
          <w:color w:val="auto"/>
          <w:sz w:val="21"/>
          <w:szCs w:val="21"/>
        </w:rPr>
      </w:pPr>
      <w:r>
        <w:rPr>
          <w:rFonts w:hint="eastAsia" w:ascii="楷体" w:hAnsi="楷体" w:eastAsia="楷体" w:cs="Calibri"/>
          <w:color w:val="auto"/>
          <w:sz w:val="21"/>
          <w:szCs w:val="21"/>
        </w:rPr>
        <w:t>本理财产品</w:t>
      </w:r>
      <w:r>
        <w:rPr>
          <w:rFonts w:hint="eastAsia" w:ascii="楷体" w:hAnsi="楷体" w:eastAsia="楷体" w:cs="Calibri"/>
          <w:color w:val="auto"/>
          <w:sz w:val="21"/>
          <w:szCs w:val="21"/>
          <w:lang w:val="en-US" w:eastAsia="zh-CN"/>
        </w:rPr>
        <w:t>杠杆率</w:t>
      </w:r>
      <w:r>
        <w:rPr>
          <w:rFonts w:hint="eastAsia" w:ascii="楷体" w:hAnsi="楷体" w:eastAsia="楷体" w:cs="Calibri"/>
          <w:color w:val="auto"/>
          <w:sz w:val="21"/>
          <w:szCs w:val="21"/>
        </w:rPr>
        <w:t>不超过</w:t>
      </w:r>
      <w:r>
        <w:rPr>
          <w:rFonts w:hint="eastAsia" w:ascii="楷体" w:hAnsi="楷体" w:eastAsia="楷体" w:cs="Calibri"/>
          <w:color w:val="auto"/>
          <w:sz w:val="21"/>
          <w:szCs w:val="21"/>
          <w:highlight w:val="none"/>
          <w:lang w:val="en-US" w:eastAsia="zh-CN"/>
        </w:rPr>
        <w:t>200%</w:t>
      </w:r>
      <w:r>
        <w:rPr>
          <w:rFonts w:hint="eastAsia" w:ascii="楷体" w:hAnsi="楷体" w:eastAsia="楷体" w:cs="Calibri"/>
          <w:color w:val="auto"/>
          <w:sz w:val="21"/>
          <w:szCs w:val="21"/>
        </w:rPr>
        <w:t>。</w:t>
      </w:r>
    </w:p>
    <w:p>
      <w:pPr>
        <w:keepNext w:val="0"/>
        <w:keepLines w:val="0"/>
        <w:pageBreakBefore w:val="0"/>
        <w:widowControl w:val="0"/>
        <w:numPr>
          <w:ilvl w:val="0"/>
          <w:numId w:val="0"/>
        </w:numPr>
        <w:tabs>
          <w:tab w:val="left" w:pos="993"/>
        </w:tabs>
        <w:bidi w:val="0"/>
        <w:ind w:firstLine="210"/>
        <w:outlineLvl w:val="9"/>
        <w:rPr>
          <w:rFonts w:hint="eastAsia" w:ascii="楷体" w:hAnsi="楷体" w:eastAsia="楷体" w:cs="Calibri"/>
          <w:b w:val="0"/>
          <w:bCs/>
          <w:sz w:val="21"/>
          <w:szCs w:val="21"/>
          <w:lang w:val="en-US" w:eastAsia="zh-CN"/>
        </w:rPr>
      </w:pPr>
      <w:r>
        <w:rPr>
          <w:rFonts w:hint="eastAsia" w:ascii="楷体" w:hAnsi="楷体" w:eastAsia="楷体" w:cs="Calibri"/>
          <w:b w:val="0"/>
          <w:bCs/>
          <w:sz w:val="21"/>
          <w:szCs w:val="21"/>
          <w:lang w:val="en-US" w:eastAsia="zh-CN"/>
        </w:rPr>
        <w:t>（五）投资管理调整</w:t>
      </w:r>
    </w:p>
    <w:p>
      <w:pPr>
        <w:keepNext w:val="0"/>
        <w:keepLines w:val="0"/>
        <w:pageBreakBefore w:val="0"/>
        <w:widowControl w:val="0"/>
        <w:bidi w:val="0"/>
        <w:spacing w:before="0"/>
        <w:ind w:left="0" w:firstLine="420"/>
        <w:jc w:val="both"/>
        <w:rPr>
          <w:rFonts w:hint="eastAsia" w:ascii="楷体" w:hAnsi="楷体" w:eastAsia="楷体" w:cs="Times New Roman"/>
          <w:color w:val="auto"/>
          <w:sz w:val="21"/>
          <w:szCs w:val="21"/>
          <w:lang w:val="en-US" w:eastAsia="zh-CN" w:bidi="ar-SA"/>
        </w:rPr>
      </w:pPr>
      <w:r>
        <w:rPr>
          <w:rFonts w:hint="eastAsia" w:ascii="楷体" w:hAnsi="楷体" w:eastAsia="楷体" w:cs="Times New Roman"/>
          <w:color w:val="auto"/>
          <w:sz w:val="21"/>
          <w:szCs w:val="21"/>
          <w:lang w:val="en-US" w:eastAsia="zh-CN" w:bidi="ar-SA"/>
        </w:rPr>
        <w:t>若法律法规、国家监管政策或市场情况发生重大变化，管理人在不改变产品类型的情况下，可对本说明书中已约定的投资范围、投资品种、投资比例等事项进行调整，产品管理人将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5"/>
        <w:keepNext w:val="0"/>
        <w:keepLines w:val="0"/>
        <w:pageBreakBefore w:val="0"/>
        <w:widowControl w:val="0"/>
        <w:bidi w:val="0"/>
        <w:spacing w:before="0"/>
        <w:ind w:left="0" w:firstLine="420"/>
        <w:rPr>
          <w:rFonts w:hint="eastAsia" w:ascii="楷体" w:hAnsi="楷体" w:eastAsia="楷体" w:cs="Times New Roman"/>
          <w:color w:val="auto"/>
          <w:sz w:val="21"/>
          <w:szCs w:val="21"/>
          <w:lang w:val="en-US" w:eastAsia="zh-CN" w:bidi="ar-SA"/>
        </w:rPr>
      </w:pPr>
      <w:r>
        <w:rPr>
          <w:rFonts w:hint="eastAsia" w:ascii="楷体" w:hAnsi="楷体" w:eastAsia="楷体" w:cs="Times New Roman"/>
          <w:color w:val="auto"/>
          <w:sz w:val="21"/>
          <w:szCs w:val="21"/>
          <w:lang w:val="en-US" w:eastAsia="zh-CN" w:bidi="ar-SA"/>
        </w:rPr>
        <w:t>如监管有最新规定的，可参照监管规定执行。</w:t>
      </w:r>
    </w:p>
    <w:p>
      <w:pPr>
        <w:numPr>
          <w:ilvl w:val="0"/>
          <w:numId w:val="0"/>
        </w:numPr>
        <w:tabs>
          <w:tab w:val="left" w:pos="1134"/>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七、</w:t>
      </w:r>
      <w:r>
        <w:rPr>
          <w:rFonts w:hint="eastAsia" w:ascii="楷体" w:hAnsi="楷体" w:eastAsia="楷体"/>
          <w:b/>
          <w:color w:val="auto"/>
          <w:sz w:val="21"/>
          <w:szCs w:val="21"/>
        </w:rPr>
        <w:t>产品认购</w:t>
      </w:r>
    </w:p>
    <w:p>
      <w:pPr>
        <w:numPr>
          <w:ilvl w:val="0"/>
          <w:numId w:val="10"/>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认购方式</w:t>
      </w:r>
      <w:r>
        <w:rPr>
          <w:rFonts w:hint="eastAsia" w:ascii="楷体" w:hAnsi="楷体" w:eastAsia="楷体" w:cs="Calibri"/>
          <w:color w:val="auto"/>
          <w:sz w:val="21"/>
          <w:szCs w:val="21"/>
          <w:lang w:val="en-US" w:eastAsia="zh-CN"/>
        </w:rPr>
        <w:t>及确认</w:t>
      </w:r>
    </w:p>
    <w:p>
      <w:pPr>
        <w:numPr>
          <w:ilvl w:val="0"/>
          <w:numId w:val="0"/>
        </w:numPr>
        <w:ind w:left="0"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rPr>
        <w:t>本理财产品可在各销售机构指定渠道进行认购</w:t>
      </w:r>
      <w:r>
        <w:rPr>
          <w:rFonts w:hint="eastAsia" w:ascii="楷体" w:hAnsi="楷体" w:eastAsia="楷体" w:cs="Calibri"/>
          <w:sz w:val="21"/>
          <w:szCs w:val="21"/>
          <w:highlight w:val="none"/>
          <w:lang w:val="en-US" w:eastAsia="zh-CN"/>
        </w:rPr>
        <w:t>，投资者按规定提交认购申请，管理人在份额登记日对投资者的认购申请成功登记后并收到投资者全额交付的款项，视为投资者的认购申请生效。投资者应在理财产品成立后及时查询最终的成交情况。</w:t>
      </w:r>
      <w:r>
        <w:rPr>
          <w:rFonts w:hint="eastAsia" w:ascii="楷体" w:hAnsi="楷体" w:eastAsia="楷体"/>
          <w:sz w:val="21"/>
          <w:szCs w:val="21"/>
          <w:highlight w:val="none"/>
        </w:rPr>
        <w:t>因投资者资金账户余额不足、司法冻结、不可抗力因素或其他不可归责于</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和销售机构的事由出现，造成认购申请未被确认的，</w:t>
      </w:r>
      <w:r>
        <w:rPr>
          <w:rFonts w:hint="eastAsia" w:ascii="楷体" w:hAnsi="楷体" w:eastAsia="楷体"/>
          <w:sz w:val="21"/>
          <w:szCs w:val="21"/>
          <w:highlight w:val="none"/>
          <w:lang w:val="en-US" w:eastAsia="zh-CN"/>
        </w:rPr>
        <w:t>管理人</w:t>
      </w:r>
      <w:r>
        <w:rPr>
          <w:rFonts w:hint="eastAsia" w:ascii="楷体" w:hAnsi="楷体" w:eastAsia="楷体"/>
          <w:sz w:val="21"/>
          <w:szCs w:val="21"/>
          <w:highlight w:val="none"/>
        </w:rPr>
        <w:t>和销售机构不承担任何责任。</w:t>
      </w:r>
    </w:p>
    <w:p>
      <w:pPr>
        <w:numPr>
          <w:ilvl w:val="0"/>
          <w:numId w:val="10"/>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认购份额的计算</w:t>
      </w:r>
    </w:p>
    <w:p>
      <w:pPr>
        <w:ind w:firstLine="420"/>
        <w:rPr>
          <w:rFonts w:hint="eastAsia" w:ascii="楷体" w:hAnsi="楷体" w:eastAsia="楷体"/>
          <w:color w:val="auto"/>
          <w:sz w:val="21"/>
          <w:szCs w:val="21"/>
        </w:rPr>
      </w:pPr>
      <w:r>
        <w:rPr>
          <w:rFonts w:ascii="楷体" w:hAnsi="楷体" w:eastAsia="楷体"/>
          <w:color w:val="auto"/>
          <w:sz w:val="21"/>
          <w:szCs w:val="21"/>
        </w:rPr>
        <w:t>认购份额=</w:t>
      </w:r>
      <w:r>
        <w:rPr>
          <w:rFonts w:hint="eastAsia" w:ascii="楷体" w:hAnsi="楷体" w:eastAsia="楷体"/>
          <w:color w:val="auto"/>
          <w:sz w:val="21"/>
          <w:szCs w:val="21"/>
        </w:rPr>
        <w:t>认购金额</w:t>
      </w:r>
      <w:r>
        <w:rPr>
          <w:rFonts w:ascii="楷体" w:hAnsi="楷体" w:eastAsia="楷体"/>
          <w:color w:val="auto"/>
          <w:sz w:val="21"/>
          <w:szCs w:val="21"/>
        </w:rPr>
        <w:t>/</w:t>
      </w:r>
      <w:r>
        <w:rPr>
          <w:rFonts w:hint="eastAsia" w:ascii="楷体" w:hAnsi="楷体" w:eastAsia="楷体"/>
          <w:color w:val="auto"/>
          <w:sz w:val="21"/>
          <w:szCs w:val="21"/>
        </w:rPr>
        <w:t>产品</w:t>
      </w:r>
      <w:r>
        <w:rPr>
          <w:rFonts w:hint="eastAsia" w:ascii="楷体" w:hAnsi="楷体" w:eastAsia="楷体"/>
          <w:color w:val="auto"/>
          <w:sz w:val="21"/>
          <w:szCs w:val="21"/>
          <w:lang w:val="en-US" w:eastAsia="zh-CN"/>
        </w:rPr>
        <w:t>份额面值，</w:t>
      </w:r>
      <w:r>
        <w:rPr>
          <w:rFonts w:ascii="楷体" w:hAnsi="楷体" w:eastAsia="楷体"/>
          <w:color w:val="auto"/>
          <w:sz w:val="21"/>
          <w:szCs w:val="21"/>
        </w:rPr>
        <w:t>认购份额</w:t>
      </w:r>
      <w:r>
        <w:rPr>
          <w:rFonts w:hint="eastAsia" w:ascii="楷体" w:hAnsi="楷体" w:eastAsia="楷体"/>
          <w:color w:val="auto"/>
          <w:sz w:val="21"/>
          <w:szCs w:val="21"/>
        </w:rPr>
        <w:t>以四舍五入的方法保留到小数点后两位。</w:t>
      </w:r>
    </w:p>
    <w:p>
      <w:pPr>
        <w:numPr>
          <w:ilvl w:val="0"/>
          <w:numId w:val="0"/>
        </w:numPr>
        <w:tabs>
          <w:tab w:val="left" w:pos="1134"/>
        </w:tabs>
        <w:ind w:left="420"/>
        <w:outlineLvl w:val="0"/>
        <w:rPr>
          <w:rFonts w:hint="eastAsia" w:ascii="楷体" w:hAnsi="楷体" w:eastAsia="楷体"/>
          <w:b/>
          <w:color w:val="auto"/>
          <w:sz w:val="21"/>
          <w:szCs w:val="21"/>
        </w:rPr>
      </w:pPr>
      <w:r>
        <w:rPr>
          <w:rFonts w:hint="eastAsia" w:ascii="楷体" w:hAnsi="楷体" w:eastAsia="楷体"/>
          <w:b/>
          <w:color w:val="auto"/>
          <w:sz w:val="21"/>
          <w:szCs w:val="21"/>
          <w:lang w:val="en-US" w:eastAsia="zh-CN"/>
        </w:rPr>
        <w:t>八、</w:t>
      </w:r>
      <w:r>
        <w:rPr>
          <w:rFonts w:hint="eastAsia" w:ascii="楷体" w:hAnsi="楷体" w:eastAsia="楷体"/>
          <w:b/>
          <w:color w:val="auto"/>
          <w:sz w:val="21"/>
          <w:szCs w:val="21"/>
        </w:rPr>
        <w:t>产品终止</w:t>
      </w:r>
    </w:p>
    <w:p>
      <w:pPr>
        <w:numPr>
          <w:ilvl w:val="0"/>
          <w:numId w:val="11"/>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提前终止</w:t>
      </w:r>
    </w:p>
    <w:p>
      <w:pPr>
        <w:numPr>
          <w:ilvl w:val="0"/>
          <w:numId w:val="0"/>
        </w:numPr>
        <w:ind w:left="0" w:firstLine="420"/>
        <w:rPr>
          <w:rFonts w:hint="eastAsia" w:ascii="楷体" w:hAnsi="楷体" w:eastAsia="楷体"/>
          <w:color w:val="auto"/>
          <w:sz w:val="21"/>
          <w:szCs w:val="21"/>
        </w:rPr>
      </w:pPr>
      <w:r>
        <w:rPr>
          <w:rFonts w:hint="eastAsia" w:ascii="楷体" w:hAnsi="楷体" w:eastAsia="楷体" w:cs="Calibri"/>
          <w:b w:val="0"/>
          <w:bCs w:val="0"/>
          <w:color w:val="auto"/>
          <w:sz w:val="21"/>
          <w:szCs w:val="21"/>
        </w:rPr>
        <w:t>在理财产品投资运作期间内，投资者无权要求提前终止该理财产品。在理财产品投资运作期间内，</w:t>
      </w:r>
      <w:r>
        <w:rPr>
          <w:rFonts w:hint="eastAsia" w:ascii="楷体" w:hAnsi="楷体" w:eastAsia="楷体" w:cs="Calibri"/>
          <w:b w:val="0"/>
          <w:bCs w:val="0"/>
          <w:color w:val="auto"/>
          <w:sz w:val="21"/>
          <w:szCs w:val="21"/>
          <w:lang w:val="en-US" w:eastAsia="zh-CN"/>
        </w:rPr>
        <w:t>包括但不限于</w:t>
      </w:r>
      <w:r>
        <w:rPr>
          <w:rFonts w:hint="eastAsia" w:ascii="楷体" w:hAnsi="楷体" w:eastAsia="楷体" w:cs="Calibri"/>
          <w:b w:val="0"/>
          <w:bCs w:val="0"/>
          <w:color w:val="auto"/>
          <w:sz w:val="21"/>
          <w:szCs w:val="21"/>
        </w:rPr>
        <w:t>出现下列情形时，产品管理人有权提前终止本产品：因不可抗力原因导致理财产品无法继续运作；因法律法规变化或国家金融政策调整。</w:t>
      </w:r>
      <w:r>
        <w:rPr>
          <w:rFonts w:hint="eastAsia" w:ascii="楷体" w:hAnsi="楷体" w:eastAsia="楷体"/>
          <w:b w:val="0"/>
          <w:bCs w:val="0"/>
          <w:color w:val="auto"/>
          <w:sz w:val="21"/>
          <w:szCs w:val="21"/>
        </w:rPr>
        <w:t>如理财产品管理人提前终止本理财产品，将至少提前2个工作日（含）按说明书约定的信息披露方式予以披露</w:t>
      </w:r>
      <w:r>
        <w:rPr>
          <w:rFonts w:hint="eastAsia" w:ascii="楷体" w:hAnsi="楷体" w:eastAsia="楷体"/>
          <w:b w:val="0"/>
          <w:bCs w:val="0"/>
          <w:color w:val="auto"/>
          <w:sz w:val="21"/>
          <w:szCs w:val="21"/>
          <w:lang w:eastAsia="zh-CN"/>
        </w:rPr>
        <w:t>，</w:t>
      </w:r>
      <w:r>
        <w:rPr>
          <w:rFonts w:hint="eastAsia" w:ascii="楷体" w:hAnsi="楷体" w:eastAsia="楷体"/>
          <w:b w:val="0"/>
          <w:bCs w:val="0"/>
          <w:color w:val="auto"/>
          <w:sz w:val="21"/>
          <w:szCs w:val="21"/>
          <w:lang w:val="en-US" w:eastAsia="zh-CN"/>
        </w:rPr>
        <w:t>明确产品终止日</w:t>
      </w:r>
      <w:r>
        <w:rPr>
          <w:rFonts w:hint="eastAsia" w:ascii="楷体" w:hAnsi="楷体" w:eastAsia="楷体"/>
          <w:color w:val="auto"/>
          <w:sz w:val="21"/>
          <w:szCs w:val="21"/>
        </w:rPr>
        <w:t>。</w:t>
      </w:r>
    </w:p>
    <w:p>
      <w:pPr>
        <w:numPr>
          <w:ilvl w:val="0"/>
          <w:numId w:val="11"/>
        </w:numPr>
        <w:tabs>
          <w:tab w:val="left" w:pos="993"/>
        </w:tabs>
        <w:ind w:left="0" w:firstLine="420"/>
        <w:rPr>
          <w:rFonts w:hint="eastAsia" w:ascii="楷体" w:hAnsi="楷体" w:eastAsia="楷体" w:cs="Calibri"/>
          <w:b w:val="0"/>
          <w:color w:val="auto"/>
          <w:sz w:val="21"/>
          <w:szCs w:val="21"/>
        </w:rPr>
      </w:pPr>
      <w:r>
        <w:rPr>
          <w:rFonts w:hint="eastAsia" w:ascii="楷体" w:hAnsi="楷体" w:eastAsia="楷体" w:cs="Calibri"/>
          <w:b w:val="0"/>
          <w:color w:val="auto"/>
          <w:sz w:val="21"/>
          <w:szCs w:val="21"/>
          <w:lang w:val="en-US" w:eastAsia="zh-CN"/>
        </w:rPr>
        <w:t>正常终止</w:t>
      </w:r>
    </w:p>
    <w:p>
      <w:pPr>
        <w:ind w:firstLine="420"/>
        <w:rPr>
          <w:rFonts w:hint="eastAsia" w:ascii="楷体" w:hAnsi="楷体" w:eastAsia="楷体" w:cs="Calibri"/>
          <w:color w:val="auto"/>
          <w:sz w:val="21"/>
          <w:szCs w:val="21"/>
        </w:rPr>
      </w:pPr>
      <w:r>
        <w:rPr>
          <w:rFonts w:hint="eastAsia" w:ascii="楷体" w:hAnsi="楷体" w:eastAsia="楷体" w:cs="Calibri"/>
          <w:color w:val="auto"/>
          <w:sz w:val="21"/>
          <w:szCs w:val="21"/>
        </w:rPr>
        <w:t>投资者持有本理财产品至产品到期日，投资者的投资本金和收益（如有）将在产品到期后一次性支付。</w:t>
      </w:r>
    </w:p>
    <w:p>
      <w:pPr>
        <w:numPr>
          <w:ilvl w:val="0"/>
          <w:numId w:val="11"/>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延期</w:t>
      </w:r>
      <w:r>
        <w:rPr>
          <w:rFonts w:hint="eastAsia" w:ascii="楷体" w:hAnsi="楷体" w:eastAsia="楷体" w:cs="Calibri"/>
          <w:color w:val="auto"/>
          <w:sz w:val="21"/>
          <w:szCs w:val="21"/>
          <w:lang w:val="en-US" w:eastAsia="zh-CN"/>
        </w:rPr>
        <w:t>终止</w:t>
      </w:r>
    </w:p>
    <w:p>
      <w:pPr>
        <w:ind w:firstLine="420"/>
        <w:rPr>
          <w:rFonts w:hint="eastAsia" w:ascii="楷体" w:hAnsi="楷体" w:eastAsia="楷体" w:cs="Calibri"/>
          <w:color w:val="auto"/>
          <w:sz w:val="21"/>
          <w:szCs w:val="21"/>
        </w:rPr>
      </w:pPr>
      <w:r>
        <w:rPr>
          <w:rFonts w:hint="eastAsia" w:ascii="楷体" w:hAnsi="楷体" w:eastAsia="楷体" w:cs="Calibri"/>
          <w:color w:val="auto"/>
          <w:sz w:val="21"/>
          <w:szCs w:val="21"/>
        </w:rPr>
        <w:t>因不可抗力、法律法规规定或监管部门认定的其他情形</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rPr>
        <w:t>产品管理人有权延长本理财产品的终止日。产品管理人决定延期兑付的，将至少提前2个工作日（含）按说明书约定的信息披露方式予以披露。</w:t>
      </w:r>
    </w:p>
    <w:p>
      <w:pPr>
        <w:numPr>
          <w:ilvl w:val="0"/>
          <w:numId w:val="11"/>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投资者可得资金计算</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投资者可得资金=投资者持有份额×产品到期</w:t>
      </w:r>
      <w:r>
        <w:rPr>
          <w:rFonts w:hint="eastAsia" w:ascii="楷体" w:hAnsi="楷体" w:eastAsia="楷体"/>
          <w:color w:val="auto"/>
          <w:sz w:val="21"/>
          <w:szCs w:val="21"/>
          <w:lang w:eastAsia="zh-CN"/>
        </w:rPr>
        <w:t>（</w:t>
      </w:r>
      <w:r>
        <w:rPr>
          <w:rFonts w:hint="eastAsia" w:ascii="楷体" w:hAnsi="楷体" w:eastAsia="楷体"/>
          <w:color w:val="auto"/>
          <w:sz w:val="21"/>
          <w:szCs w:val="21"/>
          <w:lang w:val="en-US" w:eastAsia="zh-CN"/>
        </w:rPr>
        <w:t>终止）</w:t>
      </w:r>
      <w:r>
        <w:rPr>
          <w:rFonts w:hint="eastAsia" w:ascii="楷体" w:hAnsi="楷体" w:eastAsia="楷体"/>
          <w:color w:val="auto"/>
          <w:sz w:val="21"/>
          <w:szCs w:val="21"/>
        </w:rPr>
        <w:t>时单位净值</w:t>
      </w:r>
      <w:r>
        <w:rPr>
          <w:rFonts w:hint="eastAsia" w:ascii="楷体" w:hAnsi="楷体" w:eastAsia="楷体"/>
          <w:color w:val="auto"/>
          <w:sz w:val="21"/>
          <w:szCs w:val="21"/>
          <w:lang w:eastAsia="zh-CN"/>
        </w:rPr>
        <w:t>，</w:t>
      </w:r>
      <w:r>
        <w:rPr>
          <w:rFonts w:hint="eastAsia" w:ascii="楷体" w:hAnsi="楷体" w:eastAsia="楷体"/>
          <w:color w:val="auto"/>
          <w:sz w:val="21"/>
          <w:szCs w:val="21"/>
        </w:rPr>
        <w:t>投资者可得资金以四舍五入的方法保留到小数点后两位。</w:t>
      </w:r>
    </w:p>
    <w:p>
      <w:pPr>
        <w:numPr>
          <w:ilvl w:val="0"/>
          <w:numId w:val="11"/>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终止</w:t>
      </w:r>
      <w:r>
        <w:rPr>
          <w:rFonts w:hint="eastAsia" w:ascii="楷体" w:hAnsi="楷体" w:eastAsia="楷体" w:cs="Calibri"/>
          <w:color w:val="auto"/>
          <w:sz w:val="21"/>
          <w:szCs w:val="21"/>
        </w:rPr>
        <w:t>清算</w:t>
      </w:r>
    </w:p>
    <w:p>
      <w:pPr>
        <w:ind w:firstLine="420"/>
        <w:rPr>
          <w:rFonts w:hint="eastAsia"/>
        </w:rPr>
      </w:pPr>
      <w:r>
        <w:rPr>
          <w:rFonts w:hint="eastAsia" w:ascii="楷体" w:hAnsi="楷体" w:eastAsia="楷体" w:cs="Calibri"/>
          <w:color w:val="auto"/>
          <w:sz w:val="21"/>
          <w:szCs w:val="21"/>
        </w:rPr>
        <w:t>投资者的投资本金和收益（如有）将于产品到期日</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lang w:val="en-US" w:eastAsia="zh-CN"/>
        </w:rPr>
        <w:t>产品终止日）</w:t>
      </w:r>
      <w:r>
        <w:rPr>
          <w:rFonts w:hint="eastAsia" w:ascii="楷体" w:hAnsi="楷体" w:eastAsia="楷体" w:cs="Calibri"/>
          <w:color w:val="auto"/>
          <w:sz w:val="21"/>
          <w:szCs w:val="21"/>
        </w:rPr>
        <w:t>后5个工作日以内划至投资者指定账户，如遇</w:t>
      </w:r>
      <w:r>
        <w:rPr>
          <w:rFonts w:hint="eastAsia" w:ascii="楷体" w:hAnsi="楷体" w:eastAsia="楷体" w:cs="Calibri"/>
          <w:color w:val="auto"/>
          <w:sz w:val="21"/>
          <w:szCs w:val="21"/>
          <w:lang w:val="en-US" w:eastAsia="zh-CN"/>
        </w:rPr>
        <w:t>非工作日</w:t>
      </w:r>
      <w:r>
        <w:rPr>
          <w:rFonts w:hint="eastAsia" w:ascii="楷体" w:hAnsi="楷体" w:eastAsia="楷体" w:cs="Calibri"/>
          <w:color w:val="auto"/>
          <w:sz w:val="21"/>
          <w:szCs w:val="21"/>
        </w:rPr>
        <w:t>则相应顺延。</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九、情景示例</w:t>
      </w:r>
    </w:p>
    <w:p>
      <w:pPr>
        <w:ind w:firstLine="422"/>
        <w:rPr>
          <w:rFonts w:hint="eastAsia" w:ascii="楷体" w:hAnsi="楷体" w:eastAsia="楷体"/>
          <w:b/>
          <w:color w:val="auto"/>
          <w:sz w:val="24"/>
          <w:szCs w:val="24"/>
          <w:u w:val="single"/>
        </w:rPr>
      </w:pPr>
      <w:r>
        <w:rPr>
          <w:rFonts w:hint="eastAsia" w:ascii="楷体" w:hAnsi="楷体" w:eastAsia="楷体"/>
          <w:b/>
          <w:color w:val="auto"/>
          <w:sz w:val="21"/>
          <w:szCs w:val="21"/>
          <w:u w:val="single"/>
        </w:rPr>
        <w:t>以下示例均为假设情况，不代表本产品实际投资业绩。</w:t>
      </w:r>
    </w:p>
    <w:p>
      <w:pPr>
        <w:ind w:firstLine="420"/>
        <w:rPr>
          <w:rFonts w:hint="eastAsia" w:ascii="楷体" w:hAnsi="楷体" w:eastAsia="楷体"/>
          <w:color w:val="auto"/>
          <w:sz w:val="21"/>
          <w:szCs w:val="21"/>
        </w:rPr>
      </w:pPr>
      <w:r>
        <w:rPr>
          <w:rFonts w:hint="eastAsia" w:ascii="楷体" w:hAnsi="楷体" w:eastAsia="楷体"/>
          <w:color w:val="auto"/>
          <w:sz w:val="21"/>
          <w:szCs w:val="21"/>
        </w:rPr>
        <w:t>1.情景一</w:t>
      </w:r>
    </w:p>
    <w:p>
      <w:pPr>
        <w:ind w:firstLine="420"/>
        <w:rPr>
          <w:rFonts w:hint="eastAsia" w:ascii="楷体" w:hAnsi="楷体" w:eastAsia="楷体"/>
          <w:color w:val="auto"/>
          <w:sz w:val="21"/>
          <w:szCs w:val="21"/>
        </w:rPr>
      </w:pPr>
      <w:r>
        <w:rPr>
          <w:rFonts w:hint="eastAsia" w:ascii="楷体" w:hAnsi="楷体" w:eastAsia="楷体"/>
          <w:color w:val="auto"/>
          <w:sz w:val="21"/>
          <w:szCs w:val="21"/>
        </w:rPr>
        <w:t>假定投资者于募集期认购本产品，投资金额为10,000.00元，购买产品时单位净值为1.0000元，折算份额为10,000.00份。产品到期时，产品单位净值为</w:t>
      </w:r>
      <w:r>
        <w:rPr>
          <w:rFonts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投资者可得资金=10,000.00×</w:t>
      </w:r>
      <w:r>
        <w:rPr>
          <w:rFonts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投资者投资收益=10,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00.00-10,000.00=</w:t>
      </w:r>
      <w:r>
        <w:rPr>
          <w:rFonts w:hint="eastAsia" w:ascii="楷体" w:hAnsi="楷体" w:eastAsia="楷体"/>
          <w:color w:val="auto"/>
          <w:sz w:val="21"/>
          <w:szCs w:val="21"/>
          <w:lang w:val="en-US" w:eastAsia="zh-CN"/>
        </w:rPr>
        <w:t>3</w:t>
      </w:r>
      <w:r>
        <w:rPr>
          <w:rFonts w:hint="eastAsia" w:ascii="楷体" w:hAnsi="楷体" w:eastAsia="楷体"/>
          <w:color w:val="auto"/>
          <w:sz w:val="21"/>
          <w:szCs w:val="21"/>
        </w:rPr>
        <w:t>00.00（元）</w:t>
      </w:r>
    </w:p>
    <w:p>
      <w:pPr>
        <w:ind w:firstLine="420"/>
        <w:rPr>
          <w:rFonts w:hint="eastAsia" w:ascii="楷体" w:hAnsi="楷体" w:eastAsia="楷体"/>
          <w:color w:val="auto"/>
          <w:sz w:val="21"/>
          <w:szCs w:val="21"/>
        </w:rPr>
      </w:pPr>
      <w:r>
        <w:rPr>
          <w:rFonts w:hint="eastAsia" w:ascii="楷体" w:hAnsi="楷体" w:eastAsia="楷体"/>
          <w:color w:val="auto"/>
          <w:sz w:val="21"/>
          <w:szCs w:val="21"/>
        </w:rPr>
        <w:t>2.情景二</w:t>
      </w:r>
    </w:p>
    <w:p>
      <w:pPr>
        <w:ind w:firstLine="420"/>
        <w:rPr>
          <w:rFonts w:hint="eastAsia" w:ascii="楷体" w:hAnsi="楷体" w:eastAsia="楷体"/>
          <w:color w:val="auto"/>
          <w:sz w:val="21"/>
          <w:szCs w:val="21"/>
        </w:rPr>
      </w:pPr>
      <w:r>
        <w:rPr>
          <w:rFonts w:hint="eastAsia" w:ascii="楷体" w:hAnsi="楷体" w:eastAsia="楷体"/>
          <w:color w:val="auto"/>
          <w:sz w:val="21"/>
          <w:szCs w:val="21"/>
        </w:rPr>
        <w:t>假定投资者于募集期认购本产品，投资金额为10,000.00元，购买产品时单位净值为1.0000元，折算份额为10,000.00份。产品到期时，产品单位净值为</w:t>
      </w:r>
      <w:r>
        <w:rPr>
          <w:rFonts w:ascii="楷体" w:hAnsi="楷体" w:eastAsia="楷体"/>
          <w:color w:val="auto"/>
          <w:sz w:val="21"/>
          <w:szCs w:val="21"/>
        </w:rPr>
        <w:t>0.9975</w:t>
      </w:r>
      <w:r>
        <w:rPr>
          <w:rFonts w:hint="eastAsia" w:ascii="楷体" w:hAnsi="楷体" w:eastAsia="楷体"/>
          <w:color w:val="auto"/>
          <w:sz w:val="21"/>
          <w:szCs w:val="21"/>
        </w:rPr>
        <w:t>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投资者可得资金=10,000.00×0.9975=9,975.00（元）</w:t>
      </w:r>
    </w:p>
    <w:p>
      <w:pPr>
        <w:ind w:firstLine="420"/>
        <w:rPr>
          <w:rFonts w:hint="eastAsia" w:ascii="楷体" w:hAnsi="楷体" w:eastAsia="楷体"/>
          <w:color w:val="auto"/>
          <w:sz w:val="21"/>
          <w:szCs w:val="21"/>
        </w:rPr>
      </w:pPr>
      <w:r>
        <w:rPr>
          <w:rFonts w:hint="eastAsia" w:ascii="楷体" w:hAnsi="楷体" w:eastAsia="楷体"/>
          <w:color w:val="auto"/>
          <w:sz w:val="21"/>
          <w:szCs w:val="21"/>
        </w:rPr>
        <w:t>投资者投资收益=9,975.00-10,000.00=-</w:t>
      </w:r>
      <w:r>
        <w:rPr>
          <w:rFonts w:ascii="楷体" w:hAnsi="楷体" w:eastAsia="楷体"/>
          <w:color w:val="auto"/>
          <w:sz w:val="21"/>
          <w:szCs w:val="21"/>
        </w:rPr>
        <w:t>25</w:t>
      </w:r>
      <w:r>
        <w:rPr>
          <w:rFonts w:hint="eastAsia" w:ascii="楷体" w:hAnsi="楷体" w:eastAsia="楷体"/>
          <w:color w:val="auto"/>
          <w:sz w:val="21"/>
          <w:szCs w:val="21"/>
        </w:rPr>
        <w:t>.</w:t>
      </w:r>
      <w:r>
        <w:rPr>
          <w:rFonts w:ascii="楷体" w:hAnsi="楷体" w:eastAsia="楷体"/>
          <w:color w:val="auto"/>
          <w:sz w:val="21"/>
          <w:szCs w:val="21"/>
        </w:rPr>
        <w:t>00</w:t>
      </w:r>
      <w:r>
        <w:rPr>
          <w:rFonts w:hint="eastAsia" w:ascii="楷体" w:hAnsi="楷体" w:eastAsia="楷体"/>
          <w:color w:val="auto"/>
          <w:sz w:val="21"/>
          <w:szCs w:val="21"/>
        </w:rPr>
        <w:t>（元）</w:t>
      </w:r>
    </w:p>
    <w:p>
      <w:pPr>
        <w:ind w:firstLine="422"/>
        <w:rPr>
          <w:rFonts w:hint="eastAsia" w:ascii="楷体" w:hAnsi="楷体" w:eastAsia="楷体"/>
          <w:b/>
          <w:color w:val="auto"/>
          <w:sz w:val="21"/>
          <w:szCs w:val="21"/>
          <w:u w:val="single"/>
        </w:rPr>
      </w:pPr>
      <w:r>
        <w:rPr>
          <w:rFonts w:hint="eastAsia" w:ascii="楷体" w:hAnsi="楷体" w:eastAsia="楷体"/>
          <w:b/>
          <w:color w:val="auto"/>
          <w:sz w:val="21"/>
          <w:szCs w:val="21"/>
          <w:u w:val="single"/>
        </w:rPr>
        <w:t>最不利的情形下，投资者可能损失100%本金。</w:t>
      </w:r>
    </w:p>
    <w:p>
      <w:pPr>
        <w:ind w:firstLine="422"/>
        <w:rPr>
          <w:rFonts w:hint="eastAsia" w:ascii="楷体" w:hAnsi="楷体" w:eastAsia="楷体"/>
          <w:color w:val="auto"/>
          <w:sz w:val="21"/>
          <w:szCs w:val="21"/>
        </w:rPr>
      </w:pPr>
      <w:r>
        <w:rPr>
          <w:rFonts w:hint="eastAsia" w:ascii="楷体" w:hAnsi="楷体" w:eastAsia="楷体"/>
          <w:b/>
          <w:color w:val="auto"/>
          <w:sz w:val="21"/>
          <w:szCs w:val="21"/>
          <w:u w:val="single"/>
        </w:rPr>
        <w:t>上述情况假设仅用于向投资者示例收益计算方法之用，并不代表管理人对实际投资情况的预期判断，</w:t>
      </w:r>
      <w:r>
        <w:rPr>
          <w:rFonts w:hint="eastAsia" w:ascii="楷体" w:hAnsi="楷体" w:eastAsia="楷体"/>
          <w:b/>
          <w:color w:val="auto"/>
          <w:sz w:val="21"/>
          <w:szCs w:val="21"/>
          <w:u w:val="single"/>
          <w:lang w:eastAsia="zh-CN"/>
        </w:rPr>
        <w:t>也不代表</w:t>
      </w:r>
      <w:r>
        <w:rPr>
          <w:rFonts w:hint="eastAsia" w:ascii="楷体" w:hAnsi="楷体" w:eastAsia="楷体"/>
          <w:b/>
          <w:color w:val="auto"/>
          <w:sz w:val="21"/>
          <w:szCs w:val="21"/>
          <w:u w:val="single"/>
        </w:rPr>
        <w:t>以上所有情形或某一情形一定会发生，或管理人认为发生的可能性很大。投资者获得的最终收益以产品实际运作表现及管理人实际支付为准。</w:t>
      </w:r>
    </w:p>
    <w:p>
      <w:pPr>
        <w:numPr>
          <w:ilvl w:val="0"/>
          <w:numId w:val="0"/>
        </w:numPr>
        <w:tabs>
          <w:tab w:val="left" w:pos="1134"/>
        </w:tabs>
        <w:ind w:left="420"/>
        <w:outlineLvl w:val="0"/>
        <w:rPr>
          <w:rFonts w:hint="eastAsia" w:ascii="楷体" w:hAnsi="楷体" w:eastAsia="楷体"/>
          <w:b/>
          <w:color w:val="auto"/>
          <w:sz w:val="21"/>
          <w:szCs w:val="21"/>
          <w:lang w:val="en-US" w:eastAsia="zh-CN"/>
        </w:rPr>
      </w:pPr>
      <w:r>
        <w:rPr>
          <w:rFonts w:hint="eastAsia" w:ascii="楷体" w:hAnsi="楷体" w:eastAsia="楷体"/>
          <w:b/>
          <w:color w:val="auto"/>
          <w:sz w:val="21"/>
          <w:szCs w:val="21"/>
          <w:lang w:val="en-US" w:eastAsia="zh-CN"/>
        </w:rPr>
        <w:t>十、产品费用</w:t>
      </w:r>
    </w:p>
    <w:p>
      <w:pPr>
        <w:numPr>
          <w:ilvl w:val="0"/>
          <w:numId w:val="0"/>
        </w:numPr>
        <w:ind w:left="0" w:firstLine="420"/>
        <w:rPr>
          <w:rFonts w:hint="default" w:ascii="楷体" w:hAnsi="楷体" w:eastAsia="楷体" w:cs="Calibri"/>
          <w:color w:val="auto"/>
          <w:sz w:val="21"/>
          <w:szCs w:val="21"/>
        </w:rPr>
      </w:pPr>
      <w:r>
        <w:rPr>
          <w:rFonts w:hint="eastAsia" w:ascii="楷体" w:hAnsi="楷体" w:eastAsia="楷体"/>
          <w:color w:val="auto"/>
          <w:sz w:val="21"/>
          <w:szCs w:val="21"/>
        </w:rPr>
        <w:t>本产品费用包括托管费、销售服务费、投资管理费、</w:t>
      </w:r>
      <w:r>
        <w:rPr>
          <w:rFonts w:hint="eastAsia" w:ascii="楷体" w:hAnsi="楷体" w:eastAsia="楷体"/>
          <w:color w:val="auto"/>
          <w:sz w:val="21"/>
          <w:szCs w:val="21"/>
          <w:lang w:val="en-US" w:eastAsia="zh-CN"/>
        </w:rPr>
        <w:t>信息技术服务费、</w:t>
      </w:r>
      <w:r>
        <w:rPr>
          <w:rFonts w:hint="eastAsia" w:ascii="楷体" w:hAnsi="楷体" w:eastAsia="楷体"/>
          <w:color w:val="auto"/>
          <w:sz w:val="21"/>
          <w:szCs w:val="21"/>
        </w:rPr>
        <w:t>超额业绩报酬（如有）以及产品运作和清算中产生的其他费用等。</w:t>
      </w:r>
      <w:r>
        <w:rPr>
          <w:rFonts w:hint="eastAsia" w:ascii="楷体" w:hAnsi="楷体" w:eastAsia="楷体" w:cs="Calibri"/>
          <w:color w:val="auto"/>
          <w:sz w:val="21"/>
          <w:szCs w:val="21"/>
        </w:rPr>
        <w:t>计提方法</w:t>
      </w:r>
      <w:r>
        <w:rPr>
          <w:rFonts w:hint="eastAsia" w:ascii="楷体" w:hAnsi="楷体" w:eastAsia="楷体" w:cs="Calibri"/>
          <w:color w:val="auto"/>
          <w:sz w:val="21"/>
          <w:szCs w:val="21"/>
          <w:lang w:val="en-US" w:eastAsia="zh-CN"/>
        </w:rPr>
        <w:t>如下:</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托管费：每日计提，每日应计提的托管费＝前一日的产品资产净值×托管费率÷365</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销售服务费：</w:t>
      </w:r>
    </w:p>
    <w:p>
      <w:pPr>
        <w:numPr>
          <w:ilvl w:val="0"/>
          <w:numId w:val="0"/>
        </w:numPr>
        <w:ind w:left="0" w:firstLine="420"/>
        <w:rPr>
          <w:rFonts w:hint="eastAsia" w:ascii="楷体" w:hAnsi="楷体" w:eastAsia="楷体"/>
          <w:color w:val="auto"/>
          <w:sz w:val="21"/>
          <w:szCs w:val="21"/>
          <w:lang w:eastAsia="zh-CN"/>
        </w:rPr>
      </w:pPr>
      <w:r>
        <w:rPr>
          <w:rFonts w:hint="eastAsia" w:ascii="楷体" w:hAnsi="楷体" w:eastAsia="楷体"/>
          <w:color w:val="auto"/>
          <w:sz w:val="21"/>
          <w:szCs w:val="21"/>
        </w:rPr>
        <w:t>①</w:t>
      </w:r>
      <w:r>
        <w:rPr>
          <w:rFonts w:hint="eastAsia" w:ascii="楷体" w:hAnsi="楷体" w:eastAsia="楷体"/>
          <w:color w:val="auto"/>
          <w:sz w:val="21"/>
          <w:szCs w:val="21"/>
          <w:lang w:val="en-US" w:eastAsia="zh-CN"/>
        </w:rPr>
        <w:t>每日计提模式：</w:t>
      </w:r>
      <w:r>
        <w:rPr>
          <w:rFonts w:hint="eastAsia" w:ascii="楷体" w:hAnsi="楷体" w:eastAsia="楷体"/>
          <w:color w:val="auto"/>
          <w:sz w:val="21"/>
          <w:szCs w:val="21"/>
        </w:rPr>
        <w:t>每日计提</w:t>
      </w:r>
      <w:r>
        <w:rPr>
          <w:rFonts w:hint="eastAsia" w:ascii="楷体" w:hAnsi="楷体" w:eastAsia="楷体"/>
          <w:color w:val="auto"/>
          <w:sz w:val="21"/>
          <w:szCs w:val="21"/>
          <w:lang w:eastAsia="zh-CN"/>
        </w:rPr>
        <w:t>，</w:t>
      </w:r>
      <w:r>
        <w:rPr>
          <w:rFonts w:hint="eastAsia" w:ascii="楷体" w:hAnsi="楷体" w:eastAsia="楷体"/>
          <w:color w:val="auto"/>
          <w:sz w:val="21"/>
          <w:szCs w:val="21"/>
        </w:rPr>
        <w:t>每日应计提的销售服务费＝前一日的产品资产净值×销售服务费率÷365</w:t>
      </w:r>
      <w:r>
        <w:rPr>
          <w:rFonts w:hint="eastAsia" w:ascii="楷体" w:hAnsi="楷体" w:eastAsia="楷体"/>
          <w:color w:val="auto"/>
          <w:sz w:val="21"/>
          <w:szCs w:val="21"/>
          <w:lang w:eastAsia="zh-CN"/>
        </w:rPr>
        <w:t>。</w:t>
      </w:r>
    </w:p>
    <w:p>
      <w:pPr>
        <w:numPr>
          <w:ilvl w:val="0"/>
          <w:numId w:val="0"/>
        </w:numPr>
        <w:ind w:left="0" w:firstLine="420"/>
        <w:rPr>
          <w:rFonts w:hint="eastAsia" w:ascii="楷体" w:hAnsi="楷体" w:eastAsia="楷体"/>
          <w:color w:val="auto"/>
          <w:sz w:val="21"/>
          <w:szCs w:val="21"/>
        </w:rPr>
      </w:pPr>
      <w:r>
        <w:rPr>
          <w:rFonts w:hint="eastAsia" w:ascii="楷体" w:hAnsi="楷体" w:eastAsia="楷体"/>
          <w:color w:val="auto"/>
          <w:sz w:val="21"/>
          <w:szCs w:val="21"/>
        </w:rPr>
        <w:t>②</w:t>
      </w:r>
      <w:r>
        <w:rPr>
          <w:rFonts w:hint="eastAsia" w:ascii="楷体" w:hAnsi="楷体" w:eastAsia="楷体"/>
          <w:color w:val="auto"/>
          <w:sz w:val="21"/>
          <w:szCs w:val="21"/>
          <w:lang w:val="en-US" w:eastAsia="zh-CN"/>
        </w:rPr>
        <w:t>一次性提取模式：</w:t>
      </w:r>
      <w:r>
        <w:rPr>
          <w:rFonts w:hint="eastAsia" w:ascii="楷体" w:hAnsi="楷体" w:eastAsia="楷体"/>
          <w:color w:val="auto"/>
          <w:sz w:val="21"/>
          <w:szCs w:val="21"/>
        </w:rPr>
        <w:t>成立日一次性提取，每日摊销</w:t>
      </w:r>
      <w:r>
        <w:rPr>
          <w:rFonts w:hint="eastAsia" w:ascii="楷体" w:hAnsi="楷体" w:eastAsia="楷体"/>
          <w:color w:val="auto"/>
          <w:sz w:val="21"/>
          <w:szCs w:val="21"/>
          <w:lang w:eastAsia="zh-CN"/>
        </w:rPr>
        <w:t>，</w:t>
      </w:r>
      <w:r>
        <w:rPr>
          <w:rFonts w:hint="eastAsia" w:ascii="楷体" w:hAnsi="楷体" w:eastAsia="楷体"/>
          <w:color w:val="auto"/>
          <w:sz w:val="21"/>
          <w:szCs w:val="21"/>
        </w:rPr>
        <w:t>销售服务费＝产品成立日的产品份额</w:t>
      </w:r>
      <w:r>
        <w:rPr>
          <w:rFonts w:hint="eastAsia" w:ascii="楷体" w:hAnsi="楷体" w:eastAsia="楷体"/>
          <w:color w:val="auto"/>
          <w:sz w:val="21"/>
          <w:szCs w:val="21"/>
          <w:lang w:val="en-US" w:eastAsia="zh-CN"/>
        </w:rPr>
        <w:t>数</w:t>
      </w:r>
      <w:r>
        <w:rPr>
          <w:rFonts w:hint="eastAsia" w:ascii="楷体" w:hAnsi="楷体" w:eastAsia="楷体"/>
          <w:color w:val="auto"/>
          <w:sz w:val="21"/>
          <w:szCs w:val="21"/>
        </w:rPr>
        <w:t>×销售服务费率×产品投资期限天数÷365</w:t>
      </w:r>
      <w:r>
        <w:rPr>
          <w:rFonts w:hint="eastAsia" w:ascii="楷体" w:hAnsi="楷体" w:eastAsia="楷体"/>
          <w:color w:val="auto"/>
          <w:sz w:val="21"/>
          <w:szCs w:val="21"/>
          <w:lang w:eastAsia="zh-CN"/>
        </w:rPr>
        <w:t>。</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sz w:val="21"/>
          <w:szCs w:val="21"/>
        </w:rPr>
      </w:pPr>
      <w:r>
        <w:rPr>
          <w:rFonts w:hint="eastAsia" w:ascii="楷体" w:hAnsi="楷体" w:eastAsia="楷体" w:cs="Calibri"/>
          <w:color w:val="auto"/>
          <w:sz w:val="21"/>
          <w:szCs w:val="21"/>
        </w:rPr>
        <w:t>投资管理费：每日计提，</w:t>
      </w:r>
      <w:r>
        <w:rPr>
          <w:rFonts w:hint="eastAsia" w:ascii="楷体" w:hAnsi="楷体" w:eastAsia="楷体"/>
          <w:sz w:val="21"/>
          <w:szCs w:val="21"/>
        </w:rPr>
        <w:t>每日应计提的投资管理费＝前一日的产品资产净值×投资管理费率÷</w:t>
      </w:r>
      <w:r>
        <w:rPr>
          <w:rFonts w:ascii="楷体" w:hAnsi="楷体" w:eastAsia="楷体"/>
          <w:sz w:val="21"/>
          <w:szCs w:val="21"/>
        </w:rPr>
        <w:t>365</w:t>
      </w:r>
    </w:p>
    <w:p>
      <w:pPr>
        <w:keepNext w:val="0"/>
        <w:keepLines w:val="0"/>
        <w:pageBreakBefore w:val="0"/>
        <w:widowControl w:val="0"/>
        <w:numPr>
          <w:ilvl w:val="0"/>
          <w:numId w:val="12"/>
        </w:numPr>
        <w:tabs>
          <w:tab w:val="left" w:pos="728"/>
          <w:tab w:val="clear" w:pos="420"/>
        </w:tabs>
        <w:bidi w:val="0"/>
        <w:ind w:left="0" w:firstLine="420"/>
        <w:rPr>
          <w:rFonts w:ascii="楷体" w:hAnsi="楷体" w:eastAsia="楷体"/>
          <w:color w:val="auto"/>
          <w:sz w:val="21"/>
          <w:szCs w:val="21"/>
        </w:rPr>
      </w:pPr>
      <w:r>
        <w:rPr>
          <w:rFonts w:hint="eastAsia" w:ascii="楷体" w:hAnsi="楷体" w:eastAsia="楷体"/>
          <w:color w:val="auto"/>
          <w:sz w:val="21"/>
          <w:szCs w:val="21"/>
          <w:lang w:val="en-US" w:eastAsia="zh-CN"/>
        </w:rPr>
        <w:t>信息技术服务费：</w:t>
      </w:r>
      <w:r>
        <w:rPr>
          <w:rFonts w:hint="eastAsia" w:ascii="楷体" w:hAnsi="楷体" w:eastAsia="楷体" w:cs="Calibri"/>
          <w:color w:val="auto"/>
          <w:sz w:val="21"/>
          <w:szCs w:val="21"/>
        </w:rPr>
        <w:t>每日计提，</w:t>
      </w:r>
      <w:r>
        <w:rPr>
          <w:rFonts w:hint="eastAsia" w:ascii="楷体" w:hAnsi="楷体" w:eastAsia="楷体"/>
          <w:sz w:val="21"/>
          <w:szCs w:val="21"/>
        </w:rPr>
        <w:t>每日应计提的</w:t>
      </w:r>
      <w:r>
        <w:rPr>
          <w:rFonts w:hint="eastAsia" w:ascii="楷体" w:hAnsi="楷体" w:eastAsia="楷体"/>
          <w:color w:val="auto"/>
          <w:sz w:val="21"/>
          <w:szCs w:val="21"/>
          <w:lang w:val="en-US" w:eastAsia="zh-CN"/>
        </w:rPr>
        <w:t>信息技术服务费</w:t>
      </w:r>
      <w:r>
        <w:rPr>
          <w:rFonts w:hint="eastAsia" w:ascii="楷体" w:hAnsi="楷体" w:eastAsia="楷体"/>
          <w:sz w:val="21"/>
          <w:szCs w:val="21"/>
        </w:rPr>
        <w:t>＝前一日的产品资产净值×</w:t>
      </w:r>
      <w:r>
        <w:rPr>
          <w:rFonts w:hint="eastAsia" w:ascii="楷体" w:hAnsi="楷体" w:eastAsia="楷体"/>
          <w:color w:val="auto"/>
          <w:sz w:val="21"/>
          <w:szCs w:val="21"/>
          <w:lang w:val="en-US" w:eastAsia="zh-CN"/>
        </w:rPr>
        <w:t>信息技术服务费</w:t>
      </w:r>
      <w:r>
        <w:rPr>
          <w:rFonts w:hint="eastAsia" w:ascii="楷体" w:hAnsi="楷体" w:eastAsia="楷体"/>
          <w:sz w:val="21"/>
          <w:szCs w:val="21"/>
        </w:rPr>
        <w:t>率÷</w:t>
      </w:r>
      <w:r>
        <w:rPr>
          <w:rFonts w:ascii="楷体" w:hAnsi="楷体" w:eastAsia="楷体"/>
          <w:sz w:val="21"/>
          <w:szCs w:val="21"/>
        </w:rPr>
        <w:t>365</w:t>
      </w:r>
    </w:p>
    <w:p>
      <w:pPr>
        <w:keepNext w:val="0"/>
        <w:keepLines w:val="0"/>
        <w:pageBreakBefore w:val="0"/>
        <w:widowControl w:val="0"/>
        <w:numPr>
          <w:ilvl w:val="0"/>
          <w:numId w:val="12"/>
        </w:numPr>
        <w:tabs>
          <w:tab w:val="left" w:pos="728"/>
          <w:tab w:val="clear" w:pos="420"/>
        </w:tabs>
        <w:bidi w:val="0"/>
        <w:ind w:left="0" w:firstLine="420"/>
        <w:rPr>
          <w:rFonts w:ascii="楷体" w:hAnsi="楷体" w:eastAsia="楷体"/>
          <w:color w:val="auto"/>
          <w:sz w:val="21"/>
          <w:szCs w:val="21"/>
        </w:rPr>
      </w:pPr>
      <w:r>
        <w:rPr>
          <w:rFonts w:hint="eastAsia" w:ascii="楷体" w:hAnsi="楷体" w:eastAsia="楷体" w:cs="Calibri"/>
          <w:color w:val="auto"/>
          <w:sz w:val="21"/>
          <w:szCs w:val="21"/>
        </w:rPr>
        <w:t>超额业绩报酬</w:t>
      </w:r>
      <w:r>
        <w:rPr>
          <w:rFonts w:hint="eastAsia" w:ascii="楷体" w:hAnsi="楷体" w:eastAsia="楷体" w:cs="Calibri"/>
          <w:color w:val="auto"/>
          <w:sz w:val="21"/>
          <w:szCs w:val="21"/>
          <w:lang w:eastAsia="zh-CN"/>
        </w:rPr>
        <w:t>（</w:t>
      </w:r>
      <w:r>
        <w:rPr>
          <w:rFonts w:hint="eastAsia" w:ascii="楷体" w:hAnsi="楷体" w:eastAsia="楷体" w:cs="Calibri"/>
          <w:color w:val="auto"/>
          <w:sz w:val="21"/>
          <w:szCs w:val="21"/>
          <w:lang w:val="en-US" w:eastAsia="zh-CN"/>
        </w:rPr>
        <w:t>如有）</w:t>
      </w:r>
      <w:r>
        <w:rPr>
          <w:rFonts w:hint="eastAsia" w:ascii="楷体" w:hAnsi="楷体" w:eastAsia="楷体"/>
          <w:color w:val="auto"/>
          <w:sz w:val="21"/>
          <w:szCs w:val="21"/>
        </w:rPr>
        <w:t>：</w:t>
      </w:r>
      <w:r>
        <w:rPr>
          <w:rFonts w:hint="eastAsia" w:ascii="楷体" w:hAnsi="楷体" w:eastAsia="楷体" w:cs="Calibri"/>
          <w:sz w:val="21"/>
          <w:szCs w:val="21"/>
          <w:highlight w:val="none"/>
        </w:rPr>
        <w:t>管理人按</w:t>
      </w:r>
      <w:r>
        <w:rPr>
          <w:rFonts w:hint="eastAsia" w:ascii="楷体" w:hAnsi="楷体" w:eastAsia="楷体" w:cs="Calibri"/>
          <w:sz w:val="21"/>
          <w:szCs w:val="21"/>
          <w:highlight w:val="none"/>
          <w:lang w:val="en-US" w:eastAsia="zh-CN"/>
        </w:rPr>
        <w:t>产品存续期</w:t>
      </w:r>
      <w:r>
        <w:rPr>
          <w:rFonts w:hint="eastAsia" w:ascii="楷体" w:hAnsi="楷体" w:eastAsia="楷体" w:cs="Calibri"/>
          <w:sz w:val="21"/>
          <w:szCs w:val="21"/>
          <w:highlight w:val="none"/>
        </w:rPr>
        <w:t>收取超额业绩报酬</w:t>
      </w:r>
      <w:r>
        <w:rPr>
          <w:rFonts w:hint="eastAsia" w:ascii="楷体" w:hAnsi="楷体" w:eastAsia="楷体" w:cs="Calibri"/>
          <w:sz w:val="21"/>
          <w:szCs w:val="21"/>
          <w:highlight w:val="none"/>
          <w:lang w:eastAsia="zh-CN"/>
        </w:rPr>
        <w:t>，</w:t>
      </w:r>
      <w:r>
        <w:rPr>
          <w:rFonts w:hint="eastAsia" w:ascii="楷体" w:hAnsi="楷体" w:eastAsia="楷体" w:cs="Calibri"/>
          <w:sz w:val="21"/>
          <w:szCs w:val="21"/>
          <w:highlight w:val="none"/>
          <w:lang w:val="en-US" w:eastAsia="zh-CN"/>
        </w:rPr>
        <w:t>超额业绩报酬计算详见“产品要素”。</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产品运作和清算中产生的交易手续费、注册登记费、账户服务费、审计费、及其他应由本产品承担的费用从产品中列支。</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本产品不收取认购费用、申购费用、赎回费用。</w:t>
      </w:r>
    </w:p>
    <w:p>
      <w:pPr>
        <w:keepNext w:val="0"/>
        <w:keepLines w:val="0"/>
        <w:pageBreakBefore w:val="0"/>
        <w:widowControl w:val="0"/>
        <w:numPr>
          <w:ilvl w:val="0"/>
          <w:numId w:val="12"/>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lang w:val="en-US" w:eastAsia="zh-CN"/>
        </w:rPr>
        <w:t>费用计算</w:t>
      </w:r>
      <w:r>
        <w:rPr>
          <w:rFonts w:hint="eastAsia" w:ascii="楷体" w:hAnsi="楷体" w:eastAsia="楷体" w:cs="Calibri"/>
          <w:color w:val="auto"/>
          <w:sz w:val="21"/>
          <w:szCs w:val="21"/>
        </w:rPr>
        <w:t>四舍五入保留至小数点后两位</w:t>
      </w:r>
      <w:r>
        <w:rPr>
          <w:rFonts w:hint="eastAsia" w:ascii="楷体" w:hAnsi="楷体" w:eastAsia="楷体" w:cs="Calibri"/>
          <w:color w:val="auto"/>
          <w:sz w:val="21"/>
          <w:szCs w:val="21"/>
          <w:lang w:eastAsia="zh-CN"/>
        </w:rPr>
        <w:t>。</w:t>
      </w:r>
    </w:p>
    <w:p>
      <w:pPr>
        <w:numPr>
          <w:ilvl w:val="0"/>
          <w:numId w:val="0"/>
        </w:numPr>
        <w:tabs>
          <w:tab w:val="left" w:pos="1134"/>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十一、</w:t>
      </w:r>
      <w:r>
        <w:rPr>
          <w:rFonts w:hint="eastAsia" w:ascii="楷体" w:hAnsi="楷体" w:eastAsia="楷体"/>
          <w:b/>
          <w:color w:val="auto"/>
          <w:sz w:val="21"/>
          <w:szCs w:val="21"/>
        </w:rPr>
        <w:t>产品估值</w:t>
      </w:r>
    </w:p>
    <w:p>
      <w:pPr>
        <w:numPr>
          <w:ilvl w:val="0"/>
          <w:numId w:val="13"/>
        </w:numPr>
        <w:tabs>
          <w:tab w:val="left" w:pos="993"/>
        </w:tabs>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估值对象</w:t>
      </w:r>
    </w:p>
    <w:p>
      <w:pPr>
        <w:ind w:firstLine="420"/>
        <w:rPr>
          <w:rFonts w:ascii="楷体" w:hAnsi="楷体" w:eastAsia="楷体"/>
          <w:color w:val="auto"/>
          <w:sz w:val="21"/>
          <w:szCs w:val="21"/>
        </w:rPr>
      </w:pPr>
      <w:r>
        <w:rPr>
          <w:rFonts w:hint="eastAsia" w:ascii="楷体" w:hAnsi="楷体" w:eastAsia="楷体"/>
          <w:color w:val="auto"/>
          <w:sz w:val="21"/>
          <w:szCs w:val="21"/>
        </w:rPr>
        <w:t>本产品所拥有的各类证券、银行存款、应收款项及其它资产及负债。</w:t>
      </w:r>
    </w:p>
    <w:p>
      <w:pPr>
        <w:numPr>
          <w:ilvl w:val="0"/>
          <w:numId w:val="13"/>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估值要求</w:t>
      </w:r>
    </w:p>
    <w:p>
      <w:pPr>
        <w:keepNext w:val="0"/>
        <w:keepLines w:val="0"/>
        <w:pageBreakBefore w:val="0"/>
        <w:widowControl w:val="0"/>
        <w:numPr>
          <w:ilvl w:val="0"/>
          <w:numId w:val="14"/>
        </w:numPr>
        <w:tabs>
          <w:tab w:val="left" w:pos="728"/>
        </w:tabs>
        <w:bidi w:val="0"/>
        <w:ind w:left="0" w:firstLine="420"/>
        <w:rPr>
          <w:rFonts w:ascii="楷体" w:hAnsi="楷体" w:eastAsia="楷体" w:cs="Calibri"/>
          <w:color w:val="auto"/>
          <w:sz w:val="21"/>
          <w:szCs w:val="21"/>
        </w:rPr>
      </w:pPr>
      <w:r>
        <w:rPr>
          <w:rFonts w:hint="eastAsia" w:ascii="楷体" w:hAnsi="楷体" w:eastAsia="楷体" w:cs="Calibri"/>
          <w:color w:val="auto"/>
          <w:sz w:val="21"/>
          <w:szCs w:val="21"/>
        </w:rPr>
        <w:t>本产品资产估值的目的是客观、准确</w:t>
      </w:r>
      <w:r>
        <w:rPr>
          <w:rFonts w:hint="eastAsia" w:ascii="楷体" w:hAnsi="楷体" w:eastAsia="楷体" w:cs="Calibri"/>
          <w:color w:val="auto"/>
          <w:sz w:val="21"/>
          <w:szCs w:val="21"/>
          <w:lang w:val="en-US" w:eastAsia="zh-CN"/>
        </w:rPr>
        <w:t>地</w:t>
      </w:r>
      <w:r>
        <w:rPr>
          <w:rFonts w:hint="eastAsia" w:ascii="楷体" w:hAnsi="楷体" w:eastAsia="楷体" w:cs="Calibri"/>
          <w:color w:val="auto"/>
          <w:sz w:val="21"/>
          <w:szCs w:val="21"/>
        </w:rPr>
        <w:t>反映资产净值，确定理财产品资产净值，并为理财产品的申购、赎回和兑付提供计价依据。</w:t>
      </w:r>
    </w:p>
    <w:p>
      <w:pPr>
        <w:pStyle w:val="5"/>
        <w:keepNext w:val="0"/>
        <w:keepLines w:val="0"/>
        <w:pageBreakBefore w:val="0"/>
        <w:widowControl w:val="0"/>
        <w:bidi w:val="0"/>
        <w:spacing w:before="0"/>
        <w:ind w:left="0" w:firstLine="420"/>
        <w:rPr>
          <w:rFonts w:hint="eastAsia"/>
          <w:lang w:eastAsia="zh-CN"/>
        </w:rPr>
      </w:pPr>
      <w:r>
        <w:rPr>
          <w:rFonts w:hint="eastAsia" w:ascii="楷体" w:hAnsi="楷体" w:eastAsia="楷体" w:cs="Calibri"/>
          <w:color w:val="auto"/>
          <w:sz w:val="21"/>
          <w:szCs w:val="21"/>
          <w:lang w:val="en-US" w:eastAsia="zh-CN"/>
        </w:rPr>
        <w:t>2.</w:t>
      </w:r>
      <w:r>
        <w:rPr>
          <w:rFonts w:hint="eastAsia" w:ascii="楷体" w:hAnsi="楷体" w:eastAsia="楷体" w:cs="Calibri"/>
          <w:color w:val="auto"/>
          <w:sz w:val="21"/>
          <w:szCs w:val="21"/>
        </w:rPr>
        <w:t>本产品单位净值精确到小</w:t>
      </w:r>
      <w:r>
        <w:rPr>
          <w:rFonts w:hint="eastAsia" w:ascii="楷体" w:hAnsi="楷体" w:eastAsia="楷体" w:cs="Calibri"/>
          <w:color w:val="auto"/>
          <w:sz w:val="21"/>
          <w:szCs w:val="21"/>
          <w:highlight w:val="none"/>
        </w:rPr>
        <w:t>数点后</w:t>
      </w:r>
      <w:r>
        <w:rPr>
          <w:rFonts w:hint="eastAsia" w:ascii="楷体" w:hAnsi="楷体" w:eastAsia="楷体" w:cs="Calibri"/>
          <w:color w:val="auto"/>
          <w:sz w:val="21"/>
          <w:szCs w:val="21"/>
          <w:highlight w:val="none"/>
          <w:lang w:val="en-US" w:eastAsia="zh-CN"/>
        </w:rPr>
        <w:t>6</w:t>
      </w:r>
      <w:r>
        <w:rPr>
          <w:rFonts w:hint="eastAsia" w:ascii="楷体" w:hAnsi="楷体" w:eastAsia="楷体" w:cs="Calibri"/>
          <w:color w:val="auto"/>
          <w:sz w:val="21"/>
          <w:szCs w:val="21"/>
          <w:highlight w:val="none"/>
        </w:rPr>
        <w:t>位，小数点</w:t>
      </w:r>
      <w:r>
        <w:rPr>
          <w:rFonts w:hint="eastAsia" w:ascii="楷体" w:hAnsi="楷体" w:eastAsia="楷体" w:cs="Calibri"/>
          <w:color w:val="auto"/>
          <w:sz w:val="21"/>
          <w:szCs w:val="21"/>
          <w:highlight w:val="none"/>
          <w:lang w:val="en-US" w:eastAsia="zh-CN"/>
        </w:rPr>
        <w:t>6</w:t>
      </w:r>
      <w:r>
        <w:rPr>
          <w:rFonts w:hint="eastAsia" w:ascii="楷体" w:hAnsi="楷体" w:eastAsia="楷体" w:cs="Calibri"/>
          <w:color w:val="auto"/>
          <w:sz w:val="21"/>
          <w:szCs w:val="21"/>
        </w:rPr>
        <w:t>位后截位。</w:t>
      </w:r>
    </w:p>
    <w:p>
      <w:pPr>
        <w:numPr>
          <w:ilvl w:val="0"/>
          <w:numId w:val="13"/>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估值方法</w:t>
      </w:r>
    </w:p>
    <w:p>
      <w:pPr>
        <w:ind w:firstLine="420"/>
        <w:rPr>
          <w:rFonts w:hint="eastAsia" w:ascii="楷体" w:hAnsi="楷体" w:eastAsia="楷体"/>
          <w:color w:val="auto"/>
          <w:sz w:val="21"/>
          <w:szCs w:val="21"/>
        </w:rPr>
      </w:pPr>
      <w:r>
        <w:rPr>
          <w:rFonts w:hint="eastAsia" w:ascii="楷体" w:hAnsi="楷体" w:eastAsia="楷体"/>
          <w:color w:val="auto"/>
          <w:sz w:val="21"/>
          <w:szCs w:val="21"/>
        </w:rPr>
        <w:t>1.存款类资产、货币市场工具：以本金列示，逐日计提利息。</w:t>
      </w:r>
    </w:p>
    <w:p>
      <w:pPr>
        <w:ind w:firstLine="420"/>
        <w:rPr>
          <w:rFonts w:hint="eastAsia" w:ascii="楷体" w:hAnsi="楷体" w:eastAsia="楷体"/>
          <w:color w:val="auto"/>
          <w:sz w:val="21"/>
          <w:szCs w:val="21"/>
        </w:rPr>
      </w:pPr>
      <w:r>
        <w:rPr>
          <w:rFonts w:hint="eastAsia" w:ascii="楷体" w:hAnsi="楷体" w:eastAsia="楷体"/>
          <w:color w:val="auto"/>
          <w:sz w:val="21"/>
          <w:szCs w:val="21"/>
        </w:rPr>
        <w:t>2.货币市场基金：按公允价值进行估值，以估值截止时间点能够取得的最新每万份收益进行估值。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olor w:val="auto"/>
          <w:sz w:val="21"/>
          <w:szCs w:val="21"/>
        </w:rPr>
      </w:pPr>
      <w:r>
        <w:rPr>
          <w:rFonts w:hint="eastAsia" w:ascii="楷体" w:hAnsi="楷体" w:eastAsia="楷体"/>
          <w:color w:val="auto"/>
          <w:sz w:val="21"/>
          <w:szCs w:val="21"/>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olor w:val="auto"/>
          <w:sz w:val="21"/>
          <w:szCs w:val="21"/>
        </w:rPr>
      </w:pPr>
      <w:r>
        <w:rPr>
          <w:rFonts w:hint="eastAsia" w:ascii="楷体" w:hAnsi="楷体" w:eastAsia="楷体"/>
          <w:color w:val="auto"/>
          <w:sz w:val="21"/>
          <w:szCs w:val="21"/>
        </w:rPr>
        <w:t>5.权益类资产：按公允价值进行估值，采用市价、监管认可的第三方估值机构提供的估值价格进行估值。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olor w:val="auto"/>
          <w:sz w:val="21"/>
          <w:szCs w:val="21"/>
        </w:rPr>
      </w:pPr>
      <w:r>
        <w:rPr>
          <w:rFonts w:hint="eastAsia" w:ascii="楷体" w:hAnsi="楷体" w:eastAsia="楷体"/>
          <w:color w:val="auto"/>
          <w:sz w:val="21"/>
          <w:szCs w:val="21"/>
        </w:rPr>
        <w:t>7.其他资产：按公允价值进行估值。</w:t>
      </w:r>
    </w:p>
    <w:p>
      <w:pPr>
        <w:ind w:firstLine="420"/>
        <w:rPr>
          <w:rFonts w:hint="eastAsia" w:ascii="楷体" w:hAnsi="楷体" w:eastAsia="楷体"/>
          <w:color w:val="auto"/>
          <w:sz w:val="21"/>
          <w:szCs w:val="21"/>
        </w:rPr>
      </w:pPr>
      <w:r>
        <w:rPr>
          <w:rFonts w:hint="eastAsia" w:ascii="楷体" w:hAnsi="楷体" w:eastAsia="楷体"/>
          <w:color w:val="auto"/>
          <w:sz w:val="21"/>
          <w:szCs w:val="21"/>
        </w:rPr>
        <w:t>如有新增事项或变更事项，按国家法律法规及监管最新规定执行。</w:t>
      </w:r>
    </w:p>
    <w:p>
      <w:pPr>
        <w:numPr>
          <w:ilvl w:val="0"/>
          <w:numId w:val="13"/>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估值错误的处理</w:t>
      </w:r>
    </w:p>
    <w:p>
      <w:pPr>
        <w:ind w:firstLine="420"/>
        <w:rPr>
          <w:rFonts w:ascii="楷体" w:hAnsi="楷体" w:eastAsia="楷体"/>
          <w:color w:val="auto"/>
          <w:sz w:val="21"/>
          <w:szCs w:val="21"/>
        </w:rPr>
      </w:pPr>
      <w:r>
        <w:rPr>
          <w:rFonts w:hint="eastAsia" w:ascii="楷体" w:hAnsi="楷体" w:eastAsia="楷体"/>
          <w:color w:val="auto"/>
          <w:sz w:val="21"/>
          <w:szCs w:val="21"/>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13"/>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暂停估值</w:t>
      </w:r>
    </w:p>
    <w:p>
      <w:pPr>
        <w:ind w:firstLine="420"/>
        <w:rPr>
          <w:rFonts w:ascii="楷体" w:hAnsi="楷体" w:eastAsia="楷体"/>
          <w:color w:val="auto"/>
          <w:sz w:val="21"/>
          <w:szCs w:val="21"/>
        </w:rPr>
      </w:pPr>
      <w:r>
        <w:rPr>
          <w:rFonts w:hint="eastAsia" w:ascii="楷体" w:hAnsi="楷体" w:eastAsia="楷体"/>
          <w:color w:val="auto"/>
          <w:sz w:val="21"/>
          <w:szCs w:val="21"/>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0"/>
        </w:numPr>
        <w:tabs>
          <w:tab w:val="left" w:pos="1428"/>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十二、</w:t>
      </w:r>
      <w:r>
        <w:rPr>
          <w:rFonts w:hint="eastAsia" w:ascii="楷体" w:hAnsi="楷体" w:eastAsia="楷体"/>
          <w:b/>
          <w:color w:val="auto"/>
          <w:sz w:val="21"/>
          <w:szCs w:val="21"/>
        </w:rPr>
        <w:t>信息披露</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信息披露</w:t>
      </w:r>
      <w:r>
        <w:rPr>
          <w:rFonts w:hint="eastAsia" w:ascii="楷体" w:hAnsi="楷体" w:eastAsia="楷体" w:cs="Calibri"/>
          <w:color w:val="auto"/>
          <w:sz w:val="21"/>
          <w:szCs w:val="21"/>
          <w:lang w:val="en-US" w:eastAsia="zh-CN"/>
        </w:rPr>
        <w:t>方式</w:t>
      </w:r>
    </w:p>
    <w:p>
      <w:pPr>
        <w:keepNext w:val="0"/>
        <w:keepLines w:val="0"/>
        <w:pageBreakBefore w:val="0"/>
        <w:widowControl w:val="0"/>
        <w:numPr>
          <w:ilvl w:val="0"/>
          <w:numId w:val="16"/>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通过苏银理财有限责任公司官方网站（</w:t>
      </w:r>
      <w:r>
        <w:rPr>
          <w:rFonts w:ascii="楷体" w:hAnsi="楷体" w:eastAsia="楷体" w:cs="Calibri"/>
          <w:sz w:val="21"/>
          <w:szCs w:val="21"/>
          <w:highlight w:val="none"/>
        </w:rPr>
        <w:t>www</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suyinwealth</w:t>
      </w:r>
      <w:r>
        <w:rPr>
          <w:rFonts w:hint="eastAsia" w:ascii="楷体" w:hAnsi="楷体" w:eastAsia="楷体" w:cs="Calibri"/>
          <w:sz w:val="21"/>
          <w:szCs w:val="21"/>
          <w:highlight w:val="none"/>
          <w:lang w:val="en-US" w:eastAsia="zh-CN"/>
        </w:rPr>
        <w:t>.</w:t>
      </w:r>
      <w:r>
        <w:rPr>
          <w:rFonts w:ascii="楷体" w:hAnsi="楷体" w:eastAsia="楷体" w:cs="Calibri"/>
          <w:sz w:val="21"/>
          <w:szCs w:val="21"/>
          <w:highlight w:val="none"/>
        </w:rPr>
        <w:t>com</w:t>
      </w:r>
      <w:r>
        <w:rPr>
          <w:rFonts w:hint="eastAsia" w:ascii="楷体" w:hAnsi="楷体" w:eastAsia="楷体" w:cs="Calibri"/>
          <w:sz w:val="21"/>
          <w:szCs w:val="21"/>
          <w:highlight w:val="none"/>
        </w:rPr>
        <w:t>）进行信息披露。</w:t>
      </w:r>
    </w:p>
    <w:p>
      <w:pPr>
        <w:keepNext w:val="0"/>
        <w:keepLines w:val="0"/>
        <w:pageBreakBefore w:val="0"/>
        <w:widowControl w:val="0"/>
        <w:numPr>
          <w:ilvl w:val="0"/>
          <w:numId w:val="16"/>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sz w:val="21"/>
          <w:szCs w:val="21"/>
          <w:highlight w:val="none"/>
          <w:lang w:val="en-US" w:eastAsia="zh-CN"/>
        </w:rPr>
        <w:t>管理人</w:t>
      </w:r>
      <w:r>
        <w:rPr>
          <w:rFonts w:hint="eastAsia" w:ascii="楷体" w:hAnsi="楷体" w:eastAsia="楷体" w:cs="Calibri"/>
          <w:sz w:val="21"/>
          <w:szCs w:val="21"/>
          <w:highlight w:val="none"/>
        </w:rPr>
        <w:t>将信息披露内容发送销售机构，由销售机构通过</w:t>
      </w:r>
      <w:r>
        <w:rPr>
          <w:rFonts w:hint="eastAsia" w:ascii="楷体" w:hAnsi="楷体" w:eastAsia="楷体" w:cs="Calibri"/>
          <w:sz w:val="21"/>
          <w:szCs w:val="21"/>
          <w:highlight w:val="none"/>
          <w:lang w:val="en-US" w:eastAsia="zh-CN"/>
        </w:rPr>
        <w:t>短信及</w:t>
      </w:r>
      <w:r>
        <w:rPr>
          <w:rFonts w:hint="eastAsia" w:ascii="楷体" w:hAnsi="楷体" w:eastAsia="楷体" w:cs="Calibri"/>
          <w:sz w:val="21"/>
          <w:szCs w:val="21"/>
          <w:highlight w:val="none"/>
        </w:rPr>
        <w:t>销售机构电子渠道和营业网点</w:t>
      </w:r>
      <w:r>
        <w:rPr>
          <w:rFonts w:hint="eastAsia" w:ascii="楷体" w:hAnsi="楷体" w:eastAsia="楷体" w:cs="Calibri"/>
          <w:sz w:val="21"/>
          <w:szCs w:val="21"/>
          <w:highlight w:val="none"/>
          <w:lang w:val="en-US" w:eastAsia="zh-CN"/>
        </w:rPr>
        <w:t>等方式</w:t>
      </w:r>
      <w:r>
        <w:rPr>
          <w:rFonts w:hint="eastAsia" w:ascii="楷体" w:hAnsi="楷体" w:eastAsia="楷体" w:cs="Calibri"/>
          <w:sz w:val="21"/>
          <w:szCs w:val="21"/>
          <w:highlight w:val="none"/>
        </w:rPr>
        <w:t>进行信息披露。</w:t>
      </w:r>
    </w:p>
    <w:p>
      <w:pPr>
        <w:numPr>
          <w:ilvl w:val="0"/>
          <w:numId w:val="0"/>
        </w:numPr>
        <w:ind w:left="0" w:firstLine="420"/>
        <w:rPr>
          <w:rFonts w:ascii="楷体" w:hAnsi="楷体" w:eastAsia="楷体" w:cs="Calibri"/>
          <w:color w:val="auto"/>
          <w:sz w:val="21"/>
          <w:szCs w:val="21"/>
        </w:rPr>
      </w:pPr>
      <w:r>
        <w:rPr>
          <w:rFonts w:hint="eastAsia" w:ascii="楷体" w:hAnsi="楷体" w:eastAsia="楷体"/>
          <w:sz w:val="21"/>
          <w:szCs w:val="21"/>
          <w:highlight w:val="none"/>
        </w:rPr>
        <w:t>相关信息在发布或发出之日视为通知已送达投资者并生效，</w:t>
      </w:r>
      <w:r>
        <w:rPr>
          <w:rFonts w:hint="eastAsia" w:ascii="楷体" w:hAnsi="楷体" w:eastAsia="楷体"/>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sz w:val="21"/>
          <w:szCs w:val="21"/>
          <w:highlight w:val="none"/>
        </w:rPr>
        <w:t>请</w:t>
      </w:r>
      <w:r>
        <w:rPr>
          <w:rFonts w:hint="eastAsia" w:ascii="楷体" w:hAnsi="楷体" w:eastAsia="楷体"/>
          <w:sz w:val="21"/>
          <w:szCs w:val="21"/>
          <w:highlight w:val="none"/>
          <w:lang w:val="en-US" w:eastAsia="zh-CN"/>
        </w:rPr>
        <w:t>投资者</w:t>
      </w:r>
      <w:r>
        <w:rPr>
          <w:rFonts w:hint="eastAsia" w:ascii="楷体" w:hAnsi="楷体" w:eastAsia="楷体"/>
          <w:sz w:val="21"/>
          <w:szCs w:val="21"/>
          <w:highlight w:val="none"/>
        </w:rPr>
        <w:t>及时登陆苏银理财有限责任</w:t>
      </w:r>
      <w:r>
        <w:rPr>
          <w:rFonts w:hint="eastAsia" w:ascii="楷体" w:hAnsi="楷体" w:eastAsia="楷体"/>
          <w:sz w:val="21"/>
          <w:szCs w:val="21"/>
          <w:highlight w:val="none"/>
          <w:lang w:val="en-US" w:eastAsia="zh-CN"/>
        </w:rPr>
        <w:t>公司</w:t>
      </w:r>
      <w:r>
        <w:rPr>
          <w:rFonts w:hint="eastAsia" w:ascii="楷体" w:hAnsi="楷体" w:eastAsia="楷体"/>
          <w:sz w:val="21"/>
          <w:szCs w:val="21"/>
          <w:highlight w:val="none"/>
        </w:rPr>
        <w:t>官方网站或者向销售机构查询获取披露信息</w:t>
      </w:r>
      <w:r>
        <w:rPr>
          <w:rFonts w:hint="eastAsia" w:ascii="楷体" w:hAnsi="楷体" w:eastAsia="楷体"/>
          <w:color w:val="auto"/>
          <w:sz w:val="21"/>
          <w:szCs w:val="21"/>
          <w:highlight w:val="none"/>
        </w:rPr>
        <w:t>。</w:t>
      </w:r>
    </w:p>
    <w:p>
      <w:pPr>
        <w:numPr>
          <w:ilvl w:val="0"/>
          <w:numId w:val="15"/>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信息披露</w:t>
      </w:r>
      <w:r>
        <w:rPr>
          <w:rFonts w:hint="eastAsia" w:ascii="楷体" w:hAnsi="楷体" w:eastAsia="楷体" w:cs="Calibri"/>
          <w:color w:val="auto"/>
          <w:sz w:val="21"/>
          <w:szCs w:val="21"/>
          <w:lang w:val="en-US" w:eastAsia="zh-CN"/>
        </w:rPr>
        <w:t>内容及时间</w:t>
      </w:r>
    </w:p>
    <w:p>
      <w:pPr>
        <w:keepNext w:val="0"/>
        <w:keepLines w:val="0"/>
        <w:pageBreakBefore w:val="0"/>
        <w:widowControl w:val="0"/>
        <w:numPr>
          <w:ilvl w:val="0"/>
          <w:numId w:val="17"/>
        </w:numPr>
        <w:tabs>
          <w:tab w:val="left" w:pos="728"/>
          <w:tab w:val="clear" w:pos="420"/>
        </w:tabs>
        <w:bidi w:val="0"/>
        <w:ind w:left="0" w:firstLine="420"/>
        <w:rPr>
          <w:rFonts w:ascii="楷体" w:hAnsi="楷体" w:eastAsia="楷体" w:cs="Calibri"/>
          <w:color w:val="auto"/>
          <w:sz w:val="21"/>
          <w:szCs w:val="21"/>
          <w:highlight w:val="none"/>
        </w:rPr>
      </w:pPr>
      <w:r>
        <w:rPr>
          <w:rFonts w:hint="eastAsia" w:ascii="楷体" w:hAnsi="楷体" w:eastAsia="楷体" w:cs="Calibri"/>
          <w:color w:val="auto"/>
          <w:sz w:val="21"/>
          <w:szCs w:val="21"/>
          <w:highlight w:val="none"/>
        </w:rPr>
        <w:t>产品净值：</w:t>
      </w:r>
      <w:r>
        <w:rPr>
          <w:rFonts w:hint="eastAsia" w:ascii="楷体" w:hAnsi="楷体" w:eastAsia="楷体" w:cs="Calibri"/>
          <w:color w:val="auto"/>
          <w:sz w:val="21"/>
          <w:szCs w:val="21"/>
          <w:highlight w:val="none"/>
          <w:lang w:val="en-US" w:eastAsia="zh-CN"/>
        </w:rPr>
        <w:t>公募封闭式产品至少</w:t>
      </w:r>
      <w:r>
        <w:rPr>
          <w:rFonts w:hint="eastAsia" w:ascii="楷体" w:hAnsi="楷体" w:eastAsia="楷体" w:cs="Calibri"/>
          <w:color w:val="auto"/>
          <w:sz w:val="21"/>
          <w:szCs w:val="21"/>
          <w:highlight w:val="none"/>
        </w:rPr>
        <w:t>每周向投资者披露一次产品的份额净值、份额累计净值</w:t>
      </w:r>
      <w:r>
        <w:rPr>
          <w:rFonts w:hint="eastAsia" w:ascii="楷体" w:hAnsi="楷体" w:eastAsia="楷体" w:cs="Calibri"/>
          <w:color w:val="auto"/>
          <w:sz w:val="21"/>
          <w:szCs w:val="21"/>
          <w:highlight w:val="none"/>
          <w:lang w:val="en-US" w:eastAsia="zh-CN"/>
        </w:rPr>
        <w:t>；公募开放式产品</w:t>
      </w:r>
      <w:r>
        <w:rPr>
          <w:rFonts w:hint="eastAsia" w:ascii="楷体" w:hAnsi="楷体" w:eastAsia="楷体" w:cs="Calibri"/>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Calibri"/>
          <w:color w:val="auto"/>
          <w:sz w:val="21"/>
          <w:szCs w:val="21"/>
          <w:highlight w:val="none"/>
          <w:lang w:val="en-US" w:eastAsia="zh-CN"/>
        </w:rPr>
        <w:t>；私募产品至少每季度向投资者披露一次产品的份额净值、份额累计净值，以管理人实际披露为准。</w:t>
      </w:r>
    </w:p>
    <w:p>
      <w:pPr>
        <w:keepNext w:val="0"/>
        <w:keepLines w:val="0"/>
        <w:pageBreakBefore w:val="0"/>
        <w:widowControl w:val="0"/>
        <w:numPr>
          <w:ilvl w:val="0"/>
          <w:numId w:val="17"/>
        </w:numPr>
        <w:tabs>
          <w:tab w:val="left" w:pos="728"/>
          <w:tab w:val="clear" w:pos="420"/>
        </w:tabs>
        <w:bidi w:val="0"/>
        <w:ind w:left="0" w:firstLine="420"/>
        <w:rPr>
          <w:rFonts w:ascii="楷体" w:hAnsi="楷体" w:eastAsia="楷体" w:cs="Calibri"/>
          <w:color w:val="auto"/>
          <w:sz w:val="21"/>
          <w:szCs w:val="21"/>
        </w:rPr>
      </w:pPr>
      <w:r>
        <w:rPr>
          <w:rFonts w:hint="eastAsia" w:ascii="楷体" w:hAnsi="楷体" w:eastAsia="楷体" w:cs="Calibri"/>
          <w:color w:val="auto"/>
          <w:sz w:val="21"/>
          <w:szCs w:val="21"/>
        </w:rPr>
        <w:t>发行公告：管理人在产品成立后5个工作日内，披露产品成立公告，内容包括理财产品成立日期和募集规模等信息。</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定期公告：管理人在每个季度结束之日起15个工作日内、上半年结束之日起60个工作日内、每年结束之日起90个工作日内，披露产品季度、半年和年度报告等定期报告；产品成立不足90个工作日或者剩余存续期不超过90个工作日的，管理人将不编制产品当期的季度、半年和年度报告；内容包括理财产品的存续规模、收益表现，并分别列示直接和间接投资的资产种类、投资比例、投资组合的流动性风险分析，以及前十项资产具体名称、规模和比例等信息。</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到期公告：管理人在产品终止后5个工作日内，披露产品到期公告，内容包括理财产品的存续期限、终止日期、收费情况和收益分配情况等信息。</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重大事项公告：管理人在发生可能对理财产品投资者或者理财产品收益</w:t>
      </w:r>
      <w:r>
        <w:rPr>
          <w:rFonts w:hint="eastAsia" w:ascii="楷体" w:hAnsi="楷体" w:eastAsia="楷体" w:cs="Calibri"/>
          <w:color w:val="auto"/>
          <w:sz w:val="21"/>
          <w:szCs w:val="21"/>
          <w:lang w:val="en-US" w:eastAsia="zh-CN"/>
        </w:rPr>
        <w:t>产生重大影响</w:t>
      </w:r>
      <w:r>
        <w:rPr>
          <w:rFonts w:hint="eastAsia" w:ascii="楷体" w:hAnsi="楷体" w:eastAsia="楷体" w:cs="Calibri"/>
          <w:color w:val="auto"/>
          <w:sz w:val="21"/>
          <w:szCs w:val="21"/>
        </w:rPr>
        <w:t>的事件后2个工作日内发布重大事项公告。</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临时性信息：管理人将及时披露国务院银行业监督管理机构规定的其他信息或除重大事项事件以外的其他信息。</w:t>
      </w:r>
    </w:p>
    <w:p>
      <w:pPr>
        <w:keepNext w:val="0"/>
        <w:keepLines w:val="0"/>
        <w:pageBreakBefore w:val="0"/>
        <w:widowControl w:val="0"/>
        <w:numPr>
          <w:ilvl w:val="0"/>
          <w:numId w:val="17"/>
        </w:numPr>
        <w:tabs>
          <w:tab w:val="left" w:pos="728"/>
          <w:tab w:val="clear" w:pos="420"/>
        </w:tabs>
        <w:bidi w:val="0"/>
        <w:ind w:left="0" w:firstLine="420"/>
        <w:rPr>
          <w:rFonts w:hint="eastAsia" w:ascii="楷体" w:hAnsi="楷体" w:eastAsia="楷体" w:cs="Calibri"/>
          <w:color w:val="auto"/>
          <w:sz w:val="21"/>
          <w:szCs w:val="21"/>
        </w:rPr>
      </w:pPr>
      <w:r>
        <w:rPr>
          <w:rFonts w:hint="eastAsia" w:ascii="楷体" w:hAnsi="楷体" w:eastAsia="楷体" w:cs="Calibri"/>
          <w:color w:val="auto"/>
          <w:sz w:val="21"/>
          <w:szCs w:val="21"/>
        </w:rPr>
        <w:t>半年度整体报告：每半年披露从事理财业务活动的有关信息。</w:t>
      </w:r>
    </w:p>
    <w:p>
      <w:pPr>
        <w:keepNext w:val="0"/>
        <w:keepLines w:val="0"/>
        <w:pageBreakBefore w:val="0"/>
        <w:widowControl w:val="0"/>
        <w:numPr>
          <w:ilvl w:val="0"/>
          <w:numId w:val="17"/>
        </w:numPr>
        <w:tabs>
          <w:tab w:val="left" w:pos="728"/>
          <w:tab w:val="clear" w:pos="420"/>
        </w:tabs>
        <w:bidi w:val="0"/>
        <w:ind w:left="0" w:firstLine="420"/>
        <w:rPr>
          <w:rFonts w:ascii="楷体" w:hAnsi="楷体" w:eastAsia="楷体" w:cs="Calibri"/>
          <w:sz w:val="21"/>
          <w:szCs w:val="21"/>
          <w:highlight w:val="none"/>
        </w:rPr>
      </w:pPr>
      <w:r>
        <w:rPr>
          <w:rFonts w:hint="eastAsia" w:ascii="楷体" w:hAnsi="楷体" w:eastAsia="楷体" w:cs="Calibri"/>
          <w:color w:val="auto"/>
          <w:sz w:val="21"/>
          <w:szCs w:val="21"/>
        </w:rPr>
        <w:t>理财账单：管理人每月向投资者提供其所持有的理财产品账单，账单内容包括但不限于投资者持有的理财产品份额、认购金额、份额</w:t>
      </w:r>
      <w:r>
        <w:rPr>
          <w:rFonts w:hint="eastAsia" w:ascii="楷体" w:hAnsi="楷体" w:eastAsia="楷体" w:cs="Calibri"/>
          <w:color w:val="auto"/>
          <w:sz w:val="21"/>
          <w:szCs w:val="21"/>
          <w:lang w:val="en-US" w:eastAsia="zh-CN"/>
        </w:rPr>
        <w:t>单位</w:t>
      </w:r>
      <w:r>
        <w:rPr>
          <w:rFonts w:hint="eastAsia" w:ascii="楷体" w:hAnsi="楷体" w:eastAsia="楷体" w:cs="Calibri"/>
          <w:color w:val="auto"/>
          <w:sz w:val="21"/>
          <w:szCs w:val="21"/>
        </w:rPr>
        <w:t>净值、份额累计净值、资产净值、收益情况、投资者理财交易账户发生的交易明细记录等信息。</w:t>
      </w:r>
    </w:p>
    <w:p>
      <w:pPr>
        <w:numPr>
          <w:ilvl w:val="0"/>
          <w:numId w:val="0"/>
        </w:numPr>
        <w:tabs>
          <w:tab w:val="left" w:pos="1428"/>
        </w:tabs>
        <w:ind w:left="420"/>
        <w:outlineLvl w:val="0"/>
        <w:rPr>
          <w:rFonts w:ascii="楷体" w:hAnsi="楷体" w:eastAsia="楷体"/>
          <w:b/>
          <w:color w:val="auto"/>
          <w:sz w:val="21"/>
          <w:szCs w:val="21"/>
        </w:rPr>
      </w:pPr>
      <w:r>
        <w:rPr>
          <w:rFonts w:hint="eastAsia" w:ascii="楷体" w:hAnsi="楷体" w:eastAsia="楷体"/>
          <w:b/>
          <w:color w:val="auto"/>
          <w:sz w:val="21"/>
          <w:szCs w:val="21"/>
          <w:lang w:val="en-US" w:eastAsia="zh-CN"/>
        </w:rPr>
        <w:t>十三、</w:t>
      </w:r>
      <w:r>
        <w:rPr>
          <w:rFonts w:hint="eastAsia" w:ascii="楷体" w:hAnsi="楷体" w:eastAsia="楷体"/>
          <w:b/>
          <w:color w:val="auto"/>
          <w:sz w:val="21"/>
          <w:szCs w:val="21"/>
        </w:rPr>
        <w:t>其他</w:t>
      </w:r>
    </w:p>
    <w:p>
      <w:pPr>
        <w:numPr>
          <w:ilvl w:val="0"/>
          <w:numId w:val="18"/>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追索条款</w:t>
      </w:r>
    </w:p>
    <w:p>
      <w:pPr>
        <w:ind w:firstLine="420"/>
        <w:rPr>
          <w:rFonts w:ascii="楷体" w:hAnsi="楷体" w:eastAsia="楷体"/>
          <w:color w:val="auto"/>
          <w:sz w:val="21"/>
          <w:szCs w:val="21"/>
        </w:rPr>
      </w:pPr>
      <w:r>
        <w:rPr>
          <w:rFonts w:hint="eastAsia" w:ascii="楷体" w:hAnsi="楷体" w:eastAsia="楷体"/>
          <w:color w:val="auto"/>
          <w:sz w:val="21"/>
          <w:szCs w:val="21"/>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8"/>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信息安全</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rPr>
        <w:t>苏银理财及</w:t>
      </w:r>
      <w:r>
        <w:rPr>
          <w:rFonts w:hint="eastAsia" w:ascii="楷体" w:hAnsi="楷体" w:eastAsia="楷体"/>
          <w:color w:val="auto"/>
          <w:sz w:val="21"/>
          <w:szCs w:val="21"/>
          <w:lang w:val="en-US" w:eastAsia="zh-CN"/>
        </w:rPr>
        <w:t>销售</w:t>
      </w:r>
      <w:r>
        <w:rPr>
          <w:rFonts w:hint="eastAsia" w:ascii="楷体" w:hAnsi="楷体" w:eastAsia="楷体"/>
          <w:color w:val="auto"/>
          <w:sz w:val="21"/>
          <w:szCs w:val="21"/>
        </w:rPr>
        <w:t>机构将据相关法律、法规严格履行投资者信息保密责任，除监管机构或司法机关等有权机构外，不得对其他第三方提供任何投资者信息。</w:t>
      </w:r>
    </w:p>
    <w:p>
      <w:pPr>
        <w:numPr>
          <w:ilvl w:val="0"/>
          <w:numId w:val="18"/>
        </w:numPr>
        <w:tabs>
          <w:tab w:val="left" w:pos="993"/>
        </w:tabs>
        <w:ind w:left="0" w:firstLine="420"/>
        <w:rPr>
          <w:rFonts w:ascii="楷体" w:hAnsi="楷体" w:eastAsia="楷体" w:cs="Calibri"/>
          <w:color w:val="auto"/>
          <w:sz w:val="21"/>
          <w:szCs w:val="21"/>
        </w:rPr>
      </w:pPr>
      <w:r>
        <w:rPr>
          <w:rFonts w:hint="eastAsia" w:ascii="楷体" w:hAnsi="楷体" w:eastAsia="楷体" w:cs="Calibri"/>
          <w:color w:val="auto"/>
          <w:sz w:val="21"/>
          <w:szCs w:val="21"/>
        </w:rPr>
        <w:t>争议解决</w:t>
      </w:r>
    </w:p>
    <w:p>
      <w:pPr>
        <w:ind w:firstLine="420"/>
        <w:jc w:val="left"/>
        <w:rPr>
          <w:rFonts w:ascii="楷体" w:hAnsi="楷体" w:eastAsia="楷体"/>
        </w:rPr>
      </w:pPr>
      <w:r>
        <w:rPr>
          <w:rFonts w:hint="eastAsia" w:ascii="楷体" w:hAnsi="楷体" w:eastAsia="楷体"/>
          <w:color w:val="auto"/>
          <w:sz w:val="21"/>
          <w:szCs w:val="21"/>
          <w:lang w:val="en-US" w:eastAsia="zh-CN"/>
        </w:rPr>
        <w:t>本产品说明书</w:t>
      </w:r>
      <w:r>
        <w:rPr>
          <w:rFonts w:hint="eastAsia" w:ascii="楷体" w:hAnsi="楷体" w:eastAsia="楷体"/>
          <w:color w:val="auto"/>
          <w:sz w:val="21"/>
          <w:szCs w:val="21"/>
        </w:rPr>
        <w:t>的订立、生效、履行、解释、修改和终止等事项均适用中华人民共和国（</w:t>
      </w:r>
      <w:r>
        <w:rPr>
          <w:rFonts w:hint="eastAsia" w:ascii="楷体" w:hAnsi="楷体" w:eastAsia="楷体"/>
          <w:color w:val="auto"/>
          <w:sz w:val="21"/>
          <w:szCs w:val="21"/>
          <w:lang w:val="en-US" w:eastAsia="zh-CN"/>
        </w:rPr>
        <w:t>为本合同目的，</w:t>
      </w:r>
      <w:r>
        <w:rPr>
          <w:rFonts w:hint="eastAsia" w:ascii="楷体" w:hAnsi="楷体" w:eastAsia="楷体"/>
          <w:color w:val="auto"/>
          <w:sz w:val="21"/>
          <w:szCs w:val="21"/>
        </w:rPr>
        <w:t>不包括香港特别行政区、澳门特别行政区和台湾地区）法律。</w:t>
      </w:r>
      <w:r>
        <w:rPr>
          <w:rFonts w:hint="eastAsia" w:ascii="楷体" w:hAnsi="楷体" w:eastAsia="楷体"/>
          <w:color w:val="auto"/>
          <w:sz w:val="21"/>
          <w:szCs w:val="21"/>
          <w:lang w:val="en-US" w:eastAsia="zh-CN"/>
        </w:rPr>
        <w:t>因本产品说明书</w:t>
      </w:r>
      <w:r>
        <w:rPr>
          <w:rFonts w:hint="eastAsia" w:ascii="楷体" w:hAnsi="楷体" w:eastAsia="楷体"/>
          <w:color w:val="auto"/>
          <w:sz w:val="21"/>
          <w:szCs w:val="21"/>
        </w:rPr>
        <w:t>引起的或与</w:t>
      </w:r>
      <w:r>
        <w:rPr>
          <w:rFonts w:hint="eastAsia" w:ascii="楷体" w:hAnsi="楷体" w:eastAsia="楷体"/>
          <w:color w:val="auto"/>
          <w:sz w:val="21"/>
          <w:szCs w:val="21"/>
          <w:lang w:val="en-US" w:eastAsia="zh-CN"/>
        </w:rPr>
        <w:t>本产品说明书</w:t>
      </w:r>
      <w:r>
        <w:rPr>
          <w:rFonts w:hint="eastAsia" w:ascii="楷体" w:hAnsi="楷体" w:eastAsia="楷体"/>
          <w:color w:val="auto"/>
          <w:sz w:val="21"/>
          <w:szCs w:val="21"/>
        </w:rPr>
        <w:t>有关的任何争议，应当首先通过双方之间的友好协商解决；协商不成的，双方均有权提交产品管理人</w:t>
      </w:r>
      <w:r>
        <w:rPr>
          <w:rFonts w:hint="eastAsia" w:ascii="楷体" w:hAnsi="楷体" w:eastAsia="楷体"/>
          <w:color w:val="auto"/>
          <w:sz w:val="21"/>
          <w:szCs w:val="21"/>
          <w:lang w:val="en-US" w:eastAsia="zh-CN"/>
        </w:rPr>
        <w:t>住所地</w:t>
      </w:r>
      <w:r>
        <w:rPr>
          <w:rFonts w:hint="eastAsia" w:ascii="楷体" w:hAnsi="楷体" w:eastAsia="楷体"/>
          <w:color w:val="auto"/>
          <w:sz w:val="21"/>
          <w:szCs w:val="21"/>
        </w:rPr>
        <w:t>有管辖权的人民法院诉讼解决。</w:t>
      </w:r>
    </w:p>
    <w:p>
      <w:pPr>
        <w:ind w:firstLine="420"/>
        <w:jc w:val="left"/>
        <w:rPr>
          <w:rFonts w:ascii="楷体" w:hAnsi="楷体" w:eastAsia="楷体"/>
        </w:rPr>
      </w:pPr>
      <w:bookmarkStart w:id="0" w:name="_GoBack"/>
      <w:bookmarkEnd w:id="0"/>
    </w:p>
    <w:p>
      <w:pPr>
        <w:ind w:firstLine="420"/>
        <w:jc w:val="left"/>
        <w:rPr>
          <w:rFonts w:ascii="楷体" w:hAnsi="楷体" w:eastAsia="楷体"/>
          <w:kern w:val="0"/>
        </w:rPr>
        <w:sectPr>
          <w:headerReference r:id="rId9" w:type="first"/>
          <w:headerReference r:id="rId7" w:type="default"/>
          <w:footerReference r:id="rId10" w:type="default"/>
          <w:headerReference r:id="rId8" w:type="even"/>
          <w:pgSz w:w="11906" w:h="16838"/>
          <w:pgMar w:top="1440" w:right="1134" w:bottom="1440" w:left="1134" w:header="851" w:footer="992" w:gutter="0"/>
          <w:cols w:space="0" w:num="1"/>
        </w:sectPr>
      </w:pPr>
    </w:p>
    <w:p>
      <w:pPr>
        <w:keepNext w:val="0"/>
        <w:keepLines w:val="0"/>
        <w:pageBreakBefore w:val="0"/>
        <w:bidi w:val="0"/>
        <w:spacing w:before="157" w:after="157" w:line="310" w:lineRule="exact"/>
        <w:jc w:val="center"/>
        <w:rPr>
          <w:rFonts w:hint="eastAsia" w:ascii="楷体" w:hAnsi="楷体" w:eastAsia="楷体"/>
          <w:b/>
          <w:kern w:val="0"/>
          <w:szCs w:val="28"/>
        </w:rPr>
      </w:pPr>
      <w:r>
        <w:rPr>
          <w:rFonts w:hint="eastAsia" w:ascii="楷体" w:hAnsi="楷体" w:eastAsia="楷体"/>
          <w:b/>
          <w:kern w:val="0"/>
          <w:szCs w:val="28"/>
        </w:rPr>
        <w:t>苏银理财有限责任公司理财产品投资协议书</w:t>
      </w:r>
    </w:p>
    <w:p>
      <w:pPr>
        <w:keepNext w:val="0"/>
        <w:keepLines w:val="0"/>
        <w:pageBreakBefore w:val="0"/>
        <w:bidi w:val="0"/>
        <w:spacing w:line="310" w:lineRule="exact"/>
        <w:jc w:val="center"/>
        <w:rPr>
          <w:rFonts w:hint="eastAsia" w:ascii="楷体" w:hAnsi="楷体" w:eastAsia="楷体"/>
          <w:b/>
          <w:kern w:val="0"/>
          <w:szCs w:val="28"/>
        </w:rPr>
      </w:pPr>
      <w:r>
        <w:rPr>
          <w:rFonts w:hint="eastAsia" w:ascii="楷体" w:hAnsi="楷体" w:eastAsia="楷体"/>
          <w:b/>
          <w:kern w:val="0"/>
          <w:sz w:val="24"/>
          <w:szCs w:val="24"/>
        </w:rPr>
        <w:t>理财非存款、产品有风险、投资须谨慎</w:t>
      </w:r>
    </w:p>
    <w:p>
      <w:pPr>
        <w:keepNext w:val="0"/>
        <w:keepLines w:val="0"/>
        <w:pageBreakBefore w:val="0"/>
        <w:bidi w:val="0"/>
        <w:spacing w:line="310" w:lineRule="exact"/>
        <w:ind w:firstLine="420"/>
        <w:rPr>
          <w:rFonts w:hint="eastAsia" w:ascii="楷体" w:hAnsi="楷体" w:eastAsia="楷体" w:cs="Times New Roman"/>
          <w:kern w:val="0"/>
          <w:sz w:val="21"/>
          <w:szCs w:val="21"/>
        </w:rPr>
      </w:pPr>
      <w:r>
        <w:rPr>
          <w:rFonts w:hint="eastAsia" w:ascii="楷体" w:hAnsi="楷体" w:eastAsia="楷体" w:cs="Times New Roman"/>
          <w:kern w:val="0"/>
          <w:sz w:val="21"/>
          <w:szCs w:val="21"/>
        </w:rPr>
        <w:t>经甲方（投资者）与乙方（苏银理财有限责任公司，以下简称“苏银理财”）协商一致，就甲方向乙方购买理财产品，达成协议如下：</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一、重要声明</w:t>
      </w:r>
    </w:p>
    <w:p>
      <w:pPr>
        <w:keepNext w:val="0"/>
        <w:keepLines w:val="0"/>
        <w:pageBreakBefore w:val="0"/>
        <w:bidi w:val="0"/>
        <w:spacing w:line="310" w:lineRule="exact"/>
        <w:ind w:firstLine="420"/>
        <w:rPr>
          <w:rFonts w:hint="eastAsia" w:ascii="楷体" w:hAnsi="楷体" w:eastAsia="楷体"/>
          <w:b/>
          <w:kern w:val="0"/>
          <w:sz w:val="21"/>
          <w:szCs w:val="21"/>
          <w:u w:val="single"/>
        </w:rPr>
      </w:pPr>
      <w:r>
        <w:rPr>
          <w:rFonts w:hint="eastAsia" w:ascii="楷体" w:hAnsi="楷体" w:eastAsia="楷体"/>
          <w:kern w:val="0"/>
          <w:sz w:val="21"/>
          <w:szCs w:val="21"/>
        </w:rPr>
        <w:t>本投资协议书与理财产品（代理）销售协议书、理财产品说明书、风险揭示书、投资者权益须知等销售文件构成完整的不可分割的理财产品合同。乙方作为理财产品管理人建议投资者在购买对应期次理财产品（以下简称“本理财产品”）前认真阅读相关理财产品合同或咨询专业理财经理。甲方签署本投资协议（含电子渠道确认）则被视为已详细阅读过本投资协议及完整理财产品合同，并充分理解合同条款和潜在风险，自愿购买本理财产品，并遵守理财产品合同中的各项规定。</w:t>
      </w:r>
      <w:r>
        <w:rPr>
          <w:rFonts w:hint="eastAsia" w:ascii="楷体" w:hAnsi="楷体" w:eastAsia="楷体"/>
          <w:b/>
          <w:kern w:val="0"/>
          <w:sz w:val="21"/>
          <w:szCs w:val="21"/>
          <w:u w:val="single"/>
        </w:rPr>
        <w:t>本理财产品不保证本金和收益。受各种市场波动因素影响，本理财产品可能存在包括但不限于政策风险、信用风险、市场风险、流动性风险、管理风险、操作风险、兑付延期风险、提前终止风险、信息传递风险、代销风险、关联交易风险、标的资产的特别投资风险及其他风险，具体风险因素由乙方在理财产品风险揭示书中揭示。请您仔细阅读并充分认识投资风险，谨慎投资。</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二、甲方的权利义务</w:t>
      </w:r>
    </w:p>
    <w:p>
      <w:pPr>
        <w:keepNext w:val="0"/>
        <w:keepLines w:val="0"/>
        <w:pageBreakBefore w:val="0"/>
        <w:numPr>
          <w:ilvl w:val="0"/>
          <w:numId w:val="0"/>
        </w:numPr>
        <w:bidi w:val="0"/>
        <w:spacing w:line="310" w:lineRule="exact"/>
        <w:ind w:left="0" w:firstLine="422"/>
        <w:rPr>
          <w:rFonts w:hint="eastAsia" w:ascii="楷体" w:hAnsi="楷体" w:eastAsia="楷体" w:cs="Times New Roman"/>
          <w:kern w:val="0"/>
          <w:sz w:val="21"/>
          <w:szCs w:val="21"/>
        </w:rPr>
      </w:pPr>
      <w:r>
        <w:rPr>
          <w:rFonts w:hint="eastAsia" w:ascii="楷体" w:hAnsi="楷体" w:eastAsia="楷体"/>
          <w:b/>
          <w:kern w:val="0"/>
          <w:sz w:val="21"/>
          <w:szCs w:val="21"/>
        </w:rPr>
        <w:t>（一）甲方的权利：</w:t>
      </w:r>
      <w:r>
        <w:rPr>
          <w:rFonts w:hint="eastAsia" w:ascii="楷体" w:hAnsi="楷体" w:eastAsia="楷体" w:cs="Times New Roman"/>
          <w:kern w:val="0"/>
          <w:sz w:val="21"/>
          <w:szCs w:val="21"/>
        </w:rPr>
        <w:t>按理财产品合同的约定取得理财收益（如有）；按理财产品合同的约定查询获得披露的理财产品信息资料；产品终止后对清算后的理财产品资产净值按理财产品持有份额比例参与分配；要求乙方或理财产品托管人及时履行法律法规、理财产品合同所规定的义务；对乙方、理财产品托管人损害其合法权益的行为而要求予以赔偿；法律法规、理财产品合同规定的其它权利。</w:t>
      </w:r>
    </w:p>
    <w:p>
      <w:pPr>
        <w:keepNext w:val="0"/>
        <w:keepLines w:val="0"/>
        <w:pageBreakBefore w:val="0"/>
        <w:numPr>
          <w:ilvl w:val="0"/>
          <w:numId w:val="19"/>
        </w:numPr>
        <w:bidi w:val="0"/>
        <w:spacing w:line="310" w:lineRule="exact"/>
        <w:ind w:left="0" w:firstLine="422"/>
        <w:rPr>
          <w:rFonts w:hint="eastAsia" w:ascii="楷体" w:hAnsi="楷体" w:eastAsia="楷体" w:cs="Times New Roman"/>
          <w:kern w:val="0"/>
          <w:sz w:val="21"/>
          <w:szCs w:val="21"/>
        </w:rPr>
      </w:pPr>
      <w:r>
        <w:rPr>
          <w:rFonts w:hint="eastAsia" w:ascii="楷体" w:hAnsi="楷体" w:eastAsia="楷体"/>
          <w:b/>
          <w:kern w:val="0"/>
          <w:sz w:val="21"/>
          <w:szCs w:val="21"/>
        </w:rPr>
        <w:t>甲方的义务：</w:t>
      </w:r>
      <w:r>
        <w:rPr>
          <w:rFonts w:hint="eastAsia" w:ascii="楷体" w:hAnsi="楷体" w:eastAsia="楷体" w:cs="Times New Roman"/>
          <w:kern w:val="0"/>
          <w:sz w:val="21"/>
          <w:szCs w:val="21"/>
        </w:rPr>
        <w:t>遵守有关法律法规和理财产品合同的约定；以其对理财产品的投资额为限承担本理财产品亏损或者终止的有限责任；不从事任何有损本理财产品及本理财产品其他理财产品合同当事人合法权益的活动；返还其在理财投资过程中取得的不当得利；法律法规以及理财产品合同所规定的其它义务。</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三、乙方的权利义务</w:t>
      </w:r>
    </w:p>
    <w:p>
      <w:pPr>
        <w:keepNext w:val="0"/>
        <w:keepLines w:val="0"/>
        <w:pageBreakBefore w:val="0"/>
        <w:bidi w:val="0"/>
        <w:spacing w:line="310" w:lineRule="exact"/>
        <w:ind w:firstLine="422"/>
        <w:rPr>
          <w:rFonts w:hint="eastAsia" w:ascii="楷体" w:hAnsi="楷体" w:eastAsia="楷体"/>
          <w:kern w:val="0"/>
          <w:sz w:val="21"/>
          <w:szCs w:val="21"/>
        </w:rPr>
      </w:pPr>
      <w:r>
        <w:rPr>
          <w:rFonts w:hint="eastAsia" w:ascii="楷体" w:hAnsi="楷体" w:eastAsia="楷体"/>
          <w:b/>
          <w:kern w:val="0"/>
          <w:sz w:val="21"/>
          <w:szCs w:val="21"/>
        </w:rPr>
        <w:t>（一）乙方的权利：</w:t>
      </w:r>
      <w:r>
        <w:rPr>
          <w:rFonts w:hint="eastAsia" w:ascii="楷体" w:hAnsi="楷体" w:eastAsia="楷体"/>
          <w:kern w:val="0"/>
          <w:sz w:val="21"/>
          <w:szCs w:val="21"/>
        </w:rPr>
        <w:t>乙方按照法律法规和理财产品合同的约定，诚实信用、谨慎勤勉地实施投资管理行为，以专业技能管理理财产品资产，依法维护理财产品全体投资者的利益；为理财产品的利益依法为理财产品进行融资；按照法律法规，代表理财产品对被投资企业行使权利（如被投资企业股东权利等）；以乙方名义，代表理财份额持有人利益行使诉讼权利或者实施其他法律行为；依据法律法规和理财产品合同的约定监督理财产品托管人，如认为理财产品托管人违反了法律法规或理财产品合同约定，对理财产品资产、其它理财产品合同当事人的利益造成重大损失的，应及时呈报监管机构，以及采取其它必要措施以保护本理财产品及相关理财产品合同当事人的利益；选择、更换律师、审计师、证券经纪商或其他为理财产品提供服务的外部机构并确定有关费率；法律法规、理财产品合同规定的其它权利。</w:t>
      </w:r>
    </w:p>
    <w:p>
      <w:pPr>
        <w:keepNext w:val="0"/>
        <w:keepLines w:val="0"/>
        <w:pageBreakBefore w:val="0"/>
        <w:numPr>
          <w:ilvl w:val="0"/>
          <w:numId w:val="0"/>
        </w:numPr>
        <w:bidi w:val="0"/>
        <w:spacing w:line="310" w:lineRule="exact"/>
        <w:ind w:left="0" w:firstLine="527"/>
        <w:jc w:val="left"/>
        <w:rPr>
          <w:rFonts w:ascii="楷体" w:hAnsi="楷体" w:eastAsia="楷体"/>
          <w:kern w:val="0"/>
          <w:sz w:val="21"/>
          <w:szCs w:val="21"/>
        </w:rPr>
      </w:pPr>
      <w:r>
        <w:rPr>
          <w:rFonts w:hint="eastAsia" w:ascii="楷体" w:hAnsi="楷体" w:eastAsia="楷体"/>
          <w:b/>
          <w:kern w:val="0"/>
          <w:sz w:val="21"/>
          <w:szCs w:val="21"/>
        </w:rPr>
        <w:t>（二）乙方的义务：</w:t>
      </w:r>
      <w:r>
        <w:rPr>
          <w:rFonts w:hint="eastAsia" w:ascii="楷体" w:hAnsi="楷体" w:eastAsia="楷体"/>
          <w:kern w:val="0"/>
          <w:sz w:val="21"/>
          <w:szCs w:val="21"/>
        </w:rPr>
        <w:t>遵守法律法规和理财产品合同的约定；</w:t>
      </w:r>
      <w:r>
        <w:rPr>
          <w:rFonts w:hint="eastAsia" w:ascii="楷体" w:hAnsi="楷体" w:eastAsia="楷体" w:cs="Times New Roman"/>
          <w:kern w:val="0"/>
          <w:sz w:val="21"/>
          <w:szCs w:val="21"/>
        </w:rPr>
        <w:t>恪尽职守，依照诚实信用、勤勉尽责的原则，谨慎、有效管理和运用理财资产；</w:t>
      </w:r>
      <w:r>
        <w:rPr>
          <w:rFonts w:hint="eastAsia" w:ascii="楷体" w:hAnsi="楷体" w:eastAsia="楷体"/>
          <w:kern w:val="0"/>
          <w:sz w:val="21"/>
          <w:szCs w:val="21"/>
        </w:rPr>
        <w:t>设置相应的部门并配备足够的具有专业资格的人员进行理财投资分析、决策，以专业化的经营方式管理和运作理财资产，防范和减少风险；建立健全内部控制制度，保证乙方的固有财产和理财财产相互独立，对所管理的不同理财财产分别管理、分别记账，进行投资；除依据法律法规和理财产品合同的约定外，不得利用理财资产为乙方自身及任何第三方谋取利益；接受理财产品托管人对理财产品投资运作的监督；严格按照法律法规和理财产品合同的约定履行信息披露及报告义务；依据理财产品合同</w:t>
      </w:r>
      <w:r>
        <w:rPr>
          <w:rFonts w:hint="eastAsia" w:ascii="楷体" w:hAnsi="楷体" w:eastAsia="楷体" w:cs="Times New Roman"/>
          <w:kern w:val="0"/>
          <w:sz w:val="21"/>
          <w:szCs w:val="21"/>
        </w:rPr>
        <w:t>约定</w:t>
      </w:r>
      <w:r>
        <w:rPr>
          <w:rFonts w:hint="eastAsia" w:ascii="楷体" w:hAnsi="楷体" w:eastAsia="楷体"/>
          <w:kern w:val="0"/>
          <w:sz w:val="21"/>
          <w:szCs w:val="21"/>
        </w:rPr>
        <w:t>制订理财收益分配方案并向本理财产品的理财份额持有人分配理财收益</w:t>
      </w:r>
      <w:r>
        <w:rPr>
          <w:rFonts w:hint="eastAsia" w:ascii="楷体" w:hAnsi="楷体" w:eastAsia="楷体" w:cs="Times New Roman"/>
          <w:kern w:val="0"/>
          <w:sz w:val="21"/>
          <w:szCs w:val="21"/>
        </w:rPr>
        <w:t>（如有）</w:t>
      </w:r>
      <w:r>
        <w:rPr>
          <w:rFonts w:hint="eastAsia" w:ascii="楷体" w:hAnsi="楷体" w:eastAsia="楷体"/>
          <w:kern w:val="0"/>
          <w:sz w:val="21"/>
          <w:szCs w:val="21"/>
        </w:rPr>
        <w:t>；不从事任何有损本理财产品其他当事人合法权益的活动；法律法规、理财产品合同规定的其它义务。</w:t>
      </w:r>
    </w:p>
    <w:p>
      <w:pPr>
        <w:keepNext w:val="0"/>
        <w:keepLines w:val="0"/>
        <w:pageBreakBefore w:val="0"/>
        <w:bidi w:val="0"/>
        <w:spacing w:line="310" w:lineRule="exact"/>
        <w:ind w:firstLine="422"/>
        <w:rPr>
          <w:rFonts w:ascii="楷体" w:hAnsi="楷体" w:eastAsia="楷体"/>
          <w:b/>
          <w:kern w:val="0"/>
          <w:sz w:val="21"/>
          <w:szCs w:val="21"/>
        </w:rPr>
      </w:pPr>
      <w:r>
        <w:rPr>
          <w:rFonts w:hint="eastAsia" w:ascii="楷体" w:hAnsi="楷体" w:eastAsia="楷体"/>
          <w:b/>
          <w:kern w:val="0"/>
          <w:sz w:val="21"/>
          <w:szCs w:val="21"/>
        </w:rPr>
        <w:t>四、</w:t>
      </w:r>
      <w:r>
        <w:rPr>
          <w:rFonts w:ascii="楷体" w:hAnsi="楷体" w:eastAsia="楷体"/>
          <w:b/>
          <w:kern w:val="0"/>
          <w:sz w:val="21"/>
          <w:szCs w:val="21"/>
        </w:rPr>
        <w:t>违约责任</w:t>
      </w:r>
    </w:p>
    <w:p>
      <w:pPr>
        <w:keepNext w:val="0"/>
        <w:keepLines w:val="0"/>
        <w:pageBreakBefore w:val="0"/>
        <w:bidi w:val="0"/>
        <w:spacing w:line="310" w:lineRule="exact"/>
        <w:ind w:firstLine="420"/>
        <w:rPr>
          <w:rFonts w:hint="eastAsia" w:ascii="楷体" w:hAnsi="楷体" w:eastAsia="楷体"/>
          <w:kern w:val="0"/>
          <w:sz w:val="21"/>
          <w:szCs w:val="21"/>
        </w:rPr>
      </w:pPr>
      <w:r>
        <w:rPr>
          <w:rFonts w:hint="eastAsia" w:ascii="楷体" w:hAnsi="楷体" w:eastAsia="楷体"/>
          <w:kern w:val="0"/>
          <w:sz w:val="21"/>
          <w:szCs w:val="21"/>
        </w:rPr>
        <w:t>1. 由于本协议一方当事人的过错，造成本协议不能履行或不能完全履行的，由有过错的一方承担违约责任；如双方同时负有过错，则应由双方各自按照过错程度承担责任。</w:t>
      </w:r>
    </w:p>
    <w:p>
      <w:pPr>
        <w:keepNext w:val="0"/>
        <w:keepLines w:val="0"/>
        <w:pageBreakBefore w:val="0"/>
        <w:bidi w:val="0"/>
        <w:spacing w:line="310" w:lineRule="exact"/>
        <w:ind w:firstLine="422"/>
        <w:rPr>
          <w:rFonts w:hint="eastAsia" w:ascii="楷体" w:hAnsi="楷体" w:eastAsia="楷体"/>
          <w:kern w:val="0"/>
          <w:sz w:val="21"/>
          <w:szCs w:val="21"/>
        </w:rPr>
      </w:pPr>
      <w:r>
        <w:rPr>
          <w:rFonts w:hint="eastAsia" w:ascii="楷体" w:hAnsi="楷体" w:eastAsia="楷体"/>
          <w:b/>
          <w:kern w:val="0"/>
          <w:sz w:val="21"/>
          <w:szCs w:val="21"/>
        </w:rPr>
        <w:t>2. 双方同意，发生下列情况造成损失时，按以下约定承担责任</w:t>
      </w:r>
      <w:r>
        <w:rPr>
          <w:rFonts w:hint="eastAsia" w:ascii="楷体" w:hAnsi="楷体" w:eastAsia="楷体"/>
          <w:kern w:val="0"/>
          <w:sz w:val="21"/>
          <w:szCs w:val="21"/>
        </w:rPr>
        <w:t>：</w:t>
      </w:r>
    </w:p>
    <w:p>
      <w:pPr>
        <w:keepNext w:val="0"/>
        <w:keepLines w:val="0"/>
        <w:pageBreakBefore w:val="0"/>
        <w:bidi w:val="0"/>
        <w:spacing w:line="310" w:lineRule="exact"/>
        <w:ind w:firstLine="420"/>
        <w:rPr>
          <w:rFonts w:hint="eastAsia" w:ascii="楷体" w:hAnsi="楷体" w:eastAsia="楷体"/>
          <w:kern w:val="0"/>
          <w:sz w:val="21"/>
          <w:szCs w:val="21"/>
        </w:rPr>
      </w:pPr>
      <w:r>
        <w:rPr>
          <w:rFonts w:hint="eastAsia" w:ascii="楷体" w:hAnsi="楷体" w:eastAsia="楷体"/>
          <w:kern w:val="0"/>
          <w:sz w:val="21"/>
          <w:szCs w:val="21"/>
        </w:rPr>
        <w:t>（1）对由于国家有关法律、法规、规章、政策的变化，监管机构管理规则的修改、紧急措施的出台等原因而导致的相关风险及损失，双方当事人互不承担责任；</w:t>
      </w:r>
    </w:p>
    <w:p>
      <w:pPr>
        <w:keepNext w:val="0"/>
        <w:keepLines w:val="0"/>
        <w:pageBreakBefore w:val="0"/>
        <w:bidi w:val="0"/>
        <w:spacing w:line="310" w:lineRule="exact"/>
        <w:ind w:firstLine="420"/>
        <w:rPr>
          <w:rFonts w:ascii="楷体" w:hAnsi="楷体" w:eastAsia="楷体"/>
          <w:kern w:val="0"/>
          <w:sz w:val="21"/>
          <w:szCs w:val="21"/>
        </w:rPr>
      </w:pPr>
      <w:r>
        <w:rPr>
          <w:rFonts w:hint="eastAsia" w:ascii="楷体" w:hAnsi="楷体" w:eastAsia="楷体"/>
          <w:kern w:val="0"/>
          <w:sz w:val="21"/>
          <w:szCs w:val="21"/>
        </w:rPr>
        <w:t>（2）</w:t>
      </w:r>
      <w:r>
        <w:rPr>
          <w:rFonts w:hint="eastAsia" w:ascii="楷体" w:hAnsi="楷体" w:eastAsia="楷体"/>
          <w:b/>
          <w:kern w:val="0"/>
          <w:sz w:val="21"/>
          <w:szCs w:val="21"/>
        </w:rPr>
        <w:t>如甲方违反本协议约定，或本产品甲方所涉及的资金被有权机关全部或部分冻结或者扣划</w:t>
      </w:r>
      <w:r>
        <w:rPr>
          <w:rFonts w:hint="eastAsia" w:ascii="楷体" w:hAnsi="楷体" w:eastAsia="楷体" w:cs="Times New Roman"/>
          <w:b/>
          <w:kern w:val="0"/>
          <w:sz w:val="21"/>
          <w:szCs w:val="21"/>
        </w:rPr>
        <w:t>，或乙方发现或有合理理由怀疑甲方或其资金存在洗钱、恐怖融资、逃税等嫌疑，乙方有权</w:t>
      </w:r>
      <w:r>
        <w:rPr>
          <w:rFonts w:hint="eastAsia" w:ascii="楷体" w:hAnsi="楷体" w:eastAsia="楷体"/>
          <w:b/>
          <w:kern w:val="0"/>
          <w:sz w:val="21"/>
          <w:szCs w:val="21"/>
        </w:rPr>
        <w:t>提前终止本合同，且乙方不承担相应责任，如因甲方的违约违法违规行为给乙方或产品其他投资者造成损失的，甲方应承担相应法律责任及违约责任。</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五、免责条款</w:t>
      </w:r>
    </w:p>
    <w:p>
      <w:pPr>
        <w:keepNext w:val="0"/>
        <w:keepLines w:val="0"/>
        <w:pageBreakBefore w:val="0"/>
        <w:bidi w:val="0"/>
        <w:spacing w:line="310" w:lineRule="exact"/>
        <w:ind w:firstLine="420"/>
        <w:rPr>
          <w:rFonts w:hint="eastAsia" w:ascii="楷体" w:hAnsi="楷体" w:eastAsia="楷体"/>
          <w:kern w:val="0"/>
          <w:sz w:val="21"/>
          <w:szCs w:val="21"/>
        </w:rPr>
      </w:pPr>
      <w:r>
        <w:rPr>
          <w:rFonts w:hint="eastAsia" w:ascii="楷体" w:hAnsi="楷体" w:eastAsia="楷体"/>
          <w:kern w:val="0"/>
          <w:sz w:val="21"/>
          <w:szCs w:val="21"/>
        </w:rPr>
        <w:t>1. 由于地震、火灾、战争等不可抗力导致的交易中断、延误等风险及损失，乙方不承担责任，但应在条件允许的情况下通知甲方，并采取一切必要的补救措施以减小不可抗力造成的损失。</w:t>
      </w:r>
    </w:p>
    <w:p>
      <w:pPr>
        <w:keepNext w:val="0"/>
        <w:keepLines w:val="0"/>
        <w:pageBreakBefore w:val="0"/>
        <w:bidi w:val="0"/>
        <w:spacing w:line="310" w:lineRule="exact"/>
        <w:ind w:firstLine="420"/>
        <w:rPr>
          <w:rFonts w:hint="eastAsia" w:ascii="楷体" w:hAnsi="楷体" w:eastAsia="楷体"/>
          <w:kern w:val="0"/>
          <w:sz w:val="21"/>
          <w:szCs w:val="21"/>
        </w:rPr>
      </w:pPr>
      <w:r>
        <w:rPr>
          <w:rFonts w:hint="eastAsia" w:ascii="楷体" w:hAnsi="楷体" w:eastAsia="楷体"/>
          <w:kern w:val="0"/>
          <w:sz w:val="21"/>
          <w:szCs w:val="21"/>
        </w:rPr>
        <w:t>2. 由于国家的有关法律、法规、规章、政策的改变、紧急措施的出台而导致的风险，乙方不承担责任。</w:t>
      </w:r>
    </w:p>
    <w:p>
      <w:pPr>
        <w:keepNext w:val="0"/>
        <w:keepLines w:val="0"/>
        <w:pageBreakBefore w:val="0"/>
        <w:bidi w:val="0"/>
        <w:spacing w:line="310" w:lineRule="exact"/>
        <w:ind w:firstLine="420"/>
        <w:rPr>
          <w:rFonts w:ascii="楷体" w:hAnsi="楷体" w:eastAsia="楷体"/>
          <w:kern w:val="0"/>
          <w:sz w:val="21"/>
          <w:szCs w:val="21"/>
        </w:rPr>
      </w:pPr>
      <w:r>
        <w:rPr>
          <w:rFonts w:hint="eastAsia" w:ascii="楷体" w:hAnsi="楷体" w:eastAsia="楷体"/>
          <w:kern w:val="0"/>
          <w:sz w:val="21"/>
          <w:szCs w:val="21"/>
        </w:rPr>
        <w:t>3. 乙方依照恪尽职守、诚实信用、谨慎勤勉的原则管理和运用理财产品财产，</w:t>
      </w:r>
      <w:r>
        <w:rPr>
          <w:rFonts w:hint="eastAsia" w:ascii="楷体" w:hAnsi="楷体" w:eastAsia="楷体"/>
          <w:b/>
          <w:bCs/>
          <w:kern w:val="0"/>
          <w:sz w:val="21"/>
          <w:szCs w:val="21"/>
        </w:rPr>
        <w:t>但不保证理财产品财产中的认（申）购资金本金不受损失，也不保证一定盈利及最低收益。</w:t>
      </w:r>
      <w:r>
        <w:rPr>
          <w:rFonts w:hint="eastAsia" w:ascii="楷体" w:hAnsi="楷体" w:eastAsia="楷体"/>
          <w:kern w:val="0"/>
          <w:sz w:val="21"/>
          <w:szCs w:val="21"/>
        </w:rPr>
        <w:t>本理财产品运作过程中，乙方依据产品合同约定管理和运用理财产品财产所产生的风险，由理财产品财产及甲方承担。</w:t>
      </w:r>
      <w:r>
        <w:rPr>
          <w:rFonts w:hint="eastAsia" w:ascii="楷体" w:hAnsi="楷体" w:eastAsia="楷体"/>
          <w:b/>
          <w:bCs/>
          <w:kern w:val="0"/>
          <w:sz w:val="21"/>
          <w:szCs w:val="21"/>
        </w:rPr>
        <w:t>甲方应充分知晓投资运营的相关风险，具体风险详见风险揭示书及理财产品说明书的具体约定，其风险应由甲方自担</w:t>
      </w:r>
      <w:r>
        <w:rPr>
          <w:rFonts w:hint="eastAsia" w:ascii="楷体" w:hAnsi="楷体" w:eastAsia="楷体"/>
          <w:kern w:val="0"/>
          <w:sz w:val="21"/>
          <w:szCs w:val="21"/>
        </w:rPr>
        <w:t>。</w:t>
      </w:r>
    </w:p>
    <w:p>
      <w:pPr>
        <w:keepNext w:val="0"/>
        <w:keepLines w:val="0"/>
        <w:pageBreakBefore w:val="0"/>
        <w:bidi w:val="0"/>
        <w:spacing w:line="310" w:lineRule="exact"/>
        <w:ind w:firstLine="420"/>
        <w:rPr>
          <w:rFonts w:ascii="楷体" w:hAnsi="楷体" w:eastAsia="楷体"/>
          <w:kern w:val="0"/>
          <w:sz w:val="21"/>
          <w:szCs w:val="21"/>
        </w:rPr>
      </w:pPr>
      <w:r>
        <w:rPr>
          <w:rFonts w:hint="eastAsia" w:ascii="楷体" w:hAnsi="楷体" w:eastAsia="楷体"/>
          <w:kern w:val="0"/>
          <w:sz w:val="21"/>
          <w:szCs w:val="21"/>
        </w:rPr>
        <w:t>4. 非因乙方原因（包括但不限于甲方遗失本协议、理财产品合同被盗用、甲方资金账户被司法机关等有权部门冻结、扣划及其他投资者自身原因、投资标的固有风险等原因）造成的损失，乙方不承担责任。</w:t>
      </w:r>
    </w:p>
    <w:p>
      <w:pPr>
        <w:keepNext w:val="0"/>
        <w:keepLines w:val="0"/>
        <w:pageBreakBefore w:val="0"/>
        <w:bidi w:val="0"/>
        <w:spacing w:line="310" w:lineRule="exact"/>
        <w:ind w:firstLine="422"/>
        <w:rPr>
          <w:rFonts w:hint="eastAsia" w:ascii="楷体" w:hAnsi="楷体" w:eastAsia="楷体"/>
          <w:b/>
          <w:kern w:val="0"/>
          <w:sz w:val="21"/>
          <w:szCs w:val="21"/>
        </w:rPr>
      </w:pPr>
      <w:r>
        <w:rPr>
          <w:rFonts w:hint="eastAsia" w:ascii="楷体" w:hAnsi="楷体" w:eastAsia="楷体"/>
          <w:b/>
          <w:kern w:val="0"/>
          <w:sz w:val="21"/>
          <w:szCs w:val="21"/>
        </w:rPr>
        <w:t>六、协议的生效、变更及终止</w:t>
      </w:r>
    </w:p>
    <w:p>
      <w:pPr>
        <w:keepNext w:val="0"/>
        <w:keepLines w:val="0"/>
        <w:pageBreakBefore w:val="0"/>
        <w:bidi w:val="0"/>
        <w:spacing w:line="310" w:lineRule="exact"/>
        <w:ind w:firstLine="420"/>
        <w:rPr>
          <w:rFonts w:hint="eastAsia" w:ascii="楷体" w:hAnsi="楷体" w:eastAsia="楷体" w:cs="Times New Roman"/>
          <w:kern w:val="0"/>
          <w:sz w:val="21"/>
          <w:szCs w:val="21"/>
        </w:rPr>
      </w:pPr>
      <w:r>
        <w:rPr>
          <w:rFonts w:hint="eastAsia" w:ascii="楷体" w:hAnsi="楷体" w:eastAsia="楷体"/>
          <w:kern w:val="0"/>
          <w:sz w:val="21"/>
          <w:szCs w:val="21"/>
        </w:rPr>
        <w:t>1.</w:t>
      </w:r>
      <w:r>
        <w:rPr>
          <w:rFonts w:hint="eastAsia" w:ascii="楷体" w:hAnsi="楷体" w:eastAsia="楷体" w:cs="Times New Roman"/>
          <w:kern w:val="0"/>
          <w:sz w:val="21"/>
          <w:szCs w:val="21"/>
        </w:rPr>
        <w:t>本协议自</w:t>
      </w:r>
      <w:r>
        <w:rPr>
          <w:rFonts w:hint="eastAsia" w:ascii="楷体" w:hAnsi="楷体" w:eastAsia="楷体"/>
          <w:kern w:val="0"/>
          <w:sz w:val="21"/>
          <w:szCs w:val="21"/>
        </w:rPr>
        <w:t>甲方</w:t>
      </w:r>
      <w:r>
        <w:rPr>
          <w:rFonts w:hint="eastAsia" w:ascii="楷体" w:hAnsi="楷体" w:eastAsia="楷体" w:cs="Times New Roman"/>
          <w:kern w:val="0"/>
          <w:sz w:val="21"/>
          <w:szCs w:val="21"/>
        </w:rPr>
        <w:t>成功缴纳全额认（申）购资金并经</w:t>
      </w:r>
      <w:r>
        <w:rPr>
          <w:rFonts w:hint="eastAsia" w:ascii="楷体" w:hAnsi="楷体" w:eastAsia="楷体"/>
          <w:kern w:val="0"/>
          <w:sz w:val="21"/>
          <w:szCs w:val="21"/>
        </w:rPr>
        <w:t>苏银</w:t>
      </w:r>
      <w:r>
        <w:rPr>
          <w:rFonts w:hint="eastAsia" w:ascii="楷体" w:hAnsi="楷体" w:eastAsia="楷体" w:cs="Times New Roman"/>
          <w:kern w:val="0"/>
          <w:sz w:val="21"/>
          <w:szCs w:val="21"/>
        </w:rPr>
        <w:t>理财系统确认购买份额后成立并生效。投资者在办理理财产品认（申）购交易后，需通过销售机构查询</w:t>
      </w:r>
      <w:r>
        <w:rPr>
          <w:rFonts w:hint="eastAsia" w:ascii="楷体" w:hAnsi="楷体" w:eastAsia="楷体"/>
          <w:kern w:val="0"/>
          <w:sz w:val="21"/>
          <w:szCs w:val="21"/>
        </w:rPr>
        <w:t>份额确认情况</w:t>
      </w:r>
      <w:r>
        <w:rPr>
          <w:rFonts w:hint="eastAsia" w:ascii="楷体" w:hAnsi="楷体" w:eastAsia="楷体" w:cs="Times New Roman"/>
          <w:kern w:val="0"/>
          <w:sz w:val="21"/>
          <w:szCs w:val="21"/>
        </w:rPr>
        <w:t>。</w:t>
      </w:r>
    </w:p>
    <w:p>
      <w:pPr>
        <w:keepNext w:val="0"/>
        <w:keepLines w:val="0"/>
        <w:pageBreakBefore w:val="0"/>
        <w:bidi w:val="0"/>
        <w:spacing w:line="310" w:lineRule="exact"/>
        <w:ind w:firstLine="420"/>
        <w:rPr>
          <w:rFonts w:hint="eastAsia" w:ascii="楷体" w:hAnsi="楷体" w:eastAsia="楷体" w:cs="Times New Roman"/>
          <w:kern w:val="0"/>
          <w:sz w:val="21"/>
          <w:szCs w:val="21"/>
        </w:rPr>
      </w:pPr>
      <w:r>
        <w:rPr>
          <w:rFonts w:hint="eastAsia" w:ascii="楷体" w:hAnsi="楷体" w:eastAsia="楷体" w:cs="Times New Roman"/>
          <w:kern w:val="0"/>
          <w:sz w:val="21"/>
          <w:szCs w:val="21"/>
        </w:rPr>
        <w:t>2.本协议及理财产品合同项下各方权利义务履行完毕之日，本协议自动终止。</w:t>
      </w:r>
    </w:p>
    <w:p>
      <w:pPr>
        <w:keepNext w:val="0"/>
        <w:keepLines w:val="0"/>
        <w:pageBreakBefore w:val="0"/>
        <w:bidi w:val="0"/>
        <w:spacing w:line="310" w:lineRule="exact"/>
        <w:ind w:firstLine="420"/>
        <w:rPr>
          <w:rFonts w:ascii="楷体" w:hAnsi="楷体" w:eastAsia="楷体"/>
          <w:b/>
          <w:kern w:val="0"/>
          <w:sz w:val="21"/>
          <w:szCs w:val="21"/>
        </w:rPr>
      </w:pPr>
      <w:r>
        <w:rPr>
          <w:rFonts w:hint="eastAsia" w:ascii="楷体" w:hAnsi="楷体" w:eastAsia="楷体"/>
          <w:b/>
          <w:kern w:val="0"/>
          <w:sz w:val="21"/>
          <w:szCs w:val="21"/>
        </w:rPr>
        <w:t>七、本合同的订立、生效、履行、解释、修改和终止等事项均适用中华人民共和国（不包括香港特别行政区、澳门特别行政区和台湾地区）法律。</w:t>
      </w:r>
    </w:p>
    <w:p>
      <w:pPr>
        <w:keepNext w:val="0"/>
        <w:keepLines w:val="0"/>
        <w:pageBreakBefore w:val="0"/>
        <w:bidi w:val="0"/>
        <w:spacing w:line="310" w:lineRule="exact"/>
        <w:ind w:left="0" w:firstLine="420"/>
        <w:rPr>
          <w:rFonts w:hint="eastAsia" w:ascii="楷体" w:hAnsi="楷体" w:eastAsia="楷体"/>
          <w:kern w:val="0"/>
          <w:sz w:val="21"/>
          <w:szCs w:val="21"/>
        </w:rPr>
      </w:pPr>
      <w:r>
        <w:rPr>
          <w:rFonts w:hint="eastAsia" w:ascii="楷体" w:hAnsi="楷体" w:eastAsia="楷体"/>
          <w:kern w:val="0"/>
          <w:sz w:val="21"/>
          <w:szCs w:val="21"/>
        </w:rPr>
        <w:t>因本合同引起的或与本合同有关的任何争议，应当首先通过双方之间的友好协商解决；协商不成的，双方均有权提交乙方所在地有管辖权的人民法院诉讼解决。</w:t>
      </w:r>
    </w:p>
    <w:p>
      <w:pPr>
        <w:keepNext w:val="0"/>
        <w:keepLines w:val="0"/>
        <w:pageBreakBefore w:val="0"/>
        <w:bidi w:val="0"/>
        <w:spacing w:line="310" w:lineRule="exact"/>
        <w:ind w:firstLine="420"/>
        <w:rPr>
          <w:rFonts w:ascii="楷体" w:hAnsi="楷体" w:eastAsia="楷体"/>
          <w:b/>
          <w:kern w:val="0"/>
          <w:sz w:val="21"/>
          <w:szCs w:val="21"/>
        </w:rPr>
      </w:pPr>
      <w:r>
        <w:rPr>
          <w:rFonts w:hint="eastAsia" w:ascii="楷体" w:hAnsi="楷体" w:eastAsia="楷体"/>
          <w:b/>
          <w:kern w:val="0"/>
          <w:sz w:val="21"/>
          <w:szCs w:val="21"/>
        </w:rPr>
        <w:t>八、投资协议书未尽事宜，以理财产品说明书、风险揭示书、理财产品（代理）销售协议书、投资者权益须知的约定内容为准。签署本协议视为同意并接受以上法律文件的所有内容。</w:t>
      </w:r>
    </w:p>
    <w:p>
      <w:pPr>
        <w:keepNext w:val="0"/>
        <w:keepLines w:val="0"/>
        <w:pageBreakBefore w:val="0"/>
        <w:numPr>
          <w:ilvl w:val="0"/>
          <w:numId w:val="0"/>
        </w:numPr>
        <w:bidi w:val="0"/>
        <w:spacing w:line="310" w:lineRule="exact"/>
        <w:ind w:left="0" w:firstLine="420"/>
        <w:rPr>
          <w:rFonts w:hint="eastAsia" w:ascii="楷体" w:hAnsi="楷体" w:eastAsia="楷体"/>
          <w:kern w:val="0"/>
          <w:sz w:val="21"/>
          <w:szCs w:val="21"/>
        </w:rPr>
      </w:pPr>
      <w:r>
        <w:rPr>
          <w:rFonts w:ascii="楷体" w:hAnsi="楷体" w:eastAsia="楷体"/>
          <w:kern w:val="0"/>
          <w:sz w:val="21"/>
          <w:szCs w:val="21"/>
        </w:rPr>
        <w:t>甲方</w:t>
      </w:r>
      <w:r>
        <w:rPr>
          <w:rFonts w:hint="eastAsia" w:ascii="楷体" w:hAnsi="楷体" w:eastAsia="楷体"/>
          <w:kern w:val="0"/>
          <w:sz w:val="21"/>
          <w:szCs w:val="21"/>
        </w:rPr>
        <w:t xml:space="preserve">（个人客户签字）：      </w:t>
      </w:r>
      <w:r>
        <w:rPr>
          <w:rFonts w:ascii="楷体" w:hAnsi="楷体" w:eastAsia="楷体"/>
          <w:kern w:val="0"/>
          <w:sz w:val="21"/>
          <w:szCs w:val="21"/>
        </w:rPr>
        <w:t>甲方</w:t>
      </w:r>
      <w:r>
        <w:rPr>
          <w:rFonts w:hint="eastAsia" w:ascii="楷体" w:hAnsi="楷体" w:eastAsia="楷体"/>
          <w:kern w:val="0"/>
          <w:sz w:val="21"/>
          <w:szCs w:val="21"/>
        </w:rPr>
        <w:t>（机构客户盖章）：</w:t>
      </w:r>
    </w:p>
    <w:p>
      <w:pPr>
        <w:keepNext w:val="0"/>
        <w:keepLines w:val="0"/>
        <w:pageBreakBefore w:val="0"/>
        <w:bidi w:val="0"/>
        <w:spacing w:line="310" w:lineRule="exact"/>
        <w:rPr>
          <w:rFonts w:hint="eastAsia" w:ascii="楷体" w:hAnsi="楷体" w:eastAsia="楷体"/>
          <w:kern w:val="0"/>
          <w:sz w:val="21"/>
          <w:szCs w:val="21"/>
        </w:rPr>
      </w:pPr>
    </w:p>
    <w:p>
      <w:pPr>
        <w:keepNext w:val="0"/>
        <w:keepLines w:val="0"/>
        <w:pageBreakBefore w:val="0"/>
        <w:bidi w:val="0"/>
        <w:spacing w:line="310" w:lineRule="exact"/>
        <w:rPr>
          <w:rFonts w:hint="eastAsia" w:ascii="楷体" w:hAnsi="楷体" w:eastAsia="楷体"/>
          <w:kern w:val="0"/>
          <w:sz w:val="21"/>
          <w:szCs w:val="21"/>
        </w:rPr>
      </w:pPr>
    </w:p>
    <w:p>
      <w:pPr>
        <w:keepNext w:val="0"/>
        <w:keepLines w:val="0"/>
        <w:pageBreakBefore w:val="0"/>
        <w:bidi w:val="0"/>
        <w:spacing w:line="310" w:lineRule="exact"/>
        <w:rPr>
          <w:rFonts w:hint="eastAsia" w:ascii="楷体" w:hAnsi="楷体" w:eastAsia="楷体"/>
          <w:kern w:val="0"/>
          <w:sz w:val="21"/>
          <w:szCs w:val="21"/>
        </w:rPr>
      </w:pPr>
      <w:r>
        <w:rPr>
          <w:rFonts w:hint="eastAsia" w:ascii="楷体" w:hAnsi="楷体" w:eastAsia="楷体"/>
          <w:kern w:val="0"/>
          <w:szCs w:val="21"/>
        </w:rPr>
        <w:t xml:space="preserve">                                    </w:t>
      </w:r>
      <w:r>
        <w:rPr>
          <w:rFonts w:hint="eastAsia" w:ascii="楷体" w:hAnsi="楷体" w:eastAsia="楷体"/>
          <w:kern w:val="0"/>
          <w:sz w:val="21"/>
          <w:szCs w:val="21"/>
        </w:rPr>
        <w:t>机构客户法定代表人或授权代表（签字或盖章）</w:t>
      </w:r>
    </w:p>
    <w:p>
      <w:pPr>
        <w:keepNext w:val="0"/>
        <w:keepLines w:val="0"/>
        <w:pageBreakBefore w:val="0"/>
        <w:bidi w:val="0"/>
        <w:spacing w:line="310" w:lineRule="exact"/>
        <w:rPr>
          <w:rFonts w:hint="eastAsia" w:ascii="楷体" w:hAnsi="楷体" w:eastAsia="楷体"/>
          <w:kern w:val="0"/>
          <w:sz w:val="21"/>
          <w:szCs w:val="21"/>
        </w:rPr>
      </w:pPr>
    </w:p>
    <w:p>
      <w:pPr>
        <w:keepNext w:val="0"/>
        <w:keepLines w:val="0"/>
        <w:pageBreakBefore w:val="0"/>
        <w:bidi w:val="0"/>
        <w:spacing w:line="310" w:lineRule="exact"/>
        <w:ind w:firstLine="6090"/>
        <w:jc w:val="left"/>
        <w:rPr>
          <w:rFonts w:hint="eastAsia" w:ascii="楷体" w:hAnsi="楷体" w:eastAsia="楷体"/>
          <w:kern w:val="0"/>
          <w:sz w:val="21"/>
          <w:szCs w:val="21"/>
        </w:rPr>
      </w:pPr>
      <w:r>
        <w:rPr>
          <w:rFonts w:ascii="楷体" w:hAnsi="楷体" w:eastAsia="楷体"/>
          <w:kern w:val="0"/>
          <w:sz w:val="21"/>
          <w:szCs w:val="21"/>
        </w:rPr>
        <w:t>签署日期：</w:t>
      </w:r>
      <w:r>
        <w:rPr>
          <w:rFonts w:hint="eastAsia" w:ascii="楷体" w:hAnsi="楷体" w:eastAsia="楷体"/>
          <w:kern w:val="0"/>
          <w:sz w:val="21"/>
          <w:szCs w:val="21"/>
        </w:rPr>
        <w:t xml:space="preserve">      </w:t>
      </w:r>
      <w:r>
        <w:rPr>
          <w:rFonts w:ascii="楷体" w:hAnsi="楷体" w:eastAsia="楷体"/>
          <w:kern w:val="0"/>
          <w:sz w:val="21"/>
          <w:szCs w:val="21"/>
        </w:rPr>
        <w:t>年</w:t>
      </w:r>
      <w:r>
        <w:rPr>
          <w:rFonts w:hint="eastAsia" w:ascii="楷体" w:hAnsi="楷体" w:eastAsia="楷体"/>
          <w:kern w:val="0"/>
          <w:sz w:val="21"/>
          <w:szCs w:val="21"/>
        </w:rPr>
        <w:t xml:space="preserve">      </w:t>
      </w:r>
      <w:r>
        <w:rPr>
          <w:rFonts w:ascii="楷体" w:hAnsi="楷体" w:eastAsia="楷体"/>
          <w:kern w:val="0"/>
          <w:sz w:val="21"/>
          <w:szCs w:val="21"/>
        </w:rPr>
        <w:t>月</w:t>
      </w:r>
      <w:r>
        <w:rPr>
          <w:rFonts w:hint="eastAsia" w:ascii="楷体" w:hAnsi="楷体" w:eastAsia="楷体"/>
          <w:kern w:val="0"/>
          <w:sz w:val="21"/>
          <w:szCs w:val="21"/>
        </w:rPr>
        <w:t xml:space="preserve">     日</w:t>
      </w:r>
    </w:p>
    <w:sectPr>
      <w:headerReference r:id="rId13" w:type="first"/>
      <w:headerReference r:id="rId11" w:type="default"/>
      <w:footerReference r:id="rId14" w:type="default"/>
      <w:headerReference r:id="rId12"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浠垮畫">
    <w:altName w:val="Times New Roman"/>
    <w:panose1 w:val="02020603050405020304"/>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2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2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1</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5</w:t>
    </w:r>
    <w:r>
      <w:rPr>
        <w:b/>
        <w:bCs/>
        <w:sz w:val="24"/>
        <w:szCs w:val="24"/>
      </w:rPr>
      <w:fldChar w:fldCharType="end"/>
    </w:r>
  </w:p>
  <w:p>
    <w:pPr>
      <w:pStyle w:val="21"/>
    </w:pPr>
  </w:p>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kinsoku w:val="0"/>
      <w:overflowPunct w:val="0"/>
      <w:spacing w:before="0" w:line="320" w:lineRule="exact"/>
      <w:ind w:left="20"/>
      <w:jc w:val="both"/>
      <w:rPr>
        <w:rFonts w:ascii="楷体" w:hAnsi="楷体" w:eastAsia="楷体" w:cs="黑体"/>
        <w:b/>
        <w:spacing w:val="-2"/>
        <w:sz w:val="24"/>
        <w:szCs w:val="24"/>
      </w:rPr>
    </w:pPr>
    <w:r>
      <w:pict>
        <v:shape id="WordPictureWatermark1026" o:spid="_x0000_s4098" o:spt="75" type="#_x0000_t75" style="position:absolute;left:0pt;margin-left:-315.7pt;margin-top:-81.05pt;height:862.85pt;width:1137.35pt;mso-position-horizontal-relative:margin;mso-position-vertical-relative:margin;z-index:-251651072;mso-width-relative:page;mso-height-relative:page;" filled="f" o:preferrelative="t" stroked="f" coordsize="21600,21600" o:allowincell="f">
          <v:path/>
          <v:fill on="f" focussize="0,0"/>
          <v:stroke on="f" joinstyle="miter"/>
          <v:imagedata r:id="rId1" gain="19661f" blacklevel="22938f" o:title="苏银理财"/>
          <o:lock v:ext="edit" aspectratio="t"/>
        </v:shape>
      </w:pict>
    </w:r>
    <w:r>
      <w:pict>
        <v:shape id="图片 1" o:spid="_x0000_s4099" o:spt="75" alt="说明: 说明: C:\Users\JSYH\Desktop\苏银理财.png" type="#_x0000_t75" style="position:absolute;left:0pt;margin-left:390.95pt;margin-top:-7.5pt;height:33.45pt;width:104.35pt;mso-wrap-distance-bottom:0pt;mso-wrap-distance-left:9pt;mso-wrap-distance-right:9pt;mso-wrap-distance-top:0pt;z-index:251668480;mso-width-relative:page;mso-height-relative:page;" filled="f" o:preferrelative="t" stroked="f" coordsize="21600,21600">
          <v:path/>
          <v:fill on="f" focussize="0,0"/>
          <v:stroke on="f" joinstyle="miter"/>
          <v:imagedata r:id="rId2" o:title="苏银理财"/>
          <o:lock v:ext="edit" aspectratio="t"/>
          <w10:wrap type="square"/>
        </v:shape>
      </w:pict>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pict>
        <v:shape id="WordPictureWatermark1025" o:spid="_x0000_s4100" o:spt="75" type="#_x0000_t75" style="position:absolute;left:0pt;height:862.85pt;width:1137.35pt;mso-position-horizontal:center;mso-position-horizontal-relative:margin;mso-position-vertical:center;mso-position-vertical-relative:margin;z-index:-251654144;mso-width-relative:page;mso-height-relative:page;" filled="f" o:preferrelative="t" stroked="f" coordsize="21600,21600" o:allowincell="f">
          <v:path/>
          <v:fill on="f" focussize="0,0"/>
          <v:stroke on="f" joinstyle="miter"/>
          <v:imagedata r:id="rId1" gain="19661f" blacklevel="22938f" o:title="苏银理财"/>
          <o:lock v:ext="edit" aspectratio="t"/>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pict>
        <v:shape id="WordPictureWatermark1027" o:spid="_x0000_s4097" o:spt="75" type="#_x0000_t75" style="position:absolute;left:0pt;height:862.85pt;width:1137.35pt;mso-position-horizontal:center;mso-position-horizontal-relative:margin;mso-position-vertical:center;mso-position-vertical-relative:margin;z-index:-251657216;mso-width-relative:page;mso-height-relative:page;" filled="f" o:preferrelative="t" stroked="f" coordsize="21600,21600" o:allowincell="f">
          <v:path/>
          <v:fill on="f" focussize="0,0"/>
          <v:stroke on="f" joinstyle="miter"/>
          <v:imagedata r:id="rId1" gain="19661f" blacklevel="22938f" o:title="苏银理财"/>
          <o:lock v:ext="edit" aspectratio="t"/>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166"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WordPictureWatermark367128483"/>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r>
      <w:drawing>
        <wp:anchor distT="0" distB="0" distL="114300" distR="114300" simplePos="0" relativeHeight="251669504" behindDoc="0" locked="0" layoutInCell="1" allowOverlap="1">
          <wp:simplePos x="0" y="0"/>
          <wp:positionH relativeFrom="column">
            <wp:posOffset>4992370</wp:posOffset>
          </wp:positionH>
          <wp:positionV relativeFrom="paragraph">
            <wp:posOffset>-124460</wp:posOffset>
          </wp:positionV>
          <wp:extent cx="1325245" cy="424815"/>
          <wp:effectExtent l="0" t="0" r="8255" b="3810"/>
          <wp:wrapSquare wrapText="bothSides"/>
          <wp:docPr id="167"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14444345" cy="10958195"/>
          <wp:effectExtent l="0" t="0" r="0" b="0"/>
          <wp:wrapNone/>
          <wp:docPr id="165"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drawing>
        <wp:anchor distT="0" distB="0" distL="114300" distR="114300" simplePos="0" relativeHeight="251666432" behindDoc="1" locked="0" layoutInCell="0" allowOverlap="1">
          <wp:simplePos x="0" y="0"/>
          <wp:positionH relativeFrom="margin">
            <wp:align>center</wp:align>
          </wp:positionH>
          <wp:positionV relativeFrom="margin">
            <wp:align>center</wp:align>
          </wp:positionV>
          <wp:extent cx="14444345" cy="10958195"/>
          <wp:effectExtent l="0" t="0" r="0" b="0"/>
          <wp:wrapNone/>
          <wp:docPr id="168"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spacing w:before="0" w:line="320" w:lineRule="exact"/>
      <w:ind w:left="20"/>
      <w:jc w:val="both"/>
      <w:rPr>
        <w:rFonts w:ascii="楷体" w:hAnsi="楷体" w:eastAsia="楷体" w:cs="黑体"/>
        <w:b/>
        <w:spacing w:val="-2"/>
        <w:sz w:val="24"/>
        <w:szCs w:val="24"/>
      </w:rPr>
    </w:pPr>
    <w:r>
      <w:rPr>
        <w:rFonts w:ascii="楷体" w:hAnsi="楷体" w:eastAsia="楷体"/>
        <w:b/>
      </w:rPr>
      <w:drawing>
        <wp:anchor distT="0" distB="0" distL="114300" distR="114300" simplePos="0" relativeHeight="251667456" behindDoc="1" locked="0" layoutInCell="0" allowOverlap="1">
          <wp:simplePos x="0" y="0"/>
          <wp:positionH relativeFrom="margin">
            <wp:posOffset>-4164330</wp:posOffset>
          </wp:positionH>
          <wp:positionV relativeFrom="margin">
            <wp:posOffset>-1126490</wp:posOffset>
          </wp:positionV>
          <wp:extent cx="14449425" cy="10958195"/>
          <wp:effectExtent l="0" t="0" r="9525" b="14604"/>
          <wp:wrapNone/>
          <wp:docPr id="174" name="WordPictureWatermark367128483" descr="C:\Users\sylc\Desktop\水印.jpg水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WordPictureWatermark367128483" descr="C:\Users\sylc\Desktop\水印.jpg水印"/>
                  <pic:cNvPicPr>
                    <a:picLocks noChangeAspect="1"/>
                  </pic:cNvPicPr>
                </pic:nvPicPr>
                <pic:blipFill>
                  <a:blip r:embed="rId1"/>
                  <a:stretch>
                    <a:fillRect/>
                  </a:stretch>
                </pic:blipFill>
                <pic:spPr>
                  <a:xfrm>
                    <a:off x="0" y="0"/>
                    <a:ext cx="14449425" cy="10958195"/>
                  </a:xfrm>
                  <a:prstGeom prst="rect">
                    <a:avLst/>
                  </a:prstGeom>
                  <a:noFill/>
                  <a:ln>
                    <a:noFill/>
                  </a:ln>
                </pic:spPr>
              </pic:pic>
            </a:graphicData>
          </a:graphic>
        </wp:anchor>
      </w:drawing>
    </w:r>
    <w:r>
      <w:drawing>
        <wp:anchor distT="0" distB="0" distL="114300" distR="114300" simplePos="0" relativeHeight="251670528" behindDoc="0" locked="0" layoutInCell="1" allowOverlap="1">
          <wp:simplePos x="0" y="0"/>
          <wp:positionH relativeFrom="column">
            <wp:posOffset>4819650</wp:posOffset>
          </wp:positionH>
          <wp:positionV relativeFrom="paragraph">
            <wp:posOffset>-124460</wp:posOffset>
          </wp:positionV>
          <wp:extent cx="1325245" cy="424815"/>
          <wp:effectExtent l="0" t="0" r="8255" b="3810"/>
          <wp:wrapSquare wrapText="bothSides"/>
          <wp:docPr id="175" name="图片 1" descr="说明: 说明: C:\Users\JSYH\Desktop\苏银理财.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图片 1" descr="说明: 说明: C:\Users\JSYH\Desktop\苏银理财.png"/>
                  <pic:cNvPicPr>
                    <a:picLocks noChangeAspect="1"/>
                  </pic:cNvPicPr>
                </pic:nvPicPr>
                <pic:blipFill>
                  <a:blip r:embed="rId2"/>
                  <a:stretch>
                    <a:fillRect/>
                  </a:stretch>
                </pic:blipFill>
                <pic:spPr>
                  <a:xfrm>
                    <a:off x="0" y="0"/>
                    <a:ext cx="1325245" cy="42481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p>
    <w:pPr>
      <w:rPr>
        <w:rFonts w:ascii="楷体" w:hAnsi="楷体" w:eastAsia="楷体" w:cs="黑体"/>
        <w:b/>
        <w:spacing w:val="-2"/>
        <w:sz w:val="24"/>
        <w:szCs w:val="24"/>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drawing>
        <wp:anchor distT="0" distB="0" distL="114300" distR="114300" simplePos="0" relativeHeight="251664384" behindDoc="1" locked="0" layoutInCell="0" allowOverlap="1">
          <wp:simplePos x="0" y="0"/>
          <wp:positionH relativeFrom="margin">
            <wp:align>center</wp:align>
          </wp:positionH>
          <wp:positionV relativeFrom="margin">
            <wp:align>center</wp:align>
          </wp:positionV>
          <wp:extent cx="14444345" cy="10958195"/>
          <wp:effectExtent l="0" t="0" r="0" b="0"/>
          <wp:wrapNone/>
          <wp:docPr id="173" name="WordPictureWatermark367128482"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WordPictureWatermark367128482"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14444345" cy="10958195"/>
          <wp:effectExtent l="0" t="0" r="0" b="0"/>
          <wp:wrapNone/>
          <wp:docPr id="176" name="WordPictureWatermark367128481" descr="苏银理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WordPictureWatermark367128481" descr="苏银理财"/>
                  <pic:cNvPicPr>
                    <a:picLocks noChangeAspect="1"/>
                  </pic:cNvPicPr>
                </pic:nvPicPr>
                <pic:blipFill>
                  <a:blip r:embed="rId1">
                    <a:lum bright="70001" contrast="-70000"/>
                  </a:blip>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multilevel"/>
    <w:tmpl w:val="9239341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
    <w:nsid w:val="B5E306ED"/>
    <w:multiLevelType w:val="multilevel"/>
    <w:tmpl w:val="B5E306ED"/>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BF205925"/>
    <w:multiLevelType w:val="multilevel"/>
    <w:tmpl w:val="BF205925"/>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C8879AEF"/>
    <w:multiLevelType w:val="multilevel"/>
    <w:tmpl w:val="C8879AEF"/>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CF092B84"/>
    <w:multiLevelType w:val="multilevel"/>
    <w:tmpl w:val="CF092B84"/>
    <w:lvl w:ilvl="0" w:tentative="0">
      <w:start w:val="1"/>
      <w:numFmt w:val="chineseCounting"/>
      <w:suff w:val="nothing"/>
      <w:lvlText w:val="%1、"/>
      <w:lvlJc w:val="left"/>
      <w:pPr>
        <w:tabs>
          <w:tab w:val="left" w:pos="0"/>
        </w:tabs>
        <w:ind w:left="0" w:firstLine="40"/>
      </w:pPr>
      <w:rPr>
        <w:rFonts w:hint="eastAsia" w:ascii="楷体" w:hAnsi="楷体" w:eastAsia="楷体" w:cs="楷体"/>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F4B5D9F5"/>
    <w:multiLevelType w:val="multilevel"/>
    <w:tmpl w:val="F4B5D9F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0053208E"/>
    <w:multiLevelType w:val="multilevel"/>
    <w:tmpl w:val="0053208E"/>
    <w:lvl w:ilvl="0" w:tentative="0">
      <w:start w:val="1"/>
      <w:numFmt w:val="decimalEnclosedCircleChinese"/>
      <w:suff w:val="nothing"/>
      <w:lvlText w:val="%1　"/>
      <w:lvlJc w:val="left"/>
      <w:pPr>
        <w:ind w:left="0" w:firstLine="400"/>
      </w:pPr>
      <w:rPr>
        <w:rFonts w:hint="eastAsia"/>
        <w:b w:val="0"/>
        <w:bCs w:val="0"/>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7">
    <w:nsid w:val="03D62ECE"/>
    <w:multiLevelType w:val="multilevel"/>
    <w:tmpl w:val="03D62EC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ACDED35"/>
    <w:multiLevelType w:val="multilevel"/>
    <w:tmpl w:val="0ACDED35"/>
    <w:lvl w:ilvl="0" w:tentative="0">
      <w:start w:val="2"/>
      <w:numFmt w:val="chineseCounting"/>
      <w:suff w:val="nothing"/>
      <w:lvlText w:val="（%1）"/>
      <w:lvlJc w:val="left"/>
      <w:rPr>
        <w:rFonts w:hint="eastAsia"/>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9">
    <w:nsid w:val="25B654F3"/>
    <w:multiLevelType w:val="multilevel"/>
    <w:tmpl w:val="25B654F3"/>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29FC8766"/>
    <w:multiLevelType w:val="multilevel"/>
    <w:tmpl w:val="29FC8766"/>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2A23C792"/>
    <w:multiLevelType w:val="multilevel"/>
    <w:tmpl w:val="2A23C79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2A8F537B"/>
    <w:multiLevelType w:val="multilevel"/>
    <w:tmpl w:val="2A8F537B"/>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3">
    <w:nsid w:val="4922DCB1"/>
    <w:multiLevelType w:val="multilevel"/>
    <w:tmpl w:val="4922DCB1"/>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4">
    <w:nsid w:val="4D4DC07F"/>
    <w:multiLevelType w:val="multilevel"/>
    <w:tmpl w:val="4D4DC07F"/>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59ADCABA"/>
    <w:multiLevelType w:val="multilevel"/>
    <w:tmpl w:val="59ADCABA"/>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6">
    <w:nsid w:val="5A241D34"/>
    <w:multiLevelType w:val="multilevel"/>
    <w:tmpl w:val="5A241D34"/>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7">
    <w:nsid w:val="72183CF9"/>
    <w:multiLevelType w:val="multilevel"/>
    <w:tmpl w:val="72183CF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C246926"/>
    <w:multiLevelType w:val="multilevel"/>
    <w:tmpl w:val="7C246926"/>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0"/>
  </w:num>
  <w:num w:numId="2">
    <w:abstractNumId w:val="11"/>
  </w:num>
  <w:num w:numId="3">
    <w:abstractNumId w:val="13"/>
  </w:num>
  <w:num w:numId="4">
    <w:abstractNumId w:val="6"/>
  </w:num>
  <w:num w:numId="5">
    <w:abstractNumId w:val="4"/>
  </w:num>
  <w:num w:numId="6">
    <w:abstractNumId w:val="15"/>
  </w:num>
  <w:num w:numId="7">
    <w:abstractNumId w:val="2"/>
  </w:num>
  <w:num w:numId="8">
    <w:abstractNumId w:val="1"/>
  </w:num>
  <w:num w:numId="9">
    <w:abstractNumId w:val="7"/>
  </w:num>
  <w:num w:numId="10">
    <w:abstractNumId w:val="9"/>
  </w:num>
  <w:num w:numId="11">
    <w:abstractNumId w:val="17"/>
  </w:num>
  <w:num w:numId="12">
    <w:abstractNumId w:val="18"/>
  </w:num>
  <w:num w:numId="13">
    <w:abstractNumId w:val="0"/>
  </w:num>
  <w:num w:numId="14">
    <w:abstractNumId w:val="12"/>
  </w:num>
  <w:num w:numId="15">
    <w:abstractNumId w:val="16"/>
  </w:num>
  <w:num w:numId="16">
    <w:abstractNumId w:val="3"/>
  </w:num>
  <w:num w:numId="17">
    <w:abstractNumId w:val="14"/>
  </w:num>
  <w:num w:numId="18">
    <w:abstractNumId w:val="5"/>
  </w:num>
  <w:num w:numId="1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doNotTrackMoves/>
  <w:documentProtection w:enforcement="0"/>
  <w:defaultTabStop w:val="420"/>
  <w:drawingGridVerticalSpacing w:val="156"/>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D8855D9"/>
    <w:rsid w:val="68BF11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宋体"/>
      <w:kern w:val="2"/>
      <w:sz w:val="28"/>
      <w:szCs w:val="22"/>
      <w:lang w:val="en-US" w:eastAsia="zh-CN" w:bidi="ar-SA"/>
    </w:rPr>
  </w:style>
  <w:style w:type="character" w:default="1" w:styleId="14">
    <w:name w:val="Default Paragraph Font"/>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customStyle="1" w:styleId="2">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fill="68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2Vert"/>
    <w:tblStylePr w:type="band1Horz">
      <w:rPr>
        <w:rFonts w:ascii="Arial" w:hAnsi="Arial"/>
        <w:color w:val="404040"/>
        <w:sz w:val="22"/>
      </w:rPr>
      <w:tcPr>
        <w:shd w:val="clear" w:color="DEEBF6" w:fill="DEEBF6"/>
      </w:tcPr>
    </w:tblStylePr>
    <w:tblStylePr w:type="band2Horz"/>
    <w:tblStylePr w:type="neCell"/>
    <w:tblStylePr w:type="nwCell"/>
    <w:tblStylePr w:type="seCell"/>
    <w:tblStylePr w:type="swCell"/>
  </w:style>
  <w:style w:type="paragraph" w:styleId="4">
    <w:name w:val="annotation text"/>
    <w:basedOn w:val="1"/>
    <w:unhideWhenUsed/>
    <w:qFormat/>
    <w:uiPriority w:val="99"/>
    <w:pPr>
      <w:jc w:val="left"/>
    </w:pPr>
  </w:style>
  <w:style w:type="paragraph" w:styleId="5">
    <w:name w:val="Body Text"/>
    <w:basedOn w:val="1"/>
    <w:next w:val="1"/>
    <w:qFormat/>
    <w:uiPriority w:val="1"/>
    <w:pPr>
      <w:autoSpaceDE w:val="0"/>
      <w:autoSpaceDN w:val="0"/>
      <w:adjustRightInd w:val="0"/>
      <w:spacing w:before="162"/>
      <w:ind w:left="120"/>
      <w:jc w:val="left"/>
    </w:pPr>
    <w:rPr>
      <w:rFonts w:ascii="宋体"/>
      <w:kern w:val="0"/>
      <w:sz w:val="20"/>
      <w:szCs w:val="21"/>
    </w:rPr>
  </w:style>
  <w:style w:type="paragraph" w:styleId="6">
    <w:name w:val="Date"/>
    <w:basedOn w:val="1"/>
    <w:next w:val="1"/>
    <w:unhideWhenUsed/>
    <w:qFormat/>
    <w:uiPriority w:val="99"/>
    <w:pPr>
      <w:ind w:left="100" w:leftChars="2500"/>
    </w:pPr>
  </w:style>
  <w:style w:type="paragraph" w:styleId="7">
    <w:name w:val="Balloon Text"/>
    <w:basedOn w:val="1"/>
    <w:unhideWhenUsed/>
    <w:qFormat/>
    <w:uiPriority w:val="99"/>
    <w:rPr>
      <w:kern w:val="0"/>
      <w:sz w:val="18"/>
      <w:szCs w:val="18"/>
    </w:rPr>
  </w:style>
  <w:style w:type="paragraph" w:styleId="8">
    <w:name w:val="footer"/>
    <w:basedOn w:val="1"/>
    <w:unhideWhenUsed/>
    <w:qFormat/>
    <w:uiPriority w:val="99"/>
    <w:pPr>
      <w:tabs>
        <w:tab w:val="center" w:pos="4153"/>
        <w:tab w:val="right" w:pos="8306"/>
      </w:tabs>
      <w:jc w:val="left"/>
    </w:pPr>
    <w:rPr>
      <w:sz w:val="18"/>
      <w:szCs w:val="18"/>
    </w:rPr>
  </w:style>
  <w:style w:type="paragraph" w:styleId="9">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10">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11">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12">
    <w:name w:val="annotation subject"/>
    <w:basedOn w:val="4"/>
    <w:next w:val="4"/>
    <w:unhideWhenUsed/>
    <w:qFormat/>
    <w:uiPriority w:val="99"/>
    <w:rPr>
      <w:b/>
      <w:bCs/>
    </w:rPr>
  </w:style>
  <w:style w:type="table" w:styleId="13">
    <w:name w:val="Table Grid"/>
    <w:basedOn w:val="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5">
    <w:name w:val="Strong"/>
    <w:qFormat/>
    <w:uiPriority w:val="22"/>
    <w:rPr>
      <w:rFonts w:ascii="Times New Roman" w:hAnsi="Times New Roman" w:eastAsia="宋体" w:cs="Times New Roman"/>
      <w:b/>
      <w:bCs/>
    </w:rPr>
  </w:style>
  <w:style w:type="character" w:styleId="16">
    <w:name w:val="Hyperlink"/>
    <w:unhideWhenUsed/>
    <w:qFormat/>
    <w:uiPriority w:val="99"/>
    <w:rPr>
      <w:rFonts w:ascii="Times New Roman" w:hAnsi="Times New Roman" w:eastAsia="宋体" w:cs="Times New Roman"/>
      <w:color w:val="0000FF"/>
      <w:u w:val="single"/>
    </w:rPr>
  </w:style>
  <w:style w:type="character" w:styleId="17">
    <w:name w:val="annotation reference"/>
    <w:unhideWhenUsed/>
    <w:qFormat/>
    <w:uiPriority w:val="99"/>
    <w:rPr>
      <w:rFonts w:ascii="Times New Roman" w:hAnsi="Times New Roman" w:eastAsia="宋体" w:cs="Times New Roman"/>
      <w:sz w:val="21"/>
      <w:szCs w:val="21"/>
    </w:rPr>
  </w:style>
  <w:style w:type="paragraph" w:customStyle="1" w:styleId="18">
    <w:name w:val="Heading 1"/>
    <w:basedOn w:val="1"/>
    <w:next w:val="1"/>
    <w:link w:val="41"/>
    <w:qFormat/>
    <w:uiPriority w:val="1"/>
    <w:pPr>
      <w:autoSpaceDE w:val="0"/>
      <w:autoSpaceDN w:val="0"/>
      <w:adjustRightInd w:val="0"/>
      <w:spacing w:before="17"/>
      <w:ind w:left="1144"/>
      <w:jc w:val="left"/>
      <w:outlineLvl w:val="0"/>
    </w:pPr>
    <w:rPr>
      <w:rFonts w:ascii="黑体" w:eastAsia="黑体"/>
      <w:b/>
      <w:bCs/>
      <w:kern w:val="0"/>
      <w:sz w:val="36"/>
      <w:szCs w:val="36"/>
    </w:rPr>
  </w:style>
  <w:style w:type="paragraph" w:customStyle="1" w:styleId="19">
    <w:name w:val="Heading 2"/>
    <w:basedOn w:val="1"/>
    <w:next w:val="1"/>
    <w:link w:val="42"/>
    <w:qFormat/>
    <w:uiPriority w:val="9"/>
    <w:pPr>
      <w:keepNext/>
      <w:keepLines/>
      <w:spacing w:before="260" w:after="260" w:line="416" w:lineRule="auto"/>
      <w:outlineLvl w:val="1"/>
    </w:pPr>
    <w:rPr>
      <w:rFonts w:ascii="Cambria" w:hAnsi="Cambria"/>
      <w:b/>
      <w:bCs/>
      <w:kern w:val="0"/>
      <w:sz w:val="32"/>
      <w:szCs w:val="32"/>
    </w:rPr>
  </w:style>
  <w:style w:type="paragraph" w:customStyle="1" w:styleId="20">
    <w:name w:val="Heading 3"/>
    <w:basedOn w:val="1"/>
    <w:next w:val="1"/>
    <w:link w:val="43"/>
    <w:qFormat/>
    <w:uiPriority w:val="1"/>
    <w:pPr>
      <w:autoSpaceDE w:val="0"/>
      <w:autoSpaceDN w:val="0"/>
      <w:adjustRightInd w:val="0"/>
      <w:spacing w:before="34"/>
      <w:ind w:left="120"/>
      <w:jc w:val="left"/>
      <w:outlineLvl w:val="2"/>
    </w:pPr>
    <w:rPr>
      <w:rFonts w:ascii="宋体"/>
      <w:b/>
      <w:bCs/>
      <w:kern w:val="0"/>
      <w:sz w:val="20"/>
      <w:szCs w:val="21"/>
    </w:rPr>
  </w:style>
  <w:style w:type="paragraph" w:customStyle="1" w:styleId="21">
    <w:name w:val="Footer"/>
    <w:basedOn w:val="1"/>
    <w:unhideWhenUsed/>
    <w:qFormat/>
    <w:uiPriority w:val="99"/>
    <w:pPr>
      <w:tabs>
        <w:tab w:val="center" w:pos="4153"/>
        <w:tab w:val="right" w:pos="8306"/>
      </w:tabs>
      <w:snapToGrid w:val="0"/>
      <w:jc w:val="left"/>
    </w:pPr>
    <w:rPr>
      <w:kern w:val="0"/>
      <w:sz w:val="18"/>
      <w:szCs w:val="18"/>
    </w:rPr>
  </w:style>
  <w:style w:type="paragraph" w:customStyle="1" w:styleId="22">
    <w:name w:val="Header"/>
    <w:basedOn w:val="1"/>
    <w:unhideWhenUsed/>
    <w:qFormat/>
    <w:uiPriority w:val="99"/>
    <w:pPr>
      <w:pBdr>
        <w:bottom w:val="single" w:color="auto" w:sz="6" w:space="1"/>
      </w:pBdr>
      <w:tabs>
        <w:tab w:val="center" w:pos="4153"/>
        <w:tab w:val="right" w:pos="8306"/>
      </w:tabs>
      <w:snapToGrid w:val="0"/>
      <w:jc w:val="center"/>
    </w:pPr>
    <w:rPr>
      <w:kern w:val="0"/>
      <w:sz w:val="18"/>
      <w:szCs w:val="18"/>
    </w:rPr>
  </w:style>
  <w:style w:type="paragraph" w:customStyle="1" w:styleId="23">
    <w:name w:val="Footnote Text"/>
    <w:basedOn w:val="1"/>
    <w:semiHidden/>
    <w:unhideWhenUsed/>
    <w:qFormat/>
    <w:uiPriority w:val="99"/>
    <w:pPr>
      <w:snapToGrid w:val="0"/>
      <w:jc w:val="left"/>
    </w:pPr>
    <w:rPr>
      <w:sz w:val="18"/>
      <w:szCs w:val="18"/>
    </w:rPr>
  </w:style>
  <w:style w:type="character" w:customStyle="1" w:styleId="24">
    <w:name w:val="Footnote Reference"/>
    <w:semiHidden/>
    <w:unhideWhenUsed/>
    <w:qFormat/>
    <w:uiPriority w:val="99"/>
    <w:rPr>
      <w:rFonts w:ascii="Times New Roman" w:hAnsi="Times New Roman" w:eastAsia="宋体" w:cs="Times New Roman"/>
      <w:vertAlign w:val="superscript"/>
    </w:rPr>
  </w:style>
  <w:style w:type="character" w:customStyle="1" w:styleId="25">
    <w:name w:val="批注文字 字符"/>
    <w:qFormat/>
    <w:uiPriority w:val="99"/>
    <w:rPr>
      <w:rFonts w:ascii="Times New Roman" w:hAnsi="Times New Roman" w:eastAsia="宋体" w:cs="Times New Roman"/>
    </w:rPr>
  </w:style>
  <w:style w:type="character" w:customStyle="1" w:styleId="26">
    <w:name w:val="标题 3 字符"/>
    <w:qFormat/>
    <w:uiPriority w:val="1"/>
    <w:rPr>
      <w:rFonts w:ascii="宋体" w:hAnsi="Times New Roman" w:eastAsia="宋体" w:cs="Times New Roman"/>
      <w:b/>
      <w:bCs/>
      <w:kern w:val="0"/>
      <w:sz w:val="20"/>
      <w:szCs w:val="21"/>
    </w:rPr>
  </w:style>
  <w:style w:type="character" w:customStyle="1" w:styleId="27">
    <w:name w:val="脚注文本 字符1"/>
    <w:semiHidden/>
    <w:qFormat/>
    <w:uiPriority w:val="99"/>
    <w:rPr>
      <w:rFonts w:ascii="Times New Roman" w:hAnsi="Times New Roman" w:eastAsia="宋体" w:cs="Times New Roman"/>
      <w:sz w:val="18"/>
      <w:szCs w:val="18"/>
    </w:rPr>
  </w:style>
  <w:style w:type="character" w:customStyle="1" w:styleId="28">
    <w:name w:val="标题 2 字符"/>
    <w:qFormat/>
    <w:uiPriority w:val="9"/>
    <w:rPr>
      <w:rFonts w:ascii="Cambria" w:hAnsi="Cambria" w:eastAsia="宋体" w:cs="Times New Roman"/>
      <w:b/>
      <w:bCs/>
      <w:kern w:val="0"/>
      <w:sz w:val="32"/>
      <w:szCs w:val="32"/>
    </w:rPr>
  </w:style>
  <w:style w:type="character" w:customStyle="1" w:styleId="29">
    <w:name w:val="正文文本 字符"/>
    <w:qFormat/>
    <w:uiPriority w:val="1"/>
    <w:rPr>
      <w:rFonts w:ascii="宋体" w:hAnsi="Times New Roman" w:eastAsia="宋体" w:cs="Times New Roman"/>
      <w:kern w:val="0"/>
      <w:sz w:val="20"/>
      <w:szCs w:val="21"/>
    </w:rPr>
  </w:style>
  <w:style w:type="character" w:customStyle="1" w:styleId="30">
    <w:name w:val="脚注文本 字符"/>
    <w:semiHidden/>
    <w:qFormat/>
    <w:uiPriority w:val="99"/>
    <w:rPr>
      <w:rFonts w:ascii="Times New Roman" w:hAnsi="Times New Roman" w:eastAsia="宋体" w:cs="Times New Roman"/>
      <w:kern w:val="2"/>
      <w:sz w:val="18"/>
      <w:szCs w:val="18"/>
    </w:rPr>
  </w:style>
  <w:style w:type="character" w:customStyle="1" w:styleId="31">
    <w:name w:val="批注主题 字符"/>
    <w:semiHidden/>
    <w:qFormat/>
    <w:uiPriority w:val="99"/>
    <w:rPr>
      <w:rFonts w:ascii="Times New Roman" w:hAnsi="Times New Roman" w:eastAsia="宋体" w:cs="Times New Roman"/>
      <w:b/>
      <w:bCs/>
    </w:rPr>
  </w:style>
  <w:style w:type="character" w:customStyle="1" w:styleId="32">
    <w:name w:val="日期 字符"/>
    <w:basedOn w:val="14"/>
    <w:semiHidden/>
    <w:qFormat/>
    <w:uiPriority w:val="99"/>
    <w:rPr>
      <w:rFonts w:ascii="Times New Roman" w:hAnsi="Times New Roman" w:eastAsia="宋体" w:cs="Times New Roman"/>
    </w:rPr>
  </w:style>
  <w:style w:type="character" w:customStyle="1" w:styleId="33">
    <w:name w:val="标题 1 字符"/>
    <w:qFormat/>
    <w:uiPriority w:val="1"/>
    <w:rPr>
      <w:rFonts w:ascii="黑体" w:hAnsi="Times New Roman" w:eastAsia="黑体" w:cs="Times New Roman"/>
      <w:b/>
      <w:bCs/>
      <w:kern w:val="0"/>
      <w:sz w:val="36"/>
      <w:szCs w:val="36"/>
    </w:rPr>
  </w:style>
  <w:style w:type="character" w:customStyle="1" w:styleId="34">
    <w:name w:val="页脚 字符"/>
    <w:qFormat/>
    <w:uiPriority w:val="99"/>
    <w:rPr>
      <w:rFonts w:ascii="Times New Roman" w:hAnsi="Times New Roman" w:eastAsia="宋体" w:cs="Times New Roman"/>
      <w:kern w:val="0"/>
      <w:sz w:val="18"/>
      <w:szCs w:val="18"/>
    </w:rPr>
  </w:style>
  <w:style w:type="character" w:customStyle="1" w:styleId="35">
    <w:name w:val="页眉 字符"/>
    <w:qFormat/>
    <w:uiPriority w:val="99"/>
    <w:rPr>
      <w:rFonts w:ascii="Times New Roman" w:hAnsi="Times New Roman" w:eastAsia="宋体" w:cs="Times New Roman"/>
      <w:kern w:val="0"/>
      <w:sz w:val="18"/>
      <w:szCs w:val="18"/>
    </w:rPr>
  </w:style>
  <w:style w:type="character" w:customStyle="1" w:styleId="36">
    <w:name w:val="批注框文本 字符"/>
    <w:semiHidden/>
    <w:qFormat/>
    <w:uiPriority w:val="99"/>
    <w:rPr>
      <w:rFonts w:ascii="Times New Roman" w:hAnsi="Times New Roman" w:eastAsia="宋体" w:cs="Times New Roman"/>
      <w:kern w:val="0"/>
      <w:sz w:val="18"/>
      <w:szCs w:val="18"/>
    </w:rPr>
  </w:style>
  <w:style w:type="paragraph" w:customStyle="1" w:styleId="37">
    <w:name w:val="Table Paragraph"/>
    <w:basedOn w:val="1"/>
    <w:qFormat/>
    <w:uiPriority w:val="1"/>
    <w:pPr>
      <w:autoSpaceDE w:val="0"/>
      <w:autoSpaceDN w:val="0"/>
      <w:adjustRightInd w:val="0"/>
      <w:jc w:val="left"/>
    </w:pPr>
    <w:rPr>
      <w:kern w:val="0"/>
      <w:sz w:val="24"/>
      <w:szCs w:val="24"/>
    </w:rPr>
  </w:style>
  <w:style w:type="paragraph" w:customStyle="1" w:styleId="38">
    <w:name w:val="Default"/>
    <w:qFormat/>
    <w:uiPriority w:val="0"/>
    <w:pPr>
      <w:widowControl w:val="0"/>
      <w:autoSpaceDE w:val="0"/>
      <w:autoSpaceDN w:val="0"/>
      <w:adjustRightInd w:val="0"/>
    </w:pPr>
    <w:rPr>
      <w:rFonts w:ascii="宋体" w:hAnsi="宋体" w:eastAsia="宋体" w:cs="宋体"/>
      <w:color w:val="000000"/>
      <w:sz w:val="24"/>
      <w:szCs w:val="24"/>
      <w:lang w:val="en-US" w:eastAsia="zh-CN" w:bidi="ar-SA"/>
    </w:rPr>
  </w:style>
  <w:style w:type="paragraph" w:styleId="39">
    <w:name w:val="List Paragraph"/>
    <w:basedOn w:val="1"/>
    <w:qFormat/>
    <w:uiPriority w:val="72"/>
    <w:pPr>
      <w:ind w:firstLine="420" w:firstLineChars="200"/>
    </w:pPr>
  </w:style>
  <w:style w:type="paragraph" w:customStyle="1" w:styleId="40">
    <w:name w:val="_Style 36"/>
    <w:semiHidden/>
    <w:qFormat/>
    <w:uiPriority w:val="99"/>
    <w:rPr>
      <w:rFonts w:ascii="Times New Roman" w:hAnsi="Times New Roman" w:eastAsia="宋体" w:cs="Times New Roman"/>
      <w:kern w:val="2"/>
      <w:sz w:val="21"/>
      <w:szCs w:val="22"/>
      <w:lang w:val="en-US" w:eastAsia="zh-CN" w:bidi="ar-SA"/>
    </w:rPr>
  </w:style>
  <w:style w:type="character" w:customStyle="1" w:styleId="41">
    <w:name w:val="标题 1 字符1"/>
    <w:link w:val="18"/>
    <w:qFormat/>
    <w:uiPriority w:val="1"/>
    <w:rPr>
      <w:rFonts w:ascii="黑体" w:hAnsi="Times New Roman" w:eastAsia="黑体" w:cs="黑体"/>
      <w:b/>
      <w:bCs/>
      <w:kern w:val="0"/>
      <w:sz w:val="36"/>
      <w:szCs w:val="36"/>
    </w:rPr>
  </w:style>
  <w:style w:type="character" w:customStyle="1" w:styleId="42">
    <w:name w:val="标题 2 字符1"/>
    <w:link w:val="19"/>
    <w:qFormat/>
    <w:uiPriority w:val="9"/>
    <w:rPr>
      <w:rFonts w:ascii="Cambria" w:hAnsi="Cambria" w:eastAsia="宋体" w:cs="Times New Roman"/>
      <w:b/>
      <w:bCs/>
      <w:sz w:val="32"/>
      <w:szCs w:val="32"/>
    </w:rPr>
  </w:style>
  <w:style w:type="character" w:customStyle="1" w:styleId="43">
    <w:name w:val="标题 3 字符1"/>
    <w:link w:val="20"/>
    <w:qFormat/>
    <w:uiPriority w:val="1"/>
    <w:rPr>
      <w:rFonts w:ascii="宋体" w:hAnsi="Times New Roman" w:eastAsia="宋体" w:cs="宋体"/>
      <w:b/>
      <w:bCs/>
      <w:kern w:val="0"/>
      <w:szCs w:val="21"/>
    </w:rPr>
  </w:style>
  <w:style w:type="character" w:customStyle="1" w:styleId="44">
    <w:name w:val="批注文字 字符1"/>
    <w:qFormat/>
    <w:uiPriority w:val="99"/>
    <w:rPr>
      <w:rFonts w:ascii="Times New Roman" w:hAnsi="Times New Roman" w:eastAsia="宋体" w:cs="Times New Roman"/>
      <w:kern w:val="2"/>
      <w:sz w:val="21"/>
      <w:szCs w:val="22"/>
    </w:rPr>
  </w:style>
  <w:style w:type="character" w:customStyle="1" w:styleId="45">
    <w:name w:val="正文文本 字符1"/>
    <w:qFormat/>
    <w:uiPriority w:val="1"/>
    <w:rPr>
      <w:rFonts w:ascii="宋体" w:hAnsi="Times New Roman" w:eastAsia="宋体" w:cs="宋体"/>
      <w:kern w:val="0"/>
      <w:szCs w:val="21"/>
    </w:rPr>
  </w:style>
  <w:style w:type="character" w:customStyle="1" w:styleId="46">
    <w:name w:val="日期 字符1"/>
    <w:basedOn w:val="14"/>
    <w:semiHidden/>
    <w:qFormat/>
    <w:uiPriority w:val="99"/>
    <w:rPr>
      <w:rFonts w:ascii="Times New Roman" w:hAnsi="Times New Roman" w:eastAsia="宋体" w:cs="Times New Roman"/>
    </w:rPr>
  </w:style>
  <w:style w:type="character" w:customStyle="1" w:styleId="47">
    <w:name w:val="批注框文本 字符1"/>
    <w:semiHidden/>
    <w:qFormat/>
    <w:uiPriority w:val="99"/>
    <w:rPr>
      <w:rFonts w:ascii="Times New Roman" w:hAnsi="Times New Roman" w:eastAsia="宋体" w:cs="Times New Roman"/>
      <w:sz w:val="18"/>
      <w:szCs w:val="18"/>
    </w:rPr>
  </w:style>
  <w:style w:type="character" w:customStyle="1" w:styleId="48">
    <w:name w:val="页脚 字符1"/>
    <w:qFormat/>
    <w:uiPriority w:val="99"/>
    <w:rPr>
      <w:rFonts w:ascii="Times New Roman" w:hAnsi="Times New Roman" w:eastAsia="宋体" w:cs="Times New Roman"/>
      <w:sz w:val="18"/>
      <w:szCs w:val="18"/>
    </w:rPr>
  </w:style>
  <w:style w:type="character" w:customStyle="1" w:styleId="49">
    <w:name w:val="页眉 字符1"/>
    <w:qFormat/>
    <w:uiPriority w:val="99"/>
    <w:rPr>
      <w:rFonts w:ascii="Times New Roman" w:hAnsi="Times New Roman" w:eastAsia="宋体" w:cs="Times New Roman"/>
      <w:sz w:val="18"/>
      <w:szCs w:val="18"/>
    </w:rPr>
  </w:style>
  <w:style w:type="character" w:customStyle="1" w:styleId="50">
    <w:name w:val="脚注文本 字符2"/>
    <w:semiHidden/>
    <w:qFormat/>
    <w:uiPriority w:val="99"/>
    <w:rPr>
      <w:rFonts w:ascii="Times New Roman" w:hAnsi="Times New Roman" w:eastAsia="宋体" w:cs="Times New Roman"/>
      <w:kern w:val="2"/>
      <w:sz w:val="18"/>
      <w:szCs w:val="18"/>
    </w:rPr>
  </w:style>
  <w:style w:type="character" w:customStyle="1" w:styleId="51">
    <w:name w:val="批注主题 字符1"/>
    <w:semiHidden/>
    <w:qFormat/>
    <w:uiPriority w:val="99"/>
    <w:rPr>
      <w:rFonts w:ascii="Times New Roman" w:hAnsi="Times New Roman" w:eastAsia="宋体" w:cs="Times New Roman"/>
      <w:b/>
      <w:bCs/>
      <w:kern w:val="2"/>
      <w:sz w:val="21"/>
      <w:szCs w:val="22"/>
    </w:rPr>
  </w:style>
</w:styles>
</file>

<file path=word/_rels/document.xml.rels><?xml version="1.0" encoding="UTF-8" standalone="yes"?>
<Relationships xmlns="http://schemas.openxmlformats.org/package/2006/relationships"><Relationship Id="rId9" Type="http://schemas.openxmlformats.org/officeDocument/2006/relationships/header" Target="header6.xml"/><Relationship Id="rId8" Type="http://schemas.openxmlformats.org/officeDocument/2006/relationships/header" Target="header5.xml"/><Relationship Id="rId7" Type="http://schemas.openxmlformats.org/officeDocument/2006/relationships/header" Target="header4.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customXml" Target="../customXml/item4.xml"/><Relationship Id="rId2" Type="http://schemas.openxmlformats.org/officeDocument/2006/relationships/settings" Target="settings.xml"/><Relationship Id="rId19" Type="http://schemas.openxmlformats.org/officeDocument/2006/relationships/customXml" Target="../customXml/item3.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3.xml"/><Relationship Id="rId13" Type="http://schemas.openxmlformats.org/officeDocument/2006/relationships/header" Target="header9.xml"/><Relationship Id="rId12" Type="http://schemas.openxmlformats.org/officeDocument/2006/relationships/header" Target="header8.xml"/><Relationship Id="rId11" Type="http://schemas.openxmlformats.org/officeDocument/2006/relationships/header" Target="header7.xml"/><Relationship Id="rId10" Type="http://schemas.openxmlformats.org/officeDocument/2006/relationships/footer" Target="footer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_rels/header7.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jpeg"/></Relationships>
</file>

<file path=word/_rels/header8.xml.rels><?xml version="1.0" encoding="UTF-8" standalone="yes"?>
<Relationships xmlns="http://schemas.openxmlformats.org/package/2006/relationships"><Relationship Id="rId1" Type="http://schemas.openxmlformats.org/officeDocument/2006/relationships/image" Target="media/image1.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4098"/>
    <customShpInfo spid="_x0000_s4099"/>
    <customShpInfo spid="_x0000_s4100"/>
    <customShpInfo spid="_x0000_s4097"/>
  </customShpExts>
</s:customData>
</file>

<file path=customXml/item2.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sylc</cp:lastModifiedBy>
  <cp:lastPrinted>2024-07-15T08:58:00Z</cp:lastPrinted>
  <dcterms:modified xsi:type="dcterms:W3CDTF">2026-08-05T03:47:10Z</dcterms:modified>
  <cp:revision>49</cp:revision>
</cp:coreProperties>
</file>

<file path=customXml/item3.xml><?xml version="1.0" encoding="utf-8"?>
<Properties xmlns="http://schemas.openxmlformats.org/officeDocument/2006/extended-properties" xmlns:vt="http://schemas.openxmlformats.org/officeDocument/2006/docPropsVTypes">
  <Template>Normal</Template>
  <Pages>16</Pages>
  <Words>21814</Words>
  <Characters>22616</Characters>
  <Lines>243</Lines>
  <Paragraphs>68</Paragraphs>
  <TotalTime>0</TotalTime>
  <ScaleCrop>false</ScaleCrop>
  <LinksUpToDate>false</LinksUpToDate>
  <CharactersWithSpaces>22805</CharactersWithSpaces>
  <Application>WPS Office_11.8.2.11734_F1E327BC-269C-435d-A152-05C5408002CA</Application>
  <DocSecurity>0</DocSecuri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2dad0b2-94d8-4bc4-9495-5ba171c89a3c}">
  <ds:schemaRefs/>
</ds:datastoreItem>
</file>

<file path=customXml/itemProps3.xml><?xml version="1.0" encoding="utf-8"?>
<ds:datastoreItem xmlns:ds="http://schemas.openxmlformats.org/officeDocument/2006/customXml" ds:itemID="{2afd6424-9207-415a-b9fc-e688fe2eeb03}">
  <ds:schemaRefs/>
</ds:datastoreItem>
</file>

<file path=customXml/itemProps4.xml><?xml version="1.0" encoding="utf-8"?>
<ds:datastoreItem xmlns:ds="http://schemas.openxmlformats.org/officeDocument/2006/customXml" ds:itemID="{7ef51c56-01af-4d5d-900d-15cc39bdd9ef}">
  <ds:schemaRefs/>
</ds:datastoreItem>
</file>

<file path=docProps/app.xml><?xml version="1.0" encoding="utf-8"?>
<Properties xmlns="http://schemas.openxmlformats.org/officeDocument/2006/extended-properties" xmlns:vt="http://schemas.openxmlformats.org/officeDocument/2006/docPropsVTypes">
  <Template>Normal</Template>
  <Pages>16</Pages>
  <Words>21814</Words>
  <Characters>22616</Characters>
  <Lines>243</Lines>
  <Paragraphs>68</Paragraphs>
  <TotalTime>0</TotalTime>
  <ScaleCrop>false</ScaleCrop>
  <LinksUpToDate>false</LinksUpToDate>
  <CharactersWithSpaces>22805</CharactersWithSpaces>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2024-05-11T09:26:00Z</dcterms:created>
  <dc:creator>孙伯略</dc:creator>
  <cp:lastModifiedBy>jsyh</cp:lastModifiedBy>
  <cp:lastPrinted>2024-07-15T08:58:00Z</cp:lastPrinted>
  <dcterms:modified xsi:type="dcterms:W3CDTF">2026-08-19T11:20:45Z</dcterms:modified>
  <cp:revision>49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