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pStyle w:val="Normal(Web)"/>
        <w:pageBreakBefore w:val="0"/>
        <w:spacing w:before="0" w:beforeAutospacing="0" w:after="0" w:afterAutospacing="0" w:line="240" w:lineRule="auto"/>
        <w:jc w:val="center"/>
        <w:rPr>
          <w:rFonts w:ascii="楷体" w:eastAsia="楷体" w:hAnsi="楷体" w:cs="楷体" w:hint="eastAsia"/>
          <w:b/>
          <w:color w:val="auto"/>
          <w:sz w:val="28"/>
          <w:szCs w:val="28"/>
        </w:rPr>
      </w:pPr>
      <w:r>
        <w:rPr>
          <w:rFonts w:ascii="楷体" w:eastAsia="楷体" w:hAnsi="楷体" w:cs="楷体"/>
          <w:b/>
          <w:bCs/>
          <w:color w:val="000000"/>
          <w:sz w:val="28"/>
          <w:szCs w:val="28"/>
        </w:rPr>
        <w:t xml:space="preserve">“</w:t>
      </w:r>
      <w:r>
        <w:rPr>
          <w:rFonts w:ascii="楷体" w:eastAsia="楷体" w:hAnsi="楷体" w:cs="楷体" w:hint="eastAsia"/>
          <w:b/>
          <w:bCs/>
          <w:color w:val="000000"/>
          <w:sz w:val="28"/>
          <w:szCs w:val="28"/>
        </w:rPr>
        <w:t xml:space="preserve">苏银理财恒源封闭纯债377期”</w:t>
      </w:r>
      <w:r>
        <w:rPr>
          <w:rFonts w:ascii="楷体" w:eastAsia="楷体" w:hAnsi="楷体" w:cs="楷体" w:hint="eastAsia"/>
          <w:b/>
          <w:color w:val="auto"/>
          <w:sz w:val="28"/>
          <w:szCs w:val="28"/>
        </w:rPr>
        <w:t xml:space="preserve">理财产品风险揭示书</w:t>
      </w:r>
    </w:p>
    <w:p>
      <w:pPr>
        <w:spacing w:line="240" w:lineRule="auto"/>
        <w:jc w:val="center"/>
        <w:rPr>
          <w:rFonts w:ascii="楷体" w:eastAsia="楷体" w:hAnsi="楷体" w:cs="楷体" w:hint="eastAsia"/>
          <w:b/>
          <w:color w:val="auto"/>
          <w:kern w:val="0"/>
          <w:sz w:val="28"/>
          <w:szCs w:val="28"/>
        </w:rPr>
      </w:pPr>
      <w:r>
        <w:rPr>
          <w:rFonts w:ascii="楷体" w:eastAsia="楷体" w:hAnsi="楷体" w:cs="楷体" w:hint="eastAsia"/>
          <w:b/>
          <w:color w:val="auto"/>
          <w:kern w:val="0"/>
          <w:sz w:val="24"/>
          <w:szCs w:val="24"/>
        </w:rPr>
        <w:t xml:space="preserve">理财非存款、产品有风险、投资须谨慎</w:t>
      </w:r>
    </w:p>
    <w:p>
      <w:pPr>
        <w:pStyle w:val="Normal(Web)"/>
        <w:spacing w:before="0" w:beforeAutospacing="0" w:after="0" w:afterAutospacing="0" w:line="240" w:lineRule="atLeast"/>
        <w:rPr>
          <w:rFonts w:ascii="楷体" w:eastAsia="楷体" w:hAnsi="楷体" w:cs="楷体" w:hint="eastAsia"/>
          <w:color w:val="auto"/>
          <w:sz w:val="21"/>
          <w:szCs w:val="21"/>
          <w:lang w:val="en-US" w:eastAsia="zh-CN"/>
        </w:rPr>
      </w:pPr>
      <w:r>
        <w:rPr>
          <w:rFonts w:ascii="楷体" w:eastAsia="楷体" w:hAnsi="楷体" w:cs="楷体" w:hint="eastAsia"/>
          <w:color w:val="auto"/>
          <w:sz w:val="21"/>
          <w:szCs w:val="21"/>
        </w:rPr>
        <w:t xml:space="preserve">尊敬的投资者：</w:t>
      </w:r>
    </w:p>
    <w:p>
      <w:pPr>
        <w:pStyle w:val="Normal(Web)"/>
        <w:spacing w:before="0" w:beforeAutospacing="0" w:after="0" w:afterAutospacing="0" w:line="240" w:lineRule="atLeast"/>
        <w:ind w:firstLine="420" w:firstLineChars="200"/>
        <w:rPr>
          <w:rFonts w:ascii="楷体" w:eastAsia="楷体" w:hAnsi="楷体" w:cs="楷体" w:hint="eastAsia"/>
          <w:color w:val="auto"/>
          <w:sz w:val="21"/>
          <w:szCs w:val="21"/>
        </w:rPr>
      </w:pPr>
      <w:r>
        <w:rPr>
          <w:rFonts w:ascii="楷体" w:eastAsia="楷体" w:hAnsi="楷体" w:cs="楷体" w:hint="eastAsia"/>
          <w:color w:val="auto"/>
          <w:sz w:val="21"/>
          <w:szCs w:val="21"/>
        </w:rPr>
        <w:t xml:space="preserve">由于理财资金在管理运用过程中可能面临多种风险因素，根据</w:t>
      </w:r>
      <w:r>
        <w:rPr>
          <w:rFonts w:ascii="楷体" w:eastAsia="楷体" w:hAnsi="楷体" w:cs="楷体" w:hint="eastAsia"/>
          <w:sz w:val="21"/>
          <w:szCs w:val="21"/>
          <w:lang w:val="en-US" w:eastAsia="zh-CN"/>
        </w:rPr>
        <w:t xml:space="preserve">国家金融监督管理总局（以下简称“金融监管总局”）</w:t>
      </w:r>
      <w:r>
        <w:rPr>
          <w:rFonts w:ascii="楷体" w:eastAsia="楷体" w:hAnsi="楷体" w:cs="楷体" w:hint="eastAsia"/>
          <w:color w:val="auto"/>
          <w:sz w:val="21"/>
          <w:szCs w:val="21"/>
        </w:rPr>
        <w:t xml:space="preserve">相关监管规定，苏银理财有限责任公司（以下简称“苏银理财”</w:t>
      </w:r>
      <w:r>
        <w:rPr>
          <w:rFonts w:ascii="楷体" w:eastAsia="楷体" w:hAnsi="楷体" w:cs="楷体" w:hint="eastAsia"/>
          <w:color w:val="auto"/>
          <w:sz w:val="21"/>
          <w:szCs w:val="21"/>
          <w:lang w:val="en-US" w:eastAsia="zh-CN"/>
        </w:rPr>
        <w:t xml:space="preserve">或“管理人”</w:t>
      </w:r>
      <w:r>
        <w:rPr>
          <w:rFonts w:ascii="楷体" w:eastAsia="楷体" w:hAnsi="楷体" w:cs="楷体" w:hint="eastAsia"/>
          <w:color w:val="auto"/>
          <w:sz w:val="21"/>
          <w:szCs w:val="21"/>
        </w:rPr>
        <w:t xml:space="preserve">）作为本理财产品的产品管理人郑重提示您：在您选择购买理财产品前，请仔细阅读本理财产品</w:t>
      </w:r>
      <w:r>
        <w:rPr>
          <w:rFonts w:ascii="楷体" w:eastAsia="楷体" w:hAnsi="楷体" w:cs="楷体" w:hint="eastAsia"/>
          <w:color w:val="auto"/>
          <w:sz w:val="21"/>
          <w:szCs w:val="21"/>
          <w:lang w:val="en-US" w:eastAsia="zh-CN"/>
        </w:rPr>
        <w:t xml:space="preserve">完整销售文件</w:t>
      </w:r>
      <w:r>
        <w:rPr>
          <w:rFonts w:ascii="楷体" w:eastAsia="楷体" w:hAnsi="楷体" w:cs="楷体" w:hint="eastAsia"/>
          <w:color w:val="auto"/>
          <w:sz w:val="21"/>
          <w:szCs w:val="21"/>
        </w:rPr>
        <w:t xml:space="preserve">（包括《风险揭示书》、《理财产品说明书》、《</w:t>
      </w:r>
      <w:r>
        <w:rPr>
          <w:rFonts w:ascii="楷体" w:eastAsia="楷体" w:hAnsi="楷体" w:cs="楷体" w:hint="eastAsia"/>
          <w:color w:val="auto"/>
          <w:sz w:val="21"/>
          <w:szCs w:val="21"/>
          <w:lang w:val="en-US" w:eastAsia="zh-CN"/>
        </w:rPr>
        <w:t xml:space="preserve">理财</w:t>
      </w:r>
      <w:r>
        <w:rPr>
          <w:rFonts w:ascii="楷体" w:eastAsia="楷体" w:hAnsi="楷体" w:cs="楷体" w:hint="eastAsia"/>
          <w:color w:val="auto"/>
          <w:sz w:val="21"/>
          <w:szCs w:val="21"/>
        </w:rPr>
        <w:t xml:space="preserve">产品投资协议书》</w:t>
      </w:r>
      <w:r>
        <w:rPr>
          <w:rFonts w:ascii="楷体" w:eastAsia="楷体" w:hAnsi="楷体" w:cs="楷体" w:hint="eastAsia"/>
          <w:color w:val="auto"/>
          <w:sz w:val="21"/>
          <w:szCs w:val="21"/>
          <w:lang w:eastAsia="zh-CN"/>
        </w:rPr>
        <w:t xml:space="preserve">、</w:t>
      </w:r>
      <w:r>
        <w:rPr>
          <w:rFonts w:ascii="楷体" w:eastAsia="楷体" w:hAnsi="楷体" w:cs="楷体" w:hint="eastAsia"/>
          <w:color w:val="auto"/>
          <w:sz w:val="21"/>
          <w:szCs w:val="21"/>
        </w:rPr>
        <w:t xml:space="preserve">《投资者权益须知》</w:t>
      </w:r>
      <w:r>
        <w:rPr>
          <w:rFonts w:ascii="楷体" w:eastAsia="楷体" w:hAnsi="楷体" w:cs="楷体" w:hint="eastAsia"/>
          <w:color w:val="auto"/>
          <w:sz w:val="21"/>
          <w:szCs w:val="21"/>
          <w:lang w:eastAsia="zh-CN"/>
        </w:rPr>
        <w:t xml:space="preserve">、</w:t>
      </w:r>
      <w:r>
        <w:rPr>
          <w:rFonts w:ascii="楷体" w:eastAsia="楷体" w:hAnsi="楷体" w:cs="楷体" w:hint="eastAsia"/>
          <w:color w:val="auto"/>
          <w:sz w:val="21"/>
          <w:szCs w:val="21"/>
        </w:rPr>
        <w:t xml:space="preserve">《</w:t>
      </w:r>
      <w:r>
        <w:rPr>
          <w:rFonts w:ascii="楷体" w:eastAsia="楷体" w:hAnsi="楷体" w:cs="楷体" w:hint="eastAsia"/>
          <w:color w:val="auto"/>
          <w:sz w:val="21"/>
          <w:szCs w:val="21"/>
          <w:lang w:eastAsia="zh-CN"/>
        </w:rPr>
        <w:t xml:space="preserve">理财产品（代理）销售协议书</w:t>
      </w:r>
      <w:r>
        <w:rPr>
          <w:rFonts w:ascii="楷体" w:eastAsia="楷体" w:hAnsi="楷体" w:cs="楷体" w:hint="eastAsia"/>
          <w:color w:val="auto"/>
          <w:sz w:val="21"/>
          <w:szCs w:val="21"/>
        </w:rPr>
        <w:t xml:space="preserve">》），了解理财产品具体情况；在您购买理财产品后，请关注本理财产品的信息披露，及时获取相关信息。</w:t>
      </w:r>
    </w:p>
    <w:p>
      <w:pPr>
        <w:pStyle w:val="Normal(Web)"/>
        <w:spacing w:before="0" w:beforeAutospacing="0" w:after="0" w:afterAutospacing="0" w:line="240" w:lineRule="atLeast"/>
        <w:ind w:firstLine="420" w:firstLineChars="200"/>
        <w:rPr>
          <w:rFonts w:ascii="楷体" w:eastAsia="楷体" w:hAnsi="楷体" w:cs="楷体" w:hint="eastAsia"/>
          <w:color w:val="auto"/>
          <w:sz w:val="21"/>
          <w:szCs w:val="21"/>
          <w:lang w:val="en-US" w:eastAsia="zh-CN"/>
        </w:rPr>
      </w:pPr>
      <w:r>
        <w:rPr>
          <w:rFonts w:ascii="楷体" w:eastAsia="楷体" w:hAnsi="楷体" w:cs="楷体" w:hint="eastAsia"/>
          <w:color w:val="auto"/>
          <w:sz w:val="21"/>
          <w:szCs w:val="21"/>
        </w:rPr>
        <w:t xml:space="preserve">苏银理财作为本理财产品管理人承诺以诚实信用、勤勉尽责的原则管理和运用理财产品资产，</w:t>
      </w:r>
      <w:r>
        <w:rPr>
          <w:rFonts w:ascii="楷体" w:eastAsia="楷体" w:hAnsi="楷体" w:cs="楷体" w:hint="eastAsia"/>
          <w:b/>
          <w:color w:val="auto"/>
          <w:sz w:val="21"/>
          <w:szCs w:val="21"/>
          <w:u w:val="single"/>
        </w:rPr>
        <w:t xml:space="preserve">但不保证理财产品一定盈利，也不保证最低收益，极端情况下有可能会损失部分甚至全部本金。</w:t>
      </w:r>
      <w:r>
        <w:rPr>
          <w:rFonts w:ascii="楷体" w:eastAsia="楷体" w:hAnsi="楷体" w:cs="楷体" w:hint="eastAsia"/>
          <w:color w:val="auto"/>
          <w:sz w:val="21"/>
          <w:szCs w:val="21"/>
        </w:rPr>
        <w:t xml:space="preserve">本风险揭示书旨在揭示本理财产品可能面临的各种风险，请您务必充分认识以下风险。</w:t>
      </w:r>
    </w:p>
    <w:p>
      <w:pPr>
        <w:numPr>
          <w:ilvl w:val="0"/>
          <w:numId w:val="4"/>
        </w:numPr>
        <w:tabs>
          <w:tab w:val="left" w:pos="1134"/>
        </w:tabs>
        <w:spacing w:line="240" w:lineRule="atLeast"/>
        <w:ind w:left="0" w:firstLine="482" w:firstLineChars="200"/>
        <w:rPr>
          <w:rFonts w:ascii="楷体" w:eastAsia="楷体" w:hAnsi="楷体" w:cs="楷体" w:hint="eastAsia"/>
          <w:b/>
          <w:color w:val="auto"/>
          <w:sz w:val="24"/>
          <w:szCs w:val="24"/>
        </w:rPr>
      </w:pPr>
      <w:r>
        <w:rPr>
          <w:rFonts w:ascii="楷体" w:eastAsia="楷体" w:hAnsi="楷体" w:cs="楷体" w:hint="eastAsia"/>
          <w:b/>
          <w:color w:val="auto"/>
          <w:sz w:val="24"/>
          <w:szCs w:val="24"/>
        </w:rPr>
        <w:t xml:space="preserve">风险揭示</w:t>
      </w:r>
    </w:p>
    <w:p>
      <w:pPr>
        <w:pStyle w:val="Normal(Web)"/>
        <w:spacing w:before="0" w:beforeAutospacing="0" w:after="0" w:afterAutospacing="0" w:line="240" w:lineRule="atLeast"/>
        <w:ind w:firstLine="420" w:firstLineChars="200"/>
        <w:rPr>
          <w:rFonts w:ascii="楷体" w:eastAsia="楷体" w:hAnsi="楷体" w:cs="楷体" w:hint="eastAsia"/>
          <w:color w:val="auto"/>
          <w:sz w:val="21"/>
          <w:szCs w:val="21"/>
        </w:rPr>
      </w:pPr>
      <w:r>
        <w:rPr>
          <w:rFonts w:ascii="楷体" w:eastAsia="楷体" w:hAnsi="楷体" w:cs="楷体" w:hint="eastAsia"/>
          <w:color w:val="auto"/>
          <w:sz w:val="21"/>
          <w:szCs w:val="21"/>
        </w:rPr>
        <w:t xml:space="preserve">请投资者根据自身理财目标、投资经验、财务状况、风险承受能力以及其他相关情况慎重考虑购买本理财产品。本风险揭示书列示的风险指理财产品项下可能涉及的风险，包括但不限于：</w:t>
      </w:r>
    </w:p>
    <w:p>
      <w:pPr>
        <w:numPr>
          <w:ilvl w:val="0"/>
          <w:numId w:val="5"/>
        </w:numPr>
        <w:tabs>
          <w:tab w:val="left" w:pos="993"/>
        </w:tabs>
        <w:spacing w:line="240" w:lineRule="atLeast"/>
        <w:ind w:left="0" w:firstLine="422" w:firstLineChars="200"/>
        <w:rPr>
          <w:rFonts w:ascii="楷体" w:eastAsia="楷体" w:hAnsi="楷体" w:cs="楷体" w:hint="eastAsia"/>
          <w:color w:val="auto"/>
          <w:sz w:val="21"/>
          <w:szCs w:val="21"/>
        </w:rPr>
      </w:pPr>
      <w:r>
        <w:rPr>
          <w:rFonts w:ascii="楷体" w:eastAsia="楷体" w:hAnsi="楷体" w:cs="楷体" w:hint="eastAsia"/>
          <w:b/>
          <w:color w:val="auto"/>
          <w:sz w:val="21"/>
          <w:szCs w:val="21"/>
        </w:rPr>
        <w:t xml:space="preserve">政策风险：</w:t>
      </w:r>
      <w:r>
        <w:rPr>
          <w:rFonts w:ascii="楷体" w:eastAsia="楷体" w:hAnsi="楷体" w:cs="楷体" w:hint="eastAsia"/>
          <w:color w:val="auto"/>
          <w:sz w:val="21"/>
          <w:szCs w:val="21"/>
        </w:rPr>
        <w:t xml:space="preserve">本理财产品是根据当前相关法律法规、监管规定和国家政策设计的。如国家宏观政策以及市场相关法律法规、监管规定发生变化，可能影响理财产品的发行、交易、投资、兑付等工作流程的正常进行，从而影响本理财产品的投资运作，则投资者可能面临本金和收益遭受部分甚至全部损失的风险。</w:t>
      </w:r>
    </w:p>
    <w:p>
      <w:pPr>
        <w:numPr>
          <w:ilvl w:val="0"/>
          <w:numId w:val="5"/>
        </w:numPr>
        <w:tabs>
          <w:tab w:val="left" w:pos="993"/>
        </w:tabs>
        <w:spacing w:line="240" w:lineRule="atLeast"/>
        <w:ind w:left="0" w:firstLine="422" w:firstLineChars="200"/>
        <w:rPr>
          <w:rFonts w:ascii="楷体" w:eastAsia="楷体" w:hAnsi="楷体" w:cs="楷体" w:hint="eastAsia"/>
          <w:b/>
          <w:color w:val="auto"/>
          <w:sz w:val="21"/>
          <w:szCs w:val="21"/>
        </w:rPr>
      </w:pPr>
      <w:r>
        <w:rPr>
          <w:rFonts w:ascii="楷体" w:eastAsia="楷体" w:hAnsi="楷体" w:cs="楷体" w:hint="eastAsia"/>
          <w:b/>
          <w:color w:val="auto"/>
          <w:sz w:val="21"/>
          <w:szCs w:val="21"/>
        </w:rPr>
        <w:t xml:space="preserve">信用风险：</w:t>
      </w:r>
      <w:r>
        <w:rPr>
          <w:rFonts w:ascii="楷体" w:eastAsia="楷体" w:hAnsi="楷体" w:cs="楷体" w:hint="eastAsia"/>
          <w:color w:val="auto"/>
          <w:sz w:val="21"/>
          <w:szCs w:val="21"/>
        </w:rPr>
        <w:t xml:space="preserve">本理财产品</w:t>
      </w:r>
      <w:r>
        <w:rPr>
          <w:rFonts w:ascii="楷体" w:eastAsia="楷体" w:hAnsi="楷体" w:cs="楷体" w:hint="eastAsia"/>
          <w:color w:val="auto"/>
          <w:sz w:val="21"/>
          <w:szCs w:val="21"/>
          <w:lang w:val="en-US" w:eastAsia="zh-CN"/>
        </w:rPr>
        <w:t xml:space="preserve">投资于各类金融</w:t>
      </w:r>
      <w:r>
        <w:rPr>
          <w:rFonts w:ascii="楷体" w:eastAsia="楷体" w:hAnsi="楷体" w:cs="楷体" w:hint="eastAsia"/>
          <w:color w:val="auto"/>
          <w:sz w:val="21"/>
          <w:szCs w:val="21"/>
        </w:rPr>
        <w:t xml:space="preserve">资产，因此有可能由于发行主体或交易对手信用状况恶化导致交易违约，致使本理财产品到期实际收益不足业绩比较基准，该种情况下，</w:t>
      </w:r>
      <w:r>
        <w:rPr>
          <w:rFonts w:ascii="楷体" w:eastAsia="楷体" w:hAnsi="楷体" w:cs="楷体" w:hint="eastAsia"/>
          <w:color w:val="auto"/>
          <w:sz w:val="21"/>
          <w:szCs w:val="21"/>
          <w:lang w:val="en-US" w:eastAsia="zh-CN"/>
        </w:rPr>
        <w:t xml:space="preserve">管理人</w:t>
      </w:r>
      <w:r>
        <w:rPr>
          <w:rFonts w:ascii="楷体" w:eastAsia="楷体" w:hAnsi="楷体" w:cs="楷体" w:hint="eastAsia"/>
          <w:color w:val="auto"/>
          <w:sz w:val="21"/>
          <w:szCs w:val="21"/>
        </w:rPr>
        <w:t xml:space="preserve">将按照投资实际收益情况，并以资产变现实际收到的资金为限支付投资</w:t>
      </w:r>
      <w:r>
        <w:rPr>
          <w:rFonts w:ascii="楷体" w:eastAsia="楷体" w:hAnsi="楷体" w:cs="楷体" w:hint="eastAsia"/>
          <w:color w:val="auto"/>
          <w:sz w:val="21"/>
          <w:szCs w:val="21"/>
          <w:lang w:val="en-US" w:eastAsia="zh-CN"/>
        </w:rPr>
        <w:t xml:space="preserve">者</w:t>
      </w:r>
      <w:r>
        <w:rPr>
          <w:rFonts w:ascii="楷体" w:eastAsia="楷体" w:hAnsi="楷体" w:cs="楷体" w:hint="eastAsia"/>
          <w:color w:val="auto"/>
          <w:sz w:val="21"/>
          <w:szCs w:val="21"/>
        </w:rPr>
        <w:t xml:space="preserve">收益，投资</w:t>
      </w:r>
      <w:r>
        <w:rPr>
          <w:rFonts w:ascii="楷体" w:eastAsia="楷体" w:hAnsi="楷体" w:cs="楷体" w:hint="eastAsia"/>
          <w:color w:val="auto"/>
          <w:sz w:val="21"/>
          <w:szCs w:val="21"/>
          <w:lang w:val="en-US" w:eastAsia="zh-CN"/>
        </w:rPr>
        <w:t xml:space="preserve">者</w:t>
      </w:r>
      <w:r>
        <w:rPr>
          <w:rFonts w:ascii="楷体" w:eastAsia="楷体" w:hAnsi="楷体" w:cs="楷体" w:hint="eastAsia"/>
          <w:color w:val="auto"/>
          <w:sz w:val="21"/>
          <w:szCs w:val="21"/>
        </w:rPr>
        <w:t xml:space="preserve">将自行承担由此而导致本金和收益遭受部分甚至全部损失的风险。</w:t>
      </w:r>
    </w:p>
    <w:p>
      <w:pPr>
        <w:numPr>
          <w:ilvl w:val="0"/>
          <w:numId w:val="5"/>
        </w:numPr>
        <w:tabs>
          <w:tab w:val="left" w:pos="993"/>
        </w:tabs>
        <w:spacing w:line="240" w:lineRule="atLeast"/>
        <w:ind w:left="0" w:firstLine="422" w:firstLineChars="200"/>
        <w:rPr>
          <w:rFonts w:ascii="楷体" w:eastAsia="楷体" w:hAnsi="楷体" w:cs="楷体" w:hint="eastAsia"/>
          <w:color w:val="auto"/>
          <w:sz w:val="21"/>
          <w:szCs w:val="21"/>
        </w:rPr>
      </w:pPr>
      <w:r>
        <w:rPr>
          <w:rFonts w:ascii="楷体" w:eastAsia="楷体" w:hAnsi="楷体" w:cs="楷体" w:hint="eastAsia"/>
          <w:b/>
          <w:color w:val="auto"/>
          <w:sz w:val="21"/>
          <w:szCs w:val="21"/>
        </w:rPr>
        <w:t xml:space="preserve">市场风险：</w:t>
      </w:r>
      <w:r>
        <w:rPr>
          <w:rFonts w:ascii="楷体" w:eastAsia="楷体" w:hAnsi="楷体" w:cs="楷体" w:hint="eastAsia"/>
          <w:color w:val="auto"/>
          <w:sz w:val="21"/>
          <w:szCs w:val="21"/>
        </w:rPr>
        <w:t xml:space="preserve">本理财产品投资</w:t>
      </w:r>
      <w:r>
        <w:rPr>
          <w:rFonts w:ascii="楷体" w:eastAsia="楷体" w:hAnsi="楷体" w:cs="楷体" w:hint="eastAsia"/>
          <w:color w:val="auto"/>
          <w:sz w:val="21"/>
          <w:szCs w:val="21"/>
          <w:lang w:val="en-US" w:eastAsia="zh-CN"/>
        </w:rPr>
        <w:t xml:space="preserve">的金融</w:t>
      </w:r>
      <w:r>
        <w:rPr>
          <w:rFonts w:ascii="楷体" w:eastAsia="楷体" w:hAnsi="楷体" w:cs="楷体" w:hint="eastAsia"/>
          <w:color w:val="auto"/>
          <w:sz w:val="21"/>
          <w:szCs w:val="21"/>
        </w:rPr>
        <w:t xml:space="preserve">资产的价格受到经济因素、政治因素、投资心理和交易制度等各种因素的影响，可能导致本理财产品资产收益水平变化，投资者可能面临本金和收益遭受部分甚至全部损失的风险。</w:t>
      </w:r>
    </w:p>
    <w:p>
      <w:pPr>
        <w:numPr>
          <w:ilvl w:val="0"/>
          <w:numId w:val="5"/>
        </w:numPr>
        <w:tabs>
          <w:tab w:val="left" w:pos="993"/>
        </w:tabs>
        <w:spacing w:line="240" w:lineRule="atLeast"/>
        <w:ind w:left="0" w:firstLine="422" w:firstLineChars="200"/>
        <w:rPr>
          <w:rFonts w:ascii="楷体" w:eastAsia="楷体" w:hAnsi="楷体" w:cs="楷体" w:hint="eastAsia"/>
          <w:b/>
          <w:color w:val="auto"/>
          <w:sz w:val="21"/>
          <w:szCs w:val="21"/>
          <w:highlight w:val="none"/>
        </w:rPr>
      </w:pPr>
      <w:r>
        <w:rPr>
          <w:rFonts w:ascii="楷体" w:eastAsia="楷体" w:hAnsi="楷体" w:cs="楷体" w:hint="eastAsia"/>
          <w:b/>
          <w:color w:val="auto"/>
          <w:sz w:val="21"/>
          <w:szCs w:val="21"/>
          <w:highlight w:val="none"/>
        </w:rPr>
        <w:t xml:space="preserve">流动性风险：</w:t>
      </w:r>
      <w:r>
        <w:rPr>
          <w:rFonts w:ascii="楷体" w:eastAsia="楷体" w:hAnsi="楷体" w:cs="楷体" w:hint="eastAsia"/>
          <w:b w:val="0"/>
          <w:bCs/>
          <w:color w:val="auto"/>
          <w:sz w:val="21"/>
          <w:szCs w:val="21"/>
          <w:highlight w:val="none"/>
        </w:rPr>
        <w:t xml:space="preserve">在特定市场环境下，理财产品所投资的部分市场或资产可能出现流动性较差的情况，导致理财产品无法通过变现资产等途径以合理成本及时获得充足资金，无法</w:t>
      </w:r>
      <w:r>
        <w:rPr>
          <w:rFonts w:ascii="楷体" w:eastAsia="楷体" w:hAnsi="楷体" w:cs="楷体" w:hint="eastAsia"/>
          <w:b w:val="0"/>
          <w:bCs/>
          <w:color w:val="auto"/>
          <w:sz w:val="21"/>
          <w:szCs w:val="21"/>
          <w:highlight w:val="none"/>
          <w:lang w:val="en-US" w:eastAsia="zh-CN"/>
        </w:rPr>
        <w:t xml:space="preserve">满足本理财产品履行相关</w:t>
      </w:r>
      <w:r>
        <w:rPr>
          <w:rFonts w:ascii="楷体" w:eastAsia="楷体" w:hAnsi="楷体" w:cs="楷体" w:hint="eastAsia"/>
          <w:b w:val="0"/>
          <w:bCs/>
          <w:color w:val="auto"/>
          <w:sz w:val="21"/>
          <w:szCs w:val="21"/>
          <w:highlight w:val="none"/>
        </w:rPr>
        <w:t xml:space="preserve">支付义务，带来流动性风险。</w:t>
      </w:r>
    </w:p>
    <w:p>
      <w:pPr>
        <w:numPr>
          <w:ilvl w:val="0"/>
          <w:numId w:val="5"/>
        </w:numPr>
        <w:tabs>
          <w:tab w:val="left" w:pos="993"/>
        </w:tabs>
        <w:spacing w:line="240" w:lineRule="atLeast"/>
        <w:ind w:left="0" w:firstLine="422" w:firstLineChars="200"/>
        <w:rPr>
          <w:rFonts w:ascii="楷体" w:eastAsia="楷体" w:hAnsi="楷体" w:cs="楷体" w:hint="eastAsia"/>
          <w:color w:val="auto"/>
          <w:sz w:val="21"/>
          <w:szCs w:val="21"/>
        </w:rPr>
      </w:pPr>
      <w:r>
        <w:rPr>
          <w:rFonts w:ascii="楷体" w:eastAsia="楷体" w:hAnsi="楷体" w:cs="楷体" w:hint="eastAsia"/>
          <w:b/>
          <w:color w:val="auto"/>
          <w:sz w:val="21"/>
          <w:szCs w:val="21"/>
        </w:rPr>
        <w:t xml:space="preserve">管理风险：</w:t>
      </w:r>
      <w:r>
        <w:rPr>
          <w:rFonts w:ascii="楷体" w:eastAsia="楷体" w:hAnsi="楷体" w:cs="楷体" w:hint="eastAsia"/>
          <w:color w:val="auto"/>
          <w:sz w:val="21"/>
          <w:szCs w:val="21"/>
        </w:rPr>
        <w:t xml:space="preserve">在本理财产品运作过程中，投资管理各方受经验、技能、执行力等综合因素的限制，可能会对本理财产品的运作和管理造成一定影响，投资者可能面临本金和收益遭受部分甚至全部损失的风险。</w:t>
      </w:r>
    </w:p>
    <w:p>
      <w:pPr>
        <w:numPr>
          <w:ilvl w:val="0"/>
          <w:numId w:val="5"/>
        </w:numPr>
        <w:tabs>
          <w:tab w:val="left" w:pos="993"/>
        </w:tabs>
        <w:spacing w:line="240" w:lineRule="atLeast"/>
        <w:ind w:left="0" w:firstLine="422" w:firstLineChars="200"/>
        <w:rPr>
          <w:rFonts w:ascii="楷体" w:eastAsia="楷体" w:hAnsi="楷体" w:cs="楷体" w:hint="eastAsia"/>
          <w:color w:val="auto"/>
          <w:sz w:val="21"/>
          <w:szCs w:val="21"/>
        </w:rPr>
      </w:pPr>
      <w:r>
        <w:rPr>
          <w:rFonts w:ascii="楷体" w:eastAsia="楷体" w:hAnsi="楷体" w:cs="楷体" w:hint="eastAsia"/>
          <w:b/>
          <w:color w:val="auto"/>
          <w:sz w:val="21"/>
          <w:szCs w:val="21"/>
        </w:rPr>
        <w:t xml:space="preserve">操作风险：</w:t>
      </w:r>
      <w:r>
        <w:rPr>
          <w:rFonts w:ascii="楷体" w:eastAsia="楷体" w:hAnsi="楷体" w:cs="楷体" w:hint="eastAsia"/>
          <w:color w:val="auto"/>
          <w:sz w:val="21"/>
          <w:szCs w:val="21"/>
        </w:rPr>
        <w:t xml:space="preserve">如本理财产品管理人由于内部作业、人员管理、系统操作及事务处理不当或失误等，则投资者可能面临本金和收益遭受部分甚至全部损失的风险。</w:t>
      </w:r>
    </w:p>
    <w:p>
      <w:pPr>
        <w:numPr>
          <w:ilvl w:val="0"/>
          <w:numId w:val="5"/>
        </w:numPr>
        <w:tabs>
          <w:tab w:val="left" w:pos="993"/>
        </w:tabs>
        <w:spacing w:line="240" w:lineRule="atLeast"/>
        <w:ind w:left="0" w:firstLine="422" w:firstLineChars="200"/>
        <w:rPr>
          <w:rFonts w:ascii="楷体" w:eastAsia="楷体" w:hAnsi="楷体" w:cs="楷体" w:hint="eastAsia"/>
          <w:color w:val="auto"/>
          <w:sz w:val="21"/>
          <w:szCs w:val="21"/>
        </w:rPr>
      </w:pPr>
      <w:r>
        <w:rPr>
          <w:rFonts w:ascii="楷体" w:eastAsia="楷体" w:hAnsi="楷体" w:cs="楷体" w:hint="eastAsia"/>
          <w:b/>
          <w:color w:val="auto"/>
          <w:sz w:val="21"/>
          <w:szCs w:val="21"/>
        </w:rPr>
        <w:t xml:space="preserve">延期兑付风险：</w:t>
      </w:r>
      <w:r>
        <w:rPr>
          <w:rFonts w:ascii="楷体" w:eastAsia="楷体" w:hAnsi="楷体" w:cs="楷体" w:hint="eastAsia"/>
          <w:color w:val="auto"/>
          <w:sz w:val="21"/>
          <w:szCs w:val="21"/>
        </w:rPr>
        <w:t xml:space="preserve">因市场成交量不足、资产限制赎回、暂停交易、缺乏意愿交易对手等原因，产品管理人未能及时完成资产变现而导致理财产品不能及时变现、持有期与资金需求日不匹配或不能按时支付清算分配金额，则投资者可能面临产品兑付延期、调整等风险，甚至由此投资者可能面临本金和收益遭受部分甚至全部损失的风险。</w:t>
      </w:r>
    </w:p>
    <w:p>
      <w:pPr>
        <w:numPr>
          <w:ilvl w:val="0"/>
          <w:numId w:val="5"/>
        </w:numPr>
        <w:tabs>
          <w:tab w:val="left" w:pos="993"/>
        </w:tabs>
        <w:spacing w:line="240" w:lineRule="atLeast"/>
        <w:ind w:left="0" w:firstLine="422" w:firstLineChars="200"/>
        <w:rPr>
          <w:rFonts w:ascii="楷体" w:eastAsia="楷体" w:hAnsi="楷体" w:cs="楷体" w:hint="eastAsia"/>
          <w:color w:val="auto"/>
          <w:sz w:val="21"/>
          <w:szCs w:val="21"/>
        </w:rPr>
      </w:pPr>
      <w:r>
        <w:rPr>
          <w:rFonts w:ascii="楷体" w:eastAsia="楷体" w:hAnsi="楷体" w:cs="楷体" w:hint="eastAsia"/>
          <w:b/>
          <w:color w:val="auto"/>
          <w:sz w:val="21"/>
          <w:szCs w:val="21"/>
        </w:rPr>
        <w:t xml:space="preserve">提前终止风险：</w:t>
      </w:r>
      <w:r>
        <w:rPr>
          <w:rFonts w:ascii="楷体" w:eastAsia="楷体" w:hAnsi="楷体" w:cs="楷体" w:hint="eastAsia"/>
          <w:color w:val="auto"/>
          <w:sz w:val="21"/>
          <w:szCs w:val="21"/>
        </w:rPr>
        <w:t xml:space="preserve">为保护投资者利益，在本理财产品存续期间，产品管理人可根据本理财产品说明书约定的情况提前终止本理财产品。同时，由于不可抗力及/或意外事件导致产品管理人无法继续履行理财</w:t>
      </w:r>
      <w:r>
        <w:rPr>
          <w:rFonts w:ascii="楷体" w:eastAsia="楷体" w:hAnsi="楷体" w:cs="楷体" w:hint="eastAsia"/>
          <w:color w:val="auto"/>
          <w:sz w:val="21"/>
          <w:szCs w:val="21"/>
          <w:lang w:val="en-US" w:eastAsia="zh-CN"/>
        </w:rPr>
        <w:t xml:space="preserve">产品销售文件</w:t>
      </w:r>
      <w:r>
        <w:rPr>
          <w:rFonts w:ascii="楷体" w:eastAsia="楷体" w:hAnsi="楷体" w:cs="楷体" w:hint="eastAsia"/>
          <w:color w:val="auto"/>
          <w:sz w:val="21"/>
          <w:szCs w:val="21"/>
        </w:rPr>
        <w:t xml:space="preserve">的，产品管理人有权提前终止理财产品</w:t>
      </w:r>
      <w:r>
        <w:rPr>
          <w:rFonts w:ascii="楷体" w:eastAsia="楷体" w:hAnsi="楷体" w:cs="楷体" w:hint="eastAsia"/>
          <w:color w:val="auto"/>
          <w:sz w:val="21"/>
          <w:szCs w:val="21"/>
          <w:lang w:val="en-US" w:eastAsia="zh-CN"/>
        </w:rPr>
        <w:t xml:space="preserve">销售文件</w:t>
      </w:r>
      <w:r>
        <w:rPr>
          <w:rFonts w:ascii="楷体" w:eastAsia="楷体" w:hAnsi="楷体" w:cs="楷体" w:hint="eastAsia"/>
          <w:color w:val="auto"/>
          <w:sz w:val="21"/>
          <w:szCs w:val="21"/>
        </w:rPr>
        <w:t xml:space="preserve">，并将发生不可抗力及/或意外事件后剩余的投资者应得理财资金划付至投资者清算账户。此外，如国家宏观政策、市场相关法律、行政法规或政策等发生变化，可能导致理财产品提前终止。上述情况下，投资者可能面临产品提前终止后再投资的风险。</w:t>
      </w:r>
    </w:p>
    <w:p>
      <w:pPr>
        <w:numPr>
          <w:ilvl w:val="0"/>
          <w:numId w:val="5"/>
        </w:numPr>
        <w:tabs>
          <w:tab w:val="left" w:pos="993"/>
        </w:tabs>
        <w:spacing w:line="240" w:lineRule="atLeast"/>
        <w:ind w:left="0" w:firstLine="422" w:firstLineChars="200"/>
        <w:rPr>
          <w:rFonts w:ascii="楷体" w:eastAsia="楷体" w:hAnsi="楷体" w:cs="楷体" w:hint="eastAsia"/>
          <w:color w:val="auto"/>
          <w:sz w:val="21"/>
          <w:szCs w:val="21"/>
        </w:rPr>
      </w:pPr>
      <w:r>
        <w:rPr>
          <w:rFonts w:ascii="楷体" w:eastAsia="楷体" w:hAnsi="楷体" w:cs="楷体" w:hint="eastAsia"/>
          <w:b/>
          <w:color w:val="auto"/>
          <w:sz w:val="21"/>
          <w:szCs w:val="21"/>
        </w:rPr>
        <w:t xml:space="preserve">信息传递风险：</w:t>
      </w:r>
      <w:r>
        <w:rPr>
          <w:rFonts w:ascii="楷体" w:eastAsia="楷体" w:hAnsi="楷体" w:cs="楷体" w:hint="eastAsia"/>
          <w:color w:val="auto"/>
          <w:sz w:val="21"/>
          <w:szCs w:val="21"/>
        </w:rPr>
        <w:t xml:space="preserve">产品管理人将按照本理财产品</w:t>
      </w:r>
      <w:r>
        <w:rPr>
          <w:rFonts w:ascii="楷体" w:eastAsia="楷体" w:hAnsi="楷体" w:cs="楷体" w:hint="eastAsia"/>
          <w:color w:val="auto"/>
          <w:sz w:val="21"/>
          <w:szCs w:val="21"/>
          <w:lang w:val="en-US" w:eastAsia="zh-CN"/>
        </w:rPr>
        <w:t xml:space="preserve">销售文件</w:t>
      </w:r>
      <w:r>
        <w:rPr>
          <w:rFonts w:ascii="楷体" w:eastAsia="楷体" w:hAnsi="楷体" w:cs="楷体" w:hint="eastAsia"/>
          <w:color w:val="auto"/>
          <w:sz w:val="21"/>
          <w:szCs w:val="21"/>
        </w:rPr>
        <w:t xml:space="preserve">中规定的信息披露方式及披露途径向投资者公示本理财产品的各类信息和重大事件，投资者应及时查询了解。如投资者未及时查询相关信息或由于不可抗力及/或意外事件的影响使得投资者无法及时了解理财产品信息，进而影响投资者的投资决策，因此产生的责任和风险由投资者自行承担。投资者预留的有效联系方式发生变更的，亦应及时通知产品管理人。如投资者未及时告知产品管理人联系方式变更或产品管理人在其认为需要时无法及时联系到投资者的，可能会影响投资者的投资决策，因此产生的责任和风险由投资者自行承担。</w:t>
      </w:r>
    </w:p>
    <w:p>
      <w:pPr>
        <w:numPr>
          <w:ilvl w:val="0"/>
          <w:numId w:val="5"/>
        </w:numPr>
        <w:tabs>
          <w:tab w:val="left" w:pos="993"/>
        </w:tabs>
        <w:spacing w:line="240" w:lineRule="atLeast"/>
        <w:ind w:left="0" w:firstLine="422" w:firstLineChars="200"/>
        <w:rPr>
          <w:rFonts w:ascii="楷体" w:eastAsia="楷体" w:hAnsi="楷体" w:cs="楷体" w:hint="eastAsia"/>
          <w:sz w:val="21"/>
          <w:szCs w:val="21"/>
        </w:rPr>
      </w:pPr>
      <w:r>
        <w:rPr>
          <w:rFonts w:ascii="楷体" w:eastAsia="楷体" w:hAnsi="楷体" w:cs="楷体" w:hint="eastAsia"/>
          <w:b/>
          <w:sz w:val="21"/>
          <w:szCs w:val="21"/>
          <w:highlight w:val="none"/>
        </w:rPr>
        <w:t xml:space="preserve">代销风险</w:t>
      </w:r>
      <w:r>
        <w:rPr>
          <w:rFonts w:ascii="楷体" w:eastAsia="楷体" w:hAnsi="楷体" w:cs="楷体" w:hint="eastAsia"/>
          <w:b/>
          <w:sz w:val="21"/>
          <w:szCs w:val="21"/>
          <w:highlight w:val="none"/>
          <w:lang w:eastAsia="zh-CN"/>
        </w:rPr>
        <w:t xml:space="preserve">（</w:t>
      </w:r>
      <w:r>
        <w:rPr>
          <w:rFonts w:ascii="楷体" w:eastAsia="楷体" w:hAnsi="楷体" w:cs="楷体" w:hint="eastAsia"/>
          <w:b/>
          <w:sz w:val="21"/>
          <w:szCs w:val="21"/>
          <w:highlight w:val="none"/>
          <w:lang w:val="en-US" w:eastAsia="zh-CN"/>
        </w:rPr>
        <w:t xml:space="preserve">如有）</w:t>
      </w:r>
      <w:r>
        <w:rPr>
          <w:rFonts w:ascii="楷体" w:eastAsia="楷体" w:hAnsi="楷体" w:cs="楷体" w:hint="eastAsia"/>
          <w:b/>
          <w:sz w:val="21"/>
          <w:szCs w:val="21"/>
          <w:highlight w:val="none"/>
        </w:rPr>
        <w:t xml:space="preserve">：</w:t>
      </w:r>
      <w:r>
        <w:rPr>
          <w:rFonts w:ascii="楷体" w:eastAsia="楷体" w:hAnsi="楷体" w:cs="楷体" w:hint="eastAsia"/>
          <w:b w:val="0"/>
          <w:bCs/>
          <w:sz w:val="21"/>
          <w:szCs w:val="21"/>
          <w:highlight w:val="none"/>
          <w:lang w:val="en-US" w:eastAsia="zh-CN"/>
        </w:rPr>
        <w:t xml:space="preserve">如</w:t>
      </w:r>
      <w:r>
        <w:rPr>
          <w:rFonts w:ascii="楷体" w:eastAsia="楷体" w:hAnsi="楷体" w:cs="楷体" w:hint="eastAsia"/>
          <w:sz w:val="21"/>
          <w:szCs w:val="21"/>
          <w:highlight w:val="none"/>
        </w:rPr>
        <w:t xml:space="preserve">本产品通过代销渠道（非产品管理人自有渠道）销售，投资者认购</w:t>
      </w:r>
      <w:r>
        <w:rPr>
          <w:rFonts w:ascii="楷体" w:eastAsia="楷体" w:hAnsi="楷体" w:cs="楷体" w:hint="eastAsia"/>
          <w:sz w:val="21"/>
          <w:szCs w:val="21"/>
          <w:highlight w:val="none"/>
          <w:lang w:val="en-US" w:eastAsia="zh-CN"/>
        </w:rPr>
        <w:t xml:space="preserve">/申购</w:t>
      </w:r>
      <w:r>
        <w:rPr>
          <w:rFonts w:ascii="楷体" w:eastAsia="楷体" w:hAnsi="楷体" w:cs="楷体" w:hint="eastAsia"/>
          <w:sz w:val="21"/>
          <w:szCs w:val="21"/>
          <w:highlight w:val="none"/>
        </w:rPr>
        <w:t xml:space="preserve">理财产品的资金由代销机构从投资者资金账户扣收；份额赎回时，赎回资金按本理财产品</w:t>
      </w:r>
      <w:r>
        <w:rPr>
          <w:rFonts w:ascii="楷体" w:eastAsia="楷体" w:hAnsi="楷体" w:cs="楷体" w:hint="eastAsia"/>
          <w:color w:val="auto"/>
          <w:sz w:val="21"/>
          <w:szCs w:val="21"/>
          <w:lang w:val="en-US" w:eastAsia="zh-CN"/>
        </w:rPr>
        <w:t xml:space="preserve">销售文件</w:t>
      </w:r>
      <w:r>
        <w:rPr>
          <w:rFonts w:ascii="楷体" w:eastAsia="楷体" w:hAnsi="楷体" w:cs="楷体" w:hint="eastAsia"/>
          <w:sz w:val="21"/>
          <w:szCs w:val="21"/>
          <w:highlight w:val="none"/>
        </w:rPr>
        <w:t xml:space="preserve">约定划付至代销机构清算账户后，由代销机构向投资者划付投资者应得赎回资金。不同代销机构的销售渠道，</w:t>
      </w:r>
      <w:r>
        <w:rPr>
          <w:rFonts w:ascii="楷体" w:eastAsia="楷体" w:hAnsi="楷体" w:cs="楷体" w:hint="eastAsia"/>
          <w:sz w:val="21"/>
          <w:szCs w:val="21"/>
        </w:rPr>
        <w:t xml:space="preserve">其</w:t>
      </w:r>
      <w:r>
        <w:rPr>
          <w:rFonts w:ascii="楷体" w:eastAsia="楷体" w:hAnsi="楷体" w:cs="楷体" w:hint="eastAsia"/>
          <w:sz w:val="21"/>
          <w:szCs w:val="21"/>
          <w:highlight w:val="none"/>
        </w:rPr>
        <w:t xml:space="preserve">认购</w:t>
      </w:r>
      <w:r>
        <w:rPr>
          <w:rFonts w:ascii="楷体" w:eastAsia="楷体" w:hAnsi="楷体" w:cs="楷体" w:hint="eastAsia"/>
          <w:sz w:val="21"/>
          <w:szCs w:val="21"/>
          <w:highlight w:val="none"/>
          <w:lang w:val="en-US" w:eastAsia="zh-CN"/>
        </w:rPr>
        <w:t xml:space="preserve">/申购</w:t>
      </w:r>
      <w:r>
        <w:rPr>
          <w:rFonts w:ascii="楷体" w:eastAsia="楷体" w:hAnsi="楷体" w:cs="楷体" w:hint="eastAsia"/>
          <w:sz w:val="21"/>
          <w:szCs w:val="21"/>
        </w:rPr>
        <w:t xml:space="preserve">/赎回确认时效可能存在差异。如因投资者清算账户余额不足，或代销机构未及时足额划付资金，或代销机构清算账户内资金被依法冻结或扣划，或代销机构清算账户处于被挂失、冻结、注销或其他非正常状态等原因而导致交易失败，对于因上述原因导致的交易失败可能带来的任何损失及预期损失，投资者须自行承担或与代销机构协商解决，前述约定不免除因代销机构过错而依法应由代销机构承担的责任。</w:t>
      </w:r>
    </w:p>
    <w:p>
      <w:pPr>
        <w:numPr>
          <w:ilvl w:val="0"/>
          <w:numId w:val="5"/>
        </w:numPr>
        <w:tabs>
          <w:tab w:val="left" w:pos="993"/>
        </w:tabs>
        <w:spacing w:line="240" w:lineRule="atLeast"/>
        <w:ind w:left="0" w:firstLine="422" w:firstLineChars="200"/>
        <w:rPr>
          <w:rFonts w:ascii="楷体" w:eastAsia="楷体" w:hAnsi="楷体" w:cs="楷体" w:hint="eastAsia"/>
          <w:color w:val="auto"/>
          <w:sz w:val="21"/>
          <w:szCs w:val="21"/>
        </w:rPr>
      </w:pPr>
      <w:r>
        <w:rPr>
          <w:rFonts w:ascii="楷体" w:eastAsia="楷体" w:hAnsi="楷体" w:hint="eastAsia"/>
          <w:b/>
          <w:color w:val="auto"/>
          <w:sz w:val="21"/>
          <w:szCs w:val="21"/>
        </w:rPr>
        <w:t xml:space="preserve">不可抗力</w:t>
      </w:r>
      <w:r>
        <w:rPr>
          <w:rFonts w:ascii="楷体" w:eastAsia="楷体" w:hAnsi="楷体" w:hint="eastAsia"/>
          <w:b/>
          <w:color w:val="auto"/>
          <w:sz w:val="21"/>
          <w:szCs w:val="21"/>
          <w:lang w:val="en-US" w:eastAsia="zh-CN"/>
        </w:rPr>
        <w:t xml:space="preserve">及意外事件</w:t>
      </w:r>
      <w:r>
        <w:rPr>
          <w:rFonts w:ascii="楷体" w:eastAsia="楷体" w:hAnsi="楷体" w:hint="eastAsia"/>
          <w:b/>
          <w:color w:val="auto"/>
          <w:sz w:val="21"/>
          <w:szCs w:val="21"/>
        </w:rPr>
        <w:t xml:space="preserve">风险：</w:t>
      </w:r>
      <w:bookmarkStart w:id="0" w:name="_GoBack"/>
      <w:bookmarkEnd w:id="0"/>
      <w:r>
        <w:rPr>
          <w:rFonts w:ascii="楷体" w:eastAsia="楷体" w:hAnsi="楷体" w:hint="eastAsia"/>
          <w:color w:val="auto"/>
          <w:sz w:val="21"/>
          <w:szCs w:val="21"/>
        </w:rPr>
        <w:t xml:space="preserve">自然</w:t>
      </w:r>
      <w:r>
        <w:rPr>
          <w:rFonts w:ascii="楷体" w:eastAsia="楷体" w:hAnsi="楷体" w:hint="eastAsia"/>
          <w:color w:val="auto"/>
          <w:sz w:val="21"/>
          <w:szCs w:val="21"/>
          <w:highlight w:val="none"/>
        </w:rPr>
        <w:t xml:space="preserve">灾害、</w:t>
      </w:r>
      <w:r>
        <w:rPr>
          <w:rFonts w:ascii="楷体" w:eastAsia="楷体" w:hAnsi="楷体" w:hint="eastAsia"/>
          <w:sz w:val="21"/>
          <w:szCs w:val="21"/>
          <w:highlight w:val="none"/>
        </w:rPr>
        <w:t xml:space="preserve">疫情、严重传染病</w:t>
      </w:r>
      <w:r>
        <w:rPr>
          <w:rFonts w:ascii="楷体" w:eastAsia="楷体" w:hAnsi="楷体" w:hint="eastAsia"/>
          <w:sz w:val="21"/>
          <w:szCs w:val="21"/>
          <w:highlight w:val="none"/>
          <w:lang w:eastAsia="zh-CN"/>
        </w:rPr>
        <w:t xml:space="preserve">、</w:t>
      </w:r>
      <w:r>
        <w:rPr>
          <w:rFonts w:ascii="楷体" w:eastAsia="楷体" w:hAnsi="楷体" w:hint="eastAsia"/>
          <w:color w:val="auto"/>
          <w:sz w:val="21"/>
          <w:szCs w:val="21"/>
          <w:highlight w:val="none"/>
        </w:rPr>
        <w:t xml:space="preserve">金</w:t>
      </w:r>
      <w:r>
        <w:rPr>
          <w:rFonts w:ascii="楷体" w:eastAsia="楷体" w:hAnsi="楷体" w:hint="eastAsia"/>
          <w:color w:val="auto"/>
          <w:sz w:val="21"/>
          <w:szCs w:val="21"/>
        </w:rPr>
        <w:t xml:space="preserve">融市场危机、战争等不能预见、不能避免、不能克服的不可抗力因素，及/或系统故障、通讯故障、投资市场停止交易等意外事件非产品管理人所能控制的原因发生，可能对本理财产品的受理、成立、投资运作、资金返还、信息披露、公告通知等造成影响，甚至可能导致投资者的本金和收益可能遭受部分或全部的损失。对于由不可抗力及/或意外事件风险导致的任何损失，投资者须自行承担。</w:t>
      </w:r>
    </w:p>
    <w:p>
      <w:pPr>
        <w:numPr>
          <w:ilvl w:val="0"/>
          <w:numId w:val="5"/>
        </w:numPr>
        <w:tabs>
          <w:tab w:val="left" w:pos="993"/>
        </w:tabs>
        <w:ind w:left="0" w:firstLine="422" w:firstLineChars="200"/>
        <w:rPr>
          <w:rFonts w:ascii="楷体" w:eastAsia="楷体" w:hAnsi="楷体" w:cs="楷体" w:hint="eastAsia"/>
          <w:color w:val="auto"/>
          <w:sz w:val="21"/>
          <w:szCs w:val="21"/>
        </w:rPr>
      </w:pPr>
      <w:r>
        <w:rPr>
          <w:rFonts w:ascii="楷体" w:eastAsia="楷体" w:hAnsi="楷体" w:cs="楷体" w:hint="eastAsia"/>
          <w:b/>
          <w:bCs/>
          <w:color w:val="auto"/>
          <w:sz w:val="21"/>
          <w:szCs w:val="21"/>
        </w:rPr>
        <w:t xml:space="preserve">关联关系及关联交易风险</w:t>
      </w:r>
      <w:r>
        <w:rPr>
          <w:rFonts w:ascii="楷体" w:eastAsia="楷体" w:hAnsi="楷体" w:cs="楷体" w:hint="eastAsia"/>
          <w:color w:val="auto"/>
          <w:sz w:val="21"/>
          <w:szCs w:val="21"/>
        </w:rPr>
        <w:t xml:space="preserve">：本理财产品由</w:t>
      </w:r>
      <w:r>
        <w:rPr>
          <w:rFonts w:ascii="楷体" w:eastAsia="楷体" w:hAnsi="楷体" w:cs="楷体" w:hint="eastAsia"/>
          <w:color w:val="auto"/>
          <w:sz w:val="21"/>
          <w:szCs w:val="21"/>
          <w:lang w:val="en-US" w:eastAsia="zh-CN"/>
        </w:rPr>
        <w:t xml:space="preserve">苏银</w:t>
      </w:r>
      <w:r>
        <w:rPr>
          <w:rFonts w:ascii="楷体" w:eastAsia="楷体" w:hAnsi="楷体" w:cs="楷体" w:hint="eastAsia"/>
          <w:color w:val="auto"/>
          <w:sz w:val="21"/>
          <w:szCs w:val="21"/>
        </w:rPr>
        <w:t xml:space="preserve">理财发行并作为管理人，独立履行产品管理职责，</w:t>
      </w:r>
      <w:r>
        <w:rPr>
          <w:rFonts w:ascii="楷体" w:eastAsia="楷体" w:hAnsi="楷体" w:cs="楷体" w:hint="eastAsia"/>
          <w:color w:val="auto"/>
          <w:sz w:val="21"/>
          <w:szCs w:val="21"/>
          <w:lang w:val="en-US" w:eastAsia="zh-CN"/>
        </w:rPr>
        <w:t xml:space="preserve">苏银</w:t>
      </w:r>
      <w:r>
        <w:rPr>
          <w:rFonts w:ascii="楷体" w:eastAsia="楷体" w:hAnsi="楷体" w:cs="楷体" w:hint="eastAsia"/>
          <w:color w:val="auto"/>
          <w:sz w:val="21"/>
          <w:szCs w:val="21"/>
        </w:rPr>
        <w:t xml:space="preserve">理财委托销售机构销售理财产品的，可能涉及委托</w:t>
      </w:r>
      <w:r>
        <w:rPr>
          <w:rFonts w:ascii="楷体" w:eastAsia="楷体" w:hAnsi="楷体" w:cs="楷体" w:hint="eastAsia"/>
          <w:color w:val="auto"/>
          <w:sz w:val="21"/>
          <w:szCs w:val="21"/>
          <w:lang w:val="en-US" w:eastAsia="zh-CN"/>
        </w:rPr>
        <w:t xml:space="preserve">江苏</w:t>
      </w:r>
      <w:r>
        <w:rPr>
          <w:rFonts w:ascii="楷体" w:eastAsia="楷体" w:hAnsi="楷体" w:cs="楷体" w:hint="eastAsia"/>
          <w:color w:val="auto"/>
          <w:sz w:val="21"/>
          <w:szCs w:val="21"/>
        </w:rPr>
        <w:t xml:space="preserve">银行股份有限公司（以下简称“</w:t>
      </w:r>
      <w:r>
        <w:rPr>
          <w:rFonts w:ascii="楷体" w:eastAsia="楷体" w:hAnsi="楷体" w:cs="楷体" w:hint="eastAsia"/>
          <w:color w:val="auto"/>
          <w:sz w:val="21"/>
          <w:szCs w:val="21"/>
          <w:lang w:val="en-US" w:eastAsia="zh-CN"/>
        </w:rPr>
        <w:t xml:space="preserve">江苏</w:t>
      </w:r>
      <w:r>
        <w:rPr>
          <w:rFonts w:ascii="楷体" w:eastAsia="楷体" w:hAnsi="楷体" w:cs="楷体" w:hint="eastAsia"/>
          <w:color w:val="auto"/>
          <w:sz w:val="21"/>
          <w:szCs w:val="21"/>
        </w:rPr>
        <w:t xml:space="preserve">银行”）作为理财产品的销售机构，负责理财产品的代理销售工作。</w:t>
      </w:r>
      <w:r>
        <w:rPr>
          <w:rFonts w:ascii="楷体" w:eastAsia="楷体" w:hAnsi="楷体" w:cs="楷体" w:hint="eastAsia"/>
          <w:color w:val="auto"/>
          <w:sz w:val="21"/>
          <w:szCs w:val="21"/>
          <w:lang w:val="en-US" w:eastAsia="zh-CN"/>
        </w:rPr>
        <w:t xml:space="preserve">苏银</w:t>
      </w:r>
      <w:r>
        <w:rPr>
          <w:rFonts w:ascii="楷体" w:eastAsia="楷体" w:hAnsi="楷体" w:cs="楷体" w:hint="eastAsia"/>
          <w:color w:val="auto"/>
          <w:sz w:val="21"/>
          <w:szCs w:val="21"/>
        </w:rPr>
        <w:t xml:space="preserve">理财是</w:t>
      </w:r>
      <w:r>
        <w:rPr>
          <w:rFonts w:ascii="楷体" w:eastAsia="楷体" w:hAnsi="楷体" w:cs="楷体" w:hint="eastAsia"/>
          <w:color w:val="auto"/>
          <w:sz w:val="21"/>
          <w:szCs w:val="21"/>
          <w:lang w:val="en-US" w:eastAsia="zh-CN"/>
        </w:rPr>
        <w:t xml:space="preserve">江苏</w:t>
      </w:r>
      <w:r>
        <w:rPr>
          <w:rFonts w:ascii="楷体" w:eastAsia="楷体" w:hAnsi="楷体" w:cs="楷体" w:hint="eastAsia"/>
          <w:color w:val="auto"/>
          <w:sz w:val="21"/>
          <w:szCs w:val="21"/>
        </w:rPr>
        <w:t xml:space="preserve">银行控股的子公司，二者互为关联方，可能出现关联交易行为。</w:t>
      </w:r>
      <w:r>
        <w:rPr>
          <w:rFonts w:ascii="楷体" w:eastAsia="楷体" w:hAnsi="楷体" w:cs="楷体" w:hint="eastAsia"/>
          <w:color w:val="auto"/>
          <w:sz w:val="21"/>
          <w:szCs w:val="21"/>
          <w:lang w:val="en-US" w:eastAsia="zh-CN"/>
        </w:rPr>
        <w:t xml:space="preserve">苏银</w:t>
      </w:r>
      <w:r>
        <w:rPr>
          <w:rFonts w:ascii="楷体" w:eastAsia="楷体" w:hAnsi="楷体" w:cs="楷体" w:hint="eastAsia"/>
          <w:color w:val="auto"/>
          <w:sz w:val="21"/>
          <w:szCs w:val="21"/>
        </w:rPr>
        <w:t xml:space="preserve">理财将严格遵守法律、行政法规和金融监督管理部门的规定对关联方进行准确识别，按规定及时进行审批、备案并进行充分披露，不会以本理财产品与关联方进行不正当交易、利益输送等违反相关监管规定的行为，以尽力降低关联交易风险，但仍存在无法完全排除关联交易的可能而导致影响投资者收益的风险。</w:t>
      </w:r>
    </w:p>
    <w:p>
      <w:pPr>
        <w:numPr>
          <w:ilvl w:val="0"/>
          <w:numId w:val="5"/>
        </w:numPr>
        <w:tabs>
          <w:tab w:val="left" w:pos="993"/>
        </w:tabs>
        <w:ind w:left="0" w:firstLine="422" w:firstLineChars="200"/>
        <w:rPr>
          <w:rFonts w:ascii="楷体" w:eastAsia="楷体" w:hAnsi="楷体" w:cs="楷体" w:hint="eastAsia"/>
          <w:b/>
          <w:color w:val="auto"/>
          <w:sz w:val="21"/>
          <w:szCs w:val="21"/>
        </w:rPr>
      </w:pPr>
      <w:r>
        <w:rPr>
          <w:rFonts w:ascii="楷体" w:eastAsia="楷体" w:hAnsi="楷体" w:cs="楷体" w:hint="eastAsia"/>
          <w:b/>
          <w:color w:val="auto"/>
          <w:sz w:val="21"/>
          <w:szCs w:val="21"/>
        </w:rPr>
        <w:t xml:space="preserve">特定投资标的风险：</w:t>
      </w:r>
    </w:p>
    <w:p>
      <w:pPr>
        <w:pStyle w:val="Normal(Web)"/>
        <w:spacing w:before="0" w:beforeAutospacing="0" w:after="0" w:afterAutospacing="0"/>
        <w:ind w:firstLine="420" w:firstLineChars="200"/>
        <w:jc w:val="both"/>
        <w:rPr>
          <w:rFonts w:ascii="楷体" w:eastAsia="楷体" w:hAnsi="楷体" w:cs="楷体" w:hint="eastAsia"/>
          <w:b/>
          <w:color w:val="auto"/>
          <w:sz w:val="21"/>
          <w:szCs w:val="21"/>
          <w:u w:val="single"/>
        </w:rPr>
      </w:pPr>
      <w:r>
        <w:rPr>
          <w:rFonts w:ascii="楷体" w:eastAsia="楷体" w:hAnsi="楷体" w:cs="楷体"/>
          <w:color w:val="000000"/>
          <w:sz w:val="21"/>
          <w:szCs w:val="21"/>
        </w:rPr>
        <w:t xml:space="preserve">1.债券投资的特殊风险：</w:t>
      </w:r>
    </w:p>
    <w:p>
      <w:pPr>
        <w:pStyle w:val="Normal(Web)"/>
        <w:spacing w:before="0" w:beforeAutospacing="0" w:after="0" w:afterAutospacing="0"/>
        <w:ind w:firstLine="420" w:firstLineChars="200"/>
        <w:jc w:val="both"/>
        <w:rPr>
          <w:rFonts w:ascii="楷体" w:eastAsia="楷体" w:hAnsi="楷体" w:cs="楷体" w:hint="eastAsia"/>
          <w:b/>
          <w:color w:val="auto"/>
          <w:sz w:val="21"/>
          <w:szCs w:val="21"/>
          <w:u w:val="single"/>
        </w:rPr>
      </w:pPr>
      <w:r>
        <w:rPr>
          <w:rFonts w:ascii="楷体" w:eastAsia="楷体" w:hAnsi="楷体" w:cs="楷体"/>
          <w:color w:val="000000"/>
          <w:sz w:val="21"/>
          <w:szCs w:val="21"/>
        </w:rPr>
        <w:t xml:space="preserve">①市场平均利率水平变化导致债券价格变化的风险。②债券市场不同期限、不同类别债券之间的利差变动导致相应期限和类别债券价格变化的风险。③债券的发行人的经营状况受到多种因素影响，如管理能力、财务状况、市场前景、行业竞争能力、技术更新、研究开发、人员素质等，都会导致发行人盈利发生变化，可能导致债券市场价格下跌或无法按时偿付本息，从而影响理财产品收益水平。④债券发行人、担保人出现违约拒绝支付到期本息，或由于债券发行人、担保人信用质量降低导致债券价格下降及无法收回投资收益的风险。⑤与信用等级较高的债券相比，投资于信用等级较低的债券将因为发行主体的偿还债务能力略低、受不利经济环境的影响更大以及违约风险更高等原因而面临更大的投资风险。⑥相对于其他公开发行的债券，非公开定向债务融资工具、非公开发行公司债的流动性较差，其流通和转让均存在一定的限制，因此投资于非公开定向债务融资工具将面临较大的投资风险。</w:t>
      </w:r>
    </w:p>
    <w:p>
      <w:pPr>
        <w:pStyle w:val="Normal(Web)"/>
        <w:spacing w:before="0" w:beforeAutospacing="0" w:after="0" w:afterAutospacing="0"/>
        <w:ind w:firstLine="420" w:firstLineChars="200"/>
        <w:jc w:val="both"/>
        <w:rPr>
          <w:rFonts w:ascii="楷体" w:eastAsia="楷体" w:hAnsi="楷体" w:cs="楷体" w:hint="eastAsia"/>
          <w:b/>
          <w:color w:val="auto"/>
          <w:sz w:val="21"/>
          <w:szCs w:val="21"/>
          <w:u w:val="single"/>
        </w:rPr>
      </w:pPr>
      <w:r>
        <w:rPr>
          <w:rFonts w:ascii="楷体" w:eastAsia="楷体" w:hAnsi="楷体" w:cs="楷体"/>
          <w:color w:val="000000"/>
          <w:sz w:val="21"/>
          <w:szCs w:val="21"/>
        </w:rPr>
        <w:t xml:space="preserve">2.资产管理计划或基金产品的特殊风险：</w:t>
      </w:r>
    </w:p>
    <w:p>
      <w:pPr>
        <w:pStyle w:val="Normal(Web)"/>
        <w:spacing w:before="0" w:beforeAutospacing="0" w:after="0" w:afterAutospacing="0"/>
        <w:ind w:firstLine="420" w:firstLineChars="200"/>
        <w:jc w:val="both"/>
        <w:rPr>
          <w:rFonts w:ascii="楷体" w:eastAsia="楷体" w:hAnsi="楷体" w:cs="楷体" w:hint="eastAsia"/>
          <w:b/>
          <w:color w:val="auto"/>
          <w:sz w:val="21"/>
          <w:szCs w:val="21"/>
          <w:u w:val="single"/>
        </w:rPr>
      </w:pPr>
      <w:r>
        <w:rPr>
          <w:rFonts w:ascii="楷体" w:eastAsia="楷体" w:hAnsi="楷体" w:cs="楷体"/>
          <w:color w:val="000000"/>
          <w:sz w:val="21"/>
          <w:szCs w:val="21"/>
        </w:rPr>
        <w:t xml:space="preserve">①如本理财产品投资于资产管理计划或基金产品，可能因相关资产管理计划或基金的管理人违法违规、未尽资产管理计划或基金的管理人职责或发生其他情形，造成本理财产品所投资的资管计划产品或基金产品的财产损失，进而引起本理财产品的损失。②资产管理计划或基金产品可能出现因为某种原因而被提前终止的情况，由此可能会造成对本理财产品投资收益的影响。③因本理财产品的管理人无法对所投资的资产管理计划或基金产品进行投资决策，或相关资产管理计划或基金产品的管理人可能不执行或不能及时、准确地执行本理财产品管理人的指令，或未经本理财产品同意将本理财产品交付的资金运用于违反相关销售文件约定的投资范围，导致本理财产品项下委托财产的损失等风险。</w:t>
      </w:r>
    </w:p>
    <w:p>
      <w:pPr>
        <w:pStyle w:val="Normal(Web)"/>
        <w:spacing w:before="0" w:beforeAutospacing="0" w:after="0" w:afterAutospacing="0"/>
        <w:ind w:firstLine="420" w:firstLineChars="200"/>
        <w:jc w:val="both"/>
        <w:rPr>
          <w:rFonts w:ascii="楷体" w:eastAsia="楷体" w:hAnsi="楷体" w:cs="楷体" w:hint="eastAsia"/>
          <w:b/>
          <w:color w:val="auto"/>
          <w:sz w:val="21"/>
          <w:szCs w:val="21"/>
          <w:u w:val="single"/>
        </w:rPr>
      </w:pPr>
      <w:r>
        <w:rPr>
          <w:rFonts w:ascii="楷体" w:eastAsia="楷体" w:hAnsi="楷体" w:cs="楷体" w:hint="eastAsia"/>
          <w:b/>
          <w:color w:val="auto"/>
          <w:sz w:val="21"/>
          <w:szCs w:val="21"/>
          <w:u w:val="single"/>
        </w:rPr>
        <w:t xml:space="preserve">上述风险揭示事项仅为列举性质，未能详尽列明投资者参与本理财产品所面临的全部风险和可能导致投资者资产损失的所有因素。在您选择购买理财产品前，请仔细阅读本理财产品完整销售文件（包括《风险揭示书》、《理财产品说明书》、《理财产品投资协议书》、《投资者权益须知》、《理财产品（代理）销售协议书》），同时向销售机构了解本理财产品的其他相关信息，并自己</w:t>
      </w:r>
      <w:r>
        <w:rPr>
          <w:rFonts w:ascii="楷体" w:eastAsia="楷体" w:hAnsi="楷体" w:cs="楷体" w:hint="eastAsia"/>
          <w:b/>
          <w:color w:val="auto"/>
          <w:sz w:val="21"/>
          <w:szCs w:val="21"/>
          <w:u w:val="single"/>
          <w:lang w:val="en-US" w:eastAsia="zh-CN"/>
        </w:rPr>
        <w:t xml:space="preserve">独立做出</w:t>
      </w:r>
      <w:r>
        <w:rPr>
          <w:rFonts w:ascii="楷体" w:eastAsia="楷体" w:hAnsi="楷体" w:cs="楷体" w:hint="eastAsia"/>
          <w:b/>
          <w:color w:val="auto"/>
          <w:sz w:val="21"/>
          <w:szCs w:val="21"/>
          <w:u w:val="single"/>
        </w:rPr>
        <w:t xml:space="preserve">是否认购本理财产品的决定。您签署本理财产品销售文件并将资金委托给苏银理财运作是您真实的意思表示。</w:t>
      </w:r>
    </w:p>
    <w:p>
      <w:pPr>
        <w:numPr>
          <w:ilvl w:val="0"/>
          <w:numId w:val="4"/>
        </w:numPr>
        <w:tabs>
          <w:tab w:val="left" w:pos="1134"/>
        </w:tabs>
        <w:ind w:left="0" w:firstLine="482" w:firstLineChars="200"/>
        <w:rPr>
          <w:rFonts w:ascii="楷体" w:eastAsia="楷体" w:hAnsi="楷体" w:cs="楷体" w:hint="eastAsia"/>
          <w:b/>
          <w:color w:val="auto"/>
          <w:sz w:val="24"/>
          <w:szCs w:val="24"/>
        </w:rPr>
      </w:pPr>
      <w:r>
        <w:rPr>
          <w:rFonts w:ascii="楷体" w:eastAsia="楷体" w:hAnsi="楷体" w:cs="楷体" w:hint="eastAsia"/>
          <w:b/>
          <w:color w:val="auto"/>
          <w:sz w:val="24"/>
          <w:szCs w:val="24"/>
        </w:rPr>
        <w:t xml:space="preserve">投资者提示</w:t>
      </w:r>
    </w:p>
    <w:p>
      <w:pPr>
        <w:numPr>
          <w:ilvl w:val="0"/>
          <w:numId w:val="3"/>
        </w:numPr>
        <w:tabs>
          <w:tab w:val="left" w:pos="742"/>
        </w:tabs>
        <w:ind w:left="0" w:firstLine="422" w:firstLineChars="200"/>
        <w:rPr>
          <w:rFonts w:ascii="楷体" w:eastAsia="楷体" w:hAnsi="楷体" w:cs="楷体" w:hint="eastAsia"/>
          <w:b/>
          <w:color w:val="auto"/>
          <w:sz w:val="21"/>
          <w:szCs w:val="21"/>
          <w:u w:val="single"/>
        </w:rPr>
      </w:pPr>
      <w:r>
        <w:rPr>
          <w:rFonts w:ascii="楷体" w:eastAsia="楷体" w:hAnsi="楷体" w:cs="楷体" w:hint="eastAsia"/>
          <w:b/>
          <w:color w:val="auto"/>
          <w:sz w:val="21"/>
          <w:szCs w:val="21"/>
          <w:u w:val="single"/>
        </w:rPr>
        <w:t xml:space="preserve">本理财产品不保证本金及收益，您的本金可能因市场变动或者交易违约等事项而蒙受相应损失，</w:t>
      </w:r>
      <w:r>
        <w:rPr>
          <w:rFonts w:ascii="楷体" w:eastAsia="楷体" w:hAnsi="楷体" w:cs="楷体" w:hint="eastAsia"/>
          <w:b/>
          <w:bCs/>
          <w:color w:val="auto"/>
          <w:sz w:val="21"/>
          <w:szCs w:val="21"/>
          <w:u w:val="single"/>
        </w:rPr>
        <w:t xml:space="preserve">在最不利的情况下甚至可能损失全部本金。</w:t>
      </w:r>
      <w:r>
        <w:rPr>
          <w:rFonts w:ascii="楷体" w:eastAsia="楷体" w:hAnsi="楷体" w:cs="楷体" w:hint="eastAsia"/>
          <w:b/>
          <w:color w:val="auto"/>
          <w:sz w:val="21"/>
          <w:szCs w:val="21"/>
          <w:u w:val="single"/>
        </w:rPr>
        <w:t xml:space="preserve">投资者应充分认识投资风险，谨慎投资。</w:t>
      </w:r>
    </w:p>
    <w:p>
      <w:pPr>
        <w:numPr>
          <w:ilvl w:val="0"/>
          <w:numId w:val="0"/>
        </w:numPr>
        <w:tabs>
          <w:tab w:val="left" w:pos="742"/>
        </w:tabs>
        <w:ind w:left="0" w:firstLine="420" w:leftChars="0" w:firstLineChars="200"/>
        <w:rPr>
          <w:rFonts w:ascii="楷体" w:eastAsia="楷体" w:hAnsi="楷体" w:cs="楷体" w:hint="eastAsia"/>
          <w:color w:val="auto"/>
          <w:sz w:val="21"/>
          <w:szCs w:val="21"/>
        </w:rPr>
      </w:pPr>
      <w:r>
        <w:rPr>
          <w:rFonts w:ascii="楷体" w:eastAsia="楷体" w:hAnsi="楷体" w:cs="楷体" w:hint="eastAsia"/>
          <w:color w:val="auto"/>
          <w:sz w:val="21"/>
          <w:szCs w:val="21"/>
        </w:rPr>
        <w:t xml:space="preserve">示例：如投资者购买本理财产品，本金为1万元，在理财产品资产组合项下资产全部亏损的最不利情况下，理财产品1万元本金将全部损失。</w:t>
      </w:r>
    </w:p>
    <w:p>
      <w:pPr>
        <w:numPr>
          <w:ilvl w:val="0"/>
          <w:numId w:val="3"/>
        </w:numPr>
        <w:tabs>
          <w:tab w:val="left" w:pos="742"/>
        </w:tabs>
        <w:ind w:left="0" w:firstLine="422" w:firstLineChars="200"/>
        <w:rPr>
          <w:rFonts w:ascii="楷体" w:eastAsia="楷体" w:hAnsi="楷体" w:cs="楷体" w:hint="eastAsia"/>
          <w:b/>
          <w:color w:val="auto"/>
          <w:sz w:val="21"/>
          <w:szCs w:val="21"/>
          <w:u w:val="single"/>
        </w:rPr>
      </w:pPr>
      <w:r>
        <w:rPr>
          <w:rFonts w:ascii="楷体" w:eastAsia="楷体" w:hAnsi="楷体" w:cs="楷体" w:hint="eastAsia"/>
          <w:b/>
          <w:color w:val="auto"/>
          <w:sz w:val="21"/>
          <w:szCs w:val="21"/>
          <w:u w:val="single"/>
        </w:rPr>
        <w:t xml:space="preserve">本理财产品过往业绩不代表其未来表现，不等于理财产品实际收益。理财非存款、产品有风险、投资须谨慎。</w:t>
      </w:r>
    </w:p>
    <w:p>
      <w:pPr>
        <w:numPr>
          <w:ilvl w:val="0"/>
          <w:numId w:val="3"/>
        </w:numPr>
        <w:tabs>
          <w:tab w:val="left" w:pos="742"/>
        </w:tabs>
        <w:ind w:left="0" w:firstLine="420" w:firstLineChars="200"/>
        <w:rPr>
          <w:rFonts w:ascii="楷体" w:eastAsia="楷体" w:hAnsi="楷体" w:cs="楷体" w:hint="eastAsia"/>
          <w:color w:val="auto"/>
          <w:sz w:val="21"/>
          <w:szCs w:val="21"/>
          <w:highlight w:val="none"/>
        </w:rPr>
      </w:pPr>
      <w:r>
        <w:rPr>
          <w:rFonts w:ascii="楷体" w:eastAsia="楷体" w:hAnsi="楷体" w:cs="楷体" w:hint="eastAsia"/>
          <w:color w:val="auto"/>
          <w:sz w:val="21"/>
          <w:szCs w:val="21"/>
          <w:highlight w:val="none"/>
        </w:rPr>
        <w:t xml:space="preserve">本理财产品类型为</w:t>
      </w:r>
      <w:r>
        <w:rPr>
          <w:rFonts w:ascii="楷体" w:eastAsia="楷体" w:hAnsi="楷体" w:cs="楷体"/>
          <w:b/>
          <w:bCs/>
          <w:color w:val="000000"/>
          <w:sz w:val="21"/>
          <w:szCs w:val="21"/>
          <w:u w:val="single"/>
        </w:rPr>
        <w:t xml:space="preserve">固定收益类、公募、封闭式</w:t>
      </w:r>
      <w:r>
        <w:rPr>
          <w:rFonts w:ascii="楷体" w:eastAsia="楷体" w:hAnsi="楷体" w:cs="楷体" w:hint="eastAsia"/>
          <w:b/>
          <w:color w:val="auto"/>
          <w:sz w:val="21"/>
          <w:szCs w:val="21"/>
          <w:highlight w:val="none"/>
          <w:u w:val="single"/>
          <w:lang w:val="en-US" w:eastAsia="zh-CN"/>
        </w:rPr>
        <w:t xml:space="preserve">，计划存续期限为196天。</w:t>
      </w:r>
      <w:r>
        <w:rPr>
          <w:rFonts w:ascii="楷体" w:eastAsia="楷体" w:hAnsi="楷体" w:cs="楷体" w:hint="eastAsia"/>
          <w:color w:val="auto"/>
          <w:sz w:val="21"/>
          <w:szCs w:val="21"/>
          <w:highlight w:val="none"/>
        </w:rPr>
        <w:t xml:space="preserve">产品管理人对本理财产品的内部风险评级为</w:t>
      </w:r>
      <w:r>
        <w:rPr>
          <w:rFonts w:ascii="楷体" w:eastAsia="楷体" w:hAnsi="楷体" w:cs="楷体"/>
          <w:b/>
          <w:bCs/>
          <w:color w:val="000000"/>
          <w:sz w:val="21"/>
          <w:szCs w:val="21"/>
          <w:u w:val="single"/>
        </w:rPr>
        <w:t xml:space="preserve">★★二级</w:t>
      </w:r>
      <w:r>
        <w:rPr>
          <w:rFonts w:ascii="楷体" w:eastAsia="楷体" w:hAnsi="楷体" w:cs="楷体" w:hint="eastAsia"/>
          <w:b/>
          <w:color w:val="auto"/>
          <w:sz w:val="21"/>
          <w:szCs w:val="21"/>
          <w:highlight w:val="none"/>
          <w:u w:val="single"/>
        </w:rPr>
        <w:t xml:space="preserve">，适合</w:t>
      </w:r>
      <w:r>
        <w:rPr>
          <w:rFonts w:ascii="楷体" w:eastAsia="楷体" w:hAnsi="楷体" w:cs="楷体"/>
          <w:b/>
          <w:bCs/>
          <w:color w:val="000000"/>
          <w:sz w:val="21"/>
          <w:szCs w:val="21"/>
          <w:u w:val="single"/>
        </w:rPr>
        <w:t xml:space="preserve">中低风险型</w:t>
      </w:r>
      <w:r>
        <w:rPr>
          <w:rFonts w:ascii="楷体" w:eastAsia="楷体" w:hAnsi="楷体" w:cs="楷体" w:hint="eastAsia"/>
          <w:b/>
          <w:color w:val="auto"/>
          <w:sz w:val="21"/>
          <w:szCs w:val="21"/>
          <w:highlight w:val="none"/>
          <w:u w:val="single"/>
        </w:rPr>
        <w:t xml:space="preserve">投资者</w:t>
      </w:r>
      <w:r>
        <w:rPr>
          <w:rFonts w:ascii="楷体" w:eastAsia="楷体" w:hAnsi="楷体" w:cs="楷体" w:hint="eastAsia"/>
          <w:color w:val="auto"/>
          <w:sz w:val="21"/>
          <w:szCs w:val="21"/>
          <w:highlight w:val="none"/>
          <w:u w:val="single"/>
        </w:rPr>
        <w:t xml:space="preserve">。</w:t>
      </w:r>
      <w:r>
        <w:rPr>
          <w:rFonts w:ascii="楷体" w:eastAsia="楷体" w:hAnsi="楷体" w:cs="楷体" w:hint="eastAsia"/>
          <w:b/>
          <w:color w:val="auto"/>
          <w:sz w:val="21"/>
          <w:szCs w:val="21"/>
          <w:highlight w:val="none"/>
          <w:u w:val="single"/>
        </w:rPr>
        <w:t xml:space="preserve">如本产品通过代理销售机构渠道销售，理财产品评级以代理销售机构最终披露的评级结果为准。</w:t>
      </w:r>
    </w:p>
    <w:p>
      <w:pPr>
        <w:numPr>
          <w:ilvl w:val="0"/>
          <w:numId w:val="3"/>
        </w:numPr>
        <w:tabs>
          <w:tab w:val="left" w:pos="742"/>
        </w:tabs>
        <w:ind w:left="0" w:firstLine="420" w:firstLineChars="200"/>
        <w:rPr>
          <w:rFonts w:ascii="楷体" w:eastAsia="楷体" w:hAnsi="楷体" w:cs="楷体" w:hint="eastAsia"/>
          <w:color w:val="auto"/>
          <w:sz w:val="21"/>
          <w:szCs w:val="21"/>
        </w:rPr>
      </w:pPr>
      <w:r>
        <w:rPr>
          <w:rFonts w:ascii="楷体" w:eastAsia="楷体" w:hAnsi="楷体" w:cs="楷体" w:hint="eastAsia"/>
          <w:color w:val="auto"/>
          <w:sz w:val="21"/>
          <w:szCs w:val="21"/>
        </w:rPr>
        <w:t xml:space="preserve">本产品销售工作及投资者适当性评估由销售机构负责。销售机构应确保普通投资者的风险承受能力等级不低于本产品风险评级。若普通投资者风险承受能力评估已超过一年，或影响风险承受能力的因素发生变化，请及时完成风险承受能力的重新评估，并对评估结果签字确认。</w:t>
      </w:r>
    </w:p>
    <w:p>
      <w:pPr>
        <w:pStyle w:val="Normal(Web)"/>
        <w:numPr>
          <w:ilvl w:val="0"/>
          <w:numId w:val="0"/>
        </w:numPr>
        <w:spacing w:before="0" w:beforeAutospacing="0" w:after="0" w:afterAutospacing="0" w:line="360" w:lineRule="auto"/>
        <w:ind w:left="0" w:firstLine="0"/>
        <w:jc w:val="right"/>
        <w:rPr>
          <w:rFonts w:ascii="楷体" w:eastAsia="楷体" w:hAnsi="楷体" w:cs="楷体" w:hint="eastAsia"/>
          <w:b/>
          <w:color w:val="auto"/>
          <w:sz w:val="21"/>
          <w:szCs w:val="21"/>
        </w:rPr>
      </w:pPr>
      <w:r>
        <w:rPr>
          <w:rFonts w:ascii="楷体" w:eastAsia="楷体" w:hAnsi="楷体" w:cs="楷体" w:hint="eastAsia"/>
          <w:b/>
          <w:color w:val="auto"/>
          <w:sz w:val="21"/>
          <w:szCs w:val="21"/>
        </w:rPr>
        <w:t xml:space="preserve">风险揭示方：苏银理财有限责任公司</w:t>
      </w:r>
    </w:p>
    <w:p>
      <w:pPr>
        <w:rPr>
          <w:rFonts w:ascii="楷体" w:eastAsia="楷体" w:hAnsi="楷体" w:cs="楷体" w:hint="eastAsia"/>
          <w:b/>
          <w:color w:val="auto"/>
          <w:sz w:val="28"/>
          <w:szCs w:val="28"/>
        </w:rPr>
      </w:pPr>
      <w:r>
        <w:br w:type="page"/>
      </w:r>
    </w:p>
    <w:p>
      <w:pPr>
        <w:pStyle w:val="Normal(Web)"/>
        <w:numPr>
          <w:ilvl w:val="0"/>
          <w:numId w:val="0"/>
        </w:numPr>
        <w:spacing w:before="0" w:beforeAutospacing="0" w:after="0" w:afterAutospacing="0" w:line="360" w:lineRule="auto"/>
        <w:ind w:left="0" w:firstLine="0"/>
        <w:jc w:val="center"/>
        <w:rPr>
          <w:rFonts w:ascii="楷体" w:eastAsia="楷体" w:hAnsi="楷体" w:hint="eastAsia"/>
          <w:b/>
          <w:color w:val="auto"/>
          <w:sz w:val="28"/>
          <w:szCs w:val="28"/>
        </w:rPr>
      </w:pPr>
      <w:r>
        <w:rPr>
          <w:rFonts w:ascii="楷体" w:eastAsia="楷体" w:hAnsi="楷体" w:hint="eastAsia"/>
          <w:b/>
          <w:color w:val="auto"/>
          <w:sz w:val="28"/>
          <w:szCs w:val="28"/>
        </w:rPr>
        <w:t xml:space="preserve">投资者风险确认函</w:t>
      </w:r>
    </w:p>
    <w:p>
      <w:pPr>
        <w:ind w:firstLine="420" w:firstLineChars="200"/>
        <w:rPr>
          <w:rFonts w:ascii="楷体" w:eastAsia="楷体" w:hAnsi="楷体" w:hint="eastAsia"/>
          <w:color w:val="auto"/>
          <w:sz w:val="21"/>
          <w:szCs w:val="21"/>
        </w:rPr>
      </w:pPr>
      <w:r>
        <w:rPr>
          <w:rFonts w:ascii="楷体" w:eastAsia="楷体" w:hAnsi="楷体"/>
          <w:color w:val="auto"/>
          <w:sz w:val="21"/>
          <w:szCs w:val="21"/>
        </w:rPr>
        <w:t xml:space="preserve">投资决策系由</w:t>
      </w:r>
      <w:r>
        <w:rPr>
          <w:rFonts w:ascii="楷体" w:eastAsia="楷体" w:hAnsi="楷体" w:hint="eastAsia"/>
          <w:color w:val="auto"/>
          <w:sz w:val="21"/>
          <w:szCs w:val="21"/>
          <w:lang w:val="en-US" w:eastAsia="zh-CN"/>
        </w:rPr>
        <w:t xml:space="preserve">本人/</w:t>
      </w:r>
      <w:r>
        <w:rPr>
          <w:rFonts w:ascii="楷体" w:eastAsia="楷体" w:hAnsi="楷体"/>
          <w:color w:val="auto"/>
          <w:sz w:val="21"/>
          <w:szCs w:val="21"/>
        </w:rPr>
        <w:t xml:space="preserve">本</w:t>
      </w:r>
      <w:r>
        <w:rPr>
          <w:rFonts w:ascii="楷体" w:eastAsia="楷体" w:hAnsi="楷体" w:hint="eastAsia"/>
          <w:color w:val="auto"/>
          <w:sz w:val="21"/>
          <w:szCs w:val="21"/>
        </w:rPr>
        <w:t xml:space="preserve">机构</w:t>
      </w:r>
      <w:r>
        <w:rPr>
          <w:rFonts w:ascii="楷体" w:eastAsia="楷体" w:hAnsi="楷体"/>
          <w:color w:val="auto"/>
          <w:sz w:val="21"/>
          <w:szCs w:val="21"/>
        </w:rPr>
        <w:t xml:space="preserve">独立、自主、谨慎做出，</w:t>
      </w:r>
      <w:r>
        <w:rPr>
          <w:rFonts w:ascii="楷体" w:eastAsia="楷体" w:hAnsi="楷体" w:hint="eastAsia"/>
          <w:color w:val="auto"/>
          <w:sz w:val="21"/>
          <w:szCs w:val="21"/>
          <w:lang w:val="en-US" w:eastAsia="zh-CN"/>
        </w:rPr>
        <w:t xml:space="preserve">本人/</w:t>
      </w:r>
      <w:r>
        <w:rPr>
          <w:rFonts w:ascii="楷体" w:eastAsia="楷体" w:hAnsi="楷体"/>
          <w:color w:val="auto"/>
          <w:sz w:val="21"/>
          <w:szCs w:val="21"/>
        </w:rPr>
        <w:t xml:space="preserve">本</w:t>
      </w:r>
      <w:r>
        <w:rPr>
          <w:rFonts w:ascii="楷体" w:eastAsia="楷体" w:hAnsi="楷体" w:hint="eastAsia"/>
          <w:color w:val="auto"/>
          <w:sz w:val="21"/>
          <w:szCs w:val="21"/>
        </w:rPr>
        <w:t xml:space="preserve">机构确认已经收到本理财产品的风险揭示书，且已经认真阅读本理财产品完整</w:t>
      </w:r>
      <w:r>
        <w:rPr>
          <w:rFonts w:ascii="楷体" w:eastAsia="楷体" w:hAnsi="楷体" w:hint="eastAsia"/>
          <w:color w:val="auto"/>
          <w:sz w:val="21"/>
          <w:szCs w:val="21"/>
          <w:lang w:val="en-US" w:eastAsia="zh-CN"/>
        </w:rPr>
        <w:t xml:space="preserve">销售文件</w:t>
      </w:r>
      <w:r>
        <w:rPr>
          <w:rFonts w:ascii="楷体" w:eastAsia="楷体" w:hAnsi="楷体" w:hint="eastAsia"/>
          <w:color w:val="auto"/>
          <w:sz w:val="21"/>
          <w:szCs w:val="21"/>
        </w:rPr>
        <w:t xml:space="preserve">（包括《风险揭示书》、《理财产品说明书》、《理财产品投资协议书》、《投资者权益须知》、《理财产品（代理）销售协议书》），充分了解并清楚知晓理财产品的风险，愿意承担相关风险，接受本理财产品</w:t>
      </w:r>
      <w:r>
        <w:rPr>
          <w:rFonts w:ascii="楷体" w:eastAsia="楷体" w:hAnsi="楷体" w:hint="eastAsia"/>
          <w:color w:val="auto"/>
          <w:sz w:val="21"/>
          <w:szCs w:val="21"/>
          <w:lang w:val="en-US" w:eastAsia="zh-CN"/>
        </w:rPr>
        <w:t xml:space="preserve">销售文件</w:t>
      </w:r>
      <w:r>
        <w:rPr>
          <w:rFonts w:ascii="楷体" w:eastAsia="楷体" w:hAnsi="楷体" w:hint="eastAsia"/>
          <w:color w:val="auto"/>
          <w:sz w:val="21"/>
          <w:szCs w:val="21"/>
        </w:rPr>
        <w:t xml:space="preserve">全部约定。</w:t>
      </w:r>
      <w:r>
        <w:rPr>
          <w:rFonts w:ascii="楷体" w:eastAsia="楷体" w:hAnsi="楷体" w:hint="eastAsia"/>
          <w:color w:val="auto"/>
          <w:sz w:val="21"/>
          <w:szCs w:val="21"/>
          <w:lang w:val="en-US" w:eastAsia="zh-CN"/>
        </w:rPr>
        <w:t xml:space="preserve">本人/</w:t>
      </w:r>
      <w:r>
        <w:rPr>
          <w:rFonts w:ascii="楷体" w:eastAsia="楷体" w:hAnsi="楷体"/>
          <w:color w:val="auto"/>
          <w:sz w:val="21"/>
          <w:szCs w:val="21"/>
        </w:rPr>
        <w:t xml:space="preserve">本</w:t>
      </w:r>
      <w:r>
        <w:rPr>
          <w:rFonts w:ascii="楷体" w:eastAsia="楷体" w:hAnsi="楷体" w:hint="eastAsia"/>
          <w:color w:val="auto"/>
          <w:sz w:val="21"/>
          <w:szCs w:val="21"/>
        </w:rPr>
        <w:t xml:space="preserve">机构确认理解投资本理财产品将涉及的所有风险，并将承担且有能力承担该等风险。</w:t>
      </w:r>
      <w:r>
        <w:rPr>
          <w:rFonts w:ascii="楷体" w:eastAsia="楷体" w:hAnsi="楷体" w:hint="eastAsia"/>
          <w:color w:val="auto"/>
          <w:sz w:val="21"/>
          <w:szCs w:val="21"/>
          <w:lang w:val="en-US" w:eastAsia="zh-CN"/>
        </w:rPr>
        <w:t xml:space="preserve">本人/</w:t>
      </w:r>
      <w:r>
        <w:rPr>
          <w:rFonts w:ascii="楷体" w:eastAsia="楷体" w:hAnsi="楷体"/>
          <w:color w:val="auto"/>
          <w:sz w:val="21"/>
          <w:szCs w:val="21"/>
        </w:rPr>
        <w:t xml:space="preserve">本</w:t>
      </w:r>
      <w:r>
        <w:rPr>
          <w:rFonts w:ascii="楷体" w:eastAsia="楷体" w:hAnsi="楷体" w:hint="eastAsia"/>
          <w:color w:val="auto"/>
          <w:sz w:val="21"/>
          <w:szCs w:val="21"/>
        </w:rPr>
        <w:t xml:space="preserve">机构</w:t>
      </w:r>
      <w:r>
        <w:rPr>
          <w:rFonts w:ascii="楷体" w:eastAsia="楷体" w:hAnsi="楷体" w:hint="eastAsia"/>
          <w:b w:val="0"/>
          <w:bCs/>
          <w:color w:val="auto"/>
          <w:sz w:val="21"/>
          <w:szCs w:val="21"/>
          <w:u w:val="none"/>
        </w:rPr>
        <w:t xml:space="preserve">承诺理财购买资金来源合法合规，</w:t>
      </w:r>
      <w:r>
        <w:rPr>
          <w:rFonts w:ascii="楷体" w:eastAsia="楷体" w:hAnsi="楷体" w:hint="eastAsia"/>
          <w:color w:val="auto"/>
          <w:sz w:val="21"/>
          <w:szCs w:val="21"/>
          <w:lang w:val="en-US" w:eastAsia="zh-CN"/>
        </w:rPr>
        <w:t xml:space="preserve">本人/</w:t>
      </w:r>
      <w:r>
        <w:rPr>
          <w:rFonts w:ascii="楷体" w:eastAsia="楷体" w:hAnsi="楷体"/>
          <w:color w:val="auto"/>
          <w:sz w:val="21"/>
          <w:szCs w:val="21"/>
        </w:rPr>
        <w:t xml:space="preserve">本</w:t>
      </w:r>
      <w:r>
        <w:rPr>
          <w:rFonts w:ascii="楷体" w:eastAsia="楷体" w:hAnsi="楷体" w:hint="eastAsia"/>
          <w:color w:val="auto"/>
          <w:sz w:val="21"/>
          <w:szCs w:val="21"/>
        </w:rPr>
        <w:t xml:space="preserve">机构</w:t>
      </w:r>
      <w:r>
        <w:rPr>
          <w:rFonts w:ascii="楷体" w:eastAsia="楷体" w:hAnsi="楷体" w:hint="eastAsia"/>
          <w:b w:val="0"/>
          <w:bCs/>
          <w:color w:val="auto"/>
          <w:sz w:val="21"/>
          <w:szCs w:val="21"/>
          <w:u w:val="none"/>
        </w:rPr>
        <w:t xml:space="preserve">将配合管理人及销售机构开展反洗钱、反恐怖融资及非居民金融账户涉税信息尽职调查等工作。</w:t>
      </w:r>
    </w:p>
    <w:p>
      <w:pPr>
        <w:ind w:firstLine="420" w:firstLineChars="200"/>
        <w:rPr>
          <w:rFonts w:ascii="楷体" w:eastAsia="楷体" w:hAnsi="楷体" w:hint="eastAsia"/>
          <w:b/>
          <w:color w:val="auto"/>
          <w:sz w:val="21"/>
          <w:szCs w:val="21"/>
        </w:rPr>
      </w:pPr>
      <w:r>
        <w:rPr>
          <w:rFonts w:ascii="楷体" w:eastAsia="楷体" w:hAnsi="楷体" w:hint="eastAsia"/>
          <w:color w:val="auto"/>
          <w:sz w:val="21"/>
          <w:szCs w:val="21"/>
        </w:rPr>
        <w:t xml:space="preserve">经销售机构评估，本人</w:t>
      </w:r>
      <w:r>
        <w:rPr>
          <w:rFonts w:ascii="楷体" w:eastAsia="楷体" w:hAnsi="楷体" w:hint="eastAsia"/>
          <w:color w:val="auto"/>
          <w:sz w:val="21"/>
          <w:szCs w:val="21"/>
          <w:lang w:val="en-US" w:eastAsia="zh-CN"/>
        </w:rPr>
        <w:t xml:space="preserve">/本机构</w:t>
      </w:r>
      <w:r>
        <w:rPr>
          <w:rFonts w:ascii="楷体" w:eastAsia="楷体" w:hAnsi="楷体" w:hint="eastAsia"/>
          <w:color w:val="auto"/>
          <w:sz w:val="21"/>
          <w:szCs w:val="21"/>
        </w:rPr>
        <w:t xml:space="preserve">的风险承受能力评级结果为</w:t>
      </w:r>
      <w:r>
        <w:rPr>
          <w:rFonts w:ascii="楷体" w:eastAsia="楷体" w:hAnsi="楷体"/>
          <w:b/>
          <w:color w:val="auto"/>
          <w:sz w:val="21"/>
          <w:szCs w:val="21"/>
        </w:rPr>
        <w:t xml:space="preserve">：</w:t>
      </w:r>
    </w:p>
    <w:p>
      <w:pPr>
        <w:ind w:firstLine="420" w:firstLineChars="200"/>
        <w:rPr>
          <w:rFonts w:ascii="楷体" w:eastAsia="楷体" w:hAnsi="楷体" w:hint="eastAsia"/>
          <w:color w:val="auto"/>
          <w:sz w:val="21"/>
          <w:szCs w:val="21"/>
          <w:u w:val="single"/>
        </w:rPr>
      </w:pPr>
      <w:r>
        <w:rPr>
          <w:rFonts w:ascii="楷体" w:eastAsia="楷体" w:hAnsi="楷体" w:hint="eastAsia"/>
          <w:color w:val="auto"/>
          <w:sz w:val="21"/>
          <w:szCs w:val="21"/>
          <w:u w:val="single"/>
        </w:rPr>
        <w:t xml:space="preserve">                                        </w:t>
      </w:r>
    </w:p>
    <w:p>
      <w:pPr>
        <w:ind w:firstLine="420" w:firstLineChars="200"/>
        <w:rPr>
          <w:rFonts w:ascii="楷体" w:eastAsia="楷体" w:hAnsi="楷体" w:hint="eastAsia"/>
          <w:color w:val="auto"/>
          <w:sz w:val="21"/>
          <w:szCs w:val="21"/>
          <w:lang w:val="en-US" w:eastAsia="zh-CN"/>
        </w:rPr>
      </w:pPr>
      <w:r>
        <w:rPr>
          <w:rFonts w:ascii="楷体" w:eastAsia="楷体" w:hAnsi="楷体" w:hint="eastAsia"/>
          <w:color w:val="auto"/>
          <w:sz w:val="21"/>
          <w:szCs w:val="21"/>
        </w:rPr>
        <w:t xml:space="preserve">风险承受能力不低于本理财产品的风险评级，适合购买本理财产</w:t>
      </w:r>
      <w:r>
        <w:rPr>
          <w:rFonts w:ascii="楷体" w:eastAsia="楷体" w:hAnsi="楷体" w:hint="eastAsia"/>
          <w:color w:val="auto"/>
          <w:sz w:val="21"/>
          <w:szCs w:val="21"/>
          <w:highlight w:val="none"/>
        </w:rPr>
        <w:t xml:space="preserve">品。</w:t>
      </w:r>
      <w:r>
        <w:rPr>
          <w:rFonts w:ascii="楷体" w:eastAsia="楷体" w:hAnsi="楷体" w:hint="eastAsia"/>
          <w:sz w:val="21"/>
          <w:szCs w:val="21"/>
          <w:highlight w:val="none"/>
        </w:rPr>
        <w:t xml:space="preserve">如风险承受能力评估已超过一年，</w:t>
      </w:r>
      <w:r>
        <w:rPr>
          <w:rFonts w:ascii="楷体" w:eastAsia="楷体" w:hAnsi="楷体"/>
          <w:sz w:val="21"/>
          <w:szCs w:val="21"/>
          <w:highlight w:val="none"/>
        </w:rPr>
        <w:t xml:space="preserve">或</w:t>
      </w:r>
      <w:r>
        <w:rPr>
          <w:rFonts w:ascii="楷体" w:eastAsia="楷体" w:hAnsi="楷体" w:hint="eastAsia"/>
          <w:sz w:val="21"/>
          <w:szCs w:val="21"/>
          <w:highlight w:val="none"/>
        </w:rPr>
        <w:t xml:space="preserve">影响风险承受能力的因素发生变化，</w:t>
      </w:r>
      <w:r>
        <w:rPr>
          <w:rFonts w:ascii="楷体" w:eastAsia="楷体" w:hAnsi="楷体" w:hint="eastAsia"/>
          <w:color w:val="auto"/>
          <w:sz w:val="21"/>
          <w:szCs w:val="21"/>
          <w:highlight w:val="none"/>
        </w:rPr>
        <w:t xml:space="preserve">本人</w:t>
      </w:r>
      <w:r>
        <w:rPr>
          <w:rFonts w:ascii="楷体" w:eastAsia="楷体" w:hAnsi="楷体" w:hint="eastAsia"/>
          <w:color w:val="auto"/>
          <w:sz w:val="21"/>
          <w:szCs w:val="21"/>
          <w:highlight w:val="none"/>
          <w:lang w:val="en-US" w:eastAsia="zh-CN"/>
        </w:rPr>
        <w:t xml:space="preserve">/本机构</w:t>
      </w:r>
      <w:r>
        <w:rPr>
          <w:rFonts w:ascii="楷体" w:eastAsia="楷体" w:hAnsi="楷体" w:hint="eastAsia"/>
          <w:color w:val="auto"/>
          <w:sz w:val="21"/>
          <w:szCs w:val="21"/>
          <w:highlight w:val="none"/>
        </w:rPr>
        <w:t xml:space="preserve">将</w:t>
      </w:r>
      <w:r>
        <w:rPr>
          <w:rFonts w:ascii="楷体" w:eastAsia="楷体" w:hAnsi="楷体" w:hint="eastAsia"/>
          <w:color w:val="auto"/>
          <w:sz w:val="21"/>
          <w:szCs w:val="21"/>
        </w:rPr>
        <w:t xml:space="preserve">及时完成风险承受能力的重新评估。</w:t>
      </w:r>
    </w:p>
    <w:p>
      <w:pPr>
        <w:ind w:firstLine="420" w:firstLineChars="200"/>
        <w:rPr>
          <w:rFonts w:ascii="楷体" w:eastAsia="楷体" w:hAnsi="楷体" w:hint="eastAsia"/>
          <w:color w:val="auto"/>
          <w:sz w:val="21"/>
          <w:szCs w:val="21"/>
          <w:u w:val="single"/>
        </w:rPr>
      </w:pPr>
      <w:r>
        <w:rPr>
          <w:rFonts w:ascii="楷体" w:eastAsia="楷体" w:hAnsi="楷体" w:hint="eastAsia"/>
          <w:color w:val="auto"/>
          <w:sz w:val="21"/>
          <w:szCs w:val="21"/>
        </w:rPr>
        <w:t xml:space="preserve">须</w:t>
      </w:r>
      <w:r>
        <w:rPr>
          <w:rFonts w:ascii="楷体" w:eastAsia="楷体" w:hAnsi="楷体" w:hint="eastAsia"/>
          <w:b/>
          <w:color w:val="auto"/>
          <w:sz w:val="21"/>
          <w:szCs w:val="21"/>
          <w:u w:val="single"/>
        </w:rPr>
        <w:t xml:space="preserve">投资者亲笔抄录</w:t>
      </w:r>
      <w:r>
        <w:rPr>
          <w:rFonts w:ascii="楷体" w:eastAsia="楷体" w:hAnsi="楷体" w:hint="eastAsia"/>
          <w:color w:val="auto"/>
          <w:sz w:val="21"/>
          <w:szCs w:val="21"/>
        </w:rPr>
        <w:t xml:space="preserve">以下内容：</w:t>
      </w:r>
      <w:r>
        <w:rPr>
          <w:rFonts w:ascii="楷体" w:eastAsia="楷体" w:hAnsi="楷体" w:hint="eastAsia"/>
          <w:b/>
          <w:color w:val="auto"/>
          <w:sz w:val="21"/>
          <w:szCs w:val="21"/>
        </w:rPr>
        <w:t xml:space="preserve">“</w:t>
      </w:r>
      <w:r>
        <w:rPr>
          <w:rFonts w:ascii="楷体" w:eastAsia="楷体" w:hAnsi="楷体" w:hint="eastAsia"/>
          <w:b/>
          <w:color w:val="auto"/>
          <w:sz w:val="21"/>
          <w:szCs w:val="21"/>
          <w:u w:val="single"/>
        </w:rPr>
        <w:t xml:space="preserve">本人</w:t>
      </w:r>
      <w:r>
        <w:rPr>
          <w:rFonts w:ascii="楷体" w:eastAsia="楷体" w:hAnsi="楷体" w:hint="eastAsia"/>
          <w:b/>
          <w:color w:val="auto"/>
          <w:sz w:val="21"/>
          <w:szCs w:val="21"/>
          <w:u w:val="single"/>
          <w:lang w:val="en-US" w:eastAsia="zh-CN"/>
        </w:rPr>
        <w:t xml:space="preserve">/本机构</w:t>
      </w:r>
      <w:r>
        <w:rPr>
          <w:rFonts w:ascii="楷体" w:eastAsia="楷体" w:hAnsi="楷体" w:hint="eastAsia"/>
          <w:b/>
          <w:color w:val="auto"/>
          <w:sz w:val="21"/>
          <w:szCs w:val="21"/>
          <w:u w:val="single"/>
        </w:rPr>
        <w:t xml:space="preserve">已经阅读风险揭示，愿意承担投资风险</w:t>
      </w:r>
      <w:r>
        <w:rPr>
          <w:rFonts w:ascii="楷体" w:eastAsia="楷体" w:hAnsi="楷体" w:hint="eastAsia"/>
          <w:b/>
          <w:color w:val="auto"/>
          <w:sz w:val="21"/>
          <w:szCs w:val="21"/>
        </w:rPr>
        <w:t xml:space="preserve">”</w:t>
      </w:r>
      <w:r>
        <w:rPr>
          <w:rFonts w:ascii="楷体" w:eastAsia="楷体" w:hAnsi="楷体" w:hint="eastAsia"/>
          <w:color w:val="auto"/>
          <w:sz w:val="21"/>
          <w:szCs w:val="21"/>
        </w:rPr>
        <w:t xml:space="preserve">。</w:t>
      </w:r>
    </w:p>
    <w:p>
      <w:pPr>
        <w:rPr>
          <w:rFonts w:ascii="楷体" w:eastAsia="楷体" w:hAnsi="楷体" w:hint="eastAsia"/>
          <w:color w:val="auto"/>
          <w:sz w:val="21"/>
          <w:szCs w:val="21"/>
          <w:u w:val="single"/>
        </w:rPr>
      </w:pPr>
      <w:r>
        <w:rPr>
          <w:rFonts w:ascii="楷体" w:eastAsia="楷体" w:hAnsi="楷体" w:hint="eastAsia"/>
          <w:color w:val="auto"/>
          <w:sz w:val="21"/>
          <w:szCs w:val="21"/>
          <w:u w:val="single"/>
        </w:rPr>
        <w:t xml:space="preserve">                                                           </w:t>
      </w:r>
      <w:r>
        <w:rPr>
          <w:rFonts w:ascii="楷体" w:eastAsia="楷体" w:hAnsi="楷体" w:hint="eastAsia"/>
          <w:color w:val="auto"/>
          <w:sz w:val="21"/>
          <w:szCs w:val="21"/>
          <w:u w:val="single"/>
          <w:lang w:val="en-US" w:eastAsia="zh-CN"/>
        </w:rPr>
        <w:t xml:space="preserve">      </w:t>
      </w:r>
      <w:r>
        <w:rPr>
          <w:rFonts w:ascii="楷体" w:eastAsia="楷体" w:hAnsi="楷体" w:hint="eastAsia"/>
          <w:color w:val="auto"/>
          <w:sz w:val="21"/>
          <w:szCs w:val="21"/>
          <w:u w:val="single"/>
        </w:rPr>
        <w:t xml:space="preserve">              </w:t>
      </w:r>
    </w:p>
    <w:p>
      <w:pPr>
        <w:jc w:val="both"/>
        <w:rPr>
          <w:rFonts w:ascii="楷体" w:eastAsia="楷体" w:hAnsi="楷体" w:hint="eastAsia"/>
          <w:color w:val="auto"/>
          <w:sz w:val="21"/>
          <w:szCs w:val="21"/>
        </w:rPr>
      </w:pPr>
      <w:r>
        <w:rPr>
          <w:rFonts w:ascii="楷体" w:eastAsia="楷体" w:hAnsi="楷体" w:hint="eastAsia"/>
          <w:color w:val="auto"/>
          <w:sz w:val="21"/>
          <w:szCs w:val="21"/>
        </w:rPr>
        <w:t xml:space="preserve">个人投资者签字：</w:t>
      </w:r>
      <w:r>
        <w:rPr>
          <w:rFonts w:ascii="楷体" w:eastAsia="楷体" w:hAnsi="楷体" w:hint="eastAsia"/>
          <w:color w:val="auto"/>
          <w:sz w:val="21"/>
          <w:szCs w:val="21"/>
          <w:lang w:val="en-US" w:eastAsia="zh-CN"/>
        </w:rPr>
        <w:t xml:space="preserve">                                                </w:t>
      </w:r>
      <w:r>
        <w:rPr>
          <w:rFonts w:ascii="楷体" w:eastAsia="楷体" w:hAnsi="楷体" w:hint="eastAsia"/>
          <w:color w:val="auto"/>
          <w:sz w:val="21"/>
          <w:szCs w:val="21"/>
        </w:rPr>
        <w:t xml:space="preserve">年   月   日</w:t>
      </w:r>
    </w:p>
    <w:p>
      <w:pPr>
        <w:ind w:firstLine="315" w:firstLineChars="150"/>
        <w:jc w:val="both"/>
        <w:rPr>
          <w:rFonts w:ascii="楷体" w:eastAsia="楷体" w:hAnsi="楷体" w:hint="eastAsia"/>
          <w:color w:val="auto"/>
          <w:sz w:val="21"/>
          <w:szCs w:val="21"/>
        </w:rPr>
      </w:pPr>
    </w:p>
    <w:p>
      <w:pPr>
        <w:ind w:firstLine="315" w:firstLineChars="150"/>
        <w:jc w:val="both"/>
        <w:rPr>
          <w:rFonts w:ascii="楷体" w:eastAsia="楷体" w:hAnsi="楷体" w:hint="eastAsia"/>
          <w:color w:val="auto"/>
          <w:sz w:val="21"/>
          <w:szCs w:val="21"/>
        </w:rPr>
      </w:pPr>
    </w:p>
    <w:p>
      <w:pPr>
        <w:rPr>
          <w:rFonts w:ascii="楷体" w:eastAsia="楷体" w:hAnsi="楷体" w:hint="eastAsia"/>
          <w:color w:val="auto"/>
          <w:sz w:val="21"/>
          <w:szCs w:val="21"/>
        </w:rPr>
      </w:pPr>
      <w:r>
        <w:rPr>
          <w:rFonts w:ascii="楷体" w:eastAsia="楷体" w:hAnsi="楷体" w:hint="eastAsia"/>
          <w:color w:val="auto"/>
          <w:sz w:val="21"/>
          <w:szCs w:val="21"/>
        </w:rPr>
        <w:t xml:space="preserve">机构投资者（盖章）：</w:t>
      </w:r>
    </w:p>
    <w:p>
      <w:pPr>
        <w:rPr>
          <w:rFonts w:ascii="楷体" w:eastAsia="楷体" w:hAnsi="楷体"/>
          <w:color w:val="auto"/>
          <w:sz w:val="21"/>
          <w:szCs w:val="21"/>
        </w:rPr>
      </w:pPr>
    </w:p>
    <w:p>
      <w:pPr>
        <w:jc w:val="both"/>
        <w:rPr>
          <w:rFonts w:ascii="楷体" w:eastAsia="楷体" w:hAnsi="楷体" w:cs="楷体" w:hint="eastAsia"/>
          <w:color w:val="auto"/>
          <w:sz w:val="21"/>
          <w:szCs w:val="21"/>
        </w:rPr>
      </w:pPr>
      <w:r>
        <w:rPr>
          <w:rFonts w:ascii="楷体" w:eastAsia="楷体" w:hAnsi="楷体" w:hint="eastAsia"/>
          <w:color w:val="auto"/>
          <w:sz w:val="21"/>
          <w:szCs w:val="21"/>
        </w:rPr>
        <w:t xml:space="preserve">机构投资者法定代表人或授权代表（签字或盖章）</w:t>
      </w:r>
      <w:r>
        <w:rPr>
          <w:rFonts w:ascii="楷体" w:eastAsia="楷体" w:hAnsi="楷体" w:hint="eastAsia"/>
          <w:color w:val="auto"/>
          <w:sz w:val="21"/>
          <w:szCs w:val="21"/>
          <w:lang w:val="en-US" w:eastAsia="zh-CN"/>
        </w:rPr>
        <w:t xml:space="preserve">                    </w:t>
      </w:r>
      <w:r>
        <w:rPr>
          <w:rFonts w:ascii="楷体" w:eastAsia="楷体" w:hAnsi="楷体" w:hint="eastAsia"/>
          <w:color w:val="auto"/>
          <w:sz w:val="21"/>
          <w:szCs w:val="21"/>
        </w:rPr>
        <w:t xml:space="preserve">年   月   日</w:t>
      </w:r>
    </w:p>
    <w:p>
      <w:pPr/>
    </w:p>
    <w:sectPr>
      <w:headerReference w:type="even" r:id="rId5"/>
      <w:headerReference w:type="default" r:id="rId6"/>
      <w:headerReference w:type="first" r:id="rId7"/>
      <w:footerReference w:type="default" r:id="rId8"/>
      <w:pgSz w:w="11906" w:h="16838" w:orient="portrait"/>
      <w:pgMar w:top="1440" w:right="1134" w:bottom="1440" w:left="1134" w:header="851" w:footer="992" w:gutter="0"/>
      <w:cols w:num="1" w:space="720">
        <w:col w:w="9638" w:space="720"/>
      </w:cols>
      <w:docGrid w:type="lines" w:linePitch="312" w:charSpace="0"/>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Auto"/>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Auto"/>
    <w:pitch w:val="default"/>
    <w:sig w:usb0="E0002EFF" w:usb1="C0007843" w:usb2="00000009" w:usb3="00000000" w:csb0="400001FF" w:csb1="FFFF0000"/>
  </w:font>
  <w:font w:name="Symbol">
    <w:panose1 w:val="05050102010706020507"/>
    <w:charset w:val="02"/>
    <w:family w:val="Auto"/>
    <w:pitch w:val="default"/>
    <w:sig w:usb0="00000000" w:usb1="00000000" w:usb2="00000000" w:usb3="00000000" w:csb0="80000000"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pPr>
    <w:r>
      <w:rPr>
        <w:lang w:val="zh-CN"/>
      </w:rPr>
      <w:t xml:space="preserve"> </w:t>
    </w:r>
    <w:r>
      <w:rPr>
        <w:b/>
        <w:bCs/>
      </w:rPr>
      <w:fldChar w:fldCharType="begin"/>
    </w:r>
    <w:r>
      <w:rPr>
        <w:b/>
        <w:bCs/>
      </w:rPr>
      <w:instrText xml:space="preserve">PAGE</w:instrText>
    </w:r>
    <w:r>
      <w:rPr>
        <w:b/>
        <w:bCs/>
        <w:sz w:val="24"/>
        <w:szCs w:val="24"/>
      </w:rPr>
      <w:fldChar w:fldCharType="separate"/>
    </w:r>
    <w:r>
      <w:rPr>
        <w:b/>
        <w:bCs/>
      </w:rPr>
      <w:t xml:space="preserve">8</w:t>
    </w:r>
    <w:r>
      <w:rPr>
        <w:b/>
        <w:bCs/>
        <w:sz w:val="24"/>
        <w:szCs w:val="24"/>
      </w:rPr>
      <w:fldChar w:fldCharType="end"/>
    </w:r>
    <w:r>
      <w:rPr>
        <w:lang w:val="zh-CN"/>
      </w:rPr>
      <w:t xml:space="preserve"> / </w:t>
    </w:r>
    <w:r>
      <w:rPr>
        <w:b/>
        <w:bCs/>
      </w:rPr>
      <w:fldChar w:fldCharType="begin"/>
    </w:r>
    <w:r>
      <w:rPr>
        <w:b/>
        <w:bCs/>
      </w:rPr>
      <w:instrText xml:space="preserve">NUMPAGES</w:instrText>
    </w:r>
    <w:r>
      <w:rPr>
        <w:b/>
        <w:bCs/>
        <w:sz w:val="24"/>
        <w:szCs w:val="24"/>
      </w:rPr>
      <w:fldChar w:fldCharType="separate"/>
    </w:r>
    <w:r>
      <w:rPr>
        <w:b/>
        <w:bCs/>
      </w:rPr>
      <w:t xml:space="preserve">38</w:t>
    </w:r>
    <w:r>
      <w:rPr>
        <w:b/>
        <w:bCs/>
        <w:sz w:val="24"/>
        <w:szCs w:val="24"/>
      </w:rPr>
      <w:fldChar w:fldCharType="end"/>
    </w:r>
  </w:p>
  <w:p>
    <w:pPr>
      <w:pStyle w:val="Footer"/>
    </w:pPr>
  </w:p>
</w:ftr>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pPr>
    <w:r>
      <w:rPr/>
      <w:pict>
        <v:shape id="WordPictureWatermark1025" o:spid="WordPictureWatermark1201" type="#_x0000_t75" style="height:862.85pt;margin-left:0;margin-top:0;mso-height-relative:page;mso-position-horizontal:center;mso-position-horizontal-relative:margin;mso-position-vertical:center;mso-position-vertical-relative:margin;mso-width-relative:page;position:absolute;width:1137.35pt;z-index:-251656192" coordsize="21600,21600" o:allowincell="f" o:preferrelative="t" filled="f" stroked="f">
          <v:stroke joinstyle="miter"/>
          <v:imagedata r:id="rId1" o:title="苏银理财" gain="19661f" blacklevel="22938f"/>
          <o:lock v:ext="edit" aspectratio="t"/>
          <w10:wrap anchorx="margin" anchory="margin"/>
        </v:shape>
      </w:pict>
    </w: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BodyText"/>
      <w:kinsoku w:val="0"/>
      <w:overflowPunct w:val="0"/>
      <w:spacing w:before="0" w:line="320" w:lineRule="exact"/>
      <w:ind w:left="20"/>
      <w:jc w:val="both"/>
      <w:rPr>
        <w:rFonts w:ascii="楷体" w:eastAsia="楷体" w:hAnsi="楷体" w:cs="黑体"/>
        <w:b/>
        <w:spacing w:val="-2"/>
        <w:sz w:val="24"/>
        <w:szCs w:val="24"/>
      </w:rPr>
    </w:pPr>
    <w:r>
      <w:rPr/>
      <w:pict>
        <v:shape id="WordPictureWatermark1026" o:spid="WordPictureWatermark1203" type="#_x0000_t75" style="height:862.85pt;margin-left:-315.7pt;margin-top:-81.05pt;mso-height-relative:page;mso-position-horizontal-relative:margin;mso-position-vertical-relative:margin;mso-width-relative:page;position:absolute;width:1137.35pt;z-index:-251655168" coordsize="21600,21600" o:allowincell="f" o:preferrelative="t" filled="f" stroked="f">
          <v:stroke joinstyle="miter"/>
          <v:imagedata r:id="rId1" o:title="苏银理财" gain="19661f" blacklevel="22938f"/>
          <o:lock v:ext="edit" aspectratio="t"/>
          <w10:wrap anchorx="margin" anchory="margin"/>
        </v:shape>
      </w:pict>
    </w:r>
    <w:r>
      <w:pict>
        <v:shape id="图片 1" o:spid="_x0000_s1204" type="#_x0000_t75" alt="说明: 说明: C:\Users\JSYH\Desktop\苏银理财.png" style="height:33.45pt;margin-left:390.95pt;margin-top:-7.5pt;mso-height-relative:page;mso-width-relative:page;mso-wrap-distance-bottom:0;mso-wrap-distance-left:9pt;mso-wrap-distance-right:9pt;mso-wrap-distance-top:0;position:absolute;width:104.35pt;z-index:251662336" coordsize="21600,21600" o:preferrelative="t" filled="f" stroked="f">
          <v:stroke joinstyle="miter"/>
          <v:imagedata r:id="rId2" o:title="苏银理财"/>
          <o:lock v:ext="edit" aspectratio="t"/>
          <w10:wrap type="square"/>
        </v:shape>
      </w:pict>
    </w:r>
    <w:r>
      <w:rPr>
        <w:rFonts w:ascii="楷体" w:eastAsia="楷体" w:hAnsi="楷体" w:cs="黑体" w:hint="eastAsia"/>
        <w:b/>
        <w:bCs/>
        <w:spacing w:val="-2"/>
        <w:sz w:val="24"/>
        <w:szCs w:val="24"/>
      </w:rPr>
      <w:t xml:space="preserve">理财非存款、产品有风险、投资须谨慎</w:t>
    </w:r>
  </w:p>
</w:hdr>
</file>

<file path=word/header3.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pPr>
    <w:r>
      <w:rPr/>
      <w:pict>
        <v:shape id="WordPictureWatermark1027" o:spid="WordPictureWatermark1206" type="#_x0000_t75" style="height:862.85pt;margin-left:0;margin-top:0;mso-height-relative:page;mso-position-horizontal:center;mso-position-horizontal-relative:margin;mso-position-vertical:center;mso-position-vertical-relative:margin;mso-width-relative:page;position:absolute;width:1137.35pt;z-index:-251657216" coordsize="21600,21600" o:allowincell="f" o:preferrelative="t" filled="f" stroked="f">
          <v:stroke joinstyle="miter"/>
          <v:imagedata r:id="rId1" o:title="苏银理财" gain="19661f" blacklevel="22938f"/>
          <o:lock v:ext="edit" aspectratio="t"/>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multilevel"/>
    <w:lvl w:ilvl="0">
      <w:start w:val="1"/>
      <w:numFmt w:val="decimal"/>
      <w:suff w:val="tab"/>
      <w:lvlText w:val="%1."/>
      <w:lvlJc w:val="left"/>
      <w:pPr>
        <w:ind w:left="900" w:hanging="420"/>
      </w:pPr>
      <w:rPr/>
    </w:lvl>
    <w:lvl w:ilvl="1">
      <w:start w:val="1"/>
      <w:numFmt w:val="lowerLetter"/>
      <w:suff w:val="tab"/>
      <w:lvlText w:val="%2)"/>
      <w:lvlJc w:val="left"/>
      <w:pPr>
        <w:ind w:left="1320" w:hanging="420"/>
      </w:pPr>
      <w:rPr/>
    </w:lvl>
    <w:lvl w:ilvl="2">
      <w:start w:val="1"/>
      <w:numFmt w:val="lowerRoman"/>
      <w:suff w:val="tab"/>
      <w:lvlText w:val="%3."/>
      <w:lvlJc w:val="right"/>
      <w:pPr>
        <w:ind w:left="1740" w:hanging="420"/>
      </w:pPr>
      <w:rPr/>
    </w:lvl>
    <w:lvl w:ilvl="3">
      <w:start w:val="1"/>
      <w:numFmt w:val="decimal"/>
      <w:suff w:val="tab"/>
      <w:lvlText w:val="%4."/>
      <w:lvlJc w:val="left"/>
      <w:pPr>
        <w:ind w:left="2160" w:hanging="420"/>
      </w:pPr>
      <w:rPr/>
    </w:lvl>
    <w:lvl w:ilvl="4">
      <w:start w:val="1"/>
      <w:numFmt w:val="lowerLetter"/>
      <w:suff w:val="tab"/>
      <w:lvlText w:val="%5)"/>
      <w:lvlJc w:val="left"/>
      <w:pPr>
        <w:ind w:left="2580" w:hanging="420"/>
      </w:pPr>
      <w:rPr/>
    </w:lvl>
    <w:lvl w:ilvl="5">
      <w:start w:val="1"/>
      <w:numFmt w:val="lowerRoman"/>
      <w:suff w:val="tab"/>
      <w:lvlText w:val="%6."/>
      <w:lvlJc w:val="right"/>
      <w:pPr>
        <w:ind w:left="3000" w:hanging="420"/>
      </w:pPr>
      <w:rPr/>
    </w:lvl>
    <w:lvl w:ilvl="6">
      <w:start w:val="1"/>
      <w:numFmt w:val="decimal"/>
      <w:suff w:val="tab"/>
      <w:lvlText w:val="%7."/>
      <w:lvlJc w:val="left"/>
      <w:pPr>
        <w:ind w:left="3420" w:hanging="420"/>
      </w:pPr>
      <w:rPr/>
    </w:lvl>
    <w:lvl w:ilvl="7">
      <w:start w:val="1"/>
      <w:numFmt w:val="lowerLetter"/>
      <w:suff w:val="tab"/>
      <w:lvlText w:val="%8)"/>
      <w:lvlJc w:val="left"/>
      <w:pPr>
        <w:ind w:left="3840" w:hanging="420"/>
      </w:pPr>
      <w:rPr/>
    </w:lvl>
    <w:lvl w:ilvl="8">
      <w:start w:val="1"/>
      <w:numFmt w:val="lowerRoman"/>
      <w:suff w:val="tab"/>
      <w:lvlText w:val="%9."/>
      <w:lvlJc w:val="right"/>
      <w:pPr>
        <w:ind w:left="4260" w:hanging="420"/>
      </w:pPr>
      <w:rPr/>
    </w:lvl>
  </w:abstractNum>
  <w:abstractNum w:abstractNumId="3">
    <w:multiLevelType w:val="multilevel"/>
    <w:lvl w:ilvl="0">
      <w:start w:val="1"/>
      <w:numFmt w:val="chineseCountingThousand"/>
      <w:suff w:val="tab"/>
      <w:lvlText w:val="%1、"/>
      <w:lvlJc w:val="left"/>
      <w:pPr>
        <w:ind w:left="420" w:hanging="420"/>
      </w:pPr>
      <w:rPr/>
    </w:lvl>
    <w:lvl w:ilvl="1">
      <w:start w:val="1"/>
      <w:numFmt w:val="lowerLetter"/>
      <w:suff w:val="tab"/>
      <w:lvlText w:val="%2)"/>
      <w:lvlJc w:val="left"/>
      <w:pPr>
        <w:ind w:left="840" w:hanging="420"/>
      </w:pPr>
      <w:rPr/>
    </w:lvl>
    <w:lvl w:ilvl="2">
      <w:start w:val="1"/>
      <w:numFmt w:val="lowerRoman"/>
      <w:suff w:val="tab"/>
      <w:lvlText w:val="%3."/>
      <w:lvlJc w:val="right"/>
      <w:pPr>
        <w:ind w:left="1260" w:hanging="420"/>
      </w:pPr>
      <w:rPr/>
    </w:lvl>
    <w:lvl w:ilvl="3">
      <w:start w:val="1"/>
      <w:numFmt w:val="decimal"/>
      <w:suff w:val="tab"/>
      <w:lvlText w:val="%4."/>
      <w:lvlJc w:val="left"/>
      <w:pPr>
        <w:ind w:left="1680" w:hanging="420"/>
      </w:pPr>
      <w:rPr/>
    </w:lvl>
    <w:lvl w:ilvl="4">
      <w:start w:val="1"/>
      <w:numFmt w:val="lowerLetter"/>
      <w:suff w:val="tab"/>
      <w:lvlText w:val="%5)"/>
      <w:lvlJc w:val="left"/>
      <w:pPr>
        <w:ind w:left="2100" w:hanging="420"/>
      </w:pPr>
      <w:rPr/>
    </w:lvl>
    <w:lvl w:ilvl="5">
      <w:start w:val="1"/>
      <w:numFmt w:val="lowerRoman"/>
      <w:suff w:val="tab"/>
      <w:lvlText w:val="%6."/>
      <w:lvlJc w:val="right"/>
      <w:pPr>
        <w:ind w:left="2520" w:hanging="420"/>
      </w:pPr>
      <w:rPr/>
    </w:lvl>
    <w:lvl w:ilvl="6">
      <w:start w:val="1"/>
      <w:numFmt w:val="decimal"/>
      <w:suff w:val="tab"/>
      <w:lvlText w:val="%7."/>
      <w:lvlJc w:val="left"/>
      <w:pPr>
        <w:ind w:left="2940" w:hanging="420"/>
      </w:pPr>
      <w:rPr/>
    </w:lvl>
    <w:lvl w:ilvl="7">
      <w:start w:val="1"/>
      <w:numFmt w:val="lowerLetter"/>
      <w:suff w:val="tab"/>
      <w:lvlText w:val="%8)"/>
      <w:lvlJc w:val="left"/>
      <w:pPr>
        <w:ind w:left="3360" w:hanging="420"/>
      </w:pPr>
      <w:rPr/>
    </w:lvl>
    <w:lvl w:ilvl="8">
      <w:start w:val="1"/>
      <w:numFmt w:val="lowerRoman"/>
      <w:suff w:val="tab"/>
      <w:lvlText w:val="%9."/>
      <w:lvlJc w:val="right"/>
      <w:pPr>
        <w:ind w:left="3780" w:hanging="420"/>
      </w:pPr>
      <w:rPr/>
    </w:lvl>
  </w:abstractNum>
  <w:abstractNum w:abstractNumId="4">
    <w:multiLevelType w:val="multilevel"/>
    <w:lvl w:ilvl="0">
      <w:start w:val="1"/>
      <w:numFmt w:val="chineseCountingThousand"/>
      <w:suff w:val="tab"/>
      <w:lvlText w:val="(%1)"/>
      <w:lvlJc w:val="left"/>
      <w:pPr>
        <w:ind w:left="420" w:hanging="420"/>
      </w:pPr>
      <w:rPr>
        <w:b/>
      </w:rPr>
    </w:lvl>
    <w:lvl w:ilvl="1">
      <w:start w:val="1"/>
      <w:numFmt w:val="lowerLetter"/>
      <w:suff w:val="tab"/>
      <w:lvlText w:val="%2)"/>
      <w:lvlJc w:val="left"/>
      <w:pPr>
        <w:ind w:left="840" w:hanging="420"/>
      </w:pPr>
      <w:rPr/>
    </w:lvl>
    <w:lvl w:ilvl="2">
      <w:start w:val="1"/>
      <w:numFmt w:val="lowerRoman"/>
      <w:suff w:val="tab"/>
      <w:lvlText w:val="%3."/>
      <w:lvlJc w:val="right"/>
      <w:pPr>
        <w:ind w:left="1260" w:hanging="420"/>
      </w:pPr>
      <w:rPr/>
    </w:lvl>
    <w:lvl w:ilvl="3">
      <w:start w:val="1"/>
      <w:numFmt w:val="decimal"/>
      <w:suff w:val="tab"/>
      <w:lvlText w:val="%4."/>
      <w:lvlJc w:val="left"/>
      <w:pPr>
        <w:ind w:left="1680" w:hanging="420"/>
      </w:pPr>
      <w:rPr/>
    </w:lvl>
    <w:lvl w:ilvl="4">
      <w:start w:val="1"/>
      <w:numFmt w:val="lowerLetter"/>
      <w:suff w:val="tab"/>
      <w:lvlText w:val="%5)"/>
      <w:lvlJc w:val="left"/>
      <w:pPr>
        <w:ind w:left="2100" w:hanging="420"/>
      </w:pPr>
      <w:rPr/>
    </w:lvl>
    <w:lvl w:ilvl="5">
      <w:start w:val="1"/>
      <w:numFmt w:val="lowerRoman"/>
      <w:suff w:val="tab"/>
      <w:lvlText w:val="%6."/>
      <w:lvlJc w:val="right"/>
      <w:pPr>
        <w:ind w:left="2520" w:hanging="420"/>
      </w:pPr>
      <w:rPr/>
    </w:lvl>
    <w:lvl w:ilvl="6">
      <w:start w:val="1"/>
      <w:numFmt w:val="decimal"/>
      <w:suff w:val="tab"/>
      <w:lvlText w:val="%7."/>
      <w:lvlJc w:val="left"/>
      <w:pPr>
        <w:ind w:left="2940" w:hanging="420"/>
      </w:pPr>
      <w:rPr/>
    </w:lvl>
    <w:lvl w:ilvl="7">
      <w:start w:val="1"/>
      <w:numFmt w:val="lowerLetter"/>
      <w:suff w:val="tab"/>
      <w:lvlText w:val="%8)"/>
      <w:lvlJc w:val="left"/>
      <w:pPr>
        <w:ind w:left="3360" w:hanging="420"/>
      </w:pPr>
      <w:rPr/>
    </w:lvl>
    <w:lvl w:ilvl="8">
      <w:start w:val="1"/>
      <w:numFmt w:val="lowerRoman"/>
      <w:suff w:val="tab"/>
      <w:lvlText w:val="%9."/>
      <w:lvlJc w:val="right"/>
      <w:pPr>
        <w:ind w:left="3780" w:hanging="420"/>
      </w:pPr>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00"/>
  <w:embedSystemFonts/>
  <w:bordersDoNotSurroundFooter w:val="0"/>
  <w:bordersDoNotSurroundHeader w:val="0"/>
  <w:doNotTrackMove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4"/>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1" w:unhideWhenUsed="0" w:qFormat="1"/>
    <w:lsdException w:name="heading 2" w:semiHidden="0" w:uiPriority="9" w:unhideWhenUsed="0" w:qFormat="1"/>
    <w:lsdException w:name="heading 3" w:semiHidden="0" w:uiPriority="1"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qFormat="1"/>
    <w:lsdException w:name="annotation text" w:semiHidden="0" w:qFormat="1"/>
    <w:lsdException w:name="header" w:semiHidden="0" w:qFormat="1"/>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qFormat="1"/>
    <w:lsdException w:name="annotation reference" w:semiHidden="0" w:qFormat="1"/>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semiHidden="0" w:uiPriority="1" w:qFormat="1"/>
    <w:lsdException w:name="Body Text" w:semiHidden="0" w:uiPriority="1" w:unhideWhenUsed="0" w:qFormat="1"/>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semiHidden="0" w:qFormat="1"/>
    <w:lsdException w:name="Body Text First Indent"/>
    <w:lsdException w:name="Body Text First Indent 2"/>
    <w:lsdException w:name="Body Text 2"/>
    <w:lsdException w:name="Body Text 3"/>
    <w:lsdException w:name="Body Text Indent 2"/>
    <w:lsdException w:name="Body Text Indent 3"/>
    <w:lsdException w:name="Block Text"/>
    <w:lsdException w:name="Hyperlink" w:semiHidden="0" w:qFormat="1"/>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semiHidden="0" w:qFormat="1"/>
    <w:lsdException w:name="HTML Acronym"/>
    <w:lsdException w:name="HTML Address"/>
    <w:lsdException w:name="HTML Cite"/>
    <w:lsdException w:name="HTML Code"/>
    <w:lsdException w:name="HTML Definition"/>
    <w:lsdException w:name="HTML Keyboard"/>
    <w:lsdException w:name="HTML Preformatted" w:qFormat="1"/>
    <w:lsdException w:name="HTML Sample"/>
    <w:lsdException w:name="HTML Variable"/>
    <w:lsdException w:name="Normal Table" w:qFormat="1"/>
    <w:lsdException w:name="annotation subject" w:semiHidden="0" w:qFormat="1"/>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semiHidden="0" w:qFormat="1"/>
    <w:lsdException w:name="Table Grid" w:semiHidden="0" w:uiPriority="59" w:unhideWhenUsed="0" w:qFormat="1"/>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72"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宋体" w:eastAsia="宋体" w:hAnsi="宋体" w:cs="宋体"/>
      <w:kern w:val="2"/>
      <w:sz w:val="28"/>
      <w:szCs w:val="22"/>
      <w:lang w:val="en-US" w:eastAsia="zh-CN" w:bidi="ar-SA"/>
    </w:rPr>
  </w:style>
  <w:style w:type="paragraph" w:styleId="Heading1">
    <w:name w:val="Heading 1"/>
    <w:basedOn w:val="Normal"/>
    <w:next w:val="Normal"/>
    <w:uiPriority w:val="1"/>
    <w:qFormat/>
    <w:pPr>
      <w:autoSpaceDE w:val="0"/>
      <w:autoSpaceDN w:val="0"/>
      <w:adjustRightInd w:val="0"/>
      <w:spacing w:before="17"/>
      <w:ind w:left="1144"/>
      <w:jc w:val="left"/>
      <w:outlineLvl w:val="0"/>
    </w:pPr>
    <w:rPr>
      <w:rFonts w:ascii="黑体" w:eastAsia="黑体"/>
      <w:b/>
      <w:bCs/>
      <w:kern w:val="0"/>
      <w:sz w:val="36"/>
      <w:szCs w:val="36"/>
    </w:rPr>
  </w:style>
  <w:style w:type="paragraph" w:styleId="Heading2">
    <w:name w:val="Heading 2"/>
    <w:basedOn w:val="Normal"/>
    <w:next w:val="Normal"/>
    <w:uiPriority w:val="9"/>
    <w:qFormat/>
    <w:pPr>
      <w:keepNext/>
      <w:keepLines/>
      <w:spacing w:before="260" w:after="260" w:line="416" w:lineRule="auto"/>
      <w:outlineLvl w:val="1"/>
    </w:pPr>
    <w:rPr>
      <w:rFonts w:ascii="Cambria" w:hAnsi="Cambria"/>
      <w:b/>
      <w:bCs/>
      <w:kern w:val="0"/>
      <w:sz w:val="32"/>
      <w:szCs w:val="32"/>
    </w:rPr>
  </w:style>
  <w:style w:type="paragraph" w:styleId="Heading3">
    <w:name w:val="Heading 3"/>
    <w:basedOn w:val="Normal"/>
    <w:next w:val="Normal"/>
    <w:uiPriority w:val="1"/>
    <w:qFormat/>
    <w:pPr>
      <w:autoSpaceDE w:val="0"/>
      <w:autoSpaceDN w:val="0"/>
      <w:adjustRightInd w:val="0"/>
      <w:spacing w:before="34"/>
      <w:ind w:left="120"/>
      <w:jc w:val="left"/>
      <w:outlineLvl w:val="2"/>
    </w:pPr>
    <w:rPr>
      <w:rFonts w:ascii="宋体"/>
      <w:b/>
      <w:bCs/>
      <w:kern w:val="0"/>
      <w:sz w:val="20"/>
      <w:szCs w:val="21"/>
    </w:rPr>
  </w:style>
  <w:style w:type="character" w:default="1" w:styleId="DefaultParagraphFont">
    <w:name w:val="Default Paragraph Font"/>
    <w:uiPriority w:val="1"/>
    <w:unhideWhenUsed/>
    <w:qFormat/>
    <w:rPr/>
  </w:style>
  <w:style w:type="table" w:default="1" w:styleId="TableNormal">
    <w:name w:val="Normal Table"/>
    <w:uiPriority w:val="99"/>
    <w:semiHidden/>
    <w:unhideWhenUsed/>
    <w:qFormat/>
    <w:rPr/>
    <w:tblPr>
      <w:tblCellMar>
        <w:top w:w="0" w:type="dxa"/>
        <w:left w:w="108" w:type="dxa"/>
        <w:bottom w:w="0" w:type="dxa"/>
        <w:right w:w="108" w:type="dxa"/>
      </w:tblCellMar>
    </w:tblPr>
  </w:style>
  <w:style w:type="paragraph" w:styleId="BodyText">
    <w:name w:val="Body Text"/>
    <w:basedOn w:val="Normal"/>
    <w:next w:val="Normal"/>
    <w:uiPriority w:val="1"/>
    <w:qFormat/>
    <w:pPr>
      <w:autoSpaceDE w:val="0"/>
      <w:autoSpaceDN w:val="0"/>
      <w:adjustRightInd w:val="0"/>
      <w:spacing w:before="162"/>
      <w:ind w:left="120"/>
      <w:jc w:val="left"/>
    </w:pPr>
    <w:rPr>
      <w:rFonts w:ascii="宋体"/>
      <w:kern w:val="0"/>
      <w:sz w:val="20"/>
      <w:szCs w:val="21"/>
    </w:rPr>
  </w:style>
  <w:style w:type="paragraph" w:styleId="annotationtext">
    <w:name w:val="annotation text"/>
    <w:basedOn w:val="Normal"/>
    <w:uiPriority w:val="99"/>
    <w:unhideWhenUsed/>
    <w:qFormat/>
    <w:pPr>
      <w:jc w:val="left"/>
    </w:pPr>
    <w:rPr/>
  </w:style>
  <w:style w:type="paragraph" w:styleId="Date">
    <w:name w:val="Date"/>
    <w:basedOn w:val="Normal"/>
    <w:next w:val="Normal"/>
    <w:uiPriority w:val="99"/>
    <w:unhideWhenUsed/>
    <w:qFormat/>
    <w:pPr>
      <w:ind w:left="100" w:leftChars="2500"/>
    </w:pPr>
    <w:rPr/>
  </w:style>
  <w:style w:type="paragraph" w:styleId="BalloonText">
    <w:name w:val="Balloon Text"/>
    <w:basedOn w:val="Normal"/>
    <w:uiPriority w:val="99"/>
    <w:unhideWhenUsed/>
    <w:qFormat/>
    <w:rPr>
      <w:kern w:val="0"/>
      <w:sz w:val="18"/>
      <w:szCs w:val="18"/>
    </w:rPr>
  </w:style>
  <w:style w:type="paragraph" w:styleId="Footer">
    <w:name w:val="Footer"/>
    <w:basedOn w:val="Normal"/>
    <w:uiPriority w:val="99"/>
    <w:unhideWhenUsed/>
    <w:qFormat/>
    <w:pPr>
      <w:tabs>
        <w:tab w:val="center" w:pos="4153"/>
        <w:tab w:val="right" w:pos="8306"/>
      </w:tabs>
      <w:snapToGrid w:val="0"/>
      <w:jc w:val="left"/>
    </w:pPr>
    <w:rPr>
      <w:kern w:val="0"/>
      <w:sz w:val="18"/>
      <w:szCs w:val="18"/>
    </w:rPr>
  </w:style>
  <w:style w:type="paragraph" w:styleId="Header">
    <w:name w:val="Header"/>
    <w:basedOn w:val="Normal"/>
    <w:uiPriority w:val="99"/>
    <w:unhideWhenUsed/>
    <w:qFormat/>
    <w:pPr>
      <w:pBdr>
        <w:bottom w:val="single" w:sz="6" w:space="1" w:color="auto"/>
      </w:pBdr>
      <w:tabs>
        <w:tab w:val="center" w:pos="4153"/>
        <w:tab w:val="right" w:pos="8306"/>
      </w:tabs>
      <w:snapToGrid w:val="0"/>
      <w:jc w:val="center"/>
    </w:pPr>
    <w:rPr>
      <w:kern w:val="0"/>
      <w:sz w:val="18"/>
      <w:szCs w:val="18"/>
    </w:rPr>
  </w:style>
  <w:style w:type="paragraph" w:styleId="FootnoteText">
    <w:name w:val="Footnote Text"/>
    <w:basedOn w:val="Normal"/>
    <w:uiPriority w:val="99"/>
    <w:semiHidden/>
    <w:unhideWhenUsed/>
    <w:qFormat/>
    <w:pPr>
      <w:snapToGrid w:val="0"/>
      <w:jc w:val="left"/>
    </w:pPr>
    <w:rPr>
      <w:sz w:val="18"/>
      <w:szCs w:val="18"/>
    </w:rPr>
  </w:style>
  <w:style w:type="paragraph" w:styleId="HTMLPreformatted">
    <w:name w:val="HTML Preformatted"/>
    <w:basedOn w:val="Normal"/>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szCs w:val="24"/>
    </w:rPr>
  </w:style>
  <w:style w:type="paragraph" w:styleId="Normal(Web)">
    <w:name w:val="Normal (Web)"/>
    <w:basedOn w:val="Normal"/>
    <w:uiPriority w:val="99"/>
    <w:unhideWhenUsed/>
    <w:qFormat/>
    <w:pPr>
      <w:widowControl/>
      <w:spacing w:before="100" w:beforeAutospacing="1" w:after="100" w:afterAutospacing="1"/>
      <w:jc w:val="left"/>
    </w:pPr>
    <w:rPr>
      <w:rFonts w:ascii="宋体" w:hAnsi="宋体" w:cs="宋体"/>
      <w:kern w:val="0"/>
      <w:sz w:val="24"/>
      <w:szCs w:val="24"/>
    </w:rPr>
  </w:style>
  <w:style w:type="paragraph" w:styleId="annotationsubject">
    <w:name w:val="annotation subject"/>
    <w:basedOn w:val="annotationtext"/>
    <w:uiPriority w:val="99"/>
    <w:unhideWhenUsed/>
    <w:qFormat/>
    <w:rPr>
      <w:b/>
      <w:bCs/>
    </w:rPr>
  </w:style>
  <w:style w:type="table" w:styleId="TableGrid">
    <w:name w:val="Table Grid"/>
    <w:basedOn w:val="TableNormal"/>
    <w:uiPriority w:val="59"/>
    <w:qForm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Pr>
      <w:rFonts w:ascii="Times New Roman" w:eastAsia="宋体" w:hAnsi="Times New Roman" w:cs="Times New Roman"/>
      <w:b/>
      <w:bCs/>
    </w:rPr>
  </w:style>
  <w:style w:type="character" w:styleId="Hyperlink">
    <w:name w:val="Hyperlink"/>
    <w:uiPriority w:val="99"/>
    <w:unhideWhenUsed/>
    <w:qFormat/>
    <w:rPr>
      <w:rFonts w:ascii="Times New Roman" w:eastAsia="宋体" w:hAnsi="Times New Roman" w:cs="Times New Roman"/>
      <w:color w:val="0000FF"/>
      <w:u w:val="single"/>
    </w:rPr>
  </w:style>
  <w:style w:type="character" w:styleId="annotationreference">
    <w:name w:val="annotation reference"/>
    <w:uiPriority w:val="99"/>
    <w:unhideWhenUsed/>
    <w:qFormat/>
    <w:rPr>
      <w:rFonts w:ascii="Times New Roman" w:eastAsia="宋体" w:hAnsi="Times New Roman" w:cs="Times New Roman"/>
      <w:sz w:val="21"/>
      <w:szCs w:val="21"/>
    </w:rPr>
  </w:style>
  <w:style w:type="character" w:styleId="FootnoteReference">
    <w:name w:val="Footnote Reference"/>
    <w:uiPriority w:val="99"/>
    <w:semiHidden/>
    <w:unhideWhenUsed/>
    <w:qFormat/>
    <w:rPr>
      <w:rFonts w:ascii="Times New Roman" w:eastAsia="宋体" w:hAnsi="Times New Roman" w:cs="Times New Roman"/>
      <w:vertAlign w:val="superscript"/>
    </w:rPr>
  </w:style>
  <w:style w:type="character" w:customStyle="1" w:styleId="批注文字字符">
    <w:name w:val="批注文字 字符"/>
    <w:uiPriority w:val="99"/>
    <w:qFormat/>
    <w:rPr>
      <w:rFonts w:ascii="Times New Roman" w:eastAsia="宋体" w:hAnsi="Times New Roman" w:cs="Times New Roman"/>
    </w:rPr>
  </w:style>
  <w:style w:type="character" w:customStyle="1" w:styleId="标题3字符">
    <w:name w:val="标题 3 字符"/>
    <w:uiPriority w:val="1"/>
    <w:qFormat/>
    <w:rPr>
      <w:rFonts w:ascii="宋体" w:eastAsia="宋体" w:hAnsi="Times New Roman" w:cs="Times New Roman"/>
      <w:b/>
      <w:bCs/>
      <w:kern w:val="0"/>
      <w:sz w:val="20"/>
      <w:szCs w:val="21"/>
    </w:rPr>
  </w:style>
  <w:style w:type="character" w:customStyle="1" w:styleId="脚注文本字符1">
    <w:name w:val="脚注文本 字符1"/>
    <w:uiPriority w:val="99"/>
    <w:semiHidden/>
    <w:qFormat/>
    <w:rPr>
      <w:rFonts w:ascii="Times New Roman" w:eastAsia="宋体" w:hAnsi="Times New Roman" w:cs="Times New Roman"/>
      <w:sz w:val="18"/>
      <w:szCs w:val="18"/>
    </w:rPr>
  </w:style>
  <w:style w:type="character" w:customStyle="1" w:styleId="标题2字符">
    <w:name w:val="标题 2 字符"/>
    <w:uiPriority w:val="9"/>
    <w:qFormat/>
    <w:rPr>
      <w:rFonts w:ascii="Cambria" w:eastAsia="宋体" w:hAnsi="Cambria" w:cs="Times New Roman"/>
      <w:b/>
      <w:bCs/>
      <w:kern w:val="0"/>
      <w:sz w:val="32"/>
      <w:szCs w:val="32"/>
    </w:rPr>
  </w:style>
  <w:style w:type="character" w:customStyle="1" w:styleId="正文文本字符">
    <w:name w:val="正文文本 字符"/>
    <w:uiPriority w:val="1"/>
    <w:qFormat/>
    <w:rPr>
      <w:rFonts w:ascii="宋体" w:eastAsia="宋体" w:hAnsi="Times New Roman" w:cs="Times New Roman"/>
      <w:kern w:val="0"/>
      <w:sz w:val="20"/>
      <w:szCs w:val="21"/>
    </w:rPr>
  </w:style>
  <w:style w:type="character" w:customStyle="1" w:styleId="脚注文本字符">
    <w:name w:val="脚注文本 字符"/>
    <w:uiPriority w:val="99"/>
    <w:semiHidden/>
    <w:qFormat/>
    <w:rPr>
      <w:rFonts w:ascii="Times New Roman" w:eastAsia="宋体" w:hAnsi="Times New Roman" w:cs="Times New Roman"/>
      <w:kern w:val="2"/>
      <w:sz w:val="18"/>
      <w:szCs w:val="18"/>
    </w:rPr>
  </w:style>
  <w:style w:type="character" w:customStyle="1" w:styleId="批注主题字符">
    <w:name w:val="批注主题 字符"/>
    <w:uiPriority w:val="99"/>
    <w:semiHidden/>
    <w:qFormat/>
    <w:rPr>
      <w:rFonts w:ascii="Times New Roman" w:eastAsia="宋体" w:hAnsi="Times New Roman" w:cs="Times New Roman"/>
      <w:b/>
      <w:bCs/>
    </w:rPr>
  </w:style>
  <w:style w:type="character" w:customStyle="1" w:styleId="日期字符">
    <w:name w:val="日期 字符"/>
    <w:basedOn w:val="DefaultParagraphFont"/>
    <w:uiPriority w:val="99"/>
    <w:semiHidden/>
    <w:qFormat/>
    <w:rPr>
      <w:rFonts w:ascii="Times New Roman" w:eastAsia="宋体" w:hAnsi="Times New Roman" w:cs="Times New Roman"/>
    </w:rPr>
  </w:style>
  <w:style w:type="character" w:customStyle="1" w:styleId="标题1字符">
    <w:name w:val="标题 1 字符"/>
    <w:uiPriority w:val="1"/>
    <w:qFormat/>
    <w:rPr>
      <w:rFonts w:ascii="黑体" w:eastAsia="黑体" w:hAnsi="Times New Roman" w:cs="Times New Roman"/>
      <w:b/>
      <w:bCs/>
      <w:kern w:val="0"/>
      <w:sz w:val="36"/>
      <w:szCs w:val="36"/>
    </w:rPr>
  </w:style>
  <w:style w:type="character" w:customStyle="1" w:styleId="页脚字符">
    <w:name w:val="页脚 字符"/>
    <w:uiPriority w:val="99"/>
    <w:qFormat/>
    <w:rPr>
      <w:rFonts w:ascii="Times New Roman" w:eastAsia="宋体" w:hAnsi="Times New Roman" w:cs="Times New Roman"/>
      <w:kern w:val="0"/>
      <w:sz w:val="18"/>
      <w:szCs w:val="18"/>
    </w:rPr>
  </w:style>
  <w:style w:type="character" w:customStyle="1" w:styleId="页眉字符">
    <w:name w:val="页眉 字符"/>
    <w:uiPriority w:val="99"/>
    <w:qFormat/>
    <w:rPr>
      <w:rFonts w:ascii="Times New Roman" w:eastAsia="宋体" w:hAnsi="Times New Roman" w:cs="Times New Roman"/>
      <w:kern w:val="0"/>
      <w:sz w:val="18"/>
      <w:szCs w:val="18"/>
    </w:rPr>
  </w:style>
  <w:style w:type="character" w:customStyle="1" w:styleId="批注框文本字符">
    <w:name w:val="批注框文本 字符"/>
    <w:uiPriority w:val="99"/>
    <w:semiHidden/>
    <w:qFormat/>
    <w:rPr>
      <w:rFonts w:ascii="Times New Roman" w:eastAsia="宋体" w:hAnsi="Times New Roman" w:cs="Times New Roman"/>
      <w:kern w:val="0"/>
      <w:sz w:val="18"/>
      <w:szCs w:val="18"/>
    </w:rPr>
  </w:style>
  <w:style w:type="paragraph" w:customStyle="1" w:styleId="TableParagraph">
    <w:name w:val="Table Paragraph"/>
    <w:basedOn w:val="Normal"/>
    <w:uiPriority w:val="1"/>
    <w:qFormat/>
    <w:pPr>
      <w:autoSpaceDE w:val="0"/>
      <w:autoSpaceDN w:val="0"/>
      <w:adjustRightInd w:val="0"/>
      <w:jc w:val="left"/>
    </w:pPr>
    <w:rPr>
      <w:kern w:val="0"/>
      <w:sz w:val="24"/>
      <w:szCs w:val="24"/>
    </w:rPr>
  </w:style>
  <w:style w:type="paragraph" w:customStyle="1" w:styleId="Default">
    <w:name w:val="Default"/>
    <w:qFormat/>
    <w:pPr>
      <w:widowControl w:val="0"/>
      <w:autoSpaceDE w:val="0"/>
      <w:autoSpaceDN w:val="0"/>
      <w:adjustRightInd w:val="0"/>
    </w:pPr>
    <w:rPr>
      <w:rFonts w:ascii="宋体" w:eastAsia="宋体" w:hAnsi="宋体" w:cs="宋体"/>
      <w:color w:val="000000"/>
      <w:sz w:val="24"/>
      <w:szCs w:val="24"/>
      <w:lang w:val="en-US" w:eastAsia="zh-CN" w:bidi="ar-SA"/>
    </w:rPr>
  </w:style>
  <w:style w:type="paragraph" w:styleId="ListParagraph">
    <w:name w:val="List Paragraph"/>
    <w:basedOn w:val="Normal"/>
    <w:uiPriority w:val="72"/>
    <w:qFormat/>
    <w:pPr>
      <w:ind w:firstLine="420" w:firstLineChars="200"/>
    </w:pPr>
    <w:rPr/>
  </w:style>
  <w:style w:type="paragraph" w:customStyle="1" w:styleId="_Style36">
    <w:name w:val="_Style 36"/>
    <w:uiPriority w:val="99"/>
    <w:semiHidden/>
    <w:qFormat/>
    <w:rPr>
      <w:rFonts w:ascii="Times New Roman" w:eastAsia="宋体" w:hAnsi="Times New Roman" w:cs="Times New Roman"/>
      <w:kern w:val="2"/>
      <w:sz w:val="21"/>
      <w:szCs w:val="22"/>
      <w:lang w:val="en-US" w:eastAsia="zh-CN" w:bidi="ar-SA"/>
    </w:rPr>
  </w:style>
  <w:style w:type="character" w:customStyle="1" w:styleId="标题1字符1">
    <w:name w:val="标题 1 字符1"/>
    <w:link w:val="Heading1"/>
    <w:uiPriority w:val="1"/>
    <w:qFormat/>
    <w:rPr>
      <w:rFonts w:ascii="黑体" w:eastAsia="黑体" w:hAnsi="Times New Roman" w:cs="黑体"/>
      <w:b/>
      <w:bCs/>
      <w:kern w:val="0"/>
      <w:sz w:val="36"/>
      <w:szCs w:val="36"/>
    </w:rPr>
  </w:style>
  <w:style w:type="character" w:customStyle="1" w:styleId="标题2字符1">
    <w:name w:val="标题 2 字符1"/>
    <w:link w:val="Heading2"/>
    <w:uiPriority w:val="9"/>
    <w:qFormat/>
    <w:rPr>
      <w:rFonts w:ascii="Cambria" w:eastAsia="宋体" w:hAnsi="Cambria" w:cs="Times New Roman"/>
      <w:b/>
      <w:bCs/>
      <w:sz w:val="32"/>
      <w:szCs w:val="32"/>
    </w:rPr>
  </w:style>
  <w:style w:type="character" w:customStyle="1" w:styleId="标题3字符1">
    <w:name w:val="标题 3 字符1"/>
    <w:link w:val="Heading3"/>
    <w:uiPriority w:val="1"/>
    <w:qFormat/>
    <w:rPr>
      <w:rFonts w:ascii="宋体" w:eastAsia="宋体" w:hAnsi="Times New Roman" w:cs="宋体"/>
      <w:b/>
      <w:bCs/>
      <w:kern w:val="0"/>
      <w:szCs w:val="21"/>
    </w:rPr>
  </w:style>
  <w:style w:type="character" w:customStyle="1" w:styleId="批注文字字符1">
    <w:name w:val="批注文字 字符1"/>
    <w:uiPriority w:val="99"/>
    <w:qFormat/>
    <w:rPr>
      <w:rFonts w:ascii="Times New Roman" w:eastAsia="宋体" w:hAnsi="Times New Roman" w:cs="Times New Roman"/>
      <w:kern w:val="2"/>
      <w:sz w:val="21"/>
      <w:szCs w:val="22"/>
    </w:rPr>
  </w:style>
  <w:style w:type="character" w:customStyle="1" w:styleId="正文文本字符1">
    <w:name w:val="正文文本 字符1"/>
    <w:uiPriority w:val="1"/>
    <w:qFormat/>
    <w:rPr>
      <w:rFonts w:ascii="宋体" w:eastAsia="宋体" w:hAnsi="Times New Roman" w:cs="宋体"/>
      <w:kern w:val="0"/>
      <w:szCs w:val="21"/>
    </w:rPr>
  </w:style>
  <w:style w:type="character" w:customStyle="1" w:styleId="日期字符1">
    <w:name w:val="日期 字符1"/>
    <w:basedOn w:val="DefaultParagraphFont"/>
    <w:uiPriority w:val="99"/>
    <w:semiHidden/>
    <w:qFormat/>
    <w:rPr>
      <w:rFonts w:ascii="Times New Roman" w:eastAsia="宋体" w:hAnsi="Times New Roman" w:cs="Times New Roman"/>
    </w:rPr>
  </w:style>
  <w:style w:type="character" w:customStyle="1" w:styleId="批注框文本字符1">
    <w:name w:val="批注框文本 字符1"/>
    <w:uiPriority w:val="99"/>
    <w:semiHidden/>
    <w:qFormat/>
    <w:rPr>
      <w:rFonts w:ascii="Times New Roman" w:eastAsia="宋体" w:hAnsi="Times New Roman" w:cs="Times New Roman"/>
      <w:sz w:val="18"/>
      <w:szCs w:val="18"/>
    </w:rPr>
  </w:style>
  <w:style w:type="character" w:customStyle="1" w:styleId="页脚字符1">
    <w:name w:val="页脚 字符1"/>
    <w:link w:val="脚注文本字符1"/>
    <w:uiPriority w:val="99"/>
    <w:qFormat/>
    <w:rPr>
      <w:rFonts w:ascii="Times New Roman" w:eastAsia="宋体" w:hAnsi="Times New Roman" w:cs="Times New Roman"/>
      <w:sz w:val="18"/>
      <w:szCs w:val="18"/>
    </w:rPr>
  </w:style>
  <w:style w:type="character" w:customStyle="1" w:styleId="页眉字符1">
    <w:name w:val="页眉 字符1"/>
    <w:link w:val="标题3字符"/>
    <w:uiPriority w:val="99"/>
    <w:qFormat/>
    <w:rPr>
      <w:rFonts w:ascii="Times New Roman" w:eastAsia="宋体" w:hAnsi="Times New Roman" w:cs="Times New Roman"/>
      <w:sz w:val="18"/>
      <w:szCs w:val="18"/>
    </w:rPr>
  </w:style>
  <w:style w:type="character" w:customStyle="1" w:styleId="脚注文本字符2">
    <w:name w:val="脚注文本 字符2"/>
    <w:link w:val="FootnoteReference"/>
    <w:uiPriority w:val="99"/>
    <w:semiHidden/>
    <w:qFormat/>
    <w:rPr>
      <w:rFonts w:ascii="Times New Roman" w:eastAsia="宋体" w:hAnsi="Times New Roman" w:cs="Times New Roman"/>
      <w:kern w:val="2"/>
      <w:sz w:val="18"/>
      <w:szCs w:val="18"/>
    </w:rPr>
  </w:style>
  <w:style w:type="character" w:customStyle="1" w:styleId="批注主题字符1">
    <w:name w:val="批注主题 字符1"/>
    <w:uiPriority w:val="99"/>
    <w:semiHidden/>
    <w:qFormat/>
    <w:rPr>
      <w:rFonts w:ascii="Times New Roman" w:eastAsia="宋体" w:hAnsi="Times New Roman" w:cs="Times New Roman"/>
      <w:b/>
      <w:bCs/>
      <w:kern w:val="2"/>
      <w:sz w:val="21"/>
      <w:szCs w:val="22"/>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styles" Target="styles.xml" /><Relationship Id="rId11" Type="http://schemas.openxmlformats.org/officeDocument/2006/relationships/webSettings" Target="webSettings.xml" /><Relationship Id="rId12" Type="http://schemas.openxmlformats.org/officeDocument/2006/relationships/numbering" Target="numbering.xml" /><Relationship Id="rId13" Type="http://schemas.openxmlformats.org/officeDocument/2006/relationships/fontTable" Target="fontTable.xml" /><Relationship Id="rId14"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customXml" Target="../customXml/item4.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header" Target="header3.xml" /><Relationship Id="rId8" Type="http://schemas.openxmlformats.org/officeDocument/2006/relationships/footer" Target="footer1.xml" /><Relationship Id="rId9" Type="http://schemas.openxmlformats.org/officeDocument/2006/relationships/theme" Target="theme/theme1.xml" /></Relationships>
</file>

<file path=word/_rels/header1.xml.rels>&#65279;<?xml version="1.0" encoding="utf-8"?><Relationships xmlns="http://schemas.openxmlformats.org/package/2006/relationships"><Relationship Id="rId1" Type="http://schemas.openxmlformats.org/officeDocument/2006/relationships/image" Target="media/image1.png" /></Relationships>
</file>

<file path=word/_rels/header2.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_rels/header3.xml.rels>&#65279;<?xml version="1.0" encoding="utf-8"?><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_rels/item4.xml.rels>&#65279;<?xml version="1.0" encoding="utf-8"?><Relationships xmlns="http://schemas.openxmlformats.org/package/2006/relationships"><Relationship Id="rId1" Type="http://schemas.openxmlformats.org/officeDocument/2006/relationships/customXmlProps" Target="itemProps4.xml" /></Relationships>
</file>

<file path=customXml/item1.xml><?xml version="1.0" encoding="utf-8"?>
<cp:coreProperties xmlns:cp="http://schemas.openxmlformats.org/package/2006/metadata/core-properties" xmlns:dc="http://purl.org/dc/elements/1.1/" xmlns:dcterms="http://purl.org/dc/terms/" xmlns:xsi="http://www.w3.org/2001/XMLSchema-instance">
  <dcterms:created xsi:type="dcterms:W3CDTF">2024-05-11T09:26:00Z</dcterms:created>
  <dc:creator>孙伯略</dc:creator>
  <cp:lastModifiedBy>sylc</cp:lastModifiedBy>
  <cp:lastPrinted>2024-07-15T08:58:00Z</cp:lastPrinted>
  <dcterms:modified xsi:type="dcterms:W3CDTF">2026-08-05T03:47:10Z</dcterms:modified>
  <cp:revision>49</cp:revision>
</cp:coreProperties>
</file>

<file path=customXml/item2.xml><?xml version="1.0" encoding="utf-8"?>
<Properties xmlns="http://schemas.openxmlformats.org/officeDocument/2006/extended-properties" xmlns:vt="http://schemas.openxmlformats.org/officeDocument/2006/docPropsVTypes">
  <Template>Normal</Template>
  <Pages>16</Pages>
  <Words>21814</Words>
  <Characters>22616</Characters>
  <Lines>243</Lines>
  <Paragraphs>68</Paragraphs>
  <TotalTime>0</TotalTime>
  <ScaleCrop>false</ScaleCrop>
  <LinksUpToDate>false</LinksUpToDate>
  <CharactersWithSpaces>22805</CharactersWithSpaces>
  <Application>WPS Office_11.8.2.11734_F1E327BC-269C-435d-A152-05C5408002CA</Application>
  <DocSecurity>0</DocSecurity>
</Properties>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2052-11.8.2.11734</vt:lpwstr>
  </property>
  <property fmtid="{D5CDD505-2E9C-101B-9397-08002B2CF9AE}" pid="3" name="ICV">
    <vt:lpwstr>3D9DA4FEC1AC4898A5CD8A2776F83D6F</vt:lpwstr>
  </property>
</Properties>
</file>

<file path=customXml/item4.xml><?xml version="1.0" encoding="utf-8"?>
<s:customData xmlns="http://www.wps.cn/officeDocument/2013/wpsCustomData" xmlns:s="http://www.wps.cn/officeDocument/2013/wpsCustomData">
  <customSectProps>
    <customSectPr/>
  </customSectProps>
  <customShpExts>
    <customShpInfo spid="_x0000_s1031"/>
    <customShpInfo spid="_x0000_s1030"/>
    <customShpInfo spid="_x0000_s1029"/>
    <customShpInfo spid="_x0000_s1032"/>
  </customShpExts>
</s:customDat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
  <ds:schemaRefs/>
</ds:datastoreItem>
</file>

<file path=customXml/itemProps4.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vt="http://schemas.openxmlformats.org/officeDocument/2006/docPropsVTypes" xmlns="http://schemas.openxmlformats.org/officeDocument/2006/extended-properties">
  <Template>Normal</Template>
  <TotalTime>0</TotalTime>
  <Pages>16</Pages>
  <Words>21814</Words>
  <Characters>22616</Characters>
  <Application>WPS Office_11.8.2.11734_F1E327BC-269C-435d-A152-05C5408002CA</Application>
  <DocSecurity>0</DocSecurity>
  <Lines>243</Lines>
  <Paragraphs>68</Paragraphs>
  <CharactersWithSpaces>22805</CharactersWithSpaces>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孙伯略</dc:creator>
  <cp:lastModifiedBy>sylc</cp:lastModifiedBy>
  <cp:revision>49</cp:revision>
  <cp:lastPrinted>2024-07-15T08:58:00Z</cp:lastPrinted>
  <dcterms:created xsi:type="dcterms:W3CDTF">2024-05-11T09:26:00Z</dcterms:created>
  <dcterms:modified xsi:type="dcterms:W3CDTF">2026-08-19T08:22:09Z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str>2052-11.8.2.11734</vt:lpstr>
  </property>
  <property fmtid="{D5CDD505-2E9C-101B-9397-08002B2CF9AE}" pid="3" name="ICV">
    <vt:lpstr>3D9DA4FEC1AC4898A5CD8A2776F83D6F</vt:lpstr>
  </property>
</Properties>
</file>