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spacing w:before="0" w:beforeAutospacing="0" w:after="0" w:afterAutospacing="0" w:line="36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rPr>
        <w:t>“苏银理财恒源封闭纯债377期</w:t>
      </w:r>
      <w:r>
        <w:rPr>
          <w:rFonts w:hint="eastAsia" w:ascii="楷体" w:hAnsi="楷体" w:eastAsia="楷体"/>
          <w:b/>
          <w:color w:val="auto"/>
          <w:sz w:val="28"/>
          <w:szCs w:val="28"/>
          <w:highlight w:val="none"/>
        </w:rPr>
        <w:t>”理财产品说明书</w:t>
      </w:r>
    </w:p>
    <w:p>
      <w:pPr>
        <w:jc w:val="center"/>
        <w:rPr>
          <w:rFonts w:hint="eastAsia" w:ascii="楷体" w:hAnsi="楷体" w:eastAsia="楷体" w:cs="宋体"/>
          <w:b/>
          <w:bCs/>
          <w:color w:val="auto"/>
          <w:sz w:val="24"/>
          <w:szCs w:val="24"/>
        </w:rPr>
      </w:pPr>
      <w:r>
        <w:rPr>
          <w:rFonts w:hint="eastAsia" w:ascii="楷体" w:hAnsi="楷体" w:eastAsia="楷体" w:cs="宋体"/>
          <w:b/>
          <w:color w:val="auto"/>
          <w:sz w:val="24"/>
          <w:szCs w:val="24"/>
        </w:rPr>
        <w:t>2026年9月版</w:t>
      </w:r>
    </w:p>
    <w:p>
      <w:pPr>
        <w:jc w:val="center"/>
        <w:rPr>
          <w:rFonts w:hint="eastAsia" w:ascii="楷体" w:hAnsi="楷体" w:eastAsia="楷体"/>
          <w:b/>
          <w:bCs/>
          <w:color w:val="auto"/>
          <w:sz w:val="24"/>
          <w:szCs w:val="24"/>
        </w:rPr>
      </w:pPr>
      <w:r>
        <w:rPr>
          <w:rFonts w:hint="eastAsia" w:ascii="楷体" w:hAnsi="楷体" w:eastAsia="楷体" w:cs="宋体"/>
          <w:b/>
          <w:color w:val="auto"/>
          <w:sz w:val="24"/>
          <w:szCs w:val="24"/>
        </w:rPr>
        <w:t>理财非存款、产品有风险、投资须谨慎</w:t>
      </w:r>
    </w:p>
    <w:p>
      <w:pPr>
        <w:rPr>
          <w:rFonts w:hint="eastAsia" w:ascii="楷体" w:hAnsi="楷体" w:eastAsia="楷体"/>
          <w:b/>
          <w:color w:val="auto"/>
          <w:sz w:val="21"/>
          <w:szCs w:val="21"/>
        </w:rPr>
      </w:pPr>
      <w:r>
        <w:rPr>
          <w:rFonts w:hint="eastAsia" w:ascii="楷体" w:hAnsi="楷体" w:eastAsia="楷体"/>
          <w:b/>
          <w:color w:val="auto"/>
          <w:sz w:val="21"/>
          <w:szCs w:val="21"/>
        </w:rPr>
        <w:t>重要须知</w:t>
      </w:r>
    </w:p>
    <w:p>
      <w:pPr>
        <w:numPr>
          <w:ilvl w:val="0"/>
          <w:numId w:val="1"/>
        </w:numPr>
        <w:ind w:left="420" w:hanging="420"/>
        <w:rPr>
          <w:rFonts w:ascii="楷体" w:hAnsi="楷体" w:eastAsia="楷体"/>
          <w:sz w:val="21"/>
          <w:szCs w:val="21"/>
        </w:rPr>
      </w:pPr>
      <w:r>
        <w:rPr>
          <w:rFonts w:hint="eastAsia" w:ascii="楷体" w:hAnsi="楷体" w:eastAsia="楷体"/>
          <w:sz w:val="21"/>
          <w:szCs w:val="21"/>
        </w:rPr>
        <w:t>在购买本理财产品前，投资者应确保自己完全理解该项投资的性质和所涉及的风险，详细了解和审慎评估该理财产品的</w:t>
      </w:r>
      <w:r>
        <w:rPr>
          <w:rFonts w:hint="eastAsia" w:ascii="楷体" w:hAnsi="楷体" w:eastAsia="楷体"/>
          <w:sz w:val="21"/>
          <w:szCs w:val="21"/>
          <w:lang w:val="en-US" w:eastAsia="zh-CN"/>
        </w:rPr>
        <w:t>投资范围</w:t>
      </w:r>
      <w:r>
        <w:rPr>
          <w:rFonts w:hint="eastAsia" w:ascii="楷体" w:hAnsi="楷体" w:eastAsia="楷体"/>
          <w:sz w:val="21"/>
          <w:szCs w:val="21"/>
        </w:rPr>
        <w:t>、风险类型等基本情况，在慎重考虑后自行决定购买与自身风险承受能力和资产管理需求匹配的理财产品。</w:t>
      </w:r>
    </w:p>
    <w:p>
      <w:pPr>
        <w:numPr>
          <w:ilvl w:val="0"/>
          <w:numId w:val="1"/>
        </w:numPr>
        <w:ind w:left="420" w:hanging="420"/>
        <w:rPr>
          <w:rFonts w:ascii="楷体" w:hAnsi="楷体" w:eastAsia="楷体"/>
          <w:b/>
          <w:sz w:val="21"/>
          <w:szCs w:val="21"/>
          <w:u w:val="single"/>
        </w:rPr>
      </w:pPr>
      <w:r>
        <w:rPr>
          <w:rFonts w:hint="eastAsia" w:ascii="楷体" w:hAnsi="楷体" w:eastAsia="楷体"/>
          <w:b/>
          <w:sz w:val="21"/>
          <w:szCs w:val="21"/>
          <w:u w:val="single"/>
        </w:rPr>
        <w:t>本理财产品不保证本金及收益，您的本金可能因市场变动</w:t>
      </w:r>
      <w:r>
        <w:rPr>
          <w:rFonts w:hint="eastAsia" w:ascii="楷体" w:hAnsi="楷体" w:eastAsia="楷体"/>
          <w:b/>
          <w:sz w:val="21"/>
          <w:szCs w:val="21"/>
          <w:u w:val="single"/>
          <w:lang w:val="en-US" w:eastAsia="zh-CN"/>
        </w:rPr>
        <w:t>或者交易违约等事项</w:t>
      </w:r>
      <w:r>
        <w:rPr>
          <w:rFonts w:hint="eastAsia" w:ascii="楷体" w:hAnsi="楷体" w:eastAsia="楷体"/>
          <w:b/>
          <w:sz w:val="21"/>
          <w:szCs w:val="21"/>
          <w:u w:val="single"/>
        </w:rPr>
        <w:t>而蒙受相应损失，投资者应充分认识投资风险，谨慎投资</w:t>
      </w:r>
      <w:r>
        <w:rPr>
          <w:rFonts w:hint="eastAsia" w:ascii="楷体" w:hAnsi="楷体" w:eastAsia="楷体"/>
          <w:b/>
          <w:sz w:val="21"/>
          <w:szCs w:val="21"/>
          <w:u w:val="single"/>
          <w:lang w:eastAsia="zh-CN"/>
        </w:rPr>
        <w:t>。</w:t>
      </w:r>
    </w:p>
    <w:p>
      <w:pPr>
        <w:numPr>
          <w:ilvl w:val="0"/>
          <w:numId w:val="1"/>
        </w:numPr>
        <w:ind w:left="420" w:hanging="420"/>
        <w:rPr>
          <w:rFonts w:ascii="楷体" w:hAnsi="楷体" w:eastAsia="楷体"/>
          <w:b/>
          <w:sz w:val="21"/>
          <w:szCs w:val="21"/>
          <w:u w:val="single"/>
        </w:rPr>
      </w:pPr>
      <w:r>
        <w:rPr>
          <w:rFonts w:hint="eastAsia" w:ascii="楷体" w:hAnsi="楷体" w:eastAsia="楷体"/>
          <w:b/>
          <w:sz w:val="21"/>
          <w:szCs w:val="21"/>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u w:val="single"/>
        </w:rPr>
      </w:pPr>
      <w:r>
        <w:rPr>
          <w:rFonts w:hint="eastAsia" w:ascii="楷体" w:hAnsi="楷体" w:eastAsia="楷体"/>
          <w:b/>
          <w:sz w:val="21"/>
          <w:szCs w:val="21"/>
          <w:u w:val="single"/>
        </w:rPr>
        <w:t>本理财产品任何业绩比较基准</w:t>
      </w:r>
      <w:r>
        <w:rPr>
          <w:rFonts w:hint="eastAsia" w:ascii="楷体" w:hAnsi="楷体" w:eastAsia="楷体"/>
          <w:b/>
          <w:sz w:val="21"/>
          <w:szCs w:val="21"/>
          <w:u w:val="single"/>
          <w:lang w:val="en-US" w:eastAsia="zh-CN"/>
        </w:rPr>
        <w:t>及</w:t>
      </w:r>
      <w:r>
        <w:rPr>
          <w:rFonts w:hint="eastAsia" w:ascii="楷体" w:hAnsi="楷体" w:eastAsia="楷体"/>
          <w:b/>
          <w:sz w:val="21"/>
          <w:szCs w:val="21"/>
          <w:u w:val="single"/>
        </w:rPr>
        <w:t>类似表述均属不具有法律约束力的用语</w:t>
      </w:r>
      <w:r>
        <w:rPr>
          <w:rFonts w:hint="eastAsia" w:ascii="楷体" w:hAnsi="楷体" w:eastAsia="楷体"/>
          <w:b/>
          <w:sz w:val="21"/>
          <w:szCs w:val="21"/>
          <w:u w:val="single"/>
          <w:lang w:eastAsia="zh-CN"/>
        </w:rPr>
        <w:t>。</w:t>
      </w:r>
      <w:r>
        <w:rPr>
          <w:rFonts w:hint="eastAsia" w:ascii="楷体" w:hAnsi="楷体" w:eastAsia="楷体"/>
          <w:b/>
          <w:sz w:val="21"/>
          <w:szCs w:val="21"/>
          <w:u w:val="single"/>
        </w:rPr>
        <w:t>业绩比较基准</w:t>
      </w:r>
      <w:r>
        <w:rPr>
          <w:rFonts w:hint="eastAsia" w:ascii="楷体" w:hAnsi="楷体" w:eastAsia="楷体"/>
          <w:b/>
          <w:sz w:val="21"/>
          <w:szCs w:val="21"/>
          <w:u w:val="single"/>
          <w:lang w:val="en-US" w:eastAsia="zh-CN"/>
        </w:rPr>
        <w:t>为</w:t>
      </w:r>
      <w:r>
        <w:rPr>
          <w:rFonts w:hint="eastAsia" w:ascii="楷体" w:hAnsi="楷体" w:eastAsia="楷体"/>
          <w:b/>
          <w:sz w:val="21"/>
          <w:szCs w:val="21"/>
          <w:u w:val="single"/>
        </w:rPr>
        <w:t>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rPr>
      </w:pPr>
      <w:r>
        <w:rPr>
          <w:rFonts w:hint="eastAsia" w:ascii="楷体" w:hAnsi="楷体" w:eastAsia="楷体"/>
          <w:sz w:val="21"/>
          <w:szCs w:val="21"/>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rPr>
      </w:pPr>
      <w:r>
        <w:rPr>
          <w:rFonts w:hint="eastAsia" w:ascii="楷体" w:hAnsi="楷体" w:eastAsia="楷体"/>
          <w:sz w:val="21"/>
          <w:szCs w:val="21"/>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lang w:eastAsia="zh-CN"/>
        </w:rPr>
        <w:t>（</w:t>
      </w:r>
      <w:r>
        <w:rPr>
          <w:rFonts w:hint="eastAsia" w:ascii="楷体" w:hAnsi="楷体" w:eastAsia="楷体"/>
          <w:sz w:val="21"/>
          <w:szCs w:val="21"/>
          <w:lang w:val="en-US" w:eastAsia="zh-CN"/>
        </w:rPr>
        <w:t>如有）</w:t>
      </w:r>
      <w:r>
        <w:rPr>
          <w:rFonts w:hint="eastAsia" w:ascii="楷体" w:hAnsi="楷体" w:eastAsia="楷体"/>
          <w:sz w:val="21"/>
          <w:szCs w:val="21"/>
        </w:rPr>
        <w:t>、不可抗力风险</w:t>
      </w:r>
      <w:r>
        <w:rPr>
          <w:rFonts w:hint="eastAsia" w:ascii="楷体" w:hAnsi="楷体" w:eastAsia="楷体"/>
          <w:sz w:val="21"/>
          <w:szCs w:val="21"/>
          <w:lang w:eastAsia="zh-CN"/>
        </w:rPr>
        <w:t>、</w:t>
      </w:r>
      <w:r>
        <w:rPr>
          <w:rFonts w:hint="eastAsia" w:ascii="楷体" w:hAnsi="楷体" w:eastAsia="楷体"/>
          <w:sz w:val="21"/>
          <w:szCs w:val="21"/>
          <w:lang w:val="en-US" w:eastAsia="zh-CN"/>
        </w:rPr>
        <w:t>关联关系及关联交易风险、</w:t>
      </w:r>
      <w:r>
        <w:rPr>
          <w:rFonts w:hint="eastAsia" w:ascii="楷体" w:hAnsi="楷体" w:eastAsia="楷体"/>
          <w:sz w:val="21"/>
          <w:szCs w:val="21"/>
          <w:lang w:eastAsia="zh-CN"/>
        </w:rPr>
        <w:t>特定投资标的风险</w:t>
      </w:r>
      <w:r>
        <w:rPr>
          <w:rFonts w:hint="eastAsia" w:ascii="楷体" w:hAnsi="楷体" w:eastAsia="楷体"/>
          <w:sz w:val="21"/>
          <w:szCs w:val="21"/>
        </w:rPr>
        <w:t>等。请仔细阅读《“</w:t>
      </w:r>
      <w:r>
        <w:rPr>
          <w:rFonts w:hint="eastAsia" w:ascii="楷体" w:hAnsi="楷体" w:eastAsia="楷体"/>
          <w:b w:val="0"/>
          <w:bCs w:val="0"/>
          <w:sz w:val="21"/>
          <w:szCs w:val="21"/>
          <w:highlight w:val="none"/>
          <w:lang w:eastAsia="zh-CN"/>
        </w:rPr>
        <w:t>苏银理财恒源封闭纯债377期</w:t>
      </w:r>
      <w:r>
        <w:rPr>
          <w:rFonts w:hint="eastAsia" w:ascii="楷体" w:hAnsi="楷体" w:eastAsia="楷体"/>
          <w:sz w:val="21"/>
          <w:szCs w:val="21"/>
        </w:rPr>
        <w:t>”理财产品风险揭示书》的“风险揭示”部分。</w:t>
      </w:r>
    </w:p>
    <w:p>
      <w:pPr>
        <w:numPr>
          <w:ilvl w:val="0"/>
          <w:numId w:val="1"/>
        </w:numPr>
        <w:ind w:left="420" w:hanging="420"/>
        <w:rPr>
          <w:rFonts w:ascii="楷体" w:hAnsi="楷体" w:eastAsia="楷体"/>
          <w:b/>
          <w:sz w:val="21"/>
          <w:szCs w:val="21"/>
          <w:highlight w:val="none"/>
          <w:u w:val="single"/>
        </w:rPr>
      </w:pPr>
      <w:r>
        <w:rPr>
          <w:rFonts w:hint="eastAsia" w:ascii="楷体" w:hAnsi="楷体" w:eastAsia="楷体" w:cs="楷体"/>
          <w:b/>
          <w:bCs/>
          <w:sz w:val="21"/>
          <w:szCs w:val="21"/>
          <w:highlight w:val="none"/>
          <w:u w:val="single"/>
          <w:lang w:val="en-US" w:eastAsia="zh-CN"/>
        </w:rPr>
        <w:t>本产品可设置多类份额，各类份额可能设置不同的销售对象、销售起点、业绩比较基准等，各类份额实际收取的销售服务费率、投资管理费率、超额业绩报酬（如有）等可能存在差异，投资者应根据实际情况自主选择购买。</w:t>
      </w:r>
    </w:p>
    <w:p>
      <w:pPr>
        <w:numPr>
          <w:ilvl w:val="0"/>
          <w:numId w:val="1"/>
        </w:numPr>
        <w:ind w:left="420" w:hanging="42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ascii="楷体" w:hAnsi="楷体" w:eastAsia="楷体"/>
          <w:sz w:val="21"/>
          <w:szCs w:val="21"/>
          <w:highlight w:val="none"/>
        </w:rPr>
      </w:pPr>
      <w:r>
        <w:rPr>
          <w:rFonts w:hint="eastAsia" w:ascii="楷体" w:hAnsi="楷体" w:eastAsia="楷体"/>
          <w:sz w:val="21"/>
          <w:szCs w:val="21"/>
        </w:rPr>
        <w:t>在本产品存续期内，如因监管政策或法律法规发生变化，在不损害投资者利益的前提下</w:t>
      </w:r>
      <w:r>
        <w:rPr>
          <w:rFonts w:hint="eastAsia" w:ascii="楷体" w:hAnsi="楷体" w:eastAsia="楷体"/>
          <w:sz w:val="21"/>
          <w:szCs w:val="21"/>
          <w:highlight w:val="none"/>
        </w:rPr>
        <w:t>，苏银理财有权单方对本产品条款进行修订，并按本理财产品说明书约定的信息披露方式予以披露。</w:t>
      </w:r>
    </w:p>
    <w:p>
      <w:pPr>
        <w:keepNext w:val="0"/>
        <w:keepLines w:val="0"/>
        <w:pageBreakBefore w:val="0"/>
        <w:widowControl w:val="0"/>
        <w:numPr>
          <w:ilvl w:val="0"/>
          <w:numId w:val="2"/>
        </w:numPr>
        <w:tabs>
          <w:tab w:val="left" w:pos="1134"/>
        </w:tabs>
        <w:bidi w:val="0"/>
        <w:ind w:left="0" w:firstLine="422"/>
        <w:outlineLvl w:val="0"/>
        <w:rPr>
          <w:rFonts w:hint="eastAsia" w:ascii="楷体" w:hAnsi="楷体" w:eastAsia="楷体"/>
          <w:b/>
          <w:color w:val="auto"/>
          <w:sz w:val="21"/>
          <w:szCs w:val="21"/>
        </w:rPr>
      </w:pPr>
      <w:r>
        <w:rPr>
          <w:rFonts w:hint="eastAsia" w:ascii="楷体" w:hAnsi="楷体" w:eastAsia="楷体"/>
          <w:b/>
          <w:color w:val="auto"/>
          <w:sz w:val="21"/>
          <w:szCs w:val="21"/>
        </w:rPr>
        <w:t>产品要素</w:t>
      </w:r>
    </w:p>
    <w:p>
      <w:pPr>
        <w:ind w:firstLine="420"/>
        <w:rPr>
          <w:rFonts w:ascii="楷体" w:hAnsi="楷体" w:eastAsia="楷体" w:cs="Calibri"/>
          <w:color w:val="auto"/>
          <w:sz w:val="21"/>
          <w:szCs w:val="21"/>
        </w:rPr>
      </w:pPr>
      <w:r>
        <w:rPr>
          <w:rFonts w:hint="eastAsia" w:ascii="楷体" w:hAnsi="楷体" w:eastAsia="楷体" w:cs="Calibri"/>
          <w:color w:val="auto"/>
          <w:sz w:val="21"/>
          <w:szCs w:val="21"/>
        </w:rPr>
        <w:t>为保护投资者合法权益，尊重投资者的知情权和自主选择权，现将本理财产品的基本要素说明如下：</w:t>
      </w:r>
    </w:p>
    <w:tbl>
      <w:tblPr>
        <w:tblStyle w:val="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产品名称</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highlight w:val="none"/>
                <w:lang w:eastAsia="zh-CN"/>
              </w:rPr>
            </w:pPr>
            <w:r>
              <w:rPr>
                <w:rFonts w:hint="eastAsia" w:ascii="楷体" w:hAnsi="楷体" w:eastAsia="楷体" w:cs="宋体"/>
                <w:color w:val="auto"/>
                <w:spacing w:val="-2"/>
                <w:sz w:val="18"/>
                <w:szCs w:val="18"/>
                <w:highlight w:val="none"/>
                <w:lang w:eastAsia="zh-CN"/>
              </w:rPr>
              <w:t>苏银理财恒源封闭纯债377期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ind w:left="0"/>
              <w:jc w:val="both"/>
              <w:outlineLvl w:val="9"/>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理财产品登记编码</w:t>
            </w:r>
          </w:p>
        </w:tc>
        <w:tc>
          <w:tcPr>
            <w:tcW w:w="7937" w:type="dxa"/>
            <w:noWrap w:val="0"/>
            <w:vAlign w:val="center"/>
          </w:tcPr>
          <w:p>
            <w:pPr>
              <w:pStyle w:val="198"/>
              <w:keepNext w:val="0"/>
              <w:keepLines w:val="0"/>
              <w:pageBreakBefore w:val="0"/>
              <w:widowControl w:val="0"/>
              <w:bidi w:val="0"/>
              <w:spacing w:line="0" w:lineRule="atLeast"/>
              <w:ind w:left="0" w:right="0"/>
              <w:jc w:val="both"/>
              <w:rPr>
                <w:rFonts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Z7003126000384，投资者可依据该编码在中国理财网www.chinawealth.com.cn查询产品信息。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198"/>
              <w:keepNext w:val="0"/>
              <w:keepLines w:val="0"/>
              <w:pageBreakBefore w:val="0"/>
              <w:widowControl w:val="0"/>
              <w:bidi w:val="0"/>
              <w:spacing w:before="0" w:line="0" w:lineRule="atLeast"/>
              <w:jc w:val="both"/>
              <w:outlineLvl w:val="9"/>
              <w:rPr>
                <w:rFonts w:ascii="楷体" w:hAnsi="楷体" w:eastAsia="楷体" w:cs="宋体"/>
                <w:b/>
                <w:color w:val="auto"/>
                <w:spacing w:val="-2"/>
                <w:sz w:val="18"/>
                <w:szCs w:val="18"/>
                <w:highlight w:val="none"/>
              </w:rPr>
            </w:pPr>
            <w:r>
              <w:rPr>
                <w:rFonts w:hint="eastAsia" w:ascii="楷体" w:hAnsi="楷体" w:eastAsia="楷体" w:cs="宋体"/>
                <w:b/>
                <w:spacing w:val="-2"/>
                <w:sz w:val="18"/>
                <w:szCs w:val="18"/>
                <w:lang w:val="en-US" w:eastAsia="zh-CN"/>
              </w:rPr>
              <w:t>销售名称</w:t>
            </w:r>
            <w:r>
              <w:rPr>
                <w:rFonts w:hint="eastAsia" w:ascii="楷体" w:hAnsi="楷体" w:eastAsia="楷体" w:cs="宋体"/>
                <w:b/>
                <w:spacing w:val="-2"/>
                <w:sz w:val="18"/>
                <w:szCs w:val="18"/>
              </w:rPr>
              <w:t>/销售代码</w:t>
            </w:r>
          </w:p>
        </w:tc>
        <w:tc>
          <w:tcPr>
            <w:tcW w:w="7937" w:type="dxa"/>
            <w:shd w:val="clear" w:color="auto" w:fill="auto"/>
            <w:noWrap w:val="0"/>
            <w:vAlign w:val="center"/>
          </w:tcPr>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A份额：苏银理财恒源封闭纯债377期6月A/J27127</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B份额：苏银理财恒源封闭纯债377期6月B/J27128</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C份额：苏银理财恒源封闭纯债377期6月C/J27129</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D份额：苏银理财恒源封闭纯债377期6月D/J27130</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F份额：苏银理财恒源封闭纯债377期6月F/J27131</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G份额：苏银理财恒源封闭纯债377期6月G/J27132</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H份额：苏银理财恒源封闭纯债377期6月H/J27133</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J份额：苏银理财恒源封闭纯债377期6月J/J27134</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K份额：苏银理财恒源封闭纯债377期6月K/J27135</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L份额：苏银理财恒源封闭纯债377期6月L/J27136</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M份额：苏银理财恒源封闭纯债377期6月M/J27137</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I份额：苏银理财恒源封闭纯债377期6月I/J27138</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N份额：苏银理财恒源封闭纯债377期6月N（新客专属）/J27139</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天府·优选份额：苏银理财恒源封闭纯债377期6月（天府·优选）/J27140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rPr>
              <w:t>产品类型</w:t>
            </w:r>
          </w:p>
        </w:tc>
        <w:tc>
          <w:tcPr>
            <w:tcW w:w="7937" w:type="dxa"/>
            <w:shd w:val="clear" w:color="auto" w:fill="auto"/>
            <w:noWrap w:val="0"/>
            <w:vAlign w:val="center"/>
          </w:tcPr>
          <w:p>
            <w:pPr>
              <w:pStyle w:val="198"/>
              <w:keepNext w:val="0"/>
              <w:keepLines w:val="0"/>
              <w:pageBreakBefore w:val="0"/>
              <w:widowControl w:val="0"/>
              <w:bidi w:val="0"/>
              <w:spacing w:line="0" w:lineRule="atLeast"/>
              <w:ind w:left="0" w:right="0"/>
              <w:jc w:val="both"/>
              <w:rPr>
                <w:rFonts w:hint="eastAsia" w:ascii="楷体" w:hAnsi="楷体" w:eastAsia="楷体" w:cs="宋体"/>
                <w:b/>
                <w:color w:val="auto"/>
                <w:spacing w:val="-2"/>
                <w:sz w:val="18"/>
                <w:szCs w:val="18"/>
                <w:u w:val="single"/>
                <w:lang w:val="en-US" w:eastAsia="zh-CN" w:bidi="ar-SA"/>
              </w:rPr>
            </w:pPr>
            <w:r>
              <w:rPr>
                <w:rFonts w:hint="eastAsia" w:ascii="楷体" w:hAnsi="楷体" w:eastAsia="楷体" w:cs="宋体"/>
                <w:b/>
                <w:color w:val="auto"/>
                <w:spacing w:val="-2"/>
                <w:sz w:val="18"/>
                <w:szCs w:val="18"/>
                <w:highlight w:val="none"/>
                <w:u w:val="single"/>
              </w:rPr>
              <w:t>固定收益类、公募、封闭式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产品内部风险评级</w:t>
            </w:r>
          </w:p>
        </w:tc>
        <w:tc>
          <w:tcPr>
            <w:tcW w:w="7937" w:type="dxa"/>
            <w:noWrap w:val="0"/>
            <w:vAlign w:val="center"/>
          </w:tcPr>
          <w:p>
            <w:pPr>
              <w:keepNext w:val="0"/>
              <w:keepLines w:val="0"/>
              <w:pageBreakBefore w:val="0"/>
              <w:widowControl w:val="0"/>
              <w:numPr>
                <w:ilvl w:val="0"/>
                <w:numId w:val="0"/>
              </w:numPr>
              <w:bidi w:val="0"/>
              <w:spacing w:line="0" w:lineRule="atLeast"/>
              <w:ind w:left="0" w:right="0" w:firstLine="0"/>
              <w:rPr>
                <w:rFonts w:hint="eastAsia" w:ascii="楷体" w:hAnsi="楷体" w:eastAsia="楷体"/>
                <w:color w:val="auto"/>
                <w:sz w:val="18"/>
                <w:szCs w:val="18"/>
              </w:rPr>
            </w:pPr>
            <w:r>
              <w:rPr>
                <w:rFonts w:hint="eastAsia" w:ascii="楷体" w:hAnsi="楷体" w:eastAsia="楷体"/>
                <w:color w:val="auto"/>
                <w:sz w:val="18"/>
                <w:szCs w:val="18"/>
                <w:lang w:val="en-US" w:eastAsia="zh-CN"/>
              </w:rPr>
              <w:t>1.</w:t>
            </w:r>
            <w:r>
              <w:rPr>
                <w:rFonts w:hint="eastAsia" w:ascii="楷体" w:hAnsi="楷体" w:eastAsia="楷体"/>
                <w:color w:val="auto"/>
                <w:sz w:val="18"/>
                <w:szCs w:val="18"/>
              </w:rPr>
              <w:t>本理财产品经苏银理财内部风险评级为</w:t>
            </w:r>
            <w:r>
              <w:rPr>
                <w:rFonts w:hint="eastAsia" w:ascii="楷体" w:hAnsi="楷体" w:eastAsia="楷体"/>
                <w:b/>
                <w:color w:val="auto"/>
                <w:sz w:val="18"/>
                <w:szCs w:val="18"/>
                <w:u w:val="single"/>
              </w:rPr>
              <w:t>★★二级，适合中低风险型投资者，适合投资策略为稳健发展</w:t>
            </w:r>
            <w:r>
              <w:rPr>
                <w:rFonts w:hint="eastAsia" w:ascii="楷体" w:hAnsi="楷体" w:eastAsia="楷体"/>
                <w:b/>
                <w:color w:val="auto"/>
                <w:sz w:val="18"/>
                <w:szCs w:val="18"/>
                <w:u w:val="single"/>
                <w:lang w:val="en-US" w:eastAsia="zh-CN"/>
              </w:rPr>
              <w:t>的投资者</w:t>
            </w:r>
            <w:r>
              <w:rPr>
                <w:rFonts w:hint="eastAsia" w:ascii="楷体" w:hAnsi="楷体" w:eastAsia="楷体"/>
                <w:color w:val="auto"/>
                <w:sz w:val="18"/>
                <w:szCs w:val="18"/>
              </w:rPr>
              <w:t>。本评级为</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内部评级，由</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根据理财产品的投资组合、同类产品过往业绩和风险状况等因素，对理财产品进行评级，仅供</w:t>
            </w:r>
            <w:r>
              <w:rPr>
                <w:rFonts w:hint="eastAsia" w:ascii="楷体" w:hAnsi="楷体" w:eastAsia="楷体"/>
                <w:color w:val="auto"/>
                <w:sz w:val="18"/>
                <w:szCs w:val="18"/>
                <w:lang w:val="en-US" w:eastAsia="zh-CN"/>
              </w:rPr>
              <w:t>投资者</w:t>
            </w:r>
            <w:r>
              <w:rPr>
                <w:rFonts w:hint="eastAsia" w:ascii="楷体" w:hAnsi="楷体" w:eastAsia="楷体"/>
                <w:color w:val="auto"/>
                <w:sz w:val="18"/>
                <w:szCs w:val="18"/>
              </w:rPr>
              <w:t>参考。理财产品存续期间，若市场环境等因素发生变化，在符合监管政策要求的前提下管理人可对产品风险评级进行调整，并及时将调整情况向投资者披露。</w:t>
            </w:r>
          </w:p>
          <w:tbl>
            <w:tblPr>
              <w:tblStyle w:val="3"/>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489"/>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风险星级</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风险级别</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适合的投资者类别</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tcBorders>
                    <w:bottom w:val="single" w:color="auto" w:sz="4" w:space="0"/>
                  </w:tcBorders>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一级（PR1）</w:t>
                  </w:r>
                </w:p>
              </w:tc>
              <w:tc>
                <w:tcPr>
                  <w:tcW w:w="1493"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低风险型</w:t>
                  </w:r>
                </w:p>
              </w:tc>
              <w:tc>
                <w:tcPr>
                  <w:tcW w:w="1229"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二级（PR2）</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中低风险型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三级（PR3）</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四级（PR4）</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五级（PR5）</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风险承受</w:t>
                  </w:r>
                </w:p>
              </w:tc>
            </w:tr>
          </w:tbl>
          <w:p>
            <w:pPr>
              <w:keepNext w:val="0"/>
              <w:keepLines w:val="0"/>
              <w:pageBreakBefore w:val="0"/>
              <w:widowControl w:val="0"/>
              <w:numPr>
                <w:ilvl w:val="0"/>
                <w:numId w:val="0"/>
              </w:numPr>
              <w:bidi w:val="0"/>
              <w:spacing w:line="0" w:lineRule="atLeast"/>
              <w:ind w:left="0" w:right="0" w:firstLine="0"/>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keepNext w:val="0"/>
              <w:keepLines w:val="0"/>
              <w:pageBreakBefore w:val="0"/>
              <w:widowControl w:val="0"/>
              <w:bidi w:val="0"/>
              <w:spacing w:line="0" w:lineRule="atLeast"/>
              <w:ind w:left="0" w:right="0" w:firstLine="0"/>
              <w:jc w:val="both"/>
              <w:rPr>
                <w:rFonts w:ascii="楷体" w:hAnsi="楷体" w:eastAsia="楷体" w:cs="宋体"/>
                <w:color w:val="auto"/>
                <w:spacing w:val="-2"/>
                <w:sz w:val="18"/>
                <w:szCs w:val="18"/>
              </w:rPr>
            </w:pPr>
            <w:r>
              <w:rPr>
                <w:rFonts w:hint="eastAsia" w:ascii="楷体" w:hAnsi="楷体" w:eastAsia="楷体"/>
                <w:color w:val="auto"/>
                <w:sz w:val="18"/>
                <w:szCs w:val="18"/>
                <w:lang w:val="en-US" w:eastAsia="zh-CN"/>
              </w:rPr>
              <w:t>3.</w:t>
            </w:r>
            <w:r>
              <w:rPr>
                <w:rFonts w:hint="eastAsia" w:ascii="楷体" w:hAnsi="楷体" w:eastAsia="楷体"/>
                <w:color w:val="auto"/>
                <w:sz w:val="18"/>
                <w:szCs w:val="18"/>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销售对象</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A份额：面向个人和机构投资者销售；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B份额：面向个人和机构投资者销售；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C份额：面向个人和机构投资者销售；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D份额：面向个人和机构投资者销售；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F份额：面向个人和机构投资者销售；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G份额：面向个人和机构投资者销售；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H份额：面向个人和机构投资者销售；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J份额：面向个人和机构投资者销售；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K份额：面向个人和机构投资者销售；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L份额：面向个人和机构投资者销售；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M份额：面向个人和机构投资者销售；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I份额：面向个人和机构投资者销售；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N份额：面向个人和机构投资者销售；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rPr>
              <w:t>天府·优选份额：面向个人和机构投资者销售。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币种</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ascii="楷体" w:hAnsi="楷体" w:eastAsia="楷体" w:cs="宋体"/>
                <w:color w:val="auto"/>
                <w:spacing w:val="-2"/>
                <w:sz w:val="18"/>
                <w:szCs w:val="18"/>
              </w:rPr>
            </w:pPr>
            <w:r>
              <w:rPr>
                <w:rFonts w:hint="eastAsia" w:ascii="楷体" w:hAnsi="楷体" w:eastAsia="楷体" w:cs="宋体"/>
                <w:color w:val="auto"/>
                <w:spacing w:val="-2"/>
                <w:sz w:val="18"/>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lang w:val="en-US" w:eastAsia="zh-CN" w:bidi="ar-SA"/>
              </w:rPr>
            </w:pPr>
            <w:r>
              <w:rPr>
                <w:rFonts w:hint="eastAsia" w:ascii="楷体" w:hAnsi="楷体" w:eastAsia="楷体" w:cs="宋体"/>
                <w:b/>
                <w:color w:val="auto"/>
                <w:spacing w:val="-2"/>
                <w:sz w:val="18"/>
                <w:szCs w:val="18"/>
              </w:rPr>
              <w:t>份额面值</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lang w:val="en-US" w:eastAsia="zh-CN" w:bidi="ar-SA"/>
              </w:rPr>
            </w:pPr>
            <w:r>
              <w:rPr>
                <w:rFonts w:hint="eastAsia" w:ascii="楷体" w:hAnsi="楷体" w:eastAsia="楷体" w:cs="宋体"/>
                <w:color w:val="auto"/>
                <w:spacing w:val="-2"/>
                <w:sz w:val="18"/>
                <w:szCs w:val="18"/>
              </w:rPr>
              <w:t>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highlight w:val="none"/>
              </w:rPr>
              <w:t>计划发行规模</w:t>
            </w:r>
          </w:p>
        </w:tc>
        <w:tc>
          <w:tcPr>
            <w:tcW w:w="7937" w:type="dxa"/>
            <w:noWrap w:val="0"/>
            <w:vAlign w:val="center"/>
          </w:tcPr>
          <w:p>
            <w:pPr>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highlight w:val="none"/>
                <w:lang w:val="en-US" w:eastAsia="zh-CN"/>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highlight w:val="none"/>
                <w:lang w:val="en-US" w:eastAsia="zh-CN"/>
              </w:rPr>
              <w:t>最低发行规模</w:t>
            </w:r>
          </w:p>
        </w:tc>
        <w:tc>
          <w:tcPr>
            <w:tcW w:w="7937" w:type="dxa"/>
            <w:noWrap w:val="0"/>
            <w:vAlign w:val="center"/>
          </w:tcPr>
          <w:p>
            <w:pPr>
              <w:pStyle w:val="198"/>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highlight w:val="none"/>
                <w:lang w:val="en-US" w:eastAsia="zh-CN" w:bidi="ar-SA"/>
              </w:rPr>
            </w:pPr>
            <w:r>
              <w:rPr>
                <w:rFonts w:hint="eastAsia" w:ascii="楷体" w:hAnsi="楷体" w:eastAsia="楷体" w:cs="宋体"/>
                <w:color w:val="auto"/>
                <w:spacing w:val="-2"/>
                <w:sz w:val="18"/>
                <w:szCs w:val="18"/>
                <w:highlight w:val="none"/>
                <w:lang w:val="en-US" w:eastAsia="zh-CN" w:bidi="ar-SA"/>
              </w:rPr>
              <w:t>本产品最低发行规模为3000万元。若产品认购规模未达到最低发行规模，或新的法律、法规或监管政策导致本产品无法合法合规运行，或出现其他导致影响产品成立不可抗力因素，产品管理人将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jc w:val="both"/>
              <w:rPr>
                <w:rFonts w:ascii="楷体" w:hAnsi="楷体" w:eastAsia="楷体" w:cs="宋体"/>
                <w:b/>
                <w:color w:val="auto"/>
                <w:spacing w:val="-2"/>
                <w:sz w:val="18"/>
                <w:szCs w:val="18"/>
              </w:rPr>
            </w:pPr>
            <w:r>
              <w:rPr>
                <w:rFonts w:hint="eastAsia" w:ascii="楷体" w:hAnsi="楷体" w:eastAsia="楷体" w:cs="宋体"/>
                <w:b/>
                <w:spacing w:val="-2"/>
                <w:sz w:val="18"/>
                <w:szCs w:val="18"/>
              </w:rPr>
              <w:t>购买起点</w:t>
            </w:r>
            <w:r>
              <w:rPr>
                <w:rFonts w:ascii="楷体" w:hAnsi="楷体" w:eastAsia="楷体" w:cs="宋体"/>
                <w:b/>
                <w:spacing w:val="-2"/>
                <w:sz w:val="18"/>
                <w:szCs w:val="18"/>
              </w:rPr>
              <w:t>/</w:t>
            </w:r>
            <w:r>
              <w:rPr>
                <w:rFonts w:hint="eastAsia" w:ascii="楷体" w:hAnsi="楷体" w:eastAsia="楷体" w:cs="宋体"/>
                <w:b/>
                <w:spacing w:val="-2"/>
                <w:sz w:val="18"/>
                <w:szCs w:val="18"/>
              </w:rPr>
              <w:t>追加金额</w:t>
            </w:r>
          </w:p>
        </w:tc>
        <w:tc>
          <w:tcPr>
            <w:tcW w:w="7937" w:type="dxa"/>
            <w:noWrap w:val="0"/>
            <w:vAlign w:val="center"/>
          </w:tcPr>
          <w:p>
            <w:pPr>
              <w:keepNext w:val="0"/>
              <w:keepLines w:val="0"/>
              <w:pageBreakBefore w:val="0"/>
              <w:bidi w:val="0"/>
              <w:spacing w:line="0" w:lineRule="atLeast"/>
              <w:ind w:left="0" w:right="0"/>
              <w:rPr>
                <w:rFonts w:hint="default" w:ascii="楷体" w:hAnsi="楷体" w:eastAsia="楷体" w:cs="宋体"/>
                <w:color w:val="auto"/>
                <w:spacing w:val="-2"/>
                <w:sz w:val="18"/>
                <w:szCs w:val="18"/>
                <w:lang w:val="en-US" w:eastAsia="zh-CN"/>
              </w:rPr>
            </w:pPr>
            <w:r>
              <w:rPr>
                <w:rFonts w:hint="eastAsia" w:ascii="楷体" w:hAnsi="楷体" w:eastAsia="楷体"/>
                <w:sz w:val="18"/>
                <w:szCs w:val="18"/>
                <w:highlight w:val="none"/>
                <w:lang w:val="en-US" w:eastAsia="zh-CN"/>
              </w:rPr>
              <w:t>A份额：1元/0.01元的整数倍；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H份额：1元/0.01元的整数倍；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K份额：1元/0.01元的整数倍；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L份额：1元/0.01元的整数倍；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M份额：1元/0.01元的整数倍；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I份额：1元/0.01元的整数倍；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N份额：1元/0.01元的整数倍；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天府·优选份额：1元/0.01元的整数倍。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lang w:val="en-US" w:eastAsia="zh-CN"/>
              </w:rPr>
              <w:t>募集期</w:t>
            </w:r>
          </w:p>
        </w:tc>
        <w:tc>
          <w:tcPr>
            <w:tcW w:w="7937" w:type="dxa"/>
            <w:noWrap w:val="0"/>
            <w:vAlign w:val="center"/>
          </w:tcPr>
          <w:p>
            <w:pPr>
              <w:pStyle w:val="198"/>
              <w:keepNext w:val="0"/>
              <w:keepLines w:val="0"/>
              <w:pageBreakBefore w:val="0"/>
              <w:widowControl w:val="0"/>
              <w:bidi w:val="0"/>
              <w:spacing w:line="0" w:lineRule="atLeast"/>
              <w:ind w:left="0"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2026年8月26日</w:t>
            </w:r>
            <w:r>
              <w:rPr>
                <w:rFonts w:hint="eastAsia" w:ascii="楷体" w:hAnsi="楷体" w:eastAsia="楷体" w:cs="宋体"/>
                <w:spacing w:val="-2"/>
                <w:sz w:val="18"/>
                <w:szCs w:val="18"/>
                <w:highlight w:val="none"/>
              </w:rPr>
              <w:t>至</w:t>
            </w:r>
            <w:r>
              <w:rPr>
                <w:rFonts w:hint="eastAsia" w:ascii="楷体" w:hAnsi="楷体" w:eastAsia="楷体" w:cs="宋体"/>
                <w:spacing w:val="-2"/>
                <w:sz w:val="18"/>
                <w:szCs w:val="18"/>
                <w:highlight w:val="none"/>
                <w:lang w:val="en-US" w:eastAsia="zh-CN"/>
              </w:rPr>
              <w:t>2026年9月1日</w:t>
            </w:r>
            <w:r>
              <w:rPr>
                <w:rFonts w:hint="eastAsia" w:ascii="楷体" w:hAnsi="楷体" w:eastAsia="楷体" w:cs="宋体"/>
                <w:spacing w:val="-2"/>
                <w:sz w:val="18"/>
                <w:szCs w:val="18"/>
                <w:highlight w:val="none"/>
              </w:rPr>
              <w:t>。</w:t>
            </w:r>
          </w:p>
          <w:p>
            <w:pPr>
              <w:pStyle w:val="198"/>
              <w:keepNext w:val="0"/>
              <w:keepLines w:val="0"/>
              <w:pageBreakBefore w:val="0"/>
              <w:bidi w:val="0"/>
              <w:spacing w:line="0" w:lineRule="atLeast"/>
              <w:ind w:left="0" w:right="0"/>
              <w:jc w:val="both"/>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投资者可于募集期结束日交易闭市前撤销认购申请，该时点后不得撤销。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rPr>
              <w:t>产品成立日</w:t>
            </w:r>
          </w:p>
        </w:tc>
        <w:tc>
          <w:tcPr>
            <w:tcW w:w="7937" w:type="dxa"/>
            <w:noWrap w:val="0"/>
            <w:vAlign w:val="center"/>
          </w:tcPr>
          <w:p>
            <w:pPr>
              <w:pStyle w:val="198"/>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2026年9月2日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w:t>
            </w:r>
            <w:r>
              <w:rPr>
                <w:rFonts w:hint="eastAsia" w:ascii="楷体" w:hAnsi="楷体" w:eastAsia="楷体" w:cs="宋体"/>
                <w:b/>
                <w:color w:val="auto"/>
                <w:spacing w:val="-2"/>
                <w:sz w:val="18"/>
                <w:szCs w:val="18"/>
                <w:lang w:val="en-US" w:eastAsia="zh-CN"/>
              </w:rPr>
              <w:t>终止日/</w:t>
            </w:r>
            <w:r>
              <w:rPr>
                <w:rFonts w:hint="eastAsia" w:ascii="楷体" w:hAnsi="楷体" w:eastAsia="楷体" w:cs="宋体"/>
                <w:b/>
                <w:color w:val="auto"/>
                <w:spacing w:val="-2"/>
                <w:sz w:val="18"/>
                <w:szCs w:val="18"/>
              </w:rPr>
              <w:t>到期日</w:t>
            </w:r>
          </w:p>
        </w:tc>
        <w:tc>
          <w:tcPr>
            <w:tcW w:w="7937" w:type="dxa"/>
            <w:noWrap w:val="0"/>
          </w:tcPr>
          <w:p>
            <w:pPr>
              <w:pStyle w:val="198"/>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2027年3月17日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如遇节假日，顺延至下一工作日。产品到期日受制于提前终止、延期终止条款。详见下文“产品终止”。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产品存续期限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196天</w:t>
            </w:r>
            <w:r>
              <w:rPr>
                <w:rFonts w:hint="eastAsia" w:ascii="楷体" w:hAnsi="楷体" w:eastAsia="楷体" w:cs="宋体"/>
                <w:color w:val="auto"/>
                <w:spacing w:val="-2"/>
                <w:sz w:val="18"/>
                <w:szCs w:val="18"/>
                <w:highlight w:val="none"/>
              </w:rPr>
              <w:t>（以理财产品实际存续天数为准）</w:t>
            </w:r>
            <w:r>
              <w:rPr>
                <w:rFonts w:hint="eastAsia" w:ascii="楷体" w:hAnsi="楷体" w:eastAsia="楷体" w:cs="宋体"/>
                <w:color w:val="auto"/>
                <w:spacing w:val="-2"/>
                <w:sz w:val="18"/>
                <w:szCs w:val="18"/>
                <w:highlight w:val="none"/>
                <w:lang w:eastAsia="zh-CN"/>
              </w:rPr>
              <w:t>。</w:t>
            </w:r>
            <w:r>
              <w:rPr>
                <w:rFonts w:hint="eastAsia" w:ascii="楷体" w:hAnsi="楷体" w:eastAsia="楷体" w:cs="宋体"/>
                <w:b/>
                <w:bCs/>
                <w:color w:val="auto"/>
                <w:spacing w:val="-2"/>
                <w:sz w:val="18"/>
                <w:szCs w:val="18"/>
                <w:highlight w:val="none"/>
                <w:u w:val="single"/>
                <w:lang w:eastAsia="zh-CN"/>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val="en-US" w:eastAsia="zh-CN"/>
              </w:rPr>
              <w:t>投资者</w:t>
            </w:r>
            <w:r>
              <w:rPr>
                <w:rFonts w:hint="eastAsia" w:ascii="楷体" w:hAnsi="楷体" w:eastAsia="楷体" w:cs="宋体"/>
                <w:b/>
                <w:spacing w:val="-2"/>
                <w:sz w:val="18"/>
                <w:szCs w:val="18"/>
                <w:highlight w:val="none"/>
              </w:rPr>
              <w:t>持有</w:t>
            </w:r>
            <w:r>
              <w:rPr>
                <w:rFonts w:hint="eastAsia" w:ascii="楷体" w:hAnsi="楷体" w:eastAsia="楷体" w:cs="宋体"/>
                <w:b/>
                <w:spacing w:val="-2"/>
                <w:sz w:val="18"/>
                <w:szCs w:val="18"/>
                <w:highlight w:val="none"/>
                <w:lang w:val="en-US" w:eastAsia="zh-CN"/>
              </w:rPr>
              <w:t>比例</w:t>
            </w:r>
            <w:r>
              <w:rPr>
                <w:rFonts w:hint="eastAsia" w:ascii="楷体" w:hAnsi="楷体" w:eastAsia="楷体" w:cs="宋体"/>
                <w:b/>
                <w:spacing w:val="-2"/>
                <w:sz w:val="18"/>
                <w:szCs w:val="18"/>
                <w:highlight w:val="none"/>
              </w:rPr>
              <w:t>上限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bidi="ar-SA"/>
              </w:rPr>
              <w:t>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业绩比较基准</w:t>
            </w:r>
          </w:p>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（年化）</w:t>
            </w:r>
          </w:p>
        </w:tc>
        <w:tc>
          <w:tcPr>
            <w:tcW w:w="7937" w:type="dxa"/>
            <w:noWrap w:val="0"/>
            <w:vAlign w:val="center"/>
          </w:tcPr>
          <w:p>
            <w:pPr>
              <w:pBdr>
                <w:top w:val="none" w:color="000000" w:sz="0" w:space="0"/>
                <w:left w:val="none" w:color="000000" w:sz="0" w:space="0"/>
                <w:bottom w:val="none" w:color="000000" w:sz="0" w:space="0"/>
                <w:right w:val="none" w:color="000000" w:sz="0" w:space="0"/>
              </w:pBdr>
              <w:ind w:left="0" w:right="0" w:firstLine="0"/>
              <w:jc w:val="both"/>
            </w:pPr>
            <w:r>
              <w:rPr>
                <w:rFonts w:hint="eastAsia" w:ascii="楷体" w:hAnsi="楷体" w:eastAsia="楷体" w:cs="宋体"/>
                <w:b/>
                <w:bCs/>
                <w:spacing w:val="-2"/>
                <w:sz w:val="18"/>
                <w:szCs w:val="18"/>
                <w:u w:val="single"/>
                <w:lang w:val="en-US" w:eastAsia="zh-CN"/>
              </w:rPr>
              <w:t>1.管理人参考过往投资经验，</w:t>
            </w:r>
            <w:r>
              <w:rPr>
                <w:rFonts w:ascii="楷体" w:hAnsi="楷体" w:eastAsia="楷体" w:cs="楷体"/>
                <w:b/>
                <w:color w:val="000000"/>
                <w:spacing w:val="-2"/>
                <w:sz w:val="18"/>
                <w:u w:val="single"/>
              </w:rPr>
              <w:t>依据近期货币市场工具、银行存款、存单、债券（含永续债）等资产投资收益水平，在产品说明书约定的投资范围和投资比例内，综合考虑各类份额收取的销售服务费和投资管理费等费用情况，模拟测算得出业绩比较基准。</w:t>
            </w:r>
          </w:p>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2.本产品业绩比较基准如下：</w:t>
            </w:r>
          </w:p>
          <w:p>
            <w:pPr>
              <w:keepNext w:val="0"/>
              <w:keepLines w:val="0"/>
              <w:pageBreakBefore w:val="0"/>
              <w:widowControl w:val="0"/>
              <w:bidi w:val="0"/>
              <w:spacing w:line="0" w:lineRule="atLeast"/>
              <w:ind w:left="0" w:right="0"/>
              <w:jc w:val="left"/>
              <w:rPr>
                <w:rFonts w:hint="default" w:ascii="楷体" w:hAnsi="楷体" w:eastAsia="楷体" w:cs="宋体"/>
                <w:b w:val="0"/>
                <w:bCs/>
                <w:spacing w:val="-2"/>
                <w:sz w:val="18"/>
                <w:szCs w:val="18"/>
                <w:highlight w:val="none"/>
                <w:u w:val="none"/>
                <w:lang w:val="en-US" w:eastAsia="zh-CN"/>
              </w:rPr>
            </w:pPr>
            <w:r>
              <w:rPr>
                <w:rFonts w:hint="eastAsia" w:ascii="楷体" w:hAnsi="楷体" w:eastAsia="楷体" w:cs="宋体"/>
                <w:b w:val="0"/>
                <w:bCs/>
                <w:spacing w:val="-2"/>
                <w:sz w:val="18"/>
                <w:szCs w:val="18"/>
                <w:highlight w:val="none"/>
                <w:u w:val="none"/>
                <w:lang w:val="en-US" w:eastAsia="zh-CN"/>
              </w:rPr>
              <w:t>A份额：1.95%；B份额：1.95%；C份额：1.92%；D份额：1.82%；F份额：2.07%；G份额：2.00%；H份额：1.80%；J份额：2.12%；K份额：1.92%；L份额：2.02%；M份额：1.82%；I份额：1.87%；N份额：2.02%；天府·优选份额：1.82%。</w:t>
            </w:r>
          </w:p>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b/>
                <w:spacing w:val="-2"/>
                <w:sz w:val="18"/>
                <w:szCs w:val="18"/>
                <w:u w:val="single"/>
                <w:lang w:val="en-US" w:eastAsia="zh-CN"/>
              </w:rPr>
              <w:t>3.</w:t>
            </w:r>
            <w:r>
              <w:rPr>
                <w:rFonts w:hint="eastAsia" w:ascii="楷体" w:hAnsi="楷体" w:eastAsia="楷体" w:cs="宋体"/>
                <w:b/>
                <w:spacing w:val="-2"/>
                <w:sz w:val="18"/>
                <w:szCs w:val="18"/>
                <w:u w:val="single"/>
              </w:rPr>
              <w:t>本产品为净值型产品，业绩表现将随市场波动，具有不确定性。业绩比较</w:t>
            </w:r>
            <w:r>
              <w:rPr>
                <w:rFonts w:hint="eastAsia" w:ascii="楷体" w:hAnsi="楷体" w:eastAsia="楷体" w:cs="宋体"/>
                <w:b/>
                <w:spacing w:val="-2"/>
                <w:sz w:val="18"/>
                <w:szCs w:val="18"/>
                <w:u w:val="single"/>
                <w:lang w:val="en-US" w:eastAsia="zh-CN"/>
              </w:rPr>
              <w:t>基准是</w:t>
            </w:r>
            <w:r>
              <w:rPr>
                <w:rFonts w:hint="eastAsia" w:ascii="楷体" w:hAnsi="楷体" w:eastAsia="楷体" w:cs="宋体"/>
                <w:b/>
                <w:spacing w:val="-2"/>
                <w:sz w:val="18"/>
                <w:szCs w:val="18"/>
                <w:u w:val="single"/>
              </w:rPr>
              <w:t>管理人基于产品性质、投资策略、过往经验等因素对产品设定的投资目标。业绩比较基准不是预期收益率，不代表产品的未来表现和实际收益，不构成对产品收益的承诺。投资者的实际收益由产品净值表现决定。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rPr>
              <w:t>产品费用</w:t>
            </w:r>
          </w:p>
        </w:tc>
        <w:tc>
          <w:tcPr>
            <w:tcW w:w="7937" w:type="dxa"/>
            <w:noWrap w:val="0"/>
            <w:vAlign w:val="center"/>
          </w:tcPr>
          <w:p>
            <w:pPr>
              <w:keepNext w:val="0"/>
              <w:keepLines w:val="0"/>
              <w:pageBreakBefore w:val="0"/>
              <w:bidi w:val="0"/>
              <w:spacing w:line="0" w:lineRule="atLeast"/>
              <w:ind w:right="0"/>
              <w:rPr>
                <w:rFonts w:hint="eastAsia" w:ascii="楷体" w:hAnsi="楷体" w:eastAsia="楷体" w:cs="宋体"/>
                <w:color w:val="auto"/>
                <w:spacing w:val="-2"/>
                <w:sz w:val="18"/>
                <w:szCs w:val="18"/>
                <w:lang w:val="en-US" w:eastAsia="zh-CN"/>
              </w:rPr>
            </w:pPr>
            <w:r>
              <w:rPr>
                <w:rFonts w:hint="eastAsia" w:ascii="楷体" w:hAnsi="楷体" w:eastAsia="楷体" w:cs="宋体"/>
                <w:color w:val="auto"/>
                <w:spacing w:val="-2"/>
                <w:sz w:val="18"/>
                <w:szCs w:val="18"/>
                <w:lang w:val="en-US" w:eastAsia="zh-CN"/>
              </w:rPr>
              <w:t>本产品费用包括托管费、销售服务费、投资管理费、信息技术服务费、超额业绩报酬（如有）以及产品运作和清算中产生的其他费用等。</w:t>
            </w:r>
          </w:p>
          <w:p>
            <w:pPr>
              <w:pStyle w:val="198"/>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rPr>
              <w:t>1.托管费率（年化）：</w:t>
            </w:r>
            <w:r>
              <w:rPr>
                <w:rFonts w:hint="eastAsia" w:ascii="楷体" w:hAnsi="楷体" w:eastAsia="楷体" w:cs="宋体"/>
                <w:b w:val="0"/>
                <w:bCs w:val="0"/>
                <w:spacing w:val="-2"/>
                <w:sz w:val="18"/>
                <w:szCs w:val="18"/>
                <w:highlight w:val="none"/>
                <w:lang w:val="en-US" w:eastAsia="zh-CN"/>
              </w:rPr>
              <w:t>0.02%</w:t>
            </w:r>
          </w:p>
          <w:p>
            <w:pPr>
              <w:pStyle w:val="198"/>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highlight w:val="none"/>
              </w:rPr>
              <w:t>2.销售服务费率（年化）：A份额：0.15%；B份额：0.15%；C份额：0.20%；D份额：0.30%；F份额：0.05%；G份额：0.12%；H份额：0.32%；J份额：0.00%；K份额：0.20%；L份额：0.10%；M份额：0.30%；I份额：0.25%；N份额：0.10%；天府·优选份额：0.30%。其中H/K/L/N份额采用一次性提取模式，其他份额采用每日计提模式</w:t>
            </w:r>
          </w:p>
          <w:p>
            <w:pPr>
              <w:pStyle w:val="198"/>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highlight w:val="none"/>
              </w:rPr>
              <w:t>3.投资管理费率（年化）：A份额：0.10%；B份额：0.10%；C份额：0.08%；D份额：0.08%；F份额：0.08%；G份额：0.08%；H份额：0.08%；J份额：0.08%；K份额：0.08%；L份额：0.08%；M份额：0.08%；I份额：0.08%；N份额：0.08%；天府·优选份额：0.08%</w:t>
            </w:r>
          </w:p>
          <w:p>
            <w:pPr>
              <w:pStyle w:val="198"/>
              <w:keepNext w:val="0"/>
              <w:keepLines w:val="0"/>
              <w:pageBreakBefore w:val="0"/>
              <w:widowControl w:val="0"/>
              <w:bidi w:val="0"/>
              <w:spacing w:line="0" w:lineRule="atLeast"/>
              <w:ind w:right="0"/>
              <w:rPr>
                <w:rFonts w:hint="default" w:ascii="楷体" w:hAnsi="楷体" w:eastAsia="楷体" w:cs="宋体"/>
                <w:b w:val="0"/>
                <w:bCs w:val="0"/>
                <w:spacing w:val="-2"/>
                <w:sz w:val="18"/>
                <w:szCs w:val="18"/>
                <w:highlight w:val="none"/>
                <w:lang w:val="en-US" w:eastAsia="zh-CN"/>
              </w:rPr>
            </w:pPr>
            <w:r>
              <w:rPr>
                <w:rFonts w:hint="eastAsia" w:ascii="楷体" w:hAnsi="楷体" w:eastAsia="楷体" w:cs="宋体"/>
                <w:b w:val="0"/>
                <w:bCs w:val="0"/>
                <w:spacing w:val="-2"/>
                <w:sz w:val="18"/>
                <w:szCs w:val="18"/>
                <w:highlight w:val="none"/>
                <w:lang w:val="en-US" w:eastAsia="zh-CN"/>
              </w:rPr>
              <w:t>4.信息技术服务费（年化）：0.002%</w:t>
            </w:r>
          </w:p>
          <w:p>
            <w:pPr>
              <w:keepNext w:val="0"/>
              <w:keepLines w:val="0"/>
              <w:pageBreakBefore w:val="0"/>
              <w:bidi w:val="0"/>
              <w:spacing w:line="0" w:lineRule="atLeast"/>
              <w:ind w:right="0"/>
              <w:rPr>
                <w:rFonts w:hint="eastAsia" w:ascii="楷体" w:hAnsi="楷体" w:eastAsia="楷体" w:cs="宋体"/>
                <w:b w:val="0"/>
                <w:bCs w:val="0"/>
                <w:color w:val="auto"/>
                <w:spacing w:val="-2"/>
                <w:sz w:val="18"/>
                <w:szCs w:val="18"/>
                <w:highlight w:val="none"/>
              </w:rPr>
            </w:pPr>
            <w:r>
              <w:rPr>
                <w:rFonts w:hint="eastAsia" w:ascii="楷体" w:hAnsi="楷体" w:eastAsia="楷体" w:cs="宋体"/>
                <w:b w:val="0"/>
                <w:bCs w:val="0"/>
                <w:color w:val="auto"/>
                <w:spacing w:val="-2"/>
                <w:sz w:val="18"/>
                <w:szCs w:val="18"/>
                <w:highlight w:val="none"/>
                <w:lang w:val="en-US" w:eastAsia="zh-CN"/>
              </w:rPr>
              <w:t>5</w:t>
            </w:r>
            <w:r>
              <w:rPr>
                <w:rFonts w:hint="eastAsia" w:ascii="楷体" w:hAnsi="楷体" w:eastAsia="楷体" w:cs="宋体"/>
                <w:b w:val="0"/>
                <w:bCs w:val="0"/>
                <w:color w:val="auto"/>
                <w:spacing w:val="-2"/>
                <w:sz w:val="18"/>
                <w:szCs w:val="18"/>
                <w:highlight w:val="none"/>
              </w:rPr>
              <w:t>.超额业绩报酬</w:t>
            </w:r>
            <w:r>
              <w:rPr>
                <w:rFonts w:hint="eastAsia" w:ascii="楷体" w:hAnsi="楷体" w:eastAsia="楷体" w:cs="宋体"/>
                <w:b w:val="0"/>
                <w:bCs w:val="0"/>
                <w:color w:val="auto"/>
                <w:spacing w:val="-2"/>
                <w:sz w:val="18"/>
                <w:szCs w:val="18"/>
                <w:highlight w:val="none"/>
                <w:lang w:eastAsia="zh-CN"/>
              </w:rPr>
              <w:t>（</w:t>
            </w:r>
            <w:r>
              <w:rPr>
                <w:rFonts w:hint="eastAsia" w:ascii="楷体" w:hAnsi="楷体" w:eastAsia="楷体" w:cs="宋体"/>
                <w:b w:val="0"/>
                <w:bCs w:val="0"/>
                <w:color w:val="auto"/>
                <w:spacing w:val="-2"/>
                <w:sz w:val="18"/>
                <w:szCs w:val="18"/>
                <w:highlight w:val="none"/>
                <w:lang w:val="en-US" w:eastAsia="zh-CN"/>
              </w:rPr>
              <w:t>如有）</w:t>
            </w:r>
            <w:r>
              <w:rPr>
                <w:rFonts w:hint="eastAsia" w:ascii="楷体" w:hAnsi="楷体" w:eastAsia="楷体" w:cs="宋体"/>
                <w:b w:val="0"/>
                <w:bCs w:val="0"/>
                <w:color w:val="auto"/>
                <w:spacing w:val="-2"/>
                <w:sz w:val="18"/>
                <w:szCs w:val="18"/>
                <w:highlight w:val="none"/>
              </w:rPr>
              <w:t>：</w:t>
            </w:r>
            <w:r>
              <w:rPr>
                <w:rFonts w:hint="eastAsia" w:ascii="楷体" w:hAnsi="楷体" w:eastAsia="楷体" w:cs="宋体"/>
                <w:b w:val="0"/>
                <w:bCs w:val="0"/>
                <w:color w:val="auto"/>
                <w:spacing w:val="-2"/>
                <w:sz w:val="18"/>
                <w:szCs w:val="18"/>
              </w:rPr>
              <w:t>若产品各份额实际投资收益在扣除托管费、销售服务费、投资管理费</w:t>
            </w:r>
            <w:r>
              <w:rPr>
                <w:rFonts w:hint="eastAsia" w:ascii="楷体" w:hAnsi="楷体" w:eastAsia="楷体" w:cs="宋体"/>
                <w:b w:val="0"/>
                <w:bCs w:val="0"/>
                <w:color w:val="auto"/>
                <w:spacing w:val="-2"/>
                <w:sz w:val="18"/>
                <w:szCs w:val="18"/>
                <w:lang w:eastAsia="zh-CN"/>
              </w:rPr>
              <w:t>、</w:t>
            </w:r>
            <w:r>
              <w:rPr>
                <w:rFonts w:hint="eastAsia" w:ascii="楷体" w:hAnsi="楷体" w:eastAsia="楷体" w:cs="宋体"/>
                <w:b w:val="0"/>
                <w:bCs w:val="0"/>
                <w:color w:val="auto"/>
                <w:spacing w:val="-2"/>
                <w:sz w:val="18"/>
                <w:szCs w:val="18"/>
                <w:lang w:val="en-US" w:eastAsia="zh-CN"/>
              </w:rPr>
              <w:t>信息技术服务费</w:t>
            </w:r>
            <w:r>
              <w:rPr>
                <w:rFonts w:hint="eastAsia" w:ascii="楷体" w:hAnsi="楷体" w:eastAsia="楷体" w:cs="宋体"/>
                <w:b w:val="0"/>
                <w:bCs w:val="0"/>
                <w:color w:val="auto"/>
                <w:spacing w:val="-2"/>
                <w:sz w:val="18"/>
                <w:szCs w:val="18"/>
              </w:rPr>
              <w:t>等费用后超过各份额业绩比较基准，产品管理人将按照超出部分的50%收取超额业绩报酬。</w:t>
            </w:r>
          </w:p>
          <w:p>
            <w:pPr>
              <w:keepNext w:val="0"/>
              <w:keepLines w:val="0"/>
              <w:pageBreakBefore w:val="0"/>
              <w:bidi w:val="0"/>
              <w:spacing w:line="0" w:lineRule="atLeast"/>
              <w:ind w:right="0"/>
              <w:rPr>
                <w:rFonts w:ascii="楷体" w:hAnsi="楷体" w:eastAsia="楷体"/>
                <w:color w:val="auto"/>
                <w:sz w:val="18"/>
                <w:szCs w:val="18"/>
              </w:rPr>
            </w:pPr>
            <w:r>
              <w:rPr>
                <w:rFonts w:hint="eastAsia" w:ascii="楷体" w:hAnsi="楷体" w:eastAsia="楷体" w:cs="宋体"/>
                <w:b w:val="0"/>
                <w:bCs w:val="0"/>
                <w:color w:val="auto"/>
                <w:spacing w:val="-2"/>
                <w:sz w:val="18"/>
                <w:szCs w:val="18"/>
              </w:rPr>
              <w:t>产品存续期内理财产品将每日暂估超额业绩报酬，仅用于理财产品会计核算，并将扣除“暂估超额业绩报酬”后的理财产品份额净值按照说明书约定向投资者进行披露。理财产品实际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b w:val="0"/>
                <w:bCs w:val="0"/>
                <w:color w:val="auto"/>
                <w:spacing w:val="-2"/>
                <w:sz w:val="18"/>
                <w:szCs w:val="18"/>
                <w:lang w:val="en-US" w:eastAsia="zh-CN"/>
              </w:rPr>
              <w:t>收取</w:t>
            </w:r>
            <w:r>
              <w:rPr>
                <w:rFonts w:hint="eastAsia" w:ascii="楷体" w:hAnsi="楷体" w:eastAsia="楷体" w:cs="宋体"/>
                <w:b w:val="0"/>
                <w:bCs w:val="0"/>
                <w:color w:val="auto"/>
                <w:spacing w:val="-2"/>
                <w:sz w:val="18"/>
                <w:szCs w:val="18"/>
              </w:rPr>
              <w:t>的超额业绩报酬以到期日计提核算的数值为准。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rPr>
            </w:pPr>
            <w:r>
              <w:rPr>
                <w:rFonts w:hint="eastAsia" w:ascii="楷体" w:hAnsi="楷体" w:eastAsia="楷体" w:cs="宋体"/>
                <w:b/>
                <w:color w:val="auto"/>
                <w:spacing w:val="-2"/>
                <w:sz w:val="18"/>
                <w:szCs w:val="18"/>
                <w:lang w:val="en-US" w:eastAsia="zh-CN"/>
              </w:rPr>
              <w:t>收益分配</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本产品无分红机制，投资运作情况体现为产品净值变化。产品投资运作到期，投资收益扣除相关费用后</w:t>
            </w:r>
            <w:r>
              <w:rPr>
                <w:rFonts w:hint="eastAsia" w:ascii="楷体" w:hAnsi="楷体" w:eastAsia="楷体" w:cs="宋体"/>
                <w:spacing w:val="-2"/>
                <w:sz w:val="18"/>
                <w:szCs w:val="18"/>
                <w:highlight w:val="none"/>
                <w:lang w:val="en-US" w:eastAsia="zh-CN"/>
              </w:rPr>
              <w:t>全部</w:t>
            </w:r>
            <w:r>
              <w:rPr>
                <w:rFonts w:hint="eastAsia" w:ascii="楷体" w:hAnsi="楷体" w:eastAsia="楷体" w:cs="宋体"/>
                <w:spacing w:val="-2"/>
                <w:sz w:val="18"/>
                <w:szCs w:val="18"/>
                <w:highlight w:val="none"/>
              </w:rPr>
              <w:t>分配给投资者。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198"/>
              <w:keepNext w:val="0"/>
              <w:keepLines w:val="0"/>
              <w:pageBreakBefore w:val="0"/>
              <w:widowControl w:val="0"/>
              <w:bidi w:val="0"/>
              <w:spacing w:before="0" w:line="0" w:lineRule="atLeast"/>
              <w:ind w:left="0"/>
              <w:jc w:val="both"/>
              <w:rPr>
                <w:rFonts w:hint="default" w:ascii="楷体" w:hAnsi="楷体" w:eastAsia="楷体" w:cs="宋体"/>
                <w:b/>
                <w:color w:val="auto"/>
                <w:spacing w:val="-2"/>
                <w:sz w:val="18"/>
                <w:szCs w:val="18"/>
                <w:lang w:val="en-US"/>
              </w:rPr>
            </w:pPr>
            <w:r>
              <w:rPr>
                <w:rFonts w:hint="eastAsia" w:ascii="楷体" w:hAnsi="楷体" w:eastAsia="楷体" w:cs="宋体"/>
                <w:b/>
                <w:color w:val="auto"/>
                <w:spacing w:val="-2"/>
                <w:sz w:val="18"/>
                <w:szCs w:val="18"/>
                <w:lang w:val="en-US" w:eastAsia="zh-CN"/>
              </w:rPr>
              <w:t>税款</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rPr>
              <w:t>根据中国增值税等税收相关法律法规、税收政策等要求，</w:t>
            </w:r>
            <w:r>
              <w:rPr>
                <w:rFonts w:hint="eastAsia" w:ascii="楷体" w:hAnsi="楷体" w:eastAsia="楷体" w:cs="宋体"/>
                <w:color w:val="auto"/>
                <w:spacing w:val="-2"/>
                <w:sz w:val="18"/>
                <w:szCs w:val="18"/>
                <w:shd w:val="clear" w:color="auto" w:fill="auto"/>
                <w:lang w:val="en-US" w:eastAsia="zh-CN"/>
              </w:rPr>
              <w:t>产品</w:t>
            </w:r>
            <w:r>
              <w:rPr>
                <w:rFonts w:hint="eastAsia" w:ascii="楷体" w:hAnsi="楷体" w:eastAsia="楷体" w:cs="宋体"/>
                <w:color w:val="auto"/>
                <w:spacing w:val="-2"/>
                <w:sz w:val="18"/>
                <w:szCs w:val="18"/>
              </w:rPr>
              <w:t>应缴纳的增值税及附加税费（包括但不限于城市维护建设税、教育费附加及地方教育附加等）</w:t>
            </w:r>
            <w:r>
              <w:rPr>
                <w:rFonts w:hint="eastAsia" w:ascii="楷体" w:hAnsi="楷体" w:eastAsia="楷体" w:cs="宋体"/>
                <w:color w:val="auto"/>
                <w:spacing w:val="-2"/>
                <w:sz w:val="18"/>
                <w:szCs w:val="18"/>
                <w:lang w:eastAsia="zh-CN"/>
              </w:rPr>
              <w:t>、</w:t>
            </w:r>
            <w:r>
              <w:rPr>
                <w:rFonts w:hint="eastAsia" w:ascii="楷体" w:hAnsi="楷体" w:eastAsia="楷体" w:cs="宋体"/>
                <w:color w:val="auto"/>
                <w:spacing w:val="-2"/>
                <w:sz w:val="18"/>
                <w:szCs w:val="18"/>
                <w:lang w:val="en-US" w:eastAsia="zh-CN"/>
              </w:rPr>
              <w:t>印花税等</w:t>
            </w:r>
            <w:r>
              <w:rPr>
                <w:rFonts w:hint="eastAsia" w:ascii="楷体" w:hAnsi="楷体" w:eastAsia="楷体" w:cs="宋体"/>
                <w:color w:val="auto"/>
                <w:spacing w:val="-2"/>
                <w:sz w:val="18"/>
                <w:szCs w:val="18"/>
              </w:rPr>
              <w:t>由管理人从理财产品财产中支付，由此可能会使理财产品净值或实际收益降低。</w:t>
            </w:r>
            <w:r>
              <w:rPr>
                <w:rFonts w:hint="eastAsia" w:ascii="楷体" w:hAnsi="楷体" w:eastAsia="楷体" w:cs="宋体"/>
                <w:b/>
                <w:bCs/>
                <w:color w:val="auto"/>
                <w:spacing w:val="-2"/>
                <w:sz w:val="18"/>
                <w:szCs w:val="18"/>
                <w:u w:val="single"/>
              </w:rPr>
              <w:t>投资者从理财产品取得的收益应缴纳的税款，由投资者自行申报及缴纳。</w:t>
            </w:r>
          </w:p>
        </w:tc>
      </w:tr>
    </w:tbl>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二、</w:t>
      </w:r>
      <w:r>
        <w:rPr>
          <w:rFonts w:hint="eastAsia" w:ascii="楷体" w:hAnsi="楷体" w:eastAsia="楷体"/>
          <w:b/>
          <w:color w:val="auto"/>
          <w:sz w:val="21"/>
          <w:szCs w:val="21"/>
        </w:rPr>
        <w:t>产品管理人</w:t>
      </w:r>
    </w:p>
    <w:p>
      <w:pPr>
        <w:numPr>
          <w:ilvl w:val="0"/>
          <w:numId w:val="0"/>
        </w:numPr>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b w:val="0"/>
          <w:bCs w:val="0"/>
          <w:color w:val="auto"/>
          <w:sz w:val="21"/>
          <w:szCs w:val="21"/>
          <w:highlight w:val="none"/>
          <w:u w:val="none"/>
        </w:rPr>
        <w:t>（以下简称“苏银理财”）</w:t>
      </w:r>
      <w:r>
        <w:rPr>
          <w:rFonts w:hint="eastAsia" w:ascii="楷体" w:hAnsi="楷体" w:eastAsia="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olor w:val="auto"/>
          <w:sz w:val="21"/>
          <w:szCs w:val="21"/>
          <w:highlight w:val="none"/>
          <w:lang w:val="en-US" w:eastAsia="zh-CN"/>
        </w:rPr>
        <w:t>监管机构</w:t>
      </w:r>
      <w:r>
        <w:rPr>
          <w:rFonts w:hint="eastAsia" w:ascii="楷体" w:hAnsi="楷体" w:eastAsia="楷体"/>
          <w:color w:val="auto"/>
          <w:sz w:val="21"/>
          <w:szCs w:val="21"/>
          <w:highlight w:val="none"/>
        </w:rPr>
        <w:t>批准的其他业务等。</w:t>
      </w:r>
    </w:p>
    <w:p>
      <w:pPr>
        <w:numPr>
          <w:ilvl w:val="0"/>
          <w:numId w:val="0"/>
        </w:numPr>
        <w:ind w:left="0" w:firstLine="420"/>
        <w:rPr>
          <w:rFonts w:hint="eastAsia" w:ascii="楷体" w:hAnsi="楷体" w:eastAsia="楷体" w:cs="Times New Roman"/>
          <w:color w:val="auto"/>
          <w:sz w:val="21"/>
          <w:szCs w:val="21"/>
          <w:highlight w:val="none"/>
        </w:rPr>
      </w:pPr>
      <w:r>
        <w:rPr>
          <w:rFonts w:hint="eastAsia" w:ascii="楷体" w:hAnsi="楷体" w:eastAsia="楷体"/>
          <w:color w:val="auto"/>
          <w:sz w:val="21"/>
          <w:szCs w:val="21"/>
          <w:highlight w:val="none"/>
        </w:rPr>
        <w:t>投资者在此授权并同意苏银理财享有以下权利：</w:t>
      </w:r>
      <w:r>
        <w:rPr>
          <w:rFonts w:hint="eastAsia" w:ascii="楷体" w:hAnsi="楷体" w:eastAsia="楷体" w:cs="Times New Roman"/>
          <w:color w:val="auto"/>
          <w:sz w:val="21"/>
          <w:szCs w:val="21"/>
          <w:highlight w:val="none"/>
        </w:rPr>
        <w:t>按照本理财产品合同的约定，管理、运用和处分理财计划资金</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按照本理财产品合同的约定，及时、足额获得投资管理费</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管理人有权依照法律规定和监管机构的要求将投资者的信息向有权部门或相关机构披露</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以理财产品投资管理人的名义，依照法律法规相关规定以及代表理财产品份额持有人的利益行使代为追索的权利（包括但不限于提起诉讼/仲裁、申请保全/执行的权利）或者实施其他法律行为</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法律法规、监管政策和本理财计划文件约定的其他权利。</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三、产品托管人</w:t>
      </w:r>
    </w:p>
    <w:p>
      <w:pPr>
        <w:numPr>
          <w:ilvl w:val="0"/>
          <w:numId w:val="0"/>
        </w:numPr>
        <w:ind w:firstLine="420"/>
        <w:rPr>
          <w:rFonts w:hint="default" w:ascii="楷体" w:hAnsi="楷体" w:eastAsia="楷体"/>
          <w:color w:val="auto"/>
          <w:sz w:val="21"/>
          <w:szCs w:val="21"/>
          <w:lang w:val="en-US" w:eastAsia="zh-CN"/>
        </w:rPr>
      </w:pPr>
      <w:r>
        <w:rPr>
          <w:rFonts w:hint="eastAsia" w:ascii="楷体" w:hAnsi="楷体" w:eastAsia="楷体"/>
          <w:color w:val="auto"/>
          <w:sz w:val="21"/>
          <w:szCs w:val="21"/>
          <w:highlight w:val="none"/>
        </w:rPr>
        <w:t>本产品托管人为</w:t>
      </w:r>
      <w:r>
        <w:rPr>
          <w:rFonts w:hint="eastAsia" w:ascii="楷体" w:hAnsi="楷体" w:eastAsia="楷体"/>
          <w:b/>
          <w:bCs/>
          <w:color w:val="auto"/>
          <w:sz w:val="21"/>
          <w:szCs w:val="21"/>
          <w:highlight w:val="none"/>
          <w:u w:val="single"/>
        </w:rPr>
        <w:t>上海浦东发展银行股份有限公司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numPr>
          <w:ilvl w:val="0"/>
          <w:numId w:val="0"/>
        </w:numPr>
        <w:tabs>
          <w:tab w:val="left" w:pos="1134"/>
        </w:tabs>
        <w:ind w:left="420"/>
        <w:outlineLvl w:val="0"/>
        <w:rPr>
          <w:rFonts w:hint="eastAsia" w:ascii="楷体" w:hAnsi="楷体" w:eastAsia="楷体" w:cs="Times New Roman"/>
          <w:b/>
          <w:color w:val="auto"/>
          <w:sz w:val="21"/>
          <w:szCs w:val="21"/>
          <w:highlight w:val="none"/>
        </w:rPr>
      </w:pPr>
      <w:r>
        <w:rPr>
          <w:rFonts w:hint="eastAsia" w:ascii="楷体" w:hAnsi="楷体" w:eastAsia="楷体" w:cs="Times New Roman"/>
          <w:b/>
          <w:color w:val="auto"/>
          <w:sz w:val="21"/>
          <w:szCs w:val="21"/>
          <w:highlight w:val="none"/>
          <w:lang w:val="en-US" w:eastAsia="zh-CN"/>
        </w:rPr>
        <w:t>四、</w:t>
      </w:r>
      <w:r>
        <w:rPr>
          <w:rFonts w:hint="eastAsia" w:ascii="楷体" w:hAnsi="楷体" w:eastAsia="楷体" w:cs="Times New Roman"/>
          <w:b/>
          <w:color w:val="auto"/>
          <w:sz w:val="21"/>
          <w:szCs w:val="21"/>
          <w:highlight w:val="none"/>
        </w:rPr>
        <w:t>销售机构</w:t>
      </w:r>
    </w:p>
    <w:p>
      <w:pPr>
        <w:numPr>
          <w:ilvl w:val="0"/>
          <w:numId w:val="0"/>
        </w:numPr>
        <w:tabs>
          <w:tab w:val="left" w:pos="1134"/>
        </w:tabs>
        <w:ind w:left="0" w:firstLine="42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numPr>
          <w:ilvl w:val="0"/>
          <w:numId w:val="0"/>
        </w:num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A份额：江苏大丰农村商业银行股份有限公司/江苏东海农村商业银行股份有限公司/江苏阜宁农村商业银行股份有限公司/江苏赣榆农村商业银行股份有限公司/江苏高淳农村商业银行股份有限公司/江苏海安农村商业银行股份有限公司/江苏海门农村商业银行股份有限公司/江苏洪泽农村商业银行股份有限公司/江苏建湖农村商业银行股份有限公司/江苏江南农村商业银行股份有限公司/江苏金湖农村商业银行股份有限公司/江苏句容农村商业银行股份有限公司/江苏昆山农村商业银行股份有限公司/江苏民丰农村商业银行股份有限公司/江苏启东农村商业银行股份有限公司/江苏新沂农村商业银行股份有限公司/江苏扬中农村商业银行股份有限公司/江苏邳州农村商业银行股份有限公司/江苏沭阳农村商业银行股份有限公司/江苏泗洪农村商业银行股份有限公司/江苏泗阳农村商业银行股份有限公司/江苏盱眙农村商业银行股份有限公司/连云港东方农村商业银行股份有限公司/宁夏银行股份有限公司/苏州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B份额：甘肃银行股份有限公司/华夏银行股份有限公司/浙江网商银行股份有限公司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C份额：东营银行股份有限公司/江苏常熟农村商业银行股份有限公司/江苏丹阳农村商业银行股份有限公司/江苏东海农村商业银行股份有限公司/江苏东台农村商业银行股份有限公司/江苏淮安农村商业银行股份有限公司/江苏江都农村商业银行股份有限公司/江苏江南农村商业银行股份有限公司/江苏太仓农村商业银行股份有限公司/江苏响水农村商业银行股份有限公司/江苏扬州农村商业银行股份有限公司/江苏仪征农村商业银行股份有限公司/江苏宜兴农村商业银行股份有限公司/江苏张家港农村商业银行股份有限公司/江苏紫金农村商业银行股份有限公司/江苏溧水农村商业银行股份有限公司/江苏睢宁农村商业银行股份有限公司/九江银行股份有限公司/莱商银行股份有限公司/兰州银行股份有限公司/连云港东方农村商业银行股份有限公司/宁波东海银行股份有限公司/宁波通商银行股份有限公司/秦皇岛银行股份有限公司/青岛银行股份有限公司/威海银行股份有限公司/新疆银行股份有限公司/汉口银行股份有限公司/徽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D份额：北京农村商业银行股份有限公司/福建海峡银行股份有限公司/广西北部湾银行股份有限公司/广州农村商业银行股份有限公司/惠州农村商业银行股份有限公司/江苏常熟农村商业银行股份有限公司/江苏苏州农村商业银行股份有限公司/九江银行股份有限公司/青岛银行股份有限公司/石嘴山银行股份有限公司/无锡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F份额：江苏昆山农村商业银行股份有限公司/江苏银行股份有限公司/苏州银行股份有限公司/泰安银行股份有限公司/潍坊银行股份有限公司/汉口银行股份有限公司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G份额：吉林银行股份有限公司/江苏阜宁农村商业银行股份有限公司/江苏灌云农村商业银行股份有限公司/江苏海安农村商业银行股份有限公司/江苏溧水农村商业银行股份有限公司/兴业银行股份有限公司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H份额：宁波通商银行股份有限公司/重庆农村商业银行股份有限公司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J份额：晋商银行股份有限公司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K份额：台州银行股份有限公司/武汉农村商业银行股份有限公司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L份额：广东华润银行股份有限公司/江苏昆山农村商业银行股份有限公司/江苏太仓农村商业银行股份有限公司/台州银行股份有限公司/新疆银行股份有限公司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M份额：交通银行股份有限公司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I份额：石嘴山银行股份有限公司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N份额：武汉农村商业银行股份有限公司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天府·优选份额：成都农村商业银行股份有限公司</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五、名词释义</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在本</w:t>
      </w:r>
      <w:r>
        <w:rPr>
          <w:rFonts w:hint="eastAsia" w:ascii="楷体" w:hAnsi="楷体" w:eastAsia="楷体"/>
          <w:color w:val="auto"/>
          <w:sz w:val="21"/>
          <w:szCs w:val="21"/>
          <w:highlight w:val="none"/>
          <w:lang w:val="en-US" w:eastAsia="zh-CN"/>
        </w:rPr>
        <w:t>理财</w:t>
      </w:r>
      <w:r>
        <w:rPr>
          <w:rFonts w:hint="eastAsia" w:ascii="楷体" w:hAnsi="楷体" w:eastAsia="楷体"/>
          <w:color w:val="auto"/>
          <w:sz w:val="21"/>
          <w:szCs w:val="21"/>
          <w:highlight w:val="none"/>
        </w:rPr>
        <w:t>产品说明书中，除非上下文另有明确约定，下列用词将具有如下含义：</w:t>
      </w:r>
    </w:p>
    <w:p>
      <w:pPr>
        <w:numPr>
          <w:ilvl w:val="0"/>
          <w:numId w:val="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理财产品用语</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销售代码：指本理财产品可能</w:t>
      </w:r>
      <w:r>
        <w:rPr>
          <w:rFonts w:hint="eastAsia" w:ascii="楷体" w:hAnsi="楷体" w:eastAsia="楷体" w:cs="Calibri"/>
          <w:color w:val="auto"/>
          <w:sz w:val="21"/>
          <w:szCs w:val="21"/>
          <w:lang w:val="en-US" w:eastAsia="zh-CN"/>
        </w:rPr>
        <w:t>设置一类或多类</w:t>
      </w:r>
      <w:r>
        <w:rPr>
          <w:rFonts w:hint="eastAsia" w:ascii="楷体" w:hAnsi="楷体" w:eastAsia="楷体" w:cs="Calibri"/>
          <w:color w:val="auto"/>
          <w:sz w:val="21"/>
          <w:szCs w:val="21"/>
        </w:rPr>
        <w:t>产品份额，管理人在理财产品销售管理过程中</w:t>
      </w:r>
      <w:r>
        <w:rPr>
          <w:rFonts w:hint="eastAsia" w:ascii="楷体" w:hAnsi="楷体" w:eastAsia="楷体" w:cs="Calibri"/>
          <w:color w:val="auto"/>
          <w:sz w:val="21"/>
          <w:szCs w:val="21"/>
          <w:lang w:val="en-US" w:eastAsia="zh-CN"/>
        </w:rPr>
        <w:t>对各类份额</w:t>
      </w:r>
      <w:r>
        <w:rPr>
          <w:rFonts w:hint="eastAsia" w:ascii="楷体" w:hAnsi="楷体" w:eastAsia="楷体" w:cs="Calibri"/>
          <w:color w:val="auto"/>
          <w:sz w:val="21"/>
          <w:szCs w:val="21"/>
        </w:rPr>
        <w:t>设置的</w:t>
      </w:r>
      <w:r>
        <w:rPr>
          <w:rFonts w:hint="eastAsia" w:ascii="楷体" w:hAnsi="楷体" w:eastAsia="楷体" w:cs="Calibri"/>
          <w:color w:val="auto"/>
          <w:sz w:val="21"/>
          <w:szCs w:val="21"/>
          <w:lang w:val="en-US" w:eastAsia="zh-CN"/>
        </w:rPr>
        <w:t>内部代</w:t>
      </w:r>
      <w:r>
        <w:rPr>
          <w:rFonts w:hint="eastAsia" w:ascii="楷体" w:hAnsi="楷体" w:eastAsia="楷体" w:cs="Calibri"/>
          <w:color w:val="auto"/>
          <w:sz w:val="21"/>
          <w:szCs w:val="21"/>
        </w:rPr>
        <w:t>码。</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理财产品份额：指投资者持有本理财产品的单位数额。</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产品资产总值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指产品拥有的各类有价证券、银行存款、应收款项及其他资产的价值总和。</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指产品运作及融资时形成的负债价值总和，包括融资资金本息、应付各项费用（包括托管费、销售</w:t>
      </w:r>
      <w:r>
        <w:rPr>
          <w:rFonts w:ascii="楷体" w:hAnsi="楷体" w:eastAsia="楷体" w:cs="Calibri"/>
          <w:color w:val="auto"/>
          <w:sz w:val="21"/>
          <w:szCs w:val="21"/>
          <w:highlight w:val="none"/>
        </w:rPr>
        <w:t>服务费、</w:t>
      </w:r>
      <w:r>
        <w:rPr>
          <w:rFonts w:hint="eastAsia" w:ascii="楷体" w:hAnsi="楷体" w:eastAsia="楷体" w:cs="Calibri"/>
          <w:color w:val="auto"/>
          <w:sz w:val="21"/>
          <w:szCs w:val="21"/>
          <w:highlight w:val="none"/>
        </w:rPr>
        <w:t>投资管理费、</w:t>
      </w:r>
      <w:r>
        <w:rPr>
          <w:rFonts w:hint="eastAsia" w:ascii="楷体" w:hAnsi="楷体" w:eastAsia="楷体" w:cs="Calibri"/>
          <w:color w:val="auto"/>
          <w:sz w:val="21"/>
          <w:szCs w:val="21"/>
          <w:highlight w:val="none"/>
          <w:lang w:val="en-US" w:eastAsia="zh-CN"/>
        </w:rPr>
        <w:t>信息技术服务费、</w:t>
      </w:r>
      <w:r>
        <w:rPr>
          <w:rFonts w:hint="eastAsia" w:ascii="楷体" w:hAnsi="楷体" w:eastAsia="楷体" w:cs="Calibri"/>
          <w:color w:val="auto"/>
          <w:sz w:val="21"/>
          <w:szCs w:val="21"/>
          <w:highlight w:val="none"/>
        </w:rPr>
        <w:t>超额业绩报酬、其他费用等）、应付税金及其他应付款项等。</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理财产品资产净值/</w:t>
      </w:r>
      <w:r>
        <w:rPr>
          <w:rFonts w:hint="eastAsia" w:ascii="楷体" w:hAnsi="楷体" w:eastAsia="楷体" w:cs="Calibri"/>
          <w:color w:val="auto"/>
          <w:sz w:val="21"/>
          <w:szCs w:val="21"/>
          <w:highlight w:val="none"/>
          <w:lang w:val="en-US" w:eastAsia="zh-CN"/>
        </w:rPr>
        <w:t>净资产</w:t>
      </w:r>
      <w:r>
        <w:rPr>
          <w:rFonts w:hint="eastAsia" w:ascii="楷体" w:hAnsi="楷体" w:eastAsia="楷体" w:cs="Calibri"/>
          <w:color w:val="auto"/>
          <w:sz w:val="21"/>
          <w:szCs w:val="21"/>
          <w:highlight w:val="none"/>
        </w:rPr>
        <w:t>：</w:t>
      </w:r>
      <w:r>
        <w:rPr>
          <w:rFonts w:hint="eastAsia" w:ascii="楷体" w:hAnsi="楷体" w:eastAsia="楷体" w:cs="Calibri"/>
          <w:color w:val="auto"/>
          <w:sz w:val="21"/>
          <w:szCs w:val="21"/>
          <w:highlight w:val="none"/>
          <w:lang w:val="en-US" w:eastAsia="zh-CN"/>
        </w:rPr>
        <w:t>指产品</w:t>
      </w:r>
      <w:r>
        <w:rPr>
          <w:rFonts w:hint="eastAsia" w:ascii="楷体" w:hAnsi="楷体" w:eastAsia="楷体" w:cs="Calibri"/>
          <w:color w:val="auto"/>
          <w:sz w:val="21"/>
          <w:szCs w:val="21"/>
          <w:highlight w:val="none"/>
        </w:rPr>
        <w:t>资产总值</w:t>
      </w:r>
      <w:r>
        <w:rPr>
          <w:rFonts w:hint="eastAsia" w:ascii="楷体" w:hAnsi="楷体" w:eastAsia="楷体" w:cs="Calibri"/>
          <w:color w:val="auto"/>
          <w:sz w:val="21"/>
          <w:szCs w:val="21"/>
          <w:highlight w:val="none"/>
          <w:lang w:val="en-US" w:eastAsia="zh-CN"/>
        </w:rPr>
        <w:t>减去</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val="en-US" w:eastAsia="zh-CN"/>
        </w:rPr>
        <w:t>后的价值</w:t>
      </w:r>
      <w:r>
        <w:rPr>
          <w:rFonts w:hint="eastAsia" w:ascii="楷体" w:hAnsi="楷体" w:eastAsia="楷体" w:cs="Calibri"/>
          <w:color w:val="auto"/>
          <w:sz w:val="21"/>
          <w:szCs w:val="21"/>
          <w:highlight w:val="none"/>
        </w:rPr>
        <w:t>。</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lang w:val="en-US" w:eastAsia="zh-CN"/>
        </w:rPr>
        <w:t>流动性受限资产：</w:t>
      </w:r>
      <w:r>
        <w:rPr>
          <w:rFonts w:hint="eastAsia" w:ascii="楷体" w:hAnsi="楷体" w:eastAsia="楷体" w:cs="Calibri"/>
          <w:sz w:val="21"/>
          <w:szCs w:val="21"/>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rPr>
        <w:t>7个工作日可变现资产</w:t>
      </w:r>
      <w:r>
        <w:rPr>
          <w:rFonts w:hint="eastAsia" w:ascii="楷体" w:hAnsi="楷体" w:eastAsia="楷体" w:cs="Calibri"/>
          <w:sz w:val="21"/>
          <w:szCs w:val="21"/>
          <w:lang w:eastAsia="zh-CN"/>
        </w:rPr>
        <w:t>：</w:t>
      </w:r>
      <w:r>
        <w:rPr>
          <w:rFonts w:hint="eastAsia" w:ascii="楷体" w:hAnsi="楷体" w:eastAsia="楷体" w:cs="Calibri"/>
          <w:sz w:val="21"/>
          <w:szCs w:val="21"/>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期间与日期</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工作日：指国家法定工作日。</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交易日：</w:t>
      </w:r>
      <w:r>
        <w:rPr>
          <w:rFonts w:ascii="楷体" w:hAnsi="楷体" w:eastAsia="楷体" w:cs="Calibri"/>
          <w:color w:val="auto"/>
          <w:sz w:val="21"/>
          <w:szCs w:val="21"/>
        </w:rPr>
        <w:t>指上海证券交易所和深圳证券交易所的正常开盘交易日</w:t>
      </w:r>
      <w:r>
        <w:rPr>
          <w:rFonts w:hint="eastAsia" w:ascii="楷体" w:hAnsi="楷体" w:eastAsia="楷体" w:cs="Calibri"/>
          <w:color w:val="auto"/>
          <w:sz w:val="21"/>
          <w:szCs w:val="21"/>
        </w:rPr>
        <w:t>。</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份额登记日/份额确认日：指管理人对投资者提交的</w:t>
      </w:r>
      <w:r>
        <w:rPr>
          <w:rFonts w:hint="eastAsia" w:ascii="楷体" w:hAnsi="楷体" w:eastAsia="楷体" w:cs="Calibri"/>
          <w:color w:val="auto"/>
          <w:sz w:val="21"/>
          <w:szCs w:val="21"/>
          <w:lang w:val="en-US" w:eastAsia="zh-CN"/>
        </w:rPr>
        <w:t>购买</w:t>
      </w:r>
      <w:r>
        <w:rPr>
          <w:rFonts w:hint="eastAsia" w:ascii="楷体" w:hAnsi="楷体" w:eastAsia="楷体" w:cs="Calibri"/>
          <w:color w:val="auto"/>
          <w:sz w:val="21"/>
          <w:szCs w:val="21"/>
        </w:rPr>
        <w:t>申请进行份额登记的日期。</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产品存续期：指自理财产品成立日起，至理财产品终止日的期间。</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六、投资管理</w:t>
      </w:r>
    </w:p>
    <w:p>
      <w:pPr>
        <w:numPr>
          <w:ilvl w:val="0"/>
          <w:numId w:val="6"/>
        </w:numPr>
        <w:tabs>
          <w:tab w:val="left" w:pos="993"/>
        </w:tabs>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投资范围和比例</w:t>
      </w:r>
    </w:p>
    <w:p>
      <w:pPr>
        <w:ind w:firstLine="42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直接或间接投资于货币市场工具、银行存款、存单、债券（含永续债）和监管机构允许投资的其他标准化类资产。具体资产投资比例为：货币市场工具、债券等固定收益类资产占产品资产总值比例不低于80%，符合监管要求的其他资产占产品资产总值比例不超过20%。</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6"/>
        </w:numPr>
        <w:tabs>
          <w:tab w:val="left" w:pos="993"/>
        </w:tabs>
        <w:ind w:firstLine="0"/>
        <w:rPr>
          <w:rFonts w:hint="eastAsia" w:ascii="楷体" w:hAnsi="楷体" w:eastAsia="楷体" w:cs="Calibri"/>
          <w:color w:val="auto"/>
          <w:sz w:val="21"/>
          <w:szCs w:val="21"/>
          <w:lang w:val="en-US" w:eastAsia="zh-CN"/>
        </w:rPr>
      </w:pPr>
      <w:r>
        <w:rPr>
          <w:rFonts w:hint="eastAsia" w:ascii="楷体" w:hAnsi="楷体" w:eastAsia="楷体" w:cs="Calibri"/>
          <w:color w:val="auto"/>
          <w:sz w:val="21"/>
          <w:szCs w:val="21"/>
          <w:highlight w:val="none"/>
          <w:lang w:val="en-US" w:eastAsia="zh-CN"/>
        </w:rPr>
        <w:t>投资合作机构</w:t>
      </w:r>
    </w:p>
    <w:p>
      <w:pPr>
        <w:numPr>
          <w:ilvl w:val="0"/>
          <w:numId w:val="0"/>
        </w:numPr>
        <w:ind w:firstLine="420"/>
        <w:rPr>
          <w:rFonts w:hint="eastAsia" w:ascii="楷体" w:hAnsi="楷体" w:eastAsia="楷体"/>
          <w:color w:val="auto"/>
          <w:sz w:val="21"/>
          <w:szCs w:val="21"/>
        </w:rPr>
      </w:pPr>
      <w:r>
        <w:rPr>
          <w:rFonts w:hint="eastAsia" w:ascii="楷体" w:hAnsi="楷体" w:eastAsia="楷体"/>
          <w:color w:val="auto"/>
          <w:sz w:val="21"/>
          <w:szCs w:val="21"/>
        </w:rPr>
        <w:t>投资合作机构主要职责是对理财产品受托资金进行投资管理，</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已按投资决策流程对投资合作机构进行了准入，并持续开展投资合作机构的存续期管理。本产品投资合作机构包括：</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①</w:t>
      </w:r>
      <w:r>
        <w:rPr>
          <w:rFonts w:hint="eastAsia" w:ascii="楷体" w:hAnsi="楷体" w:eastAsia="楷体" w:cs="楷体"/>
          <w:sz w:val="21"/>
          <w:szCs w:val="21"/>
        </w:rPr>
        <w:t>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②创金合信基金管理有限公司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③</w:t>
      </w:r>
      <w:r>
        <w:rPr>
          <w:rFonts w:hint="eastAsia" w:ascii="楷体" w:hAnsi="楷体" w:eastAsia="楷体"/>
          <w:b w:val="0"/>
          <w:bCs w:val="0"/>
          <w:sz w:val="20"/>
          <w:szCs w:val="20"/>
        </w:rPr>
        <w:t>国投泰康信托有限公司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国投泰康信托有限公司是国家开发投资集团有限公司下属的混合所有制非银行金融机构，成立于1986年8月26日，总部位于北京，企业性质为中央国有企业，注册资本为26.71亿元人民币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④</w:t>
      </w:r>
      <w:r>
        <w:rPr>
          <w:rFonts w:hint="eastAsia" w:ascii="楷体" w:hAnsi="楷体" w:eastAsia="楷体"/>
          <w:b w:val="0"/>
          <w:bCs w:val="0"/>
          <w:sz w:val="20"/>
          <w:szCs w:val="20"/>
        </w:rPr>
        <w:t>国联信托股份有限公司</w:t>
      </w:r>
      <w:r>
        <w:rPr>
          <w:rFonts w:hint="eastAsia" w:ascii="楷体" w:hAnsi="楷体" w:eastAsia="楷体" w:cs="楷体"/>
          <w:sz w:val="21"/>
          <w:szCs w:val="21"/>
          <w:lang w:eastAsia="zh-CN"/>
        </w:rPr>
        <w:t>：</w:t>
      </w:r>
      <w:r>
        <w:rPr>
          <w:rFonts w:hint="eastAsia" w:ascii="楷体" w:hAnsi="楷体" w:eastAsia="楷体"/>
          <w:b w:val="0"/>
          <w:bCs w:val="0"/>
          <w:sz w:val="20"/>
          <w:szCs w:val="20"/>
        </w:rPr>
        <w:t>国联信托股份有限公司是经中国银保监会批准设立的地方国有企业，成立于1987年1月13日，总部位于江苏省无锡市，注册资本为30亿元人民币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b w:val="0"/>
          <w:bCs w:val="0"/>
          <w:sz w:val="20"/>
          <w:szCs w:val="20"/>
        </w:rPr>
      </w:pPr>
      <w:r>
        <w:rPr>
          <w:rFonts w:hint="eastAsia" w:ascii="楷体" w:hAnsi="楷体" w:eastAsia="楷体" w:cs="楷体"/>
          <w:sz w:val="21"/>
          <w:szCs w:val="21"/>
        </w:rPr>
        <w:t>⑤</w:t>
      </w:r>
      <w:r>
        <w:rPr>
          <w:rFonts w:hint="eastAsia" w:ascii="楷体" w:hAnsi="楷体" w:eastAsia="楷体"/>
          <w:b w:val="0"/>
          <w:bCs w:val="0"/>
          <w:sz w:val="20"/>
          <w:szCs w:val="20"/>
        </w:rPr>
        <w:t>国联证券资产管理有限公司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国联证券资产管理有限公司成立于2023年9月20日，注册资本为10亿元人民币，法定代表人为葛小波，注册地址位于山东省青岛市，经营范围包括证券业务及证券财务顾问服务。</w:t>
      </w:r>
    </w:p>
    <w:p>
      <w:pPr>
        <w:ind w:firstLine="420"/>
        <w:rPr>
          <w:rFonts w:hint="eastAsia"/>
          <w:lang w:eastAsia="zh-CN"/>
        </w:rPr>
      </w:pP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 6 \* GB3 \* MERGEFORMAT </w:instrText>
      </w:r>
      <w:r>
        <w:rPr>
          <w:rFonts w:hint="eastAsia" w:ascii="楷体" w:hAnsi="楷体" w:eastAsia="楷体" w:cs="楷体"/>
          <w:sz w:val="21"/>
          <w:szCs w:val="21"/>
        </w:rPr>
        <w:fldChar w:fldCharType="separate"/>
      </w:r>
      <w:r>
        <w:rPr>
          <w:rFonts w:hint="eastAsia" w:ascii="楷体" w:hAnsi="楷体" w:eastAsia="楷体" w:cs="楷体"/>
          <w:sz w:val="21"/>
          <w:szCs w:val="21"/>
        </w:rPr>
        <w:t>⑥</w:t>
      </w:r>
      <w:r>
        <w:rPr>
          <w:rFonts w:hint="eastAsia" w:ascii="楷体" w:hAnsi="楷体" w:eastAsia="楷体" w:cs="楷体"/>
          <w:sz w:val="21"/>
          <w:szCs w:val="21"/>
        </w:rPr>
        <w:fldChar w:fldCharType="end"/>
      </w:r>
      <w:r>
        <w:rPr>
          <w:rFonts w:hint="eastAsia" w:ascii="楷体" w:hAnsi="楷体" w:eastAsia="楷体" w:cs="楷体"/>
          <w:sz w:val="21"/>
          <w:szCs w:val="21"/>
        </w:rPr>
        <w:t>紫金信托有限责任公司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紫金信托有限责任公司是一家经中国银保监会批准设立的信托公司，注册资本为32.71亿元人民币，总部位于南京</w:t>
      </w:r>
      <w:r>
        <w:rPr>
          <w:rFonts w:hint="default" w:ascii="Calibri" w:hAnsi="Calibri" w:eastAsia="楷体" w:cs="Calibri"/>
          <w:b w:val="0"/>
          <w:bCs w:val="0"/>
          <w:sz w:val="21"/>
          <w:szCs w:val="21"/>
        </w:rPr>
        <w:t>。</w:t>
      </w:r>
    </w:p>
    <w:p>
      <w:pPr>
        <w:numPr>
          <w:ilvl w:val="0"/>
          <w:numId w:val="6"/>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highlight w:val="none"/>
          <w:lang w:val="en-US" w:eastAsia="zh-CN"/>
        </w:rPr>
        <w:t>投资限制</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1.本产品持有单只证券或者单只公募证券投资基金的市值不得超过产品净资产的10%.。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2.管理人全部公募产品持有单只证券或单只公募证券投资基金的市值，不得超过该证券市值或该公募证券投资基金市值的30%。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3.管理人全部产品持有单一上市公司发行的股票，不得超过该上市公司可流通股票的30%。</w:t>
      </w:r>
    </w:p>
    <w:p>
      <w:pPr>
        <w:keepNext w:val="0"/>
        <w:keepLines w:val="0"/>
        <w:pageBreakBefore w:val="0"/>
        <w:widowControl w:val="0"/>
        <w:numPr>
          <w:ilvl w:val="0"/>
          <w:numId w:val="0"/>
        </w:numPr>
        <w:tabs>
          <w:tab w:val="left" w:pos="728"/>
        </w:tabs>
        <w:bidi w:val="0"/>
        <w:ind w:left="420"/>
        <w:rPr>
          <w:rFonts w:hint="eastAsia" w:ascii="楷体" w:hAnsi="楷体" w:eastAsia="楷体" w:cs="Calibri"/>
          <w:color w:val="auto"/>
          <w:sz w:val="21"/>
          <w:szCs w:val="21"/>
        </w:rPr>
      </w:pPr>
      <w:r>
        <w:rPr>
          <w:rFonts w:hint="eastAsia" w:ascii="楷体" w:hAnsi="楷体" w:eastAsia="楷体" w:cs="Calibri"/>
          <w:color w:val="auto"/>
          <w:sz w:val="21"/>
          <w:szCs w:val="21"/>
        </w:rPr>
        <w:t>本理财产品</w:t>
      </w:r>
      <w:r>
        <w:rPr>
          <w:rFonts w:hint="eastAsia" w:ascii="楷体" w:hAnsi="楷体" w:eastAsia="楷体" w:cs="Calibri"/>
          <w:color w:val="auto"/>
          <w:sz w:val="21"/>
          <w:szCs w:val="21"/>
          <w:lang w:val="en-US" w:eastAsia="zh-CN"/>
        </w:rPr>
        <w:t>杠杆率</w:t>
      </w:r>
      <w:r>
        <w:rPr>
          <w:rFonts w:hint="eastAsia" w:ascii="楷体" w:hAnsi="楷体" w:eastAsia="楷体" w:cs="Calibri"/>
          <w:color w:val="auto"/>
          <w:sz w:val="21"/>
          <w:szCs w:val="21"/>
        </w:rPr>
        <w:t>不超过</w:t>
      </w:r>
      <w:r>
        <w:rPr>
          <w:rFonts w:hint="eastAsia" w:ascii="楷体" w:hAnsi="楷体" w:eastAsia="楷体" w:cs="Calibri"/>
          <w:color w:val="auto"/>
          <w:sz w:val="21"/>
          <w:szCs w:val="21"/>
          <w:highlight w:val="none"/>
          <w:lang w:val="en-US" w:eastAsia="zh-CN"/>
        </w:rPr>
        <w:t>200%</w:t>
      </w:r>
      <w:r>
        <w:rPr>
          <w:rFonts w:hint="eastAsia" w:ascii="楷体" w:hAnsi="楷体" w:eastAsia="楷体" w:cs="Calibri"/>
          <w:color w:val="auto"/>
          <w:sz w:val="21"/>
          <w:szCs w:val="21"/>
        </w:rPr>
        <w:t>。</w:t>
      </w:r>
    </w:p>
    <w:p>
      <w:pPr>
        <w:keepNext w:val="0"/>
        <w:keepLines w:val="0"/>
        <w:pageBreakBefore w:val="0"/>
        <w:widowControl w:val="0"/>
        <w:numPr>
          <w:ilvl w:val="0"/>
          <w:numId w:val="0"/>
        </w:numPr>
        <w:tabs>
          <w:tab w:val="left" w:pos="993"/>
        </w:tabs>
        <w:bidi w:val="0"/>
        <w:ind w:firstLine="210"/>
        <w:outlineLvl w:val="9"/>
        <w:rPr>
          <w:rFonts w:hint="eastAsia" w:ascii="楷体" w:hAnsi="楷体" w:eastAsia="楷体" w:cs="Calibri"/>
          <w:b w:val="0"/>
          <w:bCs/>
          <w:sz w:val="21"/>
          <w:szCs w:val="21"/>
          <w:lang w:val="en-US" w:eastAsia="zh-CN"/>
        </w:rPr>
      </w:pPr>
      <w:r>
        <w:rPr>
          <w:rFonts w:hint="eastAsia" w:ascii="楷体" w:hAnsi="楷体" w:eastAsia="楷体" w:cs="Calibri"/>
          <w:b w:val="0"/>
          <w:bCs/>
          <w:sz w:val="21"/>
          <w:szCs w:val="21"/>
          <w:lang w:val="en-US" w:eastAsia="zh-CN"/>
        </w:rPr>
        <w:t>（四）投资管理调整</w:t>
      </w:r>
    </w:p>
    <w:p>
      <w:pPr>
        <w:keepNext w:val="0"/>
        <w:keepLines w:val="0"/>
        <w:pageBreakBefore w:val="0"/>
        <w:widowControl w:val="0"/>
        <w:bidi w:val="0"/>
        <w:spacing w:before="0"/>
        <w:ind w:left="0" w:firstLine="420"/>
        <w:jc w:val="both"/>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如监管有最新规定的，可参照监管规定执行。</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七、</w:t>
      </w:r>
      <w:r>
        <w:rPr>
          <w:rFonts w:hint="eastAsia" w:ascii="楷体" w:hAnsi="楷体" w:eastAsia="楷体"/>
          <w:b/>
          <w:color w:val="auto"/>
          <w:sz w:val="21"/>
          <w:szCs w:val="21"/>
        </w:rPr>
        <w:t>产品认购</w:t>
      </w:r>
    </w:p>
    <w:p>
      <w:pPr>
        <w:numPr>
          <w:ilvl w:val="0"/>
          <w:numId w:val="7"/>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认购方式</w:t>
      </w:r>
      <w:r>
        <w:rPr>
          <w:rFonts w:hint="eastAsia" w:ascii="楷体" w:hAnsi="楷体" w:eastAsia="楷体" w:cs="Calibri"/>
          <w:color w:val="auto"/>
          <w:sz w:val="21"/>
          <w:szCs w:val="21"/>
          <w:lang w:val="en-US" w:eastAsia="zh-CN"/>
        </w:rPr>
        <w:t>及确认</w:t>
      </w:r>
    </w:p>
    <w:p>
      <w:pPr>
        <w:numPr>
          <w:ilvl w:val="0"/>
          <w:numId w:val="0"/>
        </w:numPr>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7"/>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认购份额的计算</w:t>
      </w:r>
    </w:p>
    <w:p>
      <w:pPr>
        <w:ind w:firstLine="420"/>
        <w:rPr>
          <w:rFonts w:hint="eastAsia" w:ascii="楷体" w:hAnsi="楷体" w:eastAsia="楷体"/>
          <w:color w:val="auto"/>
          <w:sz w:val="21"/>
          <w:szCs w:val="21"/>
        </w:rPr>
      </w:pPr>
      <w:r>
        <w:rPr>
          <w:rFonts w:ascii="楷体" w:hAnsi="楷体" w:eastAsia="楷体"/>
          <w:color w:val="auto"/>
          <w:sz w:val="21"/>
          <w:szCs w:val="21"/>
        </w:rPr>
        <w:t>认购份额=</w:t>
      </w:r>
      <w:r>
        <w:rPr>
          <w:rFonts w:hint="eastAsia" w:ascii="楷体" w:hAnsi="楷体" w:eastAsia="楷体"/>
          <w:color w:val="auto"/>
          <w:sz w:val="21"/>
          <w:szCs w:val="21"/>
        </w:rPr>
        <w:t>认购金额</w:t>
      </w:r>
      <w:r>
        <w:rPr>
          <w:rFonts w:ascii="楷体" w:hAnsi="楷体" w:eastAsia="楷体"/>
          <w:color w:val="auto"/>
          <w:sz w:val="21"/>
          <w:szCs w:val="21"/>
        </w:rPr>
        <w:t>/</w:t>
      </w:r>
      <w:r>
        <w:rPr>
          <w:rFonts w:hint="eastAsia" w:ascii="楷体" w:hAnsi="楷体" w:eastAsia="楷体"/>
          <w:color w:val="auto"/>
          <w:sz w:val="21"/>
          <w:szCs w:val="21"/>
        </w:rPr>
        <w:t>产品</w:t>
      </w:r>
      <w:r>
        <w:rPr>
          <w:rFonts w:hint="eastAsia" w:ascii="楷体" w:hAnsi="楷体" w:eastAsia="楷体"/>
          <w:color w:val="auto"/>
          <w:sz w:val="21"/>
          <w:szCs w:val="21"/>
          <w:lang w:val="en-US" w:eastAsia="zh-CN"/>
        </w:rPr>
        <w:t>份额面值，</w:t>
      </w:r>
      <w:r>
        <w:rPr>
          <w:rFonts w:ascii="楷体" w:hAnsi="楷体" w:eastAsia="楷体"/>
          <w:color w:val="auto"/>
          <w:sz w:val="21"/>
          <w:szCs w:val="21"/>
        </w:rPr>
        <w:t>认购份额</w:t>
      </w:r>
      <w:r>
        <w:rPr>
          <w:rFonts w:hint="eastAsia" w:ascii="楷体" w:hAnsi="楷体" w:eastAsia="楷体"/>
          <w:color w:val="auto"/>
          <w:sz w:val="21"/>
          <w:szCs w:val="21"/>
        </w:rPr>
        <w:t>以四舍五入的方法保留到小数点后两位。</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八、</w:t>
      </w:r>
      <w:r>
        <w:rPr>
          <w:rFonts w:hint="eastAsia" w:ascii="楷体" w:hAnsi="楷体" w:eastAsia="楷体"/>
          <w:b/>
          <w:color w:val="auto"/>
          <w:sz w:val="21"/>
          <w:szCs w:val="21"/>
        </w:rPr>
        <w:t>产品终止</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提前终止</w:t>
      </w:r>
    </w:p>
    <w:p>
      <w:pPr>
        <w:numPr>
          <w:ilvl w:val="0"/>
          <w:numId w:val="0"/>
        </w:numPr>
        <w:ind w:left="0" w:firstLine="420"/>
        <w:rPr>
          <w:rFonts w:hint="eastAsia" w:ascii="楷体" w:hAnsi="楷体" w:eastAsia="楷体"/>
          <w:color w:val="auto"/>
          <w:sz w:val="21"/>
          <w:szCs w:val="21"/>
        </w:rPr>
      </w:pPr>
      <w:r>
        <w:rPr>
          <w:rFonts w:hint="eastAsia" w:ascii="楷体" w:hAnsi="楷体" w:eastAsia="楷体" w:cs="Calibri"/>
          <w:b w:val="0"/>
          <w:bCs w:val="0"/>
          <w:color w:val="auto"/>
          <w:sz w:val="21"/>
          <w:szCs w:val="21"/>
        </w:rPr>
        <w:t>在理财产品投资运作期间内，投资者无权要求提前终止该理财产品。在理财产品投资运作期间内，</w:t>
      </w:r>
      <w:r>
        <w:rPr>
          <w:rFonts w:hint="eastAsia" w:ascii="楷体" w:hAnsi="楷体" w:eastAsia="楷体" w:cs="Calibri"/>
          <w:b w:val="0"/>
          <w:bCs w:val="0"/>
          <w:color w:val="auto"/>
          <w:sz w:val="21"/>
          <w:szCs w:val="21"/>
          <w:lang w:val="en-US" w:eastAsia="zh-CN"/>
        </w:rPr>
        <w:t>包括但不限于</w:t>
      </w:r>
      <w:r>
        <w:rPr>
          <w:rFonts w:hint="eastAsia" w:ascii="楷体" w:hAnsi="楷体" w:eastAsia="楷体" w:cs="Calibri"/>
          <w:b w:val="0"/>
          <w:bCs w:val="0"/>
          <w:color w:val="auto"/>
          <w:sz w:val="21"/>
          <w:szCs w:val="21"/>
        </w:rPr>
        <w:t>出现下列情形时，产品管理人有权提前终止本产品：因不可抗力原因导致理财产品无法继续运作；因法律法规变化或国家金融政策调整。</w:t>
      </w:r>
      <w:r>
        <w:rPr>
          <w:rFonts w:hint="eastAsia" w:ascii="楷体" w:hAnsi="楷体" w:eastAsia="楷体"/>
          <w:b w:val="0"/>
          <w:bCs w:val="0"/>
          <w:color w:val="auto"/>
          <w:sz w:val="21"/>
          <w:szCs w:val="21"/>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lang w:eastAsia="zh-CN"/>
        </w:rPr>
        <w:t>，</w:t>
      </w:r>
      <w:r>
        <w:rPr>
          <w:rFonts w:hint="eastAsia" w:ascii="楷体" w:hAnsi="楷体" w:eastAsia="楷体"/>
          <w:b w:val="0"/>
          <w:bCs w:val="0"/>
          <w:color w:val="auto"/>
          <w:sz w:val="21"/>
          <w:szCs w:val="21"/>
          <w:lang w:val="en-US" w:eastAsia="zh-CN"/>
        </w:rPr>
        <w:t>明确产品终止日</w:t>
      </w:r>
      <w:r>
        <w:rPr>
          <w:rFonts w:hint="eastAsia" w:ascii="楷体" w:hAnsi="楷体" w:eastAsia="楷体"/>
          <w:color w:val="auto"/>
          <w:sz w:val="21"/>
          <w:szCs w:val="21"/>
        </w:rPr>
        <w:t>。</w:t>
      </w:r>
    </w:p>
    <w:p>
      <w:pPr>
        <w:numPr>
          <w:ilvl w:val="0"/>
          <w:numId w:val="8"/>
        </w:numPr>
        <w:tabs>
          <w:tab w:val="left" w:pos="993"/>
        </w:tabs>
        <w:ind w:left="0" w:firstLine="420"/>
        <w:rPr>
          <w:rFonts w:hint="eastAsia" w:ascii="楷体" w:hAnsi="楷体" w:eastAsia="楷体" w:cs="Calibri"/>
          <w:b w:val="0"/>
          <w:color w:val="auto"/>
          <w:sz w:val="21"/>
          <w:szCs w:val="21"/>
        </w:rPr>
      </w:pPr>
      <w:r>
        <w:rPr>
          <w:rFonts w:hint="eastAsia" w:ascii="楷体" w:hAnsi="楷体" w:eastAsia="楷体" w:cs="Calibri"/>
          <w:b w:val="0"/>
          <w:color w:val="auto"/>
          <w:sz w:val="21"/>
          <w:szCs w:val="21"/>
          <w:lang w:val="en-US" w:eastAsia="zh-CN"/>
        </w:rPr>
        <w:t>正常终止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投资者持有本理财产品至产品到期日，投资者的投资本金和收益（如有）将在产品到期后一次性支付。</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延期</w:t>
      </w:r>
      <w:r>
        <w:rPr>
          <w:rFonts w:hint="eastAsia" w:ascii="楷体" w:hAnsi="楷体" w:eastAsia="楷体" w:cs="Calibri"/>
          <w:color w:val="auto"/>
          <w:sz w:val="21"/>
          <w:szCs w:val="21"/>
          <w:lang w:val="en-US" w:eastAsia="zh-CN"/>
        </w:rPr>
        <w:t>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因不可抗力、法律法规规定或监管部门认定的其他情形</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rPr>
        <w:t>产品管理人有权延长本理财产品的终止日。产品管理人决定延期兑付的，将至少提前2个工作日（含）按说明书约定的信息披露方式予以披露。</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投资者可得资金计算</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投资者可得资金=投资者持有份额×产品到期</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终止）</w:t>
      </w:r>
      <w:r>
        <w:rPr>
          <w:rFonts w:hint="eastAsia" w:ascii="楷体" w:hAnsi="楷体" w:eastAsia="楷体"/>
          <w:color w:val="auto"/>
          <w:sz w:val="21"/>
          <w:szCs w:val="21"/>
        </w:rPr>
        <w:t>时单位净值</w:t>
      </w:r>
      <w:r>
        <w:rPr>
          <w:rFonts w:hint="eastAsia" w:ascii="楷体" w:hAnsi="楷体" w:eastAsia="楷体"/>
          <w:color w:val="auto"/>
          <w:sz w:val="21"/>
          <w:szCs w:val="21"/>
          <w:lang w:eastAsia="zh-CN"/>
        </w:rPr>
        <w:t>，</w:t>
      </w:r>
      <w:r>
        <w:rPr>
          <w:rFonts w:hint="eastAsia" w:ascii="楷体" w:hAnsi="楷体" w:eastAsia="楷体"/>
          <w:color w:val="auto"/>
          <w:sz w:val="21"/>
          <w:szCs w:val="21"/>
        </w:rPr>
        <w:t>投资者可得资金以四舍五入的方法保留到小数点后两位。</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终止</w:t>
      </w:r>
      <w:r>
        <w:rPr>
          <w:rFonts w:hint="eastAsia" w:ascii="楷体" w:hAnsi="楷体" w:eastAsia="楷体" w:cs="Calibri"/>
          <w:color w:val="auto"/>
          <w:sz w:val="21"/>
          <w:szCs w:val="21"/>
        </w:rPr>
        <w:t>清算</w:t>
      </w:r>
    </w:p>
    <w:p>
      <w:pPr>
        <w:ind w:firstLine="420"/>
        <w:rPr>
          <w:rFonts w:hint="eastAsia"/>
        </w:rPr>
      </w:pPr>
      <w:r>
        <w:rPr>
          <w:rFonts w:hint="eastAsia" w:ascii="楷体" w:hAnsi="楷体" w:eastAsia="楷体" w:cs="Calibri"/>
          <w:color w:val="auto"/>
          <w:sz w:val="21"/>
          <w:szCs w:val="21"/>
        </w:rPr>
        <w:t>投资者的投资本金和收益（如有）将于产品到期日</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产品终止日）</w:t>
      </w:r>
      <w:r>
        <w:rPr>
          <w:rFonts w:hint="eastAsia" w:ascii="楷体" w:hAnsi="楷体" w:eastAsia="楷体" w:cs="Calibri"/>
          <w:color w:val="auto"/>
          <w:sz w:val="21"/>
          <w:szCs w:val="21"/>
        </w:rPr>
        <w:t>后5个工作日以内划至投资者指定账户，如遇</w:t>
      </w:r>
      <w:r>
        <w:rPr>
          <w:rFonts w:hint="eastAsia" w:ascii="楷体" w:hAnsi="楷体" w:eastAsia="楷体" w:cs="Calibri"/>
          <w:color w:val="auto"/>
          <w:sz w:val="21"/>
          <w:szCs w:val="21"/>
          <w:lang w:val="en-US" w:eastAsia="zh-CN"/>
        </w:rPr>
        <w:t>非工作日</w:t>
      </w:r>
      <w:r>
        <w:rPr>
          <w:rFonts w:hint="eastAsia" w:ascii="楷体" w:hAnsi="楷体" w:eastAsia="楷体" w:cs="Calibri"/>
          <w:color w:val="auto"/>
          <w:sz w:val="21"/>
          <w:szCs w:val="21"/>
        </w:rPr>
        <w:t>则相应顺延。</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九、情景示例</w:t>
      </w:r>
    </w:p>
    <w:p>
      <w:pPr>
        <w:ind w:firstLine="422"/>
        <w:rPr>
          <w:rFonts w:hint="eastAsia" w:ascii="楷体" w:hAnsi="楷体" w:eastAsia="楷体"/>
          <w:b/>
          <w:color w:val="auto"/>
          <w:sz w:val="24"/>
          <w:szCs w:val="24"/>
          <w:u w:val="single"/>
        </w:rPr>
      </w:pPr>
      <w:r>
        <w:rPr>
          <w:rFonts w:hint="eastAsia" w:ascii="楷体" w:hAnsi="楷体" w:eastAsia="楷体"/>
          <w:b/>
          <w:color w:val="auto"/>
          <w:sz w:val="21"/>
          <w:szCs w:val="21"/>
          <w:u w:val="single"/>
        </w:rPr>
        <w:t>以下示例均为假设情况，不代表本产品实际投资业绩。</w:t>
      </w:r>
    </w:p>
    <w:p>
      <w:pPr>
        <w:ind w:firstLine="420"/>
        <w:rPr>
          <w:rFonts w:hint="eastAsia" w:ascii="楷体" w:hAnsi="楷体" w:eastAsia="楷体"/>
          <w:color w:val="auto"/>
          <w:sz w:val="21"/>
          <w:szCs w:val="21"/>
        </w:rPr>
      </w:pPr>
      <w:r>
        <w:rPr>
          <w:rFonts w:hint="eastAsia" w:ascii="楷体" w:hAnsi="楷体" w:eastAsia="楷体"/>
          <w:color w:val="auto"/>
          <w:sz w:val="21"/>
          <w:szCs w:val="21"/>
        </w:rPr>
        <w:t>1.情景一</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00.00-10,000.00=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2.情景二</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0.9975</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投资者可得资金=10,000.00×0.9975=9,975.00（元）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投资者投资收益=9,975.00-10,000.00=-</w:t>
      </w:r>
      <w:r>
        <w:rPr>
          <w:rFonts w:ascii="楷体" w:hAnsi="楷体" w:eastAsia="楷体"/>
          <w:color w:val="auto"/>
          <w:sz w:val="21"/>
          <w:szCs w:val="21"/>
        </w:rPr>
        <w:t>25</w:t>
      </w:r>
      <w:r>
        <w:rPr>
          <w:rFonts w:hint="eastAsia" w:ascii="楷体" w:hAnsi="楷体" w:eastAsia="楷体"/>
          <w:color w:val="auto"/>
          <w:sz w:val="21"/>
          <w:szCs w:val="21"/>
        </w:rPr>
        <w:t>.</w:t>
      </w:r>
      <w:r>
        <w:rPr>
          <w:rFonts w:ascii="楷体" w:hAnsi="楷体" w:eastAsia="楷体"/>
          <w:color w:val="auto"/>
          <w:sz w:val="21"/>
          <w:szCs w:val="21"/>
        </w:rPr>
        <w:t>00</w:t>
      </w:r>
      <w:r>
        <w:rPr>
          <w:rFonts w:hint="eastAsia" w:ascii="楷体" w:hAnsi="楷体" w:eastAsia="楷体"/>
          <w:color w:val="auto"/>
          <w:sz w:val="21"/>
          <w:szCs w:val="21"/>
        </w:rPr>
        <w:t>（元）</w:t>
      </w:r>
    </w:p>
    <w:p>
      <w:pPr>
        <w:ind w:firstLine="422"/>
        <w:rPr>
          <w:rFonts w:hint="eastAsia" w:ascii="楷体" w:hAnsi="楷体" w:eastAsia="楷体"/>
          <w:b/>
          <w:color w:val="auto"/>
          <w:sz w:val="21"/>
          <w:szCs w:val="21"/>
          <w:u w:val="single"/>
        </w:rPr>
      </w:pPr>
      <w:r>
        <w:rPr>
          <w:rFonts w:hint="eastAsia" w:ascii="楷体" w:hAnsi="楷体" w:eastAsia="楷体"/>
          <w:b/>
          <w:color w:val="auto"/>
          <w:sz w:val="21"/>
          <w:szCs w:val="21"/>
          <w:u w:val="single"/>
        </w:rPr>
        <w:t>最不利的情形下，投资者可能损失100%本金。</w:t>
      </w:r>
    </w:p>
    <w:p>
      <w:pPr>
        <w:ind w:firstLine="422"/>
        <w:rPr>
          <w:rFonts w:hint="eastAsia" w:ascii="楷体" w:hAnsi="楷体" w:eastAsia="楷体"/>
          <w:color w:val="auto"/>
          <w:sz w:val="21"/>
          <w:szCs w:val="21"/>
        </w:rPr>
      </w:pPr>
      <w:r>
        <w:rPr>
          <w:rFonts w:hint="eastAsia" w:ascii="楷体" w:hAnsi="楷体" w:eastAsia="楷体"/>
          <w:b/>
          <w:color w:val="auto"/>
          <w:sz w:val="21"/>
          <w:szCs w:val="21"/>
          <w:u w:val="single"/>
        </w:rPr>
        <w:t>上述情况假设仅用于向投资者示例收益计算方法之用，并不代表管理人对实际投资情况的预期判断，</w:t>
      </w:r>
      <w:r>
        <w:rPr>
          <w:rFonts w:hint="eastAsia" w:ascii="楷体" w:hAnsi="楷体" w:eastAsia="楷体"/>
          <w:b/>
          <w:color w:val="auto"/>
          <w:sz w:val="21"/>
          <w:szCs w:val="21"/>
          <w:u w:val="single"/>
          <w:lang w:eastAsia="zh-CN"/>
        </w:rPr>
        <w:t>也不代表</w:t>
      </w:r>
      <w:r>
        <w:rPr>
          <w:rFonts w:hint="eastAsia" w:ascii="楷体" w:hAnsi="楷体" w:eastAsia="楷体"/>
          <w:b/>
          <w:color w:val="auto"/>
          <w:sz w:val="21"/>
          <w:szCs w:val="21"/>
          <w:u w:val="single"/>
        </w:rPr>
        <w:t>以上所有情形或某一情形一定会发生，或管理人认为发生的可能性很大。投资者获得的最终收益以产品实际运作表现及管理人实际支付为准。</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十、产品费用</w:t>
      </w:r>
    </w:p>
    <w:p>
      <w:pPr>
        <w:numPr>
          <w:ilvl w:val="0"/>
          <w:numId w:val="0"/>
        </w:numPr>
        <w:ind w:left="0" w:firstLine="420"/>
        <w:rPr>
          <w:rFonts w:hint="default" w:ascii="楷体" w:hAnsi="楷体" w:eastAsia="楷体" w:cs="Calibri"/>
          <w:color w:val="auto"/>
          <w:sz w:val="21"/>
          <w:szCs w:val="21"/>
        </w:rPr>
      </w:pPr>
      <w:r>
        <w:rPr>
          <w:rFonts w:hint="eastAsia" w:ascii="楷体" w:hAnsi="楷体" w:eastAsia="楷体"/>
          <w:color w:val="auto"/>
          <w:sz w:val="21"/>
          <w:szCs w:val="21"/>
        </w:rPr>
        <w:t>本产品费用包括托管费、销售服务费、投资管理费、</w:t>
      </w:r>
      <w:r>
        <w:rPr>
          <w:rFonts w:hint="eastAsia" w:ascii="楷体" w:hAnsi="楷体" w:eastAsia="楷体"/>
          <w:color w:val="auto"/>
          <w:sz w:val="21"/>
          <w:szCs w:val="21"/>
          <w:lang w:val="en-US" w:eastAsia="zh-CN"/>
        </w:rPr>
        <w:t>信息技术服务费、</w:t>
      </w:r>
      <w:r>
        <w:rPr>
          <w:rFonts w:hint="eastAsia" w:ascii="楷体" w:hAnsi="楷体" w:eastAsia="楷体"/>
          <w:color w:val="auto"/>
          <w:sz w:val="21"/>
          <w:szCs w:val="21"/>
        </w:rPr>
        <w:t>超额业绩报酬（如有）以及产品运作和清算中产生的其他费用等。</w:t>
      </w:r>
      <w:r>
        <w:rPr>
          <w:rFonts w:hint="eastAsia" w:ascii="楷体" w:hAnsi="楷体" w:eastAsia="楷体" w:cs="Calibri"/>
          <w:color w:val="auto"/>
          <w:sz w:val="21"/>
          <w:szCs w:val="21"/>
        </w:rPr>
        <w:t>计提方法</w:t>
      </w:r>
      <w:r>
        <w:rPr>
          <w:rFonts w:hint="eastAsia" w:ascii="楷体" w:hAnsi="楷体" w:eastAsia="楷体" w:cs="Calibri"/>
          <w:color w:val="auto"/>
          <w:sz w:val="21"/>
          <w:szCs w:val="21"/>
          <w:lang w:val="en-US" w:eastAsia="zh-CN"/>
        </w:rPr>
        <w:t>如下:</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托管费：每日计提，每日应计提的托管费＝前一日的产品资产净值×托管费率÷365</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销售服务费：</w:t>
      </w:r>
    </w:p>
    <w:p>
      <w:pPr>
        <w:numPr>
          <w:ilvl w:val="0"/>
          <w:numId w:val="0"/>
        </w:numPr>
        <w:ind w:left="0" w:firstLine="420"/>
        <w:rPr>
          <w:rFonts w:hint="eastAsia" w:ascii="楷体" w:hAnsi="楷体" w:eastAsia="楷体"/>
          <w:color w:val="auto"/>
          <w:sz w:val="21"/>
          <w:szCs w:val="21"/>
          <w:lang w:eastAsia="zh-CN"/>
        </w:rPr>
      </w:pPr>
      <w:r>
        <w:rPr>
          <w:rFonts w:hint="eastAsia" w:ascii="楷体" w:hAnsi="楷体" w:eastAsia="楷体"/>
          <w:color w:val="auto"/>
          <w:sz w:val="21"/>
          <w:szCs w:val="21"/>
        </w:rPr>
        <w:t>①</w:t>
      </w:r>
      <w:r>
        <w:rPr>
          <w:rFonts w:hint="eastAsia" w:ascii="楷体" w:hAnsi="楷体" w:eastAsia="楷体"/>
          <w:color w:val="auto"/>
          <w:sz w:val="21"/>
          <w:szCs w:val="21"/>
          <w:lang w:val="en-US" w:eastAsia="zh-CN"/>
        </w:rPr>
        <w:t>每日计提模式：</w:t>
      </w:r>
      <w:r>
        <w:rPr>
          <w:rFonts w:hint="eastAsia" w:ascii="楷体" w:hAnsi="楷体" w:eastAsia="楷体"/>
          <w:color w:val="auto"/>
          <w:sz w:val="21"/>
          <w:szCs w:val="21"/>
        </w:rPr>
        <w:t>每日计提</w:t>
      </w:r>
      <w:r>
        <w:rPr>
          <w:rFonts w:hint="eastAsia" w:ascii="楷体" w:hAnsi="楷体" w:eastAsia="楷体"/>
          <w:color w:val="auto"/>
          <w:sz w:val="21"/>
          <w:szCs w:val="21"/>
          <w:lang w:eastAsia="zh-CN"/>
        </w:rPr>
        <w:t>，</w:t>
      </w:r>
      <w:r>
        <w:rPr>
          <w:rFonts w:hint="eastAsia" w:ascii="楷体" w:hAnsi="楷体" w:eastAsia="楷体"/>
          <w:color w:val="auto"/>
          <w:sz w:val="21"/>
          <w:szCs w:val="21"/>
        </w:rPr>
        <w:t>每日应计提的销售服务费＝前一日的产品资产净值×销售服务费率÷365</w:t>
      </w:r>
      <w:r>
        <w:rPr>
          <w:rFonts w:hint="eastAsia" w:ascii="楷体" w:hAnsi="楷体" w:eastAsia="楷体"/>
          <w:color w:val="auto"/>
          <w:sz w:val="21"/>
          <w:szCs w:val="21"/>
          <w:lang w:eastAsia="zh-CN"/>
        </w:rPr>
        <w:t>。</w:t>
      </w:r>
    </w:p>
    <w:p>
      <w:pPr>
        <w:numPr>
          <w:ilvl w:val="0"/>
          <w:numId w:val="0"/>
        </w:numPr>
        <w:ind w:left="0" w:firstLine="420"/>
        <w:rPr>
          <w:rFonts w:hint="eastAsia" w:ascii="楷体" w:hAnsi="楷体" w:eastAsia="楷体"/>
          <w:color w:val="auto"/>
          <w:sz w:val="21"/>
          <w:szCs w:val="21"/>
        </w:rPr>
      </w:pPr>
      <w:r>
        <w:rPr>
          <w:rFonts w:hint="eastAsia" w:ascii="楷体" w:hAnsi="楷体" w:eastAsia="楷体"/>
          <w:color w:val="auto"/>
          <w:sz w:val="21"/>
          <w:szCs w:val="21"/>
        </w:rPr>
        <w:t>②</w:t>
      </w:r>
      <w:r>
        <w:rPr>
          <w:rFonts w:hint="eastAsia" w:ascii="楷体" w:hAnsi="楷体" w:eastAsia="楷体"/>
          <w:color w:val="auto"/>
          <w:sz w:val="21"/>
          <w:szCs w:val="21"/>
          <w:lang w:val="en-US" w:eastAsia="zh-CN"/>
        </w:rPr>
        <w:t>一次性提取模式：</w:t>
      </w:r>
      <w:r>
        <w:rPr>
          <w:rFonts w:hint="eastAsia" w:ascii="楷体" w:hAnsi="楷体" w:eastAsia="楷体"/>
          <w:color w:val="auto"/>
          <w:sz w:val="21"/>
          <w:szCs w:val="21"/>
        </w:rPr>
        <w:t>成立日一次性提取，每日摊销</w:t>
      </w:r>
      <w:r>
        <w:rPr>
          <w:rFonts w:hint="eastAsia" w:ascii="楷体" w:hAnsi="楷体" w:eastAsia="楷体"/>
          <w:color w:val="auto"/>
          <w:sz w:val="21"/>
          <w:szCs w:val="21"/>
          <w:lang w:eastAsia="zh-CN"/>
        </w:rPr>
        <w:t>，</w:t>
      </w:r>
      <w:r>
        <w:rPr>
          <w:rFonts w:hint="eastAsia" w:ascii="楷体" w:hAnsi="楷体" w:eastAsia="楷体"/>
          <w:color w:val="auto"/>
          <w:sz w:val="21"/>
          <w:szCs w:val="21"/>
        </w:rPr>
        <w:t>销售服务费＝产品成立日的产品份额</w:t>
      </w:r>
      <w:r>
        <w:rPr>
          <w:rFonts w:hint="eastAsia" w:ascii="楷体" w:hAnsi="楷体" w:eastAsia="楷体"/>
          <w:color w:val="auto"/>
          <w:sz w:val="21"/>
          <w:szCs w:val="21"/>
          <w:lang w:val="en-US" w:eastAsia="zh-CN"/>
        </w:rPr>
        <w:t>数</w:t>
      </w:r>
      <w:r>
        <w:rPr>
          <w:rFonts w:hint="eastAsia" w:ascii="楷体" w:hAnsi="楷体" w:eastAsia="楷体"/>
          <w:color w:val="auto"/>
          <w:sz w:val="21"/>
          <w:szCs w:val="21"/>
        </w:rPr>
        <w:t>×销售服务费率×产品投资期限天数÷365</w:t>
      </w:r>
      <w:r>
        <w:rPr>
          <w:rFonts w:hint="eastAsia" w:ascii="楷体" w:hAnsi="楷体" w:eastAsia="楷体"/>
          <w:color w:val="auto"/>
          <w:sz w:val="21"/>
          <w:szCs w:val="21"/>
          <w:lang w:eastAsia="zh-CN"/>
        </w:rPr>
        <w:t>。</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sz w:val="21"/>
          <w:szCs w:val="21"/>
        </w:rPr>
      </w:pPr>
      <w:r>
        <w:rPr>
          <w:rFonts w:hint="eastAsia" w:ascii="楷体" w:hAnsi="楷体" w:eastAsia="楷体" w:cs="Calibri"/>
          <w:color w:val="auto"/>
          <w:sz w:val="21"/>
          <w:szCs w:val="21"/>
        </w:rPr>
        <w:t>投资管理费：每日计提，</w:t>
      </w:r>
      <w:r>
        <w:rPr>
          <w:rFonts w:hint="eastAsia" w:ascii="楷体" w:hAnsi="楷体" w:eastAsia="楷体"/>
          <w:sz w:val="21"/>
          <w:szCs w:val="21"/>
        </w:rPr>
        <w:t>每日应计提的投资管理费＝前一日的产品资产净值×投资管理费率÷</w:t>
      </w:r>
      <w:r>
        <w:rPr>
          <w:rFonts w:ascii="楷体" w:hAnsi="楷体" w:eastAsia="楷体"/>
          <w:sz w:val="21"/>
          <w:szCs w:val="21"/>
        </w:rPr>
        <w:t>365</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信息</w:t>
      </w:r>
      <w:bookmarkStart w:id="0" w:name="_GoBack"/>
      <w:bookmarkEnd w:id="0"/>
      <w:r>
        <w:rPr>
          <w:rFonts w:hint="eastAsia" w:ascii="楷体" w:hAnsi="楷体" w:eastAsia="楷体" w:cs="Calibri"/>
          <w:color w:val="auto"/>
          <w:sz w:val="21"/>
          <w:szCs w:val="21"/>
          <w:lang w:val="en-US" w:eastAsia="zh-CN"/>
        </w:rPr>
        <w:t>技术服务费：</w:t>
      </w:r>
      <w:r>
        <w:rPr>
          <w:rFonts w:hint="eastAsia" w:ascii="楷体" w:hAnsi="楷体" w:eastAsia="楷体" w:cs="Calibri"/>
          <w:color w:val="auto"/>
          <w:sz w:val="21"/>
          <w:szCs w:val="21"/>
        </w:rPr>
        <w:t>每日计提，每日应计提的</w:t>
      </w:r>
      <w:r>
        <w:rPr>
          <w:rFonts w:hint="eastAsia" w:ascii="楷体" w:hAnsi="楷体" w:eastAsia="楷体" w:cs="Calibri"/>
          <w:color w:val="auto"/>
          <w:sz w:val="21"/>
          <w:szCs w:val="21"/>
          <w:lang w:val="en-US" w:eastAsia="zh-CN"/>
        </w:rPr>
        <w:t>信息技术服务费</w:t>
      </w:r>
      <w:r>
        <w:rPr>
          <w:rFonts w:hint="eastAsia" w:ascii="楷体" w:hAnsi="楷体" w:eastAsia="楷体" w:cs="Calibri"/>
          <w:color w:val="auto"/>
          <w:sz w:val="21"/>
          <w:szCs w:val="21"/>
        </w:rPr>
        <w:t>＝前一日的产品资产净值×</w:t>
      </w:r>
      <w:r>
        <w:rPr>
          <w:rFonts w:hint="eastAsia" w:ascii="楷体" w:hAnsi="楷体" w:eastAsia="楷体" w:cs="Calibri"/>
          <w:color w:val="auto"/>
          <w:sz w:val="21"/>
          <w:szCs w:val="21"/>
          <w:lang w:val="en-US" w:eastAsia="zh-CN"/>
        </w:rPr>
        <w:t>信息技术服务费</w:t>
      </w:r>
      <w:r>
        <w:rPr>
          <w:rFonts w:hint="eastAsia" w:ascii="楷体" w:hAnsi="楷体" w:eastAsia="楷体" w:cs="Calibri"/>
          <w:color w:val="auto"/>
          <w:sz w:val="21"/>
          <w:szCs w:val="21"/>
        </w:rPr>
        <w:t>率÷365</w:t>
      </w:r>
      <w:r>
        <w:rPr>
          <w:rFonts w:hint="eastAsia" w:ascii="楷体" w:hAnsi="楷体" w:eastAsia="楷体" w:cs="Calibri"/>
          <w:color w:val="auto"/>
          <w:sz w:val="21"/>
          <w:szCs w:val="21"/>
          <w:lang w:eastAsia="zh-CN"/>
        </w:rPr>
        <w:t>。</w:t>
      </w:r>
    </w:p>
    <w:p>
      <w:pPr>
        <w:keepNext w:val="0"/>
        <w:keepLines w:val="0"/>
        <w:pageBreakBefore w:val="0"/>
        <w:widowControl w:val="0"/>
        <w:numPr>
          <w:ilvl w:val="0"/>
          <w:numId w:val="9"/>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s="Calibri"/>
          <w:color w:val="auto"/>
          <w:sz w:val="21"/>
          <w:szCs w:val="21"/>
        </w:rPr>
        <w:t>超额业绩报酬</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如有）</w:t>
      </w:r>
      <w:r>
        <w:rPr>
          <w:rFonts w:hint="eastAsia" w:ascii="楷体" w:hAnsi="楷体" w:eastAsia="楷体"/>
          <w:color w:val="auto"/>
          <w:sz w:val="21"/>
          <w:szCs w:val="21"/>
        </w:rPr>
        <w:t>：</w:t>
      </w:r>
      <w:r>
        <w:rPr>
          <w:rFonts w:hint="eastAsia" w:ascii="楷体" w:hAnsi="楷体" w:eastAsia="楷体" w:cs="Calibri"/>
          <w:sz w:val="21"/>
          <w:szCs w:val="21"/>
          <w:highlight w:val="none"/>
        </w:rPr>
        <w:t>管理人按</w:t>
      </w:r>
      <w:r>
        <w:rPr>
          <w:rFonts w:hint="eastAsia" w:ascii="楷体" w:hAnsi="楷体" w:eastAsia="楷体" w:cs="Calibri"/>
          <w:sz w:val="21"/>
          <w:szCs w:val="21"/>
          <w:highlight w:val="none"/>
          <w:lang w:val="en-US" w:eastAsia="zh-CN"/>
        </w:rPr>
        <w:t>产品存续期</w:t>
      </w:r>
      <w:r>
        <w:rPr>
          <w:rFonts w:hint="eastAsia" w:ascii="楷体" w:hAnsi="楷体" w:eastAsia="楷体" w:cs="Calibri"/>
          <w:sz w:val="21"/>
          <w:szCs w:val="21"/>
          <w:highlight w:val="none"/>
        </w:rPr>
        <w:t>收取超额业绩报酬</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lang w:val="en-US" w:eastAsia="zh-CN"/>
        </w:rPr>
        <w:t>超额业绩报酬计算详见“产品要素”。</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产品运作和清算中产生的交易手续费、注册登记费、账户服务费、审计费、及其他应由本产品承担的费用从产品中列支。</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本产品不收取认购费用、申购费用、赎回费用。</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费用计算</w:t>
      </w:r>
      <w:r>
        <w:rPr>
          <w:rFonts w:hint="eastAsia" w:ascii="楷体" w:hAnsi="楷体" w:eastAsia="楷体" w:cs="Calibri"/>
          <w:color w:val="auto"/>
          <w:sz w:val="21"/>
          <w:szCs w:val="21"/>
        </w:rPr>
        <w:t>四舍五入保留至小数点后两位</w:t>
      </w:r>
      <w:r>
        <w:rPr>
          <w:rFonts w:hint="eastAsia" w:ascii="楷体" w:hAnsi="楷体" w:eastAsia="楷体" w:cs="Calibri"/>
          <w:color w:val="auto"/>
          <w:sz w:val="21"/>
          <w:szCs w:val="21"/>
          <w:lang w:eastAsia="zh-CN"/>
        </w:rPr>
        <w:t>。</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十一、</w:t>
      </w:r>
      <w:r>
        <w:rPr>
          <w:rFonts w:hint="eastAsia" w:ascii="楷体" w:hAnsi="楷体" w:eastAsia="楷体"/>
          <w:b/>
          <w:color w:val="auto"/>
          <w:sz w:val="21"/>
          <w:szCs w:val="21"/>
        </w:rPr>
        <w:t>产品估值</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估值对象</w:t>
      </w:r>
    </w:p>
    <w:p>
      <w:pPr>
        <w:ind w:firstLine="420"/>
        <w:rPr>
          <w:rFonts w:ascii="楷体" w:hAnsi="楷体" w:eastAsia="楷体"/>
          <w:color w:val="auto"/>
          <w:sz w:val="21"/>
          <w:szCs w:val="21"/>
        </w:rPr>
      </w:pPr>
      <w:r>
        <w:rPr>
          <w:rFonts w:hint="eastAsia" w:ascii="楷体" w:hAnsi="楷体" w:eastAsia="楷体"/>
          <w:color w:val="auto"/>
          <w:sz w:val="21"/>
          <w:szCs w:val="21"/>
        </w:rPr>
        <w:t>本产品所拥有的各类证券、银行存款、应收款项及其它资产及负债。</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估值要求</w:t>
      </w:r>
    </w:p>
    <w:p>
      <w:pPr>
        <w:keepNext w:val="0"/>
        <w:keepLines w:val="0"/>
        <w:pageBreakBefore w:val="0"/>
        <w:widowControl w:val="0"/>
        <w:numPr>
          <w:ilvl w:val="0"/>
          <w:numId w:val="11"/>
        </w:numPr>
        <w:tabs>
          <w:tab w:val="left" w:pos="728"/>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本产品资产估值的目的是客观、准确</w:t>
      </w:r>
      <w:r>
        <w:rPr>
          <w:rFonts w:hint="eastAsia" w:ascii="楷体" w:hAnsi="楷体" w:eastAsia="楷体" w:cs="Calibri"/>
          <w:color w:val="auto"/>
          <w:sz w:val="21"/>
          <w:szCs w:val="21"/>
          <w:lang w:val="en-US" w:eastAsia="zh-CN"/>
        </w:rPr>
        <w:t>地</w:t>
      </w:r>
      <w:r>
        <w:rPr>
          <w:rFonts w:hint="eastAsia" w:ascii="楷体" w:hAnsi="楷体" w:eastAsia="楷体" w:cs="Calibri"/>
          <w:color w:val="auto"/>
          <w:sz w:val="21"/>
          <w:szCs w:val="21"/>
        </w:rPr>
        <w:t>反映资产净值，确定理财产品资产净值，并为理财产品的申购、赎回和兑付提供计价依据。</w:t>
      </w:r>
    </w:p>
    <w:p>
      <w:pPr>
        <w:pStyle w:val="15"/>
        <w:keepNext w:val="0"/>
        <w:keepLines w:val="0"/>
        <w:pageBreakBefore w:val="0"/>
        <w:widowControl w:val="0"/>
        <w:bidi w:val="0"/>
        <w:spacing w:before="0"/>
        <w:ind w:left="0" w:firstLine="420"/>
        <w:rPr>
          <w:rFonts w:hint="eastAsia"/>
          <w:lang w:eastAsia="zh-CN"/>
        </w:rPr>
      </w:pPr>
      <w:r>
        <w:rPr>
          <w:rFonts w:hint="eastAsia" w:ascii="楷体" w:hAnsi="楷体" w:eastAsia="楷体" w:cs="Calibri"/>
          <w:color w:val="auto"/>
          <w:sz w:val="21"/>
          <w:szCs w:val="21"/>
          <w:lang w:val="en-US" w:eastAsia="zh-CN"/>
        </w:rPr>
        <w:t>2.</w:t>
      </w:r>
      <w:r>
        <w:rPr>
          <w:rFonts w:hint="eastAsia" w:ascii="楷体" w:hAnsi="楷体" w:eastAsia="楷体" w:cs="Calibri"/>
          <w:color w:val="auto"/>
          <w:sz w:val="21"/>
          <w:szCs w:val="21"/>
        </w:rPr>
        <w:t>本产品单位净值精确到小</w:t>
      </w:r>
      <w:r>
        <w:rPr>
          <w:rFonts w:hint="eastAsia" w:ascii="楷体" w:hAnsi="楷体" w:eastAsia="楷体" w:cs="Calibri"/>
          <w:color w:val="auto"/>
          <w:sz w:val="21"/>
          <w:szCs w:val="21"/>
          <w:highlight w:val="none"/>
        </w:rPr>
        <w:t>数点后</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highlight w:val="none"/>
        </w:rPr>
        <w:t>位，小数点</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rPr>
        <w:t>位后截位。</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估值方法</w:t>
      </w:r>
    </w:p>
    <w:p>
      <w:pPr>
        <w:ind w:firstLine="420"/>
        <w:rPr>
          <w:rFonts w:hint="eastAsia" w:ascii="楷体" w:hAnsi="楷体" w:eastAsia="楷体"/>
          <w:color w:val="auto"/>
          <w:sz w:val="21"/>
          <w:szCs w:val="21"/>
        </w:rPr>
      </w:pPr>
      <w:r>
        <w:rPr>
          <w:rFonts w:hint="eastAsia" w:ascii="楷体" w:hAnsi="楷体" w:eastAsia="楷体"/>
          <w:color w:val="auto"/>
          <w:sz w:val="21"/>
          <w:szCs w:val="21"/>
        </w:rPr>
        <w:t>1.存款类资产、货币市场工具：以本金列示，逐日计提利息。</w:t>
      </w:r>
    </w:p>
    <w:p>
      <w:pPr>
        <w:ind w:firstLine="420"/>
        <w:rPr>
          <w:rFonts w:hint="eastAsia" w:ascii="楷体" w:hAnsi="楷体" w:eastAsia="楷体"/>
          <w:color w:val="auto"/>
          <w:sz w:val="21"/>
          <w:szCs w:val="21"/>
        </w:rPr>
      </w:pPr>
      <w:r>
        <w:rPr>
          <w:rFonts w:hint="eastAsia" w:ascii="楷体" w:hAnsi="楷体" w:eastAsia="楷体"/>
          <w:color w:val="auto"/>
          <w:sz w:val="21"/>
          <w:szCs w:val="21"/>
        </w:rPr>
        <w:t>2.货币市场基金：按公允价值进行估值，以估值截止时间点能够取得的最新每万份收益进行估值。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5.权益类资产：按公允价值进行估值，采用市价、监管认可的第三方估值机构提供的估值价格进行估值。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olor w:val="auto"/>
          <w:sz w:val="21"/>
          <w:szCs w:val="21"/>
        </w:rPr>
      </w:pPr>
      <w:r>
        <w:rPr>
          <w:rFonts w:hint="eastAsia" w:ascii="楷体" w:hAnsi="楷体" w:eastAsia="楷体"/>
          <w:color w:val="auto"/>
          <w:sz w:val="21"/>
          <w:szCs w:val="21"/>
        </w:rPr>
        <w:t>7.其他资产：按公允价值进行估值。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如有新增事项或变更事项，按国家法律法规及监管最新规定执行。</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估值错误的处理</w:t>
      </w:r>
    </w:p>
    <w:p>
      <w:pPr>
        <w:ind w:firstLine="420"/>
        <w:rPr>
          <w:rFonts w:ascii="楷体" w:hAnsi="楷体" w:eastAsia="楷体"/>
          <w:color w:val="auto"/>
          <w:sz w:val="21"/>
          <w:szCs w:val="21"/>
        </w:rPr>
      </w:pPr>
      <w:r>
        <w:rPr>
          <w:rFonts w:hint="eastAsia" w:ascii="楷体" w:hAnsi="楷体" w:eastAsia="楷体"/>
          <w:color w:val="auto"/>
          <w:sz w:val="21"/>
          <w:szCs w:val="21"/>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暂停估值</w:t>
      </w:r>
    </w:p>
    <w:p>
      <w:pPr>
        <w:ind w:firstLine="420"/>
        <w:rPr>
          <w:rFonts w:ascii="楷体" w:hAnsi="楷体" w:eastAsia="楷体"/>
          <w:color w:val="auto"/>
          <w:sz w:val="21"/>
          <w:szCs w:val="21"/>
        </w:rPr>
      </w:pPr>
      <w:r>
        <w:rPr>
          <w:rFonts w:hint="eastAsia" w:ascii="楷体" w:hAnsi="楷体" w:eastAsia="楷体"/>
          <w:color w:val="auto"/>
          <w:sz w:val="21"/>
          <w:szCs w:val="21"/>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十二、</w:t>
      </w:r>
      <w:r>
        <w:rPr>
          <w:rFonts w:hint="eastAsia" w:ascii="楷体" w:hAnsi="楷体" w:eastAsia="楷体"/>
          <w:b/>
          <w:color w:val="auto"/>
          <w:sz w:val="21"/>
          <w:szCs w:val="21"/>
        </w:rPr>
        <w:t>信息披露</w:t>
      </w:r>
    </w:p>
    <w:p>
      <w:pPr>
        <w:numPr>
          <w:ilvl w:val="0"/>
          <w:numId w:val="12"/>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方式</w:t>
      </w:r>
    </w:p>
    <w:p>
      <w:pPr>
        <w:keepNext w:val="0"/>
        <w:keepLines w:val="0"/>
        <w:pageBreakBefore w:val="0"/>
        <w:widowControl w:val="0"/>
        <w:numPr>
          <w:ilvl w:val="0"/>
          <w:numId w:val="13"/>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13"/>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0"/>
          <w:numId w:val="0"/>
        </w:numPr>
        <w:ind w:left="0" w:firstLine="420"/>
        <w:rPr>
          <w:rFonts w:ascii="楷体" w:hAnsi="楷体" w:eastAsia="楷体" w:cs="Calibri"/>
          <w:color w:val="auto"/>
          <w:sz w:val="21"/>
          <w:szCs w:val="21"/>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通讯故障、非产品管理人原因的系统故障以及其它不可抗力等因素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12"/>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内容及时间</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发行公告：管理人在产品成立后5个工作日内，披露产品成立公告，内容包括理财产品成立日期和募集规模等信息。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重大事项公告：管理人在发生可能对理财产品投资者或者理财产品收益</w:t>
      </w:r>
      <w:r>
        <w:rPr>
          <w:rFonts w:hint="eastAsia" w:ascii="楷体" w:hAnsi="楷体" w:eastAsia="楷体" w:cs="Calibri"/>
          <w:color w:val="auto"/>
          <w:sz w:val="21"/>
          <w:szCs w:val="21"/>
          <w:lang w:val="en-US" w:eastAsia="zh-CN"/>
        </w:rPr>
        <w:t>产生重大影响</w:t>
      </w:r>
      <w:r>
        <w:rPr>
          <w:rFonts w:hint="eastAsia" w:ascii="楷体" w:hAnsi="楷体" w:eastAsia="楷体" w:cs="Calibri"/>
          <w:color w:val="auto"/>
          <w:sz w:val="21"/>
          <w:szCs w:val="21"/>
        </w:rPr>
        <w:t>的事件后2个工作日内发布重大事项公告。</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临时性信息：管理人将及时披露国务院银行业监督管理机构规定的其他信息或除重大事项事件以外的其他信息。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半年度整体报告：每半年披露从事理财业务活动的有关信息。</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sz w:val="21"/>
          <w:szCs w:val="21"/>
          <w:highlight w:val="none"/>
        </w:rPr>
      </w:pPr>
      <w:r>
        <w:rPr>
          <w:rFonts w:hint="eastAsia" w:ascii="楷体" w:hAnsi="楷体" w:eastAsia="楷体" w:cs="Calibri"/>
          <w:color w:val="auto"/>
          <w:sz w:val="21"/>
          <w:szCs w:val="21"/>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lang w:val="en-US" w:eastAsia="zh-CN"/>
        </w:rPr>
        <w:t>单位</w:t>
      </w:r>
      <w:r>
        <w:rPr>
          <w:rFonts w:hint="eastAsia" w:ascii="楷体" w:hAnsi="楷体" w:eastAsia="楷体" w:cs="Calibri"/>
          <w:color w:val="auto"/>
          <w:sz w:val="21"/>
          <w:szCs w:val="21"/>
        </w:rPr>
        <w:t>净值、份额累计净值、资产净值、收益情况、投资者理财交易账户发生的交易明细记录等信息。</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十三、</w:t>
      </w:r>
      <w:r>
        <w:rPr>
          <w:rFonts w:hint="eastAsia" w:ascii="楷体" w:hAnsi="楷体" w:eastAsia="楷体"/>
          <w:b/>
          <w:color w:val="auto"/>
          <w:sz w:val="21"/>
          <w:szCs w:val="21"/>
        </w:rPr>
        <w:t>其他</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追索条款</w:t>
      </w:r>
    </w:p>
    <w:p>
      <w:pPr>
        <w:ind w:firstLine="420"/>
        <w:rPr>
          <w:rFonts w:ascii="楷体" w:hAnsi="楷体" w:eastAsia="楷体"/>
          <w:color w:val="auto"/>
          <w:sz w:val="21"/>
          <w:szCs w:val="21"/>
        </w:rPr>
      </w:pPr>
      <w:r>
        <w:rPr>
          <w:rFonts w:hint="eastAsia" w:ascii="楷体" w:hAnsi="楷体" w:eastAsia="楷体"/>
          <w:color w:val="auto"/>
          <w:sz w:val="21"/>
          <w:szCs w:val="21"/>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信息安全</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rPr>
        <w:t>苏银理财及</w:t>
      </w:r>
      <w:r>
        <w:rPr>
          <w:rFonts w:hint="eastAsia" w:ascii="楷体" w:hAnsi="楷体" w:eastAsia="楷体"/>
          <w:color w:val="auto"/>
          <w:sz w:val="21"/>
          <w:szCs w:val="21"/>
          <w:lang w:val="en-US" w:eastAsia="zh-CN"/>
        </w:rPr>
        <w:t>销售</w:t>
      </w:r>
      <w:r>
        <w:rPr>
          <w:rFonts w:hint="eastAsia" w:ascii="楷体" w:hAnsi="楷体" w:eastAsia="楷体"/>
          <w:color w:val="auto"/>
          <w:sz w:val="21"/>
          <w:szCs w:val="21"/>
        </w:rPr>
        <w:t>机构将据相关法律、法规严格履行投资者信息保密责任，除监管机构或司法机关等有权机构外，不得对其他第三方提供任何投资者信息。</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争议解决</w:t>
      </w:r>
    </w:p>
    <w:p>
      <w:pPr>
        <w:ind w:firstLine="420"/>
        <w:jc w:val="left"/>
        <w:rPr>
          <w:rFonts w:ascii="楷体" w:hAnsi="楷体" w:eastAsia="楷体"/>
        </w:rPr>
      </w:pP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的订立、生效、履行、解释、修改和终止等事项均适用中华人民共和国（</w:t>
      </w:r>
      <w:r>
        <w:rPr>
          <w:rFonts w:hint="eastAsia" w:ascii="楷体" w:hAnsi="楷体" w:eastAsia="楷体"/>
          <w:color w:val="auto"/>
          <w:sz w:val="21"/>
          <w:szCs w:val="21"/>
          <w:lang w:val="en-US" w:eastAsia="zh-CN"/>
        </w:rPr>
        <w:t>为本合同目的，</w:t>
      </w:r>
      <w:r>
        <w:rPr>
          <w:rFonts w:hint="eastAsia" w:ascii="楷体" w:hAnsi="楷体" w:eastAsia="楷体"/>
          <w:color w:val="auto"/>
          <w:sz w:val="21"/>
          <w:szCs w:val="21"/>
        </w:rPr>
        <w:t>不包括香港特别行政区、澳门特别行政区和台湾地区）法律。</w:t>
      </w:r>
      <w:r>
        <w:rPr>
          <w:rFonts w:hint="eastAsia" w:ascii="楷体" w:hAnsi="楷体" w:eastAsia="楷体"/>
          <w:color w:val="auto"/>
          <w:sz w:val="21"/>
          <w:szCs w:val="21"/>
          <w:lang w:val="en-US" w:eastAsia="zh-CN"/>
        </w:rPr>
        <w:t>因本产品说明书</w:t>
      </w:r>
      <w:r>
        <w:rPr>
          <w:rFonts w:hint="eastAsia" w:ascii="楷体" w:hAnsi="楷体" w:eastAsia="楷体"/>
          <w:color w:val="auto"/>
          <w:sz w:val="21"/>
          <w:szCs w:val="21"/>
        </w:rPr>
        <w:t>引起的或与</w:t>
      </w: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有关的任何争议，应当首先通过双方之间的友好协商解决；协商不成的，双方均有权提交产品管理人</w:t>
      </w:r>
      <w:r>
        <w:rPr>
          <w:rFonts w:hint="eastAsia" w:ascii="楷体" w:hAnsi="楷体" w:eastAsia="楷体"/>
          <w:color w:val="auto"/>
          <w:sz w:val="21"/>
          <w:szCs w:val="21"/>
          <w:lang w:val="en-US" w:eastAsia="zh-CN"/>
        </w:rPr>
        <w:t>住所地</w:t>
      </w:r>
      <w:r>
        <w:rPr>
          <w:rFonts w:hint="eastAsia" w:ascii="楷体" w:hAnsi="楷体" w:eastAsia="楷体"/>
          <w:color w:val="auto"/>
          <w:sz w:val="21"/>
          <w:szCs w:val="21"/>
        </w:rPr>
        <w:t>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10"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WordPictureWatermark367128483"/>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11"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09"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112"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BF205925"/>
    <w:multiLevelType w:val="multilevel"/>
    <w:tmpl w:val="BF205925"/>
    <w:lvl w:ilvl="0" w:tentative="0">
      <w:start w:val="1"/>
      <w:numFmt w:val="decimalEnclosedCircleChinese"/>
      <w:suff w:val="nothing"/>
      <w:lvlText w:val="%1　"/>
      <w:lvlJc w:val="left"/>
      <w:pPr>
        <w:ind w:left="0" w:firstLine="400"/>
      </w:pPr>
      <w:rPr>
        <w:rFonts w:hint="eastAsia"/>
        <w:b w:val="0"/>
        <w:bCs w:val="0"/>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3">
    <w:nsid w:val="C8879AEF"/>
    <w:multiLevelType w:val="multilevel"/>
    <w:tmpl w:val="C8879AE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D7F9FE59"/>
    <w:multiLevelType w:val="multilevel"/>
    <w:tmpl w:val="D7F9FE5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DCBA6B53"/>
    <w:multiLevelType w:val="multilevel"/>
    <w:tmpl w:val="DCBA6B53"/>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F4B5D9F5"/>
    <w:multiLevelType w:val="multilevel"/>
    <w:tmpl w:val="F4B5D9F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248C179"/>
    <w:multiLevelType w:val="multilevel"/>
    <w:tmpl w:val="0248C17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3D62ECE"/>
    <w:multiLevelType w:val="multilevel"/>
    <w:tmpl w:val="03D62EC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470EC97"/>
    <w:multiLevelType w:val="multilevel"/>
    <w:tmpl w:val="2470EC97"/>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5B654F3"/>
    <w:multiLevelType w:val="multilevel"/>
    <w:tmpl w:val="25B654F3"/>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A8F537B"/>
    <w:multiLevelType w:val="multilevel"/>
    <w:tmpl w:val="2A8F537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D4DC07F"/>
    <w:multiLevelType w:val="multilevel"/>
    <w:tmpl w:val="4D4DC07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A241D34"/>
    <w:multiLevelType w:val="multilevel"/>
    <w:tmpl w:val="5A241D34"/>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2183CF9"/>
    <w:multiLevelType w:val="multilevel"/>
    <w:tmpl w:val="72183CF9"/>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8"/>
  </w:num>
  <w:num w:numId="4">
    <w:abstractNumId w:val="10"/>
  </w:num>
  <w:num w:numId="5">
    <w:abstractNumId w:val="14"/>
  </w:num>
  <w:num w:numId="6">
    <w:abstractNumId w:val="7"/>
  </w:num>
  <w:num w:numId="7">
    <w:abstractNumId w:val="0"/>
  </w:num>
  <w:num w:numId="8">
    <w:abstractNumId w:val="11"/>
  </w:num>
  <w:num w:numId="9">
    <w:abstractNumId w:val="13"/>
  </w:num>
  <w:num w:numId="10">
    <w:abstractNumId w:val="3"/>
  </w:num>
  <w:num w:numId="11">
    <w:abstractNumId w:val="12"/>
  </w:num>
  <w:num w:numId="12">
    <w:abstractNumId w:val="6"/>
  </w:num>
  <w:num w:numId="13">
    <w:abstractNumId w:val="9"/>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8E6A08"/>
    <w:rsid w:val="19831158"/>
    <w:rsid w:val="1AA02F34"/>
    <w:rsid w:val="226B5450"/>
    <w:rsid w:val="32DB0596"/>
    <w:rsid w:val="33B0064A"/>
    <w:rsid w:val="50E55F26"/>
    <w:rsid w:val="53CB3E50"/>
    <w:rsid w:val="640222F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187"/>
    <w:qFormat/>
    <w:uiPriority w:val="1"/>
    <w:pPr>
      <w:spacing w:before="17"/>
      <w:ind w:left="1144"/>
      <w:jc w:val="left"/>
      <w:outlineLvl w:val="0"/>
    </w:pPr>
    <w:rPr>
      <w:rFonts w:ascii="黑体" w:hAnsi="Times New Roman" w:eastAsia="黑体"/>
      <w:b/>
      <w:bCs/>
      <w:sz w:val="36"/>
      <w:szCs w:val="36"/>
    </w:rPr>
  </w:style>
  <w:style w:type="paragraph" w:styleId="5">
    <w:name w:val="heading 2"/>
    <w:basedOn w:val="1"/>
    <w:next w:val="1"/>
    <w:link w:val="188"/>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189"/>
    <w:qFormat/>
    <w:uiPriority w:val="1"/>
    <w:pPr>
      <w:spacing w:before="34"/>
      <w:ind w:left="120"/>
      <w:jc w:val="left"/>
      <w:outlineLvl w:val="2"/>
    </w:pPr>
    <w:rPr>
      <w:rFonts w:ascii="宋体" w:hAnsi="Times New Roman"/>
      <w:b/>
      <w:bCs/>
      <w:sz w:val="20"/>
      <w:szCs w:val="21"/>
    </w:rPr>
  </w:style>
  <w:style w:type="paragraph" w:styleId="7">
    <w:name w:val="heading 4"/>
    <w:basedOn w:val="1"/>
    <w:next w:val="1"/>
    <w:link w:val="164"/>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5"/>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6"/>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7"/>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8"/>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69"/>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hAnsi="Times New Roman"/>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196"/>
    <w:unhideWhenUsed/>
    <w:qFormat/>
    <w:uiPriority w:val="99"/>
    <w:rPr>
      <w:b/>
      <w:bCs/>
    </w:rPr>
  </w:style>
  <w:style w:type="table" w:styleId="28">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vertAlign w:val="superscript"/>
    </w:rPr>
  </w:style>
  <w:style w:type="character" w:styleId="32">
    <w:name w:val="FollowedHyperlink"/>
    <w:basedOn w:val="29"/>
    <w:semiHidden/>
    <w:unhideWhenUsed/>
    <w:qFormat/>
    <w:uiPriority w:val="99"/>
    <w:rPr>
      <w:color w:val="954F72"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semiHidden/>
    <w:unhideWhenUsed/>
    <w:qFormat/>
    <w:uiPriority w:val="99"/>
    <w:rPr>
      <w:rFonts w:ascii="Times New Roman" w:hAnsi="Times New Roman" w:eastAsia="宋体" w:cs="Times New Roman"/>
      <w:vertAlign w:val="superscript"/>
    </w:rPr>
  </w:style>
  <w:style w:type="table" w:customStyle="1" w:styleId="37">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39">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1">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1">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2">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3">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4">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5">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6">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7">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8">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9">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0">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1">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2">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3">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4">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65">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6">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7">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8">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9">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0">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1">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2">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3">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4">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5">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6">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7">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0">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1">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2">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3">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7">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8">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9">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0">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1">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2">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3">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4">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5">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6">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7">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8">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99">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0">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1">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2">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3">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4">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5">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6">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7">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8">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09">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0">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1">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2">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3">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4">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5">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6">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7">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8">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19">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0">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1">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2">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3">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4">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5">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6">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7">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8">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9">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3">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4">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5">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0">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1">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2">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3">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4">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5">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6">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7">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8">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9">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0">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1">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2">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3">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4">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5">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6">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7">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8">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59">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0">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1">
    <w:name w:val="Heading 1 Char"/>
    <w:basedOn w:val="29"/>
    <w:qFormat/>
    <w:uiPriority w:val="9"/>
    <w:rPr>
      <w:rFonts w:ascii="Arial" w:hAnsi="Arial" w:eastAsia="Arial" w:cs="Arial"/>
      <w:color w:val="2E75B6" w:themeColor="accent1" w:themeShade="BF"/>
      <w:sz w:val="40"/>
      <w:szCs w:val="40"/>
    </w:rPr>
  </w:style>
  <w:style w:type="character" w:customStyle="1" w:styleId="162">
    <w:name w:val="Heading 2 Char"/>
    <w:basedOn w:val="29"/>
    <w:qFormat/>
    <w:uiPriority w:val="9"/>
    <w:rPr>
      <w:rFonts w:ascii="Arial" w:hAnsi="Arial" w:eastAsia="Arial" w:cs="Arial"/>
      <w:color w:val="2E75B6" w:themeColor="accent1" w:themeShade="BF"/>
      <w:sz w:val="32"/>
      <w:szCs w:val="32"/>
    </w:rPr>
  </w:style>
  <w:style w:type="character" w:customStyle="1" w:styleId="163">
    <w:name w:val="Heading 3 Char"/>
    <w:basedOn w:val="29"/>
    <w:qFormat/>
    <w:uiPriority w:val="9"/>
    <w:rPr>
      <w:rFonts w:ascii="Arial" w:hAnsi="Arial" w:eastAsia="Arial" w:cs="Arial"/>
      <w:color w:val="2E75B6" w:themeColor="accent1" w:themeShade="BF"/>
      <w:sz w:val="28"/>
      <w:szCs w:val="28"/>
    </w:rPr>
  </w:style>
  <w:style w:type="character" w:customStyle="1" w:styleId="164">
    <w:name w:val="Heading 4 Char"/>
    <w:basedOn w:val="29"/>
    <w:link w:val="7"/>
    <w:qFormat/>
    <w:uiPriority w:val="9"/>
    <w:rPr>
      <w:rFonts w:ascii="Arial" w:hAnsi="Arial" w:eastAsia="Arial" w:cs="Arial"/>
      <w:i/>
      <w:iCs/>
      <w:color w:val="2E75B6" w:themeColor="accent1" w:themeShade="BF"/>
    </w:rPr>
  </w:style>
  <w:style w:type="character" w:customStyle="1" w:styleId="165">
    <w:name w:val="Heading 5 Char"/>
    <w:basedOn w:val="29"/>
    <w:link w:val="8"/>
    <w:qFormat/>
    <w:uiPriority w:val="9"/>
    <w:rPr>
      <w:rFonts w:ascii="Arial" w:hAnsi="Arial" w:eastAsia="Arial" w:cs="Arial"/>
      <w:color w:val="2E75B6" w:themeColor="accent1" w:themeShade="BF"/>
    </w:rPr>
  </w:style>
  <w:style w:type="character" w:customStyle="1" w:styleId="166">
    <w:name w:val="Heading 6 Char"/>
    <w:basedOn w:val="29"/>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7">
    <w:name w:val="Heading 7 Char"/>
    <w:basedOn w:val="29"/>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8">
    <w:name w:val="Heading 8 Char"/>
    <w:basedOn w:val="29"/>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Heading 9 Char"/>
    <w:basedOn w:val="29"/>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Title Char"/>
    <w:basedOn w:val="29"/>
    <w:qFormat/>
    <w:uiPriority w:val="10"/>
    <w:rPr>
      <w:rFonts w:ascii="Arial" w:hAnsi="Arial" w:eastAsia="Arial" w:cs="Arial"/>
      <w:spacing w:val="-10"/>
      <w:sz w:val="56"/>
      <w:szCs w:val="56"/>
    </w:rPr>
  </w:style>
  <w:style w:type="character" w:customStyle="1" w:styleId="171">
    <w:name w:val="Subtitle Char"/>
    <w:basedOn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2">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3">
    <w:name w:val="Quote Char"/>
    <w:basedOn w:val="29"/>
    <w:qFormat/>
    <w:uiPriority w:val="29"/>
    <w:rPr>
      <w:i/>
      <w:iCs/>
      <w:color w:val="404040" w:themeColor="text1" w:themeTint="BF"/>
      <w14:textFill>
        <w14:solidFill>
          <w14:schemeClr w14:val="tx1">
            <w14:lumMod w14:val="75000"/>
            <w14:lumOff w14:val="25000"/>
          </w14:schemeClr>
        </w14:solidFill>
      </w14:textFill>
    </w:rPr>
  </w:style>
  <w:style w:type="character" w:customStyle="1" w:styleId="174">
    <w:name w:val="Intense Emphasis"/>
    <w:basedOn w:val="29"/>
    <w:qFormat/>
    <w:uiPriority w:val="21"/>
    <w:rPr>
      <w:i/>
      <w:iCs/>
      <w:color w:val="2E75B6" w:themeColor="accent1" w:themeShade="BF"/>
    </w:rPr>
  </w:style>
  <w:style w:type="paragraph" w:styleId="175">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6">
    <w:name w:val="Intense Quote Char"/>
    <w:basedOn w:val="29"/>
    <w:qFormat/>
    <w:uiPriority w:val="30"/>
    <w:rPr>
      <w:i/>
      <w:iCs/>
      <w:color w:val="2E75B6" w:themeColor="accent1" w:themeShade="BF"/>
    </w:rPr>
  </w:style>
  <w:style w:type="character" w:customStyle="1" w:styleId="177">
    <w:name w:val="Intense Reference"/>
    <w:basedOn w:val="29"/>
    <w:qFormat/>
    <w:uiPriority w:val="32"/>
    <w:rPr>
      <w:b/>
      <w:bCs/>
      <w:smallCaps/>
      <w:color w:val="2E75B6" w:themeColor="accent1" w:themeShade="BF"/>
      <w:spacing w:val="5"/>
    </w:rPr>
  </w:style>
  <w:style w:type="paragraph" w:styleId="178">
    <w:name w:val="No Spacing"/>
    <w:basedOn w:val="1"/>
    <w:qFormat/>
    <w:uiPriority w:val="1"/>
    <w:pPr>
      <w:spacing w:after="0" w:line="240" w:lineRule="auto"/>
    </w:pPr>
  </w:style>
  <w:style w:type="character" w:customStyle="1" w:styleId="179">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0">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1">
    <w:name w:val="Book Title"/>
    <w:basedOn w:val="29"/>
    <w:qFormat/>
    <w:uiPriority w:val="33"/>
    <w:rPr>
      <w:b/>
      <w:bCs/>
      <w:i/>
      <w:iCs/>
      <w:spacing w:val="5"/>
    </w:rPr>
  </w:style>
  <w:style w:type="character" w:customStyle="1" w:styleId="182">
    <w:name w:val="Header Char"/>
    <w:basedOn w:val="29"/>
    <w:qFormat/>
    <w:uiPriority w:val="99"/>
  </w:style>
  <w:style w:type="character" w:customStyle="1" w:styleId="183">
    <w:name w:val="Footer Char"/>
    <w:basedOn w:val="29"/>
    <w:qFormat/>
    <w:uiPriority w:val="99"/>
  </w:style>
  <w:style w:type="character" w:customStyle="1" w:styleId="184">
    <w:name w:val="Footnote Text Char"/>
    <w:basedOn w:val="29"/>
    <w:semiHidden/>
    <w:qFormat/>
    <w:uiPriority w:val="99"/>
    <w:rPr>
      <w:sz w:val="20"/>
      <w:szCs w:val="20"/>
    </w:rPr>
  </w:style>
  <w:style w:type="character" w:customStyle="1" w:styleId="185">
    <w:name w:val="Endnote Text Char"/>
    <w:basedOn w:val="29"/>
    <w:semiHidden/>
    <w:qFormat/>
    <w:uiPriority w:val="99"/>
    <w:rPr>
      <w:sz w:val="20"/>
      <w:szCs w:val="20"/>
    </w:rPr>
  </w:style>
  <w:style w:type="paragraph" w:customStyle="1" w:styleId="186">
    <w:name w:val="TOC Heading"/>
    <w:unhideWhenUsed/>
    <w:qFormat/>
    <w:uiPriority w:val="39"/>
    <w:rPr>
      <w:rFonts w:hint="default" w:ascii="Times New Roman" w:hAnsi="Times New Roman" w:eastAsia="宋体" w:cs="Times New Roman"/>
    </w:rPr>
  </w:style>
  <w:style w:type="character" w:customStyle="1" w:styleId="187">
    <w:name w:val="标题 1 Char"/>
    <w:link w:val="4"/>
    <w:qFormat/>
    <w:uiPriority w:val="1"/>
    <w:rPr>
      <w:rFonts w:ascii="黑体" w:hAnsi="Times New Roman" w:eastAsia="黑体" w:cs="Times New Roman"/>
      <w:b/>
      <w:bCs/>
      <w:sz w:val="36"/>
      <w:szCs w:val="36"/>
    </w:rPr>
  </w:style>
  <w:style w:type="character" w:customStyle="1" w:styleId="188">
    <w:name w:val="标题 2 Char"/>
    <w:link w:val="5"/>
    <w:qFormat/>
    <w:uiPriority w:val="9"/>
    <w:rPr>
      <w:rFonts w:ascii="Cambria" w:hAnsi="Cambria" w:eastAsia="宋体" w:cs="Times New Roman"/>
      <w:b/>
      <w:bCs/>
      <w:sz w:val="32"/>
      <w:szCs w:val="32"/>
    </w:rPr>
  </w:style>
  <w:style w:type="character" w:customStyle="1" w:styleId="189">
    <w:name w:val="标题 3 Char"/>
    <w:link w:val="6"/>
    <w:qFormat/>
    <w:uiPriority w:val="1"/>
    <w:rPr>
      <w:rFonts w:ascii="宋体" w:hAnsi="Times New Roman" w:eastAsia="宋体" w:cs="Times New Roman"/>
      <w:b/>
      <w:bCs/>
      <w:sz w:val="20"/>
      <w:szCs w:val="21"/>
    </w:rPr>
  </w:style>
  <w:style w:type="character" w:customStyle="1" w:styleId="190">
    <w:name w:val="批注文字 Char"/>
    <w:qFormat/>
    <w:uiPriority w:val="99"/>
    <w:rPr>
      <w:rFonts w:ascii="Times New Roman" w:hAnsi="Times New Roman" w:eastAsia="宋体" w:cs="Times New Roman"/>
    </w:rPr>
  </w:style>
  <w:style w:type="character" w:customStyle="1" w:styleId="191">
    <w:name w:val="正文文本 Char"/>
    <w:qFormat/>
    <w:uiPriority w:val="1"/>
    <w:rPr>
      <w:rFonts w:ascii="宋体" w:hAnsi="Times New Roman" w:eastAsia="宋体" w:cs="Times New Roman"/>
      <w:sz w:val="20"/>
      <w:szCs w:val="21"/>
    </w:rPr>
  </w:style>
  <w:style w:type="character" w:customStyle="1" w:styleId="192">
    <w:name w:val="日期 Char"/>
    <w:basedOn w:val="29"/>
    <w:semiHidden/>
    <w:qFormat/>
    <w:uiPriority w:val="99"/>
    <w:rPr>
      <w:rFonts w:ascii="Times New Roman" w:hAnsi="Times New Roman" w:eastAsia="宋体" w:cs="Times New Roman"/>
    </w:rPr>
  </w:style>
  <w:style w:type="character" w:customStyle="1" w:styleId="193">
    <w:name w:val="批注框文本 Char"/>
    <w:semiHidden/>
    <w:qFormat/>
    <w:uiPriority w:val="99"/>
    <w:rPr>
      <w:rFonts w:ascii="Times New Roman" w:hAnsi="Times New Roman" w:eastAsia="宋体" w:cs="Times New Roman"/>
      <w:sz w:val="18"/>
      <w:szCs w:val="18"/>
    </w:rPr>
  </w:style>
  <w:style w:type="character" w:customStyle="1" w:styleId="194">
    <w:name w:val="页脚 Char"/>
    <w:qFormat/>
    <w:uiPriority w:val="99"/>
    <w:rPr>
      <w:rFonts w:ascii="Times New Roman" w:hAnsi="Times New Roman" w:eastAsia="宋体" w:cs="Times New Roman"/>
      <w:sz w:val="18"/>
      <w:szCs w:val="18"/>
    </w:rPr>
  </w:style>
  <w:style w:type="character" w:customStyle="1" w:styleId="195">
    <w:name w:val="页眉 Char"/>
    <w:qFormat/>
    <w:uiPriority w:val="99"/>
    <w:rPr>
      <w:rFonts w:ascii="Times New Roman" w:hAnsi="Times New Roman" w:eastAsia="宋体" w:cs="Times New Roman"/>
      <w:sz w:val="18"/>
      <w:szCs w:val="18"/>
    </w:rPr>
  </w:style>
  <w:style w:type="character" w:customStyle="1" w:styleId="196">
    <w:name w:val="脚注文本 Char"/>
    <w:link w:val="27"/>
    <w:semiHidden/>
    <w:qFormat/>
    <w:uiPriority w:val="99"/>
    <w:rPr>
      <w:rFonts w:ascii="Times New Roman" w:hAnsi="Times New Roman" w:eastAsia="宋体" w:cs="Times New Roman"/>
      <w:sz w:val="18"/>
      <w:szCs w:val="18"/>
    </w:rPr>
  </w:style>
  <w:style w:type="character" w:customStyle="1" w:styleId="197">
    <w:name w:val="批注主题 Char"/>
    <w:semiHidden/>
    <w:qFormat/>
    <w:uiPriority w:val="99"/>
    <w:rPr>
      <w:rFonts w:ascii="Times New Roman" w:hAnsi="Times New Roman" w:eastAsia="宋体" w:cs="Times New Roman"/>
      <w:b/>
      <w:bCs/>
    </w:rPr>
  </w:style>
  <w:style w:type="paragraph" w:customStyle="1" w:styleId="198">
    <w:name w:val="Table Paragraph"/>
    <w:basedOn w:val="1"/>
    <w:qFormat/>
    <w:uiPriority w:val="1"/>
    <w:pPr>
      <w:jc w:val="left"/>
    </w:pPr>
    <w:rPr>
      <w:rFonts w:ascii="Times New Roman" w:hAnsi="Times New Roman" w:cs="Times New Roman"/>
      <w:sz w:val="24"/>
      <w:szCs w:val="24"/>
    </w:rPr>
  </w:style>
  <w:style w:type="paragraph" w:customStyle="1" w:styleId="199">
    <w:name w:val="Default"/>
    <w:qFormat/>
    <w:uiPriority w:val="0"/>
    <w:pPr>
      <w:widowControl w:val="0"/>
    </w:pPr>
    <w:rPr>
      <w:rFonts w:hint="default" w:ascii="宋体" w:hAnsi="宋体" w:eastAsia="宋体" w:cs="宋体"/>
      <w:color w:val="000000"/>
      <w:sz w:val="24"/>
      <w:szCs w:val="24"/>
      <w:lang w:val="en-US" w:eastAsia="zh-CN" w:bidi="ar-SA"/>
    </w:rPr>
  </w:style>
  <w:style w:type="paragraph" w:customStyle="1" w:styleId="200">
    <w:name w:val="_Style 34"/>
    <w:semiHidden/>
    <w:qFormat/>
    <w:uiPriority w:val="99"/>
    <w:rPr>
      <w:rFonts w:hint="default" w:ascii="Times New Roman" w:hAnsi="Times New Roman" w:eastAsia="宋体" w:cs="Times New Roman"/>
      <w:sz w:val="21"/>
      <w:szCs w:val="22"/>
      <w:lang w:val="en-US" w:eastAsia="zh-CN" w:bidi="ar-SA"/>
    </w:rPr>
  </w:style>
  <w:style w:type="paragraph" w:styleId="201">
    <w:name w:val="List Paragraph"/>
    <w:basedOn w:val="1"/>
    <w:qFormat/>
    <w:uiPriority w:val="72"/>
    <w:pPr>
      <w:ind w:firstLine="420"/>
    </w:pPr>
  </w:style>
  <w:style w:type="character" w:customStyle="1" w:styleId="202">
    <w:name w:val="脚注文本 字符"/>
    <w:semiHidden/>
    <w:qFormat/>
    <w:uiPriority w:val="99"/>
    <w:rPr>
      <w:rFonts w:ascii="Times New Roman" w:hAnsi="Times New Roman" w:eastAsia="宋体" w:cs="Times New Roman"/>
      <w:sz w:val="18"/>
      <w:szCs w:val="18"/>
    </w:rPr>
  </w:style>
  <w:style w:type="paragraph" w:customStyle="1" w:styleId="203">
    <w:name w:val="_Style 37"/>
    <w:semiHidden/>
    <w:qFormat/>
    <w:uiPriority w:val="99"/>
    <w:rPr>
      <w:rFonts w:hint="default"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5C677E69E4DC455CAAF988C1F54A5156</vt:lpwstr>
  </property>
</Properties>
</file>

<file path=customXml/item3.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Normal.dotm</Template>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2023-08-18T03:19:00Z</dcterms:created>
  <dc:creator>孙伯略</dc:creator>
  <cp:lastModifiedBy>匿名用户</cp:lastModifiedBy>
  <dcterms:modified xsi:type="dcterms:W3CDTF">2026-07-23T07:08:18Z</dcterms:modified>
  <cp:revision>15</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9d82cf-2cb1-4baf-84d4-2ba9170113cc}">
  <ds:schemaRefs/>
</ds:datastoreItem>
</file>

<file path=customXml/itemProps3.xml><?xml version="1.0" encoding="utf-8"?>
<ds:datastoreItem xmlns:ds="http://schemas.openxmlformats.org/officeDocument/2006/customXml" ds:itemID="{d486cd9c-0e07-49fc-8132-5fed41cac3aa}">
  <ds:schemaRefs/>
</ds:datastoreItem>
</file>

<file path=customXml/itemProps4.xml><?xml version="1.0" encoding="utf-8"?>
<ds:datastoreItem xmlns:ds="http://schemas.openxmlformats.org/officeDocument/2006/customXml" ds:itemID="{b33c0538-9075-479d-93cb-45395acac99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2023-08-18T03:19:00Z</dcterms:created>
  <dc:creator>孙伯略</dc:creator>
  <cp:lastModifiedBy>jsyh</cp:lastModifiedBy>
  <dcterms:modified xsi:type="dcterms:W3CDTF">2026-08-19T11:26:34Z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