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3"/>
        <w:pageBreakBefore w:val="0"/>
        <w:spacing w:before="0" w:beforeAutospacing="0" w:after="0" w:afterAutospacing="0" w:line="240" w:lineRule="auto"/>
        <w:jc w:val="center"/>
        <w:rPr>
          <w:rFonts w:hint="eastAsia" w:ascii="楷体" w:hAnsi="楷体" w:eastAsia="楷体"/>
          <w:b/>
          <w:color w:val="auto"/>
          <w:sz w:val="28"/>
          <w:szCs w:val="28"/>
          <w:highlight w:val="none"/>
        </w:rPr>
      </w:pPr>
      <w:r>
        <w:rPr>
          <w:rFonts w:hint="eastAsia" w:ascii="楷体" w:hAnsi="楷体" w:eastAsia="楷体"/>
          <w:b/>
          <w:color w:val="auto"/>
          <w:sz w:val="28"/>
          <w:szCs w:val="28"/>
          <w:highlight w:val="none"/>
        </w:rPr>
        <w:t>“</w:t>
      </w:r>
      <w:r>
        <w:rPr>
          <w:rFonts w:hint="eastAsia" w:ascii="楷体" w:hAnsi="楷体" w:eastAsia="楷体"/>
          <w:b/>
          <w:color w:val="auto"/>
          <w:sz w:val="28"/>
          <w:szCs w:val="28"/>
          <w:highlight w:val="none"/>
          <w:lang w:val="en-US" w:eastAsia="zh-CN"/>
        </w:rPr>
        <w:t>苏银理财恒源1年定开16期</w:t>
      </w:r>
      <w:r>
        <w:rPr>
          <w:rFonts w:hint="eastAsia" w:ascii="楷体" w:hAnsi="楷体" w:eastAsia="楷体"/>
          <w:b/>
          <w:color w:val="auto"/>
          <w:sz w:val="28"/>
          <w:szCs w:val="28"/>
          <w:highlight w:val="none"/>
        </w:rPr>
        <w:t>”理财产品说</w:t>
      </w:r>
      <w:r>
        <w:rPr>
          <w:rFonts w:hint="eastAsia" w:ascii="楷体" w:hAnsi="楷体" w:eastAsia="楷体"/>
          <w:b/>
          <w:color w:val="auto"/>
          <w:sz w:val="28"/>
          <w:szCs w:val="28"/>
          <w:highlight w:val="none"/>
          <w:lang w:val="en-US" w:eastAsia="zh-CN"/>
        </w:rPr>
        <w:t>明</w:t>
      </w:r>
      <w:r>
        <w:rPr>
          <w:rFonts w:hint="eastAsia" w:ascii="楷体" w:hAnsi="楷体" w:eastAsia="楷体"/>
          <w:b/>
          <w:color w:val="auto"/>
          <w:sz w:val="28"/>
          <w:szCs w:val="28"/>
          <w:highlight w:val="none"/>
        </w:rPr>
        <w:t>书</w:t>
      </w:r>
    </w:p>
    <w:p>
      <w:pPr>
        <w:pStyle w:val="13"/>
        <w:pageBreakBefore w:val="0"/>
        <w:spacing w:before="0" w:beforeAutospacing="0" w:after="0" w:afterAutospacing="0" w:line="240" w:lineRule="auto"/>
        <w:jc w:val="center"/>
        <w:rPr>
          <w:rFonts w:hint="default" w:ascii="楷体" w:hAnsi="楷体" w:eastAsia="楷体" w:cs="Times New Roman"/>
          <w:kern w:val="2"/>
          <w:sz w:val="21"/>
          <w:szCs w:val="21"/>
          <w:highlight w:val="none"/>
          <w:lang w:val="en-US" w:eastAsia="zh-CN" w:bidi="ar-SA"/>
        </w:rPr>
      </w:pPr>
      <w:r>
        <w:rPr>
          <w:rFonts w:hint="eastAsia" w:ascii="楷体" w:hAnsi="楷体" w:eastAsia="楷体" w:cs="Times New Roman"/>
          <w:kern w:val="2"/>
          <w:sz w:val="21"/>
          <w:szCs w:val="21"/>
          <w:highlight w:val="none"/>
          <w:lang w:val="en-US" w:eastAsia="zh-CN" w:bidi="ar-SA"/>
        </w:rPr>
        <w:t>（2026年8月版）</w:t>
      </w:r>
    </w:p>
    <w:p>
      <w:pPr>
        <w:jc w:val="center"/>
        <w:rPr>
          <w:rFonts w:hint="eastAsia" w:ascii="楷体" w:hAnsi="楷体" w:eastAsia="楷体"/>
          <w:b/>
          <w:sz w:val="24"/>
          <w:szCs w:val="24"/>
          <w:highlight w:val="none"/>
        </w:rPr>
      </w:pPr>
      <w:r>
        <w:rPr>
          <w:rFonts w:hint="eastAsia" w:ascii="楷体" w:hAnsi="楷体" w:eastAsia="楷体" w:cs="宋体"/>
          <w:b/>
          <w:kern w:val="0"/>
          <w:sz w:val="24"/>
          <w:szCs w:val="24"/>
          <w:highlight w:val="none"/>
        </w:rPr>
        <w:t>理财非存款、产品有风险、投资须谨慎</w:t>
      </w:r>
    </w:p>
    <w:p>
      <w:pPr>
        <w:rPr>
          <w:rFonts w:hint="eastAsia" w:ascii="楷体" w:hAnsi="楷体" w:eastAsia="楷体"/>
          <w:b/>
          <w:color w:val="auto"/>
          <w:sz w:val="21"/>
          <w:szCs w:val="21"/>
          <w:highlight w:val="none"/>
        </w:rPr>
      </w:pPr>
      <w:r>
        <w:rPr>
          <w:rFonts w:hint="eastAsia" w:ascii="楷体" w:hAnsi="楷体" w:eastAsia="楷体"/>
          <w:b/>
          <w:color w:val="auto"/>
          <w:sz w:val="21"/>
          <w:szCs w:val="21"/>
          <w:highlight w:val="none"/>
        </w:rPr>
        <w:t>重要须知</w:t>
      </w:r>
    </w:p>
    <w:p>
      <w:pPr>
        <w:numPr>
          <w:ilvl w:val="0"/>
          <w:numId w:val="1"/>
        </w:numPr>
        <w:ind w:left="420" w:leftChars="0" w:hanging="420" w:firstLineChars="0"/>
        <w:rPr>
          <w:rFonts w:ascii="楷体" w:hAnsi="楷体" w:eastAsia="楷体"/>
          <w:sz w:val="21"/>
          <w:szCs w:val="21"/>
          <w:highlight w:val="none"/>
        </w:rPr>
      </w:pPr>
      <w:r>
        <w:rPr>
          <w:rFonts w:hint="eastAsia" w:ascii="楷体" w:hAnsi="楷体" w:eastAsia="楷体"/>
          <w:sz w:val="21"/>
          <w:szCs w:val="21"/>
          <w:highlight w:val="none"/>
        </w:rPr>
        <w:t>在购买本理财产品前，投资者应确保自己完全理解该项投资的性质和所涉及的风险，详细了解和审慎评估该理财产品的</w:t>
      </w:r>
      <w:r>
        <w:rPr>
          <w:rFonts w:hint="eastAsia" w:ascii="楷体" w:hAnsi="楷体" w:eastAsia="楷体"/>
          <w:sz w:val="21"/>
          <w:szCs w:val="21"/>
          <w:highlight w:val="none"/>
          <w:lang w:val="en-US" w:eastAsia="zh-CN"/>
        </w:rPr>
        <w:t>投资范围</w:t>
      </w:r>
      <w:r>
        <w:rPr>
          <w:rFonts w:hint="eastAsia" w:ascii="楷体" w:hAnsi="楷体" w:eastAsia="楷体"/>
          <w:sz w:val="21"/>
          <w:szCs w:val="21"/>
          <w:highlight w:val="none"/>
        </w:rPr>
        <w:t>、风险类型等基本情况，在慎重考虑后自行决定购买与自身风险承受能力和资产管理需求匹配的理财产品。</w:t>
      </w:r>
    </w:p>
    <w:p>
      <w:pPr>
        <w:numPr>
          <w:ilvl w:val="0"/>
          <w:numId w:val="1"/>
        </w:numPr>
        <w:ind w:left="420" w:leftChars="0" w:hanging="420" w:firstLineChars="0"/>
        <w:rPr>
          <w:rFonts w:ascii="楷体" w:hAnsi="楷体" w:eastAsia="楷体"/>
          <w:b/>
          <w:sz w:val="21"/>
          <w:szCs w:val="21"/>
          <w:highlight w:val="none"/>
          <w:u w:val="single"/>
        </w:rPr>
      </w:pPr>
      <w:r>
        <w:rPr>
          <w:rFonts w:hint="eastAsia" w:ascii="楷体" w:hAnsi="楷体" w:eastAsia="楷体"/>
          <w:b/>
          <w:sz w:val="21"/>
          <w:szCs w:val="21"/>
          <w:highlight w:val="none"/>
          <w:u w:val="single"/>
        </w:rPr>
        <w:t>本理财产品不保证本金及收益，您的本金可能因市场变动</w:t>
      </w:r>
      <w:r>
        <w:rPr>
          <w:rFonts w:hint="eastAsia" w:ascii="楷体" w:hAnsi="楷体" w:eastAsia="楷体"/>
          <w:b/>
          <w:sz w:val="21"/>
          <w:szCs w:val="21"/>
          <w:highlight w:val="none"/>
          <w:u w:val="single"/>
          <w:lang w:val="en-US" w:eastAsia="zh-CN"/>
        </w:rPr>
        <w:t>或者交易违约等事项</w:t>
      </w:r>
      <w:r>
        <w:rPr>
          <w:rFonts w:hint="eastAsia" w:ascii="楷体" w:hAnsi="楷体" w:eastAsia="楷体"/>
          <w:b/>
          <w:sz w:val="21"/>
          <w:szCs w:val="21"/>
          <w:highlight w:val="none"/>
          <w:u w:val="single"/>
        </w:rPr>
        <w:t>而蒙受相应损失，投资者应充分认识投资风险，谨慎投资</w:t>
      </w:r>
      <w:r>
        <w:rPr>
          <w:rFonts w:hint="eastAsia" w:ascii="楷体" w:hAnsi="楷体" w:eastAsia="楷体"/>
          <w:b/>
          <w:sz w:val="21"/>
          <w:szCs w:val="21"/>
          <w:highlight w:val="none"/>
          <w:u w:val="single"/>
          <w:lang w:eastAsia="zh-CN"/>
        </w:rPr>
        <w:t>。</w:t>
      </w:r>
    </w:p>
    <w:p>
      <w:pPr>
        <w:numPr>
          <w:ilvl w:val="0"/>
          <w:numId w:val="1"/>
        </w:numPr>
        <w:ind w:left="420" w:leftChars="0" w:hanging="420" w:firstLineChars="0"/>
        <w:rPr>
          <w:rFonts w:ascii="楷体" w:hAnsi="楷体" w:eastAsia="楷体"/>
          <w:b/>
          <w:sz w:val="21"/>
          <w:szCs w:val="21"/>
          <w:highlight w:val="none"/>
          <w:u w:val="single"/>
        </w:rPr>
      </w:pPr>
      <w:r>
        <w:rPr>
          <w:rFonts w:hint="eastAsia" w:ascii="楷体" w:hAnsi="楷体" w:eastAsia="楷体"/>
          <w:b/>
          <w:sz w:val="21"/>
          <w:szCs w:val="21"/>
          <w:highlight w:val="none"/>
          <w:u w:val="single"/>
        </w:rPr>
        <w:t>本理财产品过往业绩不代表其未来表现，不等于理财产品实际收益，投资须谨慎；理财非存款、产品有风险、投资须谨慎。</w:t>
      </w:r>
    </w:p>
    <w:p>
      <w:pPr>
        <w:numPr>
          <w:ilvl w:val="0"/>
          <w:numId w:val="1"/>
        </w:numPr>
        <w:ind w:left="420" w:leftChars="0" w:hanging="420" w:firstLineChars="0"/>
        <w:rPr>
          <w:rFonts w:hint="eastAsia" w:ascii="楷体" w:hAnsi="楷体" w:eastAsia="楷体"/>
          <w:b/>
          <w:sz w:val="21"/>
          <w:szCs w:val="21"/>
          <w:highlight w:val="none"/>
          <w:u w:val="single"/>
        </w:rPr>
      </w:pPr>
      <w:r>
        <w:rPr>
          <w:rFonts w:hint="eastAsia" w:ascii="楷体" w:hAnsi="楷体" w:eastAsia="楷体"/>
          <w:b/>
          <w:sz w:val="21"/>
          <w:szCs w:val="21"/>
          <w:highlight w:val="none"/>
          <w:u w:val="single"/>
        </w:rPr>
        <w:t>本理财产品任何业绩比较基准</w:t>
      </w:r>
      <w:r>
        <w:rPr>
          <w:rFonts w:hint="eastAsia" w:ascii="楷体" w:hAnsi="楷体" w:eastAsia="楷体"/>
          <w:b/>
          <w:sz w:val="21"/>
          <w:szCs w:val="21"/>
          <w:highlight w:val="none"/>
          <w:u w:val="single"/>
          <w:lang w:val="en-US" w:eastAsia="zh-CN"/>
        </w:rPr>
        <w:t>及</w:t>
      </w:r>
      <w:r>
        <w:rPr>
          <w:rFonts w:hint="eastAsia" w:ascii="楷体" w:hAnsi="楷体" w:eastAsia="楷体"/>
          <w:b/>
          <w:sz w:val="21"/>
          <w:szCs w:val="21"/>
          <w:highlight w:val="none"/>
          <w:u w:val="single"/>
        </w:rPr>
        <w:t>类似表述均属不具有法律约束力的用语</w:t>
      </w:r>
      <w:r>
        <w:rPr>
          <w:rFonts w:hint="eastAsia" w:ascii="楷体" w:hAnsi="楷体" w:eastAsia="楷体"/>
          <w:b/>
          <w:sz w:val="21"/>
          <w:szCs w:val="21"/>
          <w:highlight w:val="none"/>
          <w:u w:val="single"/>
          <w:lang w:eastAsia="zh-CN"/>
        </w:rPr>
        <w:t>。</w:t>
      </w:r>
      <w:r>
        <w:rPr>
          <w:rFonts w:hint="eastAsia" w:ascii="楷体" w:hAnsi="楷体" w:eastAsia="楷体"/>
          <w:b/>
          <w:sz w:val="21"/>
          <w:szCs w:val="21"/>
          <w:highlight w:val="none"/>
          <w:u w:val="single"/>
        </w:rPr>
        <w:t>业绩比较基准</w:t>
      </w:r>
      <w:r>
        <w:rPr>
          <w:rFonts w:hint="eastAsia" w:ascii="楷体" w:hAnsi="楷体" w:eastAsia="楷体"/>
          <w:b/>
          <w:sz w:val="21"/>
          <w:szCs w:val="21"/>
          <w:highlight w:val="none"/>
          <w:u w:val="single"/>
          <w:lang w:val="en-US" w:eastAsia="zh-CN"/>
        </w:rPr>
        <w:t>为</w:t>
      </w:r>
      <w:r>
        <w:rPr>
          <w:rFonts w:hint="eastAsia" w:ascii="楷体" w:hAnsi="楷体" w:eastAsia="楷体"/>
          <w:b/>
          <w:sz w:val="21"/>
          <w:szCs w:val="21"/>
          <w:highlight w:val="none"/>
          <w:u w:val="single"/>
        </w:rPr>
        <w:t>管理人基于产品性质、投资策略、过往经验等因素对产品设定的投资目标。业绩比较基准不是预期收益率，不代表产品的未来表现和实际收益，不构成对产品收益的承诺。</w:t>
      </w:r>
    </w:p>
    <w:p>
      <w:pPr>
        <w:numPr>
          <w:ilvl w:val="0"/>
          <w:numId w:val="1"/>
        </w:numPr>
        <w:ind w:left="420" w:leftChars="0" w:hanging="420" w:firstLineChars="0"/>
        <w:rPr>
          <w:rFonts w:hint="eastAsia" w:ascii="楷体" w:hAnsi="楷体" w:eastAsia="楷体"/>
          <w:sz w:val="21"/>
          <w:szCs w:val="21"/>
          <w:highlight w:val="none"/>
        </w:rPr>
      </w:pPr>
      <w:r>
        <w:rPr>
          <w:rFonts w:hint="eastAsia" w:ascii="楷体" w:hAnsi="楷体" w:eastAsia="楷体"/>
          <w:sz w:val="21"/>
          <w:szCs w:val="21"/>
          <w:highlight w:val="none"/>
        </w:rPr>
        <w:t>《风险揭示书》、《理财产品说明书》、《理财产品投资协议书》、《投资者权益须知》、《理财产品（代理）销售协议书》共同构成本理财产品完整的不可分割的理财产品合同。</w:t>
      </w:r>
    </w:p>
    <w:p>
      <w:pPr>
        <w:numPr>
          <w:ilvl w:val="0"/>
          <w:numId w:val="1"/>
        </w:numPr>
        <w:ind w:left="420" w:leftChars="0" w:hanging="420" w:firstLineChars="0"/>
        <w:rPr>
          <w:rFonts w:hint="eastAsia" w:ascii="楷体" w:hAnsi="楷体" w:eastAsia="楷体"/>
          <w:sz w:val="21"/>
          <w:szCs w:val="21"/>
          <w:highlight w:val="none"/>
        </w:rPr>
      </w:pPr>
      <w:r>
        <w:rPr>
          <w:rFonts w:hint="eastAsia" w:ascii="楷体" w:hAnsi="楷体" w:eastAsia="楷体"/>
          <w:sz w:val="21"/>
          <w:szCs w:val="21"/>
          <w:highlight w:val="none"/>
        </w:rPr>
        <w:t>本理财产品涉及的主要风险包括政策风险、信用风险、市场风险、流动性风险、管理风险、操作风险、延期兑付风险、提前终止风险、信息传递风险、代销风险</w:t>
      </w:r>
      <w:r>
        <w:rPr>
          <w:rFonts w:hint="eastAsia" w:ascii="楷体" w:hAnsi="楷体" w:eastAsia="楷体"/>
          <w:sz w:val="21"/>
          <w:szCs w:val="21"/>
          <w:highlight w:val="none"/>
          <w:lang w:eastAsia="zh-CN"/>
        </w:rPr>
        <w:t>（</w:t>
      </w:r>
      <w:r>
        <w:rPr>
          <w:rFonts w:hint="eastAsia" w:ascii="楷体" w:hAnsi="楷体" w:eastAsia="楷体"/>
          <w:sz w:val="21"/>
          <w:szCs w:val="21"/>
          <w:highlight w:val="none"/>
          <w:lang w:val="en-US" w:eastAsia="zh-CN"/>
        </w:rPr>
        <w:t>如有）</w:t>
      </w:r>
      <w:r>
        <w:rPr>
          <w:rFonts w:hint="eastAsia" w:ascii="楷体" w:hAnsi="楷体" w:eastAsia="楷体"/>
          <w:sz w:val="21"/>
          <w:szCs w:val="21"/>
          <w:highlight w:val="none"/>
        </w:rPr>
        <w:t>、不可抗力风险</w:t>
      </w:r>
      <w:r>
        <w:rPr>
          <w:rFonts w:hint="eastAsia" w:ascii="楷体" w:hAnsi="楷体" w:eastAsia="楷体"/>
          <w:sz w:val="21"/>
          <w:szCs w:val="21"/>
          <w:highlight w:val="none"/>
          <w:lang w:eastAsia="zh-CN"/>
        </w:rPr>
        <w:t>、</w:t>
      </w:r>
      <w:r>
        <w:rPr>
          <w:rFonts w:hint="eastAsia" w:ascii="楷体" w:hAnsi="楷体" w:eastAsia="楷体"/>
          <w:sz w:val="21"/>
          <w:szCs w:val="21"/>
          <w:highlight w:val="none"/>
          <w:lang w:val="en-US" w:eastAsia="zh-CN"/>
        </w:rPr>
        <w:t>关联关系及关联交易风险、</w:t>
      </w:r>
      <w:r>
        <w:rPr>
          <w:rFonts w:hint="eastAsia" w:ascii="楷体" w:hAnsi="楷体" w:eastAsia="楷体"/>
          <w:sz w:val="21"/>
          <w:szCs w:val="21"/>
          <w:highlight w:val="none"/>
          <w:lang w:eastAsia="zh-CN"/>
        </w:rPr>
        <w:t>特定投资标的风险</w:t>
      </w:r>
      <w:r>
        <w:rPr>
          <w:rFonts w:hint="eastAsia" w:ascii="楷体" w:hAnsi="楷体" w:eastAsia="楷体"/>
          <w:sz w:val="21"/>
          <w:szCs w:val="21"/>
          <w:highlight w:val="none"/>
        </w:rPr>
        <w:t>等。请仔细阅读《“苏银理财恒源1年定开16期”理财产品风险揭示书》的“风险揭示”部分。</w:t>
      </w:r>
    </w:p>
    <w:p>
      <w:pPr>
        <w:numPr>
          <w:ilvl w:val="0"/>
          <w:numId w:val="1"/>
        </w:numPr>
        <w:ind w:left="420" w:leftChars="0" w:hanging="420" w:firstLineChars="0"/>
        <w:rPr>
          <w:rFonts w:hint="eastAsia" w:ascii="楷体" w:hAnsi="楷体" w:eastAsia="楷体"/>
          <w:b/>
          <w:sz w:val="21"/>
          <w:szCs w:val="21"/>
          <w:highlight w:val="none"/>
          <w:u w:val="single"/>
        </w:rPr>
      </w:pPr>
      <w:r>
        <w:rPr>
          <w:rFonts w:hint="eastAsia" w:ascii="楷体" w:hAnsi="楷体" w:eastAsia="楷体"/>
          <w:b/>
          <w:sz w:val="21"/>
          <w:szCs w:val="21"/>
          <w:highlight w:val="none"/>
          <w:u w:val="single"/>
        </w:rPr>
        <w:t>本产品可设置多</w:t>
      </w:r>
      <w:r>
        <w:rPr>
          <w:rFonts w:hint="eastAsia" w:ascii="楷体" w:hAnsi="楷体" w:eastAsia="楷体"/>
          <w:b/>
          <w:sz w:val="21"/>
          <w:szCs w:val="21"/>
          <w:highlight w:val="none"/>
          <w:u w:val="single"/>
          <w:lang w:val="en-US" w:eastAsia="zh-CN"/>
        </w:rPr>
        <w:t>类</w:t>
      </w:r>
      <w:r>
        <w:rPr>
          <w:rFonts w:hint="eastAsia" w:ascii="楷体" w:hAnsi="楷体" w:eastAsia="楷体"/>
          <w:b/>
          <w:sz w:val="21"/>
          <w:szCs w:val="21"/>
          <w:highlight w:val="none"/>
          <w:u w:val="single"/>
        </w:rPr>
        <w:t>份额，各</w:t>
      </w:r>
      <w:r>
        <w:rPr>
          <w:rFonts w:hint="eastAsia" w:ascii="楷体" w:hAnsi="楷体" w:eastAsia="楷体"/>
          <w:b/>
          <w:sz w:val="21"/>
          <w:szCs w:val="21"/>
          <w:highlight w:val="none"/>
          <w:u w:val="single"/>
          <w:lang w:val="en-US" w:eastAsia="zh-CN"/>
        </w:rPr>
        <w:t>类</w:t>
      </w:r>
      <w:r>
        <w:rPr>
          <w:rFonts w:hint="eastAsia" w:ascii="楷体" w:hAnsi="楷体" w:eastAsia="楷体"/>
          <w:b/>
          <w:sz w:val="21"/>
          <w:szCs w:val="21"/>
          <w:highlight w:val="none"/>
          <w:u w:val="single"/>
        </w:rPr>
        <w:t>份额可能设置不同的销售对象、销售起点、业绩比较基准等，各</w:t>
      </w:r>
      <w:r>
        <w:rPr>
          <w:rFonts w:hint="eastAsia" w:ascii="楷体" w:hAnsi="楷体" w:eastAsia="楷体"/>
          <w:b/>
          <w:sz w:val="21"/>
          <w:szCs w:val="21"/>
          <w:highlight w:val="none"/>
          <w:u w:val="single"/>
          <w:lang w:val="en-US" w:eastAsia="zh-CN"/>
        </w:rPr>
        <w:t>类</w:t>
      </w:r>
      <w:r>
        <w:rPr>
          <w:rFonts w:hint="eastAsia" w:ascii="楷体" w:hAnsi="楷体" w:eastAsia="楷体"/>
          <w:b/>
          <w:sz w:val="21"/>
          <w:szCs w:val="21"/>
          <w:highlight w:val="none"/>
          <w:u w:val="single"/>
        </w:rPr>
        <w:t>份额实际收取的销售服务费率、投资管理费率、超额业绩报酬（如有）等可能存在差异，投资者应根据实际情况自主选择购买。</w:t>
      </w:r>
    </w:p>
    <w:p>
      <w:pPr>
        <w:numPr>
          <w:ilvl w:val="0"/>
          <w:numId w:val="1"/>
        </w:numPr>
        <w:ind w:left="420" w:leftChars="0" w:hanging="420" w:firstLineChars="0"/>
        <w:rPr>
          <w:rFonts w:ascii="楷体" w:hAnsi="楷体" w:eastAsia="楷体"/>
          <w:b/>
          <w:sz w:val="21"/>
          <w:szCs w:val="21"/>
          <w:highlight w:val="none"/>
          <w:u w:val="single"/>
        </w:rPr>
      </w:pPr>
      <w:r>
        <w:rPr>
          <w:rFonts w:hint="eastAsia" w:ascii="楷体" w:hAnsi="楷体" w:eastAsia="楷体"/>
          <w:b/>
          <w:sz w:val="21"/>
          <w:szCs w:val="21"/>
          <w:highlight w:val="none"/>
          <w:u w:val="single"/>
        </w:rPr>
        <w:t>投资者不得使用贷款、发行债券等筹集的非自有资金投资本理财产品。</w:t>
      </w:r>
    </w:p>
    <w:p>
      <w:pPr>
        <w:numPr>
          <w:ilvl w:val="0"/>
          <w:numId w:val="1"/>
        </w:numPr>
        <w:ind w:left="420" w:leftChars="0" w:hanging="420" w:firstLineChars="0"/>
        <w:rPr>
          <w:rFonts w:ascii="楷体" w:hAnsi="楷体" w:eastAsia="楷体"/>
          <w:sz w:val="21"/>
          <w:szCs w:val="21"/>
          <w:highlight w:val="none"/>
        </w:rPr>
      </w:pPr>
      <w:r>
        <w:rPr>
          <w:rFonts w:hint="eastAsia" w:ascii="楷体" w:hAnsi="楷体" w:eastAsia="楷体"/>
          <w:sz w:val="21"/>
          <w:szCs w:val="21"/>
          <w:highlight w:val="none"/>
        </w:rPr>
        <w:t>在本产品存续期内，如因监管政策或法律法规发生变化，在不损害投资者利益的前提下，苏银理财有权单方对本产品条款进行修订，并按本理财产品说明书约定的信息披露方式予以披露。</w:t>
      </w:r>
    </w:p>
    <w:p>
      <w:pPr>
        <w:keepNext w:val="0"/>
        <w:keepLines w:val="0"/>
        <w:pageBreakBefore w:val="0"/>
        <w:widowControl w:val="0"/>
        <w:numPr>
          <w:ilvl w:val="0"/>
          <w:numId w:val="2"/>
        </w:numPr>
        <w:tabs>
          <w:tab w:val="left" w:pos="1134"/>
          <w:tab w:val="clear" w:pos="0"/>
        </w:tabs>
        <w:kinsoku/>
        <w:wordWrap/>
        <w:overflowPunct/>
        <w:topLinePunct w:val="0"/>
        <w:autoSpaceDE/>
        <w:autoSpaceDN/>
        <w:bidi w:val="0"/>
        <w:adjustRightInd/>
        <w:snapToGrid/>
        <w:ind w:left="0" w:leftChars="0" w:firstLine="422" w:firstLineChars="200"/>
        <w:textAlignment w:val="auto"/>
        <w:outlineLvl w:val="1"/>
        <w:rPr>
          <w:rFonts w:hint="eastAsia" w:ascii="楷体" w:hAnsi="楷体" w:eastAsia="楷体"/>
          <w:sz w:val="21"/>
          <w:szCs w:val="21"/>
          <w:highlight w:val="none"/>
        </w:rPr>
      </w:pPr>
      <w:r>
        <w:rPr>
          <w:rFonts w:hint="eastAsia" w:ascii="楷体" w:hAnsi="楷体" w:eastAsia="楷体"/>
          <w:b/>
          <w:sz w:val="21"/>
          <w:szCs w:val="21"/>
          <w:highlight w:val="none"/>
        </w:rPr>
        <w:t>产品要素</w:t>
      </w:r>
    </w:p>
    <w:p>
      <w:pPr>
        <w:numPr>
          <w:ilvl w:val="0"/>
          <w:numId w:val="0"/>
        </w:numPr>
        <w:tabs>
          <w:tab w:val="left" w:pos="1134"/>
        </w:tabs>
        <w:ind w:left="0" w:leftChars="0" w:firstLine="420" w:firstLineChars="200"/>
        <w:outlineLvl w:val="1"/>
        <w:rPr>
          <w:rFonts w:hint="eastAsia" w:ascii="楷体" w:hAnsi="楷体" w:eastAsia="楷体"/>
          <w:sz w:val="21"/>
          <w:szCs w:val="21"/>
          <w:highlight w:val="none"/>
        </w:rPr>
      </w:pPr>
      <w:r>
        <w:rPr>
          <w:rFonts w:hint="eastAsia" w:ascii="楷体" w:hAnsi="楷体" w:eastAsia="楷体"/>
          <w:sz w:val="21"/>
          <w:szCs w:val="21"/>
          <w:highlight w:val="none"/>
        </w:rPr>
        <w:t>为保护投资者合法权益，尊重投资者的知情权和自主选择权，现将本理财产品的基本要素说明如下：</w:t>
      </w:r>
    </w:p>
    <w:tbl>
      <w:tblPr>
        <w:tblStyle w:val="15"/>
        <w:tblW w:w="96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701"/>
        <w:gridCol w:w="79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2" w:hRule="atLeast"/>
          <w:jc w:val="center"/>
        </w:trPr>
        <w:tc>
          <w:tcPr>
            <w:tcW w:w="1701" w:type="dxa"/>
            <w:noWrap w:val="0"/>
            <w:vAlign w:val="center"/>
          </w:tcPr>
          <w:p>
            <w:pPr>
              <w:pStyle w:val="34"/>
              <w:keepNext w:val="0"/>
              <w:keepLines w:val="0"/>
              <w:pageBreakBefore w:val="0"/>
              <w:widowControl w:val="0"/>
              <w:kinsoku w:val="0"/>
              <w:wordWrap/>
              <w:overflowPunct w:val="0"/>
              <w:topLinePunct w:val="0"/>
              <w:bidi w:val="0"/>
              <w:snapToGrid/>
              <w:spacing w:before="0" w:line="0" w:lineRule="atLeast"/>
              <w:ind w:left="0" w:leftChars="0"/>
              <w:jc w:val="both"/>
              <w:textAlignment w:val="auto"/>
              <w:rPr>
                <w:rFonts w:ascii="楷体" w:hAnsi="楷体" w:eastAsia="楷体" w:cs="宋体"/>
                <w:b/>
                <w:spacing w:val="-2"/>
                <w:sz w:val="18"/>
                <w:szCs w:val="18"/>
                <w:highlight w:val="none"/>
              </w:rPr>
            </w:pPr>
            <w:r>
              <w:rPr>
                <w:rFonts w:hint="eastAsia" w:ascii="楷体" w:hAnsi="楷体" w:eastAsia="楷体" w:cs="宋体"/>
                <w:b/>
                <w:spacing w:val="-2"/>
                <w:sz w:val="18"/>
                <w:szCs w:val="18"/>
                <w:highlight w:val="none"/>
              </w:rPr>
              <w:t>产品名称</w:t>
            </w:r>
          </w:p>
        </w:tc>
        <w:tc>
          <w:tcPr>
            <w:tcW w:w="7937" w:type="dxa"/>
            <w:noWrap w:val="0"/>
            <w:vAlign w:val="center"/>
          </w:tcPr>
          <w:p>
            <w:pPr>
              <w:pStyle w:val="34"/>
              <w:keepNext w:val="0"/>
              <w:keepLines w:val="0"/>
              <w:pageBreakBefore w:val="0"/>
              <w:widowControl w:val="0"/>
              <w:kinsoku w:val="0"/>
              <w:wordWrap/>
              <w:overflowPunct w:val="0"/>
              <w:topLinePunct w:val="0"/>
              <w:bidi w:val="0"/>
              <w:snapToGrid/>
              <w:spacing w:line="0" w:lineRule="atLeast"/>
              <w:ind w:left="0" w:leftChars="0" w:right="0" w:rightChars="0"/>
              <w:jc w:val="both"/>
              <w:textAlignment w:val="auto"/>
              <w:rPr>
                <w:rFonts w:hint="default" w:ascii="楷体" w:hAnsi="楷体" w:eastAsia="楷体" w:cs="宋体"/>
                <w:spacing w:val="-2"/>
                <w:sz w:val="18"/>
                <w:szCs w:val="18"/>
                <w:highlight w:val="none"/>
                <w:lang w:val="en-US" w:eastAsia="zh-CN"/>
              </w:rPr>
            </w:pPr>
            <w:r>
              <w:rPr>
                <w:rFonts w:hint="eastAsia" w:ascii="楷体" w:hAnsi="楷体" w:eastAsia="楷体" w:cs="宋体"/>
                <w:spacing w:val="-2"/>
                <w:sz w:val="18"/>
                <w:szCs w:val="18"/>
                <w:highlight w:val="none"/>
                <w:lang w:val="en-US" w:eastAsia="zh-CN"/>
              </w:rPr>
              <w:t>苏银理财恒源1年定开16期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701" w:type="dxa"/>
            <w:noWrap w:val="0"/>
            <w:vAlign w:val="center"/>
          </w:tcPr>
          <w:p>
            <w:pPr>
              <w:pStyle w:val="34"/>
              <w:keepNext w:val="0"/>
              <w:keepLines w:val="0"/>
              <w:pageBreakBefore w:val="0"/>
              <w:widowControl w:val="0"/>
              <w:kinsoku w:val="0"/>
              <w:wordWrap/>
              <w:overflowPunct w:val="0"/>
              <w:topLinePunct w:val="0"/>
              <w:bidi w:val="0"/>
              <w:snapToGrid/>
              <w:spacing w:before="0" w:line="0" w:lineRule="atLeast"/>
              <w:ind w:left="0" w:leftChars="0"/>
              <w:jc w:val="both"/>
              <w:textAlignment w:val="auto"/>
              <w:rPr>
                <w:rFonts w:ascii="楷体" w:hAnsi="楷体" w:eastAsia="楷体" w:cs="宋体"/>
                <w:b/>
                <w:spacing w:val="-2"/>
                <w:sz w:val="18"/>
                <w:szCs w:val="18"/>
                <w:highlight w:val="none"/>
              </w:rPr>
            </w:pPr>
            <w:r>
              <w:rPr>
                <w:rFonts w:hint="eastAsia" w:ascii="楷体" w:hAnsi="楷体" w:eastAsia="楷体" w:cs="宋体"/>
                <w:b/>
                <w:spacing w:val="-2"/>
                <w:sz w:val="18"/>
                <w:szCs w:val="18"/>
                <w:highlight w:val="none"/>
              </w:rPr>
              <w:t>理财产品登记编码</w:t>
            </w:r>
          </w:p>
        </w:tc>
        <w:tc>
          <w:tcPr>
            <w:tcW w:w="7937" w:type="dxa"/>
            <w:noWrap w:val="0"/>
            <w:vAlign w:val="center"/>
          </w:tcPr>
          <w:p>
            <w:pPr>
              <w:pStyle w:val="34"/>
              <w:keepNext w:val="0"/>
              <w:keepLines w:val="0"/>
              <w:pageBreakBefore w:val="0"/>
              <w:widowControl w:val="0"/>
              <w:kinsoku w:val="0"/>
              <w:wordWrap/>
              <w:overflowPunct w:val="0"/>
              <w:topLinePunct w:val="0"/>
              <w:bidi w:val="0"/>
              <w:snapToGrid/>
              <w:spacing w:line="0" w:lineRule="atLeast"/>
              <w:ind w:left="0" w:leftChars="0" w:right="0" w:rightChars="0"/>
              <w:jc w:val="both"/>
              <w:textAlignment w:val="auto"/>
              <w:rPr>
                <w:rFonts w:hint="eastAsia" w:ascii="楷体" w:hAnsi="楷体" w:eastAsia="楷体" w:cs="宋体"/>
                <w:spacing w:val="-2"/>
                <w:sz w:val="18"/>
                <w:szCs w:val="18"/>
                <w:highlight w:val="none"/>
                <w:lang w:eastAsia="zh-CN"/>
              </w:rPr>
            </w:pPr>
            <w:r>
              <w:rPr>
                <w:rFonts w:hint="eastAsia" w:ascii="楷体" w:hAnsi="楷体" w:eastAsia="楷体" w:cs="宋体"/>
                <w:spacing w:val="-2"/>
                <w:sz w:val="18"/>
                <w:szCs w:val="18"/>
                <w:highlight w:val="none"/>
                <w:lang w:val="en-US" w:eastAsia="zh-CN"/>
              </w:rPr>
              <w:t>Z7003121000107</w:t>
            </w:r>
            <w:r>
              <w:rPr>
                <w:rFonts w:hint="eastAsia" w:ascii="楷体" w:hAnsi="楷体" w:eastAsia="楷体" w:cs="宋体"/>
                <w:spacing w:val="-2"/>
                <w:sz w:val="18"/>
                <w:szCs w:val="18"/>
                <w:highlight w:val="none"/>
                <w:lang w:eastAsia="zh-CN"/>
              </w:rPr>
              <w:t>，</w:t>
            </w:r>
            <w:r>
              <w:rPr>
                <w:rFonts w:hint="eastAsia" w:ascii="楷体" w:hAnsi="楷体" w:eastAsia="楷体" w:cs="宋体"/>
                <w:spacing w:val="-2"/>
                <w:sz w:val="18"/>
                <w:szCs w:val="18"/>
                <w:highlight w:val="none"/>
              </w:rPr>
              <w:t>投资者可依据该编码在中国理财网</w:t>
            </w:r>
            <w:r>
              <w:rPr>
                <w:rFonts w:ascii="楷体" w:hAnsi="楷体" w:eastAsia="楷体" w:cs="宋体"/>
                <w:spacing w:val="-2"/>
                <w:sz w:val="18"/>
                <w:szCs w:val="18"/>
                <w:highlight w:val="none"/>
              </w:rPr>
              <w:fldChar w:fldCharType="begin"/>
            </w:r>
            <w:r>
              <w:rPr>
                <w:rFonts w:ascii="楷体" w:hAnsi="楷体" w:eastAsia="楷体" w:cs="宋体"/>
                <w:spacing w:val="-2"/>
                <w:sz w:val="18"/>
                <w:szCs w:val="18"/>
                <w:highlight w:val="none"/>
              </w:rPr>
              <w:instrText xml:space="preserve"> HYPERLINK "http://www.chinawealth.com.cn/" </w:instrText>
            </w:r>
            <w:r>
              <w:rPr>
                <w:rFonts w:ascii="楷体" w:hAnsi="楷体" w:eastAsia="楷体" w:cs="宋体"/>
                <w:spacing w:val="-2"/>
                <w:sz w:val="18"/>
                <w:szCs w:val="18"/>
                <w:highlight w:val="none"/>
              </w:rPr>
              <w:fldChar w:fldCharType="separate"/>
            </w:r>
            <w:r>
              <w:rPr>
                <w:rFonts w:ascii="楷体" w:hAnsi="楷体" w:eastAsia="楷体" w:cs="宋体"/>
                <w:spacing w:val="-2"/>
                <w:sz w:val="18"/>
                <w:szCs w:val="18"/>
                <w:highlight w:val="none"/>
              </w:rPr>
              <w:t>www.chinawealth.com.cn</w:t>
            </w:r>
            <w:r>
              <w:rPr>
                <w:rFonts w:ascii="楷体" w:hAnsi="楷体" w:eastAsia="楷体" w:cs="宋体"/>
                <w:spacing w:val="-2"/>
                <w:sz w:val="18"/>
                <w:szCs w:val="18"/>
                <w:highlight w:val="none"/>
              </w:rPr>
              <w:fldChar w:fldCharType="end"/>
            </w:r>
            <w:r>
              <w:rPr>
                <w:rFonts w:hint="eastAsia" w:ascii="楷体" w:hAnsi="楷体" w:eastAsia="楷体" w:cs="宋体"/>
                <w:spacing w:val="-2"/>
                <w:sz w:val="18"/>
                <w:szCs w:val="18"/>
                <w:highlight w:val="none"/>
              </w:rPr>
              <w:t>查询产品信息</w:t>
            </w:r>
            <w:r>
              <w:rPr>
                <w:rFonts w:hint="eastAsia" w:ascii="楷体" w:hAnsi="楷体" w:eastAsia="楷体" w:cs="宋体"/>
                <w:spacing w:val="-2"/>
                <w:sz w:val="18"/>
                <w:szCs w:val="18"/>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5" w:hRule="atLeast"/>
          <w:jc w:val="center"/>
        </w:trPr>
        <w:tc>
          <w:tcPr>
            <w:tcW w:w="1701" w:type="dxa"/>
            <w:noWrap w:val="0"/>
            <w:vAlign w:val="center"/>
          </w:tcPr>
          <w:p>
            <w:pPr>
              <w:pStyle w:val="34"/>
              <w:keepNext w:val="0"/>
              <w:keepLines w:val="0"/>
              <w:pageBreakBefore w:val="0"/>
              <w:widowControl w:val="0"/>
              <w:kinsoku w:val="0"/>
              <w:wordWrap/>
              <w:overflowPunct w:val="0"/>
              <w:topLinePunct w:val="0"/>
              <w:bidi w:val="0"/>
              <w:snapToGrid/>
              <w:spacing w:before="0" w:line="0" w:lineRule="atLeast"/>
              <w:ind w:left="0" w:leftChars="0"/>
              <w:jc w:val="both"/>
              <w:textAlignment w:val="auto"/>
              <w:rPr>
                <w:rFonts w:ascii="楷体" w:hAnsi="楷体" w:eastAsia="楷体" w:cs="宋体"/>
                <w:b/>
                <w:spacing w:val="-2"/>
                <w:sz w:val="18"/>
                <w:szCs w:val="18"/>
                <w:highlight w:val="none"/>
              </w:rPr>
            </w:pPr>
            <w:r>
              <w:rPr>
                <w:rFonts w:hint="eastAsia" w:ascii="楷体" w:hAnsi="楷体" w:eastAsia="楷体" w:cs="宋体"/>
                <w:b/>
                <w:spacing w:val="-2"/>
                <w:sz w:val="18"/>
                <w:szCs w:val="18"/>
                <w:highlight w:val="none"/>
              </w:rPr>
              <w:t>销售</w:t>
            </w:r>
            <w:r>
              <w:rPr>
                <w:rFonts w:hint="eastAsia" w:ascii="楷体" w:hAnsi="楷体" w:eastAsia="楷体" w:cs="宋体"/>
                <w:b/>
                <w:spacing w:val="-2"/>
                <w:sz w:val="18"/>
                <w:szCs w:val="18"/>
                <w:highlight w:val="none"/>
                <w:lang w:val="en-US" w:eastAsia="zh-CN"/>
              </w:rPr>
              <w:t>名称</w:t>
            </w:r>
            <w:r>
              <w:rPr>
                <w:rFonts w:hint="eastAsia" w:ascii="楷体" w:hAnsi="楷体" w:eastAsia="楷体" w:cs="宋体"/>
                <w:b/>
                <w:spacing w:val="-2"/>
                <w:sz w:val="18"/>
                <w:szCs w:val="18"/>
                <w:highlight w:val="none"/>
              </w:rPr>
              <w:t>/销售代码</w:t>
            </w:r>
          </w:p>
        </w:tc>
        <w:tc>
          <w:tcPr>
            <w:tcW w:w="7937" w:type="dxa"/>
            <w:noWrap w:val="0"/>
            <w:vAlign w:val="center"/>
          </w:tcPr>
          <w:p>
            <w:pPr>
              <w:pStyle w:val="34"/>
              <w:keepNext w:val="0"/>
              <w:keepLines w:val="0"/>
              <w:pageBreakBefore w:val="0"/>
              <w:widowControl w:val="0"/>
              <w:kinsoku w:val="0"/>
              <w:wordWrap/>
              <w:overflowPunct w:val="0"/>
              <w:topLinePunct w:val="0"/>
              <w:bidi w:val="0"/>
              <w:snapToGrid/>
              <w:spacing w:line="0" w:lineRule="atLeast"/>
              <w:ind w:left="0" w:leftChars="0" w:right="0" w:rightChars="0"/>
              <w:jc w:val="both"/>
              <w:textAlignment w:val="auto"/>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A份额:苏银理财恒源1年定开16期A/J00295</w:t>
            </w:r>
            <w:r>
              <w:rPr>
                <w:rFonts w:hint="eastAsia" w:ascii="楷体" w:hAnsi="楷体" w:eastAsia="楷体" w:cs="宋体"/>
                <w:color w:val="auto"/>
                <w:spacing w:val="-2"/>
                <w:sz w:val="18"/>
                <w:szCs w:val="18"/>
                <w:highlight w:val="none"/>
                <w:lang w:val="en-US" w:eastAsia="zh-CN"/>
              </w:rPr>
              <w:br w:type="textWrapping"/>
            </w:r>
            <w:r>
              <w:rPr>
                <w:rFonts w:hint="eastAsia" w:ascii="楷体" w:hAnsi="楷体" w:eastAsia="楷体" w:cs="宋体"/>
                <w:color w:val="auto"/>
                <w:spacing w:val="-2"/>
                <w:sz w:val="18"/>
                <w:szCs w:val="18"/>
                <w:highlight w:val="none"/>
                <w:lang w:val="en-US" w:eastAsia="zh-CN"/>
              </w:rPr>
              <w:t>B份额:苏银理财恒源1年定开16期B/J00296</w:t>
            </w:r>
            <w:r>
              <w:rPr>
                <w:rFonts w:hint="eastAsia" w:ascii="楷体" w:hAnsi="楷体" w:eastAsia="楷体" w:cs="宋体"/>
                <w:color w:val="auto"/>
                <w:spacing w:val="-2"/>
                <w:sz w:val="18"/>
                <w:szCs w:val="18"/>
                <w:highlight w:val="none"/>
                <w:lang w:val="en-US" w:eastAsia="zh-CN"/>
              </w:rPr>
              <w:br w:type="textWrapping"/>
            </w:r>
            <w:r>
              <w:rPr>
                <w:rFonts w:hint="eastAsia" w:ascii="楷体" w:hAnsi="楷体" w:eastAsia="楷体" w:cs="宋体"/>
                <w:color w:val="auto"/>
                <w:spacing w:val="-2"/>
                <w:sz w:val="18"/>
                <w:szCs w:val="18"/>
                <w:highlight w:val="none"/>
                <w:lang w:val="en-US" w:eastAsia="zh-CN"/>
              </w:rPr>
              <w:t>C份额:苏银理财恒源1年定开16期C/J05728</w:t>
            </w:r>
            <w:r>
              <w:rPr>
                <w:rFonts w:hint="eastAsia" w:ascii="楷体" w:hAnsi="楷体" w:eastAsia="楷体" w:cs="宋体"/>
                <w:color w:val="auto"/>
                <w:spacing w:val="-2"/>
                <w:sz w:val="18"/>
                <w:szCs w:val="18"/>
                <w:highlight w:val="none"/>
                <w:lang w:val="en-US" w:eastAsia="zh-CN"/>
              </w:rPr>
              <w:br w:type="textWrapping"/>
            </w:r>
            <w:r>
              <w:rPr>
                <w:rFonts w:hint="eastAsia" w:ascii="楷体" w:hAnsi="楷体" w:eastAsia="楷体" w:cs="宋体"/>
                <w:color w:val="auto"/>
                <w:spacing w:val="-2"/>
                <w:sz w:val="18"/>
                <w:szCs w:val="18"/>
                <w:highlight w:val="none"/>
                <w:lang w:val="en-US" w:eastAsia="zh-CN"/>
              </w:rPr>
              <w:t>D份额:苏银理财恒源1年定开16期D/J02513</w:t>
            </w:r>
            <w:r>
              <w:rPr>
                <w:rFonts w:hint="eastAsia" w:ascii="楷体" w:hAnsi="楷体" w:eastAsia="楷体" w:cs="宋体"/>
                <w:color w:val="auto"/>
                <w:spacing w:val="-2"/>
                <w:sz w:val="18"/>
                <w:szCs w:val="18"/>
                <w:highlight w:val="none"/>
                <w:lang w:val="en-US" w:eastAsia="zh-CN"/>
              </w:rPr>
              <w:br w:type="textWrapping"/>
            </w:r>
            <w:r>
              <w:rPr>
                <w:rFonts w:hint="eastAsia" w:ascii="楷体" w:hAnsi="楷体" w:eastAsia="楷体" w:cs="宋体"/>
                <w:color w:val="auto"/>
                <w:spacing w:val="-2"/>
                <w:sz w:val="18"/>
                <w:szCs w:val="18"/>
                <w:highlight w:val="none"/>
                <w:lang w:val="en-US" w:eastAsia="zh-CN"/>
              </w:rPr>
              <w:t>F份额:苏银理财恒源1年定开16期F/J02514</w:t>
            </w:r>
            <w:r>
              <w:rPr>
                <w:rFonts w:hint="eastAsia" w:ascii="楷体" w:hAnsi="楷体" w:eastAsia="楷体" w:cs="宋体"/>
                <w:color w:val="auto"/>
                <w:spacing w:val="-2"/>
                <w:sz w:val="18"/>
                <w:szCs w:val="18"/>
                <w:highlight w:val="none"/>
                <w:lang w:val="en-US" w:eastAsia="zh-CN"/>
              </w:rPr>
              <w:br w:type="textWrapping"/>
            </w:r>
            <w:r>
              <w:rPr>
                <w:rFonts w:hint="eastAsia" w:ascii="楷体" w:hAnsi="楷体" w:eastAsia="楷体" w:cs="宋体"/>
                <w:color w:val="auto"/>
                <w:spacing w:val="-2"/>
                <w:sz w:val="18"/>
                <w:szCs w:val="18"/>
                <w:highlight w:val="none"/>
                <w:lang w:val="en-US" w:eastAsia="zh-CN"/>
              </w:rPr>
              <w:t>G份额:苏银理财恒源1年定开16期G/J02515</w:t>
            </w:r>
            <w:r>
              <w:rPr>
                <w:rFonts w:hint="eastAsia" w:ascii="楷体" w:hAnsi="楷体" w:eastAsia="楷体" w:cs="宋体"/>
                <w:color w:val="auto"/>
                <w:spacing w:val="-2"/>
                <w:sz w:val="18"/>
                <w:szCs w:val="18"/>
                <w:highlight w:val="none"/>
                <w:lang w:val="en-US" w:eastAsia="zh-CN"/>
              </w:rPr>
              <w:br w:type="textWrapping"/>
            </w:r>
            <w:r>
              <w:rPr>
                <w:rFonts w:hint="eastAsia" w:ascii="楷体" w:hAnsi="楷体" w:eastAsia="楷体" w:cs="宋体"/>
                <w:color w:val="auto"/>
                <w:spacing w:val="-2"/>
                <w:sz w:val="18"/>
                <w:szCs w:val="18"/>
                <w:highlight w:val="none"/>
                <w:lang w:val="en-US" w:eastAsia="zh-CN"/>
              </w:rPr>
              <w:t>J份额:苏银理财恒源1年定开16期J/J02516</w:t>
            </w:r>
            <w:r>
              <w:rPr>
                <w:rFonts w:hint="eastAsia" w:ascii="楷体" w:hAnsi="楷体" w:eastAsia="楷体" w:cs="宋体"/>
                <w:color w:val="auto"/>
                <w:spacing w:val="-2"/>
                <w:sz w:val="18"/>
                <w:szCs w:val="18"/>
                <w:highlight w:val="none"/>
                <w:lang w:val="en-US" w:eastAsia="zh-CN"/>
              </w:rPr>
              <w:br w:type="textWrapping"/>
            </w:r>
            <w:r>
              <w:rPr>
                <w:rFonts w:hint="eastAsia" w:ascii="楷体" w:hAnsi="楷体" w:eastAsia="楷体" w:cs="宋体"/>
                <w:color w:val="auto"/>
                <w:spacing w:val="-2"/>
                <w:sz w:val="18"/>
                <w:szCs w:val="18"/>
                <w:highlight w:val="none"/>
                <w:lang w:val="en-US" w:eastAsia="zh-CN"/>
              </w:rPr>
              <w:t>J2份额:苏银理财恒源1年定开16期J2/J27275</w:t>
            </w:r>
            <w:r>
              <w:rPr>
                <w:rFonts w:hint="eastAsia" w:ascii="楷体" w:hAnsi="楷体" w:eastAsia="楷体" w:cs="宋体"/>
                <w:color w:val="auto"/>
                <w:spacing w:val="-2"/>
                <w:sz w:val="18"/>
                <w:szCs w:val="18"/>
                <w:highlight w:val="none"/>
                <w:lang w:val="en-US" w:eastAsia="zh-CN"/>
              </w:rPr>
              <w:br w:type="textWrapping"/>
            </w:r>
            <w:r>
              <w:rPr>
                <w:rFonts w:hint="eastAsia" w:ascii="楷体" w:hAnsi="楷体" w:eastAsia="楷体" w:cs="宋体"/>
                <w:color w:val="auto"/>
                <w:spacing w:val="-2"/>
                <w:sz w:val="18"/>
                <w:szCs w:val="18"/>
                <w:highlight w:val="none"/>
                <w:lang w:val="en-US" w:eastAsia="zh-CN"/>
              </w:rPr>
              <w:t>P份额:苏银理财恒源1年定开16期P/J05729</w:t>
            </w:r>
            <w:r>
              <w:rPr>
                <w:rFonts w:hint="eastAsia" w:ascii="楷体" w:hAnsi="楷体" w:eastAsia="楷体" w:cs="宋体"/>
                <w:color w:val="auto"/>
                <w:spacing w:val="-2"/>
                <w:sz w:val="18"/>
                <w:szCs w:val="18"/>
                <w:highlight w:val="none"/>
                <w:lang w:val="en-US" w:eastAsia="zh-CN"/>
              </w:rPr>
              <w:br w:type="textWrapping"/>
            </w:r>
            <w:r>
              <w:rPr>
                <w:rFonts w:hint="eastAsia" w:ascii="楷体" w:hAnsi="楷体" w:eastAsia="楷体" w:cs="宋体"/>
                <w:color w:val="auto"/>
                <w:spacing w:val="-2"/>
                <w:sz w:val="18"/>
                <w:szCs w:val="18"/>
                <w:highlight w:val="none"/>
                <w:lang w:val="en-US" w:eastAsia="zh-CN"/>
              </w:rPr>
              <w:t>Q份额:苏银理财恒源1年定开16期Q/J05730</w:t>
            </w:r>
            <w:r>
              <w:rPr>
                <w:rFonts w:hint="eastAsia" w:ascii="楷体" w:hAnsi="楷体" w:eastAsia="楷体" w:cs="宋体"/>
                <w:color w:val="auto"/>
                <w:spacing w:val="-2"/>
                <w:sz w:val="18"/>
                <w:szCs w:val="18"/>
                <w:highlight w:val="none"/>
                <w:lang w:val="en-US" w:eastAsia="zh-CN"/>
              </w:rPr>
              <w:br w:type="textWrapping"/>
            </w:r>
            <w:r>
              <w:rPr>
                <w:rFonts w:hint="eastAsia" w:ascii="楷体" w:hAnsi="楷体" w:eastAsia="楷体" w:cs="宋体"/>
                <w:color w:val="auto"/>
                <w:spacing w:val="-2"/>
                <w:sz w:val="18"/>
                <w:szCs w:val="18"/>
                <w:highlight w:val="none"/>
                <w:lang w:val="en-US" w:eastAsia="zh-CN"/>
              </w:rPr>
              <w:t>S份额:苏银理财恒源1年定开16期S/J05731</w:t>
            </w:r>
            <w:r>
              <w:rPr>
                <w:rFonts w:hint="eastAsia" w:ascii="楷体" w:hAnsi="楷体" w:eastAsia="楷体" w:cs="宋体"/>
                <w:color w:val="auto"/>
                <w:spacing w:val="-2"/>
                <w:sz w:val="18"/>
                <w:szCs w:val="18"/>
                <w:highlight w:val="none"/>
                <w:lang w:val="en-US" w:eastAsia="zh-CN"/>
              </w:rPr>
              <w:br w:type="textWrapping"/>
            </w:r>
            <w:r>
              <w:rPr>
                <w:rFonts w:hint="eastAsia" w:ascii="楷体" w:hAnsi="楷体" w:eastAsia="楷体" w:cs="宋体"/>
                <w:color w:val="auto"/>
                <w:spacing w:val="-2"/>
                <w:sz w:val="18"/>
                <w:szCs w:val="18"/>
                <w:highlight w:val="none"/>
                <w:lang w:val="en-US" w:eastAsia="zh-CN"/>
              </w:rPr>
              <w:t>GS份额:苏银理财恒源1年定开16期GS/J27276</w:t>
            </w:r>
            <w:r>
              <w:rPr>
                <w:rFonts w:hint="eastAsia" w:ascii="楷体" w:hAnsi="楷体" w:eastAsia="楷体" w:cs="宋体"/>
                <w:color w:val="auto"/>
                <w:spacing w:val="-2"/>
                <w:sz w:val="18"/>
                <w:szCs w:val="18"/>
                <w:highlight w:val="none"/>
                <w:lang w:val="en-US" w:eastAsia="zh-CN"/>
              </w:rPr>
              <w:br w:type="textWrapping"/>
            </w:r>
            <w:r>
              <w:rPr>
                <w:rFonts w:hint="eastAsia" w:ascii="楷体" w:hAnsi="楷体" w:eastAsia="楷体" w:cs="宋体"/>
                <w:color w:val="auto"/>
                <w:spacing w:val="-2"/>
                <w:sz w:val="18"/>
                <w:szCs w:val="18"/>
                <w:highlight w:val="none"/>
                <w:lang w:val="en-US" w:eastAsia="zh-CN"/>
              </w:rPr>
              <w:t>S1份额:苏银理财恒源1年定开16期S1（专享）/J27277</w:t>
            </w:r>
            <w:r>
              <w:rPr>
                <w:rFonts w:hint="eastAsia" w:ascii="楷体" w:hAnsi="楷体" w:eastAsia="楷体" w:cs="宋体"/>
                <w:color w:val="auto"/>
                <w:spacing w:val="-2"/>
                <w:sz w:val="18"/>
                <w:szCs w:val="18"/>
                <w:highlight w:val="none"/>
                <w:lang w:val="en-US" w:eastAsia="zh-CN"/>
              </w:rPr>
              <w:br w:type="textWrapping"/>
            </w:r>
            <w:r>
              <w:rPr>
                <w:rFonts w:hint="eastAsia" w:ascii="楷体" w:hAnsi="楷体" w:eastAsia="楷体" w:cs="宋体"/>
                <w:color w:val="auto"/>
                <w:spacing w:val="-2"/>
                <w:sz w:val="18"/>
                <w:szCs w:val="18"/>
                <w:highlight w:val="none"/>
                <w:lang w:val="en-US" w:eastAsia="zh-CN"/>
              </w:rPr>
              <w:t>U份额:苏银理财恒源1年定开16期U/J27278</w:t>
            </w:r>
            <w:r>
              <w:rPr>
                <w:rFonts w:hint="eastAsia" w:ascii="楷体" w:hAnsi="楷体" w:eastAsia="楷体" w:cs="宋体"/>
                <w:color w:val="auto"/>
                <w:spacing w:val="-2"/>
                <w:sz w:val="18"/>
                <w:szCs w:val="18"/>
                <w:highlight w:val="none"/>
                <w:lang w:val="en-US" w:eastAsia="zh-CN"/>
              </w:rPr>
              <w:br w:type="textWrapping"/>
            </w:r>
            <w:r>
              <w:rPr>
                <w:rFonts w:hint="eastAsia" w:ascii="楷体" w:hAnsi="楷体" w:eastAsia="楷体" w:cs="宋体"/>
                <w:color w:val="auto"/>
                <w:spacing w:val="-2"/>
                <w:sz w:val="18"/>
                <w:szCs w:val="18"/>
                <w:highlight w:val="none"/>
                <w:lang w:val="en-US" w:eastAsia="zh-CN"/>
              </w:rPr>
              <w:t>L份额:苏银理财恒源1年定开16期L/J27279</w:t>
            </w:r>
            <w:r>
              <w:rPr>
                <w:rFonts w:hint="eastAsia" w:ascii="楷体" w:hAnsi="楷体" w:eastAsia="楷体" w:cs="宋体"/>
                <w:color w:val="auto"/>
                <w:spacing w:val="-2"/>
                <w:sz w:val="18"/>
                <w:szCs w:val="18"/>
                <w:highlight w:val="none"/>
                <w:lang w:val="en-US" w:eastAsia="zh-CN"/>
              </w:rPr>
              <w:br w:type="textWrapping"/>
            </w:r>
            <w:r>
              <w:rPr>
                <w:rFonts w:hint="eastAsia" w:ascii="楷体" w:hAnsi="楷体" w:eastAsia="楷体" w:cs="宋体"/>
                <w:color w:val="auto"/>
                <w:spacing w:val="-2"/>
                <w:sz w:val="18"/>
                <w:szCs w:val="18"/>
                <w:highlight w:val="none"/>
                <w:lang w:val="en-US" w:eastAsia="zh-CN"/>
              </w:rPr>
              <w:t>Z份额:苏银理财恒源1年定开16期Z/J27280</w:t>
            </w:r>
            <w:r>
              <w:rPr>
                <w:rFonts w:hint="eastAsia" w:ascii="楷体" w:hAnsi="楷体" w:eastAsia="楷体" w:cs="宋体"/>
                <w:color w:val="auto"/>
                <w:spacing w:val="-2"/>
                <w:sz w:val="18"/>
                <w:szCs w:val="18"/>
                <w:highlight w:val="none"/>
                <w:lang w:val="en-US" w:eastAsia="zh-CN"/>
              </w:rPr>
              <w:br w:type="textWrapping"/>
            </w:r>
            <w:r>
              <w:rPr>
                <w:rFonts w:hint="eastAsia" w:ascii="楷体" w:hAnsi="楷体" w:eastAsia="楷体" w:cs="宋体"/>
                <w:color w:val="auto"/>
                <w:spacing w:val="-2"/>
                <w:sz w:val="18"/>
                <w:szCs w:val="18"/>
                <w:highlight w:val="none"/>
                <w:lang w:val="en-US" w:eastAsia="zh-CN"/>
              </w:rPr>
              <w:t>Z1份额:苏银理财恒源1年定开16期Z1/J27281</w:t>
            </w:r>
            <w:r>
              <w:rPr>
                <w:rFonts w:hint="eastAsia" w:ascii="楷体" w:hAnsi="楷体" w:eastAsia="楷体" w:cs="宋体"/>
                <w:color w:val="auto"/>
                <w:spacing w:val="-2"/>
                <w:sz w:val="18"/>
                <w:szCs w:val="18"/>
                <w:highlight w:val="none"/>
                <w:lang w:val="en-US" w:eastAsia="zh-CN"/>
              </w:rPr>
              <w:br w:type="textWrapping"/>
            </w:r>
            <w:r>
              <w:rPr>
                <w:rFonts w:hint="eastAsia" w:ascii="楷体" w:hAnsi="楷体" w:eastAsia="楷体" w:cs="宋体"/>
                <w:color w:val="auto"/>
                <w:spacing w:val="-2"/>
                <w:sz w:val="18"/>
                <w:szCs w:val="18"/>
                <w:highlight w:val="none"/>
                <w:lang w:val="en-US" w:eastAsia="zh-CN"/>
              </w:rPr>
              <w:t>Z2份额:苏银理财恒源1年定开16期Z2/J27282</w:t>
            </w:r>
            <w:r>
              <w:rPr>
                <w:rFonts w:hint="eastAsia" w:ascii="楷体" w:hAnsi="楷体" w:eastAsia="楷体" w:cs="宋体"/>
                <w:color w:val="auto"/>
                <w:spacing w:val="-2"/>
                <w:sz w:val="18"/>
                <w:szCs w:val="18"/>
                <w:highlight w:val="none"/>
                <w:lang w:val="en-US" w:eastAsia="zh-CN"/>
              </w:rPr>
              <w:br w:type="textWrapping"/>
            </w:r>
            <w:r>
              <w:rPr>
                <w:rFonts w:hint="eastAsia" w:ascii="楷体" w:hAnsi="楷体" w:eastAsia="楷体" w:cs="宋体"/>
                <w:color w:val="auto"/>
                <w:spacing w:val="-2"/>
                <w:sz w:val="18"/>
                <w:szCs w:val="18"/>
                <w:highlight w:val="none"/>
                <w:lang w:val="en-US" w:eastAsia="zh-CN"/>
              </w:rPr>
              <w:t>ZA份额:苏银理财恒源1年定开16期ZA鑫福款（自动赎回）/J02517</w:t>
            </w:r>
            <w:r>
              <w:rPr>
                <w:rFonts w:hint="eastAsia" w:ascii="楷体" w:hAnsi="楷体" w:eastAsia="楷体" w:cs="宋体"/>
                <w:color w:val="auto"/>
                <w:spacing w:val="-2"/>
                <w:sz w:val="18"/>
                <w:szCs w:val="18"/>
                <w:highlight w:val="none"/>
                <w:lang w:val="en-US" w:eastAsia="zh-CN"/>
              </w:rPr>
              <w:br w:type="textWrapping"/>
            </w:r>
            <w:r>
              <w:rPr>
                <w:rFonts w:hint="eastAsia" w:ascii="楷体" w:hAnsi="楷体" w:eastAsia="楷体" w:cs="宋体"/>
                <w:color w:val="auto"/>
                <w:spacing w:val="-2"/>
                <w:sz w:val="18"/>
                <w:szCs w:val="18"/>
                <w:highlight w:val="none"/>
                <w:lang w:val="en-US" w:eastAsia="zh-CN"/>
              </w:rPr>
              <w:t>ZF份额:苏银理财恒源1年定开16期ZF（自动赎回）/J02518</w:t>
            </w:r>
            <w:r>
              <w:rPr>
                <w:rFonts w:hint="eastAsia" w:ascii="楷体" w:hAnsi="楷体" w:eastAsia="楷体" w:cs="宋体"/>
                <w:color w:val="auto"/>
                <w:spacing w:val="-2"/>
                <w:sz w:val="18"/>
                <w:szCs w:val="18"/>
                <w:highlight w:val="none"/>
                <w:lang w:val="en-US" w:eastAsia="zh-CN"/>
              </w:rPr>
              <w:br w:type="textWrapping"/>
            </w:r>
            <w:r>
              <w:rPr>
                <w:rFonts w:hint="eastAsia" w:ascii="楷体" w:hAnsi="楷体" w:eastAsia="楷体" w:cs="宋体"/>
                <w:color w:val="auto"/>
                <w:spacing w:val="-2"/>
                <w:sz w:val="18"/>
                <w:szCs w:val="18"/>
                <w:highlight w:val="none"/>
                <w:lang w:val="en-US" w:eastAsia="zh-CN"/>
              </w:rPr>
              <w:t>ZF2份额:苏银理财恒源1年定开16期ZF2（自动赎回）/J27283</w:t>
            </w:r>
            <w:r>
              <w:rPr>
                <w:rFonts w:hint="eastAsia" w:ascii="楷体" w:hAnsi="楷体" w:eastAsia="楷体" w:cs="宋体"/>
                <w:color w:val="auto"/>
                <w:spacing w:val="-2"/>
                <w:sz w:val="18"/>
                <w:szCs w:val="18"/>
                <w:highlight w:val="none"/>
                <w:lang w:val="en-US" w:eastAsia="zh-CN"/>
              </w:rPr>
              <w:br w:type="textWrapping"/>
            </w:r>
            <w:r>
              <w:rPr>
                <w:rFonts w:hint="eastAsia" w:ascii="楷体" w:hAnsi="楷体" w:eastAsia="楷体" w:cs="宋体"/>
                <w:color w:val="auto"/>
                <w:spacing w:val="-2"/>
                <w:sz w:val="18"/>
                <w:szCs w:val="18"/>
                <w:highlight w:val="none"/>
                <w:lang w:val="en-US" w:eastAsia="zh-CN"/>
              </w:rPr>
              <w:t>ZF3份额:苏银理财恒源1年定开16期ZF3（自动赎回）/J27284</w:t>
            </w:r>
            <w:r>
              <w:rPr>
                <w:rFonts w:hint="eastAsia" w:ascii="楷体" w:hAnsi="楷体" w:eastAsia="楷体" w:cs="宋体"/>
                <w:color w:val="auto"/>
                <w:spacing w:val="-2"/>
                <w:sz w:val="18"/>
                <w:szCs w:val="18"/>
                <w:highlight w:val="none"/>
                <w:lang w:val="en-US" w:eastAsia="zh-CN"/>
              </w:rPr>
              <w:br w:type="textWrapping"/>
            </w:r>
            <w:r>
              <w:rPr>
                <w:rFonts w:hint="eastAsia" w:ascii="楷体" w:hAnsi="楷体" w:eastAsia="楷体" w:cs="宋体"/>
                <w:color w:val="auto"/>
                <w:spacing w:val="-2"/>
                <w:sz w:val="18"/>
                <w:szCs w:val="18"/>
                <w:highlight w:val="none"/>
                <w:lang w:val="en-US" w:eastAsia="zh-CN"/>
              </w:rPr>
              <w:t>ZF4份额:苏银理财恒源1年定开16期ZF4（自动赎回）/J27285</w:t>
            </w:r>
            <w:r>
              <w:rPr>
                <w:rFonts w:hint="eastAsia" w:ascii="楷体" w:hAnsi="楷体" w:eastAsia="楷体" w:cs="宋体"/>
                <w:color w:val="auto"/>
                <w:spacing w:val="-2"/>
                <w:sz w:val="18"/>
                <w:szCs w:val="18"/>
                <w:highlight w:val="none"/>
                <w:lang w:val="en-US" w:eastAsia="zh-CN"/>
              </w:rPr>
              <w:br w:type="textWrapping"/>
            </w:r>
            <w:r>
              <w:rPr>
                <w:rFonts w:hint="eastAsia" w:ascii="楷体" w:hAnsi="楷体" w:eastAsia="楷体" w:cs="宋体"/>
                <w:color w:val="auto"/>
                <w:spacing w:val="-2"/>
                <w:sz w:val="18"/>
                <w:szCs w:val="18"/>
                <w:highlight w:val="none"/>
                <w:lang w:val="en-US" w:eastAsia="zh-CN"/>
              </w:rPr>
              <w:t>ZF5份额:苏银理财恒源1年定开16期ZF5（自动赎回）/J27286</w:t>
            </w:r>
            <w:r>
              <w:rPr>
                <w:rFonts w:hint="eastAsia" w:ascii="楷体" w:hAnsi="楷体" w:eastAsia="楷体" w:cs="宋体"/>
                <w:color w:val="auto"/>
                <w:spacing w:val="-2"/>
                <w:sz w:val="18"/>
                <w:szCs w:val="18"/>
                <w:highlight w:val="none"/>
                <w:lang w:val="en-US" w:eastAsia="zh-CN"/>
              </w:rPr>
              <w:br w:type="textWrapping"/>
            </w:r>
            <w:r>
              <w:rPr>
                <w:rFonts w:hint="eastAsia" w:ascii="楷体" w:hAnsi="楷体" w:eastAsia="楷体" w:cs="宋体"/>
                <w:color w:val="auto"/>
                <w:spacing w:val="-2"/>
                <w:sz w:val="18"/>
                <w:szCs w:val="18"/>
                <w:highlight w:val="none"/>
                <w:lang w:val="en-US" w:eastAsia="zh-CN"/>
              </w:rPr>
              <w:t>ZJ份额:苏银理财恒源1年定开16期ZJ（自动赎回）/J27287</w:t>
            </w:r>
            <w:r>
              <w:rPr>
                <w:rFonts w:hint="eastAsia" w:ascii="楷体" w:hAnsi="楷体" w:eastAsia="楷体" w:cs="宋体"/>
                <w:color w:val="auto"/>
                <w:spacing w:val="-2"/>
                <w:sz w:val="18"/>
                <w:szCs w:val="18"/>
                <w:highlight w:val="none"/>
                <w:lang w:val="en-US" w:eastAsia="zh-CN"/>
              </w:rPr>
              <w:br w:type="textWrapping"/>
            </w:r>
            <w:r>
              <w:rPr>
                <w:rFonts w:hint="eastAsia" w:ascii="楷体" w:hAnsi="楷体" w:eastAsia="楷体" w:cs="宋体"/>
                <w:color w:val="auto"/>
                <w:spacing w:val="-2"/>
                <w:sz w:val="18"/>
                <w:szCs w:val="18"/>
                <w:highlight w:val="none"/>
                <w:lang w:val="en-US" w:eastAsia="zh-CN"/>
              </w:rPr>
              <w:t>ZL份额:苏银理财恒源1年定开16期ZL（自动赎回）/J27288</w:t>
            </w:r>
            <w:r>
              <w:rPr>
                <w:rFonts w:hint="eastAsia" w:ascii="楷体" w:hAnsi="楷体" w:eastAsia="楷体" w:cs="宋体"/>
                <w:color w:val="auto"/>
                <w:spacing w:val="-2"/>
                <w:sz w:val="18"/>
                <w:szCs w:val="18"/>
                <w:highlight w:val="none"/>
                <w:lang w:val="en-US" w:eastAsia="zh-CN"/>
              </w:rPr>
              <w:br w:type="textWrapping"/>
            </w:r>
            <w:r>
              <w:rPr>
                <w:rFonts w:hint="eastAsia" w:ascii="楷体" w:hAnsi="楷体" w:eastAsia="楷体" w:cs="宋体"/>
                <w:color w:val="auto"/>
                <w:spacing w:val="-2"/>
                <w:sz w:val="18"/>
                <w:szCs w:val="18"/>
                <w:highlight w:val="none"/>
                <w:lang w:val="en-US" w:eastAsia="zh-CN"/>
              </w:rPr>
              <w:t>天府·优选份额:苏银理财恒源1年定开16期（天府·优选）/J27289</w:t>
            </w:r>
            <w:r>
              <w:rPr>
                <w:rFonts w:hint="eastAsia" w:ascii="楷体" w:hAnsi="楷体" w:eastAsia="楷体" w:cs="宋体"/>
                <w:color w:val="auto"/>
                <w:spacing w:val="-2"/>
                <w:sz w:val="18"/>
                <w:szCs w:val="18"/>
                <w:highlight w:val="none"/>
                <w:lang w:val="en-US" w:eastAsia="zh-CN"/>
              </w:rPr>
              <w:br w:type="textWrapping"/>
            </w:r>
            <w:r>
              <w:rPr>
                <w:rFonts w:hint="eastAsia" w:ascii="楷体" w:hAnsi="楷体" w:eastAsia="楷体" w:cs="宋体"/>
                <w:color w:val="auto"/>
                <w:spacing w:val="-2"/>
                <w:sz w:val="18"/>
                <w:szCs w:val="18"/>
                <w:highlight w:val="none"/>
                <w:lang w:val="en-US" w:eastAsia="zh-CN"/>
              </w:rPr>
              <w:t>芙蓉锦程·优选份额:苏银理财恒源1年定开16期芙蓉锦程·优选（自动赎回）/J27290</w:t>
            </w:r>
            <w:r>
              <w:rPr>
                <w:rFonts w:hint="eastAsia" w:ascii="楷体" w:hAnsi="楷体" w:eastAsia="楷体" w:cs="宋体"/>
                <w:color w:val="auto"/>
                <w:spacing w:val="-2"/>
                <w:sz w:val="18"/>
                <w:szCs w:val="18"/>
                <w:highlight w:val="none"/>
                <w:lang w:val="en-US" w:eastAsia="zh-CN"/>
              </w:rPr>
              <w:br w:type="textWrapping"/>
            </w:r>
            <w:r>
              <w:rPr>
                <w:rFonts w:hint="eastAsia" w:ascii="楷体" w:hAnsi="楷体" w:eastAsia="楷体" w:cs="宋体"/>
                <w:color w:val="auto"/>
                <w:spacing w:val="-2"/>
                <w:sz w:val="18"/>
                <w:szCs w:val="18"/>
                <w:highlight w:val="none"/>
                <w:lang w:val="en-US" w:eastAsia="zh-CN"/>
              </w:rPr>
              <w:t>芙蓉锦程·优选-尊享款份额:苏银理财恒源1年定开16期芙蓉锦程·优选-尊享款（自动赎回）</w:t>
            </w:r>
            <w:bookmarkStart w:id="0" w:name="_GoBack"/>
            <w:bookmarkEnd w:id="0"/>
            <w:r>
              <w:rPr>
                <w:rFonts w:hint="eastAsia" w:ascii="楷体" w:hAnsi="楷体" w:eastAsia="楷体" w:cs="宋体"/>
                <w:color w:val="auto"/>
                <w:spacing w:val="-2"/>
                <w:sz w:val="18"/>
                <w:szCs w:val="18"/>
                <w:highlight w:val="none"/>
                <w:lang w:val="en-US" w:eastAsia="zh-CN"/>
              </w:rPr>
              <w:t>/J27291</w:t>
            </w:r>
            <w:r>
              <w:rPr>
                <w:rFonts w:hint="eastAsia" w:ascii="楷体" w:hAnsi="楷体" w:eastAsia="楷体" w:cs="宋体"/>
                <w:color w:val="auto"/>
                <w:spacing w:val="-2"/>
                <w:sz w:val="18"/>
                <w:szCs w:val="18"/>
                <w:highlight w:val="none"/>
                <w:lang w:val="en-US" w:eastAsia="zh-CN"/>
              </w:rPr>
              <w:br w:type="textWrapping"/>
            </w:r>
            <w:r>
              <w:rPr>
                <w:rFonts w:hint="eastAsia" w:ascii="楷体" w:hAnsi="楷体" w:eastAsia="楷体" w:cs="宋体"/>
                <w:color w:val="auto"/>
                <w:spacing w:val="-2"/>
                <w:sz w:val="18"/>
                <w:szCs w:val="18"/>
                <w:highlight w:val="none"/>
                <w:lang w:val="en-US" w:eastAsia="zh-CN"/>
              </w:rPr>
              <w:t>ZN份额:苏银理财恒源1年定开16期ZN（自动赎回）/J05732</w:t>
            </w:r>
            <w:r>
              <w:rPr>
                <w:rFonts w:hint="eastAsia" w:ascii="楷体" w:hAnsi="楷体" w:eastAsia="楷体" w:cs="宋体"/>
                <w:color w:val="auto"/>
                <w:spacing w:val="-2"/>
                <w:sz w:val="18"/>
                <w:szCs w:val="18"/>
                <w:highlight w:val="none"/>
                <w:lang w:val="en-US" w:eastAsia="zh-CN"/>
              </w:rPr>
              <w:br w:type="textWrapping"/>
            </w:r>
            <w:r>
              <w:rPr>
                <w:rFonts w:hint="eastAsia" w:ascii="楷体" w:hAnsi="楷体" w:eastAsia="楷体" w:cs="宋体"/>
                <w:color w:val="auto"/>
                <w:spacing w:val="-2"/>
                <w:sz w:val="18"/>
                <w:szCs w:val="18"/>
                <w:highlight w:val="none"/>
                <w:lang w:val="en-US" w:eastAsia="zh-CN"/>
              </w:rPr>
              <w:t>ZQ份额:苏银理财恒源1年定开16期ZQ（自动赎回）/J05733</w:t>
            </w:r>
            <w:r>
              <w:rPr>
                <w:rFonts w:hint="eastAsia" w:ascii="楷体" w:hAnsi="楷体" w:eastAsia="楷体" w:cs="宋体"/>
                <w:color w:val="auto"/>
                <w:spacing w:val="-2"/>
                <w:sz w:val="18"/>
                <w:szCs w:val="18"/>
                <w:highlight w:val="none"/>
                <w:lang w:val="en-US" w:eastAsia="zh-CN"/>
              </w:rPr>
              <w:br w:type="textWrapping"/>
            </w:r>
            <w:r>
              <w:rPr>
                <w:rFonts w:hint="eastAsia" w:ascii="楷体" w:hAnsi="楷体" w:eastAsia="楷体" w:cs="宋体"/>
                <w:color w:val="auto"/>
                <w:spacing w:val="-2"/>
                <w:sz w:val="18"/>
                <w:szCs w:val="18"/>
                <w:highlight w:val="none"/>
                <w:lang w:val="en-US" w:eastAsia="zh-CN"/>
              </w:rPr>
              <w:t>ZC份额:苏银理财恒源1年定开16期ZC鑫福优享（自动赎回）/J27292</w:t>
            </w:r>
            <w:r>
              <w:rPr>
                <w:rFonts w:hint="eastAsia" w:ascii="楷体" w:hAnsi="楷体" w:eastAsia="楷体" w:cs="宋体"/>
                <w:color w:val="auto"/>
                <w:spacing w:val="-2"/>
                <w:sz w:val="18"/>
                <w:szCs w:val="18"/>
                <w:highlight w:val="none"/>
                <w:lang w:val="en-US" w:eastAsia="zh-CN"/>
              </w:rPr>
              <w:br w:type="textWrapping"/>
            </w:r>
            <w:r>
              <w:rPr>
                <w:rFonts w:hint="eastAsia" w:ascii="楷体" w:hAnsi="楷体" w:eastAsia="楷体" w:cs="宋体"/>
                <w:color w:val="auto"/>
                <w:spacing w:val="-2"/>
                <w:sz w:val="18"/>
                <w:szCs w:val="18"/>
                <w:highlight w:val="none"/>
                <w:lang w:val="en-US" w:eastAsia="zh-CN"/>
              </w:rPr>
              <w:t>ZK份额:苏银理财恒源1年定开16期ZK鑫福尊享（自动赎回）/J27293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0" w:hRule="atLeast"/>
          <w:jc w:val="center"/>
        </w:trPr>
        <w:tc>
          <w:tcPr>
            <w:tcW w:w="1701" w:type="dxa"/>
            <w:noWrap w:val="0"/>
            <w:vAlign w:val="center"/>
          </w:tcPr>
          <w:p>
            <w:pPr>
              <w:pStyle w:val="34"/>
              <w:keepNext w:val="0"/>
              <w:keepLines w:val="0"/>
              <w:pageBreakBefore w:val="0"/>
              <w:widowControl w:val="0"/>
              <w:kinsoku w:val="0"/>
              <w:wordWrap/>
              <w:overflowPunct w:val="0"/>
              <w:topLinePunct w:val="0"/>
              <w:bidi w:val="0"/>
              <w:snapToGrid/>
              <w:spacing w:before="0" w:line="0" w:lineRule="atLeast"/>
              <w:ind w:left="0" w:leftChars="0"/>
              <w:jc w:val="both"/>
              <w:textAlignment w:val="auto"/>
              <w:rPr>
                <w:rFonts w:hint="eastAsia" w:ascii="楷体" w:hAnsi="楷体" w:eastAsia="楷体" w:cs="宋体"/>
                <w:b/>
                <w:spacing w:val="-2"/>
                <w:kern w:val="0"/>
                <w:sz w:val="18"/>
                <w:szCs w:val="18"/>
                <w:highlight w:val="none"/>
                <w:lang w:val="en-US" w:eastAsia="zh-CN" w:bidi="ar-SA"/>
              </w:rPr>
            </w:pPr>
            <w:r>
              <w:rPr>
                <w:rFonts w:hint="eastAsia" w:ascii="楷体" w:hAnsi="楷体" w:eastAsia="楷体" w:cs="宋体"/>
                <w:b/>
                <w:spacing w:val="-2"/>
                <w:sz w:val="18"/>
                <w:szCs w:val="18"/>
                <w:highlight w:val="none"/>
              </w:rPr>
              <w:t>产品类型</w:t>
            </w:r>
          </w:p>
        </w:tc>
        <w:tc>
          <w:tcPr>
            <w:tcW w:w="7937" w:type="dxa"/>
            <w:noWrap w:val="0"/>
            <w:vAlign w:val="center"/>
          </w:tcPr>
          <w:p>
            <w:pPr>
              <w:pStyle w:val="34"/>
              <w:keepNext w:val="0"/>
              <w:keepLines w:val="0"/>
              <w:pageBreakBefore w:val="0"/>
              <w:widowControl w:val="0"/>
              <w:kinsoku w:val="0"/>
              <w:wordWrap/>
              <w:overflowPunct w:val="0"/>
              <w:topLinePunct w:val="0"/>
              <w:bidi w:val="0"/>
              <w:snapToGrid/>
              <w:spacing w:line="0" w:lineRule="atLeast"/>
              <w:ind w:left="0" w:leftChars="0" w:right="0" w:rightChars="0"/>
              <w:jc w:val="both"/>
              <w:textAlignment w:val="auto"/>
              <w:rPr>
                <w:rFonts w:hint="eastAsia" w:ascii="楷体" w:hAnsi="楷体" w:eastAsia="楷体" w:cs="宋体"/>
                <w:b/>
                <w:spacing w:val="-2"/>
                <w:kern w:val="0"/>
                <w:sz w:val="18"/>
                <w:szCs w:val="18"/>
                <w:highlight w:val="none"/>
                <w:u w:val="single"/>
                <w:lang w:val="en-US" w:eastAsia="zh-CN" w:bidi="ar-SA"/>
              </w:rPr>
            </w:pPr>
            <w:r>
              <w:rPr>
                <w:rFonts w:hint="eastAsia" w:ascii="楷体" w:hAnsi="楷体" w:eastAsia="楷体" w:cs="宋体"/>
                <w:b/>
                <w:spacing w:val="-2"/>
                <w:sz w:val="18"/>
                <w:szCs w:val="18"/>
                <w:highlight w:val="none"/>
                <w:u w:val="single"/>
              </w:rPr>
              <w:t>固定收益类、公募、开放式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701" w:type="dxa"/>
            <w:noWrap w:val="0"/>
            <w:vAlign w:val="center"/>
          </w:tcPr>
          <w:p>
            <w:pPr>
              <w:pStyle w:val="34"/>
              <w:keepNext w:val="0"/>
              <w:keepLines w:val="0"/>
              <w:pageBreakBefore w:val="0"/>
              <w:widowControl w:val="0"/>
              <w:kinsoku w:val="0"/>
              <w:wordWrap/>
              <w:overflowPunct w:val="0"/>
              <w:topLinePunct w:val="0"/>
              <w:bidi w:val="0"/>
              <w:snapToGrid/>
              <w:spacing w:before="0" w:line="0" w:lineRule="atLeast"/>
              <w:ind w:left="0" w:leftChars="0"/>
              <w:jc w:val="both"/>
              <w:textAlignment w:val="auto"/>
              <w:rPr>
                <w:rFonts w:ascii="楷体" w:hAnsi="楷体" w:eastAsia="楷体" w:cs="宋体"/>
                <w:b/>
                <w:spacing w:val="-2"/>
                <w:sz w:val="18"/>
                <w:szCs w:val="18"/>
                <w:highlight w:val="none"/>
              </w:rPr>
            </w:pPr>
            <w:r>
              <w:rPr>
                <w:rFonts w:hint="eastAsia" w:ascii="楷体" w:hAnsi="楷体" w:eastAsia="楷体" w:cs="宋体"/>
                <w:b/>
                <w:spacing w:val="-2"/>
                <w:sz w:val="18"/>
                <w:szCs w:val="18"/>
                <w:highlight w:val="none"/>
              </w:rPr>
              <w:t>产品内部风险评级</w:t>
            </w:r>
          </w:p>
        </w:tc>
        <w:tc>
          <w:tcPr>
            <w:tcW w:w="7937" w:type="dxa"/>
            <w:noWrap w:val="0"/>
            <w:vAlign w:val="center"/>
          </w:tcPr>
          <w:p>
            <w:pPr>
              <w:keepNext w:val="0"/>
              <w:keepLines w:val="0"/>
              <w:pageBreakBefore w:val="0"/>
              <w:widowControl w:val="0"/>
              <w:numPr>
                <w:ilvl w:val="-1"/>
                <w:numId w:val="0"/>
              </w:numPr>
              <w:wordWrap/>
              <w:topLinePunct w:val="0"/>
              <w:bidi w:val="0"/>
              <w:snapToGrid/>
              <w:spacing w:line="0" w:lineRule="atLeast"/>
              <w:ind w:left="0" w:leftChars="0" w:right="0" w:rightChars="0" w:firstLine="0" w:firstLineChars="0"/>
              <w:textAlignment w:val="auto"/>
              <w:rPr>
                <w:rFonts w:hint="eastAsia" w:ascii="楷体" w:hAnsi="楷体" w:eastAsia="楷体"/>
                <w:color w:val="auto"/>
                <w:sz w:val="18"/>
                <w:szCs w:val="18"/>
                <w:highlight w:val="none"/>
              </w:rPr>
            </w:pPr>
            <w:r>
              <w:rPr>
                <w:rFonts w:hint="eastAsia" w:ascii="楷体" w:hAnsi="楷体" w:eastAsia="楷体"/>
                <w:color w:val="auto"/>
                <w:sz w:val="18"/>
                <w:szCs w:val="18"/>
                <w:highlight w:val="none"/>
                <w:lang w:val="en-US" w:eastAsia="zh-CN"/>
              </w:rPr>
              <w:t>1.</w:t>
            </w:r>
            <w:r>
              <w:rPr>
                <w:rFonts w:hint="eastAsia" w:ascii="楷体" w:hAnsi="楷体" w:eastAsia="楷体"/>
                <w:color w:val="auto"/>
                <w:sz w:val="18"/>
                <w:szCs w:val="18"/>
                <w:highlight w:val="none"/>
              </w:rPr>
              <w:t>本理财产品经苏银理财内部风险评级为</w:t>
            </w:r>
            <w:r>
              <w:rPr>
                <w:rFonts w:hint="eastAsia" w:ascii="楷体" w:hAnsi="楷体" w:eastAsia="楷体"/>
                <w:b/>
                <w:color w:val="auto"/>
                <w:sz w:val="18"/>
                <w:szCs w:val="18"/>
                <w:highlight w:val="none"/>
                <w:u w:val="single"/>
              </w:rPr>
              <w:t>★★二级，适合中低风险型投资者，适合投资策略为稳健发展</w:t>
            </w:r>
            <w:r>
              <w:rPr>
                <w:rFonts w:hint="eastAsia" w:ascii="楷体" w:hAnsi="楷体" w:eastAsia="楷体"/>
                <w:b/>
                <w:color w:val="auto"/>
                <w:sz w:val="18"/>
                <w:szCs w:val="18"/>
                <w:highlight w:val="none"/>
                <w:u w:val="single"/>
                <w:lang w:val="en-US" w:eastAsia="zh-CN"/>
              </w:rPr>
              <w:t>的投资者</w:t>
            </w:r>
            <w:r>
              <w:rPr>
                <w:rFonts w:hint="eastAsia" w:ascii="楷体" w:hAnsi="楷体" w:eastAsia="楷体"/>
                <w:color w:val="auto"/>
                <w:sz w:val="18"/>
                <w:szCs w:val="18"/>
                <w:highlight w:val="none"/>
              </w:rPr>
              <w:t>。本评级为</w:t>
            </w:r>
            <w:r>
              <w:rPr>
                <w:rFonts w:hint="eastAsia" w:ascii="楷体" w:hAnsi="楷体" w:eastAsia="楷体"/>
                <w:color w:val="auto"/>
                <w:sz w:val="18"/>
                <w:szCs w:val="18"/>
                <w:highlight w:val="none"/>
                <w:lang w:val="en-US" w:eastAsia="zh-CN"/>
              </w:rPr>
              <w:t>管理人</w:t>
            </w:r>
            <w:r>
              <w:rPr>
                <w:rFonts w:hint="eastAsia" w:ascii="楷体" w:hAnsi="楷体" w:eastAsia="楷体"/>
                <w:color w:val="auto"/>
                <w:sz w:val="18"/>
                <w:szCs w:val="18"/>
                <w:highlight w:val="none"/>
              </w:rPr>
              <w:t>内部评级，由</w:t>
            </w:r>
            <w:r>
              <w:rPr>
                <w:rFonts w:hint="eastAsia" w:ascii="楷体" w:hAnsi="楷体" w:eastAsia="楷体"/>
                <w:color w:val="auto"/>
                <w:sz w:val="18"/>
                <w:szCs w:val="18"/>
                <w:highlight w:val="none"/>
                <w:lang w:val="en-US" w:eastAsia="zh-CN"/>
              </w:rPr>
              <w:t>管理人</w:t>
            </w:r>
            <w:r>
              <w:rPr>
                <w:rFonts w:hint="eastAsia" w:ascii="楷体" w:hAnsi="楷体" w:eastAsia="楷体"/>
                <w:color w:val="auto"/>
                <w:sz w:val="18"/>
                <w:szCs w:val="18"/>
                <w:highlight w:val="none"/>
              </w:rPr>
              <w:t>根据理财产品的投资组合、同类产品过往业绩和风险状况等因素，对理财产品进行评级，仅供</w:t>
            </w:r>
            <w:r>
              <w:rPr>
                <w:rFonts w:hint="eastAsia" w:ascii="楷体" w:hAnsi="楷体" w:eastAsia="楷体"/>
                <w:color w:val="auto"/>
                <w:sz w:val="18"/>
                <w:szCs w:val="18"/>
                <w:highlight w:val="none"/>
                <w:lang w:val="en-US" w:eastAsia="zh-CN"/>
              </w:rPr>
              <w:t>投资者</w:t>
            </w:r>
            <w:r>
              <w:rPr>
                <w:rFonts w:hint="eastAsia" w:ascii="楷体" w:hAnsi="楷体" w:eastAsia="楷体"/>
                <w:color w:val="auto"/>
                <w:sz w:val="18"/>
                <w:szCs w:val="18"/>
                <w:highlight w:val="none"/>
              </w:rPr>
              <w:t>参考。理财产品存续期间，若市场环境等因素发生变化，在符合监管政策要求的前提下管理人可对产品风险评级进行调整，并及时将调整情况向投资者披露。</w:t>
            </w:r>
          </w:p>
          <w:tbl>
            <w:tblPr>
              <w:tblStyle w:val="15"/>
              <w:tblW w:w="429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6"/>
              <w:gridCol w:w="1488"/>
              <w:gridCol w:w="2029"/>
              <w:gridCol w:w="16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1" w:type="pct"/>
                  <w:vAlign w:val="center"/>
                </w:tcPr>
                <w:p>
                  <w:pPr>
                    <w:keepNext w:val="0"/>
                    <w:keepLines w:val="0"/>
                    <w:pageBreakBefore w:val="0"/>
                    <w:widowControl w:val="0"/>
                    <w:wordWrap/>
                    <w:topLinePunct w:val="0"/>
                    <w:autoSpaceDE/>
                    <w:autoSpaceDN/>
                    <w:bidi w:val="0"/>
                    <w:adjustRightInd/>
                    <w:snapToGrid/>
                    <w:spacing w:line="0" w:lineRule="atLeast"/>
                    <w:ind w:left="0" w:leftChars="0" w:right="0" w:rightChars="0" w:firstLine="0" w:firstLineChars="0"/>
                    <w:jc w:val="center"/>
                    <w:textAlignment w:val="auto"/>
                    <w:rPr>
                      <w:rFonts w:ascii="楷体" w:hAnsi="楷体" w:eastAsia="楷体" w:cs="浠垮畫"/>
                      <w:color w:val="auto"/>
                      <w:kern w:val="0"/>
                      <w:sz w:val="18"/>
                      <w:szCs w:val="18"/>
                      <w:highlight w:val="none"/>
                    </w:rPr>
                  </w:pPr>
                  <w:r>
                    <w:rPr>
                      <w:rFonts w:hint="eastAsia" w:ascii="楷体" w:hAnsi="楷体" w:eastAsia="楷体" w:cs="浠垮畫"/>
                      <w:color w:val="auto"/>
                      <w:kern w:val="0"/>
                      <w:sz w:val="18"/>
                      <w:szCs w:val="18"/>
                      <w:highlight w:val="none"/>
                    </w:rPr>
                    <w:t>风险星级</w:t>
                  </w:r>
                </w:p>
              </w:tc>
              <w:tc>
                <w:tcPr>
                  <w:tcW w:w="1095" w:type="pct"/>
                  <w:vAlign w:val="center"/>
                </w:tcPr>
                <w:p>
                  <w:pPr>
                    <w:keepNext w:val="0"/>
                    <w:keepLines w:val="0"/>
                    <w:pageBreakBefore w:val="0"/>
                    <w:widowControl w:val="0"/>
                    <w:wordWrap/>
                    <w:topLinePunct w:val="0"/>
                    <w:autoSpaceDE/>
                    <w:autoSpaceDN/>
                    <w:bidi w:val="0"/>
                    <w:adjustRightInd/>
                    <w:snapToGrid/>
                    <w:spacing w:line="0" w:lineRule="atLeast"/>
                    <w:ind w:left="0" w:leftChars="0" w:right="0" w:rightChars="0" w:firstLine="0" w:firstLineChars="0"/>
                    <w:jc w:val="center"/>
                    <w:textAlignment w:val="auto"/>
                    <w:rPr>
                      <w:rFonts w:ascii="楷体" w:hAnsi="楷体" w:eastAsia="楷体" w:cs="浠垮畫"/>
                      <w:color w:val="auto"/>
                      <w:kern w:val="0"/>
                      <w:sz w:val="18"/>
                      <w:szCs w:val="18"/>
                      <w:highlight w:val="none"/>
                    </w:rPr>
                  </w:pPr>
                  <w:r>
                    <w:rPr>
                      <w:rFonts w:hint="eastAsia" w:ascii="楷体" w:hAnsi="楷体" w:eastAsia="楷体" w:cs="浠垮畫"/>
                      <w:color w:val="auto"/>
                      <w:kern w:val="0"/>
                      <w:sz w:val="18"/>
                      <w:szCs w:val="18"/>
                      <w:highlight w:val="none"/>
                    </w:rPr>
                    <w:t>风险级别</w:t>
                  </w:r>
                </w:p>
              </w:tc>
              <w:tc>
                <w:tcPr>
                  <w:tcW w:w="1493" w:type="pct"/>
                  <w:vAlign w:val="center"/>
                </w:tcPr>
                <w:p>
                  <w:pPr>
                    <w:keepNext w:val="0"/>
                    <w:keepLines w:val="0"/>
                    <w:pageBreakBefore w:val="0"/>
                    <w:widowControl w:val="0"/>
                    <w:wordWrap/>
                    <w:topLinePunct w:val="0"/>
                    <w:autoSpaceDE/>
                    <w:autoSpaceDN/>
                    <w:bidi w:val="0"/>
                    <w:adjustRightInd/>
                    <w:snapToGrid/>
                    <w:spacing w:line="0" w:lineRule="atLeast"/>
                    <w:ind w:left="0" w:leftChars="0" w:right="0" w:rightChars="0" w:firstLine="0" w:firstLineChars="0"/>
                    <w:jc w:val="center"/>
                    <w:textAlignment w:val="auto"/>
                    <w:rPr>
                      <w:rFonts w:ascii="楷体" w:hAnsi="楷体" w:eastAsia="楷体" w:cs="浠垮畫"/>
                      <w:color w:val="auto"/>
                      <w:kern w:val="0"/>
                      <w:sz w:val="18"/>
                      <w:szCs w:val="18"/>
                      <w:highlight w:val="none"/>
                    </w:rPr>
                  </w:pPr>
                  <w:r>
                    <w:rPr>
                      <w:rFonts w:hint="eastAsia" w:ascii="楷体" w:hAnsi="楷体" w:eastAsia="楷体" w:cs="浠垮畫"/>
                      <w:color w:val="auto"/>
                      <w:kern w:val="0"/>
                      <w:sz w:val="18"/>
                      <w:szCs w:val="18"/>
                      <w:highlight w:val="none"/>
                    </w:rPr>
                    <w:t>适合的投资者类别</w:t>
                  </w:r>
                </w:p>
              </w:tc>
              <w:tc>
                <w:tcPr>
                  <w:tcW w:w="1229" w:type="pct"/>
                  <w:vAlign w:val="center"/>
                </w:tcPr>
                <w:p>
                  <w:pPr>
                    <w:keepNext w:val="0"/>
                    <w:keepLines w:val="0"/>
                    <w:pageBreakBefore w:val="0"/>
                    <w:widowControl w:val="0"/>
                    <w:wordWrap/>
                    <w:topLinePunct w:val="0"/>
                    <w:autoSpaceDE/>
                    <w:autoSpaceDN/>
                    <w:bidi w:val="0"/>
                    <w:adjustRightInd/>
                    <w:snapToGrid/>
                    <w:spacing w:line="0" w:lineRule="atLeast"/>
                    <w:ind w:left="0" w:leftChars="0" w:right="0" w:rightChars="0" w:firstLine="0" w:firstLineChars="0"/>
                    <w:jc w:val="center"/>
                    <w:textAlignment w:val="auto"/>
                    <w:rPr>
                      <w:rFonts w:ascii="楷体" w:hAnsi="楷体" w:eastAsia="楷体" w:cs="浠垮畫"/>
                      <w:color w:val="auto"/>
                      <w:kern w:val="0"/>
                      <w:sz w:val="18"/>
                      <w:szCs w:val="18"/>
                      <w:highlight w:val="none"/>
                    </w:rPr>
                  </w:pPr>
                  <w:r>
                    <w:rPr>
                      <w:rFonts w:hint="eastAsia" w:ascii="楷体" w:hAnsi="楷体" w:eastAsia="楷体" w:cs="浠垮畫"/>
                      <w:color w:val="auto"/>
                      <w:kern w:val="0"/>
                      <w:sz w:val="18"/>
                      <w:szCs w:val="18"/>
                      <w:highlight w:val="none"/>
                    </w:rPr>
                    <w:t>适合投资策略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1" w:type="pct"/>
                  <w:tcBorders>
                    <w:bottom w:val="single" w:color="auto" w:sz="4" w:space="0"/>
                  </w:tcBorders>
                  <w:vAlign w:val="bottom"/>
                </w:tcPr>
                <w:p>
                  <w:pPr>
                    <w:keepNext w:val="0"/>
                    <w:keepLines w:val="0"/>
                    <w:pageBreakBefore w:val="0"/>
                    <w:widowControl w:val="0"/>
                    <w:wordWrap/>
                    <w:topLinePunct w:val="0"/>
                    <w:autoSpaceDE/>
                    <w:autoSpaceDN/>
                    <w:bidi w:val="0"/>
                    <w:adjustRightInd/>
                    <w:snapToGrid/>
                    <w:spacing w:line="0" w:lineRule="atLeast"/>
                    <w:ind w:left="0" w:leftChars="0" w:right="0" w:rightChars="0" w:firstLine="0" w:firstLineChars="0"/>
                    <w:jc w:val="center"/>
                    <w:textAlignment w:val="auto"/>
                    <w:rPr>
                      <w:rFonts w:ascii="楷体" w:hAnsi="楷体" w:eastAsia="楷体" w:cs="浠垮畫"/>
                      <w:color w:val="auto"/>
                      <w:kern w:val="0"/>
                      <w:sz w:val="18"/>
                      <w:szCs w:val="18"/>
                      <w:highlight w:val="none"/>
                    </w:rPr>
                  </w:pPr>
                  <w:r>
                    <w:rPr>
                      <w:rFonts w:hint="eastAsia" w:ascii="楷体" w:hAnsi="楷体" w:eastAsia="楷体" w:cs="浠垮畫"/>
                      <w:color w:val="auto"/>
                      <w:kern w:val="0"/>
                      <w:sz w:val="18"/>
                      <w:szCs w:val="18"/>
                      <w:highlight w:val="none"/>
                    </w:rPr>
                    <w:t>★</w:t>
                  </w:r>
                </w:p>
              </w:tc>
              <w:tc>
                <w:tcPr>
                  <w:tcW w:w="1095" w:type="pct"/>
                  <w:tcBorders>
                    <w:bottom w:val="single" w:color="auto" w:sz="4" w:space="0"/>
                  </w:tcBorders>
                  <w:vAlign w:val="center"/>
                </w:tcPr>
                <w:p>
                  <w:pPr>
                    <w:keepNext w:val="0"/>
                    <w:keepLines w:val="0"/>
                    <w:pageBreakBefore w:val="0"/>
                    <w:widowControl w:val="0"/>
                    <w:wordWrap/>
                    <w:topLinePunct w:val="0"/>
                    <w:autoSpaceDE/>
                    <w:autoSpaceDN/>
                    <w:bidi w:val="0"/>
                    <w:adjustRightInd/>
                    <w:snapToGrid/>
                    <w:spacing w:line="0" w:lineRule="atLeast"/>
                    <w:ind w:left="0" w:leftChars="0" w:right="0" w:rightChars="0" w:firstLine="0" w:firstLineChars="0"/>
                    <w:jc w:val="center"/>
                    <w:textAlignment w:val="auto"/>
                    <w:rPr>
                      <w:rFonts w:ascii="楷体" w:hAnsi="楷体" w:eastAsia="楷体" w:cs="浠垮畫"/>
                      <w:color w:val="auto"/>
                      <w:kern w:val="0"/>
                      <w:sz w:val="18"/>
                      <w:szCs w:val="18"/>
                      <w:highlight w:val="none"/>
                    </w:rPr>
                  </w:pPr>
                  <w:r>
                    <w:rPr>
                      <w:rFonts w:hint="eastAsia" w:ascii="楷体" w:hAnsi="楷体" w:eastAsia="楷体" w:cs="浠垮畫"/>
                      <w:color w:val="auto"/>
                      <w:kern w:val="0"/>
                      <w:sz w:val="18"/>
                      <w:szCs w:val="18"/>
                      <w:highlight w:val="none"/>
                    </w:rPr>
                    <w:t>一级（PR1）</w:t>
                  </w:r>
                </w:p>
              </w:tc>
              <w:tc>
                <w:tcPr>
                  <w:tcW w:w="1493" w:type="pct"/>
                  <w:tcBorders>
                    <w:bottom w:val="single" w:color="auto" w:sz="4" w:space="0"/>
                  </w:tcBorders>
                  <w:vAlign w:val="center"/>
                </w:tcPr>
                <w:p>
                  <w:pPr>
                    <w:keepNext w:val="0"/>
                    <w:keepLines w:val="0"/>
                    <w:pageBreakBefore w:val="0"/>
                    <w:widowControl w:val="0"/>
                    <w:wordWrap/>
                    <w:topLinePunct w:val="0"/>
                    <w:autoSpaceDE/>
                    <w:autoSpaceDN/>
                    <w:bidi w:val="0"/>
                    <w:adjustRightInd/>
                    <w:snapToGrid/>
                    <w:spacing w:line="0" w:lineRule="atLeast"/>
                    <w:ind w:left="0" w:leftChars="0" w:right="0" w:rightChars="0" w:firstLine="0" w:firstLineChars="0"/>
                    <w:jc w:val="center"/>
                    <w:textAlignment w:val="auto"/>
                    <w:rPr>
                      <w:rFonts w:ascii="楷体" w:hAnsi="楷体" w:eastAsia="楷体" w:cs="浠垮畫"/>
                      <w:color w:val="auto"/>
                      <w:kern w:val="0"/>
                      <w:sz w:val="18"/>
                      <w:szCs w:val="18"/>
                      <w:highlight w:val="none"/>
                    </w:rPr>
                  </w:pPr>
                  <w:r>
                    <w:rPr>
                      <w:rFonts w:hint="eastAsia" w:ascii="楷体" w:hAnsi="楷体" w:eastAsia="楷体" w:cs="浠垮畫"/>
                      <w:color w:val="auto"/>
                      <w:kern w:val="0"/>
                      <w:sz w:val="18"/>
                      <w:szCs w:val="18"/>
                      <w:highlight w:val="none"/>
                    </w:rPr>
                    <w:t>低风险型</w:t>
                  </w:r>
                </w:p>
              </w:tc>
              <w:tc>
                <w:tcPr>
                  <w:tcW w:w="1229" w:type="pct"/>
                  <w:tcBorders>
                    <w:bottom w:val="single" w:color="auto" w:sz="4" w:space="0"/>
                  </w:tcBorders>
                  <w:vAlign w:val="center"/>
                </w:tcPr>
                <w:p>
                  <w:pPr>
                    <w:keepNext w:val="0"/>
                    <w:keepLines w:val="0"/>
                    <w:pageBreakBefore w:val="0"/>
                    <w:widowControl w:val="0"/>
                    <w:wordWrap/>
                    <w:topLinePunct w:val="0"/>
                    <w:autoSpaceDE/>
                    <w:autoSpaceDN/>
                    <w:bidi w:val="0"/>
                    <w:adjustRightInd/>
                    <w:snapToGrid/>
                    <w:spacing w:line="0" w:lineRule="atLeast"/>
                    <w:ind w:left="0" w:leftChars="0" w:right="0" w:rightChars="0" w:firstLine="0" w:firstLineChars="0"/>
                    <w:jc w:val="center"/>
                    <w:textAlignment w:val="auto"/>
                    <w:rPr>
                      <w:rFonts w:ascii="楷体" w:hAnsi="楷体" w:eastAsia="楷体" w:cs="浠垮畫"/>
                      <w:color w:val="auto"/>
                      <w:kern w:val="0"/>
                      <w:sz w:val="18"/>
                      <w:szCs w:val="18"/>
                      <w:highlight w:val="none"/>
                    </w:rPr>
                  </w:pPr>
                  <w:r>
                    <w:rPr>
                      <w:rFonts w:hint="eastAsia" w:ascii="楷体" w:hAnsi="楷体" w:eastAsia="楷体" w:cs="浠垮畫"/>
                      <w:color w:val="auto"/>
                      <w:kern w:val="0"/>
                      <w:sz w:val="18"/>
                      <w:szCs w:val="18"/>
                      <w:highlight w:val="none"/>
                    </w:rPr>
                    <w:t>风险控制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1" w:type="pct"/>
                  <w:vAlign w:val="bottom"/>
                </w:tcPr>
                <w:p>
                  <w:pPr>
                    <w:keepNext w:val="0"/>
                    <w:keepLines w:val="0"/>
                    <w:pageBreakBefore w:val="0"/>
                    <w:widowControl w:val="0"/>
                    <w:wordWrap/>
                    <w:topLinePunct w:val="0"/>
                    <w:autoSpaceDE/>
                    <w:autoSpaceDN/>
                    <w:bidi w:val="0"/>
                    <w:adjustRightInd/>
                    <w:snapToGrid/>
                    <w:spacing w:line="0" w:lineRule="atLeast"/>
                    <w:ind w:left="0" w:leftChars="0" w:right="0" w:rightChars="0" w:firstLine="0" w:firstLineChars="0"/>
                    <w:jc w:val="center"/>
                    <w:textAlignment w:val="auto"/>
                    <w:rPr>
                      <w:rFonts w:ascii="楷体" w:hAnsi="楷体" w:eastAsia="楷体" w:cs="浠垮畫"/>
                      <w:b/>
                      <w:color w:val="auto"/>
                      <w:kern w:val="0"/>
                      <w:sz w:val="18"/>
                      <w:szCs w:val="18"/>
                      <w:highlight w:val="none"/>
                    </w:rPr>
                  </w:pPr>
                  <w:r>
                    <w:rPr>
                      <w:rFonts w:hint="eastAsia" w:ascii="楷体" w:hAnsi="楷体" w:eastAsia="楷体" w:cs="浠垮畫"/>
                      <w:b/>
                      <w:color w:val="auto"/>
                      <w:kern w:val="0"/>
                      <w:sz w:val="18"/>
                      <w:szCs w:val="18"/>
                      <w:highlight w:val="none"/>
                    </w:rPr>
                    <w:t>★★</w:t>
                  </w:r>
                </w:p>
              </w:tc>
              <w:tc>
                <w:tcPr>
                  <w:tcW w:w="1095" w:type="pct"/>
                  <w:vAlign w:val="center"/>
                </w:tcPr>
                <w:p>
                  <w:pPr>
                    <w:keepNext w:val="0"/>
                    <w:keepLines w:val="0"/>
                    <w:pageBreakBefore w:val="0"/>
                    <w:widowControl w:val="0"/>
                    <w:wordWrap/>
                    <w:topLinePunct w:val="0"/>
                    <w:autoSpaceDE/>
                    <w:autoSpaceDN/>
                    <w:bidi w:val="0"/>
                    <w:adjustRightInd/>
                    <w:snapToGrid/>
                    <w:spacing w:line="0" w:lineRule="atLeast"/>
                    <w:ind w:left="0" w:leftChars="0" w:right="0" w:rightChars="0" w:firstLine="0" w:firstLineChars="0"/>
                    <w:jc w:val="center"/>
                    <w:textAlignment w:val="auto"/>
                    <w:rPr>
                      <w:rFonts w:ascii="楷体" w:hAnsi="楷体" w:eastAsia="楷体" w:cs="浠垮畫"/>
                      <w:b/>
                      <w:color w:val="auto"/>
                      <w:kern w:val="0"/>
                      <w:sz w:val="18"/>
                      <w:szCs w:val="18"/>
                      <w:highlight w:val="none"/>
                    </w:rPr>
                  </w:pPr>
                  <w:r>
                    <w:rPr>
                      <w:rFonts w:hint="eastAsia" w:ascii="楷体" w:hAnsi="楷体" w:eastAsia="楷体" w:cs="浠垮畫"/>
                      <w:b/>
                      <w:color w:val="auto"/>
                      <w:kern w:val="0"/>
                      <w:sz w:val="18"/>
                      <w:szCs w:val="18"/>
                      <w:highlight w:val="none"/>
                    </w:rPr>
                    <w:t>二级（PR2）</w:t>
                  </w:r>
                </w:p>
              </w:tc>
              <w:tc>
                <w:tcPr>
                  <w:tcW w:w="1493" w:type="pct"/>
                  <w:vAlign w:val="center"/>
                </w:tcPr>
                <w:p>
                  <w:pPr>
                    <w:keepNext w:val="0"/>
                    <w:keepLines w:val="0"/>
                    <w:pageBreakBefore w:val="0"/>
                    <w:widowControl w:val="0"/>
                    <w:wordWrap/>
                    <w:topLinePunct w:val="0"/>
                    <w:autoSpaceDE/>
                    <w:autoSpaceDN/>
                    <w:bidi w:val="0"/>
                    <w:adjustRightInd/>
                    <w:snapToGrid/>
                    <w:spacing w:line="0" w:lineRule="atLeast"/>
                    <w:ind w:left="0" w:leftChars="0" w:right="0" w:rightChars="0" w:firstLine="0" w:firstLineChars="0"/>
                    <w:jc w:val="center"/>
                    <w:textAlignment w:val="auto"/>
                    <w:rPr>
                      <w:rFonts w:ascii="楷体" w:hAnsi="楷体" w:eastAsia="楷体" w:cs="浠垮畫"/>
                      <w:b/>
                      <w:color w:val="auto"/>
                      <w:kern w:val="0"/>
                      <w:sz w:val="18"/>
                      <w:szCs w:val="18"/>
                      <w:highlight w:val="none"/>
                    </w:rPr>
                  </w:pPr>
                  <w:r>
                    <w:rPr>
                      <w:rFonts w:hint="eastAsia" w:ascii="楷体" w:hAnsi="楷体" w:eastAsia="楷体" w:cs="浠垮畫"/>
                      <w:b/>
                      <w:color w:val="auto"/>
                      <w:kern w:val="0"/>
                      <w:sz w:val="18"/>
                      <w:szCs w:val="18"/>
                      <w:highlight w:val="none"/>
                    </w:rPr>
                    <w:t>中低风险型</w:t>
                  </w:r>
                </w:p>
              </w:tc>
              <w:tc>
                <w:tcPr>
                  <w:tcW w:w="1229" w:type="pct"/>
                  <w:vAlign w:val="center"/>
                </w:tcPr>
                <w:p>
                  <w:pPr>
                    <w:keepNext w:val="0"/>
                    <w:keepLines w:val="0"/>
                    <w:pageBreakBefore w:val="0"/>
                    <w:widowControl w:val="0"/>
                    <w:wordWrap/>
                    <w:topLinePunct w:val="0"/>
                    <w:autoSpaceDE/>
                    <w:autoSpaceDN/>
                    <w:bidi w:val="0"/>
                    <w:adjustRightInd/>
                    <w:snapToGrid/>
                    <w:spacing w:line="0" w:lineRule="atLeast"/>
                    <w:ind w:left="0" w:leftChars="0" w:right="0" w:rightChars="0" w:firstLine="0" w:firstLineChars="0"/>
                    <w:jc w:val="center"/>
                    <w:textAlignment w:val="auto"/>
                    <w:rPr>
                      <w:rFonts w:ascii="楷体" w:hAnsi="楷体" w:eastAsia="楷体" w:cs="浠垮畫"/>
                      <w:b/>
                      <w:color w:val="auto"/>
                      <w:kern w:val="0"/>
                      <w:sz w:val="18"/>
                      <w:szCs w:val="18"/>
                      <w:highlight w:val="none"/>
                    </w:rPr>
                  </w:pPr>
                  <w:r>
                    <w:rPr>
                      <w:rFonts w:hint="eastAsia" w:ascii="楷体" w:hAnsi="楷体" w:eastAsia="楷体" w:cs="浠垮畫"/>
                      <w:b/>
                      <w:color w:val="auto"/>
                      <w:kern w:val="0"/>
                      <w:sz w:val="18"/>
                      <w:szCs w:val="18"/>
                      <w:highlight w:val="none"/>
                    </w:rPr>
                    <w:t>稳健发展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1" w:type="pct"/>
                  <w:vAlign w:val="bottom"/>
                </w:tcPr>
                <w:p>
                  <w:pPr>
                    <w:keepNext w:val="0"/>
                    <w:keepLines w:val="0"/>
                    <w:pageBreakBefore w:val="0"/>
                    <w:widowControl w:val="0"/>
                    <w:wordWrap/>
                    <w:topLinePunct w:val="0"/>
                    <w:autoSpaceDE/>
                    <w:autoSpaceDN/>
                    <w:bidi w:val="0"/>
                    <w:adjustRightInd/>
                    <w:snapToGrid/>
                    <w:spacing w:line="0" w:lineRule="atLeast"/>
                    <w:ind w:left="0" w:leftChars="0" w:right="0" w:rightChars="0" w:firstLine="0" w:firstLineChars="0"/>
                    <w:jc w:val="center"/>
                    <w:textAlignment w:val="auto"/>
                    <w:rPr>
                      <w:rFonts w:ascii="楷体" w:hAnsi="楷体" w:eastAsia="楷体" w:cs="浠垮畫"/>
                      <w:color w:val="auto"/>
                      <w:kern w:val="0"/>
                      <w:sz w:val="18"/>
                      <w:szCs w:val="18"/>
                      <w:highlight w:val="none"/>
                    </w:rPr>
                  </w:pPr>
                  <w:r>
                    <w:rPr>
                      <w:rFonts w:hint="eastAsia" w:ascii="楷体" w:hAnsi="楷体" w:eastAsia="楷体" w:cs="浠垮畫"/>
                      <w:color w:val="auto"/>
                      <w:kern w:val="0"/>
                      <w:sz w:val="18"/>
                      <w:szCs w:val="18"/>
                      <w:highlight w:val="none"/>
                    </w:rPr>
                    <w:t>★★★</w:t>
                  </w:r>
                </w:p>
              </w:tc>
              <w:tc>
                <w:tcPr>
                  <w:tcW w:w="1095" w:type="pct"/>
                  <w:vAlign w:val="center"/>
                </w:tcPr>
                <w:p>
                  <w:pPr>
                    <w:keepNext w:val="0"/>
                    <w:keepLines w:val="0"/>
                    <w:pageBreakBefore w:val="0"/>
                    <w:widowControl w:val="0"/>
                    <w:wordWrap/>
                    <w:topLinePunct w:val="0"/>
                    <w:autoSpaceDE/>
                    <w:autoSpaceDN/>
                    <w:bidi w:val="0"/>
                    <w:adjustRightInd/>
                    <w:snapToGrid/>
                    <w:spacing w:line="0" w:lineRule="atLeast"/>
                    <w:ind w:left="0" w:leftChars="0" w:right="0" w:rightChars="0" w:firstLine="0" w:firstLineChars="0"/>
                    <w:jc w:val="center"/>
                    <w:textAlignment w:val="auto"/>
                    <w:rPr>
                      <w:rFonts w:ascii="楷体" w:hAnsi="楷体" w:eastAsia="楷体" w:cs="浠垮畫"/>
                      <w:color w:val="auto"/>
                      <w:kern w:val="0"/>
                      <w:sz w:val="18"/>
                      <w:szCs w:val="18"/>
                      <w:highlight w:val="none"/>
                    </w:rPr>
                  </w:pPr>
                  <w:r>
                    <w:rPr>
                      <w:rFonts w:hint="eastAsia" w:ascii="楷体" w:hAnsi="楷体" w:eastAsia="楷体" w:cs="浠垮畫"/>
                      <w:color w:val="auto"/>
                      <w:kern w:val="0"/>
                      <w:sz w:val="18"/>
                      <w:szCs w:val="18"/>
                      <w:highlight w:val="none"/>
                    </w:rPr>
                    <w:t>三级（PR3）</w:t>
                  </w:r>
                </w:p>
              </w:tc>
              <w:tc>
                <w:tcPr>
                  <w:tcW w:w="1493" w:type="pct"/>
                  <w:vAlign w:val="center"/>
                </w:tcPr>
                <w:p>
                  <w:pPr>
                    <w:keepNext w:val="0"/>
                    <w:keepLines w:val="0"/>
                    <w:pageBreakBefore w:val="0"/>
                    <w:widowControl w:val="0"/>
                    <w:wordWrap/>
                    <w:topLinePunct w:val="0"/>
                    <w:autoSpaceDE/>
                    <w:autoSpaceDN/>
                    <w:bidi w:val="0"/>
                    <w:adjustRightInd/>
                    <w:snapToGrid/>
                    <w:spacing w:line="0" w:lineRule="atLeast"/>
                    <w:ind w:left="0" w:leftChars="0" w:right="0" w:rightChars="0" w:firstLine="0" w:firstLineChars="0"/>
                    <w:jc w:val="center"/>
                    <w:textAlignment w:val="auto"/>
                    <w:rPr>
                      <w:rFonts w:ascii="楷体" w:hAnsi="楷体" w:eastAsia="楷体" w:cs="浠垮畫"/>
                      <w:color w:val="auto"/>
                      <w:kern w:val="0"/>
                      <w:sz w:val="18"/>
                      <w:szCs w:val="18"/>
                      <w:highlight w:val="none"/>
                    </w:rPr>
                  </w:pPr>
                  <w:r>
                    <w:rPr>
                      <w:rFonts w:hint="eastAsia" w:ascii="楷体" w:hAnsi="楷体" w:eastAsia="楷体" w:cs="浠垮畫"/>
                      <w:color w:val="auto"/>
                      <w:kern w:val="0"/>
                      <w:sz w:val="18"/>
                      <w:szCs w:val="18"/>
                      <w:highlight w:val="none"/>
                    </w:rPr>
                    <w:t>中风险型</w:t>
                  </w:r>
                </w:p>
              </w:tc>
              <w:tc>
                <w:tcPr>
                  <w:tcW w:w="1229" w:type="pct"/>
                  <w:vAlign w:val="center"/>
                </w:tcPr>
                <w:p>
                  <w:pPr>
                    <w:keepNext w:val="0"/>
                    <w:keepLines w:val="0"/>
                    <w:pageBreakBefore w:val="0"/>
                    <w:widowControl w:val="0"/>
                    <w:wordWrap/>
                    <w:topLinePunct w:val="0"/>
                    <w:autoSpaceDE/>
                    <w:autoSpaceDN/>
                    <w:bidi w:val="0"/>
                    <w:adjustRightInd/>
                    <w:snapToGrid/>
                    <w:spacing w:line="0" w:lineRule="atLeast"/>
                    <w:ind w:left="0" w:leftChars="0" w:right="0" w:rightChars="0" w:firstLine="0" w:firstLineChars="0"/>
                    <w:jc w:val="center"/>
                    <w:textAlignment w:val="auto"/>
                    <w:rPr>
                      <w:rFonts w:ascii="楷体" w:hAnsi="楷体" w:eastAsia="楷体" w:cs="浠垮畫"/>
                      <w:color w:val="auto"/>
                      <w:kern w:val="0"/>
                      <w:sz w:val="18"/>
                      <w:szCs w:val="18"/>
                      <w:highlight w:val="none"/>
                    </w:rPr>
                  </w:pPr>
                  <w:r>
                    <w:rPr>
                      <w:rFonts w:hint="eastAsia" w:ascii="楷体" w:hAnsi="楷体" w:eastAsia="楷体" w:cs="浠垮畫"/>
                      <w:color w:val="auto"/>
                      <w:kern w:val="0"/>
                      <w:sz w:val="18"/>
                      <w:szCs w:val="18"/>
                      <w:highlight w:val="none"/>
                    </w:rPr>
                    <w:t>均衡发展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1" w:type="pct"/>
                  <w:vAlign w:val="bottom"/>
                </w:tcPr>
                <w:p>
                  <w:pPr>
                    <w:keepNext w:val="0"/>
                    <w:keepLines w:val="0"/>
                    <w:pageBreakBefore w:val="0"/>
                    <w:widowControl w:val="0"/>
                    <w:wordWrap/>
                    <w:topLinePunct w:val="0"/>
                    <w:autoSpaceDE/>
                    <w:autoSpaceDN/>
                    <w:bidi w:val="0"/>
                    <w:adjustRightInd/>
                    <w:snapToGrid/>
                    <w:spacing w:line="0" w:lineRule="atLeast"/>
                    <w:ind w:left="0" w:leftChars="0" w:right="0" w:rightChars="0" w:firstLine="0" w:firstLineChars="0"/>
                    <w:jc w:val="center"/>
                    <w:textAlignment w:val="auto"/>
                    <w:rPr>
                      <w:rFonts w:ascii="楷体" w:hAnsi="楷体" w:eastAsia="楷体" w:cs="浠垮畫"/>
                      <w:color w:val="auto"/>
                      <w:kern w:val="0"/>
                      <w:sz w:val="18"/>
                      <w:szCs w:val="18"/>
                      <w:highlight w:val="none"/>
                    </w:rPr>
                  </w:pPr>
                  <w:r>
                    <w:rPr>
                      <w:rFonts w:hint="eastAsia" w:ascii="楷体" w:hAnsi="楷体" w:eastAsia="楷体" w:cs="浠垮畫"/>
                      <w:color w:val="auto"/>
                      <w:kern w:val="0"/>
                      <w:sz w:val="18"/>
                      <w:szCs w:val="18"/>
                      <w:highlight w:val="none"/>
                    </w:rPr>
                    <w:t>★★★★</w:t>
                  </w:r>
                </w:p>
              </w:tc>
              <w:tc>
                <w:tcPr>
                  <w:tcW w:w="1095" w:type="pct"/>
                  <w:vAlign w:val="center"/>
                </w:tcPr>
                <w:p>
                  <w:pPr>
                    <w:keepNext w:val="0"/>
                    <w:keepLines w:val="0"/>
                    <w:pageBreakBefore w:val="0"/>
                    <w:widowControl w:val="0"/>
                    <w:wordWrap/>
                    <w:topLinePunct w:val="0"/>
                    <w:autoSpaceDE/>
                    <w:autoSpaceDN/>
                    <w:bidi w:val="0"/>
                    <w:adjustRightInd/>
                    <w:snapToGrid/>
                    <w:spacing w:line="0" w:lineRule="atLeast"/>
                    <w:ind w:left="0" w:leftChars="0" w:right="0" w:rightChars="0" w:firstLine="0" w:firstLineChars="0"/>
                    <w:jc w:val="center"/>
                    <w:textAlignment w:val="auto"/>
                    <w:rPr>
                      <w:rFonts w:ascii="楷体" w:hAnsi="楷体" w:eastAsia="楷体" w:cs="浠垮畫"/>
                      <w:color w:val="auto"/>
                      <w:kern w:val="0"/>
                      <w:sz w:val="18"/>
                      <w:szCs w:val="18"/>
                      <w:highlight w:val="none"/>
                    </w:rPr>
                  </w:pPr>
                  <w:r>
                    <w:rPr>
                      <w:rFonts w:hint="eastAsia" w:ascii="楷体" w:hAnsi="楷体" w:eastAsia="楷体" w:cs="浠垮畫"/>
                      <w:color w:val="auto"/>
                      <w:kern w:val="0"/>
                      <w:sz w:val="18"/>
                      <w:szCs w:val="18"/>
                      <w:highlight w:val="none"/>
                    </w:rPr>
                    <w:t>四级（PR4）</w:t>
                  </w:r>
                </w:p>
              </w:tc>
              <w:tc>
                <w:tcPr>
                  <w:tcW w:w="1493" w:type="pct"/>
                  <w:vAlign w:val="center"/>
                </w:tcPr>
                <w:p>
                  <w:pPr>
                    <w:keepNext w:val="0"/>
                    <w:keepLines w:val="0"/>
                    <w:pageBreakBefore w:val="0"/>
                    <w:widowControl w:val="0"/>
                    <w:wordWrap/>
                    <w:topLinePunct w:val="0"/>
                    <w:autoSpaceDE/>
                    <w:autoSpaceDN/>
                    <w:bidi w:val="0"/>
                    <w:adjustRightInd/>
                    <w:snapToGrid/>
                    <w:spacing w:line="0" w:lineRule="atLeast"/>
                    <w:ind w:left="0" w:leftChars="0" w:right="0" w:rightChars="0" w:firstLine="0" w:firstLineChars="0"/>
                    <w:jc w:val="center"/>
                    <w:textAlignment w:val="auto"/>
                    <w:rPr>
                      <w:rFonts w:ascii="楷体" w:hAnsi="楷体" w:eastAsia="楷体" w:cs="浠垮畫"/>
                      <w:color w:val="auto"/>
                      <w:kern w:val="0"/>
                      <w:sz w:val="18"/>
                      <w:szCs w:val="18"/>
                      <w:highlight w:val="none"/>
                    </w:rPr>
                  </w:pPr>
                  <w:r>
                    <w:rPr>
                      <w:rFonts w:hint="eastAsia" w:ascii="楷体" w:hAnsi="楷体" w:eastAsia="楷体" w:cs="浠垮畫"/>
                      <w:color w:val="auto"/>
                      <w:kern w:val="0"/>
                      <w:sz w:val="18"/>
                      <w:szCs w:val="18"/>
                      <w:highlight w:val="none"/>
                    </w:rPr>
                    <w:t>中高风险型</w:t>
                  </w:r>
                </w:p>
              </w:tc>
              <w:tc>
                <w:tcPr>
                  <w:tcW w:w="1229" w:type="pct"/>
                  <w:vAlign w:val="center"/>
                </w:tcPr>
                <w:p>
                  <w:pPr>
                    <w:keepNext w:val="0"/>
                    <w:keepLines w:val="0"/>
                    <w:pageBreakBefore w:val="0"/>
                    <w:widowControl w:val="0"/>
                    <w:wordWrap/>
                    <w:topLinePunct w:val="0"/>
                    <w:autoSpaceDE/>
                    <w:autoSpaceDN/>
                    <w:bidi w:val="0"/>
                    <w:adjustRightInd/>
                    <w:snapToGrid/>
                    <w:spacing w:line="0" w:lineRule="atLeast"/>
                    <w:ind w:left="0" w:leftChars="0" w:right="0" w:rightChars="0" w:firstLine="0" w:firstLineChars="0"/>
                    <w:jc w:val="center"/>
                    <w:textAlignment w:val="auto"/>
                    <w:rPr>
                      <w:rFonts w:ascii="楷体" w:hAnsi="楷体" w:eastAsia="楷体" w:cs="浠垮畫"/>
                      <w:color w:val="auto"/>
                      <w:kern w:val="0"/>
                      <w:sz w:val="18"/>
                      <w:szCs w:val="18"/>
                      <w:highlight w:val="none"/>
                    </w:rPr>
                  </w:pPr>
                  <w:r>
                    <w:rPr>
                      <w:rFonts w:hint="eastAsia" w:ascii="楷体" w:hAnsi="楷体" w:eastAsia="楷体" w:cs="浠垮畫"/>
                      <w:color w:val="auto"/>
                      <w:kern w:val="0"/>
                      <w:sz w:val="18"/>
                      <w:szCs w:val="18"/>
                      <w:highlight w:val="none"/>
                    </w:rPr>
                    <w:t>积极成长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1" w:type="pct"/>
                  <w:vAlign w:val="bottom"/>
                </w:tcPr>
                <w:p>
                  <w:pPr>
                    <w:keepNext w:val="0"/>
                    <w:keepLines w:val="0"/>
                    <w:pageBreakBefore w:val="0"/>
                    <w:widowControl w:val="0"/>
                    <w:wordWrap/>
                    <w:topLinePunct w:val="0"/>
                    <w:autoSpaceDE/>
                    <w:autoSpaceDN/>
                    <w:bidi w:val="0"/>
                    <w:adjustRightInd/>
                    <w:snapToGrid/>
                    <w:spacing w:line="0" w:lineRule="atLeast"/>
                    <w:ind w:left="0" w:leftChars="0" w:right="0" w:rightChars="0" w:firstLine="0" w:firstLineChars="0"/>
                    <w:jc w:val="center"/>
                    <w:textAlignment w:val="auto"/>
                    <w:rPr>
                      <w:rFonts w:ascii="楷体" w:hAnsi="楷体" w:eastAsia="楷体" w:cs="浠垮畫"/>
                      <w:color w:val="auto"/>
                      <w:kern w:val="0"/>
                      <w:sz w:val="18"/>
                      <w:szCs w:val="18"/>
                      <w:highlight w:val="none"/>
                    </w:rPr>
                  </w:pPr>
                  <w:r>
                    <w:rPr>
                      <w:rFonts w:hint="eastAsia" w:ascii="楷体" w:hAnsi="楷体" w:eastAsia="楷体" w:cs="浠垮畫"/>
                      <w:color w:val="auto"/>
                      <w:kern w:val="0"/>
                      <w:sz w:val="18"/>
                      <w:szCs w:val="18"/>
                      <w:highlight w:val="none"/>
                    </w:rPr>
                    <w:t>★★★★★</w:t>
                  </w:r>
                </w:p>
              </w:tc>
              <w:tc>
                <w:tcPr>
                  <w:tcW w:w="1095" w:type="pct"/>
                  <w:vAlign w:val="center"/>
                </w:tcPr>
                <w:p>
                  <w:pPr>
                    <w:keepNext w:val="0"/>
                    <w:keepLines w:val="0"/>
                    <w:pageBreakBefore w:val="0"/>
                    <w:widowControl w:val="0"/>
                    <w:wordWrap/>
                    <w:topLinePunct w:val="0"/>
                    <w:autoSpaceDE/>
                    <w:autoSpaceDN/>
                    <w:bidi w:val="0"/>
                    <w:adjustRightInd/>
                    <w:snapToGrid/>
                    <w:spacing w:line="0" w:lineRule="atLeast"/>
                    <w:ind w:left="0" w:leftChars="0" w:right="0" w:rightChars="0" w:firstLine="0" w:firstLineChars="0"/>
                    <w:jc w:val="center"/>
                    <w:textAlignment w:val="auto"/>
                    <w:rPr>
                      <w:rFonts w:ascii="楷体" w:hAnsi="楷体" w:eastAsia="楷体" w:cs="浠垮畫"/>
                      <w:color w:val="auto"/>
                      <w:kern w:val="0"/>
                      <w:sz w:val="18"/>
                      <w:szCs w:val="18"/>
                      <w:highlight w:val="none"/>
                    </w:rPr>
                  </w:pPr>
                  <w:r>
                    <w:rPr>
                      <w:rFonts w:hint="eastAsia" w:ascii="楷体" w:hAnsi="楷体" w:eastAsia="楷体" w:cs="浠垮畫"/>
                      <w:color w:val="auto"/>
                      <w:kern w:val="0"/>
                      <w:sz w:val="18"/>
                      <w:szCs w:val="18"/>
                      <w:highlight w:val="none"/>
                    </w:rPr>
                    <w:t>五级（PR5）</w:t>
                  </w:r>
                </w:p>
              </w:tc>
              <w:tc>
                <w:tcPr>
                  <w:tcW w:w="1493" w:type="pct"/>
                  <w:vAlign w:val="center"/>
                </w:tcPr>
                <w:p>
                  <w:pPr>
                    <w:keepNext w:val="0"/>
                    <w:keepLines w:val="0"/>
                    <w:pageBreakBefore w:val="0"/>
                    <w:widowControl w:val="0"/>
                    <w:wordWrap/>
                    <w:topLinePunct w:val="0"/>
                    <w:autoSpaceDE/>
                    <w:autoSpaceDN/>
                    <w:bidi w:val="0"/>
                    <w:adjustRightInd/>
                    <w:snapToGrid/>
                    <w:spacing w:line="0" w:lineRule="atLeast"/>
                    <w:ind w:left="0" w:leftChars="0" w:right="0" w:rightChars="0" w:firstLine="0" w:firstLineChars="0"/>
                    <w:jc w:val="center"/>
                    <w:textAlignment w:val="auto"/>
                    <w:rPr>
                      <w:rFonts w:ascii="楷体" w:hAnsi="楷体" w:eastAsia="楷体" w:cs="浠垮畫"/>
                      <w:color w:val="auto"/>
                      <w:kern w:val="0"/>
                      <w:sz w:val="18"/>
                      <w:szCs w:val="18"/>
                      <w:highlight w:val="none"/>
                    </w:rPr>
                  </w:pPr>
                  <w:r>
                    <w:rPr>
                      <w:rFonts w:hint="eastAsia" w:ascii="楷体" w:hAnsi="楷体" w:eastAsia="楷体" w:cs="浠垮畫"/>
                      <w:color w:val="auto"/>
                      <w:kern w:val="0"/>
                      <w:sz w:val="18"/>
                      <w:szCs w:val="18"/>
                      <w:highlight w:val="none"/>
                    </w:rPr>
                    <w:t>高风险型</w:t>
                  </w:r>
                </w:p>
              </w:tc>
              <w:tc>
                <w:tcPr>
                  <w:tcW w:w="1229" w:type="pct"/>
                  <w:vAlign w:val="center"/>
                </w:tcPr>
                <w:p>
                  <w:pPr>
                    <w:keepNext w:val="0"/>
                    <w:keepLines w:val="0"/>
                    <w:pageBreakBefore w:val="0"/>
                    <w:widowControl w:val="0"/>
                    <w:wordWrap/>
                    <w:topLinePunct w:val="0"/>
                    <w:autoSpaceDE/>
                    <w:autoSpaceDN/>
                    <w:bidi w:val="0"/>
                    <w:adjustRightInd/>
                    <w:snapToGrid/>
                    <w:spacing w:line="0" w:lineRule="atLeast"/>
                    <w:ind w:left="0" w:leftChars="0" w:right="0" w:rightChars="0" w:firstLine="0" w:firstLineChars="0"/>
                    <w:jc w:val="center"/>
                    <w:textAlignment w:val="auto"/>
                    <w:rPr>
                      <w:rFonts w:ascii="楷体" w:hAnsi="楷体" w:eastAsia="楷体" w:cs="浠垮畫"/>
                      <w:color w:val="auto"/>
                      <w:kern w:val="0"/>
                      <w:sz w:val="18"/>
                      <w:szCs w:val="18"/>
                      <w:highlight w:val="none"/>
                    </w:rPr>
                  </w:pPr>
                  <w:r>
                    <w:rPr>
                      <w:rFonts w:hint="eastAsia" w:ascii="楷体" w:hAnsi="楷体" w:eastAsia="楷体" w:cs="浠垮畫"/>
                      <w:color w:val="auto"/>
                      <w:kern w:val="0"/>
                      <w:sz w:val="18"/>
                      <w:szCs w:val="18"/>
                      <w:highlight w:val="none"/>
                    </w:rPr>
                    <w:t>风险承受</w:t>
                  </w:r>
                </w:p>
              </w:tc>
            </w:tr>
          </w:tbl>
          <w:p>
            <w:pPr>
              <w:keepNext w:val="0"/>
              <w:keepLines w:val="0"/>
              <w:pageBreakBefore w:val="0"/>
              <w:widowControl w:val="0"/>
              <w:numPr>
                <w:ilvl w:val="-1"/>
                <w:numId w:val="0"/>
              </w:numPr>
              <w:wordWrap/>
              <w:topLinePunct w:val="0"/>
              <w:bidi w:val="0"/>
              <w:snapToGrid/>
              <w:spacing w:line="0" w:lineRule="atLeast"/>
              <w:ind w:left="0" w:leftChars="0" w:right="0" w:rightChars="0" w:firstLine="0" w:firstLineChars="0"/>
              <w:textAlignment w:val="auto"/>
              <w:rPr>
                <w:rFonts w:ascii="楷体" w:hAnsi="楷体" w:eastAsia="楷体"/>
                <w:b/>
                <w:sz w:val="18"/>
                <w:szCs w:val="18"/>
                <w:highlight w:val="none"/>
                <w:u w:val="single"/>
              </w:rPr>
            </w:pPr>
            <w:r>
              <w:rPr>
                <w:rFonts w:hint="eastAsia" w:ascii="楷体" w:hAnsi="楷体" w:eastAsia="楷体"/>
                <w:sz w:val="18"/>
                <w:szCs w:val="18"/>
                <w:highlight w:val="none"/>
                <w:lang w:val="en-US" w:eastAsia="zh-CN"/>
              </w:rPr>
              <w:t>2.</w:t>
            </w:r>
            <w:r>
              <w:rPr>
                <w:rFonts w:hint="eastAsia" w:ascii="楷体" w:hAnsi="楷体" w:eastAsia="楷体"/>
                <w:sz w:val="18"/>
                <w:szCs w:val="18"/>
                <w:highlight w:val="none"/>
              </w:rPr>
              <w:t>如本产品通过代理销售机构渠道销售，代理销售机构应当根据本机构的方式和方法，依据理财产品的投资组合、同类产品过往业绩和风险状况等因素，独立、审慎地对代理销售的理财产品进行销售评级，并向苏银理财及时、准确提供本机构销售评级结果等信息。销售评级与苏银理财产品评级结果不一致的，代理销售机构应当采用对应较高风险等级的评级结果并予以披露。</w:t>
            </w:r>
            <w:r>
              <w:rPr>
                <w:rFonts w:hint="eastAsia" w:ascii="楷体" w:hAnsi="楷体" w:eastAsia="楷体"/>
                <w:b/>
                <w:bCs/>
                <w:sz w:val="18"/>
                <w:szCs w:val="18"/>
                <w:highlight w:val="none"/>
                <w:u w:val="single"/>
              </w:rPr>
              <w:t>如本产品通过代理销售机构渠道销售，</w:t>
            </w:r>
            <w:r>
              <w:rPr>
                <w:rFonts w:hint="eastAsia" w:ascii="楷体" w:hAnsi="楷体" w:eastAsia="楷体"/>
                <w:b/>
                <w:sz w:val="18"/>
                <w:szCs w:val="18"/>
                <w:highlight w:val="none"/>
                <w:u w:val="single"/>
              </w:rPr>
              <w:t>理财产品评级以代理销售机构最终披露的评级结果为准。</w:t>
            </w:r>
          </w:p>
          <w:p>
            <w:pPr>
              <w:pStyle w:val="34"/>
              <w:keepNext w:val="0"/>
              <w:keepLines w:val="0"/>
              <w:pageBreakBefore w:val="0"/>
              <w:widowControl w:val="0"/>
              <w:kinsoku w:val="0"/>
              <w:wordWrap/>
              <w:overflowPunct w:val="0"/>
              <w:topLinePunct w:val="0"/>
              <w:bidi w:val="0"/>
              <w:snapToGrid/>
              <w:spacing w:line="0" w:lineRule="atLeast"/>
              <w:ind w:left="0" w:leftChars="0" w:right="0" w:rightChars="0"/>
              <w:jc w:val="both"/>
              <w:textAlignment w:val="auto"/>
              <w:rPr>
                <w:rFonts w:ascii="楷体" w:hAnsi="楷体" w:eastAsia="楷体" w:cs="宋体"/>
                <w:spacing w:val="-2"/>
                <w:sz w:val="18"/>
                <w:szCs w:val="18"/>
                <w:highlight w:val="none"/>
              </w:rPr>
            </w:pPr>
            <w:r>
              <w:rPr>
                <w:rFonts w:hint="eastAsia" w:ascii="楷体" w:hAnsi="楷体" w:eastAsia="楷体"/>
                <w:color w:val="auto"/>
                <w:sz w:val="18"/>
                <w:szCs w:val="18"/>
                <w:highlight w:val="none"/>
                <w:lang w:val="en-US" w:eastAsia="zh-CN"/>
              </w:rPr>
              <w:t>3.</w:t>
            </w:r>
            <w:r>
              <w:rPr>
                <w:rFonts w:hint="eastAsia" w:ascii="楷体" w:hAnsi="楷体" w:eastAsia="楷体"/>
                <w:color w:val="auto"/>
                <w:sz w:val="18"/>
                <w:szCs w:val="18"/>
                <w:highlight w:val="none"/>
              </w:rPr>
              <w:t>销售机构负责完成投资者风险承受能力评估，并在遵循投资者适当性原则的前提下进行本理财产品的销售活动。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4" w:hRule="atLeast"/>
          <w:jc w:val="center"/>
        </w:trPr>
        <w:tc>
          <w:tcPr>
            <w:tcW w:w="1701" w:type="dxa"/>
            <w:noWrap w:val="0"/>
            <w:vAlign w:val="center"/>
          </w:tcPr>
          <w:p>
            <w:pPr>
              <w:pStyle w:val="34"/>
              <w:keepNext w:val="0"/>
              <w:keepLines w:val="0"/>
              <w:pageBreakBefore w:val="0"/>
              <w:widowControl w:val="0"/>
              <w:kinsoku w:val="0"/>
              <w:wordWrap/>
              <w:overflowPunct w:val="0"/>
              <w:topLinePunct w:val="0"/>
              <w:bidi w:val="0"/>
              <w:snapToGrid/>
              <w:spacing w:before="0" w:line="0" w:lineRule="atLeast"/>
              <w:ind w:left="0" w:leftChars="0"/>
              <w:jc w:val="both"/>
              <w:textAlignment w:val="auto"/>
              <w:rPr>
                <w:rFonts w:ascii="楷体" w:hAnsi="楷体" w:eastAsia="楷体" w:cs="宋体"/>
                <w:b/>
                <w:spacing w:val="-2"/>
                <w:sz w:val="18"/>
                <w:szCs w:val="18"/>
                <w:highlight w:val="none"/>
              </w:rPr>
            </w:pPr>
            <w:r>
              <w:rPr>
                <w:rFonts w:hint="eastAsia" w:ascii="楷体" w:hAnsi="楷体" w:eastAsia="楷体" w:cs="宋体"/>
                <w:b/>
                <w:spacing w:val="-2"/>
                <w:sz w:val="18"/>
                <w:szCs w:val="18"/>
                <w:highlight w:val="none"/>
              </w:rPr>
              <w:t>销售对象</w:t>
            </w:r>
          </w:p>
        </w:tc>
        <w:tc>
          <w:tcPr>
            <w:tcW w:w="7937" w:type="dxa"/>
            <w:noWrap w:val="0"/>
            <w:vAlign w:val="center"/>
          </w:tcPr>
          <w:p>
            <w:pPr>
              <w:pStyle w:val="34"/>
              <w:keepNext w:val="0"/>
              <w:keepLines w:val="0"/>
              <w:pageBreakBefore w:val="0"/>
              <w:widowControl w:val="0"/>
              <w:kinsoku w:val="0"/>
              <w:wordWrap/>
              <w:overflowPunct w:val="0"/>
              <w:topLinePunct w:val="0"/>
              <w:bidi w:val="0"/>
              <w:snapToGrid/>
              <w:spacing w:line="0" w:lineRule="atLeast"/>
              <w:ind w:left="0" w:leftChars="0" w:right="0" w:rightChars="0"/>
              <w:jc w:val="both"/>
              <w:textAlignment w:val="auto"/>
              <w:rPr>
                <w:rFonts w:hint="eastAsia" w:ascii="楷体" w:hAnsi="楷体" w:eastAsia="楷体" w:cs="宋体"/>
                <w:spacing w:val="-2"/>
                <w:sz w:val="18"/>
                <w:szCs w:val="18"/>
                <w:highlight w:val="none"/>
                <w:lang w:val="en-US" w:eastAsia="zh-CN"/>
              </w:rPr>
            </w:pPr>
            <w:r>
              <w:rPr>
                <w:rFonts w:hint="eastAsia" w:ascii="楷体" w:hAnsi="楷体" w:eastAsia="楷体" w:cs="宋体"/>
                <w:spacing w:val="-2"/>
                <w:sz w:val="18"/>
                <w:szCs w:val="18"/>
                <w:highlight w:val="none"/>
                <w:lang w:val="en-US" w:eastAsia="zh-CN"/>
              </w:rPr>
              <w:t>个人和机构</w:t>
            </w:r>
          </w:p>
          <w:p>
            <w:pPr>
              <w:pStyle w:val="34"/>
              <w:keepNext w:val="0"/>
              <w:keepLines w:val="0"/>
              <w:pageBreakBefore w:val="0"/>
              <w:widowControl w:val="0"/>
              <w:kinsoku w:val="0"/>
              <w:wordWrap/>
              <w:overflowPunct w:val="0"/>
              <w:topLinePunct w:val="0"/>
              <w:bidi w:val="0"/>
              <w:snapToGrid/>
              <w:spacing w:line="0" w:lineRule="atLeast"/>
              <w:ind w:left="0" w:leftChars="0" w:right="0" w:rightChars="0"/>
              <w:jc w:val="both"/>
              <w:textAlignment w:val="auto"/>
              <w:rPr>
                <w:rFonts w:hint="eastAsia" w:ascii="楷体" w:hAnsi="楷体" w:eastAsia="楷体" w:cs="宋体"/>
                <w:spacing w:val="-2"/>
                <w:sz w:val="18"/>
                <w:szCs w:val="18"/>
                <w:highlight w:val="none"/>
                <w:lang w:val="en-US" w:eastAsia="zh-CN"/>
              </w:rPr>
            </w:pPr>
            <w:r>
              <w:rPr>
                <w:rFonts w:hint="eastAsia" w:ascii="楷体" w:hAnsi="楷体" w:eastAsia="楷体" w:cs="宋体"/>
                <w:spacing w:val="-2"/>
                <w:sz w:val="18"/>
                <w:szCs w:val="18"/>
                <w:highlight w:val="none"/>
                <w:lang w:val="en-US" w:eastAsia="zh-CN"/>
              </w:rPr>
              <w:t>其中C份额销售机构江苏银行个人投资者仅限代发工资客户；新资金客户及新客户，新资金的达标条件为“客户前一日资产时点余额”较“前一月末资产月日均余额”的新增额大于5万元，新客户是指首次购买理财产品的客户；50周岁及以上客户；机构投资者具体以销售机构设置为准。</w:t>
            </w:r>
          </w:p>
          <w:p>
            <w:pPr>
              <w:pStyle w:val="34"/>
              <w:keepNext w:val="0"/>
              <w:keepLines w:val="0"/>
              <w:pageBreakBefore w:val="0"/>
              <w:widowControl w:val="0"/>
              <w:kinsoku w:val="0"/>
              <w:wordWrap/>
              <w:overflowPunct w:val="0"/>
              <w:topLinePunct w:val="0"/>
              <w:bidi w:val="0"/>
              <w:snapToGrid/>
              <w:spacing w:line="0" w:lineRule="atLeast"/>
              <w:ind w:left="0" w:leftChars="0" w:right="0" w:rightChars="0"/>
              <w:jc w:val="both"/>
              <w:textAlignment w:val="auto"/>
              <w:rPr>
                <w:rFonts w:hint="eastAsia" w:ascii="楷体" w:hAnsi="楷体" w:eastAsia="楷体" w:cs="宋体"/>
                <w:spacing w:val="-2"/>
                <w:sz w:val="18"/>
                <w:szCs w:val="18"/>
                <w:highlight w:val="none"/>
                <w:lang w:val="en-US" w:eastAsia="zh-CN"/>
              </w:rPr>
            </w:pPr>
            <w:r>
              <w:rPr>
                <w:rFonts w:hint="eastAsia" w:ascii="楷体" w:hAnsi="楷体" w:eastAsia="楷体" w:cs="宋体"/>
                <w:spacing w:val="-2"/>
                <w:sz w:val="18"/>
                <w:szCs w:val="18"/>
                <w:highlight w:val="none"/>
                <w:lang w:val="en-US" w:eastAsia="zh-CN"/>
              </w:rPr>
              <w:t>D份额销售机构江苏银行个人投资者仅限财富客户购买，江苏银行财富客户指在江苏银行日均资产大于等于200万元的个人客户；机构投资者具体以销售机构设置为准。</w:t>
            </w:r>
          </w:p>
          <w:p>
            <w:pPr>
              <w:pStyle w:val="34"/>
              <w:keepNext w:val="0"/>
              <w:keepLines w:val="0"/>
              <w:pageBreakBefore w:val="0"/>
              <w:widowControl w:val="0"/>
              <w:kinsoku w:val="0"/>
              <w:wordWrap/>
              <w:overflowPunct w:val="0"/>
              <w:topLinePunct w:val="0"/>
              <w:bidi w:val="0"/>
              <w:snapToGrid/>
              <w:spacing w:line="0" w:lineRule="atLeast"/>
              <w:ind w:left="0" w:leftChars="0" w:right="0" w:rightChars="0"/>
              <w:jc w:val="both"/>
              <w:textAlignment w:val="auto"/>
              <w:rPr>
                <w:rFonts w:hint="default" w:ascii="楷体" w:hAnsi="楷体" w:eastAsia="楷体" w:cs="宋体"/>
                <w:spacing w:val="-2"/>
                <w:sz w:val="18"/>
                <w:szCs w:val="18"/>
                <w:highlight w:val="none"/>
                <w:lang w:val="en-US" w:eastAsia="zh-CN"/>
              </w:rPr>
            </w:pPr>
            <w:r>
              <w:rPr>
                <w:rFonts w:hint="eastAsia" w:ascii="楷体" w:hAnsi="楷体" w:eastAsia="楷体" w:cs="宋体"/>
                <w:spacing w:val="-2"/>
                <w:sz w:val="18"/>
                <w:szCs w:val="18"/>
                <w:highlight w:val="none"/>
                <w:lang w:val="en-US" w:eastAsia="zh-CN"/>
              </w:rPr>
              <w:t>J2份额销售机构江苏银行仅限白名单客户。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7" w:hRule="atLeast"/>
          <w:jc w:val="center"/>
        </w:trPr>
        <w:tc>
          <w:tcPr>
            <w:tcW w:w="1701" w:type="dxa"/>
            <w:noWrap w:val="0"/>
            <w:vAlign w:val="center"/>
          </w:tcPr>
          <w:p>
            <w:pPr>
              <w:pStyle w:val="34"/>
              <w:keepNext w:val="0"/>
              <w:keepLines w:val="0"/>
              <w:pageBreakBefore w:val="0"/>
              <w:widowControl w:val="0"/>
              <w:kinsoku w:val="0"/>
              <w:wordWrap/>
              <w:overflowPunct w:val="0"/>
              <w:topLinePunct w:val="0"/>
              <w:bidi w:val="0"/>
              <w:snapToGrid/>
              <w:spacing w:before="0" w:line="0" w:lineRule="atLeast"/>
              <w:ind w:left="0" w:leftChars="0"/>
              <w:jc w:val="both"/>
              <w:textAlignment w:val="auto"/>
              <w:rPr>
                <w:rFonts w:ascii="楷体" w:hAnsi="楷体" w:eastAsia="楷体" w:cs="宋体"/>
                <w:b/>
                <w:spacing w:val="-2"/>
                <w:sz w:val="18"/>
                <w:szCs w:val="18"/>
                <w:highlight w:val="none"/>
              </w:rPr>
            </w:pPr>
            <w:r>
              <w:rPr>
                <w:rFonts w:hint="eastAsia" w:ascii="楷体" w:hAnsi="楷体" w:eastAsia="楷体" w:cs="宋体"/>
                <w:b/>
                <w:spacing w:val="-2"/>
                <w:sz w:val="18"/>
                <w:szCs w:val="18"/>
                <w:highlight w:val="none"/>
              </w:rPr>
              <w:t>币种</w:t>
            </w:r>
          </w:p>
        </w:tc>
        <w:tc>
          <w:tcPr>
            <w:tcW w:w="7937" w:type="dxa"/>
            <w:noWrap w:val="0"/>
            <w:vAlign w:val="center"/>
          </w:tcPr>
          <w:p>
            <w:pPr>
              <w:pStyle w:val="34"/>
              <w:keepNext w:val="0"/>
              <w:keepLines w:val="0"/>
              <w:pageBreakBefore w:val="0"/>
              <w:widowControl w:val="0"/>
              <w:kinsoku w:val="0"/>
              <w:wordWrap/>
              <w:overflowPunct w:val="0"/>
              <w:topLinePunct w:val="0"/>
              <w:bidi w:val="0"/>
              <w:snapToGrid/>
              <w:spacing w:line="0" w:lineRule="atLeast"/>
              <w:ind w:left="0" w:leftChars="0" w:right="0" w:rightChars="0"/>
              <w:jc w:val="both"/>
              <w:textAlignment w:val="auto"/>
              <w:rPr>
                <w:rFonts w:ascii="楷体" w:hAnsi="楷体" w:eastAsia="楷体" w:cs="宋体"/>
                <w:spacing w:val="-2"/>
                <w:sz w:val="18"/>
                <w:szCs w:val="18"/>
                <w:highlight w:val="none"/>
              </w:rPr>
            </w:pPr>
            <w:r>
              <w:rPr>
                <w:rFonts w:hint="eastAsia" w:ascii="楷体" w:hAnsi="楷体" w:eastAsia="楷体" w:cs="宋体"/>
                <w:spacing w:val="-2"/>
                <w:sz w:val="18"/>
                <w:szCs w:val="18"/>
                <w:highlight w:val="none"/>
              </w:rPr>
              <w:t>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701" w:type="dxa"/>
            <w:noWrap w:val="0"/>
            <w:vAlign w:val="center"/>
          </w:tcPr>
          <w:p>
            <w:pPr>
              <w:pStyle w:val="34"/>
              <w:keepNext w:val="0"/>
              <w:keepLines w:val="0"/>
              <w:pageBreakBefore w:val="0"/>
              <w:widowControl w:val="0"/>
              <w:kinsoku w:val="0"/>
              <w:wordWrap/>
              <w:overflowPunct w:val="0"/>
              <w:topLinePunct w:val="0"/>
              <w:bidi w:val="0"/>
              <w:snapToGrid/>
              <w:spacing w:before="0" w:line="0" w:lineRule="atLeast"/>
              <w:ind w:left="0" w:leftChars="0"/>
              <w:jc w:val="both"/>
              <w:textAlignment w:val="auto"/>
              <w:rPr>
                <w:rFonts w:hint="eastAsia" w:ascii="楷体" w:hAnsi="楷体" w:eastAsia="楷体" w:cs="宋体"/>
                <w:b/>
                <w:spacing w:val="-2"/>
                <w:kern w:val="0"/>
                <w:sz w:val="18"/>
                <w:szCs w:val="18"/>
                <w:highlight w:val="none"/>
                <w:lang w:val="en-US" w:eastAsia="zh-CN" w:bidi="ar-SA"/>
              </w:rPr>
            </w:pPr>
            <w:r>
              <w:rPr>
                <w:rFonts w:hint="eastAsia" w:ascii="楷体" w:hAnsi="楷体" w:eastAsia="楷体" w:cs="宋体"/>
                <w:b/>
                <w:spacing w:val="-2"/>
                <w:sz w:val="18"/>
                <w:szCs w:val="18"/>
                <w:highlight w:val="none"/>
              </w:rPr>
              <w:t>份额面值</w:t>
            </w:r>
          </w:p>
        </w:tc>
        <w:tc>
          <w:tcPr>
            <w:tcW w:w="7937" w:type="dxa"/>
            <w:noWrap w:val="0"/>
            <w:vAlign w:val="center"/>
          </w:tcPr>
          <w:p>
            <w:pPr>
              <w:pStyle w:val="34"/>
              <w:keepNext w:val="0"/>
              <w:keepLines w:val="0"/>
              <w:pageBreakBefore w:val="0"/>
              <w:widowControl w:val="0"/>
              <w:kinsoku w:val="0"/>
              <w:wordWrap/>
              <w:overflowPunct w:val="0"/>
              <w:topLinePunct w:val="0"/>
              <w:bidi w:val="0"/>
              <w:snapToGrid/>
              <w:spacing w:line="0" w:lineRule="atLeast"/>
              <w:ind w:left="0" w:leftChars="0" w:right="0" w:rightChars="0"/>
              <w:jc w:val="both"/>
              <w:textAlignment w:val="auto"/>
              <w:rPr>
                <w:rFonts w:hint="eastAsia" w:ascii="楷体" w:hAnsi="楷体" w:eastAsia="楷体" w:cs="宋体"/>
                <w:spacing w:val="-2"/>
                <w:kern w:val="0"/>
                <w:sz w:val="18"/>
                <w:szCs w:val="18"/>
                <w:highlight w:val="none"/>
                <w:lang w:val="en-US" w:eastAsia="zh-CN" w:bidi="ar-SA"/>
              </w:rPr>
            </w:pPr>
            <w:r>
              <w:rPr>
                <w:rFonts w:hint="eastAsia" w:ascii="楷体" w:hAnsi="楷体" w:eastAsia="楷体" w:cs="宋体"/>
                <w:spacing w:val="-2"/>
                <w:sz w:val="18"/>
                <w:szCs w:val="18"/>
                <w:highlight w:val="none"/>
                <w:lang w:eastAsia="zh-CN"/>
              </w:rPr>
              <w:t>1元</w:t>
            </w:r>
            <w:r>
              <w:rPr>
                <w:rFonts w:hint="eastAsia" w:ascii="楷体" w:hAnsi="楷体" w:eastAsia="楷体" w:cs="宋体"/>
                <w:spacing w:val="-2"/>
                <w:sz w:val="18"/>
                <w:szCs w:val="18"/>
                <w:highlight w:val="none"/>
              </w:rPr>
              <w:t>/份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5" w:hRule="atLeast"/>
          <w:jc w:val="center"/>
        </w:trPr>
        <w:tc>
          <w:tcPr>
            <w:tcW w:w="1701" w:type="dxa"/>
            <w:noWrap w:val="0"/>
            <w:vAlign w:val="center"/>
          </w:tcPr>
          <w:p>
            <w:pPr>
              <w:pStyle w:val="34"/>
              <w:keepNext w:val="0"/>
              <w:keepLines w:val="0"/>
              <w:pageBreakBefore w:val="0"/>
              <w:widowControl w:val="0"/>
              <w:kinsoku w:val="0"/>
              <w:wordWrap/>
              <w:overflowPunct w:val="0"/>
              <w:topLinePunct w:val="0"/>
              <w:bidi w:val="0"/>
              <w:snapToGrid/>
              <w:spacing w:before="0" w:line="0" w:lineRule="atLeast"/>
              <w:ind w:left="0" w:leftChars="0"/>
              <w:jc w:val="both"/>
              <w:textAlignment w:val="auto"/>
              <w:rPr>
                <w:rFonts w:hint="eastAsia" w:ascii="楷体" w:hAnsi="楷体" w:eastAsia="楷体" w:cs="宋体"/>
                <w:b/>
                <w:spacing w:val="-2"/>
                <w:sz w:val="18"/>
                <w:szCs w:val="18"/>
                <w:highlight w:val="none"/>
              </w:rPr>
            </w:pPr>
            <w:r>
              <w:rPr>
                <w:rFonts w:hint="eastAsia" w:ascii="楷体" w:hAnsi="楷体" w:eastAsia="楷体" w:cs="宋体"/>
                <w:b/>
                <w:spacing w:val="-2"/>
                <w:sz w:val="18"/>
                <w:szCs w:val="18"/>
                <w:highlight w:val="none"/>
              </w:rPr>
              <w:t>投资周期</w:t>
            </w:r>
          </w:p>
        </w:tc>
        <w:tc>
          <w:tcPr>
            <w:tcW w:w="7937" w:type="dxa"/>
            <w:noWrap w:val="0"/>
            <w:vAlign w:val="center"/>
          </w:tcPr>
          <w:p>
            <w:pPr>
              <w:pStyle w:val="34"/>
              <w:keepNext w:val="0"/>
              <w:keepLines w:val="0"/>
              <w:pageBreakBefore w:val="0"/>
              <w:widowControl w:val="0"/>
              <w:kinsoku w:val="0"/>
              <w:wordWrap/>
              <w:overflowPunct w:val="0"/>
              <w:topLinePunct w:val="0"/>
              <w:bidi w:val="0"/>
              <w:snapToGrid/>
              <w:spacing w:line="0" w:lineRule="atLeast"/>
              <w:ind w:left="0" w:leftChars="0" w:right="0" w:rightChars="0"/>
              <w:jc w:val="both"/>
              <w:textAlignment w:val="auto"/>
              <w:rPr>
                <w:rFonts w:hint="default" w:ascii="楷体" w:hAnsi="楷体" w:eastAsia="楷体" w:cs="宋体"/>
                <w:b/>
                <w:spacing w:val="-2"/>
                <w:sz w:val="18"/>
                <w:szCs w:val="18"/>
                <w:highlight w:val="none"/>
                <w:lang w:val="en-US" w:eastAsia="zh-CN"/>
              </w:rPr>
            </w:pPr>
            <w:r>
              <w:rPr>
                <w:rFonts w:hint="eastAsia" w:ascii="楷体" w:hAnsi="楷体" w:eastAsia="楷体" w:cs="宋体"/>
                <w:spacing w:val="-2"/>
                <w:sz w:val="18"/>
                <w:szCs w:val="18"/>
                <w:highlight w:val="none"/>
                <w:lang w:val="en-US" w:eastAsia="zh-CN"/>
              </w:rPr>
              <w:t>1年左右，具体天数以实际投资为准。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5" w:hRule="atLeast"/>
          <w:jc w:val="center"/>
        </w:trPr>
        <w:tc>
          <w:tcPr>
            <w:tcW w:w="1701" w:type="dxa"/>
            <w:noWrap w:val="0"/>
            <w:vAlign w:val="center"/>
          </w:tcPr>
          <w:p>
            <w:pPr>
              <w:pStyle w:val="34"/>
              <w:keepNext w:val="0"/>
              <w:keepLines w:val="0"/>
              <w:pageBreakBefore w:val="0"/>
              <w:widowControl w:val="0"/>
              <w:kinsoku w:val="0"/>
              <w:wordWrap/>
              <w:overflowPunct w:val="0"/>
              <w:topLinePunct w:val="0"/>
              <w:autoSpaceDE w:val="0"/>
              <w:autoSpaceDN w:val="0"/>
              <w:bidi w:val="0"/>
              <w:adjustRightInd w:val="0"/>
              <w:spacing w:line="0" w:lineRule="atLeast"/>
              <w:ind w:left="0" w:leftChars="0"/>
              <w:jc w:val="both"/>
              <w:textAlignment w:val="auto"/>
              <w:rPr>
                <w:rFonts w:hint="eastAsia" w:ascii="楷体" w:hAnsi="楷体" w:eastAsia="楷体" w:cs="宋体"/>
                <w:b/>
                <w:spacing w:val="-2"/>
                <w:sz w:val="18"/>
                <w:szCs w:val="18"/>
                <w:highlight w:val="none"/>
              </w:rPr>
            </w:pPr>
            <w:r>
              <w:rPr>
                <w:rFonts w:hint="eastAsia" w:ascii="楷体" w:hAnsi="楷体" w:eastAsia="楷体" w:cs="宋体"/>
                <w:b/>
                <w:spacing w:val="-2"/>
                <w:sz w:val="18"/>
                <w:szCs w:val="18"/>
                <w:highlight w:val="none"/>
              </w:rPr>
              <w:t>计划发行规模</w:t>
            </w:r>
          </w:p>
        </w:tc>
        <w:tc>
          <w:tcPr>
            <w:tcW w:w="7937" w:type="dxa"/>
            <w:noWrap w:val="0"/>
            <w:vAlign w:val="center"/>
          </w:tcPr>
          <w:p>
            <w:pPr>
              <w:pStyle w:val="34"/>
              <w:keepNext w:val="0"/>
              <w:keepLines w:val="0"/>
              <w:pageBreakBefore w:val="0"/>
              <w:widowControl w:val="0"/>
              <w:kinsoku w:val="0"/>
              <w:wordWrap/>
              <w:overflowPunct w:val="0"/>
              <w:topLinePunct w:val="0"/>
              <w:bidi w:val="0"/>
              <w:snapToGrid/>
              <w:spacing w:line="0" w:lineRule="atLeast"/>
              <w:ind w:left="0" w:leftChars="0" w:right="0" w:rightChars="0"/>
              <w:textAlignment w:val="auto"/>
              <w:rPr>
                <w:rFonts w:hint="eastAsia" w:ascii="楷体" w:hAnsi="楷体" w:eastAsia="楷体" w:cs="宋体"/>
                <w:spacing w:val="-2"/>
                <w:sz w:val="18"/>
                <w:szCs w:val="18"/>
                <w:highlight w:val="none"/>
              </w:rPr>
            </w:pPr>
            <w:r>
              <w:rPr>
                <w:rFonts w:hint="eastAsia" w:ascii="楷体" w:hAnsi="楷体" w:eastAsia="楷体" w:cs="宋体"/>
                <w:spacing w:val="-2"/>
                <w:sz w:val="18"/>
                <w:szCs w:val="18"/>
                <w:highlight w:val="none"/>
                <w:lang w:val="en-US" w:eastAsia="zh-CN"/>
              </w:rPr>
              <w:t>本产品计划发行规模为100000万元，管理人有权根据实际需要调整计划发行规模。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2" w:hRule="atLeast"/>
          <w:jc w:val="center"/>
        </w:trPr>
        <w:tc>
          <w:tcPr>
            <w:tcW w:w="1701" w:type="dxa"/>
            <w:noWrap w:val="0"/>
            <w:vAlign w:val="center"/>
          </w:tcPr>
          <w:p>
            <w:pPr>
              <w:pStyle w:val="34"/>
              <w:keepNext w:val="0"/>
              <w:keepLines w:val="0"/>
              <w:pageBreakBefore w:val="0"/>
              <w:widowControl w:val="0"/>
              <w:kinsoku w:val="0"/>
              <w:wordWrap/>
              <w:overflowPunct w:val="0"/>
              <w:topLinePunct w:val="0"/>
              <w:autoSpaceDE w:val="0"/>
              <w:autoSpaceDN w:val="0"/>
              <w:bidi w:val="0"/>
              <w:adjustRightInd w:val="0"/>
              <w:spacing w:line="0" w:lineRule="atLeast"/>
              <w:ind w:left="0" w:leftChars="0"/>
              <w:jc w:val="both"/>
              <w:textAlignment w:val="auto"/>
              <w:rPr>
                <w:rFonts w:hint="eastAsia" w:ascii="楷体" w:hAnsi="楷体" w:eastAsia="楷体" w:cs="宋体"/>
                <w:b/>
                <w:spacing w:val="-2"/>
                <w:sz w:val="18"/>
                <w:szCs w:val="18"/>
                <w:highlight w:val="none"/>
              </w:rPr>
            </w:pPr>
            <w:r>
              <w:rPr>
                <w:rFonts w:hint="eastAsia" w:ascii="楷体" w:hAnsi="楷体" w:eastAsia="楷体" w:cs="宋体"/>
                <w:b/>
                <w:spacing w:val="-2"/>
                <w:sz w:val="18"/>
                <w:szCs w:val="18"/>
                <w:highlight w:val="none"/>
              </w:rPr>
              <w:t>最低发行规模</w:t>
            </w:r>
          </w:p>
        </w:tc>
        <w:tc>
          <w:tcPr>
            <w:tcW w:w="7937" w:type="dxa"/>
            <w:noWrap w:val="0"/>
            <w:vAlign w:val="center"/>
          </w:tcPr>
          <w:p>
            <w:pPr>
              <w:keepNext w:val="0"/>
              <w:keepLines w:val="0"/>
              <w:pageBreakBefore w:val="0"/>
              <w:widowControl w:val="0"/>
              <w:wordWrap/>
              <w:topLinePunct w:val="0"/>
              <w:bidi w:val="0"/>
              <w:snapToGrid/>
              <w:spacing w:line="0" w:lineRule="atLeast"/>
              <w:ind w:left="0" w:leftChars="0" w:right="0" w:rightChars="0"/>
              <w:jc w:val="left"/>
              <w:textAlignment w:val="auto"/>
              <w:rPr>
                <w:rFonts w:hint="eastAsia" w:ascii="楷体" w:hAnsi="楷体" w:eastAsia="楷体" w:cs="宋体"/>
                <w:spacing w:val="-2"/>
                <w:sz w:val="18"/>
                <w:szCs w:val="18"/>
                <w:highlight w:val="none"/>
                <w:lang w:val="en-US" w:eastAsia="zh-CN"/>
              </w:rPr>
            </w:pPr>
            <w:r>
              <w:rPr>
                <w:rFonts w:hint="eastAsia" w:ascii="楷体" w:hAnsi="楷体" w:eastAsia="楷体" w:cs="宋体"/>
                <w:spacing w:val="-2"/>
                <w:sz w:val="18"/>
                <w:szCs w:val="18"/>
                <w:highlight w:val="none"/>
              </w:rPr>
              <w:t>本产品最低发行规模为</w:t>
            </w:r>
            <w:r>
              <w:rPr>
                <w:rFonts w:hint="eastAsia" w:ascii="楷体" w:hAnsi="楷体" w:eastAsia="楷体" w:cs="宋体"/>
                <w:spacing w:val="-2"/>
                <w:sz w:val="18"/>
                <w:szCs w:val="18"/>
                <w:highlight w:val="none"/>
                <w:lang w:val="en-US" w:eastAsia="zh-CN"/>
              </w:rPr>
              <w:t>3000万</w:t>
            </w:r>
            <w:r>
              <w:rPr>
                <w:rFonts w:hint="eastAsia" w:ascii="楷体" w:hAnsi="楷体" w:eastAsia="楷体" w:cs="宋体"/>
                <w:spacing w:val="-2"/>
                <w:sz w:val="18"/>
                <w:szCs w:val="18"/>
                <w:highlight w:val="none"/>
              </w:rPr>
              <w:t>元，管理人有权根据实际需要调整最低发行规模。若产品认购规模未达到最低发行规模，或新的法律、法规或监管政策导致本产品无法合法合规运行，或出现其他导致影响产品成立不可抗力因素，产品管理人有权利但无义务宣布产品不成立，并于产品募集期结束后5个工作日内将投资者认购资金返还至投资者资金账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2" w:hRule="atLeast"/>
          <w:jc w:val="center"/>
        </w:trPr>
        <w:tc>
          <w:tcPr>
            <w:tcW w:w="1701" w:type="dxa"/>
            <w:noWrap w:val="0"/>
            <w:vAlign w:val="center"/>
          </w:tcPr>
          <w:p>
            <w:pPr>
              <w:pStyle w:val="34"/>
              <w:keepNext w:val="0"/>
              <w:keepLines w:val="0"/>
              <w:pageBreakBefore w:val="0"/>
              <w:widowControl w:val="0"/>
              <w:kinsoku w:val="0"/>
              <w:wordWrap/>
              <w:overflowPunct w:val="0"/>
              <w:topLinePunct w:val="0"/>
              <w:autoSpaceDE w:val="0"/>
              <w:autoSpaceDN w:val="0"/>
              <w:bidi w:val="0"/>
              <w:adjustRightInd w:val="0"/>
              <w:spacing w:line="0" w:lineRule="atLeast"/>
              <w:ind w:left="0" w:leftChars="0"/>
              <w:jc w:val="both"/>
              <w:textAlignment w:val="auto"/>
              <w:rPr>
                <w:rFonts w:ascii="楷体" w:hAnsi="楷体" w:eastAsia="楷体" w:cs="宋体"/>
                <w:b/>
                <w:spacing w:val="-2"/>
                <w:sz w:val="18"/>
                <w:szCs w:val="18"/>
                <w:highlight w:val="none"/>
              </w:rPr>
            </w:pPr>
            <w:r>
              <w:rPr>
                <w:rFonts w:hint="eastAsia" w:ascii="楷体" w:hAnsi="楷体" w:eastAsia="楷体" w:cs="宋体"/>
                <w:b/>
                <w:spacing w:val="-2"/>
                <w:sz w:val="18"/>
                <w:szCs w:val="18"/>
                <w:highlight w:val="none"/>
              </w:rPr>
              <w:t>购买起点</w:t>
            </w:r>
            <w:r>
              <w:rPr>
                <w:rFonts w:ascii="楷体" w:hAnsi="楷体" w:eastAsia="楷体" w:cs="宋体"/>
                <w:b/>
                <w:spacing w:val="-2"/>
                <w:sz w:val="18"/>
                <w:szCs w:val="18"/>
                <w:highlight w:val="none"/>
              </w:rPr>
              <w:t>/</w:t>
            </w:r>
            <w:r>
              <w:rPr>
                <w:rFonts w:hint="eastAsia" w:ascii="楷体" w:hAnsi="楷体" w:eastAsia="楷体" w:cs="宋体"/>
                <w:b/>
                <w:spacing w:val="-2"/>
                <w:sz w:val="18"/>
                <w:szCs w:val="18"/>
                <w:highlight w:val="none"/>
              </w:rPr>
              <w:t>追加金额</w:t>
            </w:r>
          </w:p>
        </w:tc>
        <w:tc>
          <w:tcPr>
            <w:tcW w:w="7937" w:type="dxa"/>
            <w:noWrap w:val="0"/>
            <w:vAlign w:val="center"/>
          </w:tcPr>
          <w:p>
            <w:pPr>
              <w:keepNext w:val="0"/>
              <w:keepLines w:val="0"/>
              <w:pageBreakBefore w:val="0"/>
              <w:widowControl w:val="0"/>
              <w:wordWrap/>
              <w:topLinePunct w:val="0"/>
              <w:bidi w:val="0"/>
              <w:snapToGrid/>
              <w:spacing w:line="0" w:lineRule="atLeast"/>
              <w:ind w:left="0" w:leftChars="0" w:right="0" w:rightChars="0"/>
              <w:jc w:val="left"/>
              <w:textAlignment w:val="auto"/>
              <w:rPr>
                <w:rFonts w:hint="eastAsia" w:ascii="楷体" w:hAnsi="楷体" w:eastAsia="楷体"/>
                <w:sz w:val="18"/>
                <w:szCs w:val="18"/>
                <w:highlight w:val="none"/>
                <w:lang w:val="en-US" w:eastAsia="zh-CN"/>
              </w:rPr>
            </w:pPr>
            <w:r>
              <w:rPr>
                <w:rFonts w:hint="eastAsia" w:ascii="楷体" w:hAnsi="楷体" w:eastAsia="楷体"/>
                <w:sz w:val="18"/>
                <w:szCs w:val="18"/>
                <w:highlight w:val="none"/>
                <w:lang w:val="en-US" w:eastAsia="zh-CN"/>
              </w:rPr>
              <w:t>A份额:100元/100元的整数倍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B份额:200,000元/10,000元的整数倍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C份额:10,000元/1元的整数倍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D份额:个人投资者：500,000元/10,000元的整数倍,机构投资者：30,000,000元/10,000元的整数倍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F份额:100元/100元的整数倍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G份额:200,000元/10,000元的整数倍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J份额:500,000元/10,000元的整数倍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J2份额:10,000元/1元的整数倍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P份额:100元/100元的整数倍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Q份额:10,000元/1元的整数倍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S份额:200,000元/1元的整数倍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GS份额:100元/100元的整数倍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S1份额:100元/100元的整数倍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U份额:100元/100元的整数倍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L份额:1,000,000元/10,000元的整数倍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Z份额:100元/100元的整数倍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Z1份额:10,000元/1元的整数倍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Z2份额:500,000元/10,000元的整数倍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ZA份额:100元/100元的整数倍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ZF份额:100元/100元的整数倍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ZF2份额:1000元/1000元的整数倍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ZF3份额:100元/100元的整数倍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ZF4份额:1000元/1000元的整数倍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ZF5份额:100元/100元的整数倍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ZJ份额:100元/100元的整数倍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ZL份额:个人投资者：500,000元/10,000元的整数倍,机构投资者：30,000,000元/10,000元的整数倍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天府·优选份额:100元/100元的整数倍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芙蓉锦程·优选份额:1元/1元的整数倍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芙蓉锦程·优选-尊享款份额:1元/1元的整数倍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ZN份额:100元/100元的整数倍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ZQ份额:100元/100元的整数倍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ZC份额:10,000元/1元的整数倍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ZK份额:个人投资者：500,000元/10,000元的整数倍,机构投资者：30,000,000元/10,000元的整数倍</w:t>
            </w:r>
          </w:p>
          <w:p>
            <w:pPr>
              <w:keepNext w:val="0"/>
              <w:keepLines w:val="0"/>
              <w:pageBreakBefore w:val="0"/>
              <w:widowControl w:val="0"/>
              <w:wordWrap/>
              <w:topLinePunct w:val="0"/>
              <w:bidi w:val="0"/>
              <w:snapToGrid/>
              <w:spacing w:line="0" w:lineRule="atLeast"/>
              <w:ind w:left="0" w:leftChars="0" w:right="0" w:rightChars="0"/>
              <w:jc w:val="left"/>
              <w:textAlignment w:val="auto"/>
              <w:rPr>
                <w:rFonts w:hint="eastAsia" w:ascii="楷体" w:hAnsi="楷体" w:eastAsia="楷体" w:cs="宋体"/>
                <w:spacing w:val="-2"/>
                <w:sz w:val="18"/>
                <w:szCs w:val="18"/>
                <w:highlight w:val="none"/>
                <w:lang w:eastAsia="zh-CN"/>
              </w:rPr>
            </w:pPr>
            <w:r>
              <w:rPr>
                <w:rFonts w:hint="eastAsia" w:ascii="楷体" w:hAnsi="楷体" w:eastAsia="楷体"/>
                <w:sz w:val="18"/>
                <w:szCs w:val="18"/>
                <w:highlight w:val="none"/>
              </w:rPr>
              <w:t>苏银理财有权对上述起点金额和</w:t>
            </w:r>
            <w:r>
              <w:rPr>
                <w:rFonts w:hint="eastAsia" w:ascii="楷体" w:hAnsi="楷体" w:eastAsia="楷体"/>
                <w:sz w:val="18"/>
                <w:szCs w:val="18"/>
                <w:highlight w:val="none"/>
                <w:lang w:val="en-US" w:eastAsia="zh-CN"/>
              </w:rPr>
              <w:t>追加</w:t>
            </w:r>
            <w:r>
              <w:rPr>
                <w:rFonts w:hint="eastAsia" w:ascii="楷体" w:hAnsi="楷体" w:eastAsia="楷体"/>
                <w:sz w:val="18"/>
                <w:szCs w:val="18"/>
                <w:highlight w:val="none"/>
              </w:rPr>
              <w:t>金额进行调整，并在调整前进行公告。</w:t>
            </w:r>
            <w:r>
              <w:rPr>
                <w:rFonts w:hint="eastAsia" w:ascii="楷体" w:hAnsi="楷体" w:eastAsia="楷体"/>
                <w:sz w:val="18"/>
                <w:szCs w:val="18"/>
                <w:highlight w:val="none"/>
                <w:lang w:eastAsia="zh-CN"/>
              </w:rPr>
              <w:t>（</w:t>
            </w:r>
            <w:r>
              <w:rPr>
                <w:rFonts w:hint="eastAsia" w:ascii="楷体" w:hAnsi="楷体" w:eastAsia="楷体"/>
                <w:sz w:val="18"/>
                <w:szCs w:val="18"/>
                <w:highlight w:val="none"/>
              </w:rPr>
              <w:t>具体以销售机构设置为准。</w:t>
            </w:r>
            <w:r>
              <w:rPr>
                <w:rFonts w:hint="eastAsia" w:ascii="楷体" w:hAnsi="楷体" w:eastAsia="楷体"/>
                <w:sz w:val="18"/>
                <w:szCs w:val="18"/>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0" w:hRule="atLeast"/>
          <w:jc w:val="center"/>
        </w:trPr>
        <w:tc>
          <w:tcPr>
            <w:tcW w:w="1701" w:type="dxa"/>
            <w:noWrap w:val="0"/>
            <w:vAlign w:val="center"/>
          </w:tcPr>
          <w:p>
            <w:pPr>
              <w:pStyle w:val="34"/>
              <w:keepNext w:val="0"/>
              <w:keepLines w:val="0"/>
              <w:pageBreakBefore w:val="0"/>
              <w:widowControl w:val="0"/>
              <w:kinsoku w:val="0"/>
              <w:wordWrap/>
              <w:overflowPunct w:val="0"/>
              <w:topLinePunct w:val="0"/>
              <w:bidi w:val="0"/>
              <w:snapToGrid/>
              <w:spacing w:before="0" w:line="0" w:lineRule="atLeast"/>
              <w:ind w:left="0" w:leftChars="0"/>
              <w:jc w:val="both"/>
              <w:textAlignment w:val="auto"/>
              <w:rPr>
                <w:rFonts w:hint="eastAsia" w:ascii="楷体" w:hAnsi="楷体" w:eastAsia="楷体" w:cs="宋体"/>
                <w:b/>
                <w:spacing w:val="-2"/>
                <w:sz w:val="18"/>
                <w:szCs w:val="18"/>
                <w:highlight w:val="none"/>
              </w:rPr>
            </w:pPr>
            <w:r>
              <w:rPr>
                <w:rFonts w:hint="eastAsia" w:ascii="楷体" w:hAnsi="楷体" w:eastAsia="楷体" w:cs="宋体"/>
                <w:b/>
                <w:spacing w:val="-2"/>
                <w:sz w:val="18"/>
                <w:szCs w:val="18"/>
                <w:highlight w:val="none"/>
              </w:rPr>
              <w:t>募集期</w:t>
            </w:r>
          </w:p>
        </w:tc>
        <w:tc>
          <w:tcPr>
            <w:tcW w:w="7937" w:type="dxa"/>
            <w:noWrap w:val="0"/>
            <w:vAlign w:val="center"/>
          </w:tcPr>
          <w:p>
            <w:pPr>
              <w:pStyle w:val="34"/>
              <w:keepNext w:val="0"/>
              <w:keepLines w:val="0"/>
              <w:pageBreakBefore w:val="0"/>
              <w:widowControl w:val="0"/>
              <w:kinsoku w:val="0"/>
              <w:wordWrap/>
              <w:overflowPunct w:val="0"/>
              <w:topLinePunct w:val="0"/>
              <w:bidi w:val="0"/>
              <w:snapToGrid/>
              <w:spacing w:line="0" w:lineRule="atLeast"/>
              <w:ind w:left="0" w:leftChars="0" w:right="0" w:rightChars="0"/>
              <w:jc w:val="both"/>
              <w:textAlignment w:val="auto"/>
              <w:rPr>
                <w:rFonts w:hint="eastAsia" w:ascii="楷体" w:hAnsi="楷体" w:eastAsia="楷体" w:cs="宋体"/>
                <w:spacing w:val="-2"/>
                <w:sz w:val="18"/>
                <w:szCs w:val="18"/>
                <w:highlight w:val="none"/>
              </w:rPr>
            </w:pPr>
            <w:r>
              <w:rPr>
                <w:rFonts w:hint="eastAsia" w:ascii="楷体" w:hAnsi="楷体" w:eastAsia="楷体" w:cs="宋体"/>
                <w:spacing w:val="-2"/>
                <w:sz w:val="18"/>
                <w:szCs w:val="18"/>
                <w:highlight w:val="none"/>
                <w:lang w:val="en-US" w:eastAsia="zh-CN"/>
              </w:rPr>
              <w:t>2021年6月23日至2021年6月29日</w:t>
            </w:r>
            <w:r>
              <w:rPr>
                <w:rFonts w:hint="eastAsia" w:ascii="楷体" w:hAnsi="楷体" w:eastAsia="楷体" w:cs="宋体"/>
                <w:spacing w:val="-2"/>
                <w:sz w:val="18"/>
                <w:szCs w:val="18"/>
                <w:highlight w:val="none"/>
                <w:lang w:eastAsia="zh-CN"/>
              </w:rPr>
              <w:t>。</w:t>
            </w:r>
            <w:r>
              <w:rPr>
                <w:rFonts w:hint="eastAsia" w:ascii="楷体" w:hAnsi="楷体" w:eastAsia="楷体" w:cs="宋体"/>
                <w:spacing w:val="-2"/>
                <w:sz w:val="18"/>
                <w:szCs w:val="18"/>
                <w:highlight w:val="none"/>
              </w:rPr>
              <w:t>投资者可于募集期结束日交易闭市前撤销认购申请，该时点后不得撤销，募集期结束日交易闭市时间具体以销售机构设置为准。管理人在法律允许的范围内保留延长募集期或缩短募集期的权利。如有变动，实际产品募集期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1701" w:type="dxa"/>
            <w:noWrap w:val="0"/>
            <w:vAlign w:val="center"/>
          </w:tcPr>
          <w:p>
            <w:pPr>
              <w:pStyle w:val="34"/>
              <w:keepNext w:val="0"/>
              <w:keepLines w:val="0"/>
              <w:pageBreakBefore w:val="0"/>
              <w:widowControl w:val="0"/>
              <w:kinsoku w:val="0"/>
              <w:wordWrap/>
              <w:overflowPunct w:val="0"/>
              <w:topLinePunct w:val="0"/>
              <w:autoSpaceDE w:val="0"/>
              <w:autoSpaceDN w:val="0"/>
              <w:bidi w:val="0"/>
              <w:adjustRightInd w:val="0"/>
              <w:spacing w:line="0" w:lineRule="atLeast"/>
              <w:jc w:val="both"/>
              <w:textAlignment w:val="auto"/>
              <w:rPr>
                <w:rFonts w:hint="eastAsia" w:ascii="楷体" w:hAnsi="楷体" w:eastAsia="楷体" w:cs="宋体"/>
                <w:b/>
                <w:spacing w:val="-2"/>
                <w:sz w:val="18"/>
                <w:szCs w:val="18"/>
                <w:highlight w:val="none"/>
              </w:rPr>
            </w:pPr>
            <w:r>
              <w:rPr>
                <w:rFonts w:hint="eastAsia" w:ascii="楷体" w:hAnsi="楷体" w:eastAsia="楷体" w:cs="宋体"/>
                <w:b/>
                <w:spacing w:val="-2"/>
                <w:sz w:val="18"/>
                <w:szCs w:val="18"/>
                <w:highlight w:val="none"/>
              </w:rPr>
              <w:t>产品成立日</w:t>
            </w:r>
          </w:p>
        </w:tc>
        <w:tc>
          <w:tcPr>
            <w:tcW w:w="7937" w:type="dxa"/>
            <w:noWrap w:val="0"/>
            <w:vAlign w:val="center"/>
          </w:tcPr>
          <w:p>
            <w:pPr>
              <w:pStyle w:val="34"/>
              <w:keepNext w:val="0"/>
              <w:keepLines w:val="0"/>
              <w:pageBreakBefore w:val="0"/>
              <w:widowControl w:val="0"/>
              <w:kinsoku w:val="0"/>
              <w:wordWrap/>
              <w:overflowPunct w:val="0"/>
              <w:topLinePunct w:val="0"/>
              <w:bidi w:val="0"/>
              <w:snapToGrid/>
              <w:spacing w:line="0" w:lineRule="atLeast"/>
              <w:ind w:left="0" w:leftChars="0" w:right="0" w:rightChars="0"/>
              <w:textAlignment w:val="auto"/>
              <w:rPr>
                <w:rFonts w:hint="eastAsia" w:ascii="楷体" w:hAnsi="楷体" w:eastAsia="楷体" w:cs="宋体"/>
                <w:spacing w:val="-2"/>
                <w:sz w:val="18"/>
                <w:szCs w:val="18"/>
                <w:highlight w:val="none"/>
              </w:rPr>
            </w:pPr>
            <w:r>
              <w:rPr>
                <w:rFonts w:hint="eastAsia" w:ascii="楷体" w:hAnsi="楷体" w:eastAsia="楷体" w:cs="宋体"/>
                <w:spacing w:val="-2"/>
                <w:sz w:val="18"/>
                <w:szCs w:val="18"/>
                <w:highlight w:val="none"/>
                <w:lang w:val="en-US" w:eastAsia="zh-CN"/>
              </w:rPr>
              <w:t>2021年6月30日</w:t>
            </w:r>
            <w:r>
              <w:rPr>
                <w:rFonts w:hint="eastAsia" w:ascii="楷体" w:hAnsi="楷体" w:eastAsia="楷体" w:cs="宋体"/>
                <w:spacing w:val="-2"/>
                <w:sz w:val="18"/>
                <w:szCs w:val="18"/>
                <w:highlight w:val="none"/>
                <w:lang w:eastAsia="zh-CN"/>
              </w:rPr>
              <w:t>。</w:t>
            </w:r>
            <w:r>
              <w:rPr>
                <w:rFonts w:hint="eastAsia" w:ascii="楷体" w:hAnsi="楷体" w:eastAsia="楷体" w:cs="宋体"/>
                <w:spacing w:val="-2"/>
                <w:sz w:val="18"/>
                <w:szCs w:val="18"/>
                <w:highlight w:val="none"/>
              </w:rPr>
              <w:t>如管理人调整募集期，则产品成立日将相应调整，以管理人公告为准。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5" w:hRule="atLeast"/>
          <w:jc w:val="center"/>
        </w:trPr>
        <w:tc>
          <w:tcPr>
            <w:tcW w:w="1701" w:type="dxa"/>
            <w:noWrap w:val="0"/>
            <w:vAlign w:val="center"/>
          </w:tcPr>
          <w:p>
            <w:pPr>
              <w:pStyle w:val="34"/>
              <w:keepNext w:val="0"/>
              <w:keepLines w:val="0"/>
              <w:pageBreakBefore w:val="0"/>
              <w:widowControl w:val="0"/>
              <w:kinsoku w:val="0"/>
              <w:wordWrap/>
              <w:overflowPunct w:val="0"/>
              <w:topLinePunct w:val="0"/>
              <w:autoSpaceDE w:val="0"/>
              <w:autoSpaceDN w:val="0"/>
              <w:bidi w:val="0"/>
              <w:adjustRightInd w:val="0"/>
              <w:snapToGrid/>
              <w:spacing w:before="0" w:line="0" w:lineRule="atLeast"/>
              <w:ind w:left="0" w:leftChars="0"/>
              <w:jc w:val="both"/>
              <w:textAlignment w:val="auto"/>
              <w:rPr>
                <w:rFonts w:hint="eastAsia" w:ascii="楷体" w:hAnsi="楷体" w:eastAsia="楷体" w:cs="宋体"/>
                <w:b/>
                <w:color w:val="auto"/>
                <w:spacing w:val="-2"/>
                <w:sz w:val="18"/>
                <w:szCs w:val="18"/>
                <w:highlight w:val="none"/>
                <w:lang w:val="en-US" w:eastAsia="zh-CN"/>
              </w:rPr>
            </w:pPr>
            <w:r>
              <w:rPr>
                <w:rFonts w:hint="eastAsia" w:ascii="楷体" w:hAnsi="楷体" w:eastAsia="楷体" w:cs="宋体"/>
                <w:b/>
                <w:color w:val="auto"/>
                <w:spacing w:val="-2"/>
                <w:sz w:val="18"/>
                <w:szCs w:val="18"/>
                <w:highlight w:val="none"/>
              </w:rPr>
              <w:t>产品</w:t>
            </w:r>
            <w:r>
              <w:rPr>
                <w:rFonts w:hint="eastAsia" w:ascii="楷体" w:hAnsi="楷体" w:eastAsia="楷体" w:cs="宋体"/>
                <w:b/>
                <w:color w:val="auto"/>
                <w:spacing w:val="-2"/>
                <w:sz w:val="18"/>
                <w:szCs w:val="18"/>
                <w:highlight w:val="none"/>
                <w:lang w:val="en-US" w:eastAsia="zh-CN"/>
              </w:rPr>
              <w:t>终止日/</w:t>
            </w:r>
          </w:p>
          <w:p>
            <w:pPr>
              <w:pStyle w:val="34"/>
              <w:keepNext w:val="0"/>
              <w:keepLines w:val="0"/>
              <w:pageBreakBefore w:val="0"/>
              <w:widowControl w:val="0"/>
              <w:kinsoku w:val="0"/>
              <w:wordWrap/>
              <w:overflowPunct w:val="0"/>
              <w:topLinePunct w:val="0"/>
              <w:bidi w:val="0"/>
              <w:snapToGrid/>
              <w:spacing w:before="0" w:line="0" w:lineRule="atLeast"/>
              <w:ind w:left="0" w:leftChars="0"/>
              <w:jc w:val="both"/>
              <w:textAlignment w:val="auto"/>
              <w:rPr>
                <w:rFonts w:hint="eastAsia" w:ascii="楷体" w:hAnsi="楷体" w:eastAsia="楷体" w:cs="宋体"/>
                <w:b/>
                <w:spacing w:val="-2"/>
                <w:sz w:val="18"/>
                <w:szCs w:val="18"/>
                <w:highlight w:val="none"/>
              </w:rPr>
            </w:pPr>
            <w:r>
              <w:rPr>
                <w:rFonts w:hint="eastAsia" w:ascii="楷体" w:hAnsi="楷体" w:eastAsia="楷体" w:cs="宋体"/>
                <w:b/>
                <w:color w:val="auto"/>
                <w:spacing w:val="-2"/>
                <w:sz w:val="18"/>
                <w:szCs w:val="18"/>
                <w:highlight w:val="none"/>
              </w:rPr>
              <w:t>到期日</w:t>
            </w:r>
          </w:p>
        </w:tc>
        <w:tc>
          <w:tcPr>
            <w:tcW w:w="7937" w:type="dxa"/>
            <w:noWrap w:val="0"/>
            <w:vAlign w:val="center"/>
          </w:tcPr>
          <w:p>
            <w:pPr>
              <w:pStyle w:val="34"/>
              <w:keepNext w:val="0"/>
              <w:keepLines w:val="0"/>
              <w:pageBreakBefore w:val="0"/>
              <w:widowControl w:val="0"/>
              <w:kinsoku w:val="0"/>
              <w:wordWrap/>
              <w:overflowPunct w:val="0"/>
              <w:topLinePunct w:val="0"/>
              <w:bidi w:val="0"/>
              <w:snapToGrid/>
              <w:spacing w:line="0" w:lineRule="atLeast"/>
              <w:ind w:left="0" w:leftChars="0" w:right="0" w:rightChars="0"/>
              <w:jc w:val="both"/>
              <w:textAlignment w:val="auto"/>
              <w:rPr>
                <w:rFonts w:hint="eastAsia" w:ascii="楷体" w:hAnsi="楷体" w:eastAsia="楷体" w:cs="宋体"/>
                <w:spacing w:val="-2"/>
                <w:sz w:val="18"/>
                <w:szCs w:val="18"/>
                <w:highlight w:val="none"/>
              </w:rPr>
            </w:pPr>
            <w:r>
              <w:rPr>
                <w:rFonts w:hint="eastAsia" w:ascii="楷体" w:hAnsi="楷体" w:eastAsia="楷体" w:cs="宋体"/>
                <w:color w:val="auto"/>
                <w:spacing w:val="-2"/>
                <w:sz w:val="18"/>
                <w:szCs w:val="18"/>
                <w:highlight w:val="none"/>
                <w:lang w:val="en-US" w:eastAsia="zh-CN"/>
              </w:rPr>
              <w:t>2031年7月1日</w:t>
            </w:r>
            <w:r>
              <w:rPr>
                <w:rFonts w:hint="eastAsia" w:ascii="楷体" w:hAnsi="楷体" w:eastAsia="楷体" w:cs="宋体"/>
                <w:color w:val="auto"/>
                <w:spacing w:val="-2"/>
                <w:sz w:val="18"/>
                <w:szCs w:val="18"/>
                <w:highlight w:val="none"/>
                <w:lang w:eastAsia="zh-CN"/>
              </w:rPr>
              <w:t>，</w:t>
            </w:r>
            <w:r>
              <w:rPr>
                <w:rFonts w:hint="eastAsia" w:ascii="楷体" w:hAnsi="楷体" w:eastAsia="楷体" w:cs="宋体"/>
                <w:color w:val="auto"/>
                <w:spacing w:val="-2"/>
                <w:sz w:val="18"/>
                <w:szCs w:val="18"/>
                <w:highlight w:val="none"/>
              </w:rPr>
              <w:t>如遇节假日，顺延至下一工作日</w:t>
            </w:r>
            <w:r>
              <w:rPr>
                <w:rFonts w:hint="eastAsia" w:ascii="楷体" w:hAnsi="楷体" w:eastAsia="楷体" w:cs="宋体"/>
                <w:color w:val="auto"/>
                <w:spacing w:val="-2"/>
                <w:sz w:val="18"/>
                <w:szCs w:val="18"/>
                <w:highlight w:val="none"/>
                <w:lang w:eastAsia="zh-CN"/>
              </w:rPr>
              <w:t>。</w:t>
            </w:r>
            <w:r>
              <w:rPr>
                <w:rFonts w:hint="eastAsia" w:ascii="楷体" w:hAnsi="楷体" w:eastAsia="楷体" w:cs="宋体"/>
                <w:color w:val="auto"/>
                <w:spacing w:val="-2"/>
                <w:sz w:val="18"/>
                <w:szCs w:val="18"/>
                <w:highlight w:val="none"/>
              </w:rPr>
              <w:t>在符合产品说明书约定的条件下，管理人有权</w:t>
            </w:r>
            <w:r>
              <w:rPr>
                <w:rFonts w:hint="eastAsia" w:ascii="楷体" w:hAnsi="楷体" w:eastAsia="楷体" w:cs="宋体"/>
                <w:color w:val="auto"/>
                <w:spacing w:val="-2"/>
                <w:sz w:val="18"/>
                <w:szCs w:val="18"/>
                <w:highlight w:val="none"/>
                <w:lang w:val="en-US" w:eastAsia="zh-CN"/>
              </w:rPr>
              <w:t>调整产品到期日</w:t>
            </w:r>
            <w:r>
              <w:rPr>
                <w:rFonts w:hint="eastAsia" w:ascii="楷体" w:hAnsi="楷体" w:eastAsia="楷体" w:cs="宋体"/>
                <w:color w:val="auto"/>
                <w:spacing w:val="-2"/>
                <w:sz w:val="18"/>
                <w:szCs w:val="18"/>
                <w:highlight w:val="none"/>
              </w:rPr>
              <w:t>，产品到期日受制于提前终止</w:t>
            </w:r>
            <w:r>
              <w:rPr>
                <w:rFonts w:hint="eastAsia" w:ascii="楷体" w:hAnsi="楷体" w:eastAsia="楷体" w:cs="宋体"/>
                <w:color w:val="auto"/>
                <w:spacing w:val="-2"/>
                <w:sz w:val="18"/>
                <w:szCs w:val="18"/>
                <w:highlight w:val="none"/>
                <w:lang w:eastAsia="zh-CN"/>
              </w:rPr>
              <w:t>、</w:t>
            </w:r>
            <w:r>
              <w:rPr>
                <w:rFonts w:hint="eastAsia" w:ascii="楷体" w:hAnsi="楷体" w:eastAsia="楷体" w:cs="宋体"/>
                <w:color w:val="auto"/>
                <w:spacing w:val="-2"/>
                <w:sz w:val="18"/>
                <w:szCs w:val="18"/>
                <w:highlight w:val="none"/>
                <w:lang w:val="en-US" w:eastAsia="zh-CN"/>
              </w:rPr>
              <w:t>延期终止</w:t>
            </w:r>
            <w:r>
              <w:rPr>
                <w:rFonts w:hint="eastAsia" w:ascii="楷体" w:hAnsi="楷体" w:eastAsia="楷体" w:cs="宋体"/>
                <w:color w:val="auto"/>
                <w:spacing w:val="-2"/>
                <w:sz w:val="18"/>
                <w:szCs w:val="18"/>
                <w:highlight w:val="none"/>
              </w:rPr>
              <w:t>条款。详见下文“产品终止”。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701" w:type="dxa"/>
            <w:noWrap w:val="0"/>
            <w:vAlign w:val="center"/>
          </w:tcPr>
          <w:p>
            <w:pPr>
              <w:pStyle w:val="34"/>
              <w:keepNext w:val="0"/>
              <w:keepLines w:val="0"/>
              <w:pageBreakBefore w:val="0"/>
              <w:widowControl w:val="0"/>
              <w:kinsoku w:val="0"/>
              <w:wordWrap/>
              <w:overflowPunct w:val="0"/>
              <w:topLinePunct w:val="0"/>
              <w:bidi w:val="0"/>
              <w:snapToGrid/>
              <w:spacing w:before="0" w:line="0" w:lineRule="atLeast"/>
              <w:ind w:left="0" w:leftChars="0"/>
              <w:jc w:val="both"/>
              <w:textAlignment w:val="auto"/>
              <w:rPr>
                <w:rFonts w:hint="eastAsia" w:ascii="楷体" w:hAnsi="楷体" w:eastAsia="楷体" w:cs="宋体"/>
                <w:b/>
                <w:spacing w:val="-2"/>
                <w:sz w:val="18"/>
                <w:szCs w:val="18"/>
                <w:highlight w:val="none"/>
              </w:rPr>
            </w:pPr>
            <w:r>
              <w:rPr>
                <w:rFonts w:hint="eastAsia" w:ascii="楷体" w:hAnsi="楷体" w:eastAsia="楷体" w:cs="宋体"/>
                <w:b/>
                <w:spacing w:val="-2"/>
                <w:sz w:val="18"/>
                <w:szCs w:val="18"/>
                <w:highlight w:val="none"/>
              </w:rPr>
              <w:t>开放计划</w:t>
            </w:r>
          </w:p>
        </w:tc>
        <w:tc>
          <w:tcPr>
            <w:tcW w:w="7937" w:type="dxa"/>
            <w:noWrap w:val="0"/>
            <w:vAlign w:val="center"/>
          </w:tcPr>
          <w:p>
            <w:pPr>
              <w:pStyle w:val="34"/>
              <w:keepNext w:val="0"/>
              <w:keepLines w:val="0"/>
              <w:pageBreakBefore w:val="0"/>
              <w:widowControl w:val="0"/>
              <w:numPr>
                <w:ilvl w:val="0"/>
                <w:numId w:val="0"/>
              </w:numPr>
              <w:kinsoku w:val="0"/>
              <w:wordWrap/>
              <w:overflowPunct w:val="0"/>
              <w:topLinePunct w:val="0"/>
              <w:bidi w:val="0"/>
              <w:snapToGrid/>
              <w:spacing w:line="0" w:lineRule="atLeast"/>
              <w:ind w:left="0" w:leftChars="0" w:right="0" w:rightChars="0"/>
              <w:jc w:val="both"/>
              <w:textAlignment w:val="auto"/>
              <w:rPr>
                <w:rFonts w:hint="eastAsia" w:ascii="楷体" w:hAnsi="楷体" w:eastAsia="楷体" w:cs="宋体"/>
                <w:b/>
                <w:bCs/>
                <w:spacing w:val="-2"/>
                <w:sz w:val="18"/>
                <w:szCs w:val="18"/>
                <w:highlight w:val="none"/>
                <w:u w:val="single"/>
                <w:lang w:val="en-US" w:eastAsia="zh-CN"/>
              </w:rPr>
            </w:pPr>
            <w:r>
              <w:rPr>
                <w:rFonts w:hint="eastAsia" w:ascii="楷体" w:hAnsi="楷体" w:eastAsia="楷体" w:cs="宋体"/>
                <w:spacing w:val="-2"/>
                <w:sz w:val="18"/>
                <w:szCs w:val="18"/>
                <w:highlight w:val="none"/>
                <w:lang w:val="en-US" w:eastAsia="zh-CN"/>
              </w:rPr>
              <w:t>本产品</w:t>
            </w:r>
            <w:r>
              <w:rPr>
                <w:rFonts w:hint="eastAsia" w:ascii="楷体" w:hAnsi="楷体" w:eastAsia="楷体" w:cs="宋体"/>
                <w:spacing w:val="-2"/>
                <w:sz w:val="18"/>
                <w:szCs w:val="18"/>
                <w:highlight w:val="none"/>
              </w:rPr>
              <w:t>按投资周期开放申购与赎回，</w:t>
            </w:r>
            <w:r>
              <w:rPr>
                <w:rFonts w:hint="eastAsia" w:ascii="楷体" w:hAnsi="楷体" w:eastAsia="楷体" w:cs="宋体"/>
                <w:spacing w:val="-2"/>
                <w:sz w:val="18"/>
                <w:szCs w:val="18"/>
                <w:highlight w:val="none"/>
                <w:lang w:val="en-US" w:eastAsia="zh-CN"/>
              </w:rPr>
              <w:t>最新投资周期（2026年9月2日-2027年9月23日）开放申购与赎回时间为：2026年8月24日至2026年9月1日</w:t>
            </w:r>
            <w:r>
              <w:rPr>
                <w:rFonts w:hint="eastAsia" w:ascii="楷体" w:hAnsi="楷体" w:eastAsia="楷体" w:cs="宋体"/>
                <w:b w:val="0"/>
                <w:bCs w:val="0"/>
                <w:spacing w:val="-2"/>
                <w:sz w:val="18"/>
                <w:szCs w:val="18"/>
                <w:highlight w:val="none"/>
                <w:lang w:val="en-US" w:eastAsia="zh-CN"/>
              </w:rPr>
              <w:t>（</w:t>
            </w:r>
            <w:r>
              <w:rPr>
                <w:rFonts w:hint="eastAsia" w:ascii="楷体" w:hAnsi="楷体" w:eastAsia="楷体" w:cs="宋体"/>
                <w:b w:val="0"/>
                <w:bCs w:val="0"/>
                <w:spacing w:val="-2"/>
                <w:sz w:val="18"/>
                <w:szCs w:val="18"/>
                <w:highlight w:val="none"/>
              </w:rPr>
              <w:t>以各销售机构设置的时间为准</w:t>
            </w:r>
            <w:r>
              <w:rPr>
                <w:rFonts w:hint="eastAsia" w:ascii="楷体" w:hAnsi="楷体" w:eastAsia="楷体" w:cs="宋体"/>
                <w:b w:val="0"/>
                <w:bCs w:val="0"/>
                <w:spacing w:val="-2"/>
                <w:sz w:val="18"/>
                <w:szCs w:val="18"/>
                <w:highlight w:val="none"/>
                <w:lang w:val="en-US" w:eastAsia="zh-CN"/>
              </w:rPr>
              <w:t>）</w:t>
            </w:r>
            <w:r>
              <w:rPr>
                <w:rFonts w:hint="eastAsia" w:ascii="楷体" w:hAnsi="楷体" w:eastAsia="楷体" w:cs="宋体"/>
                <w:b/>
                <w:bCs/>
                <w:spacing w:val="-2"/>
                <w:sz w:val="18"/>
                <w:szCs w:val="18"/>
                <w:highlight w:val="none"/>
                <w:lang w:val="en-US" w:eastAsia="zh-CN"/>
              </w:rPr>
              <w:t>。</w:t>
            </w:r>
            <w:r>
              <w:rPr>
                <w:rFonts w:hint="eastAsia" w:ascii="楷体" w:hAnsi="楷体" w:eastAsia="楷体" w:cs="宋体"/>
                <w:spacing w:val="-2"/>
                <w:sz w:val="18"/>
                <w:szCs w:val="18"/>
                <w:highlight w:val="none"/>
              </w:rPr>
              <w:t>投资者可在</w:t>
            </w:r>
            <w:r>
              <w:rPr>
                <w:rFonts w:hint="eastAsia" w:ascii="楷体" w:hAnsi="楷体" w:eastAsia="楷体" w:cs="宋体"/>
                <w:spacing w:val="-2"/>
                <w:sz w:val="18"/>
                <w:szCs w:val="18"/>
                <w:highlight w:val="none"/>
                <w:lang w:val="en-US" w:eastAsia="zh-CN"/>
              </w:rPr>
              <w:t>此期间提交申购/赎回申请，</w:t>
            </w:r>
            <w:r>
              <w:rPr>
                <w:rFonts w:hint="eastAsia" w:ascii="楷体" w:hAnsi="楷体" w:eastAsia="楷体" w:cs="宋体"/>
                <w:b w:val="0"/>
                <w:bCs w:val="0"/>
                <w:spacing w:val="-2"/>
                <w:sz w:val="18"/>
                <w:szCs w:val="18"/>
                <w:highlight w:val="none"/>
                <w:lang w:val="en-US" w:eastAsia="zh-CN"/>
              </w:rPr>
              <w:t>投资者</w:t>
            </w:r>
            <w:r>
              <w:rPr>
                <w:rFonts w:hint="eastAsia" w:ascii="楷体" w:hAnsi="楷体" w:eastAsia="楷体" w:cs="宋体"/>
                <w:spacing w:val="-2"/>
                <w:sz w:val="18"/>
                <w:szCs w:val="18"/>
                <w:highlight w:val="none"/>
              </w:rPr>
              <w:t>未赎回的部分自动进入下一个投资周期</w:t>
            </w:r>
            <w:r>
              <w:rPr>
                <w:rFonts w:hint="eastAsia" w:ascii="楷体" w:hAnsi="楷体" w:eastAsia="楷体" w:cs="宋体"/>
                <w:spacing w:val="-2"/>
                <w:sz w:val="18"/>
                <w:szCs w:val="18"/>
                <w:highlight w:val="none"/>
                <w:lang w:eastAsia="zh-CN"/>
              </w:rPr>
              <w:t>。</w:t>
            </w:r>
            <w:r>
              <w:rPr>
                <w:rFonts w:hint="eastAsia" w:ascii="楷体" w:hAnsi="楷体" w:eastAsia="楷体" w:cs="宋体"/>
                <w:b/>
                <w:bCs/>
                <w:color w:val="auto"/>
                <w:spacing w:val="-2"/>
                <w:sz w:val="18"/>
                <w:szCs w:val="18"/>
                <w:highlight w:val="none"/>
                <w:lang w:val="en-US" w:eastAsia="zh-CN"/>
              </w:rPr>
              <w:t>(其中ZA份额/ZF份额/ZF2份额/ZF3份额/ZF4份额/ZF5份额/ZJ份额/ZL份额/ZN份额/ZQ份额/ZC份额/ZK份额/</w:t>
            </w:r>
            <w:r>
              <w:rPr>
                <w:rFonts w:hint="eastAsia" w:ascii="楷体" w:hAnsi="楷体" w:eastAsia="楷体"/>
                <w:b/>
                <w:bCs/>
                <w:sz w:val="18"/>
                <w:szCs w:val="18"/>
                <w:highlight w:val="none"/>
                <w:lang w:val="en-US" w:eastAsia="zh-CN"/>
              </w:rPr>
              <w:t>天府·优选份额/芙蓉锦程·优选份额/芙蓉锦程·优选-尊享款份额</w:t>
            </w:r>
            <w:r>
              <w:rPr>
                <w:rFonts w:hint="eastAsia" w:ascii="楷体" w:hAnsi="楷体" w:eastAsia="楷体" w:cs="宋体"/>
                <w:b/>
                <w:bCs/>
                <w:color w:val="auto"/>
                <w:spacing w:val="-2"/>
                <w:sz w:val="18"/>
                <w:szCs w:val="18"/>
                <w:highlight w:val="none"/>
                <w:lang w:val="en-US" w:eastAsia="zh-CN"/>
              </w:rPr>
              <w:t>由系统主动发起赎回申请，投资者无须发起赎回申请</w:t>
            </w:r>
            <w:r>
              <w:rPr>
                <w:rFonts w:hint="eastAsia" w:ascii="楷体" w:hAnsi="楷体" w:eastAsia="楷体" w:cs="宋体"/>
                <w:b/>
                <w:bCs/>
                <w:color w:val="auto"/>
                <w:spacing w:val="-2"/>
                <w:sz w:val="18"/>
                <w:szCs w:val="18"/>
                <w:highlight w:val="none"/>
                <w:lang w:eastAsia="zh-CN"/>
              </w:rPr>
              <w:t>。</w:t>
            </w:r>
            <w:r>
              <w:rPr>
                <w:rFonts w:hint="eastAsia" w:ascii="楷体" w:hAnsi="楷体" w:eastAsia="楷体" w:cs="宋体"/>
                <w:b/>
                <w:bCs/>
                <w:color w:val="auto"/>
                <w:spacing w:val="-2"/>
                <w:sz w:val="18"/>
                <w:szCs w:val="18"/>
                <w:highlight w:val="none"/>
                <w:lang w:val="en-US" w:eastAsia="zh-CN"/>
              </w:rPr>
              <w:t>)</w:t>
            </w:r>
            <w:r>
              <w:rPr>
                <w:rFonts w:hint="eastAsia" w:ascii="楷体" w:hAnsi="楷体" w:eastAsia="楷体" w:cs="宋体"/>
                <w:b/>
                <w:bCs/>
                <w:spacing w:val="-2"/>
                <w:sz w:val="18"/>
                <w:szCs w:val="18"/>
                <w:highlight w:val="none"/>
                <w:u w:val="single"/>
              </w:rPr>
              <w:t>除开放计划外的其他时间，管理人不接受投资者申购、赎回申请</w:t>
            </w:r>
            <w:r>
              <w:rPr>
                <w:rFonts w:hint="eastAsia" w:ascii="楷体" w:hAnsi="楷体" w:eastAsia="楷体" w:cs="宋体"/>
                <w:b/>
                <w:bCs/>
                <w:spacing w:val="-2"/>
                <w:sz w:val="18"/>
                <w:szCs w:val="18"/>
                <w:highlight w:val="none"/>
                <w:u w:val="single"/>
                <w:lang w:eastAsia="zh-CN"/>
              </w:rPr>
              <w:t>。</w:t>
            </w:r>
          </w:p>
          <w:p>
            <w:pPr>
              <w:pStyle w:val="34"/>
              <w:keepNext w:val="0"/>
              <w:keepLines w:val="0"/>
              <w:pageBreakBefore w:val="0"/>
              <w:widowControl w:val="0"/>
              <w:kinsoku w:val="0"/>
              <w:wordWrap/>
              <w:overflowPunct w:val="0"/>
              <w:topLinePunct w:val="0"/>
              <w:bidi w:val="0"/>
              <w:snapToGrid/>
              <w:spacing w:line="0" w:lineRule="atLeast"/>
              <w:ind w:left="0" w:leftChars="0" w:right="0" w:rightChars="0"/>
              <w:jc w:val="both"/>
              <w:textAlignment w:val="auto"/>
              <w:rPr>
                <w:rFonts w:hint="eastAsia" w:ascii="楷体" w:hAnsi="楷体" w:eastAsia="楷体" w:cs="宋体"/>
                <w:spacing w:val="-2"/>
                <w:sz w:val="18"/>
                <w:szCs w:val="18"/>
                <w:highlight w:val="none"/>
              </w:rPr>
            </w:pPr>
            <w:r>
              <w:rPr>
                <w:rFonts w:hint="eastAsia" w:ascii="楷体" w:hAnsi="楷体" w:eastAsia="楷体" w:cs="宋体"/>
                <w:spacing w:val="-2"/>
                <w:sz w:val="18"/>
                <w:szCs w:val="18"/>
                <w:highlight w:val="none"/>
              </w:rPr>
              <w:t>管理人有权根据资产运作情况、节假日安排调整开放计划，并在调整前进行公告。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5" w:hRule="atLeast"/>
          <w:jc w:val="center"/>
        </w:trPr>
        <w:tc>
          <w:tcPr>
            <w:tcW w:w="1701" w:type="dxa"/>
            <w:noWrap w:val="0"/>
            <w:vAlign w:val="center"/>
          </w:tcPr>
          <w:p>
            <w:pPr>
              <w:pStyle w:val="34"/>
              <w:keepNext w:val="0"/>
              <w:keepLines w:val="0"/>
              <w:pageBreakBefore w:val="0"/>
              <w:widowControl w:val="0"/>
              <w:kinsoku w:val="0"/>
              <w:wordWrap/>
              <w:overflowPunct w:val="0"/>
              <w:topLinePunct w:val="0"/>
              <w:autoSpaceDE w:val="0"/>
              <w:autoSpaceDN w:val="0"/>
              <w:bidi w:val="0"/>
              <w:adjustRightInd w:val="0"/>
              <w:spacing w:line="0" w:lineRule="atLeast"/>
              <w:ind w:right="0" w:rightChars="0"/>
              <w:jc w:val="both"/>
              <w:textAlignment w:val="auto"/>
              <w:rPr>
                <w:rFonts w:hint="eastAsia" w:ascii="楷体" w:hAnsi="楷体" w:eastAsia="楷体" w:cs="宋体"/>
                <w:b/>
                <w:spacing w:val="-2"/>
                <w:sz w:val="18"/>
                <w:szCs w:val="18"/>
                <w:highlight w:val="none"/>
              </w:rPr>
            </w:pPr>
            <w:r>
              <w:rPr>
                <w:rFonts w:hint="eastAsia" w:ascii="楷体" w:hAnsi="楷体" w:eastAsia="楷体" w:cs="宋体"/>
                <w:b/>
                <w:spacing w:val="-2"/>
                <w:sz w:val="18"/>
                <w:szCs w:val="18"/>
                <w:highlight w:val="none"/>
              </w:rPr>
              <w:t>单个</w:t>
            </w:r>
            <w:r>
              <w:rPr>
                <w:rFonts w:hint="eastAsia" w:ascii="楷体" w:hAnsi="楷体" w:eastAsia="楷体" w:cs="宋体"/>
                <w:b/>
                <w:spacing w:val="-2"/>
                <w:sz w:val="18"/>
                <w:szCs w:val="18"/>
                <w:highlight w:val="none"/>
                <w:lang w:eastAsia="zh-CN"/>
              </w:rPr>
              <w:t>投资者</w:t>
            </w:r>
            <w:r>
              <w:rPr>
                <w:rFonts w:hint="eastAsia" w:ascii="楷体" w:hAnsi="楷体" w:eastAsia="楷体" w:cs="宋体"/>
                <w:b/>
                <w:spacing w:val="-2"/>
                <w:sz w:val="18"/>
                <w:szCs w:val="18"/>
                <w:highlight w:val="none"/>
              </w:rPr>
              <w:t>单笔</w:t>
            </w:r>
            <w:r>
              <w:rPr>
                <w:rFonts w:hint="eastAsia" w:ascii="楷体" w:hAnsi="楷体" w:eastAsia="楷体" w:cs="宋体"/>
                <w:b/>
                <w:spacing w:val="-2"/>
                <w:sz w:val="18"/>
                <w:szCs w:val="18"/>
                <w:highlight w:val="none"/>
                <w:lang w:val="en-US" w:eastAsia="zh-CN"/>
              </w:rPr>
              <w:t>购买</w:t>
            </w:r>
            <w:r>
              <w:rPr>
                <w:rFonts w:hint="eastAsia" w:ascii="楷体" w:hAnsi="楷体" w:eastAsia="楷体" w:cs="宋体"/>
                <w:b/>
                <w:spacing w:val="-2"/>
                <w:sz w:val="18"/>
                <w:szCs w:val="18"/>
                <w:highlight w:val="none"/>
              </w:rPr>
              <w:t>上限</w:t>
            </w:r>
          </w:p>
        </w:tc>
        <w:tc>
          <w:tcPr>
            <w:tcW w:w="7937" w:type="dxa"/>
            <w:noWrap w:val="0"/>
            <w:vAlign w:val="center"/>
          </w:tcPr>
          <w:p>
            <w:pPr>
              <w:pStyle w:val="34"/>
              <w:keepNext w:val="0"/>
              <w:keepLines w:val="0"/>
              <w:pageBreakBefore w:val="0"/>
              <w:widowControl w:val="0"/>
              <w:kinsoku w:val="0"/>
              <w:wordWrap/>
              <w:overflowPunct w:val="0"/>
              <w:topLinePunct w:val="0"/>
              <w:bidi w:val="0"/>
              <w:snapToGrid/>
              <w:spacing w:line="0" w:lineRule="atLeast"/>
              <w:ind w:left="0" w:leftChars="0" w:right="0" w:rightChars="0"/>
              <w:jc w:val="both"/>
              <w:textAlignment w:val="auto"/>
              <w:rPr>
                <w:rFonts w:hint="eastAsia" w:ascii="楷体" w:hAnsi="楷体" w:eastAsia="楷体" w:cs="宋体"/>
                <w:spacing w:val="-2"/>
                <w:kern w:val="0"/>
                <w:sz w:val="18"/>
                <w:szCs w:val="18"/>
                <w:highlight w:val="none"/>
                <w:lang w:val="en-US" w:eastAsia="zh-CN"/>
              </w:rPr>
            </w:pPr>
            <w:r>
              <w:rPr>
                <w:rFonts w:hint="eastAsia" w:ascii="楷体" w:hAnsi="楷体" w:eastAsia="楷体" w:cs="宋体"/>
                <w:spacing w:val="-2"/>
                <w:sz w:val="18"/>
                <w:szCs w:val="18"/>
                <w:highlight w:val="none"/>
                <w:lang w:val="en-US" w:eastAsia="zh-CN"/>
              </w:rPr>
              <w:t>10000万</w:t>
            </w:r>
            <w:r>
              <w:rPr>
                <w:rFonts w:hint="eastAsia" w:ascii="楷体" w:hAnsi="楷体" w:eastAsia="楷体" w:cs="宋体"/>
                <w:spacing w:val="-2"/>
                <w:sz w:val="18"/>
                <w:szCs w:val="18"/>
                <w:highlight w:val="none"/>
              </w:rPr>
              <w:t>元。超过购买上限时，管理人有权拒绝投资者</w:t>
            </w:r>
            <w:r>
              <w:rPr>
                <w:rFonts w:hint="eastAsia" w:ascii="楷体" w:hAnsi="楷体" w:eastAsia="楷体" w:cs="宋体"/>
                <w:spacing w:val="-2"/>
                <w:sz w:val="18"/>
                <w:szCs w:val="18"/>
                <w:highlight w:val="none"/>
                <w:lang w:val="en-US" w:eastAsia="zh-CN"/>
              </w:rPr>
              <w:t>购买</w:t>
            </w:r>
            <w:r>
              <w:rPr>
                <w:rFonts w:hint="eastAsia" w:ascii="楷体" w:hAnsi="楷体" w:eastAsia="楷体" w:cs="宋体"/>
                <w:spacing w:val="-2"/>
                <w:sz w:val="18"/>
                <w:szCs w:val="18"/>
                <w:highlight w:val="none"/>
              </w:rPr>
              <w:t>申请。产品存续期</w:t>
            </w:r>
            <w:r>
              <w:rPr>
                <w:rFonts w:ascii="楷体" w:hAnsi="楷体" w:eastAsia="楷体" w:cs="宋体"/>
                <w:spacing w:val="-2"/>
                <w:sz w:val="18"/>
                <w:szCs w:val="18"/>
                <w:highlight w:val="none"/>
              </w:rPr>
              <w:t>内管理人有权根据实际情况调整</w:t>
            </w:r>
            <w:r>
              <w:rPr>
                <w:rFonts w:hint="eastAsia" w:ascii="楷体" w:hAnsi="楷体" w:eastAsia="楷体" w:cs="宋体"/>
                <w:spacing w:val="-2"/>
                <w:sz w:val="18"/>
                <w:szCs w:val="18"/>
                <w:highlight w:val="none"/>
              </w:rPr>
              <w:t>单个</w:t>
            </w:r>
            <w:r>
              <w:rPr>
                <w:rFonts w:hint="eastAsia" w:ascii="楷体" w:hAnsi="楷体" w:eastAsia="楷体" w:cs="宋体"/>
                <w:spacing w:val="-2"/>
                <w:sz w:val="18"/>
                <w:szCs w:val="18"/>
                <w:highlight w:val="none"/>
                <w:lang w:eastAsia="zh-CN"/>
              </w:rPr>
              <w:t>投资者</w:t>
            </w:r>
            <w:r>
              <w:rPr>
                <w:rFonts w:hint="eastAsia" w:ascii="楷体" w:hAnsi="楷体" w:eastAsia="楷体" w:cs="宋体"/>
                <w:spacing w:val="-2"/>
                <w:sz w:val="18"/>
                <w:szCs w:val="18"/>
                <w:highlight w:val="none"/>
              </w:rPr>
              <w:t>单笔购买上限。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701" w:type="dxa"/>
            <w:noWrap w:val="0"/>
            <w:vAlign w:val="center"/>
          </w:tcPr>
          <w:p>
            <w:pPr>
              <w:pStyle w:val="34"/>
              <w:keepNext w:val="0"/>
              <w:keepLines w:val="0"/>
              <w:pageBreakBefore w:val="0"/>
              <w:widowControl w:val="0"/>
              <w:kinsoku w:val="0"/>
              <w:wordWrap/>
              <w:overflowPunct w:val="0"/>
              <w:topLinePunct w:val="0"/>
              <w:autoSpaceDE w:val="0"/>
              <w:autoSpaceDN w:val="0"/>
              <w:bidi w:val="0"/>
              <w:adjustRightInd w:val="0"/>
              <w:spacing w:line="0" w:lineRule="atLeast"/>
              <w:ind w:right="0" w:rightChars="0"/>
              <w:jc w:val="both"/>
              <w:textAlignment w:val="auto"/>
              <w:rPr>
                <w:rFonts w:hint="eastAsia" w:ascii="楷体" w:hAnsi="楷体" w:eastAsia="楷体" w:cs="宋体"/>
                <w:b/>
                <w:spacing w:val="-2"/>
                <w:sz w:val="18"/>
                <w:szCs w:val="18"/>
                <w:highlight w:val="none"/>
              </w:rPr>
            </w:pPr>
            <w:r>
              <w:rPr>
                <w:rFonts w:hint="eastAsia" w:ascii="楷体" w:hAnsi="楷体" w:eastAsia="楷体" w:cs="宋体"/>
                <w:b/>
                <w:spacing w:val="-2"/>
                <w:sz w:val="18"/>
                <w:szCs w:val="18"/>
                <w:highlight w:val="none"/>
              </w:rPr>
              <w:t>单个</w:t>
            </w:r>
            <w:r>
              <w:rPr>
                <w:rFonts w:hint="eastAsia" w:ascii="楷体" w:hAnsi="楷体" w:eastAsia="楷体" w:cs="宋体"/>
                <w:b/>
                <w:spacing w:val="-2"/>
                <w:sz w:val="18"/>
                <w:szCs w:val="18"/>
                <w:highlight w:val="none"/>
                <w:lang w:eastAsia="zh-CN"/>
              </w:rPr>
              <w:t>投资者</w:t>
            </w:r>
            <w:r>
              <w:rPr>
                <w:rFonts w:hint="eastAsia" w:ascii="楷体" w:hAnsi="楷体" w:eastAsia="楷体" w:cs="宋体"/>
                <w:b/>
                <w:spacing w:val="-2"/>
                <w:sz w:val="18"/>
                <w:szCs w:val="18"/>
                <w:highlight w:val="none"/>
                <w:lang w:val="en-US" w:eastAsia="zh-CN"/>
              </w:rPr>
              <w:t>单笔</w:t>
            </w:r>
            <w:r>
              <w:rPr>
                <w:rFonts w:ascii="楷体" w:hAnsi="楷体" w:eastAsia="楷体" w:cs="宋体"/>
                <w:b/>
                <w:spacing w:val="-2"/>
                <w:sz w:val="18"/>
                <w:szCs w:val="18"/>
                <w:highlight w:val="none"/>
              </w:rPr>
              <w:t>赎回</w:t>
            </w:r>
            <w:r>
              <w:rPr>
                <w:rFonts w:hint="eastAsia" w:ascii="楷体" w:hAnsi="楷体" w:eastAsia="楷体" w:cs="宋体"/>
                <w:b/>
                <w:spacing w:val="-2"/>
                <w:sz w:val="18"/>
                <w:szCs w:val="18"/>
                <w:highlight w:val="none"/>
              </w:rPr>
              <w:t>上限</w:t>
            </w:r>
          </w:p>
        </w:tc>
        <w:tc>
          <w:tcPr>
            <w:tcW w:w="7937" w:type="dxa"/>
            <w:noWrap w:val="0"/>
            <w:vAlign w:val="center"/>
          </w:tcPr>
          <w:p>
            <w:pPr>
              <w:pStyle w:val="34"/>
              <w:keepNext w:val="0"/>
              <w:keepLines w:val="0"/>
              <w:pageBreakBefore w:val="0"/>
              <w:widowControl w:val="0"/>
              <w:kinsoku w:val="0"/>
              <w:wordWrap/>
              <w:overflowPunct w:val="0"/>
              <w:topLinePunct w:val="0"/>
              <w:bidi w:val="0"/>
              <w:snapToGrid/>
              <w:spacing w:line="0" w:lineRule="atLeast"/>
              <w:ind w:left="0" w:leftChars="0" w:right="0" w:rightChars="0"/>
              <w:jc w:val="both"/>
              <w:textAlignment w:val="auto"/>
              <w:rPr>
                <w:rFonts w:hint="eastAsia" w:ascii="楷体" w:hAnsi="楷体" w:eastAsia="楷体" w:cs="宋体"/>
                <w:spacing w:val="-2"/>
                <w:kern w:val="0"/>
                <w:sz w:val="18"/>
                <w:szCs w:val="18"/>
                <w:highlight w:val="none"/>
                <w:lang w:val="en-US" w:eastAsia="zh-CN"/>
              </w:rPr>
            </w:pPr>
            <w:r>
              <w:rPr>
                <w:rFonts w:hint="eastAsia" w:ascii="楷体" w:hAnsi="楷体" w:eastAsia="楷体" w:cs="宋体"/>
                <w:spacing w:val="-2"/>
                <w:sz w:val="18"/>
                <w:szCs w:val="18"/>
                <w:highlight w:val="none"/>
                <w:lang w:val="en-US" w:eastAsia="zh-CN"/>
              </w:rPr>
              <w:t>10000万</w:t>
            </w:r>
            <w:r>
              <w:rPr>
                <w:rFonts w:hint="eastAsia" w:ascii="楷体" w:hAnsi="楷体" w:eastAsia="楷体" w:cs="宋体"/>
                <w:spacing w:val="-2"/>
                <w:sz w:val="18"/>
                <w:szCs w:val="18"/>
                <w:highlight w:val="none"/>
              </w:rPr>
              <w:t>份。超过</w:t>
            </w:r>
            <w:r>
              <w:rPr>
                <w:rFonts w:ascii="楷体" w:hAnsi="楷体" w:eastAsia="楷体" w:cs="宋体"/>
                <w:spacing w:val="-2"/>
                <w:sz w:val="18"/>
                <w:szCs w:val="18"/>
                <w:highlight w:val="none"/>
              </w:rPr>
              <w:t>赎回</w:t>
            </w:r>
            <w:r>
              <w:rPr>
                <w:rFonts w:hint="eastAsia" w:ascii="楷体" w:hAnsi="楷体" w:eastAsia="楷体" w:cs="宋体"/>
                <w:spacing w:val="-2"/>
                <w:sz w:val="18"/>
                <w:szCs w:val="18"/>
                <w:highlight w:val="none"/>
              </w:rPr>
              <w:t>上限时，管理人有权拒绝投资者</w:t>
            </w:r>
            <w:r>
              <w:rPr>
                <w:rFonts w:ascii="楷体" w:hAnsi="楷体" w:eastAsia="楷体" w:cs="宋体"/>
                <w:spacing w:val="-2"/>
                <w:sz w:val="18"/>
                <w:szCs w:val="18"/>
                <w:highlight w:val="none"/>
              </w:rPr>
              <w:t>赎回</w:t>
            </w:r>
            <w:r>
              <w:rPr>
                <w:rFonts w:hint="eastAsia" w:ascii="楷体" w:hAnsi="楷体" w:eastAsia="楷体" w:cs="宋体"/>
                <w:spacing w:val="-2"/>
                <w:sz w:val="18"/>
                <w:szCs w:val="18"/>
                <w:highlight w:val="none"/>
              </w:rPr>
              <w:t>申请。产品存续期</w:t>
            </w:r>
            <w:r>
              <w:rPr>
                <w:rFonts w:ascii="楷体" w:hAnsi="楷体" w:eastAsia="楷体" w:cs="宋体"/>
                <w:spacing w:val="-2"/>
                <w:sz w:val="18"/>
                <w:szCs w:val="18"/>
                <w:highlight w:val="none"/>
              </w:rPr>
              <w:t>内管理人有权根据实际情况调整</w:t>
            </w:r>
            <w:r>
              <w:rPr>
                <w:rFonts w:hint="eastAsia" w:ascii="楷体" w:hAnsi="楷体" w:eastAsia="楷体" w:cs="宋体"/>
                <w:spacing w:val="-2"/>
                <w:sz w:val="18"/>
                <w:szCs w:val="18"/>
                <w:highlight w:val="none"/>
              </w:rPr>
              <w:t>单个</w:t>
            </w:r>
            <w:r>
              <w:rPr>
                <w:rFonts w:hint="eastAsia" w:ascii="楷体" w:hAnsi="楷体" w:eastAsia="楷体" w:cs="宋体"/>
                <w:spacing w:val="-2"/>
                <w:sz w:val="18"/>
                <w:szCs w:val="18"/>
                <w:highlight w:val="none"/>
                <w:lang w:eastAsia="zh-CN"/>
              </w:rPr>
              <w:t>投资者</w:t>
            </w:r>
            <w:r>
              <w:rPr>
                <w:rFonts w:hint="eastAsia" w:ascii="楷体" w:hAnsi="楷体" w:eastAsia="楷体" w:cs="宋体"/>
                <w:spacing w:val="-2"/>
                <w:sz w:val="18"/>
                <w:szCs w:val="18"/>
                <w:highlight w:val="none"/>
              </w:rPr>
              <w:t>单笔赎回上限。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701" w:type="dxa"/>
            <w:noWrap w:val="0"/>
            <w:vAlign w:val="center"/>
          </w:tcPr>
          <w:p>
            <w:pPr>
              <w:pStyle w:val="34"/>
              <w:keepNext w:val="0"/>
              <w:keepLines w:val="0"/>
              <w:pageBreakBefore w:val="0"/>
              <w:widowControl w:val="0"/>
              <w:kinsoku w:val="0"/>
              <w:wordWrap/>
              <w:overflowPunct w:val="0"/>
              <w:topLinePunct w:val="0"/>
              <w:autoSpaceDE w:val="0"/>
              <w:autoSpaceDN w:val="0"/>
              <w:bidi w:val="0"/>
              <w:adjustRightInd w:val="0"/>
              <w:spacing w:line="0" w:lineRule="atLeast"/>
              <w:ind w:right="0" w:rightChars="0"/>
              <w:jc w:val="both"/>
              <w:textAlignment w:val="auto"/>
              <w:rPr>
                <w:rFonts w:hint="eastAsia" w:ascii="楷体" w:hAnsi="楷体" w:eastAsia="楷体" w:cs="宋体"/>
                <w:b/>
                <w:spacing w:val="-2"/>
                <w:sz w:val="18"/>
                <w:szCs w:val="18"/>
                <w:highlight w:val="none"/>
              </w:rPr>
            </w:pPr>
            <w:r>
              <w:rPr>
                <w:rFonts w:hint="eastAsia" w:ascii="楷体" w:hAnsi="楷体" w:eastAsia="楷体" w:cs="宋体"/>
                <w:b/>
                <w:spacing w:val="-2"/>
                <w:sz w:val="18"/>
                <w:szCs w:val="18"/>
                <w:highlight w:val="none"/>
              </w:rPr>
              <w:t>单个</w:t>
            </w:r>
            <w:r>
              <w:rPr>
                <w:rFonts w:hint="eastAsia" w:ascii="楷体" w:hAnsi="楷体" w:eastAsia="楷体" w:cs="宋体"/>
                <w:b/>
                <w:spacing w:val="-2"/>
                <w:sz w:val="18"/>
                <w:szCs w:val="18"/>
                <w:highlight w:val="none"/>
                <w:lang w:eastAsia="zh-CN"/>
              </w:rPr>
              <w:t>投资者</w:t>
            </w:r>
            <w:r>
              <w:rPr>
                <w:rFonts w:hint="eastAsia" w:ascii="楷体" w:hAnsi="楷体" w:eastAsia="楷体" w:cs="宋体"/>
                <w:b/>
                <w:spacing w:val="-2"/>
                <w:sz w:val="18"/>
                <w:szCs w:val="18"/>
                <w:highlight w:val="none"/>
              </w:rPr>
              <w:t>持有比例上限</w:t>
            </w:r>
          </w:p>
        </w:tc>
        <w:tc>
          <w:tcPr>
            <w:tcW w:w="7937" w:type="dxa"/>
            <w:noWrap w:val="0"/>
            <w:vAlign w:val="center"/>
          </w:tcPr>
          <w:p>
            <w:pPr>
              <w:pStyle w:val="34"/>
              <w:keepNext w:val="0"/>
              <w:keepLines w:val="0"/>
              <w:pageBreakBefore w:val="0"/>
              <w:widowControl w:val="0"/>
              <w:kinsoku w:val="0"/>
              <w:wordWrap/>
              <w:overflowPunct w:val="0"/>
              <w:topLinePunct w:val="0"/>
              <w:bidi w:val="0"/>
              <w:snapToGrid/>
              <w:spacing w:line="0" w:lineRule="atLeast"/>
              <w:ind w:left="0" w:leftChars="0" w:right="0" w:rightChars="0"/>
              <w:jc w:val="both"/>
              <w:textAlignment w:val="auto"/>
              <w:rPr>
                <w:rFonts w:hint="eastAsia" w:ascii="楷体" w:hAnsi="楷体" w:eastAsia="楷体" w:cs="宋体"/>
                <w:spacing w:val="-2"/>
                <w:kern w:val="0"/>
                <w:sz w:val="18"/>
                <w:szCs w:val="18"/>
                <w:highlight w:val="none"/>
                <w:lang w:val="en-US" w:eastAsia="zh-CN"/>
              </w:rPr>
            </w:pPr>
            <w:r>
              <w:rPr>
                <w:rFonts w:hint="eastAsia" w:ascii="楷体" w:hAnsi="楷体" w:eastAsia="楷体" w:cs="宋体"/>
                <w:spacing w:val="-2"/>
                <w:sz w:val="18"/>
                <w:szCs w:val="18"/>
                <w:highlight w:val="none"/>
              </w:rPr>
              <w:t>单一投资者持有份额不得超过总份额50%。非因主观因素导致突破前款规定比例限制的，在单一投资者持有份额占理财产品总份额比例降至50%以下之前，不再接受该单一投资者对理财产品的</w:t>
            </w:r>
            <w:r>
              <w:rPr>
                <w:rFonts w:hint="eastAsia" w:ascii="楷体" w:hAnsi="楷体" w:eastAsia="楷体" w:cs="宋体"/>
                <w:spacing w:val="-2"/>
                <w:sz w:val="18"/>
                <w:szCs w:val="18"/>
                <w:highlight w:val="none"/>
                <w:lang w:val="en-US" w:eastAsia="zh-CN"/>
              </w:rPr>
              <w:t>购买</w:t>
            </w:r>
            <w:r>
              <w:rPr>
                <w:rFonts w:hint="eastAsia" w:ascii="楷体" w:hAnsi="楷体" w:eastAsia="楷体" w:cs="宋体"/>
                <w:spacing w:val="-2"/>
                <w:sz w:val="18"/>
                <w:szCs w:val="18"/>
                <w:highlight w:val="none"/>
              </w:rPr>
              <w:t>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701" w:type="dxa"/>
            <w:noWrap w:val="0"/>
            <w:vAlign w:val="center"/>
          </w:tcPr>
          <w:p>
            <w:pPr>
              <w:pStyle w:val="34"/>
              <w:keepNext w:val="0"/>
              <w:keepLines w:val="0"/>
              <w:pageBreakBefore w:val="0"/>
              <w:widowControl w:val="0"/>
              <w:kinsoku w:val="0"/>
              <w:wordWrap/>
              <w:overflowPunct w:val="0"/>
              <w:topLinePunct w:val="0"/>
              <w:bidi w:val="0"/>
              <w:snapToGrid/>
              <w:spacing w:before="0" w:line="0" w:lineRule="atLeast"/>
              <w:ind w:left="0" w:leftChars="0"/>
              <w:jc w:val="both"/>
              <w:textAlignment w:val="auto"/>
              <w:rPr>
                <w:rFonts w:hint="eastAsia" w:ascii="楷体" w:hAnsi="楷体" w:eastAsia="楷体" w:cs="宋体"/>
                <w:b/>
                <w:spacing w:val="-2"/>
                <w:sz w:val="18"/>
                <w:szCs w:val="18"/>
                <w:highlight w:val="none"/>
              </w:rPr>
            </w:pPr>
            <w:r>
              <w:rPr>
                <w:rFonts w:hint="eastAsia" w:ascii="楷体" w:hAnsi="楷体" w:eastAsia="楷体" w:cs="宋体"/>
                <w:b/>
                <w:spacing w:val="-2"/>
                <w:sz w:val="18"/>
                <w:szCs w:val="18"/>
                <w:highlight w:val="none"/>
              </w:rPr>
              <w:t>巨额申购</w:t>
            </w:r>
          </w:p>
        </w:tc>
        <w:tc>
          <w:tcPr>
            <w:tcW w:w="7937" w:type="dxa"/>
            <w:noWrap w:val="0"/>
            <w:vAlign w:val="center"/>
          </w:tcPr>
          <w:p>
            <w:pPr>
              <w:pStyle w:val="34"/>
              <w:keepNext w:val="0"/>
              <w:keepLines w:val="0"/>
              <w:pageBreakBefore w:val="0"/>
              <w:widowControl w:val="0"/>
              <w:kinsoku w:val="0"/>
              <w:wordWrap/>
              <w:overflowPunct w:val="0"/>
              <w:topLinePunct w:val="0"/>
              <w:bidi w:val="0"/>
              <w:snapToGrid/>
              <w:spacing w:line="0" w:lineRule="atLeast"/>
              <w:ind w:left="0" w:leftChars="0" w:right="0" w:rightChars="0"/>
              <w:jc w:val="both"/>
              <w:textAlignment w:val="auto"/>
              <w:rPr>
                <w:rFonts w:hint="eastAsia" w:ascii="楷体" w:hAnsi="楷体" w:eastAsia="楷体" w:cs="宋体"/>
                <w:spacing w:val="-2"/>
                <w:sz w:val="18"/>
                <w:szCs w:val="18"/>
                <w:highlight w:val="none"/>
              </w:rPr>
            </w:pPr>
            <w:r>
              <w:rPr>
                <w:rFonts w:hint="eastAsia" w:ascii="楷体" w:hAnsi="楷体" w:eastAsia="楷体" w:cs="宋体"/>
                <w:spacing w:val="-2"/>
                <w:kern w:val="0"/>
                <w:sz w:val="18"/>
                <w:szCs w:val="18"/>
                <w:highlight w:val="none"/>
              </w:rPr>
              <w:t>本产品单个开放日投资者净申购额（申购申请份额总数扣除赎回申请份额总数）超过上一日</w:t>
            </w:r>
            <w:r>
              <w:rPr>
                <w:rFonts w:hint="eastAsia" w:ascii="楷体" w:hAnsi="楷体" w:eastAsia="楷体" w:cs="宋体"/>
                <w:spacing w:val="-2"/>
                <w:kern w:val="0"/>
                <w:sz w:val="18"/>
                <w:szCs w:val="18"/>
                <w:highlight w:val="none"/>
                <w:lang w:val="en-US" w:eastAsia="zh-CN"/>
              </w:rPr>
              <w:t>日终</w:t>
            </w:r>
            <w:r>
              <w:rPr>
                <w:rFonts w:hint="eastAsia" w:ascii="楷体" w:hAnsi="楷体" w:eastAsia="楷体" w:cs="宋体"/>
                <w:spacing w:val="-2"/>
                <w:kern w:val="0"/>
                <w:sz w:val="18"/>
                <w:szCs w:val="18"/>
                <w:highlight w:val="none"/>
              </w:rPr>
              <w:t>份额20%时，即认为发生了巨额申购。</w:t>
            </w:r>
            <w:r>
              <w:rPr>
                <w:rFonts w:hint="eastAsia" w:ascii="楷体" w:hAnsi="楷体" w:eastAsia="楷体" w:cs="宋体"/>
                <w:b/>
                <w:bCs/>
                <w:spacing w:val="-2"/>
                <w:kern w:val="0"/>
                <w:sz w:val="18"/>
                <w:szCs w:val="18"/>
                <w:highlight w:val="none"/>
                <w:u w:val="single"/>
              </w:rPr>
              <w:t>当出现巨额申购时，管理人有权拒绝投资者的全部或部分申购申请。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701" w:type="dxa"/>
            <w:noWrap w:val="0"/>
            <w:vAlign w:val="center"/>
          </w:tcPr>
          <w:p>
            <w:pPr>
              <w:pStyle w:val="34"/>
              <w:keepNext w:val="0"/>
              <w:keepLines w:val="0"/>
              <w:pageBreakBefore w:val="0"/>
              <w:widowControl w:val="0"/>
              <w:kinsoku w:val="0"/>
              <w:wordWrap/>
              <w:overflowPunct w:val="0"/>
              <w:topLinePunct w:val="0"/>
              <w:bidi w:val="0"/>
              <w:snapToGrid/>
              <w:spacing w:before="0" w:line="0" w:lineRule="atLeast"/>
              <w:ind w:left="0" w:leftChars="0"/>
              <w:jc w:val="both"/>
              <w:textAlignment w:val="auto"/>
              <w:rPr>
                <w:rFonts w:hint="eastAsia" w:ascii="楷体" w:hAnsi="楷体" w:eastAsia="楷体" w:cs="宋体"/>
                <w:b/>
                <w:spacing w:val="-2"/>
                <w:sz w:val="18"/>
                <w:szCs w:val="18"/>
                <w:highlight w:val="none"/>
              </w:rPr>
            </w:pPr>
            <w:r>
              <w:rPr>
                <w:rFonts w:hint="eastAsia" w:ascii="楷体" w:hAnsi="楷体" w:eastAsia="楷体" w:cs="宋体"/>
                <w:b/>
                <w:spacing w:val="-2"/>
                <w:sz w:val="18"/>
                <w:szCs w:val="18"/>
                <w:highlight w:val="none"/>
              </w:rPr>
              <w:t>巨额赎回</w:t>
            </w:r>
          </w:p>
        </w:tc>
        <w:tc>
          <w:tcPr>
            <w:tcW w:w="7937" w:type="dxa"/>
            <w:noWrap w:val="0"/>
            <w:vAlign w:val="center"/>
          </w:tcPr>
          <w:p>
            <w:pPr>
              <w:keepNext w:val="0"/>
              <w:keepLines w:val="0"/>
              <w:pageBreakBefore w:val="0"/>
              <w:widowControl w:val="0"/>
              <w:numPr>
                <w:ilvl w:val="0"/>
                <w:numId w:val="0"/>
              </w:numPr>
              <w:wordWrap/>
              <w:topLinePunct w:val="0"/>
              <w:bidi w:val="0"/>
              <w:snapToGrid/>
              <w:spacing w:line="0" w:lineRule="atLeast"/>
              <w:ind w:right="0" w:rightChars="0"/>
              <w:textAlignment w:val="auto"/>
              <w:rPr>
                <w:rFonts w:hint="eastAsia" w:ascii="楷体" w:hAnsi="楷体" w:eastAsia="楷体" w:cs="宋体"/>
                <w:b/>
                <w:bCs w:val="0"/>
                <w:spacing w:val="-2"/>
                <w:sz w:val="18"/>
                <w:szCs w:val="18"/>
                <w:highlight w:val="none"/>
                <w:u w:val="single"/>
              </w:rPr>
            </w:pPr>
            <w:r>
              <w:rPr>
                <w:rFonts w:hint="eastAsia" w:ascii="楷体" w:hAnsi="楷体" w:eastAsia="楷体" w:cs="宋体"/>
                <w:b/>
                <w:bCs w:val="0"/>
                <w:spacing w:val="-2"/>
                <w:sz w:val="18"/>
                <w:szCs w:val="18"/>
                <w:highlight w:val="none"/>
                <w:u w:val="single"/>
              </w:rPr>
              <w:t>本产品单个开放日投资者净赎回额（赎回申请份额总数扣除申购申请份额总数）超过上一日日终份额10%时，即认为发生了巨额赎回。管理人可以根据本产品当时的资产组合状况决定采取全额赎回、部分赎回、延期办理巨额赎回等措施。</w:t>
            </w:r>
          </w:p>
          <w:p>
            <w:pPr>
              <w:keepNext w:val="0"/>
              <w:keepLines w:val="0"/>
              <w:pageBreakBefore w:val="0"/>
              <w:widowControl w:val="0"/>
              <w:wordWrap/>
              <w:topLinePunct w:val="0"/>
              <w:bidi w:val="0"/>
              <w:snapToGrid/>
              <w:spacing w:line="0" w:lineRule="atLeast"/>
              <w:ind w:left="0" w:leftChars="0" w:right="0" w:rightChars="0"/>
              <w:textAlignment w:val="auto"/>
              <w:rPr>
                <w:rFonts w:hint="eastAsia" w:ascii="楷体" w:hAnsi="楷体" w:eastAsia="楷体" w:cs="宋体"/>
                <w:b w:val="0"/>
                <w:bCs/>
                <w:spacing w:val="-2"/>
                <w:sz w:val="18"/>
                <w:szCs w:val="18"/>
                <w:highlight w:val="none"/>
                <w:u w:val="none"/>
              </w:rPr>
            </w:pPr>
            <w:r>
              <w:rPr>
                <w:rFonts w:hint="eastAsia" w:ascii="楷体" w:hAnsi="楷体" w:eastAsia="楷体" w:cs="宋体"/>
                <w:b w:val="0"/>
                <w:bCs/>
                <w:spacing w:val="-2"/>
                <w:sz w:val="18"/>
                <w:szCs w:val="18"/>
                <w:highlight w:val="none"/>
                <w:u w:val="none"/>
              </w:rPr>
              <w:t>1.全额赎回：当管理人有能力兑付投资者的全部赎回申请时，将在申请确认日按投资者申请赎回份额执行正常赎回程序。</w:t>
            </w:r>
          </w:p>
          <w:p>
            <w:pPr>
              <w:keepNext w:val="0"/>
              <w:keepLines w:val="0"/>
              <w:pageBreakBefore w:val="0"/>
              <w:widowControl w:val="0"/>
              <w:wordWrap/>
              <w:topLinePunct w:val="0"/>
              <w:bidi w:val="0"/>
              <w:snapToGrid/>
              <w:spacing w:line="0" w:lineRule="atLeast"/>
              <w:ind w:left="0" w:leftChars="0" w:right="0" w:rightChars="0"/>
              <w:textAlignment w:val="auto"/>
              <w:rPr>
                <w:rFonts w:hint="eastAsia" w:ascii="楷体" w:hAnsi="楷体" w:eastAsia="楷体" w:cs="宋体"/>
                <w:b w:val="0"/>
                <w:bCs/>
                <w:spacing w:val="-2"/>
                <w:sz w:val="18"/>
                <w:szCs w:val="18"/>
                <w:highlight w:val="none"/>
                <w:u w:val="none"/>
              </w:rPr>
            </w:pPr>
            <w:r>
              <w:rPr>
                <w:rFonts w:hint="eastAsia" w:ascii="楷体" w:hAnsi="楷体" w:eastAsia="楷体" w:cs="宋体"/>
                <w:b w:val="0"/>
                <w:bCs/>
                <w:spacing w:val="-2"/>
                <w:sz w:val="18"/>
                <w:szCs w:val="18"/>
                <w:highlight w:val="none"/>
                <w:u w:val="none"/>
              </w:rPr>
              <w:t>2.部分赎回：当管理人认为兑付投资者的赎回申请可能会对产品的资产净值造成较大波动时，当日办理的赎回份额不得低于前一日日终理财产品总份额的10%，对其余赎回申请管理人有权暂停接受或延期办理。对该产品单个投资者的赎回申请，按照其申请占当日申请赎回总份额的比例，确定该投资者当日办理的赎回份额。（示例：某投资者当日申请赎回份额5万份，当日全部赎回申请10000万份，假设前一日日终总份额50000万份，发生巨额赎回，管理人当日办理的赎回份额5000万份，则该投资者当日确认办理的份额为5/10000*5000=2.5万份。）</w:t>
            </w:r>
          </w:p>
          <w:p>
            <w:pPr>
              <w:keepNext w:val="0"/>
              <w:keepLines w:val="0"/>
              <w:pageBreakBefore w:val="0"/>
              <w:widowControl w:val="0"/>
              <w:wordWrap/>
              <w:topLinePunct w:val="0"/>
              <w:bidi w:val="0"/>
              <w:snapToGrid/>
              <w:spacing w:line="0" w:lineRule="atLeast"/>
              <w:ind w:left="0" w:leftChars="0" w:right="0" w:rightChars="0"/>
              <w:textAlignment w:val="auto"/>
              <w:rPr>
                <w:rFonts w:hint="eastAsia" w:ascii="楷体" w:hAnsi="楷体" w:eastAsia="楷体" w:cs="宋体"/>
                <w:b w:val="0"/>
                <w:bCs/>
                <w:spacing w:val="-2"/>
                <w:sz w:val="18"/>
                <w:szCs w:val="18"/>
                <w:highlight w:val="none"/>
                <w:u w:val="none"/>
              </w:rPr>
            </w:pPr>
            <w:r>
              <w:rPr>
                <w:rFonts w:hint="eastAsia" w:ascii="楷体" w:hAnsi="楷体" w:eastAsia="楷体" w:cs="宋体"/>
                <w:b w:val="0"/>
                <w:bCs/>
                <w:spacing w:val="-2"/>
                <w:sz w:val="18"/>
                <w:szCs w:val="18"/>
                <w:highlight w:val="none"/>
                <w:u w:val="none"/>
              </w:rPr>
              <w:t>3.若管理人对于超过10%以上部分的赎回申请选择延期办理，对于未能赎回部分，投资者可选择将当日未获办理的赎回申请予以撤销。投资者未选择撤销的，管理人有权延期至下一个开放日办理，延期至下一个开放日办理的赎回价格为下一个开放日的价格，顺延至下一开放日的赎回申请不享有优先确认权。</w:t>
            </w:r>
          </w:p>
          <w:p>
            <w:pPr>
              <w:keepNext w:val="0"/>
              <w:keepLines w:val="0"/>
              <w:pageBreakBefore w:val="0"/>
              <w:widowControl w:val="0"/>
              <w:wordWrap/>
              <w:topLinePunct w:val="0"/>
              <w:bidi w:val="0"/>
              <w:snapToGrid/>
              <w:spacing w:line="0" w:lineRule="atLeast"/>
              <w:ind w:left="0" w:leftChars="0" w:right="0" w:rightChars="0"/>
              <w:textAlignment w:val="auto"/>
              <w:rPr>
                <w:rFonts w:hint="eastAsia" w:ascii="楷体" w:hAnsi="楷体" w:eastAsia="楷体" w:cs="宋体"/>
                <w:b w:val="0"/>
                <w:bCs/>
                <w:spacing w:val="-2"/>
                <w:sz w:val="18"/>
                <w:szCs w:val="18"/>
                <w:highlight w:val="none"/>
                <w:u w:val="none"/>
              </w:rPr>
            </w:pPr>
            <w:r>
              <w:rPr>
                <w:rFonts w:hint="eastAsia" w:ascii="楷体" w:hAnsi="楷体" w:eastAsia="楷体" w:cs="宋体"/>
                <w:b w:val="0"/>
                <w:bCs/>
                <w:spacing w:val="-2"/>
                <w:sz w:val="18"/>
                <w:szCs w:val="18"/>
                <w:highlight w:val="none"/>
                <w:u w:val="none"/>
              </w:rPr>
              <w:t>4.延缓支付赎回款项：连续2个以上开放日发生巨额赎回的，管理人除有权选择全额赎回或部分赎回等措施外，对于已经接受的赎回申请，管理人可以延缓支付赎回款项，但延缓期限不得超过20个工作日。</w:t>
            </w:r>
          </w:p>
          <w:p>
            <w:pPr>
              <w:keepNext w:val="0"/>
              <w:keepLines w:val="0"/>
              <w:pageBreakBefore w:val="0"/>
              <w:widowControl w:val="0"/>
              <w:wordWrap/>
              <w:topLinePunct w:val="0"/>
              <w:bidi w:val="0"/>
              <w:snapToGrid/>
              <w:spacing w:line="0" w:lineRule="atLeast"/>
              <w:ind w:left="0" w:leftChars="0" w:right="0" w:rightChars="0"/>
              <w:textAlignment w:val="auto"/>
              <w:rPr>
                <w:rFonts w:ascii="楷体" w:hAnsi="楷体" w:eastAsia="楷体" w:cs="宋体"/>
                <w:b/>
                <w:spacing w:val="-2"/>
                <w:sz w:val="18"/>
                <w:szCs w:val="18"/>
                <w:highlight w:val="none"/>
                <w:u w:val="single"/>
              </w:rPr>
            </w:pPr>
            <w:r>
              <w:rPr>
                <w:rFonts w:hint="eastAsia" w:ascii="楷体" w:hAnsi="楷体" w:eastAsia="楷体" w:cs="宋体"/>
                <w:b w:val="0"/>
                <w:bCs/>
                <w:spacing w:val="-2"/>
                <w:sz w:val="18"/>
                <w:szCs w:val="18"/>
                <w:highlight w:val="none"/>
                <w:u w:val="none"/>
              </w:rPr>
              <w:t>当采取非全额赎回措施时，管理人将在采取相关措施后3个工作日内进行信息披露。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701" w:type="dxa"/>
            <w:noWrap w:val="0"/>
            <w:vAlign w:val="center"/>
          </w:tcPr>
          <w:p>
            <w:pPr>
              <w:pStyle w:val="34"/>
              <w:keepNext w:val="0"/>
              <w:keepLines w:val="0"/>
              <w:pageBreakBefore w:val="0"/>
              <w:widowControl w:val="0"/>
              <w:kinsoku w:val="0"/>
              <w:wordWrap/>
              <w:overflowPunct w:val="0"/>
              <w:topLinePunct w:val="0"/>
              <w:bidi w:val="0"/>
              <w:snapToGrid/>
              <w:spacing w:before="0" w:line="0" w:lineRule="atLeast"/>
              <w:ind w:left="0" w:leftChars="0"/>
              <w:jc w:val="both"/>
              <w:textAlignment w:val="auto"/>
              <w:rPr>
                <w:rFonts w:hint="eastAsia" w:ascii="楷体" w:hAnsi="楷体" w:eastAsia="楷体" w:cs="宋体"/>
                <w:b/>
                <w:spacing w:val="-2"/>
                <w:sz w:val="18"/>
                <w:szCs w:val="18"/>
                <w:highlight w:val="none"/>
              </w:rPr>
            </w:pPr>
            <w:r>
              <w:rPr>
                <w:rFonts w:hint="eastAsia" w:ascii="楷体" w:hAnsi="楷体" w:eastAsia="楷体" w:cs="宋体"/>
                <w:b/>
                <w:spacing w:val="-2"/>
                <w:sz w:val="18"/>
                <w:szCs w:val="18"/>
                <w:highlight w:val="none"/>
              </w:rPr>
              <w:t>业绩比较基准（年化）</w:t>
            </w:r>
          </w:p>
        </w:tc>
        <w:tc>
          <w:tcPr>
            <w:tcW w:w="7937" w:type="dxa"/>
            <w:noWrap w:val="0"/>
            <w:vAlign w:val="center"/>
          </w:tcPr>
          <w:p>
            <w:pPr>
              <w:pStyle w:val="34"/>
              <w:keepNext w:val="0"/>
              <w:keepLines w:val="0"/>
              <w:pageBreakBefore w:val="0"/>
              <w:widowControl w:val="0"/>
              <w:numPr>
                <w:ilvl w:val="0"/>
                <w:numId w:val="0"/>
              </w:numPr>
              <w:kinsoku w:val="0"/>
              <w:wordWrap/>
              <w:overflowPunct w:val="0"/>
              <w:topLinePunct w:val="0"/>
              <w:bidi w:val="0"/>
              <w:snapToGrid/>
              <w:spacing w:line="0" w:lineRule="atLeast"/>
              <w:ind w:left="0" w:leftChars="0" w:right="0" w:rightChars="0"/>
              <w:jc w:val="both"/>
              <w:textAlignment w:val="auto"/>
              <w:rPr>
                <w:rFonts w:hint="eastAsia" w:ascii="楷体" w:hAnsi="楷体" w:eastAsia="楷体" w:cs="宋体"/>
                <w:b/>
                <w:bCs/>
                <w:spacing w:val="-2"/>
                <w:sz w:val="18"/>
                <w:szCs w:val="18"/>
                <w:highlight w:val="none"/>
                <w:u w:val="single"/>
              </w:rPr>
            </w:pPr>
            <w:r>
              <w:rPr>
                <w:rFonts w:hint="eastAsia" w:ascii="楷体" w:hAnsi="楷体" w:eastAsia="楷体" w:cs="宋体"/>
                <w:b/>
                <w:bCs/>
                <w:spacing w:val="-2"/>
                <w:sz w:val="18"/>
                <w:szCs w:val="18"/>
                <w:highlight w:val="none"/>
                <w:u w:val="single"/>
                <w:lang w:val="en-US" w:eastAsia="zh-CN"/>
              </w:rPr>
              <w:t>1.管理人</w:t>
            </w:r>
            <w:r>
              <w:rPr>
                <w:rFonts w:ascii="楷体" w:hAnsi="楷体" w:eastAsia="楷体" w:cs="宋体"/>
                <w:b/>
                <w:bCs/>
                <w:spacing w:val="-2"/>
                <w:sz w:val="18"/>
                <w:szCs w:val="18"/>
                <w:highlight w:val="none"/>
                <w:u w:val="single"/>
              </w:rPr>
              <w:t>参考过往投资经验，依据近期货币市场工具、</w:t>
            </w:r>
            <w:r>
              <w:rPr>
                <w:rFonts w:hint="eastAsia" w:ascii="楷体" w:hAnsi="楷体" w:eastAsia="楷体" w:cs="宋体"/>
                <w:b/>
                <w:bCs/>
                <w:spacing w:val="-2"/>
                <w:sz w:val="18"/>
                <w:szCs w:val="18"/>
                <w:highlight w:val="none"/>
                <w:u w:val="single"/>
                <w:lang w:val="en-US" w:eastAsia="zh-CN"/>
              </w:rPr>
              <w:t>银行存款（含结构性存款）、</w:t>
            </w:r>
            <w:r>
              <w:rPr>
                <w:rFonts w:ascii="楷体" w:hAnsi="楷体" w:eastAsia="楷体" w:cs="宋体"/>
                <w:b/>
                <w:bCs/>
                <w:spacing w:val="-2"/>
                <w:sz w:val="18"/>
                <w:szCs w:val="18"/>
                <w:highlight w:val="none"/>
                <w:u w:val="single"/>
              </w:rPr>
              <w:t>债券</w:t>
            </w:r>
            <w:r>
              <w:rPr>
                <w:rFonts w:hint="eastAsia" w:ascii="楷体" w:hAnsi="楷体" w:eastAsia="楷体" w:cs="宋体"/>
                <w:b/>
                <w:bCs/>
                <w:spacing w:val="-2"/>
                <w:sz w:val="18"/>
                <w:szCs w:val="18"/>
                <w:highlight w:val="none"/>
                <w:u w:val="single"/>
              </w:rPr>
              <w:t>、非标准化债权</w:t>
            </w:r>
            <w:r>
              <w:rPr>
                <w:rFonts w:ascii="楷体" w:hAnsi="楷体" w:eastAsia="楷体" w:cs="宋体"/>
                <w:b/>
                <w:bCs/>
                <w:spacing w:val="-2"/>
                <w:sz w:val="18"/>
                <w:szCs w:val="18"/>
                <w:highlight w:val="none"/>
                <w:u w:val="single"/>
              </w:rPr>
              <w:t>等资产</w:t>
            </w:r>
            <w:r>
              <w:rPr>
                <w:rFonts w:hint="eastAsia" w:ascii="楷体" w:hAnsi="楷体" w:eastAsia="楷体" w:cs="宋体"/>
                <w:b/>
                <w:bCs/>
                <w:spacing w:val="-2"/>
                <w:sz w:val="18"/>
                <w:szCs w:val="18"/>
                <w:highlight w:val="none"/>
                <w:u w:val="single"/>
              </w:rPr>
              <w:t>投资</w:t>
            </w:r>
            <w:r>
              <w:rPr>
                <w:rFonts w:ascii="楷体" w:hAnsi="楷体" w:eastAsia="楷体" w:cs="宋体"/>
                <w:b/>
                <w:bCs/>
                <w:spacing w:val="-2"/>
                <w:sz w:val="18"/>
                <w:szCs w:val="18"/>
                <w:highlight w:val="none"/>
                <w:u w:val="single"/>
              </w:rPr>
              <w:t>收益水平，在产品说明书约定的投资范围和投资比例内</w:t>
            </w:r>
            <w:r>
              <w:rPr>
                <w:rFonts w:hint="eastAsia" w:ascii="楷体" w:hAnsi="楷体" w:eastAsia="楷体" w:cs="宋体"/>
                <w:b/>
                <w:bCs/>
                <w:spacing w:val="-2"/>
                <w:sz w:val="18"/>
                <w:szCs w:val="18"/>
                <w:highlight w:val="none"/>
                <w:u w:val="single"/>
              </w:rPr>
              <w:t>，综合考虑各</w:t>
            </w:r>
            <w:r>
              <w:rPr>
                <w:rFonts w:hint="eastAsia" w:ascii="楷体" w:hAnsi="楷体" w:eastAsia="楷体" w:cs="宋体"/>
                <w:b/>
                <w:bCs/>
                <w:spacing w:val="-2"/>
                <w:sz w:val="18"/>
                <w:szCs w:val="18"/>
                <w:highlight w:val="none"/>
                <w:u w:val="single"/>
                <w:lang w:val="en-US" w:eastAsia="zh-CN"/>
              </w:rPr>
              <w:t>类</w:t>
            </w:r>
            <w:r>
              <w:rPr>
                <w:rFonts w:hint="eastAsia" w:ascii="楷体" w:hAnsi="楷体" w:eastAsia="楷体" w:cs="宋体"/>
                <w:b/>
                <w:bCs/>
                <w:spacing w:val="-2"/>
                <w:sz w:val="18"/>
                <w:szCs w:val="18"/>
                <w:highlight w:val="none"/>
                <w:u w:val="single"/>
              </w:rPr>
              <w:t>份额收取的销售服务费和投资管理费</w:t>
            </w:r>
            <w:r>
              <w:rPr>
                <w:rFonts w:hint="eastAsia" w:ascii="楷体" w:hAnsi="楷体" w:eastAsia="楷体" w:cs="宋体"/>
                <w:b/>
                <w:bCs/>
                <w:spacing w:val="-2"/>
                <w:sz w:val="18"/>
                <w:szCs w:val="18"/>
                <w:highlight w:val="none"/>
                <w:u w:val="single"/>
                <w:lang w:val="en-US" w:eastAsia="zh-CN"/>
              </w:rPr>
              <w:t>等费用</w:t>
            </w:r>
            <w:r>
              <w:rPr>
                <w:rFonts w:hint="eastAsia" w:ascii="楷体" w:hAnsi="楷体" w:eastAsia="楷体" w:cs="宋体"/>
                <w:b/>
                <w:bCs/>
                <w:spacing w:val="-2"/>
                <w:sz w:val="18"/>
                <w:szCs w:val="18"/>
                <w:highlight w:val="none"/>
                <w:u w:val="single"/>
              </w:rPr>
              <w:t>情况，</w:t>
            </w:r>
            <w:r>
              <w:rPr>
                <w:rFonts w:ascii="楷体" w:hAnsi="楷体" w:eastAsia="楷体" w:cs="宋体"/>
                <w:b/>
                <w:bCs/>
                <w:spacing w:val="-2"/>
                <w:sz w:val="18"/>
                <w:szCs w:val="18"/>
                <w:highlight w:val="none"/>
                <w:u w:val="single"/>
              </w:rPr>
              <w:t>模拟测算得出</w:t>
            </w:r>
            <w:r>
              <w:rPr>
                <w:rFonts w:hint="eastAsia" w:ascii="楷体" w:hAnsi="楷体" w:eastAsia="楷体" w:cs="宋体"/>
                <w:b/>
                <w:bCs/>
                <w:spacing w:val="-2"/>
                <w:sz w:val="18"/>
                <w:szCs w:val="18"/>
                <w:highlight w:val="none"/>
                <w:u w:val="single"/>
              </w:rPr>
              <w:t>业绩比较基准。</w:t>
            </w:r>
          </w:p>
          <w:p>
            <w:pPr>
              <w:pStyle w:val="34"/>
              <w:keepNext w:val="0"/>
              <w:keepLines w:val="0"/>
              <w:pageBreakBefore w:val="0"/>
              <w:widowControl w:val="0"/>
              <w:numPr>
                <w:ilvl w:val="0"/>
                <w:numId w:val="0"/>
              </w:numPr>
              <w:kinsoku w:val="0"/>
              <w:wordWrap/>
              <w:overflowPunct w:val="0"/>
              <w:topLinePunct w:val="0"/>
              <w:bidi w:val="0"/>
              <w:snapToGrid/>
              <w:spacing w:line="0" w:lineRule="atLeast"/>
              <w:ind w:left="0" w:leftChars="0" w:right="0" w:rightChars="0"/>
              <w:jc w:val="both"/>
              <w:textAlignment w:val="auto"/>
              <w:rPr>
                <w:rFonts w:hint="eastAsia" w:ascii="楷体" w:hAnsi="楷体" w:eastAsia="楷体" w:cs="宋体"/>
                <w:spacing w:val="-2"/>
                <w:kern w:val="0"/>
                <w:sz w:val="18"/>
                <w:szCs w:val="18"/>
                <w:highlight w:val="none"/>
                <w:lang w:val="en-US" w:eastAsia="zh-CN" w:bidi="ar-SA"/>
              </w:rPr>
            </w:pPr>
            <w:r>
              <w:rPr>
                <w:rFonts w:hint="eastAsia" w:ascii="楷体" w:hAnsi="楷体" w:eastAsia="楷体" w:cs="宋体"/>
                <w:b/>
                <w:bCs/>
                <w:spacing w:val="-2"/>
                <w:sz w:val="18"/>
                <w:szCs w:val="18"/>
                <w:highlight w:val="none"/>
                <w:u w:val="single"/>
                <w:lang w:val="en-US" w:eastAsia="zh-CN"/>
              </w:rPr>
              <w:t>2.</w:t>
            </w:r>
            <w:r>
              <w:rPr>
                <w:rFonts w:hint="eastAsia" w:ascii="楷体" w:hAnsi="楷体" w:eastAsia="楷体" w:cs="宋体"/>
                <w:b/>
                <w:spacing w:val="-2"/>
                <w:sz w:val="18"/>
                <w:szCs w:val="18"/>
                <w:highlight w:val="none"/>
                <w:u w:val="single"/>
                <w:lang w:val="en-US" w:eastAsia="zh-CN"/>
              </w:rPr>
              <w:t>本产品各类份额可能因收取的销售服务费和投资管理费存在差异，业绩比较基准设置有所不同</w:t>
            </w:r>
            <w:r>
              <w:rPr>
                <w:rFonts w:hint="eastAsia" w:ascii="楷体" w:hAnsi="楷体" w:eastAsia="楷体" w:cs="宋体"/>
                <w:b/>
                <w:bCs/>
                <w:spacing w:val="-2"/>
                <w:sz w:val="18"/>
                <w:szCs w:val="18"/>
                <w:highlight w:val="none"/>
                <w:u w:val="single"/>
              </w:rPr>
              <w:t>。</w:t>
            </w:r>
            <w:r>
              <w:rPr>
                <w:rFonts w:hint="eastAsia" w:ascii="楷体" w:hAnsi="楷体" w:eastAsia="楷体" w:cs="宋体"/>
                <w:spacing w:val="-2"/>
                <w:kern w:val="0"/>
                <w:sz w:val="18"/>
                <w:szCs w:val="18"/>
                <w:highlight w:val="none"/>
                <w:lang w:val="en-US" w:eastAsia="zh-CN" w:bidi="ar-SA"/>
              </w:rPr>
              <w:t>各类份额最新投资周期（2026年9月2日-2027年9月23日）业绩比较基准如下：</w:t>
            </w:r>
          </w:p>
          <w:p>
            <w:pPr>
              <w:pStyle w:val="34"/>
              <w:keepNext w:val="0"/>
              <w:keepLines w:val="0"/>
              <w:pageBreakBefore w:val="0"/>
              <w:widowControl w:val="0"/>
              <w:numPr>
                <w:ilvl w:val="0"/>
                <w:numId w:val="0"/>
              </w:numPr>
              <w:kinsoku w:val="0"/>
              <w:wordWrap/>
              <w:overflowPunct w:val="0"/>
              <w:topLinePunct w:val="0"/>
              <w:bidi w:val="0"/>
              <w:snapToGrid/>
              <w:spacing w:line="0" w:lineRule="atLeast"/>
              <w:ind w:left="0" w:leftChars="0" w:right="0" w:rightChars="0"/>
              <w:jc w:val="both"/>
              <w:textAlignment w:val="auto"/>
              <w:rPr>
                <w:rFonts w:hint="eastAsia" w:ascii="楷体" w:hAnsi="楷体" w:eastAsia="楷体" w:cs="宋体"/>
                <w:spacing w:val="-2"/>
                <w:kern w:val="0"/>
                <w:sz w:val="18"/>
                <w:szCs w:val="18"/>
                <w:highlight w:val="none"/>
                <w:lang w:val="en-US" w:eastAsia="zh-CN" w:bidi="ar-SA"/>
              </w:rPr>
            </w:pPr>
            <w:r>
              <w:rPr>
                <w:rFonts w:ascii="楷体" w:hAnsi="楷体" w:eastAsia="楷体"/>
                <w:sz w:val="18"/>
              </w:rPr>
              <w:t>A份额2.35%-2.95%</w:t>
            </w:r>
            <w:r>
              <w:rPr>
                <w:rFonts w:hint="eastAsia" w:ascii="楷体" w:hAnsi="楷体" w:eastAsia="楷体"/>
                <w:sz w:val="18"/>
                <w:lang w:eastAsia="zh-CN"/>
              </w:rPr>
              <w:t>；</w:t>
            </w:r>
            <w:r>
              <w:rPr>
                <w:rFonts w:ascii="楷体" w:hAnsi="楷体" w:eastAsia="楷体"/>
                <w:sz w:val="18"/>
              </w:rPr>
              <w:t>B份额2.38%-2.98%</w:t>
            </w:r>
            <w:r>
              <w:rPr>
                <w:rFonts w:hint="eastAsia" w:ascii="楷体" w:hAnsi="楷体" w:eastAsia="楷体"/>
                <w:sz w:val="18"/>
                <w:lang w:eastAsia="zh-CN"/>
              </w:rPr>
              <w:t>；</w:t>
            </w:r>
            <w:r>
              <w:rPr>
                <w:rFonts w:ascii="楷体" w:hAnsi="楷体" w:eastAsia="楷体"/>
                <w:sz w:val="18"/>
              </w:rPr>
              <w:t>C份额2.40%-3.00%</w:t>
            </w:r>
            <w:r>
              <w:rPr>
                <w:rFonts w:hint="eastAsia" w:ascii="楷体" w:hAnsi="楷体" w:eastAsia="楷体"/>
                <w:sz w:val="18"/>
                <w:lang w:eastAsia="zh-CN"/>
              </w:rPr>
              <w:t>；</w:t>
            </w:r>
            <w:r>
              <w:rPr>
                <w:rFonts w:ascii="楷体" w:hAnsi="楷体" w:eastAsia="楷体"/>
                <w:sz w:val="18"/>
              </w:rPr>
              <w:t>D份额2.50%-3.10%</w:t>
            </w:r>
            <w:r>
              <w:rPr>
                <w:rFonts w:hint="eastAsia" w:ascii="楷体" w:hAnsi="楷体" w:eastAsia="楷体"/>
                <w:sz w:val="18"/>
                <w:lang w:eastAsia="zh-CN"/>
              </w:rPr>
              <w:t>；</w:t>
            </w:r>
            <w:r>
              <w:rPr>
                <w:rFonts w:ascii="楷体" w:hAnsi="楷体" w:eastAsia="楷体"/>
                <w:sz w:val="18"/>
              </w:rPr>
              <w:br w:type="textWrapping"/>
            </w:r>
            <w:r>
              <w:rPr>
                <w:rFonts w:ascii="楷体" w:hAnsi="楷体" w:eastAsia="楷体"/>
                <w:sz w:val="18"/>
              </w:rPr>
              <w:t>F份额2.35%-2.95%</w:t>
            </w:r>
            <w:r>
              <w:rPr>
                <w:rFonts w:hint="eastAsia" w:ascii="楷体" w:hAnsi="楷体" w:eastAsia="楷体"/>
                <w:sz w:val="18"/>
                <w:lang w:eastAsia="zh-CN"/>
              </w:rPr>
              <w:t>；</w:t>
            </w:r>
            <w:r>
              <w:rPr>
                <w:rFonts w:ascii="楷体" w:hAnsi="楷体" w:eastAsia="楷体"/>
                <w:sz w:val="18"/>
              </w:rPr>
              <w:t>G份额2.38%-2.98%</w:t>
            </w:r>
            <w:r>
              <w:rPr>
                <w:rFonts w:hint="eastAsia" w:ascii="楷体" w:hAnsi="楷体" w:eastAsia="楷体"/>
                <w:sz w:val="18"/>
                <w:lang w:eastAsia="zh-CN"/>
              </w:rPr>
              <w:t>；</w:t>
            </w:r>
            <w:r>
              <w:rPr>
                <w:rFonts w:ascii="楷体" w:hAnsi="楷体" w:eastAsia="楷体"/>
                <w:sz w:val="18"/>
              </w:rPr>
              <w:t>J份额2.45%-3.05%</w:t>
            </w:r>
            <w:r>
              <w:rPr>
                <w:rFonts w:hint="eastAsia" w:ascii="楷体" w:hAnsi="楷体" w:eastAsia="楷体"/>
                <w:sz w:val="18"/>
                <w:lang w:eastAsia="zh-CN"/>
              </w:rPr>
              <w:t>；</w:t>
            </w:r>
            <w:r>
              <w:rPr>
                <w:rFonts w:ascii="楷体" w:hAnsi="楷体" w:eastAsia="楷体"/>
                <w:sz w:val="18"/>
              </w:rPr>
              <w:t>J2份额2.50%-3.10%</w:t>
            </w:r>
            <w:r>
              <w:rPr>
                <w:rFonts w:hint="eastAsia" w:ascii="楷体" w:hAnsi="楷体" w:eastAsia="楷体"/>
                <w:sz w:val="18"/>
                <w:lang w:eastAsia="zh-CN"/>
              </w:rPr>
              <w:t>；</w:t>
            </w:r>
            <w:r>
              <w:rPr>
                <w:rFonts w:ascii="楷体" w:hAnsi="楷体" w:eastAsia="楷体"/>
                <w:sz w:val="18"/>
              </w:rPr>
              <w:br w:type="textWrapping"/>
            </w:r>
            <w:r>
              <w:rPr>
                <w:rFonts w:ascii="楷体" w:hAnsi="楷体" w:eastAsia="楷体"/>
                <w:sz w:val="18"/>
              </w:rPr>
              <w:t>P份额2.60%-3.20%</w:t>
            </w:r>
            <w:r>
              <w:rPr>
                <w:rFonts w:hint="eastAsia" w:ascii="楷体" w:hAnsi="楷体" w:eastAsia="楷体"/>
                <w:sz w:val="18"/>
                <w:lang w:eastAsia="zh-CN"/>
              </w:rPr>
              <w:t>；</w:t>
            </w:r>
            <w:r>
              <w:rPr>
                <w:rFonts w:ascii="楷体" w:hAnsi="楷体" w:eastAsia="楷体"/>
                <w:sz w:val="18"/>
              </w:rPr>
              <w:t>Q份额2.50%-3.10%</w:t>
            </w:r>
            <w:r>
              <w:rPr>
                <w:rFonts w:hint="eastAsia" w:ascii="楷体" w:hAnsi="楷体" w:eastAsia="楷体"/>
                <w:sz w:val="18"/>
                <w:lang w:eastAsia="zh-CN"/>
              </w:rPr>
              <w:t>；</w:t>
            </w:r>
            <w:r>
              <w:rPr>
                <w:rFonts w:ascii="楷体" w:hAnsi="楷体" w:eastAsia="楷体"/>
                <w:sz w:val="18"/>
              </w:rPr>
              <w:t>S份额2.38%-2.98%</w:t>
            </w:r>
            <w:r>
              <w:rPr>
                <w:rFonts w:hint="eastAsia" w:ascii="楷体" w:hAnsi="楷体" w:eastAsia="楷体"/>
                <w:sz w:val="18"/>
                <w:lang w:eastAsia="zh-CN"/>
              </w:rPr>
              <w:t>；</w:t>
            </w:r>
            <w:r>
              <w:rPr>
                <w:rFonts w:ascii="楷体" w:hAnsi="楷体" w:eastAsia="楷体"/>
                <w:sz w:val="18"/>
              </w:rPr>
              <w:t>GS份额2.50%-3.10%</w:t>
            </w:r>
            <w:r>
              <w:rPr>
                <w:rFonts w:hint="eastAsia" w:ascii="楷体" w:hAnsi="楷体" w:eastAsia="楷体"/>
                <w:sz w:val="18"/>
                <w:lang w:eastAsia="zh-CN"/>
              </w:rPr>
              <w:t>；</w:t>
            </w:r>
            <w:r>
              <w:rPr>
                <w:rFonts w:ascii="楷体" w:hAnsi="楷体" w:eastAsia="楷体"/>
                <w:sz w:val="18"/>
              </w:rPr>
              <w:br w:type="textWrapping"/>
            </w:r>
            <w:r>
              <w:rPr>
                <w:rFonts w:ascii="楷体" w:hAnsi="楷体" w:eastAsia="楷体"/>
                <w:sz w:val="18"/>
              </w:rPr>
              <w:t>S1份额2.45%-3.05%</w:t>
            </w:r>
            <w:r>
              <w:rPr>
                <w:rFonts w:hint="eastAsia" w:ascii="楷体" w:hAnsi="楷体" w:eastAsia="楷体"/>
                <w:sz w:val="18"/>
                <w:lang w:eastAsia="zh-CN"/>
              </w:rPr>
              <w:t>；</w:t>
            </w:r>
            <w:r>
              <w:rPr>
                <w:rFonts w:ascii="楷体" w:hAnsi="楷体" w:eastAsia="楷体"/>
                <w:sz w:val="18"/>
              </w:rPr>
              <w:t>U份额2.35%-2.95%</w:t>
            </w:r>
            <w:r>
              <w:rPr>
                <w:rFonts w:hint="eastAsia" w:ascii="楷体" w:hAnsi="楷体" w:eastAsia="楷体"/>
                <w:sz w:val="18"/>
                <w:lang w:eastAsia="zh-CN"/>
              </w:rPr>
              <w:t>；</w:t>
            </w:r>
            <w:r>
              <w:rPr>
                <w:rFonts w:ascii="楷体" w:hAnsi="楷体" w:eastAsia="楷体"/>
                <w:sz w:val="18"/>
              </w:rPr>
              <w:t>L份额2.45%-3.05%</w:t>
            </w:r>
            <w:r>
              <w:rPr>
                <w:rFonts w:hint="eastAsia" w:ascii="楷体" w:hAnsi="楷体" w:eastAsia="楷体"/>
                <w:sz w:val="18"/>
                <w:lang w:eastAsia="zh-CN"/>
              </w:rPr>
              <w:t>；</w:t>
            </w:r>
            <w:r>
              <w:rPr>
                <w:rFonts w:ascii="楷体" w:hAnsi="楷体" w:eastAsia="楷体"/>
                <w:sz w:val="18"/>
              </w:rPr>
              <w:t>Z份额2.35%-2.95%</w:t>
            </w:r>
            <w:r>
              <w:rPr>
                <w:rFonts w:hint="eastAsia" w:ascii="楷体" w:hAnsi="楷体" w:eastAsia="楷体"/>
                <w:sz w:val="18"/>
                <w:lang w:eastAsia="zh-CN"/>
              </w:rPr>
              <w:t>；</w:t>
            </w:r>
            <w:r>
              <w:rPr>
                <w:rFonts w:ascii="楷体" w:hAnsi="楷体" w:eastAsia="楷体"/>
                <w:sz w:val="18"/>
              </w:rPr>
              <w:br w:type="textWrapping"/>
            </w:r>
            <w:r>
              <w:rPr>
                <w:rFonts w:ascii="楷体" w:hAnsi="楷体" w:eastAsia="楷体"/>
                <w:sz w:val="18"/>
              </w:rPr>
              <w:t>Z1份额2.45%-3.05%</w:t>
            </w:r>
            <w:r>
              <w:rPr>
                <w:rFonts w:hint="eastAsia" w:ascii="楷体" w:hAnsi="楷体" w:eastAsia="楷体"/>
                <w:sz w:val="18"/>
                <w:lang w:eastAsia="zh-CN"/>
              </w:rPr>
              <w:t>；</w:t>
            </w:r>
            <w:r>
              <w:rPr>
                <w:rFonts w:ascii="楷体" w:hAnsi="楷体" w:eastAsia="楷体"/>
                <w:sz w:val="18"/>
              </w:rPr>
              <w:t>Z2份额2.50%-3.10%</w:t>
            </w:r>
            <w:r>
              <w:rPr>
                <w:rFonts w:hint="eastAsia" w:ascii="楷体" w:hAnsi="楷体" w:eastAsia="楷体"/>
                <w:sz w:val="18"/>
                <w:lang w:eastAsia="zh-CN"/>
              </w:rPr>
              <w:t>；</w:t>
            </w:r>
            <w:r>
              <w:rPr>
                <w:rFonts w:ascii="楷体" w:hAnsi="楷体" w:eastAsia="楷体"/>
                <w:sz w:val="18"/>
              </w:rPr>
              <w:t>ZA份额2.35%-2.95%</w:t>
            </w:r>
            <w:r>
              <w:rPr>
                <w:rFonts w:hint="eastAsia" w:ascii="楷体" w:hAnsi="楷体" w:eastAsia="楷体"/>
                <w:sz w:val="18"/>
                <w:lang w:eastAsia="zh-CN"/>
              </w:rPr>
              <w:t>；</w:t>
            </w:r>
            <w:r>
              <w:rPr>
                <w:rFonts w:ascii="楷体" w:hAnsi="楷体" w:eastAsia="楷体"/>
                <w:sz w:val="18"/>
              </w:rPr>
              <w:t>ZF份额2.35%-2.95%</w:t>
            </w:r>
            <w:r>
              <w:rPr>
                <w:rFonts w:hint="eastAsia" w:ascii="楷体" w:hAnsi="楷体" w:eastAsia="楷体"/>
                <w:sz w:val="18"/>
                <w:lang w:eastAsia="zh-CN"/>
              </w:rPr>
              <w:t>；</w:t>
            </w:r>
            <w:r>
              <w:rPr>
                <w:rFonts w:ascii="楷体" w:hAnsi="楷体" w:eastAsia="楷体"/>
                <w:sz w:val="18"/>
              </w:rPr>
              <w:br w:type="textWrapping"/>
            </w:r>
            <w:r>
              <w:rPr>
                <w:rFonts w:ascii="楷体" w:hAnsi="楷体" w:eastAsia="楷体"/>
                <w:sz w:val="18"/>
              </w:rPr>
              <w:t>ZF2份额2.50%-3.10%</w:t>
            </w:r>
            <w:r>
              <w:rPr>
                <w:rFonts w:hint="eastAsia" w:ascii="楷体" w:hAnsi="楷体" w:eastAsia="楷体"/>
                <w:sz w:val="18"/>
                <w:lang w:eastAsia="zh-CN"/>
              </w:rPr>
              <w:t>；</w:t>
            </w:r>
            <w:r>
              <w:rPr>
                <w:rFonts w:ascii="楷体" w:hAnsi="楷体" w:eastAsia="楷体"/>
                <w:sz w:val="18"/>
              </w:rPr>
              <w:t>ZF3份额2.40%-3.00%</w:t>
            </w:r>
            <w:r>
              <w:rPr>
                <w:rFonts w:hint="eastAsia" w:ascii="楷体" w:hAnsi="楷体" w:eastAsia="楷体"/>
                <w:sz w:val="18"/>
                <w:lang w:eastAsia="zh-CN"/>
              </w:rPr>
              <w:t>；</w:t>
            </w:r>
            <w:r>
              <w:rPr>
                <w:rFonts w:ascii="楷体" w:hAnsi="楷体" w:eastAsia="楷体"/>
                <w:sz w:val="18"/>
              </w:rPr>
              <w:t>ZF4份额2.55%-3.15%</w:t>
            </w:r>
            <w:r>
              <w:rPr>
                <w:rFonts w:hint="eastAsia" w:ascii="楷体" w:hAnsi="楷体" w:eastAsia="楷体"/>
                <w:sz w:val="18"/>
                <w:lang w:eastAsia="zh-CN"/>
              </w:rPr>
              <w:t>；</w:t>
            </w:r>
            <w:r>
              <w:rPr>
                <w:rFonts w:ascii="楷体" w:hAnsi="楷体" w:eastAsia="楷体"/>
                <w:sz w:val="18"/>
              </w:rPr>
              <w:t>ZF5份额2.45%-3.05%</w:t>
            </w:r>
            <w:r>
              <w:rPr>
                <w:rFonts w:hint="eastAsia" w:ascii="楷体" w:hAnsi="楷体" w:eastAsia="楷体"/>
                <w:sz w:val="18"/>
                <w:lang w:eastAsia="zh-CN"/>
              </w:rPr>
              <w:t>；</w:t>
            </w:r>
            <w:r>
              <w:rPr>
                <w:rFonts w:ascii="楷体" w:hAnsi="楷体" w:eastAsia="楷体"/>
                <w:sz w:val="18"/>
              </w:rPr>
              <w:br w:type="textWrapping"/>
            </w:r>
            <w:r>
              <w:rPr>
                <w:rFonts w:ascii="楷体" w:hAnsi="楷体" w:eastAsia="楷体"/>
                <w:sz w:val="18"/>
              </w:rPr>
              <w:t>ZJ份额2.65%-3.25%</w:t>
            </w:r>
            <w:r>
              <w:rPr>
                <w:rFonts w:hint="eastAsia" w:ascii="楷体" w:hAnsi="楷体" w:eastAsia="楷体"/>
                <w:sz w:val="18"/>
                <w:lang w:eastAsia="zh-CN"/>
              </w:rPr>
              <w:t>；</w:t>
            </w:r>
            <w:r>
              <w:rPr>
                <w:rFonts w:ascii="楷体" w:hAnsi="楷体" w:eastAsia="楷体"/>
                <w:sz w:val="18"/>
              </w:rPr>
              <w:t>ZL份额2.50%-3.10%</w:t>
            </w:r>
            <w:r>
              <w:rPr>
                <w:rFonts w:hint="eastAsia" w:ascii="楷体" w:hAnsi="楷体" w:eastAsia="楷体"/>
                <w:sz w:val="18"/>
                <w:lang w:eastAsia="zh-CN"/>
              </w:rPr>
              <w:t>；</w:t>
            </w:r>
            <w:r>
              <w:rPr>
                <w:rFonts w:ascii="楷体" w:hAnsi="楷体" w:eastAsia="楷体"/>
                <w:sz w:val="18"/>
              </w:rPr>
              <w:t>天府·优选份额2.50%-3.10%</w:t>
            </w:r>
            <w:r>
              <w:rPr>
                <w:rFonts w:hint="eastAsia" w:ascii="楷体" w:hAnsi="楷体" w:eastAsia="楷体"/>
                <w:sz w:val="18"/>
                <w:lang w:eastAsia="zh-CN"/>
              </w:rPr>
              <w:t>；</w:t>
            </w:r>
            <w:r>
              <w:rPr>
                <w:rFonts w:ascii="楷体" w:hAnsi="楷体" w:eastAsia="楷体"/>
                <w:sz w:val="18"/>
              </w:rPr>
              <w:br w:type="textWrapping"/>
            </w:r>
            <w:r>
              <w:rPr>
                <w:rFonts w:ascii="楷体" w:hAnsi="楷体" w:eastAsia="楷体"/>
                <w:sz w:val="18"/>
              </w:rPr>
              <w:t>芙蓉锦程·优选份额2.65%-3.25%</w:t>
            </w:r>
            <w:r>
              <w:rPr>
                <w:rFonts w:hint="eastAsia" w:ascii="楷体" w:hAnsi="楷体" w:eastAsia="楷体"/>
                <w:sz w:val="18"/>
                <w:lang w:eastAsia="zh-CN"/>
              </w:rPr>
              <w:t>；</w:t>
            </w:r>
            <w:r>
              <w:rPr>
                <w:rFonts w:ascii="楷体" w:hAnsi="楷体" w:eastAsia="楷体"/>
                <w:sz w:val="18"/>
              </w:rPr>
              <w:t>芙蓉锦程·优选-尊享款份额2.75%-3.35%</w:t>
            </w:r>
            <w:r>
              <w:rPr>
                <w:rFonts w:hint="eastAsia" w:ascii="楷体" w:hAnsi="楷体" w:eastAsia="楷体"/>
                <w:sz w:val="18"/>
                <w:lang w:eastAsia="zh-CN"/>
              </w:rPr>
              <w:t>；</w:t>
            </w:r>
            <w:r>
              <w:rPr>
                <w:rFonts w:ascii="楷体" w:hAnsi="楷体" w:eastAsia="楷体"/>
                <w:sz w:val="18"/>
              </w:rPr>
              <w:br w:type="textWrapping"/>
            </w:r>
            <w:r>
              <w:rPr>
                <w:rFonts w:ascii="楷体" w:hAnsi="楷体" w:eastAsia="楷体"/>
                <w:sz w:val="18"/>
              </w:rPr>
              <w:t>ZN份额2.50%-3.10%</w:t>
            </w:r>
            <w:r>
              <w:rPr>
                <w:rFonts w:hint="eastAsia" w:ascii="楷体" w:hAnsi="楷体" w:eastAsia="楷体"/>
                <w:sz w:val="18"/>
                <w:lang w:eastAsia="zh-CN"/>
              </w:rPr>
              <w:t>；</w:t>
            </w:r>
            <w:r>
              <w:rPr>
                <w:rFonts w:ascii="楷体" w:hAnsi="楷体" w:eastAsia="楷体"/>
                <w:sz w:val="18"/>
              </w:rPr>
              <w:t>ZQ份额2.35%-2.95%</w:t>
            </w:r>
            <w:r>
              <w:rPr>
                <w:rFonts w:hint="eastAsia" w:ascii="楷体" w:hAnsi="楷体" w:eastAsia="楷体"/>
                <w:sz w:val="18"/>
                <w:lang w:eastAsia="zh-CN"/>
              </w:rPr>
              <w:t>；</w:t>
            </w:r>
            <w:r>
              <w:rPr>
                <w:rFonts w:ascii="楷体" w:hAnsi="楷体" w:eastAsia="楷体"/>
                <w:sz w:val="18"/>
              </w:rPr>
              <w:t>ZC份额2.40%-3.00%</w:t>
            </w:r>
            <w:r>
              <w:rPr>
                <w:rFonts w:hint="eastAsia" w:ascii="楷体" w:hAnsi="楷体" w:eastAsia="楷体"/>
                <w:sz w:val="18"/>
                <w:lang w:eastAsia="zh-CN"/>
              </w:rPr>
              <w:t>；</w:t>
            </w:r>
            <w:r>
              <w:rPr>
                <w:rFonts w:ascii="楷体" w:hAnsi="楷体" w:eastAsia="楷体"/>
                <w:sz w:val="18"/>
              </w:rPr>
              <w:t>ZK份额2.50%-3.10%</w:t>
            </w:r>
            <w:r>
              <w:rPr>
                <w:rFonts w:hint="eastAsia" w:ascii="楷体" w:hAnsi="楷体" w:eastAsia="楷体"/>
                <w:sz w:val="18"/>
                <w:lang w:eastAsia="zh-CN"/>
              </w:rPr>
              <w:t>。</w:t>
            </w:r>
          </w:p>
          <w:p>
            <w:pPr>
              <w:keepNext w:val="0"/>
              <w:keepLines w:val="0"/>
              <w:pageBreakBefore w:val="0"/>
              <w:widowControl w:val="0"/>
              <w:wordWrap/>
              <w:topLinePunct w:val="0"/>
              <w:bidi w:val="0"/>
              <w:snapToGrid/>
              <w:spacing w:line="0" w:lineRule="atLeast"/>
              <w:ind w:left="0" w:leftChars="0" w:right="0" w:rightChars="0"/>
              <w:jc w:val="both"/>
              <w:textAlignment w:val="auto"/>
              <w:rPr>
                <w:rFonts w:hint="eastAsia" w:ascii="楷体" w:hAnsi="楷体" w:eastAsia="楷体" w:cs="宋体"/>
                <w:b/>
                <w:spacing w:val="-2"/>
                <w:sz w:val="18"/>
                <w:szCs w:val="18"/>
                <w:highlight w:val="none"/>
                <w:u w:val="single"/>
                <w:lang w:val="en-US" w:eastAsia="zh-CN"/>
              </w:rPr>
            </w:pPr>
            <w:r>
              <w:rPr>
                <w:rFonts w:hint="eastAsia" w:ascii="楷体" w:hAnsi="楷体" w:eastAsia="楷体" w:cs="宋体"/>
                <w:b/>
                <w:spacing w:val="-2"/>
                <w:sz w:val="18"/>
                <w:szCs w:val="18"/>
                <w:highlight w:val="none"/>
                <w:u w:val="single"/>
                <w:lang w:val="en-US" w:eastAsia="zh-CN"/>
              </w:rPr>
              <w:t>3.本产品为净值型产品，业绩表现将随市场波动，具有不确定性。业绩比较基准是管理人基于产品性质、投资策略、过往经验等因素对产品设定的投资目标。业绩比较基准不是预期收益率，不代表产品的未来表现和实际收益，不构成对产品收益的承诺。投资者的实际收益由产品净值表现决定。</w:t>
            </w:r>
          </w:p>
          <w:p>
            <w:pPr>
              <w:keepNext w:val="0"/>
              <w:keepLines w:val="0"/>
              <w:pageBreakBefore w:val="0"/>
              <w:widowControl w:val="0"/>
              <w:wordWrap/>
              <w:topLinePunct w:val="0"/>
              <w:bidi w:val="0"/>
              <w:snapToGrid/>
              <w:spacing w:line="0" w:lineRule="atLeast"/>
              <w:ind w:left="0" w:leftChars="0" w:right="0" w:rightChars="0"/>
              <w:jc w:val="both"/>
              <w:textAlignment w:val="auto"/>
              <w:rPr>
                <w:rFonts w:hint="eastAsia" w:ascii="楷体" w:hAnsi="楷体" w:eastAsia="楷体" w:cs="宋体"/>
                <w:b/>
                <w:spacing w:val="-2"/>
                <w:sz w:val="18"/>
                <w:szCs w:val="18"/>
                <w:highlight w:val="none"/>
                <w:u w:val="single"/>
              </w:rPr>
            </w:pPr>
            <w:r>
              <w:rPr>
                <w:rFonts w:hint="eastAsia" w:ascii="楷体" w:hAnsi="楷体" w:eastAsia="楷体" w:cs="宋体"/>
                <w:b/>
                <w:spacing w:val="-2"/>
                <w:sz w:val="18"/>
                <w:szCs w:val="18"/>
                <w:highlight w:val="none"/>
                <w:u w:val="single"/>
              </w:rPr>
              <w:t>产品存续期内管理人有权根据市场情况调整业绩比较基准，如有调整以管理人公告为准。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701" w:type="dxa"/>
            <w:noWrap w:val="0"/>
            <w:vAlign w:val="center"/>
          </w:tcPr>
          <w:p>
            <w:pPr>
              <w:pStyle w:val="34"/>
              <w:keepNext w:val="0"/>
              <w:keepLines w:val="0"/>
              <w:pageBreakBefore w:val="0"/>
              <w:widowControl w:val="0"/>
              <w:kinsoku w:val="0"/>
              <w:wordWrap/>
              <w:overflowPunct w:val="0"/>
              <w:topLinePunct w:val="0"/>
              <w:bidi w:val="0"/>
              <w:snapToGrid/>
              <w:spacing w:before="0" w:line="0" w:lineRule="atLeast"/>
              <w:ind w:left="0" w:leftChars="0"/>
              <w:jc w:val="both"/>
              <w:textAlignment w:val="auto"/>
              <w:rPr>
                <w:rFonts w:hint="eastAsia" w:ascii="楷体" w:hAnsi="楷体" w:eastAsia="楷体" w:cs="宋体"/>
                <w:spacing w:val="-2"/>
                <w:sz w:val="18"/>
                <w:szCs w:val="18"/>
                <w:highlight w:val="none"/>
              </w:rPr>
            </w:pPr>
            <w:r>
              <w:rPr>
                <w:rFonts w:hint="eastAsia" w:ascii="楷体" w:hAnsi="楷体" w:eastAsia="楷体" w:cs="宋体"/>
                <w:b/>
                <w:spacing w:val="-2"/>
                <w:sz w:val="18"/>
                <w:szCs w:val="18"/>
                <w:highlight w:val="none"/>
              </w:rPr>
              <w:t>产品费用</w:t>
            </w:r>
          </w:p>
        </w:tc>
        <w:tc>
          <w:tcPr>
            <w:tcW w:w="7937" w:type="dxa"/>
            <w:noWrap w:val="0"/>
            <w:vAlign w:val="center"/>
          </w:tcPr>
          <w:p>
            <w:pPr>
              <w:keepNext w:val="0"/>
              <w:keepLines w:val="0"/>
              <w:pageBreakBefore w:val="0"/>
              <w:numPr>
                <w:ilvl w:val="0"/>
                <w:numId w:val="0"/>
              </w:numPr>
              <w:wordWrap/>
              <w:topLinePunct w:val="0"/>
              <w:bidi w:val="0"/>
              <w:snapToGrid/>
              <w:spacing w:line="0" w:lineRule="atLeast"/>
              <w:ind w:right="0" w:rightChars="0"/>
              <w:textAlignment w:val="auto"/>
              <w:rPr>
                <w:rFonts w:hint="eastAsia"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本产品费用包括托管费、销售服务费、投资管理费、超额业绩报酬（如有）以及产品运作和清算中产生的其他费用等。</w:t>
            </w:r>
          </w:p>
          <w:p>
            <w:pPr>
              <w:keepNext w:val="0"/>
              <w:keepLines w:val="0"/>
              <w:pageBreakBefore w:val="0"/>
              <w:numPr>
                <w:ilvl w:val="0"/>
                <w:numId w:val="0"/>
              </w:numPr>
              <w:wordWrap/>
              <w:topLinePunct w:val="0"/>
              <w:bidi w:val="0"/>
              <w:snapToGrid/>
              <w:spacing w:line="0" w:lineRule="atLeast"/>
              <w:ind w:right="0" w:rightChars="0"/>
              <w:textAlignment w:val="auto"/>
              <w:rPr>
                <w:rFonts w:hint="eastAsia"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1.托管费率（年化）：0.02%。</w:t>
            </w:r>
          </w:p>
          <w:p>
            <w:pPr>
              <w:keepNext w:val="0"/>
              <w:keepLines w:val="0"/>
              <w:pageBreakBefore w:val="0"/>
              <w:numPr>
                <w:ilvl w:val="0"/>
                <w:numId w:val="0"/>
              </w:numPr>
              <w:wordWrap/>
              <w:topLinePunct w:val="0"/>
              <w:bidi w:val="0"/>
              <w:snapToGrid/>
              <w:spacing w:line="0" w:lineRule="atLeast"/>
              <w:ind w:right="0" w:rightChars="0"/>
              <w:textAlignment w:val="auto"/>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2.销售服务费率（年化）：A份额 0.55%，B份额 0.55%，C份额 0.55%，D份额 0.55%，F份额 0.65%，G份额 0.55%，J份额 0.55%，J2份额 0.55%，P份额 0.45%，Q份额 0.55%，S份额 0.67%，GS份额 0.55%，S1份额 0.65%，U份额 0.60%，L份额 0.52%，Z份额 0.70%，Z1份额 0.60%，Z2份额 0.55%，ZA份额 0.65%，ZF份额 0.65%，ZF2份额 0.60%，ZF3份额 0.65%，ZF4份额 0.55%，ZF5份额 0.65%，ZJ份额 0.45%，ZL份额 0.50%，天府·优选份额 0.65%，芙蓉锦程·优选份额 0.50%，芙蓉锦程·优选-尊享款份额 0.40%，ZN份额 0.55%，ZQ份额 0.65%，ZC份额 0.60%，ZK份额 0.50%。</w:t>
            </w:r>
          </w:p>
          <w:p>
            <w:pPr>
              <w:keepNext w:val="0"/>
              <w:keepLines w:val="0"/>
              <w:pageBreakBefore w:val="0"/>
              <w:numPr>
                <w:ilvl w:val="0"/>
                <w:numId w:val="0"/>
              </w:numPr>
              <w:wordWrap/>
              <w:topLinePunct w:val="0"/>
              <w:bidi w:val="0"/>
              <w:snapToGrid/>
              <w:spacing w:line="0" w:lineRule="atLeast"/>
              <w:ind w:right="0" w:rightChars="0"/>
              <w:textAlignment w:val="auto"/>
              <w:rPr>
                <w:rFonts w:hint="eastAsia"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3.投资管理费率（年化）：A份额 0.80%，B份额 0.77%，C份额 0.75%，D份额 0.65%，F份额 0.70%，G份额 0.77%，J份额 0.70%，J2份额 0.65%，P份额 0.65%，Q份额 0.65%，S份额 0.65%，GS份额 0.65%，S1份额 0.60%，U份额 0.75%，L份额 0.73%，Z份额 0.65%，Z1份额 0.65%，Z2份额 0.65%，ZA份额 0.70%，ZF份额 0.70%，ZF2份额 0.60%，ZF3份额 0.65%，ZF4份额 0.60%，ZF5份额 0.60%，ZJ份额 0.60%，ZL份额 0.70%，天府·优选份额 0.55%，芙蓉锦程·优选份额 0.55%，芙蓉锦程·优选-尊享款份额 0.55%，ZN份额 0.65%，ZQ份额 0.70%，ZC份额 0.70%，ZK份额 0.70%。</w:t>
            </w:r>
          </w:p>
          <w:p>
            <w:pPr>
              <w:keepNext w:val="0"/>
              <w:keepLines w:val="0"/>
              <w:pageBreakBefore w:val="0"/>
              <w:numPr>
                <w:ilvl w:val="0"/>
                <w:numId w:val="0"/>
              </w:numPr>
              <w:wordWrap/>
              <w:topLinePunct w:val="0"/>
              <w:bidi w:val="0"/>
              <w:snapToGrid/>
              <w:spacing w:line="0" w:lineRule="atLeast"/>
              <w:ind w:right="0" w:rightChars="0"/>
              <w:textAlignment w:val="auto"/>
              <w:rPr>
                <w:rFonts w:hint="eastAsia"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4</w:t>
            </w:r>
            <w:r>
              <w:rPr>
                <w:rFonts w:hint="eastAsia" w:ascii="楷体" w:hAnsi="楷体" w:eastAsia="楷体" w:cs="宋体"/>
                <w:color w:val="auto"/>
                <w:spacing w:val="-2"/>
                <w:sz w:val="18"/>
                <w:szCs w:val="18"/>
                <w:highlight w:val="none"/>
              </w:rPr>
              <w:t>.超额业绩报酬：管理人按投资周期收取超额业绩报酬。若单一投资周期产品各份额实际投资收益在扣除托管费、销售服务费、投资管理费等费用后超过各份额业绩比较基准下限，则该投资周期终止日后管理人将按照超出部分的50%收取超额业绩报酬。</w:t>
            </w:r>
          </w:p>
          <w:p>
            <w:pPr>
              <w:keepNext w:val="0"/>
              <w:keepLines w:val="0"/>
              <w:pageBreakBefore w:val="0"/>
              <w:widowControl w:val="0"/>
              <w:wordWrap/>
              <w:topLinePunct w:val="0"/>
              <w:bidi w:val="0"/>
              <w:snapToGrid/>
              <w:spacing w:line="0" w:lineRule="atLeast"/>
              <w:ind w:left="0" w:leftChars="0" w:right="0" w:rightChars="0"/>
              <w:textAlignment w:val="auto"/>
              <w:rPr>
                <w:rFonts w:hint="eastAsia" w:ascii="楷体" w:hAnsi="楷体" w:eastAsia="楷体" w:cs="宋体"/>
                <w:color w:val="auto"/>
                <w:spacing w:val="-2"/>
                <w:sz w:val="18"/>
                <w:szCs w:val="18"/>
                <w:highlight w:val="none"/>
              </w:rPr>
            </w:pPr>
            <w:r>
              <w:rPr>
                <w:rFonts w:hint="eastAsia" w:ascii="楷体" w:hAnsi="楷体" w:eastAsia="楷体" w:cs="宋体"/>
                <w:color w:val="auto"/>
                <w:spacing w:val="-2"/>
                <w:sz w:val="18"/>
                <w:szCs w:val="18"/>
                <w:highlight w:val="none"/>
              </w:rPr>
              <w:t>单一投资周期运作期间内理财产品将每日暂估超额业绩报酬，仅用于理财产品会计核算，并将扣除“暂估超额业绩报酬”后的理财产品份额净值按照说明书约定向投资者进行披露。理财产品实际</w:t>
            </w:r>
            <w:r>
              <w:rPr>
                <w:rFonts w:hint="eastAsia" w:ascii="楷体" w:hAnsi="楷体" w:eastAsia="楷体" w:cs="宋体"/>
                <w:color w:val="auto"/>
                <w:spacing w:val="-2"/>
                <w:sz w:val="18"/>
                <w:szCs w:val="18"/>
                <w:highlight w:val="none"/>
                <w:lang w:val="en-US" w:eastAsia="zh-CN"/>
              </w:rPr>
              <w:t>收取</w:t>
            </w:r>
            <w:r>
              <w:rPr>
                <w:rFonts w:hint="eastAsia" w:ascii="楷体" w:hAnsi="楷体" w:eastAsia="楷体" w:cs="宋体"/>
                <w:color w:val="auto"/>
                <w:spacing w:val="-2"/>
                <w:sz w:val="18"/>
                <w:szCs w:val="18"/>
                <w:highlight w:val="none"/>
              </w:rPr>
              <w:t>的超额业绩报酬以投资周期终止日计提核算的数值为准。</w:t>
            </w:r>
          </w:p>
          <w:p>
            <w:pPr>
              <w:keepNext w:val="0"/>
              <w:keepLines w:val="0"/>
              <w:pageBreakBefore w:val="0"/>
              <w:widowControl w:val="0"/>
              <w:wordWrap/>
              <w:topLinePunct w:val="0"/>
              <w:bidi w:val="0"/>
              <w:snapToGrid/>
              <w:spacing w:line="0" w:lineRule="atLeast"/>
              <w:ind w:left="0" w:leftChars="0" w:right="0" w:rightChars="0"/>
              <w:textAlignment w:val="auto"/>
              <w:rPr>
                <w:sz w:val="18"/>
                <w:szCs w:val="18"/>
                <w:highlight w:val="none"/>
              </w:rPr>
            </w:pPr>
            <w:r>
              <w:rPr>
                <w:rFonts w:hint="eastAsia" w:ascii="楷体" w:hAnsi="楷体" w:eastAsia="楷体" w:cs="宋体"/>
                <w:b/>
                <w:spacing w:val="-2"/>
                <w:sz w:val="18"/>
                <w:szCs w:val="18"/>
                <w:highlight w:val="none"/>
                <w:u w:val="single"/>
              </w:rPr>
              <w:t>本产品设置</w:t>
            </w:r>
            <w:r>
              <w:rPr>
                <w:rFonts w:hint="eastAsia" w:ascii="楷体" w:hAnsi="楷体" w:eastAsia="楷体" w:cs="宋体"/>
                <w:b/>
                <w:bCs w:val="0"/>
                <w:spacing w:val="-2"/>
                <w:kern w:val="0"/>
                <w:sz w:val="18"/>
                <w:szCs w:val="18"/>
                <w:highlight w:val="none"/>
                <w:u w:val="single"/>
                <w:lang w:val="en-US" w:eastAsia="zh-CN" w:bidi="ar-SA"/>
              </w:rPr>
              <w:t>有多类份额，各类份额按照设置的销售对象和销售起点在不同的销售机构销售，各类份额实际收取的销售服务费率、投资管理费率和超额业绩报酬（如有）可能存在差异，投资者应根据各类份额收费情况自主选择购买。</w:t>
            </w:r>
          </w:p>
          <w:p>
            <w:pPr>
              <w:pStyle w:val="34"/>
              <w:keepNext w:val="0"/>
              <w:keepLines w:val="0"/>
              <w:pageBreakBefore w:val="0"/>
              <w:widowControl w:val="0"/>
              <w:numPr>
                <w:ilvl w:val="0"/>
                <w:numId w:val="0"/>
              </w:numPr>
              <w:kinsoku w:val="0"/>
              <w:wordWrap/>
              <w:overflowPunct w:val="0"/>
              <w:topLinePunct w:val="0"/>
              <w:autoSpaceDE w:val="0"/>
              <w:autoSpaceDN w:val="0"/>
              <w:bidi w:val="0"/>
              <w:adjustRightInd w:val="0"/>
              <w:snapToGrid/>
              <w:spacing w:line="0" w:lineRule="atLeast"/>
              <w:ind w:left="0" w:leftChars="0" w:right="0" w:rightChars="0" w:firstLine="0" w:firstLineChars="0"/>
              <w:jc w:val="both"/>
              <w:textAlignment w:val="auto"/>
              <w:rPr>
                <w:rFonts w:ascii="楷体" w:hAnsi="楷体" w:eastAsia="楷体"/>
                <w:sz w:val="18"/>
                <w:szCs w:val="18"/>
                <w:highlight w:val="none"/>
              </w:rPr>
            </w:pPr>
            <w:r>
              <w:rPr>
                <w:rFonts w:hint="eastAsia" w:ascii="楷体" w:hAnsi="楷体" w:eastAsia="楷体" w:cs="宋体"/>
                <w:b/>
                <w:bCs w:val="0"/>
                <w:spacing w:val="-2"/>
                <w:sz w:val="18"/>
                <w:szCs w:val="18"/>
                <w:highlight w:val="none"/>
                <w:u w:val="single"/>
              </w:rPr>
              <w:t>产品存续期内管理人有权根据产品运行情况制定费率优惠措施，优惠后实际执行的费率以管理人公告为准</w:t>
            </w:r>
            <w:r>
              <w:rPr>
                <w:rFonts w:hint="eastAsia" w:ascii="楷体" w:hAnsi="楷体" w:eastAsia="楷体" w:cs="宋体"/>
                <w:b/>
                <w:bCs w:val="0"/>
                <w:spacing w:val="-2"/>
                <w:sz w:val="18"/>
                <w:szCs w:val="18"/>
                <w:highlight w:val="none"/>
                <w:u w:val="singl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701" w:type="dxa"/>
            <w:tcBorders>
              <w:bottom w:val="single" w:color="auto" w:sz="4" w:space="0"/>
            </w:tcBorders>
            <w:noWrap w:val="0"/>
            <w:vAlign w:val="center"/>
          </w:tcPr>
          <w:p>
            <w:pPr>
              <w:pStyle w:val="34"/>
              <w:keepNext w:val="0"/>
              <w:keepLines w:val="0"/>
              <w:pageBreakBefore w:val="0"/>
              <w:widowControl w:val="0"/>
              <w:kinsoku w:val="0"/>
              <w:wordWrap/>
              <w:overflowPunct w:val="0"/>
              <w:topLinePunct w:val="0"/>
              <w:bidi w:val="0"/>
              <w:snapToGrid/>
              <w:spacing w:before="0" w:line="0" w:lineRule="atLeast"/>
              <w:ind w:left="0" w:leftChars="0"/>
              <w:jc w:val="both"/>
              <w:textAlignment w:val="auto"/>
              <w:rPr>
                <w:rFonts w:hint="eastAsia" w:ascii="楷体" w:hAnsi="楷体" w:eastAsia="楷体" w:cs="宋体"/>
                <w:b/>
                <w:spacing w:val="-2"/>
                <w:sz w:val="18"/>
                <w:szCs w:val="18"/>
                <w:highlight w:val="none"/>
              </w:rPr>
            </w:pPr>
            <w:r>
              <w:rPr>
                <w:rFonts w:hint="eastAsia" w:ascii="楷体" w:hAnsi="楷体" w:eastAsia="楷体" w:cs="宋体"/>
                <w:b/>
                <w:spacing w:val="-2"/>
                <w:sz w:val="18"/>
                <w:szCs w:val="18"/>
                <w:highlight w:val="none"/>
              </w:rPr>
              <w:t>收益分配</w:t>
            </w:r>
          </w:p>
        </w:tc>
        <w:tc>
          <w:tcPr>
            <w:tcW w:w="7937" w:type="dxa"/>
            <w:tcBorders>
              <w:bottom w:val="single" w:color="auto" w:sz="4" w:space="0"/>
            </w:tcBorders>
            <w:noWrap w:val="0"/>
            <w:vAlign w:val="center"/>
          </w:tcPr>
          <w:p>
            <w:pPr>
              <w:keepNext w:val="0"/>
              <w:keepLines w:val="0"/>
              <w:pageBreakBefore w:val="0"/>
              <w:widowControl w:val="0"/>
              <w:wordWrap/>
              <w:topLinePunct w:val="0"/>
              <w:bidi w:val="0"/>
              <w:snapToGrid/>
              <w:spacing w:line="0" w:lineRule="atLeast"/>
              <w:ind w:left="0" w:leftChars="0" w:right="0" w:rightChars="0"/>
              <w:textAlignment w:val="auto"/>
              <w:rPr>
                <w:rFonts w:hint="eastAsia" w:ascii="楷体" w:hAnsi="楷体" w:eastAsia="楷体" w:cs="宋体"/>
                <w:spacing w:val="-2"/>
                <w:sz w:val="18"/>
                <w:szCs w:val="18"/>
                <w:highlight w:val="none"/>
              </w:rPr>
            </w:pPr>
            <w:r>
              <w:rPr>
                <w:rFonts w:hint="eastAsia" w:ascii="楷体" w:hAnsi="楷体" w:eastAsia="楷体" w:cs="宋体"/>
                <w:spacing w:val="-2"/>
                <w:sz w:val="18"/>
                <w:szCs w:val="18"/>
                <w:highlight w:val="none"/>
              </w:rPr>
              <w:t>本产品按投资周期进行现金分红</w:t>
            </w:r>
            <w:r>
              <w:rPr>
                <w:rFonts w:hint="eastAsia" w:ascii="楷体" w:hAnsi="楷体" w:eastAsia="楷体" w:cs="宋体"/>
                <w:spacing w:val="-2"/>
                <w:sz w:val="18"/>
                <w:szCs w:val="18"/>
                <w:highlight w:val="none"/>
                <w:lang w:eastAsia="zh-CN"/>
              </w:rPr>
              <w:t>。</w:t>
            </w:r>
            <w:r>
              <w:rPr>
                <w:rFonts w:hint="eastAsia" w:ascii="楷体" w:hAnsi="楷体" w:eastAsia="楷体" w:cs="宋体"/>
                <w:spacing w:val="-2"/>
                <w:sz w:val="18"/>
                <w:szCs w:val="18"/>
                <w:highlight w:val="none"/>
              </w:rPr>
              <w:t>当一个投资周期结束，在满足投资周期终止日理财产品单位净值大于面值的条件下，管理人可进行现金分红，现金分红金额为单个投资周期投资产生的收益扣除固定费用（包括托管费、销售服务费、投资管理费）、运作产品所必须缴纳的税费、提取业绩报酬（如有）后的部分，2个工作日内到达投资者资金账户。</w:t>
            </w:r>
            <w:r>
              <w:rPr>
                <w:rFonts w:ascii="楷体" w:hAnsi="楷体" w:eastAsia="楷体" w:cs="宋体"/>
                <w:spacing w:val="-2"/>
                <w:sz w:val="18"/>
                <w:szCs w:val="18"/>
                <w:highlight w:val="none"/>
              </w:rPr>
              <w:t>详见下文</w:t>
            </w:r>
            <w:r>
              <w:rPr>
                <w:rFonts w:hint="eastAsia" w:ascii="楷体" w:hAnsi="楷体" w:eastAsia="楷体" w:cs="宋体"/>
                <w:spacing w:val="-2"/>
                <w:sz w:val="18"/>
                <w:szCs w:val="18"/>
                <w:highlight w:val="none"/>
              </w:rPr>
              <w:t>“收益分配”。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701" w:type="dxa"/>
            <w:tcBorders>
              <w:top w:val="single" w:color="auto" w:sz="4" w:space="0"/>
              <w:left w:val="single" w:color="auto" w:sz="4" w:space="0"/>
              <w:bottom w:val="single" w:color="auto" w:sz="4" w:space="0"/>
              <w:right w:val="single" w:color="auto" w:sz="4" w:space="0"/>
            </w:tcBorders>
            <w:noWrap w:val="0"/>
            <w:vAlign w:val="center"/>
          </w:tcPr>
          <w:p>
            <w:pPr>
              <w:pStyle w:val="34"/>
              <w:keepNext w:val="0"/>
              <w:keepLines w:val="0"/>
              <w:pageBreakBefore w:val="0"/>
              <w:widowControl w:val="0"/>
              <w:kinsoku w:val="0"/>
              <w:wordWrap/>
              <w:overflowPunct w:val="0"/>
              <w:topLinePunct w:val="0"/>
              <w:bidi w:val="0"/>
              <w:snapToGrid/>
              <w:spacing w:before="0" w:line="0" w:lineRule="atLeast"/>
              <w:ind w:left="0" w:leftChars="0"/>
              <w:jc w:val="both"/>
              <w:textAlignment w:val="auto"/>
              <w:rPr>
                <w:rFonts w:hint="default" w:ascii="楷体" w:hAnsi="楷体" w:eastAsia="楷体" w:cs="宋体"/>
                <w:b/>
                <w:spacing w:val="-2"/>
                <w:sz w:val="18"/>
                <w:szCs w:val="18"/>
                <w:highlight w:val="none"/>
                <w:lang w:val="en-US"/>
              </w:rPr>
            </w:pPr>
            <w:r>
              <w:rPr>
                <w:rFonts w:hint="eastAsia" w:ascii="楷体" w:hAnsi="楷体" w:eastAsia="楷体" w:cs="宋体"/>
                <w:b/>
                <w:color w:val="auto"/>
                <w:spacing w:val="-2"/>
                <w:sz w:val="18"/>
                <w:szCs w:val="18"/>
                <w:highlight w:val="none"/>
                <w:lang w:val="en-US" w:eastAsia="zh-CN"/>
              </w:rPr>
              <w:t>税款</w:t>
            </w:r>
          </w:p>
        </w:tc>
        <w:tc>
          <w:tcPr>
            <w:tcW w:w="793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wordWrap/>
              <w:topLinePunct w:val="0"/>
              <w:bidi w:val="0"/>
              <w:snapToGrid/>
              <w:spacing w:line="0" w:lineRule="atLeast"/>
              <w:ind w:left="0" w:leftChars="0" w:right="0" w:rightChars="0"/>
              <w:textAlignment w:val="auto"/>
              <w:rPr>
                <w:rFonts w:hint="eastAsia" w:ascii="楷体" w:hAnsi="楷体" w:eastAsia="楷体" w:cs="宋体"/>
                <w:spacing w:val="-2"/>
                <w:sz w:val="18"/>
                <w:szCs w:val="18"/>
                <w:highlight w:val="none"/>
              </w:rPr>
            </w:pPr>
            <w:r>
              <w:rPr>
                <w:rFonts w:hint="eastAsia" w:ascii="楷体" w:hAnsi="楷体" w:eastAsia="楷体" w:cs="宋体"/>
                <w:color w:val="auto"/>
                <w:spacing w:val="-2"/>
                <w:sz w:val="18"/>
                <w:szCs w:val="18"/>
                <w:highlight w:val="none"/>
              </w:rPr>
              <w:t>根据中国增值税等税收相关法律法规、税收政策等要求，</w:t>
            </w:r>
            <w:r>
              <w:rPr>
                <w:rFonts w:hint="eastAsia" w:ascii="楷体" w:hAnsi="楷体" w:eastAsia="楷体" w:cs="宋体"/>
                <w:color w:val="auto"/>
                <w:spacing w:val="-2"/>
                <w:sz w:val="18"/>
                <w:szCs w:val="18"/>
                <w:highlight w:val="none"/>
                <w:shd w:val="clear" w:fill="auto"/>
                <w:lang w:val="en-US" w:eastAsia="zh-CN"/>
              </w:rPr>
              <w:t>产品</w:t>
            </w:r>
            <w:r>
              <w:rPr>
                <w:rFonts w:hint="eastAsia" w:ascii="楷体" w:hAnsi="楷体" w:eastAsia="楷体" w:cs="宋体"/>
                <w:color w:val="auto"/>
                <w:spacing w:val="-2"/>
                <w:sz w:val="18"/>
                <w:szCs w:val="18"/>
                <w:highlight w:val="none"/>
              </w:rPr>
              <w:t>应缴纳的增值税及附加税费（包括但不限于城市维护建设税、教育费附加及地方教育附加等）由管理人从理财产品财产中支付，由此可能会使理财产品净值或实际收益降低。</w:t>
            </w:r>
            <w:r>
              <w:rPr>
                <w:rFonts w:hint="eastAsia" w:ascii="楷体" w:hAnsi="楷体" w:eastAsia="楷体" w:cs="宋体"/>
                <w:b/>
                <w:bCs/>
                <w:color w:val="auto"/>
                <w:spacing w:val="-2"/>
                <w:sz w:val="18"/>
                <w:szCs w:val="18"/>
                <w:highlight w:val="none"/>
                <w:u w:val="single"/>
              </w:rPr>
              <w:t>投资者从理财产品取得的收益应缴纳的税款，由投资者自行申报及缴纳。</w:t>
            </w:r>
          </w:p>
        </w:tc>
      </w:tr>
    </w:tbl>
    <w:p>
      <w:pPr>
        <w:keepNext w:val="0"/>
        <w:keepLines w:val="0"/>
        <w:pageBreakBefore w:val="0"/>
        <w:widowControl w:val="0"/>
        <w:numPr>
          <w:ilvl w:val="0"/>
          <w:numId w:val="2"/>
        </w:numPr>
        <w:tabs>
          <w:tab w:val="left" w:pos="1134"/>
          <w:tab w:val="clear" w:pos="0"/>
        </w:tabs>
        <w:kinsoku/>
        <w:wordWrap/>
        <w:overflowPunct/>
        <w:topLinePunct w:val="0"/>
        <w:autoSpaceDE/>
        <w:autoSpaceDN/>
        <w:bidi w:val="0"/>
        <w:adjustRightInd/>
        <w:snapToGrid/>
        <w:ind w:left="0" w:leftChars="0" w:firstLine="422" w:firstLineChars="200"/>
        <w:textAlignment w:val="auto"/>
        <w:outlineLvl w:val="1"/>
        <w:rPr>
          <w:rFonts w:hint="eastAsia" w:ascii="楷体" w:hAnsi="楷体" w:eastAsia="楷体"/>
          <w:b/>
          <w:sz w:val="21"/>
          <w:szCs w:val="21"/>
          <w:highlight w:val="none"/>
        </w:rPr>
      </w:pPr>
      <w:r>
        <w:rPr>
          <w:rFonts w:hint="eastAsia" w:ascii="楷体" w:hAnsi="楷体" w:eastAsia="楷体"/>
          <w:b/>
          <w:sz w:val="21"/>
          <w:szCs w:val="21"/>
          <w:highlight w:val="none"/>
        </w:rPr>
        <w:t>产品管理人</w:t>
      </w:r>
    </w:p>
    <w:p>
      <w:pPr>
        <w:keepNext w:val="0"/>
        <w:keepLines w:val="0"/>
        <w:pageBreakBefore w:val="0"/>
        <w:widowControl w:val="0"/>
        <w:numPr>
          <w:ilvl w:val="0"/>
          <w:numId w:val="0"/>
        </w:numPr>
        <w:tabs>
          <w:tab w:val="left" w:pos="728"/>
        </w:tabs>
        <w:kinsoku/>
        <w:wordWrap/>
        <w:overflowPunct/>
        <w:topLinePunct w:val="0"/>
        <w:autoSpaceDE/>
        <w:autoSpaceDN/>
        <w:bidi w:val="0"/>
        <w:adjustRightInd/>
        <w:snapToGrid/>
        <w:ind w:firstLine="420" w:firstLineChars="200"/>
        <w:textAlignment w:val="auto"/>
        <w:rPr>
          <w:rFonts w:hint="eastAsia" w:ascii="楷体" w:hAnsi="楷体" w:eastAsia="楷体" w:cs="Calibri"/>
          <w:sz w:val="21"/>
          <w:szCs w:val="21"/>
          <w:highlight w:val="none"/>
        </w:rPr>
      </w:pPr>
      <w:r>
        <w:rPr>
          <w:rFonts w:hint="eastAsia" w:ascii="楷体" w:hAnsi="楷体" w:eastAsia="楷体" w:cs="Calibri"/>
          <w:sz w:val="21"/>
          <w:szCs w:val="21"/>
          <w:highlight w:val="none"/>
        </w:rPr>
        <w:t>本产品管理人为</w:t>
      </w:r>
      <w:r>
        <w:rPr>
          <w:rFonts w:hint="eastAsia" w:ascii="楷体" w:hAnsi="楷体" w:eastAsia="楷体" w:cs="Calibri"/>
          <w:b/>
          <w:bCs/>
          <w:sz w:val="21"/>
          <w:szCs w:val="21"/>
          <w:highlight w:val="none"/>
          <w:u w:val="single"/>
        </w:rPr>
        <w:t>苏银理财有限责任公司</w:t>
      </w:r>
      <w:r>
        <w:rPr>
          <w:rFonts w:hint="eastAsia" w:ascii="楷体" w:hAnsi="楷体" w:eastAsia="楷体" w:cs="Calibri"/>
          <w:sz w:val="21"/>
          <w:szCs w:val="21"/>
          <w:highlight w:val="none"/>
        </w:rPr>
        <w:t>，苏银理财系江苏银行股份有限公司全资控股的银行理财子公司。公司主要业务范围：面向不特定社会公众公开发行理财产品，对受托的投资和财产进行投资和管理；面向合格投资者非公开发行理财产品，对受托的投资和财产进行投资和管理；理财顾问和咨询服务；经监管机构批准的其他业务等。</w:t>
      </w:r>
    </w:p>
    <w:p>
      <w:pPr>
        <w:keepNext w:val="0"/>
        <w:keepLines w:val="0"/>
        <w:pageBreakBefore w:val="0"/>
        <w:widowControl w:val="0"/>
        <w:numPr>
          <w:ilvl w:val="0"/>
          <w:numId w:val="0"/>
        </w:numPr>
        <w:tabs>
          <w:tab w:val="left" w:pos="728"/>
        </w:tabs>
        <w:kinsoku/>
        <w:wordWrap/>
        <w:overflowPunct/>
        <w:topLinePunct w:val="0"/>
        <w:autoSpaceDE/>
        <w:autoSpaceDN/>
        <w:bidi w:val="0"/>
        <w:adjustRightInd/>
        <w:snapToGrid/>
        <w:ind w:firstLine="420" w:firstLineChars="200"/>
        <w:textAlignment w:val="auto"/>
        <w:rPr>
          <w:rFonts w:hint="eastAsia" w:ascii="楷体" w:hAnsi="楷体" w:eastAsia="楷体" w:cs="Calibri"/>
          <w:sz w:val="21"/>
          <w:szCs w:val="21"/>
          <w:highlight w:val="none"/>
        </w:rPr>
      </w:pPr>
      <w:r>
        <w:rPr>
          <w:rFonts w:hint="eastAsia" w:ascii="楷体" w:hAnsi="楷体" w:eastAsia="楷体" w:cs="Calibri"/>
          <w:sz w:val="21"/>
          <w:szCs w:val="21"/>
          <w:highlight w:val="none"/>
        </w:rPr>
        <w:t>投资者在此授权并同意苏银理财享有以下权利：按照本理财产品合同的约定，管理、运用和处分理财计划资金；按照本理财产品合同的约定，及时、足额获得投资管理费；管理人有权根据本理财产品合同的约定提前终止或延长本理财产品的期限；管理人有权调整本理财产品的认购规模上限、认购起点、认购金额上限、认购资金的最低金额等要素；管理人有权依照法律规定和监管机构的要求将投资者的信息向有权部门或相关机构披露；以理财产品投资管理人的名义，依照法律法规相关规定以及为理财产品的利益，对被投资的各类基金、公司/企业等行使出资人/投资者权利（包括但不限于表决投票的权利）以及行使因理财产品投资于证券类基础资产（含债券）或其他基础资产（包括但不限于债权类资产）所产生的相关权利；以理财产品投资管理人的名义，依照法律法规相关规定以及代表理财产品份额持有人的利益行使代为追索的权利（包括但不限于提起诉讼/仲裁、申请保全/执行的权利）或者实施其他法律行为；法律法规、监管政策和本理财计划文件约定的其他权利。</w:t>
      </w:r>
    </w:p>
    <w:p>
      <w:pPr>
        <w:keepNext w:val="0"/>
        <w:keepLines w:val="0"/>
        <w:pageBreakBefore w:val="0"/>
        <w:widowControl w:val="0"/>
        <w:numPr>
          <w:ilvl w:val="0"/>
          <w:numId w:val="2"/>
        </w:numPr>
        <w:shd w:val="clear" w:color="auto" w:fill="auto"/>
        <w:tabs>
          <w:tab w:val="left" w:pos="1134"/>
          <w:tab w:val="clear" w:pos="0"/>
        </w:tabs>
        <w:kinsoku/>
        <w:wordWrap/>
        <w:overflowPunct/>
        <w:topLinePunct w:val="0"/>
        <w:autoSpaceDE/>
        <w:autoSpaceDN/>
        <w:bidi w:val="0"/>
        <w:adjustRightInd/>
        <w:snapToGrid/>
        <w:ind w:left="0" w:leftChars="0" w:firstLine="422" w:firstLineChars="200"/>
        <w:textAlignment w:val="auto"/>
        <w:outlineLvl w:val="1"/>
        <w:rPr>
          <w:rFonts w:hint="eastAsia" w:ascii="楷体" w:hAnsi="楷体" w:eastAsia="楷体"/>
          <w:b/>
          <w:sz w:val="21"/>
          <w:szCs w:val="21"/>
          <w:highlight w:val="none"/>
        </w:rPr>
      </w:pPr>
      <w:r>
        <w:rPr>
          <w:rFonts w:hint="eastAsia" w:ascii="楷体" w:hAnsi="楷体" w:eastAsia="楷体"/>
          <w:b/>
          <w:sz w:val="21"/>
          <w:szCs w:val="21"/>
          <w:highlight w:val="none"/>
        </w:rPr>
        <w:t>产品托管人</w:t>
      </w:r>
    </w:p>
    <w:p>
      <w:pPr>
        <w:keepNext w:val="0"/>
        <w:keepLines w:val="0"/>
        <w:pageBreakBefore w:val="0"/>
        <w:widowControl w:val="0"/>
        <w:numPr>
          <w:ilvl w:val="0"/>
          <w:numId w:val="0"/>
        </w:numPr>
        <w:tabs>
          <w:tab w:val="left" w:pos="728"/>
        </w:tabs>
        <w:kinsoku/>
        <w:wordWrap/>
        <w:overflowPunct/>
        <w:topLinePunct w:val="0"/>
        <w:autoSpaceDE/>
        <w:autoSpaceDN/>
        <w:bidi w:val="0"/>
        <w:adjustRightInd/>
        <w:snapToGrid/>
        <w:ind w:firstLine="420" w:firstLineChars="200"/>
        <w:textAlignment w:val="auto"/>
        <w:rPr>
          <w:rFonts w:hint="eastAsia" w:ascii="楷体" w:hAnsi="楷体" w:eastAsia="楷体" w:cs="楷体"/>
          <w:b/>
          <w:bCs/>
          <w:sz w:val="21"/>
          <w:szCs w:val="21"/>
          <w:highlight w:val="none"/>
          <w:u w:val="single"/>
        </w:rPr>
      </w:pPr>
      <w:r>
        <w:rPr>
          <w:rFonts w:hint="eastAsia" w:ascii="楷体" w:hAnsi="楷体" w:eastAsia="楷体"/>
          <w:color w:val="auto"/>
          <w:sz w:val="21"/>
          <w:szCs w:val="21"/>
          <w:highlight w:val="none"/>
        </w:rPr>
        <w:t>本产品托管人为</w:t>
      </w:r>
      <w:r>
        <w:rPr>
          <w:rFonts w:hint="eastAsia" w:ascii="楷体" w:hAnsi="楷体" w:eastAsia="楷体" w:cs="Calibri"/>
          <w:b/>
          <w:bCs/>
          <w:sz w:val="21"/>
          <w:szCs w:val="21"/>
          <w:highlight w:val="none"/>
          <w:u w:val="single"/>
          <w:lang w:val="en-US" w:eastAsia="zh-CN"/>
        </w:rPr>
        <w:t>江苏银行股份有限</w:t>
      </w:r>
      <w:r>
        <w:rPr>
          <w:rFonts w:hint="eastAsia" w:ascii="楷体" w:hAnsi="楷体" w:eastAsia="楷体" w:cs="Calibri"/>
          <w:b/>
          <w:bCs/>
          <w:sz w:val="21"/>
          <w:szCs w:val="21"/>
          <w:highlight w:val="none"/>
          <w:u w:val="single"/>
        </w:rPr>
        <w:t>公司</w:t>
      </w:r>
      <w:r>
        <w:rPr>
          <w:rFonts w:hint="eastAsia" w:ascii="楷体" w:hAnsi="楷体" w:eastAsia="楷体"/>
          <w:color w:val="auto"/>
          <w:sz w:val="21"/>
          <w:szCs w:val="21"/>
          <w:highlight w:val="none"/>
        </w:rPr>
        <w:t>。</w:t>
      </w:r>
      <w:r>
        <w:rPr>
          <w:rFonts w:hint="eastAsia" w:ascii="楷体" w:hAnsi="楷体" w:eastAsia="楷体" w:cs="Times New Roman"/>
          <w:color w:val="auto"/>
          <w:sz w:val="21"/>
          <w:szCs w:val="21"/>
          <w:highlight w:val="none"/>
        </w:rPr>
        <w:t>托管人职责</w:t>
      </w:r>
      <w:r>
        <w:rPr>
          <w:rFonts w:hint="eastAsia" w:ascii="楷体" w:hAnsi="楷体" w:eastAsia="楷体" w:cs="Times New Roman"/>
          <w:color w:val="auto"/>
          <w:sz w:val="21"/>
          <w:szCs w:val="21"/>
          <w:highlight w:val="none"/>
          <w:lang w:eastAsia="zh-CN"/>
        </w:rPr>
        <w:t>：</w:t>
      </w:r>
      <w:r>
        <w:rPr>
          <w:rFonts w:hint="eastAsia" w:ascii="楷体" w:hAnsi="楷体" w:eastAsia="楷体" w:cs="Times New Roman"/>
          <w:color w:val="auto"/>
          <w:sz w:val="21"/>
          <w:szCs w:val="21"/>
          <w:highlight w:val="none"/>
        </w:rPr>
        <w:t>安全保管理财产品财产；为理财产品开立银行托管账户、证券账户等；确认与执行理财产品资金划拨指令，办理理财产品资金的收付，核对理财产品资金划拨记录；建立与理财产品管理人的对账机制，复核理财产品资产净值、理财产品份额申购、赎回价格，及时核查投资资金的支付和到账情况；监督理财产品投资运作；办理与理财产品托管业务活动相关的信息披露事项；保存理财产品托管业务活动的记录、账册、报表和其他相关材料；对理财产品投资信息和相关资料承担保密责任；国务院银行业监督管理机构规定的其他职责。</w:t>
      </w:r>
      <w:r>
        <w:rPr>
          <w:rFonts w:hint="eastAsia" w:ascii="楷体" w:hAnsi="楷体" w:eastAsia="楷体" w:cs="楷体"/>
          <w:b/>
          <w:bCs/>
          <w:sz w:val="21"/>
          <w:szCs w:val="21"/>
          <w:highlight w:val="none"/>
          <w:u w:val="single"/>
        </w:rPr>
        <w:t>产品管理人在此特别披露：托管人为产品管理人的关联方，产品管理人聘请其担任托管人已履行现行法律法规和监管规定所规定必须履行的程序，产品管理人、投资者同意并接受理财产品由托管人托管。</w:t>
      </w:r>
    </w:p>
    <w:p>
      <w:pPr>
        <w:keepNext w:val="0"/>
        <w:keepLines w:val="0"/>
        <w:pageBreakBefore w:val="0"/>
        <w:widowControl w:val="0"/>
        <w:numPr>
          <w:ilvl w:val="0"/>
          <w:numId w:val="2"/>
        </w:numPr>
        <w:shd w:val="clear" w:color="auto" w:fill="auto"/>
        <w:tabs>
          <w:tab w:val="left" w:pos="1134"/>
          <w:tab w:val="clear" w:pos="0"/>
        </w:tabs>
        <w:kinsoku/>
        <w:wordWrap/>
        <w:overflowPunct/>
        <w:topLinePunct w:val="0"/>
        <w:autoSpaceDE/>
        <w:autoSpaceDN/>
        <w:bidi w:val="0"/>
        <w:adjustRightInd/>
        <w:snapToGrid/>
        <w:ind w:left="0" w:leftChars="0" w:firstLine="422" w:firstLineChars="200"/>
        <w:textAlignment w:val="auto"/>
        <w:outlineLvl w:val="1"/>
        <w:rPr>
          <w:rFonts w:hint="eastAsia" w:ascii="楷体" w:hAnsi="楷体" w:eastAsia="楷体"/>
          <w:b/>
          <w:sz w:val="21"/>
          <w:szCs w:val="21"/>
          <w:highlight w:val="none"/>
        </w:rPr>
      </w:pPr>
      <w:r>
        <w:rPr>
          <w:rFonts w:hint="eastAsia" w:ascii="楷体" w:hAnsi="楷体" w:eastAsia="楷体"/>
          <w:b/>
          <w:sz w:val="21"/>
          <w:szCs w:val="21"/>
          <w:highlight w:val="none"/>
        </w:rPr>
        <w:t>销售机构</w:t>
      </w:r>
    </w:p>
    <w:p>
      <w:pPr>
        <w:numPr>
          <w:ilvl w:val="0"/>
          <w:numId w:val="0"/>
        </w:numPr>
        <w:tabs>
          <w:tab w:val="left" w:pos="1134"/>
        </w:tabs>
        <w:ind w:left="0" w:leftChars="0" w:firstLine="420" w:firstLineChars="200"/>
        <w:rPr>
          <w:rFonts w:hint="eastAsia" w:ascii="楷体" w:hAnsi="楷体" w:eastAsia="楷体"/>
          <w:sz w:val="21"/>
          <w:szCs w:val="21"/>
          <w:highlight w:val="none"/>
        </w:rPr>
      </w:pPr>
      <w:r>
        <w:rPr>
          <w:rFonts w:hint="eastAsia" w:ascii="楷体" w:hAnsi="楷体" w:eastAsia="楷体"/>
          <w:sz w:val="21"/>
          <w:szCs w:val="21"/>
          <w:highlight w:val="none"/>
        </w:rPr>
        <w:t>本产品可以通过商业银行、农村合作银行、村镇银行、农村信用合作社等吸收公众存款的银行业金融机构，或者国务院银行业监督管理机构认可的其他机构进行销售。</w:t>
      </w:r>
      <w:r>
        <w:rPr>
          <w:rFonts w:hint="eastAsia" w:ascii="楷体" w:hAnsi="楷体" w:eastAsia="楷体"/>
          <w:b w:val="0"/>
          <w:bCs w:val="0"/>
          <w:sz w:val="21"/>
          <w:szCs w:val="21"/>
          <w:highlight w:val="none"/>
          <w:u w:val="none"/>
        </w:rPr>
        <w:t>销售机构负责理财产品宣传推广、投资者风险承受能力评估和投资者适当性管理、理财产品</w:t>
      </w:r>
      <w:r>
        <w:rPr>
          <w:rFonts w:hint="eastAsia" w:ascii="楷体" w:hAnsi="楷体" w:eastAsia="楷体"/>
          <w:b w:val="0"/>
          <w:bCs w:val="0"/>
          <w:sz w:val="21"/>
          <w:szCs w:val="21"/>
          <w:highlight w:val="none"/>
          <w:u w:val="none"/>
          <w:lang w:val="en-US" w:eastAsia="zh-CN"/>
        </w:rPr>
        <w:t>投资者</w:t>
      </w:r>
      <w:r>
        <w:rPr>
          <w:rFonts w:hint="eastAsia" w:ascii="楷体" w:hAnsi="楷体" w:eastAsia="楷体"/>
          <w:b w:val="0"/>
          <w:bCs w:val="0"/>
          <w:sz w:val="21"/>
          <w:szCs w:val="21"/>
          <w:highlight w:val="none"/>
          <w:u w:val="none"/>
        </w:rPr>
        <w:t>身份识别及反洗钱、反恐怖融资及非居民金融账户涉税信息调查、理财产品份额认购/申购/赎回、协助管理人与投资者订立理财产品</w:t>
      </w:r>
      <w:r>
        <w:rPr>
          <w:rFonts w:hint="eastAsia" w:ascii="楷体" w:hAnsi="楷体" w:eastAsia="楷体"/>
          <w:color w:val="auto"/>
          <w:sz w:val="21"/>
          <w:szCs w:val="21"/>
          <w:highlight w:val="none"/>
          <w:lang w:val="en-US" w:eastAsia="zh-CN"/>
        </w:rPr>
        <w:t>销售文件</w:t>
      </w:r>
      <w:r>
        <w:rPr>
          <w:rFonts w:hint="eastAsia" w:ascii="楷体" w:hAnsi="楷体" w:eastAsia="楷体"/>
          <w:b w:val="0"/>
          <w:bCs w:val="0"/>
          <w:sz w:val="21"/>
          <w:szCs w:val="21"/>
          <w:highlight w:val="none"/>
          <w:u w:val="none"/>
        </w:rPr>
        <w:t>、协助投资者与管理人沟通、接受投资者咨询和</w:t>
      </w:r>
      <w:r>
        <w:rPr>
          <w:rFonts w:hint="eastAsia" w:ascii="楷体" w:hAnsi="楷体" w:eastAsia="楷体"/>
          <w:b w:val="0"/>
          <w:bCs w:val="0"/>
          <w:sz w:val="21"/>
          <w:szCs w:val="21"/>
          <w:highlight w:val="none"/>
          <w:u w:val="none"/>
          <w:lang w:val="en-US" w:eastAsia="zh-CN"/>
        </w:rPr>
        <w:t>投资者</w:t>
      </w:r>
      <w:r>
        <w:rPr>
          <w:rFonts w:hint="eastAsia" w:ascii="楷体" w:hAnsi="楷体" w:eastAsia="楷体"/>
          <w:b w:val="0"/>
          <w:bCs w:val="0"/>
          <w:sz w:val="21"/>
          <w:szCs w:val="21"/>
          <w:highlight w:val="none"/>
          <w:u w:val="none"/>
        </w:rPr>
        <w:t>维护等销售服务工作。销售机构不承担产品投资</w:t>
      </w:r>
      <w:r>
        <w:rPr>
          <w:rFonts w:hint="eastAsia" w:ascii="楷体" w:hAnsi="楷体" w:eastAsia="楷体"/>
          <w:b w:val="0"/>
          <w:bCs w:val="0"/>
          <w:sz w:val="21"/>
          <w:szCs w:val="21"/>
          <w:highlight w:val="none"/>
          <w:u w:val="none"/>
          <w:lang w:val="en-US" w:eastAsia="zh-CN"/>
        </w:rPr>
        <w:t>和</w:t>
      </w:r>
      <w:r>
        <w:rPr>
          <w:rFonts w:hint="eastAsia" w:ascii="楷体" w:hAnsi="楷体" w:eastAsia="楷体"/>
          <w:b w:val="0"/>
          <w:bCs w:val="0"/>
          <w:sz w:val="21"/>
          <w:szCs w:val="21"/>
          <w:highlight w:val="none"/>
          <w:u w:val="none"/>
        </w:rPr>
        <w:t>兑付责任，产品的投资</w:t>
      </w:r>
      <w:r>
        <w:rPr>
          <w:rFonts w:hint="eastAsia" w:ascii="楷体" w:hAnsi="楷体" w:eastAsia="楷体"/>
          <w:b w:val="0"/>
          <w:bCs w:val="0"/>
          <w:sz w:val="21"/>
          <w:szCs w:val="21"/>
          <w:highlight w:val="none"/>
          <w:u w:val="none"/>
          <w:lang w:val="en-US" w:eastAsia="zh-CN"/>
        </w:rPr>
        <w:t>和</w:t>
      </w:r>
      <w:r>
        <w:rPr>
          <w:rFonts w:hint="eastAsia" w:ascii="楷体" w:hAnsi="楷体" w:eastAsia="楷体"/>
          <w:b w:val="0"/>
          <w:bCs w:val="0"/>
          <w:sz w:val="21"/>
          <w:szCs w:val="21"/>
          <w:highlight w:val="none"/>
          <w:u w:val="none"/>
        </w:rPr>
        <w:t>兑付责任由管理人承担。</w:t>
      </w:r>
    </w:p>
    <w:p>
      <w:pPr>
        <w:numPr>
          <w:ilvl w:val="0"/>
          <w:numId w:val="0"/>
        </w:numPr>
        <w:tabs>
          <w:tab w:val="left" w:pos="993"/>
        </w:tabs>
        <w:ind w:left="0" w:leftChars="0" w:firstLine="420" w:firstLineChars="200"/>
        <w:rPr>
          <w:rFonts w:hint="eastAsia"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本产品各类份额销售机构如下：</w:t>
      </w:r>
    </w:p>
    <w:p>
      <w:pPr>
        <w:keepNext w:val="0"/>
        <w:keepLines w:val="0"/>
        <w:pageBreakBefore w:val="0"/>
        <w:widowControl w:val="0"/>
        <w:kinsoku/>
        <w:wordWrap/>
        <w:overflowPunct/>
        <w:topLinePunct w:val="0"/>
        <w:autoSpaceDE/>
        <w:autoSpaceDN/>
        <w:bidi w:val="0"/>
        <w:adjustRightInd/>
        <w:snapToGrid/>
        <w:ind w:left="0" w:leftChars="0" w:firstLine="420" w:firstLineChars="0"/>
        <w:jc w:val="both"/>
        <w:textAlignment w:val="auto"/>
        <w:rPr>
          <w:rFonts w:hint="default" w:ascii="楷体" w:hAnsi="楷体" w:eastAsia="楷体" w:cs="楷体"/>
          <w:sz w:val="21"/>
          <w:szCs w:val="21"/>
          <w:highlight w:val="none"/>
          <w:lang w:val="en-US" w:eastAsia="zh-CN"/>
        </w:rPr>
      </w:pPr>
      <w:r>
        <w:rPr>
          <w:rFonts w:hint="eastAsia" w:ascii="楷体" w:hAnsi="楷体" w:eastAsia="楷体" w:cs="楷体"/>
          <w:sz w:val="21"/>
          <w:szCs w:val="21"/>
          <w:highlight w:val="none"/>
          <w:lang w:val="en-US" w:eastAsia="zh-CN"/>
        </w:rPr>
        <w:t>A份额:江苏银行股份有限公司/江苏邳州农村商业银行股份有限公司/江苏南通农村商业银行股份有限公司/江苏高邮农村商业银行股份有限公司/江苏淮安农村商业银行股份有限公司/江苏宜兴农村商业银行股份有限公司/江苏阜宁农村商业银行股份有限公司/江苏高淳农村商业银行股份有限公司/江苏如皋农村商业银行股份有限公司/江苏扬中农村商业银行股份有限公司/江苏溧水农村商业银行股份有限公司/江苏洪泽农村商业银行股份有限公司/江苏仪征农村商业银行股份有限公司/江苏新沂农村商业银行股份有限公司/江苏扬州农村商业银行股份有限公司/江苏丹阳农村商业银行股份有限公司/江苏紫金农村商业银行股份有限公司/江苏盱眙农村商业银行股份有限公司/江苏如东农村商业银行股份有限公司/江苏涟水农村商业银行股份有限公司/江苏句容农村商业银行股份有限公司/江苏东台农村商业银行股份有限公司/江苏海安农村商业银行股份有限公司/江苏沭阳农村商业银行股份有限公司/江苏江阴农村商业银行股份有限公司/江苏靖江农村商业银行股份有限公司/九江银行股份有限公司/江苏泰兴农村商业银行股份有限公司/宁波东海银行股份有限公司/齐鲁银行股份有限公司/苏银理财有限责任公司/上海银行股份有限公司/上海农村商业银行股份有限公司/威海银行股份有限公司/兴业银行股份有限公司/兴业银行股份有限公司钱大/徐州农村商业银行股份有限公司</w:t>
      </w:r>
      <w:r>
        <w:rPr>
          <w:rFonts w:hint="eastAsia" w:ascii="楷体" w:hAnsi="楷体" w:eastAsia="楷体" w:cs="楷体"/>
          <w:sz w:val="21"/>
          <w:szCs w:val="21"/>
          <w:highlight w:val="none"/>
          <w:lang w:val="en-US" w:eastAsia="zh-CN"/>
        </w:rPr>
        <w:br w:type="textWrapping"/>
      </w:r>
      <w:r>
        <w:rPr>
          <w:rFonts w:hint="eastAsia" w:ascii="楷体" w:hAnsi="楷体" w:eastAsia="楷体" w:cs="楷体"/>
          <w:sz w:val="21"/>
          <w:szCs w:val="21"/>
          <w:highlight w:val="none"/>
          <w:lang w:val="en-US" w:eastAsia="zh-CN"/>
        </w:rPr>
        <w:t xml:space="preserve">    B份额:江苏银行股份有限公司/江苏邳州农村商业银行股份有限公司/江苏南通农村商业银行股份有限公司/江苏高邮农村商业银行股份有限公司/江苏淮安农村商业银行股份有限公司/江苏常熟农村商业银行股份有限公司/江苏宜兴农村商业银行股份有限公司/江苏阜宁农村商业银行股份有限公司/江苏高淳农村商业银行股份有限公司/江苏如皋农村商业银行股份有限公司/江苏扬中农村商业银行股份有限公司/江苏溧水农村商业银行股份有限公司/江苏洪泽农村商业银行股份有限公司/江苏仪征农村商业银行股份有限公司/江苏新沂农村商业银行股份有限公司/江苏扬州农村商业银行股份有限公司/江苏苏州农村商业银行股份有限公司/江苏丹阳农村商业银行股份有限公司/江苏紫金农村商业银行股份有限公司/江苏盱眙农村商业银行股份有限公司/江苏如东农村商业银行股份有限公司/江苏涟水农村商业银行股份有限公司/江苏句容农村商业银行股份有限公司/江苏东台农村商业银行股份有限公司/江苏海安农村商业银行股份有限公司/江苏沭阳农村商业银行股份有限公司/江苏靖江农村商业银行股份有限公司/江苏泰兴农村商业银行股份有限公司/宁波东海银行股份有限公司/齐鲁银行股份有限公司/苏银理财有限责任公司/威海银行股份有限公司/兴业银行股份有限公司钱大/徐州农村商业银行股份有限公司</w:t>
      </w:r>
      <w:r>
        <w:rPr>
          <w:rFonts w:hint="eastAsia" w:ascii="楷体" w:hAnsi="楷体" w:eastAsia="楷体" w:cs="楷体"/>
          <w:sz w:val="21"/>
          <w:szCs w:val="21"/>
          <w:highlight w:val="none"/>
          <w:lang w:val="en-US" w:eastAsia="zh-CN"/>
        </w:rPr>
        <w:br w:type="textWrapping"/>
      </w:r>
      <w:r>
        <w:rPr>
          <w:rFonts w:hint="eastAsia" w:ascii="楷体" w:hAnsi="楷体" w:eastAsia="楷体" w:cs="楷体"/>
          <w:sz w:val="21"/>
          <w:szCs w:val="21"/>
          <w:highlight w:val="none"/>
          <w:lang w:val="en-US" w:eastAsia="zh-CN"/>
        </w:rPr>
        <w:t xml:space="preserve">    C份额:江苏紫金农村商业银行股份有限公司/江苏银行股份有限公司/苏银理财有限责任公司</w:t>
      </w:r>
      <w:r>
        <w:rPr>
          <w:rFonts w:hint="eastAsia" w:ascii="楷体" w:hAnsi="楷体" w:eastAsia="楷体" w:cs="楷体"/>
          <w:sz w:val="21"/>
          <w:szCs w:val="21"/>
          <w:highlight w:val="none"/>
          <w:lang w:val="en-US" w:eastAsia="zh-CN"/>
        </w:rPr>
        <w:br w:type="textWrapping"/>
      </w:r>
      <w:r>
        <w:rPr>
          <w:rFonts w:hint="eastAsia" w:ascii="楷体" w:hAnsi="楷体" w:eastAsia="楷体" w:cs="楷体"/>
          <w:sz w:val="21"/>
          <w:szCs w:val="21"/>
          <w:highlight w:val="none"/>
          <w:lang w:val="en-US" w:eastAsia="zh-CN"/>
        </w:rPr>
        <w:t xml:space="preserve">    D份额:江苏江阴农村商业银行股份有限公司/江苏银行股份有限公司/上海银行股份有限公司</w:t>
      </w:r>
      <w:r>
        <w:rPr>
          <w:rFonts w:hint="eastAsia" w:ascii="楷体" w:hAnsi="楷体" w:eastAsia="楷体" w:cs="楷体"/>
          <w:sz w:val="21"/>
          <w:szCs w:val="21"/>
          <w:highlight w:val="none"/>
          <w:lang w:val="en-US" w:eastAsia="zh-CN"/>
        </w:rPr>
        <w:br w:type="textWrapping"/>
      </w:r>
      <w:r>
        <w:rPr>
          <w:rFonts w:hint="eastAsia" w:ascii="楷体" w:hAnsi="楷体" w:eastAsia="楷体" w:cs="楷体"/>
          <w:sz w:val="21"/>
          <w:szCs w:val="21"/>
          <w:highlight w:val="none"/>
          <w:lang w:val="en-US" w:eastAsia="zh-CN"/>
        </w:rPr>
        <w:t xml:space="preserve">    F份额:北京农村商业银行股份有限公司/广州农村商业银行股份有限公司/甘肃银行股份有限公司/广州银行股份有限公司/杭州联合农村商业银行股份有限公司/华侨银行有限公司/交通银行股份有限公司/九江银行股份有限公司/宁波余姚农村商业银行股份有限公司/宁波慈溪农村商业银行股份有限公司/宁波镇海农村商业银行股份有限公司/宁波通商银行股份有限公司/苏州银行股份有限公司/山西银行股份有限公司/上海浦东发展银行股份有限公司/深圳农村商业银行股份有限公司/泰安银行股份有限公司/台州银行股份有限公司/天津滨海农村商业银行股份有限公司/潍坊银行股份有限公司/兴业银行股份有限公司/浙江温州瓯海农村商业银行股份有限公司/浙江开化农村商业银行股份有限公司/浙江青田农村商业银行股份有限公司/浙江舟山定海海洋农村商业银行股份有限公司/浙江上虞农村商业银行股份有限公司/浙江义乌农村商业银行股份有限公司/浙江乐清农村商业银行股份有限公司/浙江临海农村商业银行股份有限公司/浙江德清农村商业银行股份有限公司/浙江嘉善农村商业银行股份有限公司/中邮邮惠万家银行有限责任公司/浙江杭州余杭农村商业银行股份有限公司/浙江永康农村商业银行股份有限公司/浙江岱山农村商业银行股份有限公司/浙江海宁农村商业银行股份有限公司/浙江长兴农村商业银行股份有限公司/浙江泰顺农村商业银行股份有限公司/浙江绍兴瑞丰农村商业银行股份有限公司/浙商银行股份有限公司/浙江桐庐农村商业银行股份有限公司/浙江江山农村商业银行股份有限公司/浙江淳安农村商业银行股份有限公司/浙江永嘉农村商业银行股份有限公司/浙江萧山农村商业银行股份有限公司/浙江武义农村商业银行股份有限公司/浙江温州龙湾农村商业银行股份有限公司</w:t>
      </w:r>
      <w:r>
        <w:rPr>
          <w:rFonts w:hint="eastAsia" w:ascii="楷体" w:hAnsi="楷体" w:eastAsia="楷体" w:cs="楷体"/>
          <w:sz w:val="21"/>
          <w:szCs w:val="21"/>
          <w:highlight w:val="none"/>
          <w:lang w:val="en-US" w:eastAsia="zh-CN"/>
        </w:rPr>
        <w:br w:type="textWrapping"/>
      </w:r>
      <w:r>
        <w:rPr>
          <w:rFonts w:hint="eastAsia" w:ascii="楷体" w:hAnsi="楷体" w:eastAsia="楷体" w:cs="楷体"/>
          <w:sz w:val="21"/>
          <w:szCs w:val="21"/>
          <w:highlight w:val="none"/>
          <w:lang w:val="en-US" w:eastAsia="zh-CN"/>
        </w:rPr>
        <w:t xml:space="preserve">    G份额:广州农村商业银行股份有限公司/杭州联合农村商业银行股份有限公司/徽商银行股份有限公司/宁波通商银行股份有限公司/深圳农村商业银行股份有限公司/山西银行股份有限公司/兴业银行股份有限公司/浙江嘉善农村商业银行股份有限公司/浙江温州瓯海农村商业银行股份有限公司/浙江杭州余杭农村商业银行股份有限公司/浙江萧山农村商业银行股份有限公司/浙江绍兴瑞丰农村商业银行股份有限公司/浙江海宁农村商业银行股份有限公司/浙商银行股份有限公司/浙江德清农村商业银行股份有限公司</w:t>
      </w:r>
      <w:r>
        <w:rPr>
          <w:rFonts w:hint="eastAsia" w:ascii="楷体" w:hAnsi="楷体" w:eastAsia="楷体" w:cs="楷体"/>
          <w:sz w:val="21"/>
          <w:szCs w:val="21"/>
          <w:highlight w:val="none"/>
          <w:lang w:val="en-US" w:eastAsia="zh-CN"/>
        </w:rPr>
        <w:br w:type="textWrapping"/>
      </w:r>
      <w:r>
        <w:rPr>
          <w:rFonts w:hint="eastAsia" w:ascii="楷体" w:hAnsi="楷体" w:eastAsia="楷体" w:cs="楷体"/>
          <w:sz w:val="21"/>
          <w:szCs w:val="21"/>
          <w:highlight w:val="none"/>
          <w:lang w:val="en-US" w:eastAsia="zh-CN"/>
        </w:rPr>
        <w:t xml:space="preserve">    J份额:江苏银行股份有限公司/江苏如皋农村商业银行股份有限公司/上海银行股份有限公司/威海银行股份有限公司</w:t>
      </w:r>
      <w:r>
        <w:rPr>
          <w:rFonts w:hint="eastAsia" w:ascii="楷体" w:hAnsi="楷体" w:eastAsia="楷体" w:cs="楷体"/>
          <w:sz w:val="21"/>
          <w:szCs w:val="21"/>
          <w:highlight w:val="none"/>
          <w:lang w:val="en-US" w:eastAsia="zh-CN"/>
        </w:rPr>
        <w:br w:type="textWrapping"/>
      </w:r>
      <w:r>
        <w:rPr>
          <w:rFonts w:hint="eastAsia" w:ascii="楷体" w:hAnsi="楷体" w:eastAsia="楷体" w:cs="楷体"/>
          <w:sz w:val="21"/>
          <w:szCs w:val="21"/>
          <w:highlight w:val="none"/>
          <w:lang w:val="en-US" w:eastAsia="zh-CN"/>
        </w:rPr>
        <w:t xml:space="preserve">    J2份额:江苏银行股份有限公司</w:t>
      </w:r>
      <w:r>
        <w:rPr>
          <w:rFonts w:hint="eastAsia" w:ascii="楷体" w:hAnsi="楷体" w:eastAsia="楷体" w:cs="楷体"/>
          <w:sz w:val="21"/>
          <w:szCs w:val="21"/>
          <w:highlight w:val="none"/>
          <w:lang w:val="en-US" w:eastAsia="zh-CN"/>
        </w:rPr>
        <w:br w:type="textWrapping"/>
      </w:r>
      <w:r>
        <w:rPr>
          <w:rFonts w:hint="eastAsia" w:ascii="楷体" w:hAnsi="楷体" w:eastAsia="楷体" w:cs="楷体"/>
          <w:sz w:val="21"/>
          <w:szCs w:val="21"/>
          <w:highlight w:val="none"/>
          <w:lang w:val="en-US" w:eastAsia="zh-CN"/>
        </w:rPr>
        <w:t xml:space="preserve">    P份额:甘肃银行股份有限公司/徽商银行股份有限公司/泰安银行股份有限公司/郑州银行股份有限公司</w:t>
      </w:r>
      <w:r>
        <w:rPr>
          <w:rFonts w:hint="eastAsia" w:ascii="楷体" w:hAnsi="楷体" w:eastAsia="楷体" w:cs="楷体"/>
          <w:sz w:val="21"/>
          <w:szCs w:val="21"/>
          <w:highlight w:val="none"/>
          <w:lang w:val="en-US" w:eastAsia="zh-CN"/>
        </w:rPr>
        <w:br w:type="textWrapping"/>
      </w:r>
      <w:r>
        <w:rPr>
          <w:rFonts w:hint="eastAsia" w:ascii="楷体" w:hAnsi="楷体" w:eastAsia="楷体" w:cs="楷体"/>
          <w:sz w:val="21"/>
          <w:szCs w:val="21"/>
          <w:highlight w:val="none"/>
          <w:lang w:val="en-US" w:eastAsia="zh-CN"/>
        </w:rPr>
        <w:t xml:space="preserve">    Q份额:上海浦东发展银行股份有限公司</w:t>
      </w:r>
      <w:r>
        <w:rPr>
          <w:rFonts w:hint="eastAsia" w:ascii="楷体" w:hAnsi="楷体" w:eastAsia="楷体" w:cs="楷体"/>
          <w:sz w:val="21"/>
          <w:szCs w:val="21"/>
          <w:highlight w:val="none"/>
          <w:lang w:val="en-US" w:eastAsia="zh-CN"/>
        </w:rPr>
        <w:br w:type="textWrapping"/>
      </w:r>
      <w:r>
        <w:rPr>
          <w:rFonts w:hint="eastAsia" w:ascii="楷体" w:hAnsi="楷体" w:eastAsia="楷体" w:cs="楷体"/>
          <w:sz w:val="21"/>
          <w:szCs w:val="21"/>
          <w:highlight w:val="none"/>
          <w:lang w:val="en-US" w:eastAsia="zh-CN"/>
        </w:rPr>
        <w:t xml:space="preserve">    S份额:上海浦东发展银行股份有限公司</w:t>
      </w:r>
      <w:r>
        <w:rPr>
          <w:rFonts w:hint="eastAsia" w:ascii="楷体" w:hAnsi="楷体" w:eastAsia="楷体" w:cs="楷体"/>
          <w:sz w:val="21"/>
          <w:szCs w:val="21"/>
          <w:highlight w:val="none"/>
          <w:lang w:val="en-US" w:eastAsia="zh-CN"/>
        </w:rPr>
        <w:br w:type="textWrapping"/>
      </w:r>
      <w:r>
        <w:rPr>
          <w:rFonts w:hint="eastAsia" w:ascii="楷体" w:hAnsi="楷体" w:eastAsia="楷体" w:cs="楷体"/>
          <w:sz w:val="21"/>
          <w:szCs w:val="21"/>
          <w:highlight w:val="none"/>
          <w:lang w:val="en-US" w:eastAsia="zh-CN"/>
        </w:rPr>
        <w:t xml:space="preserve">    GS份额:甘肃银行股份有限公司/秦皇岛银行股份有限公司/日照银行股份有限公司/天津滨海农村商业银行股份有限公司/郑州银行股份有限公司/兰州银行股份有限公司/天津滨海农村商业银行股份有限公司</w:t>
      </w:r>
      <w:r>
        <w:rPr>
          <w:rFonts w:hint="eastAsia" w:ascii="楷体" w:hAnsi="楷体" w:eastAsia="楷体" w:cs="楷体"/>
          <w:sz w:val="21"/>
          <w:szCs w:val="21"/>
          <w:highlight w:val="none"/>
          <w:lang w:val="en-US" w:eastAsia="zh-CN"/>
        </w:rPr>
        <w:br w:type="textWrapping"/>
      </w:r>
      <w:r>
        <w:rPr>
          <w:rFonts w:hint="eastAsia" w:ascii="楷体" w:hAnsi="楷体" w:eastAsia="楷体" w:cs="楷体"/>
          <w:sz w:val="21"/>
          <w:szCs w:val="21"/>
          <w:highlight w:val="none"/>
          <w:lang w:val="en-US" w:eastAsia="zh-CN"/>
        </w:rPr>
        <w:t xml:space="preserve">    S1份额:晋商银行股份有限公司/山西银行股份有限公司</w:t>
      </w:r>
      <w:r>
        <w:rPr>
          <w:rFonts w:hint="eastAsia" w:ascii="楷体" w:hAnsi="楷体" w:eastAsia="楷体" w:cs="楷体"/>
          <w:sz w:val="21"/>
          <w:szCs w:val="21"/>
          <w:highlight w:val="none"/>
          <w:lang w:val="en-US" w:eastAsia="zh-CN"/>
        </w:rPr>
        <w:br w:type="textWrapping"/>
      </w:r>
      <w:r>
        <w:rPr>
          <w:rFonts w:hint="eastAsia" w:ascii="楷体" w:hAnsi="楷体" w:eastAsia="楷体" w:cs="楷体"/>
          <w:sz w:val="21"/>
          <w:szCs w:val="21"/>
          <w:highlight w:val="none"/>
          <w:lang w:val="en-US" w:eastAsia="zh-CN"/>
        </w:rPr>
        <w:t xml:space="preserve">    U份额:徽商银行股份有限公司</w:t>
      </w:r>
    </w:p>
    <w:p>
      <w:pPr>
        <w:keepNext w:val="0"/>
        <w:keepLines w:val="0"/>
        <w:pageBreakBefore w:val="0"/>
        <w:widowControl w:val="0"/>
        <w:kinsoku/>
        <w:wordWrap/>
        <w:overflowPunct/>
        <w:topLinePunct w:val="0"/>
        <w:autoSpaceDE/>
        <w:autoSpaceDN/>
        <w:bidi w:val="0"/>
        <w:adjustRightInd/>
        <w:snapToGrid/>
        <w:ind w:left="0" w:leftChars="0" w:firstLine="420" w:firstLineChars="0"/>
        <w:jc w:val="both"/>
        <w:textAlignment w:val="auto"/>
        <w:rPr>
          <w:rFonts w:hint="default" w:ascii="楷体" w:hAnsi="楷体" w:eastAsia="楷体" w:cs="楷体"/>
          <w:sz w:val="21"/>
          <w:szCs w:val="21"/>
          <w:highlight w:val="none"/>
          <w:lang w:val="en-US" w:eastAsia="zh-CN"/>
        </w:rPr>
      </w:pPr>
      <w:r>
        <w:rPr>
          <w:rFonts w:hint="eastAsia" w:ascii="楷体" w:hAnsi="楷体" w:eastAsia="楷体" w:cs="楷体"/>
          <w:sz w:val="21"/>
          <w:szCs w:val="21"/>
          <w:highlight w:val="none"/>
          <w:lang w:val="en-US" w:eastAsia="zh-CN"/>
        </w:rPr>
        <w:t>L份额:深圳农村商业银行股份有限公司</w:t>
      </w:r>
      <w:r>
        <w:rPr>
          <w:rFonts w:hint="eastAsia" w:ascii="楷体" w:hAnsi="楷体" w:eastAsia="楷体" w:cs="楷体"/>
          <w:sz w:val="21"/>
          <w:szCs w:val="21"/>
          <w:highlight w:val="none"/>
          <w:lang w:val="en-US" w:eastAsia="zh-CN"/>
        </w:rPr>
        <w:br w:type="textWrapping"/>
      </w:r>
      <w:r>
        <w:rPr>
          <w:rFonts w:hint="eastAsia" w:ascii="楷体" w:hAnsi="楷体" w:eastAsia="楷体" w:cs="楷体"/>
          <w:sz w:val="21"/>
          <w:szCs w:val="21"/>
          <w:highlight w:val="none"/>
          <w:lang w:val="en-US" w:eastAsia="zh-CN"/>
        </w:rPr>
        <w:t xml:space="preserve">    Z份额:江苏东台农村商业银行股份有限公司/上海农村商业银行股份有限公司</w:t>
      </w:r>
      <w:r>
        <w:rPr>
          <w:rFonts w:hint="eastAsia" w:ascii="楷体" w:hAnsi="楷体" w:eastAsia="楷体" w:cs="楷体"/>
          <w:sz w:val="21"/>
          <w:szCs w:val="21"/>
          <w:highlight w:val="none"/>
          <w:lang w:val="en-US" w:eastAsia="zh-CN"/>
        </w:rPr>
        <w:br w:type="textWrapping"/>
      </w:r>
      <w:r>
        <w:rPr>
          <w:rFonts w:hint="eastAsia" w:ascii="楷体" w:hAnsi="楷体" w:eastAsia="楷体" w:cs="楷体"/>
          <w:sz w:val="21"/>
          <w:szCs w:val="21"/>
          <w:highlight w:val="none"/>
          <w:lang w:val="en-US" w:eastAsia="zh-CN"/>
        </w:rPr>
        <w:t xml:space="preserve">    Z1份额:上海农村商业银行股份有限公司</w:t>
      </w:r>
      <w:r>
        <w:rPr>
          <w:rFonts w:hint="eastAsia" w:ascii="楷体" w:hAnsi="楷体" w:eastAsia="楷体" w:cs="楷体"/>
          <w:sz w:val="21"/>
          <w:szCs w:val="21"/>
          <w:highlight w:val="none"/>
          <w:lang w:val="en-US" w:eastAsia="zh-CN"/>
        </w:rPr>
        <w:br w:type="textWrapping"/>
      </w:r>
      <w:r>
        <w:rPr>
          <w:rFonts w:hint="eastAsia" w:ascii="楷体" w:hAnsi="楷体" w:eastAsia="楷体" w:cs="楷体"/>
          <w:sz w:val="21"/>
          <w:szCs w:val="21"/>
          <w:highlight w:val="none"/>
          <w:lang w:val="en-US" w:eastAsia="zh-CN"/>
        </w:rPr>
        <w:t xml:space="preserve">    Z2份额:上海农村商业银行股份有限公司</w:t>
      </w:r>
    </w:p>
    <w:p>
      <w:pPr>
        <w:keepNext w:val="0"/>
        <w:keepLines w:val="0"/>
        <w:pageBreakBefore w:val="0"/>
        <w:widowControl w:val="0"/>
        <w:kinsoku/>
        <w:wordWrap/>
        <w:overflowPunct/>
        <w:topLinePunct w:val="0"/>
        <w:autoSpaceDE/>
        <w:autoSpaceDN/>
        <w:bidi w:val="0"/>
        <w:adjustRightInd/>
        <w:snapToGrid/>
        <w:ind w:left="0" w:leftChars="0" w:firstLine="420" w:firstLineChars="0"/>
        <w:jc w:val="both"/>
        <w:textAlignment w:val="auto"/>
        <w:rPr>
          <w:rFonts w:hint="eastAsia" w:ascii="楷体" w:hAnsi="楷体" w:eastAsia="楷体" w:cs="楷体"/>
          <w:sz w:val="21"/>
          <w:szCs w:val="21"/>
          <w:highlight w:val="none"/>
          <w:lang w:val="en-US" w:eastAsia="zh-CN"/>
        </w:rPr>
      </w:pPr>
      <w:r>
        <w:rPr>
          <w:rFonts w:hint="eastAsia" w:ascii="楷体" w:hAnsi="楷体" w:eastAsia="楷体" w:cs="楷体"/>
          <w:sz w:val="21"/>
          <w:szCs w:val="21"/>
          <w:highlight w:val="none"/>
          <w:lang w:val="en-US" w:eastAsia="zh-CN"/>
        </w:rPr>
        <w:t>ZA份额:江苏建湖农村商业银行股份有限公司/江苏大丰农村商业银行股份有限公司/江苏启东农村商业银行股份有限公司/江苏邳州农村商业银行股份有限公司/江苏泗阳农村商业银行股份有限公司/江苏丰县农村商业银行股份有限公司/江苏南通农村商业银行股份有限公司/江苏高邮农村商业银行股份有限公司/江苏淮安农村商业银行股份有限公司/江苏民丰农村商业银行股份有限公司/江苏常熟农村商业银行股份有限公司/江苏盐城农村商业银行股份有限公司/江苏宜兴农村商业银行股份有限公司/江苏阜宁农村商业银行股份有限公司/江苏高淳农村商业银行股份有限公司/江苏如皋农村商业银行股份有限公司/江苏扬中农村商业银行股份有限公司/江苏溧水农村商业银行股份有限公司/江苏洪泽农村商业银行股份有限公司/江苏姜堰农村商业银行股份有限公司/江苏金湖农村商业银行股份有限公司/江苏东海农村商业银行股份有限公司/江苏镇江农村商业银行股份有限公司/江苏江都农村商业银行股份有限公司/江苏仪征农村商业银行股份有限公司/江苏新沂农村商业银行股份有限公司/江苏扬州农村商业银行股份有限公司/江苏苏州农村商业银行股份有限公司/江苏丹阳农村商业银行股份有限公司/江苏海门农村商业银行股份有限公司/江苏紫金农村商业银行股份有限公司/江苏盱眙农村商业银行股份有限公司/江苏灌南农村商业银行股份有限公司/江苏如东农村商业银行股份有限公司/江苏睢宁农村商业银行股份有限公司/江苏涟水农村商业银行股份有限公司/江苏句容农村商业银行股份有限公司/江苏响水农村商业银行股份有限公司/江苏东台农村商业银行股份有限公司/江苏海安农村商业银行股份有限公司/江苏沭阳农村商业银行股份有限公司/江苏靖江农村商业银行股份有限公司/江苏灌云农村商业银行股份有限公司/江苏泗洪农村商业银行股份有限公司/江苏泰兴农村商业银行股份有限公司/连云港东方农村商业银行股份有限公司/宁波东海银行股份有限公司/徐州农村商业银行股份有限公司</w:t>
      </w:r>
      <w:r>
        <w:rPr>
          <w:rFonts w:hint="eastAsia" w:ascii="楷体" w:hAnsi="楷体" w:eastAsia="楷体" w:cs="楷体"/>
          <w:sz w:val="21"/>
          <w:szCs w:val="21"/>
          <w:highlight w:val="none"/>
          <w:lang w:val="en-US" w:eastAsia="zh-CN"/>
        </w:rPr>
        <w:br w:type="textWrapping"/>
      </w:r>
      <w:r>
        <w:rPr>
          <w:rFonts w:hint="eastAsia" w:ascii="楷体" w:hAnsi="楷体" w:eastAsia="楷体" w:cs="楷体"/>
          <w:sz w:val="21"/>
          <w:szCs w:val="21"/>
          <w:highlight w:val="none"/>
          <w:lang w:val="en-US" w:eastAsia="zh-CN"/>
        </w:rPr>
        <w:t xml:space="preserve">    ZF份额:河北银行股份有限公司/汉口银行股份有限公司/江苏江南农村商业银行股份有限公司/嘉兴银行股份有限公司/江苏张家港农村商业银行股份有限公司/莱商银行股份有限公司/宁波余姚农村商业银行股份有限公司/宁波慈溪农村商业银行股份有限公司/宁波甬城农村商业银行股份有限公司/宁波镇海农村商业银行股份有限公司/苏州银行股份有限公司/厦门银行股份有限公司/兴业银行股份有限公司/浙江嵊州农村商业银行股份有限公司/浙江温州瓯海农村商业银行股份有限公司/浙江开化农村商业银行股份有限公司/浙江青田农村商业银行股份有限公司/浙江上虞农村商业银行股份有限公司/浙江义乌农村商业银行股份有限公司/浙江临海农村商业银行股份有限公司/浙江临安农村商业银行股份有限公司/浙江龙泉农村商业银行股份有限公司/浙江嘉善农村商业银行股份有限公司/浙江南浔农村商业银行股份有限公司/浙江杭州余杭农村商业银行股份有限公司/浙江永康农村商业银行股份有限公司/浙江岱山农村商业银行股份有限公司/浙江东阳农村商业银行股份有限公司/浙江泰顺农村商业银行股份有限公司/浙江衢州衢江农村商业银行股份有限公司/浙江兰溪农村商业银行股份有限公司/浙江民泰商业银行股份有限公司/浙江江山农村商业银行股份有限公司/浙江衢州柯城农村商业银行股份有限公司/浙江萧山农村商业银行股份有限公司/浙江武义农村商业银行股份有限公司/浙江浦江农村商业银行股份有限公司/浙江德清农村商业银行股份有限公司/浙江温州龙湾农村商业银行股份有限公司/浙江温岭农村商业银行股份有限公司/浙江新昌农村商业银行股份有限公司</w:t>
      </w:r>
      <w:r>
        <w:rPr>
          <w:rFonts w:hint="eastAsia" w:ascii="楷体" w:hAnsi="楷体" w:eastAsia="楷体" w:cs="楷体"/>
          <w:sz w:val="21"/>
          <w:szCs w:val="21"/>
          <w:highlight w:val="none"/>
          <w:lang w:val="en-US" w:eastAsia="zh-CN"/>
        </w:rPr>
        <w:br w:type="textWrapping"/>
      </w:r>
      <w:r>
        <w:rPr>
          <w:rFonts w:hint="eastAsia" w:ascii="楷体" w:hAnsi="楷体" w:eastAsia="楷体" w:cs="楷体"/>
          <w:sz w:val="21"/>
          <w:szCs w:val="21"/>
          <w:highlight w:val="none"/>
          <w:lang w:val="en-US" w:eastAsia="zh-CN"/>
        </w:rPr>
        <w:t xml:space="preserve">    ZF2份额:石嘴山银行股份有限公司</w:t>
      </w:r>
      <w:r>
        <w:rPr>
          <w:rFonts w:hint="eastAsia" w:ascii="楷体" w:hAnsi="楷体" w:eastAsia="楷体" w:cs="楷体"/>
          <w:sz w:val="21"/>
          <w:szCs w:val="21"/>
          <w:highlight w:val="none"/>
          <w:lang w:val="en-US" w:eastAsia="zh-CN"/>
        </w:rPr>
        <w:br w:type="textWrapping"/>
      </w:r>
      <w:r>
        <w:rPr>
          <w:rFonts w:hint="eastAsia" w:ascii="楷体" w:hAnsi="楷体" w:eastAsia="楷体" w:cs="楷体"/>
          <w:sz w:val="21"/>
          <w:szCs w:val="21"/>
          <w:highlight w:val="none"/>
          <w:lang w:val="en-US" w:eastAsia="zh-CN"/>
        </w:rPr>
        <w:t xml:space="preserve">    ZF3份额:江门农村商业银行股份有限公司/石嘴山银行股份有限公司/浙江嵊州农村商业银行股份有限公司/中山农村商业银行股份有限公司/浙江温州瓯海农村商业银行股份有限公司/浙江开化农村商业银行股份有限公司/浙江青田农村商业银行股份有限公司/浙江上虞农村商业银行股份有限公司/浙江临海农村商业银行股份有限公司/浙江龙泉农村商业银行股份有限公司/浙江嘉善农村商业银行股份有限公司/浙江南浔农村商业银行股份有限公司/浙江永康农村商业银行股份有限公司/浙江岱山农村商业银行股份有限公司/浙江东阳农村商业银行股份有限公司/浙江泰顺农村商业银行股份有限公司/浙江兰溪农村商业银行股份有限公司/浙江松阳农村商业银行股份有限公司/浙江衢州柯城农村商业银行股份有限公司/浙江武义农村商业银行股份有限公司/浙江浦江农村商业银行股份有限公司/浙江德清农村商业银行股份有限公司/浙江衢州衢江农村商业银行股份有限公司/浙江温岭农村商业银行股份有限公司/浙江新昌农村商业银行股份有限公司</w:t>
      </w:r>
      <w:r>
        <w:rPr>
          <w:rFonts w:hint="eastAsia" w:ascii="楷体" w:hAnsi="楷体" w:eastAsia="楷体" w:cs="楷体"/>
          <w:sz w:val="21"/>
          <w:szCs w:val="21"/>
          <w:highlight w:val="none"/>
          <w:lang w:val="en-US" w:eastAsia="zh-CN"/>
        </w:rPr>
        <w:br w:type="textWrapping"/>
      </w:r>
      <w:r>
        <w:rPr>
          <w:rFonts w:hint="eastAsia" w:ascii="楷体" w:hAnsi="楷体" w:eastAsia="楷体" w:cs="楷体"/>
          <w:sz w:val="21"/>
          <w:szCs w:val="21"/>
          <w:highlight w:val="none"/>
          <w:lang w:val="en-US" w:eastAsia="zh-CN"/>
        </w:rPr>
        <w:t xml:space="preserve">    ZF4份额:石嘴山银行股份有限公司</w:t>
      </w:r>
      <w:r>
        <w:rPr>
          <w:rFonts w:hint="eastAsia" w:ascii="楷体" w:hAnsi="楷体" w:eastAsia="楷体" w:cs="楷体"/>
          <w:sz w:val="21"/>
          <w:szCs w:val="21"/>
          <w:highlight w:val="none"/>
          <w:lang w:val="en-US" w:eastAsia="zh-CN"/>
        </w:rPr>
        <w:br w:type="textWrapping"/>
      </w:r>
      <w:r>
        <w:rPr>
          <w:rFonts w:hint="eastAsia" w:ascii="楷体" w:hAnsi="楷体" w:eastAsia="楷体" w:cs="楷体"/>
          <w:sz w:val="21"/>
          <w:szCs w:val="21"/>
          <w:highlight w:val="none"/>
          <w:lang w:val="en-US" w:eastAsia="zh-CN"/>
        </w:rPr>
        <w:t xml:space="preserve">    ZF5份额:嘉兴银行股份有限公司</w:t>
      </w:r>
      <w:r>
        <w:rPr>
          <w:rFonts w:hint="eastAsia" w:ascii="楷体" w:hAnsi="楷体" w:eastAsia="楷体" w:cs="楷体"/>
          <w:sz w:val="21"/>
          <w:szCs w:val="21"/>
          <w:highlight w:val="none"/>
          <w:lang w:val="en-US" w:eastAsia="zh-CN"/>
        </w:rPr>
        <w:br w:type="textWrapping"/>
      </w:r>
      <w:r>
        <w:rPr>
          <w:rFonts w:hint="eastAsia" w:ascii="楷体" w:hAnsi="楷体" w:eastAsia="楷体" w:cs="楷体"/>
          <w:sz w:val="21"/>
          <w:szCs w:val="21"/>
          <w:highlight w:val="none"/>
          <w:lang w:val="en-US" w:eastAsia="zh-CN"/>
        </w:rPr>
        <w:t xml:space="preserve">    ZJ份额:湖州吴兴农村商业银行股份有限公司/宁波通商银行股份有限公司/苏银理财有限责任公司/泰安银行股份有限公司/浙江苍南农村商业银行股份有限公司/浙江嵊州农村商业银行股份有限公司/浙江温州瓯海农村商业银行股份有限公司/浙江龙游农村商业银行股份有限公司/浙江开化农村商业银行股份有限公司/浙江青田农村商业银行股份有限公司/浙江天台农村商业银行股份有限公司/浙江舟山定海海洋农村商业银行股份有限公司/浙江上虞农村商业银行股份有限公司/浙江义乌农村商业银行股份有限公司/浙江乐清农村商业银行股份有限公司/浙江临海农村商业银行股份有限公司/浙江平湖农村商业银行股份有限公司/浙江文成农村商业银行股份有限公司/浙江桐乡农村商业银行股份有限公司/浙江龙泉农村商业银行股份有限公司/浙江嘉善农村商业银行股份有限公司/浙江南浔农村商业银行股份有限公司/浙江永康农村商业银行股份有限公司/浙江舟山普陀农村商业银行股份有限公司/浙江岱山农村商业银行股份有限公司/浙江海宁农村商业银行股份有限公司/浙江诸暨农村商业银行股份有限公司/浙江禾城农村商业银行股份有限公司/浙江遂昌农村商业银行股份有限公司/浙江瑞安农村商业银行股份有限公司/浙江东阳农村商业银行股份有限公司/浙江金华成泰农村商业银行股份有限公司/浙江缙云农村商业银行股份有限公司/浙江泰顺农村商业银行股份有限公司/浙江绍兴恒信农村商业银行股份有限公司/浙江衢州衢江农村商业银行股份有限公司/浙江绍兴瑞丰农村商业银行股份有限公司/浙江温州鹿城农村商业银行股份有限公司/浙江兰溪农村商业银行股份有限公司/浙江江山农村商业银行股份有限公司/浙江安吉农村商业银行股份有限公司/浙江台州黄岩农村商业银行股份有限公司/浙江衢州柯城农村商业银行股份有限公司/浙江永嘉农村商业银行股份有限公司/浙江仙居农村商业银行股份有限公司/浙江武义农村商业银行股份有限公司/浙江台州路桥农村商业银行股份有限公司/浙江浦江农村商业银行股份有限公司/浙江海盐农村商业银行股份有限公司/浙江德清农村商业银行股份有限公司/浙江温州龙湾农村商业银行股份有限公司/浙江长兴农村商业银行股份有限公司/浙江温岭农村商业银行股份有限公司/浙江新昌农村商业银行股份有限公司</w:t>
      </w:r>
      <w:r>
        <w:rPr>
          <w:rFonts w:hint="eastAsia" w:ascii="楷体" w:hAnsi="楷体" w:eastAsia="楷体" w:cs="楷体"/>
          <w:sz w:val="21"/>
          <w:szCs w:val="21"/>
          <w:highlight w:val="none"/>
          <w:lang w:val="en-US" w:eastAsia="zh-CN"/>
        </w:rPr>
        <w:br w:type="textWrapping"/>
      </w:r>
      <w:r>
        <w:rPr>
          <w:rFonts w:hint="eastAsia" w:ascii="楷体" w:hAnsi="楷体" w:eastAsia="楷体" w:cs="楷体"/>
          <w:sz w:val="21"/>
          <w:szCs w:val="21"/>
          <w:highlight w:val="none"/>
          <w:lang w:val="en-US" w:eastAsia="zh-CN"/>
        </w:rPr>
        <w:t xml:space="preserve">    ZL份额:苏州银行股份有限公司</w:t>
      </w:r>
      <w:r>
        <w:rPr>
          <w:rFonts w:hint="eastAsia" w:ascii="楷体" w:hAnsi="楷体" w:eastAsia="楷体" w:cs="楷体"/>
          <w:sz w:val="21"/>
          <w:szCs w:val="21"/>
          <w:highlight w:val="none"/>
          <w:lang w:val="en-US" w:eastAsia="zh-CN"/>
        </w:rPr>
        <w:br w:type="textWrapping"/>
      </w:r>
      <w:r>
        <w:rPr>
          <w:rFonts w:hint="eastAsia" w:ascii="楷体" w:hAnsi="楷体" w:eastAsia="楷体" w:cs="楷体"/>
          <w:sz w:val="21"/>
          <w:szCs w:val="21"/>
          <w:highlight w:val="none"/>
          <w:lang w:val="en-US" w:eastAsia="zh-CN"/>
        </w:rPr>
        <w:t xml:space="preserve">    天府·优选份额:成都农村商业银行股份有限公司/苏银理财有限责任公司</w:t>
      </w:r>
      <w:r>
        <w:rPr>
          <w:rFonts w:hint="eastAsia" w:ascii="楷体" w:hAnsi="楷体" w:eastAsia="楷体" w:cs="楷体"/>
          <w:sz w:val="21"/>
          <w:szCs w:val="21"/>
          <w:highlight w:val="none"/>
          <w:lang w:val="en-US" w:eastAsia="zh-CN"/>
        </w:rPr>
        <w:br w:type="textWrapping"/>
      </w:r>
      <w:r>
        <w:rPr>
          <w:rFonts w:hint="eastAsia" w:ascii="楷体" w:hAnsi="楷体" w:eastAsia="楷体" w:cs="楷体"/>
          <w:sz w:val="21"/>
          <w:szCs w:val="21"/>
          <w:highlight w:val="none"/>
          <w:lang w:val="en-US" w:eastAsia="zh-CN"/>
        </w:rPr>
        <w:t xml:space="preserve">    芙蓉锦程·优选份额:成都银行股份有限公司</w:t>
      </w:r>
      <w:r>
        <w:rPr>
          <w:rFonts w:hint="eastAsia" w:ascii="楷体" w:hAnsi="楷体" w:eastAsia="楷体" w:cs="楷体"/>
          <w:sz w:val="21"/>
          <w:szCs w:val="21"/>
          <w:highlight w:val="none"/>
          <w:lang w:val="en-US" w:eastAsia="zh-CN"/>
        </w:rPr>
        <w:br w:type="textWrapping"/>
      </w:r>
      <w:r>
        <w:rPr>
          <w:rFonts w:hint="eastAsia" w:ascii="楷体" w:hAnsi="楷体" w:eastAsia="楷体" w:cs="楷体"/>
          <w:sz w:val="21"/>
          <w:szCs w:val="21"/>
          <w:highlight w:val="none"/>
          <w:lang w:val="en-US" w:eastAsia="zh-CN"/>
        </w:rPr>
        <w:t xml:space="preserve">    芙蓉锦程·优选-尊享款份额:成都银行股份有限公司</w:t>
      </w:r>
    </w:p>
    <w:p>
      <w:pPr>
        <w:keepNext w:val="0"/>
        <w:keepLines w:val="0"/>
        <w:pageBreakBefore w:val="0"/>
        <w:widowControl w:val="0"/>
        <w:kinsoku/>
        <w:wordWrap/>
        <w:overflowPunct/>
        <w:topLinePunct w:val="0"/>
        <w:autoSpaceDE/>
        <w:autoSpaceDN/>
        <w:bidi w:val="0"/>
        <w:adjustRightInd/>
        <w:snapToGrid/>
        <w:ind w:left="0" w:leftChars="0" w:firstLine="420" w:firstLineChars="0"/>
        <w:jc w:val="both"/>
        <w:textAlignment w:val="auto"/>
        <w:rPr>
          <w:rFonts w:hint="default" w:ascii="楷体" w:hAnsi="楷体" w:eastAsia="楷体" w:cs="楷体"/>
          <w:kern w:val="2"/>
          <w:sz w:val="21"/>
          <w:szCs w:val="21"/>
          <w:highlight w:val="none"/>
          <w:lang w:val="en-US" w:eastAsia="zh-CN" w:bidi="ar-SA"/>
        </w:rPr>
      </w:pPr>
      <w:r>
        <w:rPr>
          <w:rFonts w:hint="eastAsia" w:ascii="楷体" w:hAnsi="楷体" w:eastAsia="楷体" w:cs="楷体"/>
          <w:sz w:val="21"/>
          <w:szCs w:val="21"/>
          <w:highlight w:val="none"/>
          <w:lang w:val="en-US" w:eastAsia="zh-CN"/>
        </w:rPr>
        <w:t>ZN份额:广西北部湾银行股份有限公司/河北银行股份有限公司/宁波通商银行股份有限公司/浙江萧山农村商业银行股份有限公司</w:t>
      </w:r>
      <w:r>
        <w:rPr>
          <w:rFonts w:hint="eastAsia" w:ascii="楷体" w:hAnsi="楷体" w:eastAsia="楷体" w:cs="楷体"/>
          <w:sz w:val="21"/>
          <w:szCs w:val="21"/>
          <w:highlight w:val="none"/>
          <w:lang w:val="en-US" w:eastAsia="zh-CN"/>
        </w:rPr>
        <w:br w:type="textWrapping"/>
      </w:r>
      <w:r>
        <w:rPr>
          <w:rFonts w:hint="eastAsia" w:ascii="楷体" w:hAnsi="楷体" w:eastAsia="楷体" w:cs="楷体"/>
          <w:sz w:val="21"/>
          <w:szCs w:val="21"/>
          <w:highlight w:val="none"/>
          <w:lang w:val="en-US" w:eastAsia="zh-CN"/>
        </w:rPr>
        <w:t xml:space="preserve">    ZQ份额:江苏苏州农村商业银行股份有限公司</w:t>
      </w:r>
      <w:r>
        <w:rPr>
          <w:rFonts w:hint="eastAsia" w:ascii="楷体" w:hAnsi="楷体" w:eastAsia="楷体" w:cs="楷体"/>
          <w:sz w:val="21"/>
          <w:szCs w:val="21"/>
          <w:highlight w:val="none"/>
          <w:lang w:val="en-US" w:eastAsia="zh-CN"/>
        </w:rPr>
        <w:br w:type="textWrapping"/>
      </w:r>
      <w:r>
        <w:rPr>
          <w:rFonts w:hint="eastAsia" w:ascii="楷体" w:hAnsi="楷体" w:eastAsia="楷体" w:cs="楷体"/>
          <w:sz w:val="21"/>
          <w:szCs w:val="21"/>
          <w:highlight w:val="none"/>
          <w:lang w:val="en-US" w:eastAsia="zh-CN"/>
        </w:rPr>
        <w:t xml:space="preserve">    ZC份额:江苏建湖农村商业银行股份有限公司/江苏大丰农村商业银行股份有限公司/江苏泗阳农村商业银行股份有限公司/江苏高邮农村商业银行股份有限公司/江苏民丰农村商业银行股份有限公司/江苏常熟农村商业银行股份有限公司/江苏兴化农村商业银行股份有限公司/江苏盐城农村商业银行股份有限公司/江苏宜兴农村商业银行股份有限公司/江苏阜宁农村商业银行股份有限公司/江苏沛县农村商业银行股份有限公司/江苏高淳农村商业银行股份有限公司/江苏如皋农村商业银行股份有限公司/江苏溧水农村商业银行股份有限公司/江苏姜堰农村商业银行股份有限公司/江苏东海农村商业银行股份有限公司/江苏江都农村商业银行股份有限公司/江苏仪征农村商业银行股份有限公司/江苏新沂农村商业银行股份有限公司/江苏扬州农村商业银行股份有限公司/江苏丹阳农村商业银行股份有限公司/江苏紫金农村商业银行股份有限公司/江苏灌南农村商业银行股份有限公司/江苏如东农村商业银行股份有限公司/江苏响水农村商业银行股份有限公司/江苏东台农村商业银行股份有限公司/江苏海安农村商业银行股份有限公司/江苏滨海农村商业银行股份有限公司/江苏泰兴农村商业银行股份有限公司/连云港东方农村商业银行股份有限公司</w:t>
      </w:r>
      <w:r>
        <w:rPr>
          <w:rFonts w:hint="eastAsia" w:ascii="楷体" w:hAnsi="楷体" w:eastAsia="楷体" w:cs="楷体"/>
          <w:sz w:val="21"/>
          <w:szCs w:val="21"/>
          <w:highlight w:val="none"/>
          <w:lang w:val="en-US" w:eastAsia="zh-CN"/>
        </w:rPr>
        <w:br w:type="textWrapping"/>
      </w:r>
      <w:r>
        <w:rPr>
          <w:rFonts w:hint="eastAsia" w:ascii="楷体" w:hAnsi="楷体" w:eastAsia="楷体" w:cs="楷体"/>
          <w:sz w:val="21"/>
          <w:szCs w:val="21"/>
          <w:highlight w:val="none"/>
          <w:lang w:val="en-US" w:eastAsia="zh-CN"/>
        </w:rPr>
        <w:t xml:space="preserve">    ZK份额:江苏建湖农村商业银行股份有限公司/江苏大丰农村商业银行股份有限公司/江苏泗阳农村商业银行股份有限公司/江苏南通农村商业银行股份有限公司/江苏高邮农村商业银行股份有限公司/江苏民丰农村商业银行股份有限公司/江苏常熟农村商业银行股份有限公司/江苏兴化农村商业银行股份有限公司/江苏盐城农村商业银行股份有限公司/江苏宜兴农村商业银行股份有限公司/江苏阜宁农村商业银行股份有限公司/江苏沛县农村商业银行股份有限公司/江苏高淳农村商业银行股份有限公司/江苏如皋农村商业银行股份有限公司/江苏溧水农村商业银行股份有限公司/江苏姜堰农村商业银行股份有限公司/江苏江都农村商业银行股份有限公司/江苏仪征农村商业银行股份有限公司/江苏新沂农村商业银行股份有限公司/江苏扬州农村商业银行股份有限公司/江苏丹阳农村商业银行股份有限公司/江苏紫金农村商业银行股份有限公司/江苏灌南农村商业银行股份有限公司/江苏如东农村商业银行股份有限公司/江苏响水农村商业银行股份有限公司/江苏东台农村商业银行股份有限公司/江苏海安农村商业银行股份有限公司/江苏滨海农村商业银行股份有限公司/江苏泰兴农村商业银行股份有限公司/连云港东方农村商业银行股份有限公司/江苏东海农村商业银行股份有限公司</w:t>
      </w:r>
    </w:p>
    <w:p>
      <w:pPr>
        <w:keepNext w:val="0"/>
        <w:keepLines w:val="0"/>
        <w:pageBreakBefore w:val="0"/>
        <w:widowControl w:val="0"/>
        <w:numPr>
          <w:ilvl w:val="0"/>
          <w:numId w:val="2"/>
        </w:numPr>
        <w:tabs>
          <w:tab w:val="left" w:pos="1134"/>
          <w:tab w:val="clear" w:pos="0"/>
        </w:tabs>
        <w:kinsoku/>
        <w:wordWrap/>
        <w:overflowPunct/>
        <w:topLinePunct w:val="0"/>
        <w:autoSpaceDE/>
        <w:autoSpaceDN/>
        <w:bidi w:val="0"/>
        <w:adjustRightInd/>
        <w:snapToGrid/>
        <w:ind w:left="0" w:leftChars="0" w:firstLine="422" w:firstLineChars="200"/>
        <w:textAlignment w:val="auto"/>
        <w:outlineLvl w:val="1"/>
        <w:rPr>
          <w:rFonts w:hint="eastAsia" w:ascii="楷体" w:hAnsi="楷体" w:eastAsia="楷体"/>
          <w:b/>
          <w:sz w:val="21"/>
          <w:szCs w:val="21"/>
          <w:highlight w:val="none"/>
        </w:rPr>
      </w:pPr>
      <w:r>
        <w:rPr>
          <w:rFonts w:hint="eastAsia" w:ascii="楷体" w:hAnsi="楷体" w:eastAsia="楷体"/>
          <w:b/>
          <w:sz w:val="21"/>
          <w:szCs w:val="21"/>
          <w:highlight w:val="none"/>
        </w:rPr>
        <w:t>名词释义</w:t>
      </w:r>
    </w:p>
    <w:p>
      <w:pPr>
        <w:ind w:firstLine="420" w:firstLineChars="200"/>
        <w:rPr>
          <w:rFonts w:hint="eastAsia" w:ascii="楷体" w:hAnsi="楷体" w:eastAsia="楷体"/>
          <w:sz w:val="21"/>
          <w:szCs w:val="21"/>
          <w:highlight w:val="none"/>
        </w:rPr>
      </w:pPr>
      <w:r>
        <w:rPr>
          <w:rFonts w:hint="eastAsia" w:ascii="楷体" w:hAnsi="楷体" w:eastAsia="楷体"/>
          <w:sz w:val="21"/>
          <w:szCs w:val="21"/>
          <w:highlight w:val="none"/>
        </w:rPr>
        <w:t>在本理财产品说明书中，除非上下文另有明确约定，下列用词将具有如下含义：</w:t>
      </w:r>
    </w:p>
    <w:p>
      <w:pPr>
        <w:numPr>
          <w:ilvl w:val="0"/>
          <w:numId w:val="3"/>
        </w:numPr>
        <w:tabs>
          <w:tab w:val="left" w:pos="993"/>
        </w:tabs>
        <w:ind w:left="0" w:firstLine="420" w:firstLineChars="200"/>
        <w:outlineLvl w:val="2"/>
        <w:rPr>
          <w:rFonts w:hint="eastAsia" w:ascii="楷体" w:hAnsi="楷体" w:eastAsia="楷体" w:cs="Calibri"/>
          <w:b w:val="0"/>
          <w:bCs/>
          <w:sz w:val="21"/>
          <w:szCs w:val="21"/>
          <w:highlight w:val="none"/>
        </w:rPr>
      </w:pPr>
      <w:r>
        <w:rPr>
          <w:rFonts w:hint="eastAsia" w:ascii="楷体" w:hAnsi="楷体" w:eastAsia="楷体" w:cs="Calibri"/>
          <w:b w:val="0"/>
          <w:bCs/>
          <w:sz w:val="21"/>
          <w:szCs w:val="21"/>
          <w:highlight w:val="none"/>
        </w:rPr>
        <w:t>理财产品用语</w:t>
      </w:r>
    </w:p>
    <w:p>
      <w:pPr>
        <w:keepNext w:val="0"/>
        <w:keepLines w:val="0"/>
        <w:pageBreakBefore w:val="0"/>
        <w:widowControl w:val="0"/>
        <w:numPr>
          <w:ilvl w:val="0"/>
          <w:numId w:val="4"/>
        </w:numPr>
        <w:tabs>
          <w:tab w:val="left" w:pos="728"/>
          <w:tab w:val="clear" w:pos="420"/>
        </w:tabs>
        <w:kinsoku/>
        <w:wordWrap/>
        <w:overflowPunct/>
        <w:topLinePunct w:val="0"/>
        <w:autoSpaceDE/>
        <w:autoSpaceDN/>
        <w:bidi w:val="0"/>
        <w:adjustRightInd/>
        <w:snapToGrid/>
        <w:ind w:left="0" w:leftChars="0" w:firstLine="420" w:firstLineChars="200"/>
        <w:textAlignment w:val="auto"/>
        <w:rPr>
          <w:rFonts w:hint="eastAsia" w:ascii="楷体" w:hAnsi="楷体" w:eastAsia="楷体" w:cs="Calibri"/>
          <w:sz w:val="21"/>
          <w:szCs w:val="21"/>
          <w:highlight w:val="none"/>
        </w:rPr>
      </w:pPr>
      <w:r>
        <w:rPr>
          <w:rFonts w:hint="eastAsia" w:ascii="楷体" w:hAnsi="楷体" w:eastAsia="楷体" w:cs="Calibri"/>
          <w:sz w:val="21"/>
          <w:szCs w:val="21"/>
          <w:highlight w:val="none"/>
        </w:rPr>
        <w:t>销售代码：指本理财产品可能设置一</w:t>
      </w:r>
      <w:r>
        <w:rPr>
          <w:rFonts w:hint="eastAsia" w:ascii="楷体" w:hAnsi="楷体" w:eastAsia="楷体" w:cs="Calibri"/>
          <w:sz w:val="21"/>
          <w:szCs w:val="21"/>
          <w:highlight w:val="none"/>
          <w:lang w:val="en-US" w:eastAsia="zh-CN"/>
        </w:rPr>
        <w:t>类</w:t>
      </w:r>
      <w:r>
        <w:rPr>
          <w:rFonts w:hint="eastAsia" w:ascii="楷体" w:hAnsi="楷体" w:eastAsia="楷体" w:cs="Calibri"/>
          <w:sz w:val="21"/>
          <w:szCs w:val="21"/>
          <w:highlight w:val="none"/>
        </w:rPr>
        <w:t>或多</w:t>
      </w:r>
      <w:r>
        <w:rPr>
          <w:rFonts w:hint="eastAsia" w:ascii="楷体" w:hAnsi="楷体" w:eastAsia="楷体" w:cs="Calibri"/>
          <w:sz w:val="21"/>
          <w:szCs w:val="21"/>
          <w:highlight w:val="none"/>
          <w:lang w:val="en-US" w:eastAsia="zh-CN"/>
        </w:rPr>
        <w:t>类</w:t>
      </w:r>
      <w:r>
        <w:rPr>
          <w:rFonts w:hint="eastAsia" w:ascii="楷体" w:hAnsi="楷体" w:eastAsia="楷体" w:cs="Calibri"/>
          <w:sz w:val="21"/>
          <w:szCs w:val="21"/>
          <w:highlight w:val="none"/>
        </w:rPr>
        <w:t>产品份额，管理人在理财产品销售管理过程中对各</w:t>
      </w:r>
      <w:r>
        <w:rPr>
          <w:rFonts w:hint="eastAsia" w:ascii="楷体" w:hAnsi="楷体" w:eastAsia="楷体" w:cs="Calibri"/>
          <w:sz w:val="21"/>
          <w:szCs w:val="21"/>
          <w:highlight w:val="none"/>
          <w:lang w:val="en-US" w:eastAsia="zh-CN"/>
        </w:rPr>
        <w:t>类</w:t>
      </w:r>
      <w:r>
        <w:rPr>
          <w:rFonts w:hint="eastAsia" w:ascii="楷体" w:hAnsi="楷体" w:eastAsia="楷体" w:cs="Calibri"/>
          <w:sz w:val="21"/>
          <w:szCs w:val="21"/>
          <w:highlight w:val="none"/>
        </w:rPr>
        <w:t>份额设置的</w:t>
      </w:r>
      <w:r>
        <w:rPr>
          <w:rFonts w:hint="eastAsia" w:ascii="楷体" w:hAnsi="楷体" w:eastAsia="楷体" w:cs="Calibri"/>
          <w:sz w:val="21"/>
          <w:szCs w:val="21"/>
          <w:highlight w:val="none"/>
          <w:lang w:val="en-US" w:eastAsia="zh-CN"/>
        </w:rPr>
        <w:t>内部代</w:t>
      </w:r>
      <w:r>
        <w:rPr>
          <w:rFonts w:hint="eastAsia" w:ascii="楷体" w:hAnsi="楷体" w:eastAsia="楷体" w:cs="Calibri"/>
          <w:sz w:val="21"/>
          <w:szCs w:val="21"/>
          <w:highlight w:val="none"/>
        </w:rPr>
        <w:t>码。</w:t>
      </w:r>
    </w:p>
    <w:p>
      <w:pPr>
        <w:keepNext w:val="0"/>
        <w:keepLines w:val="0"/>
        <w:pageBreakBefore w:val="0"/>
        <w:widowControl w:val="0"/>
        <w:numPr>
          <w:ilvl w:val="0"/>
          <w:numId w:val="4"/>
        </w:numPr>
        <w:tabs>
          <w:tab w:val="left" w:pos="728"/>
          <w:tab w:val="clear" w:pos="420"/>
        </w:tabs>
        <w:kinsoku/>
        <w:wordWrap/>
        <w:overflowPunct/>
        <w:topLinePunct w:val="0"/>
        <w:autoSpaceDE/>
        <w:autoSpaceDN/>
        <w:bidi w:val="0"/>
        <w:adjustRightInd/>
        <w:snapToGrid/>
        <w:ind w:left="0" w:leftChars="0" w:firstLine="420" w:firstLineChars="200"/>
        <w:textAlignment w:val="auto"/>
        <w:rPr>
          <w:rFonts w:hint="eastAsia" w:ascii="楷体" w:hAnsi="楷体" w:eastAsia="楷体" w:cs="Calibri"/>
          <w:sz w:val="21"/>
          <w:szCs w:val="21"/>
          <w:highlight w:val="none"/>
        </w:rPr>
      </w:pPr>
      <w:r>
        <w:rPr>
          <w:rFonts w:hint="eastAsia" w:ascii="楷体" w:hAnsi="楷体" w:eastAsia="楷体" w:cs="Calibri"/>
          <w:sz w:val="21"/>
          <w:szCs w:val="21"/>
          <w:highlight w:val="none"/>
        </w:rPr>
        <w:t>理财产品份额：指投资者持有本理财产品的单位数额。</w:t>
      </w:r>
    </w:p>
    <w:p>
      <w:pPr>
        <w:keepNext w:val="0"/>
        <w:keepLines w:val="0"/>
        <w:pageBreakBefore w:val="0"/>
        <w:widowControl w:val="0"/>
        <w:numPr>
          <w:ilvl w:val="0"/>
          <w:numId w:val="4"/>
        </w:numPr>
        <w:tabs>
          <w:tab w:val="left" w:pos="728"/>
          <w:tab w:val="clear" w:pos="420"/>
        </w:tabs>
        <w:kinsoku/>
        <w:wordWrap/>
        <w:overflowPunct/>
        <w:topLinePunct w:val="0"/>
        <w:autoSpaceDE/>
        <w:autoSpaceDN/>
        <w:bidi w:val="0"/>
        <w:adjustRightInd/>
        <w:snapToGrid/>
        <w:ind w:left="0" w:leftChars="0" w:firstLine="420" w:firstLineChars="200"/>
        <w:textAlignment w:val="auto"/>
        <w:rPr>
          <w:rFonts w:hint="eastAsia" w:ascii="楷体" w:hAnsi="楷体" w:eastAsia="楷体" w:cs="Calibri"/>
          <w:sz w:val="21"/>
          <w:szCs w:val="21"/>
          <w:highlight w:val="none"/>
        </w:rPr>
      </w:pPr>
      <w:r>
        <w:rPr>
          <w:rFonts w:hint="eastAsia" w:ascii="楷体" w:hAnsi="楷体" w:eastAsia="楷体" w:cs="Calibri"/>
          <w:sz w:val="21"/>
          <w:szCs w:val="21"/>
          <w:highlight w:val="none"/>
          <w:lang w:val="en-US" w:eastAsia="zh-CN"/>
        </w:rPr>
        <w:t>理财</w:t>
      </w:r>
      <w:r>
        <w:rPr>
          <w:rFonts w:hint="eastAsia" w:ascii="楷体" w:hAnsi="楷体" w:eastAsia="楷体" w:cs="Calibri"/>
          <w:sz w:val="21"/>
          <w:szCs w:val="21"/>
          <w:highlight w:val="none"/>
        </w:rPr>
        <w:t>产品资产总值：指产品拥有的各类有价证券、银行存款、应收款项及其他资产的价值总和。</w:t>
      </w:r>
    </w:p>
    <w:p>
      <w:pPr>
        <w:keepNext w:val="0"/>
        <w:keepLines w:val="0"/>
        <w:pageBreakBefore w:val="0"/>
        <w:widowControl w:val="0"/>
        <w:numPr>
          <w:ilvl w:val="0"/>
          <w:numId w:val="4"/>
        </w:numPr>
        <w:tabs>
          <w:tab w:val="left" w:pos="728"/>
          <w:tab w:val="clear" w:pos="420"/>
        </w:tabs>
        <w:kinsoku/>
        <w:wordWrap/>
        <w:overflowPunct/>
        <w:topLinePunct w:val="0"/>
        <w:autoSpaceDE/>
        <w:autoSpaceDN/>
        <w:bidi w:val="0"/>
        <w:adjustRightInd/>
        <w:snapToGrid/>
        <w:ind w:left="0" w:leftChars="0" w:firstLine="420" w:firstLineChars="200"/>
        <w:textAlignment w:val="auto"/>
        <w:rPr>
          <w:rFonts w:hint="eastAsia" w:ascii="楷体" w:hAnsi="楷体" w:eastAsia="楷体" w:cs="Calibri"/>
          <w:sz w:val="21"/>
          <w:szCs w:val="21"/>
          <w:highlight w:val="none"/>
        </w:rPr>
      </w:pPr>
      <w:r>
        <w:rPr>
          <w:rFonts w:hint="eastAsia" w:ascii="楷体" w:hAnsi="楷体" w:eastAsia="楷体" w:cs="Calibri"/>
          <w:sz w:val="21"/>
          <w:szCs w:val="21"/>
          <w:highlight w:val="none"/>
          <w:lang w:val="en-US" w:eastAsia="zh-CN"/>
        </w:rPr>
        <w:t>理财</w:t>
      </w:r>
      <w:r>
        <w:rPr>
          <w:rFonts w:hint="eastAsia" w:ascii="楷体" w:hAnsi="楷体" w:eastAsia="楷体" w:cs="Calibri"/>
          <w:sz w:val="21"/>
          <w:szCs w:val="21"/>
          <w:highlight w:val="none"/>
        </w:rPr>
        <w:t>产品负债总值：指产品运作及融资时形成的负债价值总和，包括融资资金本息、应付各项费用（包括托管费、销售服务费、投资管理费、超额业绩报酬、其他费用等）、应付税金及其他应付款项等。</w:t>
      </w:r>
    </w:p>
    <w:p>
      <w:pPr>
        <w:keepNext w:val="0"/>
        <w:keepLines w:val="0"/>
        <w:pageBreakBefore w:val="0"/>
        <w:widowControl w:val="0"/>
        <w:numPr>
          <w:ilvl w:val="0"/>
          <w:numId w:val="4"/>
        </w:numPr>
        <w:tabs>
          <w:tab w:val="left" w:pos="728"/>
          <w:tab w:val="clear" w:pos="420"/>
        </w:tabs>
        <w:kinsoku/>
        <w:wordWrap/>
        <w:overflowPunct/>
        <w:topLinePunct w:val="0"/>
        <w:autoSpaceDE/>
        <w:autoSpaceDN/>
        <w:bidi w:val="0"/>
        <w:adjustRightInd/>
        <w:snapToGrid/>
        <w:ind w:left="0" w:leftChars="0" w:firstLine="420" w:firstLineChars="200"/>
        <w:textAlignment w:val="auto"/>
        <w:rPr>
          <w:rFonts w:hint="eastAsia" w:ascii="楷体" w:hAnsi="楷体" w:eastAsia="楷体" w:cs="Calibri"/>
          <w:sz w:val="21"/>
          <w:szCs w:val="21"/>
          <w:highlight w:val="none"/>
        </w:rPr>
      </w:pPr>
      <w:r>
        <w:rPr>
          <w:rFonts w:hint="eastAsia" w:ascii="楷体" w:hAnsi="楷体" w:eastAsia="楷体" w:cs="Calibri"/>
          <w:sz w:val="21"/>
          <w:szCs w:val="21"/>
          <w:highlight w:val="none"/>
        </w:rPr>
        <w:t>理财产品资产净值/净资产：指产品资产总值减去产品负债总值后的价值。</w:t>
      </w:r>
    </w:p>
    <w:p>
      <w:pPr>
        <w:keepNext w:val="0"/>
        <w:keepLines w:val="0"/>
        <w:pageBreakBefore w:val="0"/>
        <w:widowControl w:val="0"/>
        <w:numPr>
          <w:ilvl w:val="0"/>
          <w:numId w:val="4"/>
        </w:numPr>
        <w:tabs>
          <w:tab w:val="left" w:pos="851"/>
          <w:tab w:val="clear" w:pos="420"/>
        </w:tabs>
        <w:kinsoku/>
        <w:wordWrap/>
        <w:overflowPunct/>
        <w:topLinePunct w:val="0"/>
        <w:autoSpaceDE/>
        <w:autoSpaceDN/>
        <w:bidi w:val="0"/>
        <w:adjustRightInd/>
        <w:snapToGrid/>
        <w:ind w:left="0" w:leftChars="0" w:firstLine="420" w:firstLineChars="200"/>
        <w:textAlignment w:val="auto"/>
        <w:rPr>
          <w:rFonts w:hint="eastAsia" w:ascii="楷体" w:hAnsi="楷体" w:eastAsia="楷体" w:cs="Calibri"/>
          <w:sz w:val="21"/>
          <w:szCs w:val="21"/>
          <w:highlight w:val="none"/>
        </w:rPr>
      </w:pPr>
      <w:r>
        <w:rPr>
          <w:rFonts w:hint="eastAsia" w:ascii="楷体" w:hAnsi="楷体" w:eastAsia="楷体" w:cs="Calibri"/>
          <w:sz w:val="21"/>
          <w:szCs w:val="21"/>
          <w:highlight w:val="none"/>
        </w:rPr>
        <w:t>理财产品份额单位净值/理财产品单位净值/单位净值：指每1份理财产品份额以人民币计价的价格。理财产品单位净值=资产净值/产品总份额。</w:t>
      </w:r>
    </w:p>
    <w:p>
      <w:pPr>
        <w:keepNext w:val="0"/>
        <w:keepLines w:val="0"/>
        <w:pageBreakBefore w:val="0"/>
        <w:widowControl w:val="0"/>
        <w:numPr>
          <w:ilvl w:val="0"/>
          <w:numId w:val="4"/>
        </w:numPr>
        <w:tabs>
          <w:tab w:val="left" w:pos="851"/>
          <w:tab w:val="clear" w:pos="420"/>
        </w:tabs>
        <w:kinsoku/>
        <w:wordWrap/>
        <w:overflowPunct/>
        <w:topLinePunct w:val="0"/>
        <w:autoSpaceDE/>
        <w:autoSpaceDN/>
        <w:bidi w:val="0"/>
        <w:adjustRightInd/>
        <w:snapToGrid/>
        <w:ind w:left="0" w:leftChars="0" w:firstLine="420" w:firstLineChars="200"/>
        <w:textAlignment w:val="auto"/>
        <w:rPr>
          <w:rFonts w:hint="eastAsia" w:ascii="楷体" w:hAnsi="楷体" w:eastAsia="楷体" w:cs="Calibri"/>
          <w:sz w:val="21"/>
          <w:szCs w:val="21"/>
          <w:highlight w:val="none"/>
        </w:rPr>
      </w:pPr>
      <w:r>
        <w:rPr>
          <w:rFonts w:hint="eastAsia" w:ascii="楷体" w:hAnsi="楷体" w:eastAsia="楷体" w:cs="Calibri"/>
          <w:sz w:val="21"/>
          <w:szCs w:val="21"/>
          <w:highlight w:val="none"/>
        </w:rPr>
        <w:t>产品份额累计净值：指理财产品份额的单位净值与理财产品成立后历次累计单位收益分配的总和。</w:t>
      </w:r>
    </w:p>
    <w:p>
      <w:pPr>
        <w:keepNext w:val="0"/>
        <w:keepLines w:val="0"/>
        <w:pageBreakBefore w:val="0"/>
        <w:widowControl w:val="0"/>
        <w:numPr>
          <w:ilvl w:val="0"/>
          <w:numId w:val="4"/>
        </w:numPr>
        <w:tabs>
          <w:tab w:val="left" w:pos="851"/>
          <w:tab w:val="clear" w:pos="420"/>
        </w:tabs>
        <w:kinsoku/>
        <w:wordWrap/>
        <w:overflowPunct/>
        <w:topLinePunct w:val="0"/>
        <w:autoSpaceDE/>
        <w:autoSpaceDN/>
        <w:bidi w:val="0"/>
        <w:adjustRightInd/>
        <w:snapToGrid/>
        <w:ind w:left="0" w:leftChars="0" w:firstLine="420" w:firstLineChars="200"/>
        <w:textAlignment w:val="auto"/>
        <w:rPr>
          <w:rFonts w:hint="eastAsia" w:ascii="楷体" w:hAnsi="楷体" w:eastAsia="楷体" w:cs="Calibri"/>
          <w:sz w:val="21"/>
          <w:szCs w:val="21"/>
          <w:highlight w:val="none"/>
        </w:rPr>
      </w:pPr>
      <w:r>
        <w:rPr>
          <w:rFonts w:hint="eastAsia" w:ascii="楷体" w:hAnsi="楷体" w:eastAsia="楷体" w:cs="Calibri"/>
          <w:sz w:val="21"/>
          <w:szCs w:val="21"/>
          <w:highlight w:val="none"/>
          <w:lang w:val="en-US" w:eastAsia="zh-CN"/>
        </w:rPr>
        <w:t>流动性受限资产：</w:t>
      </w:r>
      <w:r>
        <w:rPr>
          <w:rFonts w:hint="eastAsia" w:ascii="楷体" w:hAnsi="楷体" w:eastAsia="楷体" w:cs="Calibri"/>
          <w:kern w:val="2"/>
          <w:sz w:val="21"/>
          <w:szCs w:val="21"/>
          <w:highlight w:val="none"/>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keepNext w:val="0"/>
        <w:keepLines w:val="0"/>
        <w:pageBreakBefore w:val="0"/>
        <w:widowControl w:val="0"/>
        <w:numPr>
          <w:ilvl w:val="0"/>
          <w:numId w:val="4"/>
        </w:numPr>
        <w:tabs>
          <w:tab w:val="left" w:pos="851"/>
          <w:tab w:val="clear" w:pos="420"/>
        </w:tabs>
        <w:kinsoku/>
        <w:wordWrap/>
        <w:overflowPunct/>
        <w:topLinePunct w:val="0"/>
        <w:autoSpaceDE/>
        <w:autoSpaceDN/>
        <w:bidi w:val="0"/>
        <w:adjustRightInd/>
        <w:snapToGrid/>
        <w:ind w:left="0" w:leftChars="0" w:firstLine="420" w:firstLineChars="200"/>
        <w:textAlignment w:val="auto"/>
        <w:rPr>
          <w:rFonts w:hint="eastAsia" w:ascii="楷体" w:hAnsi="楷体" w:eastAsia="楷体" w:cs="Calibri"/>
          <w:sz w:val="21"/>
          <w:szCs w:val="21"/>
          <w:highlight w:val="none"/>
        </w:rPr>
      </w:pPr>
      <w:r>
        <w:rPr>
          <w:rFonts w:hint="eastAsia" w:ascii="楷体" w:hAnsi="楷体" w:eastAsia="楷体" w:cs="Calibri"/>
          <w:kern w:val="2"/>
          <w:sz w:val="21"/>
          <w:szCs w:val="21"/>
          <w:highlight w:val="none"/>
        </w:rPr>
        <w:t>7个工作日可变现资产</w:t>
      </w:r>
      <w:r>
        <w:rPr>
          <w:rFonts w:hint="eastAsia" w:ascii="楷体" w:hAnsi="楷体" w:eastAsia="楷体" w:cs="Calibri"/>
          <w:kern w:val="2"/>
          <w:sz w:val="21"/>
          <w:szCs w:val="21"/>
          <w:highlight w:val="none"/>
          <w:lang w:eastAsia="zh-CN"/>
        </w:rPr>
        <w:t>：</w:t>
      </w:r>
      <w:r>
        <w:rPr>
          <w:rFonts w:hint="eastAsia" w:ascii="楷体" w:hAnsi="楷体" w:eastAsia="楷体" w:cs="Calibri"/>
          <w:kern w:val="2"/>
          <w:sz w:val="21"/>
          <w:szCs w:val="21"/>
          <w:highlight w:val="none"/>
        </w:rPr>
        <w:t>包括可在交易所、银行间市场正常交易的股票、债券、非金融企业债务融资工具、期货及期权合约以及同业存单，7个工作日内到期或可支取的买入返售、银行存款，7个工作日内能够确认收到的各类应收款项等。</w:t>
      </w:r>
    </w:p>
    <w:p>
      <w:pPr>
        <w:numPr>
          <w:ilvl w:val="0"/>
          <w:numId w:val="3"/>
        </w:numPr>
        <w:tabs>
          <w:tab w:val="left" w:pos="993"/>
        </w:tabs>
        <w:ind w:left="0" w:firstLine="420" w:firstLineChars="200"/>
        <w:outlineLvl w:val="2"/>
        <w:rPr>
          <w:rFonts w:hint="eastAsia" w:ascii="楷体" w:hAnsi="楷体" w:eastAsia="楷体" w:cs="Calibri"/>
          <w:b w:val="0"/>
          <w:bCs/>
          <w:sz w:val="21"/>
          <w:szCs w:val="21"/>
          <w:highlight w:val="none"/>
        </w:rPr>
      </w:pPr>
      <w:r>
        <w:rPr>
          <w:rFonts w:hint="eastAsia" w:ascii="楷体" w:hAnsi="楷体" w:eastAsia="楷体" w:cs="Calibri"/>
          <w:b w:val="0"/>
          <w:bCs/>
          <w:sz w:val="21"/>
          <w:szCs w:val="21"/>
          <w:highlight w:val="none"/>
        </w:rPr>
        <w:t>期间与日期</w:t>
      </w:r>
    </w:p>
    <w:p>
      <w:pPr>
        <w:keepNext w:val="0"/>
        <w:keepLines w:val="0"/>
        <w:pageBreakBefore w:val="0"/>
        <w:widowControl w:val="0"/>
        <w:numPr>
          <w:ilvl w:val="0"/>
          <w:numId w:val="5"/>
        </w:numPr>
        <w:tabs>
          <w:tab w:val="left" w:pos="728"/>
          <w:tab w:val="clear" w:pos="420"/>
        </w:tabs>
        <w:kinsoku/>
        <w:wordWrap/>
        <w:overflowPunct/>
        <w:topLinePunct w:val="0"/>
        <w:autoSpaceDE/>
        <w:autoSpaceDN/>
        <w:bidi w:val="0"/>
        <w:adjustRightInd/>
        <w:snapToGrid/>
        <w:ind w:left="0" w:leftChars="0" w:firstLine="420" w:firstLineChars="200"/>
        <w:textAlignment w:val="auto"/>
        <w:rPr>
          <w:rFonts w:hint="eastAsia" w:ascii="楷体" w:hAnsi="楷体" w:eastAsia="楷体" w:cs="Calibri"/>
          <w:sz w:val="21"/>
          <w:szCs w:val="21"/>
          <w:highlight w:val="none"/>
        </w:rPr>
      </w:pPr>
      <w:r>
        <w:rPr>
          <w:rFonts w:hint="eastAsia" w:ascii="楷体" w:hAnsi="楷体" w:eastAsia="楷体" w:cs="Calibri"/>
          <w:sz w:val="21"/>
          <w:szCs w:val="21"/>
          <w:highlight w:val="none"/>
        </w:rPr>
        <w:t>工作日：指国家法定工作日。</w:t>
      </w:r>
    </w:p>
    <w:p>
      <w:pPr>
        <w:keepNext w:val="0"/>
        <w:keepLines w:val="0"/>
        <w:pageBreakBefore w:val="0"/>
        <w:widowControl w:val="0"/>
        <w:numPr>
          <w:ilvl w:val="0"/>
          <w:numId w:val="5"/>
        </w:numPr>
        <w:tabs>
          <w:tab w:val="left" w:pos="728"/>
          <w:tab w:val="clear" w:pos="420"/>
        </w:tabs>
        <w:kinsoku/>
        <w:wordWrap/>
        <w:overflowPunct/>
        <w:topLinePunct w:val="0"/>
        <w:autoSpaceDE/>
        <w:autoSpaceDN/>
        <w:bidi w:val="0"/>
        <w:adjustRightInd/>
        <w:snapToGrid/>
        <w:ind w:left="0" w:leftChars="0" w:firstLine="420" w:firstLineChars="200"/>
        <w:textAlignment w:val="auto"/>
        <w:rPr>
          <w:rFonts w:hint="eastAsia" w:ascii="楷体" w:hAnsi="楷体" w:eastAsia="楷体" w:cs="Calibri"/>
          <w:sz w:val="21"/>
          <w:szCs w:val="21"/>
          <w:highlight w:val="none"/>
        </w:rPr>
      </w:pPr>
      <w:r>
        <w:rPr>
          <w:rFonts w:hint="eastAsia" w:ascii="楷体" w:hAnsi="楷体" w:eastAsia="楷体" w:cs="Calibri"/>
          <w:sz w:val="21"/>
          <w:szCs w:val="21"/>
          <w:highlight w:val="none"/>
        </w:rPr>
        <w:t>交易日：</w:t>
      </w:r>
      <w:r>
        <w:rPr>
          <w:rFonts w:ascii="楷体" w:hAnsi="楷体" w:eastAsia="楷体" w:cs="Calibri"/>
          <w:sz w:val="21"/>
          <w:szCs w:val="21"/>
          <w:highlight w:val="none"/>
        </w:rPr>
        <w:t>指上海证券交易所和深圳证券交易所的正常开盘交易日</w:t>
      </w:r>
      <w:r>
        <w:rPr>
          <w:rFonts w:hint="eastAsia" w:ascii="楷体" w:hAnsi="楷体" w:eastAsia="楷体" w:cs="Calibri"/>
          <w:sz w:val="21"/>
          <w:szCs w:val="21"/>
          <w:highlight w:val="none"/>
        </w:rPr>
        <w:t>。</w:t>
      </w:r>
    </w:p>
    <w:p>
      <w:pPr>
        <w:keepNext w:val="0"/>
        <w:keepLines w:val="0"/>
        <w:pageBreakBefore w:val="0"/>
        <w:widowControl w:val="0"/>
        <w:numPr>
          <w:ilvl w:val="0"/>
          <w:numId w:val="5"/>
        </w:numPr>
        <w:tabs>
          <w:tab w:val="left" w:pos="728"/>
          <w:tab w:val="clear" w:pos="420"/>
        </w:tabs>
        <w:kinsoku/>
        <w:wordWrap/>
        <w:overflowPunct/>
        <w:topLinePunct w:val="0"/>
        <w:autoSpaceDE/>
        <w:autoSpaceDN/>
        <w:bidi w:val="0"/>
        <w:adjustRightInd/>
        <w:snapToGrid/>
        <w:ind w:left="0" w:leftChars="0" w:firstLine="420" w:firstLineChars="200"/>
        <w:textAlignment w:val="auto"/>
        <w:rPr>
          <w:rFonts w:hint="eastAsia" w:ascii="楷体" w:hAnsi="楷体" w:eastAsia="楷体" w:cs="Calibri"/>
          <w:sz w:val="21"/>
          <w:szCs w:val="21"/>
          <w:highlight w:val="none"/>
        </w:rPr>
      </w:pPr>
      <w:r>
        <w:rPr>
          <w:rFonts w:hint="eastAsia" w:ascii="楷体" w:hAnsi="楷体" w:eastAsia="楷体" w:cs="Calibri"/>
          <w:sz w:val="21"/>
          <w:szCs w:val="21"/>
          <w:highlight w:val="none"/>
        </w:rPr>
        <w:t>份额登记日/份额确认日：</w:t>
      </w:r>
      <w:r>
        <w:rPr>
          <w:rFonts w:hint="eastAsia" w:ascii="楷体" w:hAnsi="楷体" w:eastAsia="楷体" w:cs="Calibri"/>
          <w:color w:val="auto"/>
          <w:sz w:val="21"/>
          <w:szCs w:val="21"/>
          <w:highlight w:val="none"/>
        </w:rPr>
        <w:t>指管理人对投资者提交的</w:t>
      </w:r>
      <w:r>
        <w:rPr>
          <w:rFonts w:hint="eastAsia" w:ascii="楷体" w:hAnsi="楷体" w:eastAsia="楷体" w:cs="Calibri"/>
          <w:color w:val="auto"/>
          <w:sz w:val="21"/>
          <w:szCs w:val="21"/>
          <w:highlight w:val="none"/>
          <w:lang w:val="en-US" w:eastAsia="zh-CN"/>
        </w:rPr>
        <w:t>购买</w:t>
      </w:r>
      <w:r>
        <w:rPr>
          <w:rFonts w:hint="eastAsia" w:ascii="楷体" w:hAnsi="楷体" w:eastAsia="楷体" w:cs="Calibri"/>
          <w:color w:val="auto"/>
          <w:sz w:val="21"/>
          <w:szCs w:val="21"/>
          <w:highlight w:val="none"/>
        </w:rPr>
        <w:t>申请进行份额登记的日期</w:t>
      </w:r>
      <w:r>
        <w:rPr>
          <w:rFonts w:hint="eastAsia" w:ascii="楷体" w:hAnsi="楷体" w:eastAsia="楷体" w:cs="Calibri"/>
          <w:sz w:val="21"/>
          <w:szCs w:val="21"/>
          <w:highlight w:val="none"/>
        </w:rPr>
        <w:t>。</w:t>
      </w:r>
    </w:p>
    <w:p>
      <w:pPr>
        <w:keepNext w:val="0"/>
        <w:keepLines w:val="0"/>
        <w:pageBreakBefore w:val="0"/>
        <w:widowControl w:val="0"/>
        <w:numPr>
          <w:ilvl w:val="0"/>
          <w:numId w:val="5"/>
        </w:numPr>
        <w:tabs>
          <w:tab w:val="left" w:pos="728"/>
          <w:tab w:val="clear" w:pos="420"/>
        </w:tabs>
        <w:kinsoku/>
        <w:wordWrap/>
        <w:overflowPunct/>
        <w:topLinePunct w:val="0"/>
        <w:autoSpaceDE/>
        <w:autoSpaceDN/>
        <w:bidi w:val="0"/>
        <w:adjustRightInd/>
        <w:snapToGrid/>
        <w:ind w:left="0" w:leftChars="0" w:firstLine="420" w:firstLineChars="200"/>
        <w:textAlignment w:val="auto"/>
        <w:rPr>
          <w:rFonts w:hint="eastAsia" w:ascii="楷体" w:hAnsi="楷体" w:eastAsia="楷体" w:cs="Calibri"/>
          <w:sz w:val="21"/>
          <w:szCs w:val="21"/>
          <w:highlight w:val="none"/>
        </w:rPr>
      </w:pPr>
      <w:r>
        <w:rPr>
          <w:rFonts w:hint="eastAsia" w:ascii="楷体" w:hAnsi="楷体" w:eastAsia="楷体" w:cs="Calibri"/>
          <w:sz w:val="21"/>
          <w:szCs w:val="21"/>
          <w:highlight w:val="none"/>
        </w:rPr>
        <w:t>投资周期：投资周期指投资者持有理财产品份额所对应的理财资金由产品管理人进行投资运作的一段完整期间，每一个投资周期为该投资周期起始日至该投资周期终止日的理财期间。</w:t>
      </w:r>
    </w:p>
    <w:p>
      <w:pPr>
        <w:keepNext w:val="0"/>
        <w:keepLines w:val="0"/>
        <w:pageBreakBefore w:val="0"/>
        <w:widowControl w:val="0"/>
        <w:numPr>
          <w:ilvl w:val="0"/>
          <w:numId w:val="5"/>
        </w:numPr>
        <w:tabs>
          <w:tab w:val="left" w:pos="851"/>
          <w:tab w:val="clear" w:pos="420"/>
        </w:tabs>
        <w:kinsoku/>
        <w:wordWrap/>
        <w:overflowPunct/>
        <w:topLinePunct w:val="0"/>
        <w:autoSpaceDE/>
        <w:autoSpaceDN/>
        <w:bidi w:val="0"/>
        <w:adjustRightInd/>
        <w:snapToGrid/>
        <w:ind w:left="0" w:leftChars="0" w:firstLine="420" w:firstLineChars="200"/>
        <w:textAlignment w:val="auto"/>
        <w:rPr>
          <w:rFonts w:hint="eastAsia" w:ascii="楷体" w:hAnsi="楷体" w:eastAsia="楷体" w:cs="Calibri"/>
          <w:sz w:val="21"/>
          <w:szCs w:val="21"/>
          <w:highlight w:val="none"/>
        </w:rPr>
      </w:pPr>
      <w:r>
        <w:rPr>
          <w:rFonts w:hint="eastAsia" w:ascii="楷体" w:hAnsi="楷体" w:eastAsia="楷体" w:cs="Calibri"/>
          <w:sz w:val="21"/>
          <w:szCs w:val="21"/>
          <w:highlight w:val="none"/>
        </w:rPr>
        <w:t>开放日：指投资周期终止日。开放计划内的申购、赎回申请，将以开放日的净值进行确认。</w:t>
      </w:r>
    </w:p>
    <w:p>
      <w:pPr>
        <w:keepNext w:val="0"/>
        <w:keepLines w:val="0"/>
        <w:pageBreakBefore w:val="0"/>
        <w:widowControl w:val="0"/>
        <w:numPr>
          <w:ilvl w:val="0"/>
          <w:numId w:val="5"/>
        </w:numPr>
        <w:tabs>
          <w:tab w:val="left" w:pos="851"/>
          <w:tab w:val="clear" w:pos="420"/>
        </w:tabs>
        <w:kinsoku/>
        <w:wordWrap/>
        <w:overflowPunct/>
        <w:topLinePunct w:val="0"/>
        <w:autoSpaceDE/>
        <w:autoSpaceDN/>
        <w:bidi w:val="0"/>
        <w:adjustRightInd/>
        <w:snapToGrid/>
        <w:ind w:left="0" w:leftChars="0" w:firstLine="420" w:firstLineChars="200"/>
        <w:textAlignment w:val="auto"/>
        <w:rPr>
          <w:rFonts w:hint="eastAsia" w:ascii="楷体" w:hAnsi="楷体" w:eastAsia="楷体" w:cs="Calibri"/>
          <w:sz w:val="21"/>
          <w:szCs w:val="21"/>
          <w:highlight w:val="none"/>
        </w:rPr>
      </w:pPr>
      <w:r>
        <w:rPr>
          <w:rFonts w:hint="eastAsia" w:ascii="楷体" w:hAnsi="楷体" w:eastAsia="楷体" w:cs="Calibri"/>
          <w:sz w:val="21"/>
          <w:szCs w:val="21"/>
          <w:highlight w:val="none"/>
        </w:rPr>
        <w:t>产品存续期：指自理财产品成立日起，至理财产品终止日的期间。</w:t>
      </w:r>
    </w:p>
    <w:p>
      <w:pPr>
        <w:keepNext w:val="0"/>
        <w:keepLines w:val="0"/>
        <w:pageBreakBefore w:val="0"/>
        <w:widowControl w:val="0"/>
        <w:numPr>
          <w:ilvl w:val="0"/>
          <w:numId w:val="2"/>
        </w:numPr>
        <w:tabs>
          <w:tab w:val="left" w:pos="1134"/>
          <w:tab w:val="clear" w:pos="0"/>
        </w:tabs>
        <w:kinsoku/>
        <w:wordWrap/>
        <w:overflowPunct/>
        <w:topLinePunct w:val="0"/>
        <w:autoSpaceDE/>
        <w:autoSpaceDN/>
        <w:bidi w:val="0"/>
        <w:adjustRightInd/>
        <w:snapToGrid/>
        <w:ind w:left="0" w:leftChars="0" w:firstLine="422" w:firstLineChars="200"/>
        <w:textAlignment w:val="auto"/>
        <w:outlineLvl w:val="1"/>
        <w:rPr>
          <w:rFonts w:hint="eastAsia" w:ascii="楷体" w:hAnsi="楷体" w:eastAsia="楷体"/>
          <w:b/>
          <w:sz w:val="21"/>
          <w:szCs w:val="21"/>
          <w:highlight w:val="none"/>
        </w:rPr>
      </w:pPr>
      <w:r>
        <w:rPr>
          <w:rFonts w:hint="eastAsia" w:ascii="楷体" w:hAnsi="楷体" w:eastAsia="楷体"/>
          <w:b/>
          <w:sz w:val="21"/>
          <w:szCs w:val="21"/>
          <w:highlight w:val="none"/>
        </w:rPr>
        <w:t>投资管理</w:t>
      </w:r>
    </w:p>
    <w:p>
      <w:pPr>
        <w:numPr>
          <w:ilvl w:val="0"/>
          <w:numId w:val="6"/>
        </w:numPr>
        <w:tabs>
          <w:tab w:val="left" w:pos="993"/>
        </w:tabs>
        <w:ind w:left="0" w:firstLine="420" w:firstLineChars="200"/>
        <w:outlineLvl w:val="2"/>
        <w:rPr>
          <w:rFonts w:ascii="楷体" w:hAnsi="楷体" w:eastAsia="楷体" w:cs="Calibri"/>
          <w:b w:val="0"/>
          <w:bCs/>
          <w:sz w:val="21"/>
          <w:szCs w:val="21"/>
          <w:highlight w:val="none"/>
        </w:rPr>
      </w:pPr>
      <w:r>
        <w:rPr>
          <w:rFonts w:hint="eastAsia" w:ascii="楷体" w:hAnsi="楷体" w:eastAsia="楷体" w:cs="Calibri"/>
          <w:b w:val="0"/>
          <w:bCs/>
          <w:sz w:val="21"/>
          <w:szCs w:val="21"/>
          <w:highlight w:val="none"/>
        </w:rPr>
        <w:t>投资范围和比例</w:t>
      </w:r>
    </w:p>
    <w:p>
      <w:pPr>
        <w:ind w:firstLine="420" w:firstLineChars="200"/>
        <w:rPr>
          <w:rFonts w:hint="eastAsia" w:ascii="楷体" w:hAnsi="楷体" w:eastAsia="楷体"/>
          <w:sz w:val="21"/>
          <w:szCs w:val="21"/>
          <w:highlight w:val="none"/>
        </w:rPr>
      </w:pPr>
      <w:r>
        <w:rPr>
          <w:rFonts w:hint="eastAsia" w:ascii="楷体" w:hAnsi="楷体" w:eastAsia="楷体"/>
          <w:sz w:val="21"/>
          <w:szCs w:val="21"/>
          <w:highlight w:val="none"/>
        </w:rPr>
        <w:t>本理财产品直接或间接投资于货币市场工具类资产、银行存款（含结构性存款）、标准化债权类资产、非标准化债权类资产和监管机构允许投资的其他资产。具体资产投资比例为：货币市场工具、银行存款（含结构性存款）、债券以及符合监管要求的固定收益类资产占产品资产总值比例为80%-100%，符合监管要求的其他资产占产品资产总值比例0%-20%，其中非标准化债权类资产合计投资比例不高于产品净资产50%。</w:t>
      </w:r>
    </w:p>
    <w:p>
      <w:pPr>
        <w:ind w:firstLine="420" w:firstLineChars="200"/>
        <w:rPr>
          <w:rFonts w:hint="eastAsia" w:ascii="楷体" w:hAnsi="楷体" w:eastAsia="楷体"/>
          <w:sz w:val="21"/>
          <w:szCs w:val="21"/>
          <w:highlight w:val="none"/>
        </w:rPr>
      </w:pPr>
      <w:r>
        <w:rPr>
          <w:rFonts w:hint="eastAsia" w:ascii="楷体" w:hAnsi="楷体" w:eastAsia="楷体"/>
          <w:sz w:val="21"/>
          <w:szCs w:val="21"/>
          <w:highlight w:val="none"/>
        </w:rPr>
        <w:t>本理财产品在开放日及开放日前7个工作日内持有不低于产品资产净值5%的现金或者到期日在一年以内的国债、中央银行票据和政策性金融债券；直接投资于流动性受限资产的市值在开放日不得超过产品资产净值的15%；在开放日前一工作日内，7个工作日可变现资产的可变现价值应当不低于产品资产净值的10%；每日确认且需当日支付的净赎回申请不超过前一工作日理财产品7个工作日可变现资产的可变现价值。</w:t>
      </w:r>
    </w:p>
    <w:p>
      <w:pPr>
        <w:ind w:firstLine="420" w:firstLineChars="200"/>
        <w:rPr>
          <w:rFonts w:hint="eastAsia" w:ascii="楷体" w:hAnsi="楷体" w:eastAsia="楷体"/>
          <w:sz w:val="21"/>
          <w:szCs w:val="21"/>
          <w:highlight w:val="none"/>
        </w:rPr>
      </w:pPr>
      <w:r>
        <w:rPr>
          <w:rFonts w:hint="eastAsia" w:ascii="楷体" w:hAnsi="楷体" w:eastAsia="楷体"/>
          <w:sz w:val="21"/>
          <w:szCs w:val="21"/>
          <w:highlight w:val="none"/>
        </w:rPr>
        <w:t>相关法律法规和监管部门对以上投资范围和配置比例有另行规定的，按照监管最新规定执行。非因管理人主观因素导致突破前述比例限制的，管理人将在流动性受限资产可出售、可转让或者恢复交易的15个交易日内调整至符合相关要求。</w:t>
      </w:r>
    </w:p>
    <w:p>
      <w:pPr>
        <w:numPr>
          <w:ilvl w:val="0"/>
          <w:numId w:val="6"/>
        </w:numPr>
        <w:tabs>
          <w:tab w:val="left" w:pos="993"/>
        </w:tabs>
        <w:ind w:left="0" w:firstLine="420" w:firstLineChars="200"/>
        <w:outlineLvl w:val="2"/>
        <w:rPr>
          <w:rFonts w:hint="eastAsia" w:ascii="楷体" w:hAnsi="楷体" w:eastAsia="楷体" w:cs="Calibri"/>
          <w:b w:val="0"/>
          <w:bCs/>
          <w:sz w:val="21"/>
          <w:szCs w:val="21"/>
          <w:highlight w:val="none"/>
          <w:lang w:val="en-US" w:eastAsia="zh-CN"/>
        </w:rPr>
      </w:pPr>
      <w:r>
        <w:rPr>
          <w:rFonts w:hint="eastAsia" w:ascii="楷体" w:hAnsi="楷体" w:eastAsia="楷体" w:cs="Calibri"/>
          <w:b w:val="0"/>
          <w:bCs/>
          <w:sz w:val="21"/>
          <w:szCs w:val="21"/>
          <w:highlight w:val="none"/>
          <w:lang w:val="en-US" w:eastAsia="zh-CN"/>
        </w:rPr>
        <w:t>投资策略</w:t>
      </w:r>
    </w:p>
    <w:p>
      <w:pPr>
        <w:ind w:firstLine="420" w:firstLineChars="200"/>
        <w:rPr>
          <w:rFonts w:hint="default" w:ascii="楷体" w:hAnsi="楷体" w:eastAsia="楷体"/>
          <w:sz w:val="21"/>
          <w:szCs w:val="21"/>
          <w:highlight w:val="none"/>
          <w:lang w:val="en-US" w:eastAsia="zh-CN"/>
        </w:rPr>
      </w:pPr>
      <w:r>
        <w:rPr>
          <w:rFonts w:hint="default" w:ascii="楷体" w:hAnsi="楷体" w:eastAsia="楷体"/>
          <w:sz w:val="21"/>
          <w:szCs w:val="21"/>
          <w:highlight w:val="none"/>
          <w:lang w:val="en-US" w:eastAsia="zh-CN"/>
        </w:rPr>
        <w:t>本理财产品计划通过债券、非标准化债权类资产的配置获取稳健收益，同时适时适量配置银行存款，包括同业存</w:t>
      </w:r>
      <w:r>
        <w:rPr>
          <w:rFonts w:hint="eastAsia" w:ascii="楷体" w:hAnsi="楷体" w:eastAsia="楷体"/>
          <w:sz w:val="21"/>
          <w:szCs w:val="21"/>
          <w:highlight w:val="none"/>
          <w:lang w:val="en-US" w:eastAsia="zh-CN"/>
        </w:rPr>
        <w:t>款</w:t>
      </w:r>
      <w:r>
        <w:rPr>
          <w:rFonts w:hint="default" w:ascii="楷体" w:hAnsi="楷体" w:eastAsia="楷体"/>
          <w:sz w:val="21"/>
          <w:szCs w:val="21"/>
          <w:highlight w:val="none"/>
          <w:lang w:val="en-US" w:eastAsia="zh-CN"/>
        </w:rPr>
        <w:t>、结构性存款等。其中，拟开展的结构性存款主要为信用挂钩型结构性存款，该产品本质是内嵌收益互换合约的存款，挂钩标的包括优质同业存单、高评级信用债等资产，相关挂钩主体均需严格通过我司风险评估，在严控信用风险的前提下实现产品收益增厚的目标。</w:t>
      </w:r>
    </w:p>
    <w:p>
      <w:pPr>
        <w:numPr>
          <w:ilvl w:val="0"/>
          <w:numId w:val="6"/>
        </w:numPr>
        <w:tabs>
          <w:tab w:val="left" w:pos="993"/>
        </w:tabs>
        <w:ind w:left="0" w:firstLine="420" w:firstLineChars="200"/>
        <w:outlineLvl w:val="2"/>
        <w:rPr>
          <w:rFonts w:hint="eastAsia" w:ascii="楷体" w:hAnsi="楷体" w:eastAsia="楷体" w:cs="Calibri"/>
          <w:b w:val="0"/>
          <w:bCs/>
          <w:sz w:val="21"/>
          <w:szCs w:val="21"/>
          <w:highlight w:val="none"/>
          <w:lang w:val="en-US" w:eastAsia="zh-CN"/>
        </w:rPr>
      </w:pPr>
      <w:r>
        <w:rPr>
          <w:rFonts w:hint="eastAsia" w:ascii="楷体" w:hAnsi="楷体" w:eastAsia="楷体" w:cs="Calibri"/>
          <w:b w:val="0"/>
          <w:bCs/>
          <w:sz w:val="21"/>
          <w:szCs w:val="21"/>
          <w:highlight w:val="none"/>
          <w:lang w:val="en-US" w:eastAsia="zh-CN"/>
        </w:rPr>
        <w:t>非标准化债权类资产</w:t>
      </w:r>
    </w:p>
    <w:p>
      <w:pPr>
        <w:numPr>
          <w:ilvl w:val="0"/>
          <w:numId w:val="0"/>
        </w:numPr>
        <w:tabs>
          <w:tab w:val="left" w:pos="993"/>
        </w:tabs>
        <w:ind w:leftChars="200"/>
        <w:outlineLvl w:val="2"/>
        <w:rPr>
          <w:rFonts w:hint="eastAsia" w:ascii="楷体" w:hAnsi="楷体" w:eastAsia="楷体" w:cs="Calibri"/>
          <w:b w:val="0"/>
          <w:bCs/>
          <w:sz w:val="21"/>
          <w:szCs w:val="21"/>
          <w:highlight w:val="none"/>
          <w:lang w:val="en-US" w:eastAsia="zh-CN"/>
        </w:rPr>
      </w:pPr>
      <w:r>
        <w:rPr>
          <w:rFonts w:hint="eastAsia" w:ascii="楷体" w:hAnsi="楷体" w:eastAsia="楷体"/>
          <w:b w:val="0"/>
          <w:bCs/>
          <w:color w:val="auto"/>
          <w:sz w:val="21"/>
          <w:szCs w:val="21"/>
          <w:highlight w:val="none"/>
          <w:u w:val="none"/>
        </w:rPr>
        <w:t>本产品计划配置以下</w:t>
      </w:r>
      <w:r>
        <w:rPr>
          <w:rFonts w:ascii="楷体" w:hAnsi="楷体" w:eastAsia="楷体"/>
          <w:b w:val="0"/>
          <w:bCs/>
          <w:color w:val="auto"/>
          <w:sz w:val="21"/>
          <w:szCs w:val="21"/>
          <w:highlight w:val="none"/>
          <w:u w:val="none"/>
        </w:rPr>
        <w:t>备选</w:t>
      </w:r>
      <w:r>
        <w:rPr>
          <w:rFonts w:hint="eastAsia" w:ascii="楷体" w:hAnsi="楷体" w:eastAsia="楷体"/>
          <w:b w:val="0"/>
          <w:bCs/>
          <w:color w:val="auto"/>
          <w:sz w:val="21"/>
          <w:szCs w:val="21"/>
          <w:highlight w:val="none"/>
          <w:u w:val="none"/>
        </w:rPr>
        <w:t>非标准化债权类资产：</w:t>
      </w:r>
    </w:p>
    <w:p>
      <w:pPr>
        <w:numPr>
          <w:ilvl w:val="0"/>
          <w:numId w:val="7"/>
        </w:numPr>
        <w:ind w:firstLine="420" w:firstLineChars="200"/>
        <w:rPr>
          <w:rFonts w:hint="eastAsia" w:ascii="楷体" w:hAnsi="楷体" w:eastAsia="楷体" w:cs="楷体"/>
          <w:color w:val="auto"/>
          <w:kern w:val="2"/>
          <w:sz w:val="21"/>
          <w:szCs w:val="21"/>
          <w:highlight w:val="none"/>
          <w:lang w:val="en-US" w:eastAsia="zh-CN" w:bidi="ar-SA"/>
        </w:rPr>
      </w:pPr>
      <w:r>
        <w:rPr>
          <w:rFonts w:hint="eastAsia" w:ascii="楷体" w:hAnsi="楷体" w:eastAsia="楷体" w:cs="楷体"/>
          <w:color w:val="auto"/>
          <w:kern w:val="2"/>
          <w:sz w:val="21"/>
          <w:szCs w:val="21"/>
          <w:highlight w:val="none"/>
          <w:lang w:val="en-US" w:eastAsia="zh-CN" w:bidi="ar-SA"/>
        </w:rPr>
        <w:t>非标准化债权类资产：融资人为泰兴市城市投资发展集团有限公司。融资人经营正常，是依法设立的国有公司，主要股东为江苏平仲科技发展集团有限公司，实际控制人为泰兴市人民政府国有资产监督管理办公室。（2）非标准化债权类资产：融资人为湖州经开投资发展集团有限公司。融资人经营正常，是依法设立的国有公司，主要股东为湖州南太湖国有控股集团有限公司，实际控制人为湖州市人民政府国有资产监督管理委员会。（3）非标准化债权类资产：融资人为湖州吴兴城市投资发展集团有限公司。融资人经营正常，是依法设立的国有公司，主要股东为湖州吴兴国控投资运营发展集团有限公司，实际控制人为湖州市吴兴区财政局。（4）非标准化债权类资产：融资人为江苏皋开投资发展集团有限公司。融资人经营正常，是依法设立的国有公司，主要股东为如皋市人民政府，实际控制人为如皋市人民政府。（5）非标准化债权类资产：融资人为燕舞集团有限公司。融资人经营正常，是依法设立的国有公司，主要股东为盐城市人民政府、盐城市城市资产投资集团有限公司、江苏悦达集团有限公司，实际控制人为盐城市人民政府。（6）非标准化债权类资产：融资人为兰溪市城市投资集团有限公司。融资人经营正常，是依法设立的国有公司，主要股东为兰溪市城市发展集团有限公司，实际控制人为兰溪市人民政府国有资产监督管理办公室。（7）非标准化债权类资产：融资人为绍兴市越城区城市发展建设集团有限公司。融资人经营正常，是依法设立的国有公司，主要股东为绍兴市越城区财政局，实际控制人为绍兴市越城区财政局。（8）非标准化债权类资产：融资人为桐庐县城市建设投资集团有限公司。融资人经营正常，是依法设立的国有公司，主要股东为桐庐投资建设发展集团有限公司，实际控制人为桐庐县人民政府国有资产监督管理委员会。（9）非标准化债权类资产：融资人为绍兴市上虞区国有资本投资运营有限公司。融资人经营正常，是依法设立的国有公司，主要股东为绍兴市上虞区国有资产发展集团有限公司，实际控制人为绍兴市上虞区人民政府国有资产监督管理委员会。（10）非标准化债权类资产：融资人为扬州新盛投资集团有限公司。融资人经营正常，是依法设立的国有公司，主要股东为扬州市城建国有资产控股(集团)有限责任公司、扬州易盛德产业投资集团有限公司、扬州市扬子江文旅投资发展集团有限责任公司，实际控制人为扬州市人民政府国有资产监督管理委员会。（11）非标准化债权类资产：融资人为张家港市高铁投资发展(集团)有限公司。融资人经营正常，是依法设立的国有公司，主要股东为张家港市交通控股有限公司、张家港市城市投资发展集团有限公司、张家港高新区投资控股有限公司，张家港市城镇发展集团有限公司，实际控制人为张家港市国有资产管理中心。（12）非标准化债权类资产：融资人为海安市城建开发投资集团有限公司。融资人经营正常，是依法设立的国有公司，主要股东为海安市政府国有资产监督管理办公室，实际控制人为海安市政府国有资产监督管理办公室。（13）非标准化债权类资产：融资人为徐州金龙湖控股集团有限公司。融资人经营正常，是依法设立的国有公司，主要股东为徐州市产业发展控股集团有限公司，实际控制人为徐州市人民政府国有资产监督管理委员会。（14）非标准化债权类资产：融资人为杭州富阳城市建设投资集团有限公司。融资人经营正常，是依法设立的国有公司，主要股东为杭州市富阳区人民政府国有资产监督管理办公室，实际控制人为杭州市富阳区人民政府国有资产监督管理办公室。（15）非标准化债权类资产：融资人为盐城市盐都区国有资产控股集团有限公司。融资人经营正常，是依法设立的国有公司，主要股东为盐城市盐都区政府国有资产监督管理办公室，实际控制人为盐城市盐都区政府国有资产监督管理办公室。（16）非标准化债权类资产：融资人为台州循环经济发展有限公司。融资人经营正常，是依法设立的国有公司，主要股东为台州市商贸核心区开发建设投资集团有限公司、台州市路桥公共资产投资管理集团有限公司、台州市城市建设投资发展集团有限公司，台州市开投城市开发有限公司，实际控制人为台州市人民政府。（17）非标准化债权类资产：融资人为泰州高教投资发展有限公司。融资人经营正常，是依法设立的国有公司，主要股东为泰州市城市建设投资控股有限公司、工银金融资产投资有限公司，实际控制人为泰州市政府国有资产监督管理委员会。（18）非标准化债权类资产：融资人为扬州江淮建设发展有限公司。融资人经营正常，是依法设立的国有公司，主要股东为扬州市国联控股集团有限公司，实际控制人为扬州市人民政府。（19）非标准化债权类资产：融资人为高邮市交通产业投资集团有限公司。融资人经营正常，是依法设立的国有公司，主要股东为高邮市国有资产投资管理控股(集团)有限公司，实际控制人为高邮市财政局(高邮市政府国有资产监督管理办公室)。（20）非标准化债权类资产：融资人为无锡市高发投资发展集团有限公司。融资人经营正常，是依法设立的国有公司，主要股东为江苏省无锡市新吴区人民政府，实际控制人为江苏省无锡市新吴区人民政府。（21）同业借款：融资人为中国中信金融资产管理股份有限公司。融资人经营正常，是依法成立的国有公司，主要股东为中国中信集团有限公司、财政局、中国融信私募基金有限公司，实际控制人为财政部。（22）同业借款：融资人为中国东方资产管理股份有限公司。融资人经营正常，是依法成立的国有公司，主要股东为中央汇金投资有限责任公司、全国社会保障基金理事会、中国电信集团有限公司，实际控制人为国务院。（23）同业借款：融资人为中国信达资产管理股份有限公司。融资人经营正常，是依法成立的国有公司，主要股东为中央汇金投资有限责任公司，实际控制人为国务院。（24）同业借款：融资人为中国长城资产管理股份有限公司。融资人经营正常，是依法成立的国有公司，主要股东为中央汇金投资有限责任公司、全国社会保障基金理事会、中国财产再保险有限责任公司、中国大地财产保险股份有限公司、中国人寿保险（集团）公司，实际控制人为国务院。（25）收益凭证：融资人为中信证券股份有限公司。融资人经营正常，是依法设立的持牌金融机构，主要股东为中国中信金融控股有限公司、香港中央结算（代理人）有限公司、广州越秀资本控股集团有限公司，实际控制人为中国中信集团有限公司。（26）收益凭证：融资人为中国国际金融股份有限公司。融资人经营正常，是依法设立的持牌金融机构，主要股东为中央汇金投资有限责任公司、香港中央结算（代理人）有限公司、香港中央结算有限公司，实际控制人为中央汇金投资有限责任公司。（27）收益凭证：融资人为中信建投证券股份有限公司。融资人经营正常，是依法设立的持牌金融机构，主要股东为北京金融控股集团有限公司、中央汇金投资有限责任公司、香港中央结算（代理人）有限公司，实际控制人为中央汇金投资有限责任公司。（28）收益凭证：融资人为中国银河证券股份有限公司。融资人经营正常，是依法设立的持牌金融机构，主要股东为中国银河金融控股有限责任公司、香港中央结算（代理人）有限公司、香港中央结算有限公司，实际控制人为中央汇金投资有限责任公司。（29）收益凭证：融资人为华泰证券股份有限公司。融资人经营正常，是依法设立的持牌金融机构，主要股东为江苏省国信集团有限公司、香港中央结算（代理人）有限公司、江苏交通控股有限公司，无实际控制人。（30）收益凭证：融资人为国泰海通证券股份有限公司。融资人经营正常，是依法设立的持牌金融机构，主要股东为香港中央结算（代理人）有限公司、上海国有资产经营有限公司、上海国际集团有限公司，实际控制人为上海市国有资产监督管理委员会。（31）收益凭证：融资人为申万宏源证券有限公司。融资人经营正常，是依法设立的持牌金融机构，主要股东为申万宏源集团股份有限公司，实际控制人为中央汇金投资有限责任公司。（32）收益凭证：融资人为东方证券股份有限公司。融资人经营正常，是依法设立的持牌金融机构，主要股东为申能（集团）有限公司、香港中央结算（代理人）有限公司、上海海烟投资管理有限公司，实际控制人为上海市国有资产监督管理委员会。（33）收益凭证：融资人为浙商证券股份有限公司。融资人经营正常，是依法设立的持牌金融机构，主要股东为浙江上三高速公路有限公司、台州市金融投资集团有限公司，实际控制人为浙江省交通投资集团有限公司。（34）收益凭证：融资人为国投证券股份有限公司。融资人经营正常，是依法设立的持牌金融机构，主要股东为国投资本股份有限公司、上海毅胜投资有限公司，实际控制人为国家开发投资集团有限公司。（35）收益凭证：融资人为平安证券股份有限公司。融资人经营正常，是依法设立的持牌金融机构，主要股东为平安信托有限责任公司、中国平安保险（集团）股份有限公司、深圳市英华柏涛投资有限公司，实际控制人为中国平安保险（集团）股份有限公司。（36）收益凭证：融资人为中泰证券股份有限公司。融资人经营正常，是依法设立的持牌金融机构，主要股东为枣庄矿业（集团）有限责任公司、莱芜钢铁集团有限公司、山东高速投资控股有限公司，实际控制人为山东省人民政府国有资产监督管理委员会。（37）收益凭证：融资人为兴业证券股份有限公司。融资人经营正常，是依法设立的持牌金融机构，主要股东为福建省财政厅、福建省投资开发集团有限责任公司、上海申新（集团）有限公司，实际控制人为福建省财政厅。（38）收益凭证：融资人为财通证券股份有限公司。融资人经营正常，是依法设立的持牌金融机构，主要股东为浙江省创新投资集团有限公司、浙江省财开集团有限公司、台州市金融投资集团有限公司，实际控制人为浙江省财政厅。（39）收益凭证：融资人为金融街证券股份有限公司。融资人经营正常，是依法设立的持牌金融机构，主要股东为北京华融综合投资有限公司、天风证券股份有限公司、包头华资实业股份有限公司，实际控制人为北京金融街投资（集团）有限公司。（40）收</w:t>
      </w:r>
      <w:r>
        <w:rPr>
          <w:rFonts w:hint="eastAsia" w:ascii="楷体" w:hAnsi="楷体" w:eastAsia="楷体" w:cs="楷体"/>
          <w:color w:val="auto"/>
          <w:kern w:val="2"/>
          <w:sz w:val="21"/>
          <w:szCs w:val="21"/>
          <w:highlight w:val="none"/>
          <w:lang w:val="en-US" w:eastAsia="zh-CN" w:bidi="ar-SA"/>
        </w:rPr>
        <w:t>益凭证：融资人为东海证券股份有限公司。融资人经营正常，是依法设立的持牌金融机构，主要股东为常州投资集团有限公司、山东金控资本管理有限公司，实际控制人为常州投资集团有限公司。（41）收益凭证：融资人为国联民生证券股份有限公司。融资人经营正常，是依法设立的持牌金融机构，主要股东为无锡市国联发展（集团）有限公司、香港中央结算（代理人）有限公司、国联信托股份有限公司，实际控制人为无锡市人民政府国有资产监督管理委员会。（42）收益凭证：融资人为光大证券股份有限公司。融资人经营正常，是依法设立的持牌金融机构，主要股东为中国光大集团股份有限公司、中国光大控股有限公司、香港中央结算（代理人）有限公司，实际控制人为中央汇金投资有限责任公司。（43）收益凭证：融资人为长城证券股份有限公司。融资人经营正常，是依法设立的持牌金融机构，主要股东为华能资本服务有限公司、深圳新江南投资有限公司、深圳能源集团股份有限公司，实际控制人为中央汇金投资有限责任公司。（44）收益凭证：融资人为中国中金财富证券有限公司。融资人经营正常，是依法设立的持牌金融机构，主要股东为中国国际金融股份有限公司，实际控制人为中央汇金投资有限责任公司。（45）收益凭证：融资人为山西证券股份有限公司。融资人经营正常，是依法设立的持牌金融机构，主要股东为山西金融投资控股集团有限公司、太原钢铁（集团）有限公司、山西国际电力集团有限公司，实际控制人为山西省财政厅。（46）收益凭证：融资人为国都证券股份有限公司。融资人经营正常，是依法设立的持牌金融机构，主要股东为浙商证券股份有限公司、中诚信托有限责任公司、北京国际信托有限公司，实际控制人为浙江省交通投资集团有限公司。（47）收益凭证：融资人为东莞证券股份有限公司。融资人经营正常，是依法设立的持牌金融机构，主要股东为东莞市投资控股集团有限公司、东莞发展控股股份有限公司、广东锦龙发展股份有限公司，实际控制人为东莞市人民政府国有资产监督管理委员会。（48）收益凭证：融资人为华鑫证券有限责任公司。融资人经营正常，是依法设立的持牌金融机构，主要股东为上海华鑫股份有限公司，实际控制人为上海市国有资产监督管理委员会。（49）收益凭证：融资人为第一创业证券股份有限公司。融资人经营正常，是依法设立的持牌金融机构，主要股东为北京国有资本运营管理有限公司、北京首农食品集团有限公司，实际控制人为北京市人民政府国有资产监督管理委员会。（50）收益凭证：融资人为西南证券股份有限公司。融资人经营正常，是依法设立的持牌金融机构，主要股东为重庆渝富资本运营集团有限公司、重庆市城市建设投资（集团）有限公司和重庆市江北嘴中央商务区投资集团有限公司，实际控制人为重庆市国有资产监督管理委员会。（51）收益凭证：融资人为广发证券股份有限公司。融资人经营正常，是依法设立的持牌金融机构，主要股东为香港中央结算（代理人）有限公司、吉林敖东药业集团股份有限公司、辽宁成大股份有限公司，无实际控制人。（52）收益凭证：融资人为方正证券股份有限公司。融资人经营正常，是依法设立的持牌金融机构，主要股东为新方正控股发展有限责任公司、全国社会保障基金理事会、中国信达资产管理股份有限公司，实际控制人为中国平安保险（集团）股份有限公司。（53）收益凭证：融资人为招商证券股份有限公司。融资人经营正常，是依法设立的持牌金融机构，主要股东为招商局金融控股有限公司、深圳市集盛投资发展有限公司、香港中央结算（代理人）有限公司，实际控制人为招商局集团有限公司。</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eastAsia" w:ascii="楷体" w:hAnsi="楷体" w:eastAsia="楷体" w:cs="楷体"/>
          <w:color w:val="auto"/>
          <w:kern w:val="2"/>
          <w:sz w:val="21"/>
          <w:szCs w:val="21"/>
          <w:highlight w:val="none"/>
          <w:lang w:val="en-US" w:eastAsia="zh-CN" w:bidi="ar-SA"/>
        </w:rPr>
      </w:pPr>
      <w:r>
        <w:rPr>
          <w:rFonts w:hint="eastAsia" w:ascii="楷体" w:hAnsi="楷体" w:eastAsia="楷体" w:cs="楷体"/>
          <w:color w:val="auto"/>
          <w:kern w:val="2"/>
          <w:sz w:val="21"/>
          <w:szCs w:val="21"/>
          <w:highlight w:val="none"/>
          <w:lang w:val="en-US" w:eastAsia="zh-CN" w:bidi="ar-SA"/>
        </w:rPr>
        <w:t>（1）-（24）各资产到期日不超过理财产品投资周期终止日，定期付息、到期一次性还本；（25）-（53）各资产到期日不超过理财产品投资周期终止日，到期一次性还本付息。</w:t>
      </w:r>
      <w:r>
        <w:rPr>
          <w:rFonts w:hint="eastAsia" w:ascii="楷体" w:hAnsi="楷体" w:eastAsia="楷体" w:cs="楷体"/>
          <w:color w:val="auto"/>
          <w:kern w:val="2"/>
          <w:sz w:val="21"/>
          <w:szCs w:val="21"/>
          <w:highlight w:val="none"/>
          <w:lang w:val="en-US" w:eastAsia="zh-CN" w:bidi="ar-SA"/>
        </w:rPr>
        <w:br w:type="textWrapping"/>
      </w:r>
      <w:r>
        <w:rPr>
          <w:rFonts w:hint="eastAsia" w:ascii="楷体" w:hAnsi="楷体" w:eastAsia="楷体" w:cs="楷体"/>
          <w:color w:val="auto"/>
          <w:kern w:val="2"/>
          <w:sz w:val="21"/>
          <w:szCs w:val="21"/>
          <w:highlight w:val="none"/>
          <w:lang w:val="en-US" w:eastAsia="zh-CN" w:bidi="ar-SA"/>
        </w:rPr>
        <w:t xml:space="preserve">    产品存续期内若本理财产品投资的非标准化债权类资产有所调整，管理人将选择优质企业作为融资人，且融资项目已履行管理人内部审批流程，融资人业务经营正常，融资项目还款来源明确，并在本理财产品的定期报告中披露。相关法律法规和监管部门对以上投资范围和配置比例有另行规定的，按照监管最新规定执行。非因管理人主观因素导致突破前述比例限制的，管理人将在流动性受限资产可出售、可转让或者恢复交易的15个交易日内调整至符合相关要求。</w:t>
      </w:r>
    </w:p>
    <w:p>
      <w:pPr>
        <w:numPr>
          <w:ilvl w:val="0"/>
          <w:numId w:val="6"/>
        </w:numPr>
        <w:tabs>
          <w:tab w:val="left" w:pos="993"/>
        </w:tabs>
        <w:ind w:left="0" w:firstLine="420" w:firstLineChars="200"/>
        <w:outlineLvl w:val="2"/>
        <w:rPr>
          <w:rFonts w:hint="eastAsia" w:ascii="楷体" w:hAnsi="楷体" w:eastAsia="楷体" w:cs="Calibri"/>
          <w:b w:val="0"/>
          <w:bCs/>
          <w:sz w:val="21"/>
          <w:szCs w:val="21"/>
          <w:highlight w:val="none"/>
          <w:lang w:val="en-US" w:eastAsia="zh-CN"/>
        </w:rPr>
      </w:pPr>
      <w:r>
        <w:rPr>
          <w:rFonts w:hint="eastAsia" w:ascii="楷体" w:hAnsi="楷体" w:eastAsia="楷体" w:cs="Calibri"/>
          <w:b w:val="0"/>
          <w:bCs/>
          <w:sz w:val="21"/>
          <w:szCs w:val="21"/>
          <w:highlight w:val="none"/>
          <w:lang w:val="en-US" w:eastAsia="zh-CN"/>
        </w:rPr>
        <w:t>投资合作机构</w:t>
      </w:r>
    </w:p>
    <w:p>
      <w:pPr>
        <w:numPr>
          <w:ilvl w:val="0"/>
          <w:numId w:val="0"/>
        </w:numPr>
        <w:ind w:firstLine="420" w:firstLineChars="200"/>
        <w:rPr>
          <w:rFonts w:hint="eastAsia" w:ascii="楷体" w:hAnsi="楷体" w:eastAsia="楷体"/>
          <w:sz w:val="21"/>
          <w:szCs w:val="21"/>
          <w:highlight w:val="none"/>
        </w:rPr>
      </w:pPr>
      <w:r>
        <w:rPr>
          <w:rFonts w:hint="eastAsia" w:ascii="楷体" w:hAnsi="楷体" w:eastAsia="楷体"/>
          <w:color w:val="auto"/>
          <w:sz w:val="21"/>
          <w:szCs w:val="21"/>
          <w:highlight w:val="none"/>
        </w:rPr>
        <w:t>投资合作机构主要职责是对理财产品受托资金进行投资管理，</w:t>
      </w:r>
      <w:r>
        <w:rPr>
          <w:rFonts w:hint="eastAsia" w:ascii="楷体" w:hAnsi="楷体" w:eastAsia="楷体"/>
          <w:color w:val="auto"/>
          <w:sz w:val="21"/>
          <w:szCs w:val="21"/>
          <w:highlight w:val="none"/>
          <w:lang w:val="en-US" w:eastAsia="zh-CN"/>
        </w:rPr>
        <w:t>管理人</w:t>
      </w:r>
      <w:r>
        <w:rPr>
          <w:rFonts w:hint="eastAsia" w:ascii="楷体" w:hAnsi="楷体" w:eastAsia="楷体"/>
          <w:color w:val="auto"/>
          <w:sz w:val="21"/>
          <w:szCs w:val="21"/>
          <w:highlight w:val="none"/>
        </w:rPr>
        <w:t>已按投资决策流程对投资合作机构进行了准入，并持续开展投资合作机构的存续期管理。本产品投资合作机构包括</w:t>
      </w:r>
      <w:r>
        <w:rPr>
          <w:rFonts w:hint="eastAsia" w:ascii="楷体" w:hAnsi="楷体" w:eastAsia="楷体"/>
          <w:sz w:val="21"/>
          <w:szCs w:val="21"/>
          <w:highlight w:val="none"/>
        </w:rPr>
        <w:t>：</w:t>
      </w:r>
    </w:p>
    <w:p>
      <w:pPr>
        <w:ind w:firstLine="420" w:firstLineChars="200"/>
        <w:rPr>
          <w:rFonts w:hint="eastAsia" w:ascii="楷体" w:hAnsi="楷体" w:eastAsia="楷体"/>
          <w:b w:val="0"/>
          <w:bCs w:val="0"/>
          <w:sz w:val="21"/>
          <w:szCs w:val="21"/>
          <w:highlight w:val="none"/>
        </w:rPr>
      </w:pPr>
      <w:r>
        <w:rPr>
          <w:rFonts w:hint="default" w:ascii="Calibri" w:hAnsi="Calibri" w:eastAsia="楷体" w:cs="Calibri"/>
          <w:b w:val="0"/>
          <w:bCs w:val="0"/>
          <w:sz w:val="21"/>
          <w:szCs w:val="21"/>
          <w:highlight w:val="none"/>
        </w:rPr>
        <w:fldChar w:fldCharType="begin"/>
      </w:r>
      <w:r>
        <w:rPr>
          <w:rFonts w:hint="default" w:ascii="Calibri" w:hAnsi="Calibri" w:eastAsia="楷体" w:cs="Calibri"/>
          <w:b w:val="0"/>
          <w:bCs w:val="0"/>
          <w:sz w:val="21"/>
          <w:szCs w:val="21"/>
          <w:highlight w:val="none"/>
        </w:rPr>
        <w:instrText xml:space="preserve"> = 1 \* GB3 \* MERGEFORMAT </w:instrText>
      </w:r>
      <w:r>
        <w:rPr>
          <w:rFonts w:hint="default" w:ascii="Calibri" w:hAnsi="Calibri" w:eastAsia="楷体" w:cs="Calibri"/>
          <w:b w:val="0"/>
          <w:bCs w:val="0"/>
          <w:sz w:val="21"/>
          <w:szCs w:val="21"/>
          <w:highlight w:val="none"/>
        </w:rPr>
        <w:fldChar w:fldCharType="separate"/>
      </w:r>
      <w:r>
        <w:rPr>
          <w:highlight w:val="none"/>
        </w:rPr>
        <w:t>①</w:t>
      </w:r>
      <w:r>
        <w:rPr>
          <w:rFonts w:hint="default" w:ascii="Calibri" w:hAnsi="Calibri" w:eastAsia="楷体" w:cs="Calibri"/>
          <w:b w:val="0"/>
          <w:bCs w:val="0"/>
          <w:sz w:val="21"/>
          <w:szCs w:val="21"/>
          <w:highlight w:val="none"/>
        </w:rPr>
        <w:fldChar w:fldCharType="end"/>
      </w:r>
      <w:r>
        <w:rPr>
          <w:rFonts w:hint="eastAsia" w:ascii="楷体" w:hAnsi="楷体" w:eastAsia="楷体"/>
          <w:b w:val="0"/>
          <w:bCs w:val="0"/>
          <w:sz w:val="21"/>
          <w:szCs w:val="21"/>
          <w:highlight w:val="none"/>
        </w:rPr>
        <w:t>江苏省国际信托有限责任公司</w:t>
      </w:r>
      <w:r>
        <w:rPr>
          <w:rFonts w:hint="eastAsia" w:ascii="楷体" w:hAnsi="楷体" w:eastAsia="楷体"/>
          <w:b w:val="0"/>
          <w:bCs w:val="0"/>
          <w:sz w:val="21"/>
          <w:szCs w:val="21"/>
          <w:highlight w:val="none"/>
          <w:lang w:eastAsia="zh-CN"/>
        </w:rPr>
        <w:t>：</w:t>
      </w:r>
      <w:r>
        <w:rPr>
          <w:rFonts w:hint="eastAsia" w:ascii="楷体" w:hAnsi="楷体" w:eastAsia="楷体"/>
          <w:b w:val="0"/>
          <w:bCs w:val="0"/>
          <w:sz w:val="21"/>
          <w:szCs w:val="21"/>
          <w:highlight w:val="none"/>
        </w:rPr>
        <w:t>江苏省国际信托有限责任公司是经江苏省人民政府和中国银行业监督管理委员会批准设立的非银行金融机构，是江苏省国信集团的主要成员企业之一，专业从事金融信托业务。</w:t>
      </w:r>
    </w:p>
    <w:p>
      <w:pPr>
        <w:ind w:firstLine="420" w:firstLineChars="200"/>
        <w:rPr>
          <w:rFonts w:ascii="楷体" w:hAnsi="楷体" w:eastAsia="楷体"/>
          <w:b w:val="0"/>
          <w:bCs w:val="0"/>
          <w:sz w:val="21"/>
          <w:szCs w:val="21"/>
          <w:highlight w:val="none"/>
        </w:rPr>
      </w:pPr>
      <w:r>
        <w:rPr>
          <w:rFonts w:hint="default" w:ascii="Calibri" w:hAnsi="Calibri" w:eastAsia="楷体" w:cs="Calibri"/>
          <w:b w:val="0"/>
          <w:bCs w:val="0"/>
          <w:sz w:val="21"/>
          <w:szCs w:val="21"/>
          <w:highlight w:val="none"/>
        </w:rPr>
        <w:fldChar w:fldCharType="begin"/>
      </w:r>
      <w:r>
        <w:rPr>
          <w:rFonts w:hint="default" w:ascii="Calibri" w:hAnsi="Calibri" w:eastAsia="楷体" w:cs="Calibri"/>
          <w:b w:val="0"/>
          <w:bCs w:val="0"/>
          <w:sz w:val="21"/>
          <w:szCs w:val="21"/>
          <w:highlight w:val="none"/>
        </w:rPr>
        <w:instrText xml:space="preserve"> = 2 \* GB3 \* MERGEFORMAT </w:instrText>
      </w:r>
      <w:r>
        <w:rPr>
          <w:rFonts w:hint="default" w:ascii="Calibri" w:hAnsi="Calibri" w:eastAsia="楷体" w:cs="Calibri"/>
          <w:b w:val="0"/>
          <w:bCs w:val="0"/>
          <w:sz w:val="21"/>
          <w:szCs w:val="21"/>
          <w:highlight w:val="none"/>
        </w:rPr>
        <w:fldChar w:fldCharType="separate"/>
      </w:r>
      <w:r>
        <w:rPr>
          <w:highlight w:val="none"/>
        </w:rPr>
        <w:t>②</w:t>
      </w:r>
      <w:r>
        <w:rPr>
          <w:rFonts w:hint="default" w:ascii="Calibri" w:hAnsi="Calibri" w:eastAsia="楷体" w:cs="Calibri"/>
          <w:b w:val="0"/>
          <w:bCs w:val="0"/>
          <w:sz w:val="21"/>
          <w:szCs w:val="21"/>
          <w:highlight w:val="none"/>
        </w:rPr>
        <w:fldChar w:fldCharType="end"/>
      </w:r>
      <w:r>
        <w:rPr>
          <w:rFonts w:hint="eastAsia" w:ascii="楷体" w:hAnsi="楷体" w:eastAsia="楷体"/>
          <w:b w:val="0"/>
          <w:bCs w:val="0"/>
          <w:sz w:val="21"/>
          <w:szCs w:val="21"/>
          <w:highlight w:val="none"/>
        </w:rPr>
        <w:t>创金合信基金管理有限公司</w:t>
      </w:r>
      <w:r>
        <w:rPr>
          <w:rFonts w:hint="eastAsia" w:ascii="楷体" w:hAnsi="楷体" w:eastAsia="楷体"/>
          <w:b w:val="0"/>
          <w:bCs w:val="0"/>
          <w:sz w:val="21"/>
          <w:szCs w:val="21"/>
          <w:highlight w:val="none"/>
          <w:lang w:eastAsia="zh-CN"/>
        </w:rPr>
        <w:t>：</w:t>
      </w:r>
      <w:r>
        <w:rPr>
          <w:rFonts w:ascii="楷体" w:hAnsi="楷体" w:eastAsia="楷体"/>
          <w:b w:val="0"/>
          <w:bCs w:val="0"/>
          <w:sz w:val="21"/>
          <w:szCs w:val="21"/>
          <w:highlight w:val="none"/>
        </w:rPr>
        <w:t>创金合信基金管理有限公司成立于2014年7月9日，由第一创业证券股份有限公司、深圳市金合信投资合伙企业（有限合伙）共同发起设立，注册地为深圳。</w:t>
      </w:r>
    </w:p>
    <w:p>
      <w:pPr>
        <w:ind w:firstLine="420" w:firstLineChars="200"/>
        <w:rPr>
          <w:rFonts w:hint="eastAsia" w:ascii="楷体" w:hAnsi="楷体" w:eastAsia="楷体"/>
          <w:b w:val="0"/>
          <w:bCs w:val="0"/>
          <w:sz w:val="21"/>
          <w:szCs w:val="21"/>
          <w:highlight w:val="none"/>
          <w:lang w:val="en-US" w:eastAsia="zh-CN"/>
        </w:rPr>
      </w:pPr>
      <w:r>
        <w:rPr>
          <w:rFonts w:hint="default" w:ascii="Calibri" w:hAnsi="Calibri" w:eastAsia="楷体" w:cs="Calibri"/>
          <w:b w:val="0"/>
          <w:bCs w:val="0"/>
          <w:sz w:val="21"/>
          <w:szCs w:val="21"/>
          <w:highlight w:val="none"/>
        </w:rPr>
        <w:fldChar w:fldCharType="begin"/>
      </w:r>
      <w:r>
        <w:rPr>
          <w:rFonts w:hint="default" w:ascii="Calibri" w:hAnsi="Calibri" w:eastAsia="楷体" w:cs="Calibri"/>
          <w:b w:val="0"/>
          <w:bCs w:val="0"/>
          <w:sz w:val="21"/>
          <w:szCs w:val="21"/>
          <w:highlight w:val="none"/>
        </w:rPr>
        <w:instrText xml:space="preserve"> = 3 \* GB3 \* MERGEFORMAT </w:instrText>
      </w:r>
      <w:r>
        <w:rPr>
          <w:rFonts w:hint="default" w:ascii="Calibri" w:hAnsi="Calibri" w:eastAsia="楷体" w:cs="Calibri"/>
          <w:b w:val="0"/>
          <w:bCs w:val="0"/>
          <w:sz w:val="21"/>
          <w:szCs w:val="21"/>
          <w:highlight w:val="none"/>
        </w:rPr>
        <w:fldChar w:fldCharType="separate"/>
      </w:r>
      <w:r>
        <w:rPr>
          <w:highlight w:val="none"/>
        </w:rPr>
        <w:t>③</w:t>
      </w:r>
      <w:r>
        <w:rPr>
          <w:rFonts w:hint="default" w:ascii="Calibri" w:hAnsi="Calibri" w:eastAsia="楷体" w:cs="Calibri"/>
          <w:b w:val="0"/>
          <w:bCs w:val="0"/>
          <w:sz w:val="21"/>
          <w:szCs w:val="21"/>
          <w:highlight w:val="none"/>
        </w:rPr>
        <w:fldChar w:fldCharType="end"/>
      </w:r>
      <w:r>
        <w:rPr>
          <w:rFonts w:hint="eastAsia" w:ascii="楷体" w:hAnsi="楷体" w:eastAsia="楷体"/>
          <w:b w:val="0"/>
          <w:bCs w:val="0"/>
          <w:sz w:val="21"/>
          <w:szCs w:val="21"/>
          <w:highlight w:val="none"/>
          <w:lang w:val="en-US" w:eastAsia="zh-CN"/>
        </w:rPr>
        <w:t>华鑫国际信托有限公司：华鑫国际信托有限公司于2010年2月获得中国银行业监督管理委员会批准重新登记，并于同年3月正式挂牌开业，实际控制人为中国华电集团有限公司，注册资本73.95亿元。</w:t>
      </w:r>
    </w:p>
    <w:p>
      <w:pPr>
        <w:ind w:firstLine="420" w:firstLineChars="200"/>
        <w:rPr>
          <w:rFonts w:hint="eastAsia" w:ascii="楷体" w:hAnsi="楷体" w:eastAsia="楷体"/>
          <w:b w:val="0"/>
          <w:bCs w:val="0"/>
          <w:sz w:val="21"/>
          <w:szCs w:val="21"/>
          <w:highlight w:val="none"/>
          <w:lang w:val="en-US" w:eastAsia="zh-CN"/>
        </w:rPr>
      </w:pPr>
      <w:r>
        <w:rPr>
          <w:rFonts w:ascii="楷体" w:hAnsi="楷体" w:eastAsia="楷体"/>
          <w:b w:val="0"/>
          <w:bCs w:val="0"/>
          <w:sz w:val="21"/>
          <w:szCs w:val="21"/>
          <w:highlight w:val="none"/>
        </w:rPr>
        <w:fldChar w:fldCharType="begin"/>
      </w:r>
      <w:r>
        <w:rPr>
          <w:rFonts w:ascii="楷体" w:hAnsi="楷体" w:eastAsia="楷体"/>
          <w:b w:val="0"/>
          <w:bCs w:val="0"/>
          <w:sz w:val="21"/>
          <w:szCs w:val="21"/>
          <w:highlight w:val="none"/>
        </w:rPr>
        <w:instrText xml:space="preserve"> = 4 \* GB3 \* MERGEFORMAT </w:instrText>
      </w:r>
      <w:r>
        <w:rPr>
          <w:rFonts w:ascii="楷体" w:hAnsi="楷体" w:eastAsia="楷体"/>
          <w:b w:val="0"/>
          <w:bCs w:val="0"/>
          <w:sz w:val="21"/>
          <w:szCs w:val="21"/>
          <w:highlight w:val="none"/>
        </w:rPr>
        <w:fldChar w:fldCharType="separate"/>
      </w:r>
      <w:r>
        <w:rPr>
          <w:highlight w:val="none"/>
        </w:rPr>
        <w:t>④</w:t>
      </w:r>
      <w:r>
        <w:rPr>
          <w:rFonts w:ascii="楷体" w:hAnsi="楷体" w:eastAsia="楷体"/>
          <w:b w:val="0"/>
          <w:bCs w:val="0"/>
          <w:sz w:val="21"/>
          <w:szCs w:val="21"/>
          <w:highlight w:val="none"/>
        </w:rPr>
        <w:fldChar w:fldCharType="end"/>
      </w:r>
      <w:r>
        <w:rPr>
          <w:rFonts w:hint="eastAsia" w:ascii="楷体" w:hAnsi="楷体" w:eastAsia="楷体"/>
          <w:b w:val="0"/>
          <w:bCs w:val="0"/>
          <w:sz w:val="21"/>
          <w:szCs w:val="21"/>
          <w:highlight w:val="none"/>
          <w:lang w:val="en-US" w:eastAsia="zh-CN"/>
        </w:rPr>
        <w:t>中国国际金融股份有限公司：中国国际金融股份有限公司于1995年7月31日成立，实际控制人为中央汇金投资有限责任公司，注册资本4,827,256,868元。</w:t>
      </w:r>
    </w:p>
    <w:p>
      <w:pPr>
        <w:ind w:firstLine="420" w:firstLineChars="200"/>
        <w:rPr>
          <w:rFonts w:hint="eastAsia" w:ascii="楷体" w:hAnsi="楷体" w:eastAsia="楷体"/>
          <w:b w:val="0"/>
          <w:bCs w:val="0"/>
          <w:sz w:val="21"/>
          <w:szCs w:val="21"/>
          <w:highlight w:val="none"/>
          <w:lang w:val="en-US" w:eastAsia="zh-CN"/>
        </w:rPr>
      </w:pPr>
      <w:r>
        <w:rPr>
          <w:rFonts w:hint="eastAsia" w:ascii="楷体" w:hAnsi="楷体" w:eastAsia="楷体"/>
          <w:b w:val="0"/>
          <w:bCs w:val="0"/>
          <w:sz w:val="21"/>
          <w:szCs w:val="21"/>
          <w:highlight w:val="none"/>
          <w:lang w:val="en-US" w:eastAsia="zh-CN"/>
        </w:rPr>
        <w:fldChar w:fldCharType="begin"/>
      </w:r>
      <w:r>
        <w:rPr>
          <w:rFonts w:hint="eastAsia" w:ascii="楷体" w:hAnsi="楷体" w:eastAsia="楷体"/>
          <w:b w:val="0"/>
          <w:bCs w:val="0"/>
          <w:sz w:val="21"/>
          <w:szCs w:val="21"/>
          <w:highlight w:val="none"/>
          <w:lang w:val="en-US" w:eastAsia="zh-CN"/>
        </w:rPr>
        <w:instrText xml:space="preserve"> = 5 \* GB3 \* MERGEFORMAT </w:instrText>
      </w:r>
      <w:r>
        <w:rPr>
          <w:rFonts w:hint="eastAsia" w:ascii="楷体" w:hAnsi="楷体" w:eastAsia="楷体"/>
          <w:b w:val="0"/>
          <w:bCs w:val="0"/>
          <w:sz w:val="21"/>
          <w:szCs w:val="21"/>
          <w:highlight w:val="none"/>
          <w:lang w:val="en-US" w:eastAsia="zh-CN"/>
        </w:rPr>
        <w:fldChar w:fldCharType="separate"/>
      </w:r>
      <w:r>
        <w:rPr>
          <w:highlight w:val="none"/>
        </w:rPr>
        <w:t>⑤</w:t>
      </w:r>
      <w:r>
        <w:rPr>
          <w:rFonts w:hint="eastAsia" w:ascii="楷体" w:hAnsi="楷体" w:eastAsia="楷体"/>
          <w:b w:val="0"/>
          <w:bCs w:val="0"/>
          <w:sz w:val="21"/>
          <w:szCs w:val="21"/>
          <w:highlight w:val="none"/>
          <w:lang w:val="en-US" w:eastAsia="zh-CN"/>
        </w:rPr>
        <w:fldChar w:fldCharType="end"/>
      </w:r>
      <w:r>
        <w:rPr>
          <w:rFonts w:hint="eastAsia" w:ascii="楷体" w:hAnsi="楷体" w:eastAsia="楷体"/>
          <w:b w:val="0"/>
          <w:bCs w:val="0"/>
          <w:sz w:val="21"/>
          <w:szCs w:val="21"/>
          <w:highlight w:val="none"/>
          <w:lang w:val="en-US" w:eastAsia="zh-CN"/>
        </w:rPr>
        <w:t>中粮信托有限责任公司：中粮信托有限责任公司成立于2009年7月27日，是中国银行保险监督管理委员会核准的国有控股金融机构，注册资本28.3095亿元，前三大股东分别为中粮资本投资有限公司、蒙特利尔银行、中粮财务有限责任公司。</w:t>
      </w:r>
    </w:p>
    <w:p>
      <w:pPr>
        <w:ind w:firstLine="420" w:firstLineChars="200"/>
        <w:rPr>
          <w:rFonts w:hint="eastAsia" w:ascii="楷体" w:hAnsi="楷体" w:eastAsia="楷体"/>
          <w:b w:val="0"/>
          <w:bCs w:val="0"/>
          <w:sz w:val="21"/>
          <w:szCs w:val="21"/>
          <w:highlight w:val="none"/>
          <w:lang w:val="en-US" w:eastAsia="zh-CN"/>
        </w:rPr>
      </w:pPr>
      <w:r>
        <w:rPr>
          <w:rFonts w:hint="eastAsia" w:ascii="楷体" w:hAnsi="楷体" w:eastAsia="楷体"/>
          <w:b w:val="0"/>
          <w:bCs w:val="0"/>
          <w:sz w:val="21"/>
          <w:szCs w:val="21"/>
          <w:highlight w:val="none"/>
          <w:lang w:val="en-US" w:eastAsia="zh-CN"/>
        </w:rPr>
        <w:fldChar w:fldCharType="begin"/>
      </w:r>
      <w:r>
        <w:rPr>
          <w:rFonts w:hint="eastAsia" w:ascii="楷体" w:hAnsi="楷体" w:eastAsia="楷体"/>
          <w:b w:val="0"/>
          <w:bCs w:val="0"/>
          <w:sz w:val="21"/>
          <w:szCs w:val="21"/>
          <w:highlight w:val="none"/>
          <w:lang w:val="en-US" w:eastAsia="zh-CN"/>
        </w:rPr>
        <w:instrText xml:space="preserve"> = 6 \* GB3 \* MERGEFORMAT </w:instrText>
      </w:r>
      <w:r>
        <w:rPr>
          <w:rFonts w:hint="eastAsia" w:ascii="楷体" w:hAnsi="楷体" w:eastAsia="楷体"/>
          <w:b w:val="0"/>
          <w:bCs w:val="0"/>
          <w:sz w:val="21"/>
          <w:szCs w:val="21"/>
          <w:highlight w:val="none"/>
          <w:lang w:val="en-US" w:eastAsia="zh-CN"/>
        </w:rPr>
        <w:fldChar w:fldCharType="separate"/>
      </w:r>
      <w:r>
        <w:rPr>
          <w:highlight w:val="none"/>
        </w:rPr>
        <w:t>⑥</w:t>
      </w:r>
      <w:r>
        <w:rPr>
          <w:rFonts w:hint="eastAsia" w:ascii="楷体" w:hAnsi="楷体" w:eastAsia="楷体"/>
          <w:b w:val="0"/>
          <w:bCs w:val="0"/>
          <w:sz w:val="21"/>
          <w:szCs w:val="21"/>
          <w:highlight w:val="none"/>
          <w:lang w:val="en-US" w:eastAsia="zh-CN"/>
        </w:rPr>
        <w:fldChar w:fldCharType="end"/>
      </w:r>
      <w:r>
        <w:rPr>
          <w:rFonts w:hint="eastAsia" w:ascii="楷体" w:hAnsi="楷体" w:eastAsia="楷体"/>
          <w:b w:val="0"/>
          <w:bCs w:val="0"/>
          <w:sz w:val="21"/>
          <w:szCs w:val="21"/>
          <w:highlight w:val="none"/>
          <w:lang w:val="en-US" w:eastAsia="zh-CN"/>
        </w:rPr>
        <w:t>中国对外经济贸易信托有限公司：中国对外经济贸易信托有限公司成立于1987年9月30日，是中国银行保险监督管理委员会核准的国有控股金融机构，注册资本80亿元，股东为中化资本有限公司和中化集团财务有限责任公司。</w:t>
      </w:r>
    </w:p>
    <w:p>
      <w:pPr>
        <w:ind w:firstLine="420" w:firstLineChars="200"/>
        <w:rPr>
          <w:rFonts w:hint="default" w:ascii="楷体" w:hAnsi="楷体" w:eastAsia="楷体"/>
          <w:b w:val="0"/>
          <w:bCs w:val="0"/>
          <w:sz w:val="21"/>
          <w:szCs w:val="21"/>
          <w:highlight w:val="none"/>
          <w:lang w:val="en-US" w:eastAsia="zh-CN"/>
        </w:rPr>
      </w:pPr>
      <w:r>
        <w:rPr>
          <w:rFonts w:hint="eastAsia" w:ascii="楷体" w:hAnsi="楷体" w:eastAsia="楷体"/>
          <w:b w:val="0"/>
          <w:bCs w:val="0"/>
          <w:sz w:val="21"/>
          <w:szCs w:val="21"/>
          <w:highlight w:val="none"/>
          <w:lang w:val="en-US" w:eastAsia="zh-CN"/>
        </w:rPr>
        <w:fldChar w:fldCharType="begin"/>
      </w:r>
      <w:r>
        <w:rPr>
          <w:rFonts w:hint="eastAsia" w:ascii="楷体" w:hAnsi="楷体" w:eastAsia="楷体"/>
          <w:b w:val="0"/>
          <w:bCs w:val="0"/>
          <w:sz w:val="21"/>
          <w:szCs w:val="21"/>
          <w:highlight w:val="none"/>
          <w:lang w:val="en-US" w:eastAsia="zh-CN"/>
        </w:rPr>
        <w:instrText xml:space="preserve"> = 7 \* GB3 \* MERGEFORMAT </w:instrText>
      </w:r>
      <w:r>
        <w:rPr>
          <w:rFonts w:hint="eastAsia" w:ascii="楷体" w:hAnsi="楷体" w:eastAsia="楷体"/>
          <w:b w:val="0"/>
          <w:bCs w:val="0"/>
          <w:sz w:val="21"/>
          <w:szCs w:val="21"/>
          <w:highlight w:val="none"/>
          <w:lang w:val="en-US" w:eastAsia="zh-CN"/>
        </w:rPr>
        <w:fldChar w:fldCharType="separate"/>
      </w:r>
      <w:r>
        <w:rPr>
          <w:highlight w:val="none"/>
        </w:rPr>
        <w:t>⑦</w:t>
      </w:r>
      <w:r>
        <w:rPr>
          <w:rFonts w:hint="eastAsia" w:ascii="楷体" w:hAnsi="楷体" w:eastAsia="楷体"/>
          <w:b w:val="0"/>
          <w:bCs w:val="0"/>
          <w:sz w:val="21"/>
          <w:szCs w:val="21"/>
          <w:highlight w:val="none"/>
          <w:lang w:val="en-US" w:eastAsia="zh-CN"/>
        </w:rPr>
        <w:fldChar w:fldCharType="end"/>
      </w:r>
      <w:r>
        <w:rPr>
          <w:rFonts w:hint="default" w:ascii="楷体" w:hAnsi="楷体" w:eastAsia="楷体"/>
          <w:b w:val="0"/>
          <w:bCs w:val="0"/>
          <w:sz w:val="21"/>
          <w:szCs w:val="21"/>
          <w:highlight w:val="none"/>
          <w:lang w:val="en-US" w:eastAsia="zh-CN"/>
        </w:rPr>
        <w:t>南方资本管理有限公司</w:t>
      </w:r>
      <w:r>
        <w:rPr>
          <w:rFonts w:hint="eastAsia" w:ascii="楷体" w:hAnsi="楷体" w:eastAsia="楷体"/>
          <w:b w:val="0"/>
          <w:bCs w:val="0"/>
          <w:sz w:val="21"/>
          <w:szCs w:val="21"/>
          <w:highlight w:val="none"/>
          <w:lang w:val="en-US" w:eastAsia="zh-CN"/>
        </w:rPr>
        <w:t>：</w:t>
      </w:r>
      <w:r>
        <w:rPr>
          <w:rFonts w:hint="default" w:ascii="楷体" w:hAnsi="楷体" w:eastAsia="楷体"/>
          <w:b w:val="0"/>
          <w:bCs w:val="0"/>
          <w:sz w:val="21"/>
          <w:szCs w:val="21"/>
          <w:highlight w:val="none"/>
          <w:lang w:val="en-US" w:eastAsia="zh-CN"/>
        </w:rPr>
        <w:t>南方资本管理有限公司成立于2013年11月14日，注册资本5.42亿元人民币，注册地为深圳前海。经中国证监会核准，南方资本业务范围为特定客户资产管理业务以及中国证监会许可的其他业务。公司股东为南方基金管理股份有限公司（100%）。</w:t>
      </w:r>
    </w:p>
    <w:p>
      <w:pPr>
        <w:ind w:firstLine="420" w:firstLineChars="200"/>
        <w:rPr>
          <w:rFonts w:hint="default" w:ascii="楷体" w:hAnsi="楷体" w:eastAsia="楷体"/>
          <w:b w:val="0"/>
          <w:bCs w:val="0"/>
          <w:sz w:val="21"/>
          <w:szCs w:val="21"/>
          <w:highlight w:val="none"/>
          <w:lang w:val="en-US" w:eastAsia="zh-CN"/>
        </w:rPr>
      </w:pPr>
      <w:r>
        <w:rPr>
          <w:rFonts w:hint="eastAsia" w:ascii="楷体" w:hAnsi="楷体" w:eastAsia="楷体"/>
          <w:b w:val="0"/>
          <w:bCs w:val="0"/>
          <w:sz w:val="21"/>
          <w:szCs w:val="21"/>
          <w:highlight w:val="none"/>
          <w:lang w:val="en-US" w:eastAsia="zh-CN"/>
        </w:rPr>
        <w:t>⑧建信保险资产管理有限公司：建信保险资产管理有限公司成立于2016年4月7日，是中国银行保险监督管理委员会核准的国有控股金融机构，注册资本3亿元，股东为建信人寿保险股份有限公司和建银国际（中国）有限公司。</w:t>
      </w:r>
    </w:p>
    <w:p>
      <w:pPr>
        <w:numPr>
          <w:ilvl w:val="0"/>
          <w:numId w:val="6"/>
        </w:numPr>
        <w:tabs>
          <w:tab w:val="left" w:pos="993"/>
        </w:tabs>
        <w:ind w:left="0" w:firstLine="420" w:firstLineChars="200"/>
        <w:outlineLvl w:val="2"/>
        <w:rPr>
          <w:rFonts w:ascii="楷体" w:hAnsi="楷体" w:eastAsia="楷体" w:cs="Calibri"/>
          <w:b w:val="0"/>
          <w:bCs/>
          <w:sz w:val="21"/>
          <w:szCs w:val="21"/>
          <w:highlight w:val="none"/>
        </w:rPr>
      </w:pPr>
      <w:r>
        <w:rPr>
          <w:rFonts w:hint="eastAsia" w:ascii="楷体" w:hAnsi="楷体" w:eastAsia="楷体" w:cs="Calibri"/>
          <w:b w:val="0"/>
          <w:bCs/>
          <w:sz w:val="21"/>
          <w:szCs w:val="21"/>
          <w:highlight w:val="none"/>
        </w:rPr>
        <w:t>投资限制</w:t>
      </w:r>
    </w:p>
    <w:p>
      <w:pPr>
        <w:keepNext w:val="0"/>
        <w:keepLines w:val="0"/>
        <w:pageBreakBefore w:val="0"/>
        <w:widowControl w:val="0"/>
        <w:numPr>
          <w:ilvl w:val="0"/>
          <w:numId w:val="8"/>
        </w:numPr>
        <w:kinsoku/>
        <w:wordWrap/>
        <w:overflowPunct/>
        <w:topLinePunct w:val="0"/>
        <w:autoSpaceDE/>
        <w:autoSpaceDN/>
        <w:bidi w:val="0"/>
        <w:adjustRightInd/>
        <w:snapToGrid/>
        <w:ind w:left="0" w:leftChars="0" w:firstLine="420" w:firstLineChars="200"/>
        <w:textAlignment w:val="auto"/>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本理财产品投资于单只证券或单只公募证券投资基金的市值不超过本产品净资产的10%。</w:t>
      </w:r>
    </w:p>
    <w:p>
      <w:pPr>
        <w:keepNext w:val="0"/>
        <w:keepLines w:val="0"/>
        <w:pageBreakBefore w:val="0"/>
        <w:widowControl w:val="0"/>
        <w:numPr>
          <w:ilvl w:val="0"/>
          <w:numId w:val="8"/>
        </w:numPr>
        <w:kinsoku/>
        <w:wordWrap/>
        <w:overflowPunct/>
        <w:topLinePunct w:val="0"/>
        <w:autoSpaceDE/>
        <w:autoSpaceDN/>
        <w:bidi w:val="0"/>
        <w:adjustRightInd/>
        <w:snapToGrid/>
        <w:ind w:left="0" w:leftChars="0" w:firstLine="420" w:firstLineChars="200"/>
        <w:textAlignment w:val="auto"/>
        <w:rPr>
          <w:rFonts w:hint="eastAsia" w:ascii="楷体" w:hAnsi="楷体" w:eastAsia="楷体"/>
          <w:color w:val="auto"/>
          <w:sz w:val="21"/>
          <w:szCs w:val="21"/>
          <w:highlight w:val="none"/>
        </w:rPr>
      </w:pPr>
      <w:r>
        <w:rPr>
          <w:rFonts w:hint="eastAsia" w:ascii="楷体" w:hAnsi="楷体" w:eastAsia="楷体"/>
          <w:color w:val="auto"/>
          <w:sz w:val="21"/>
          <w:szCs w:val="21"/>
          <w:highlight w:val="none"/>
        </w:rPr>
        <w:t>管理人发行的全部公募理财产品投资单只证券或者单只公募证券投资基金的市值不得超过该证券市值或者公募证券投资基金市值的30%。其中，管理人全部开放式公募理财产品投资单一上市公司发行的股票不得超过该上市公司可流通股票的15%。</w:t>
      </w:r>
    </w:p>
    <w:p>
      <w:pPr>
        <w:keepNext w:val="0"/>
        <w:keepLines w:val="0"/>
        <w:pageBreakBefore w:val="0"/>
        <w:widowControl w:val="0"/>
        <w:numPr>
          <w:ilvl w:val="0"/>
          <w:numId w:val="8"/>
        </w:numPr>
        <w:kinsoku/>
        <w:wordWrap/>
        <w:overflowPunct/>
        <w:topLinePunct w:val="0"/>
        <w:autoSpaceDE/>
        <w:autoSpaceDN/>
        <w:bidi w:val="0"/>
        <w:adjustRightInd/>
        <w:snapToGrid/>
        <w:ind w:left="0" w:leftChars="0" w:firstLine="420" w:firstLineChars="200"/>
        <w:textAlignment w:val="auto"/>
        <w:rPr>
          <w:rFonts w:hint="eastAsia" w:ascii="楷体" w:hAnsi="楷体" w:eastAsia="楷体"/>
          <w:color w:val="auto"/>
          <w:sz w:val="21"/>
          <w:szCs w:val="21"/>
          <w:highlight w:val="none"/>
        </w:rPr>
      </w:pPr>
      <w:r>
        <w:rPr>
          <w:rFonts w:hint="eastAsia" w:ascii="楷体" w:hAnsi="楷体" w:eastAsia="楷体"/>
          <w:color w:val="auto"/>
          <w:sz w:val="21"/>
          <w:szCs w:val="21"/>
          <w:highlight w:val="none"/>
        </w:rPr>
        <w:t>管理人全部产品持有单一上市公司发行的股票，不得超过该上市公司可流通股票的30%。</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highlight w:val="none"/>
        </w:rPr>
      </w:pPr>
      <w:r>
        <w:rPr>
          <w:rFonts w:hint="eastAsia" w:ascii="楷体" w:hAnsi="楷体" w:eastAsia="楷体"/>
          <w:color w:val="auto"/>
          <w:sz w:val="21"/>
          <w:szCs w:val="21"/>
          <w:highlight w:val="none"/>
        </w:rPr>
        <w:t>针对上述第1、2</w:t>
      </w:r>
      <w:r>
        <w:rPr>
          <w:rFonts w:hint="eastAsia" w:ascii="楷体" w:hAnsi="楷体" w:eastAsia="楷体"/>
          <w:color w:val="auto"/>
          <w:sz w:val="21"/>
          <w:szCs w:val="21"/>
          <w:highlight w:val="none"/>
          <w:lang w:eastAsia="zh-CN"/>
        </w:rPr>
        <w:t>、</w:t>
      </w:r>
      <w:r>
        <w:rPr>
          <w:rFonts w:hint="eastAsia" w:ascii="楷体" w:hAnsi="楷体" w:eastAsia="楷体"/>
          <w:color w:val="auto"/>
          <w:sz w:val="21"/>
          <w:szCs w:val="21"/>
          <w:highlight w:val="none"/>
        </w:rPr>
        <w:t>3项，非因管理人主观因素致使不符合前述比例限制的，管理人将在流动性受限资产可出售、可转让或者恢复交易的10个交易日内调整至符合相关要求。</w:t>
      </w:r>
    </w:p>
    <w:p>
      <w:pPr>
        <w:keepNext w:val="0"/>
        <w:keepLines w:val="0"/>
        <w:pageBreakBefore w:val="0"/>
        <w:widowControl w:val="0"/>
        <w:numPr>
          <w:ilvl w:val="0"/>
          <w:numId w:val="8"/>
        </w:numPr>
        <w:kinsoku/>
        <w:wordWrap/>
        <w:overflowPunct/>
        <w:topLinePunct w:val="0"/>
        <w:autoSpaceDE/>
        <w:autoSpaceDN/>
        <w:bidi w:val="0"/>
        <w:adjustRightInd/>
        <w:snapToGrid/>
        <w:ind w:left="0" w:leftChars="0" w:firstLine="420" w:firstLineChars="200"/>
        <w:textAlignment w:val="auto"/>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本理财产品</w:t>
      </w:r>
      <w:r>
        <w:rPr>
          <w:rFonts w:hint="eastAsia" w:ascii="楷体" w:hAnsi="楷体" w:eastAsia="楷体"/>
          <w:color w:val="auto"/>
          <w:sz w:val="21"/>
          <w:szCs w:val="21"/>
          <w:highlight w:val="none"/>
          <w:lang w:val="en-US" w:eastAsia="zh-CN"/>
        </w:rPr>
        <w:t>杠杆率</w:t>
      </w:r>
      <w:r>
        <w:rPr>
          <w:rFonts w:hint="eastAsia" w:ascii="楷体" w:hAnsi="楷体" w:eastAsia="楷体"/>
          <w:color w:val="auto"/>
          <w:sz w:val="21"/>
          <w:szCs w:val="21"/>
          <w:highlight w:val="none"/>
        </w:rPr>
        <w:t>不超过140%。</w:t>
      </w:r>
    </w:p>
    <w:p>
      <w:pPr>
        <w:keepNext w:val="0"/>
        <w:keepLines w:val="0"/>
        <w:pageBreakBefore w:val="0"/>
        <w:widowControl w:val="0"/>
        <w:numPr>
          <w:ilvl w:val="0"/>
          <w:numId w:val="8"/>
        </w:numPr>
        <w:kinsoku/>
        <w:wordWrap/>
        <w:overflowPunct/>
        <w:topLinePunct w:val="0"/>
        <w:autoSpaceDE/>
        <w:autoSpaceDN/>
        <w:bidi w:val="0"/>
        <w:adjustRightInd/>
        <w:snapToGrid/>
        <w:ind w:left="0" w:leftChars="0" w:firstLine="420" w:firstLineChars="200"/>
        <w:textAlignment w:val="auto"/>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本理财产品在开放日及开放日前7 个工作日内持有不低于产品资产净值5%的现金或者到期日在一年以内的国债、中央银行票据和政策性金融债券。</w:t>
      </w:r>
    </w:p>
    <w:p>
      <w:pPr>
        <w:keepNext w:val="0"/>
        <w:keepLines w:val="0"/>
        <w:pageBreakBefore w:val="0"/>
        <w:widowControl w:val="0"/>
        <w:numPr>
          <w:ilvl w:val="0"/>
          <w:numId w:val="8"/>
        </w:numPr>
        <w:kinsoku/>
        <w:wordWrap/>
        <w:overflowPunct/>
        <w:topLinePunct w:val="0"/>
        <w:autoSpaceDE/>
        <w:autoSpaceDN/>
        <w:bidi w:val="0"/>
        <w:adjustRightInd/>
        <w:snapToGrid/>
        <w:ind w:left="0" w:leftChars="0" w:firstLine="420" w:firstLineChars="200"/>
        <w:textAlignment w:val="auto"/>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本理财产品直接投资于流动性受限资产的市值在开放日不得超过本产品净资产的15%。因证券市场波动、理财产品规模变动等因素导致不符合前述比例限制的，本理财产品不得主动新增投资流动性受限资产。</w:t>
      </w:r>
    </w:p>
    <w:p>
      <w:pPr>
        <w:keepNext w:val="0"/>
        <w:keepLines w:val="0"/>
        <w:pageBreakBefore w:val="0"/>
        <w:widowControl w:val="0"/>
        <w:numPr>
          <w:ilvl w:val="0"/>
          <w:numId w:val="8"/>
        </w:numPr>
        <w:kinsoku/>
        <w:wordWrap/>
        <w:overflowPunct/>
        <w:topLinePunct w:val="0"/>
        <w:autoSpaceDE/>
        <w:autoSpaceDN/>
        <w:bidi w:val="0"/>
        <w:adjustRightInd/>
        <w:snapToGrid/>
        <w:ind w:left="0" w:leftChars="0" w:firstLine="420" w:firstLineChars="200"/>
        <w:textAlignment w:val="auto"/>
        <w:rPr>
          <w:rFonts w:hint="eastAsia" w:ascii="楷体" w:hAnsi="楷体" w:eastAsia="楷体"/>
          <w:color w:val="auto"/>
          <w:sz w:val="21"/>
          <w:szCs w:val="21"/>
          <w:highlight w:val="none"/>
        </w:rPr>
      </w:pPr>
      <w:r>
        <w:rPr>
          <w:rFonts w:hint="eastAsia" w:ascii="楷体" w:hAnsi="楷体" w:eastAsia="楷体"/>
          <w:color w:val="auto"/>
          <w:sz w:val="21"/>
          <w:szCs w:val="21"/>
          <w:highlight w:val="none"/>
        </w:rPr>
        <w:t>在开放日前一工作日内，本理财产品7个工作日可变现资产的可变现价值应当不低于本产品净资产的10%。</w:t>
      </w:r>
    </w:p>
    <w:p>
      <w:pPr>
        <w:numPr>
          <w:ilvl w:val="0"/>
          <w:numId w:val="6"/>
        </w:numPr>
        <w:tabs>
          <w:tab w:val="left" w:pos="993"/>
        </w:tabs>
        <w:ind w:left="0" w:firstLine="420" w:firstLineChars="200"/>
        <w:outlineLvl w:val="2"/>
        <w:rPr>
          <w:rFonts w:ascii="楷体" w:hAnsi="楷体" w:eastAsia="楷体" w:cs="Calibri"/>
          <w:b w:val="0"/>
          <w:bCs/>
          <w:sz w:val="21"/>
          <w:szCs w:val="21"/>
          <w:highlight w:val="none"/>
        </w:rPr>
      </w:pPr>
      <w:r>
        <w:rPr>
          <w:rFonts w:hint="eastAsia" w:ascii="楷体" w:hAnsi="楷体" w:eastAsia="楷体" w:cs="Calibri"/>
          <w:b w:val="0"/>
          <w:bCs/>
          <w:sz w:val="21"/>
          <w:szCs w:val="21"/>
          <w:highlight w:val="none"/>
        </w:rPr>
        <w:t>投资</w:t>
      </w:r>
      <w:r>
        <w:rPr>
          <w:rFonts w:hint="eastAsia" w:ascii="楷体" w:hAnsi="楷体" w:eastAsia="楷体" w:cs="Calibri"/>
          <w:b w:val="0"/>
          <w:bCs/>
          <w:sz w:val="21"/>
          <w:szCs w:val="21"/>
          <w:highlight w:val="none"/>
          <w:lang w:val="en-US" w:eastAsia="zh-CN"/>
        </w:rPr>
        <w:t>管理</w:t>
      </w:r>
      <w:r>
        <w:rPr>
          <w:rFonts w:hint="eastAsia" w:ascii="楷体" w:hAnsi="楷体" w:eastAsia="楷体" w:cs="Calibri"/>
          <w:b w:val="0"/>
          <w:bCs/>
          <w:sz w:val="21"/>
          <w:szCs w:val="21"/>
          <w:highlight w:val="none"/>
        </w:rPr>
        <w:t>调整</w:t>
      </w:r>
    </w:p>
    <w:p>
      <w:pPr>
        <w:pStyle w:val="2"/>
        <w:keepNext w:val="0"/>
        <w:keepLines w:val="0"/>
        <w:pageBreakBefore w:val="0"/>
        <w:widowControl w:val="0"/>
        <w:kinsoku/>
        <w:wordWrap/>
        <w:overflowPunct/>
        <w:topLinePunct w:val="0"/>
        <w:autoSpaceDE w:val="0"/>
        <w:autoSpaceDN w:val="0"/>
        <w:bidi w:val="0"/>
        <w:adjustRightInd w:val="0"/>
        <w:snapToGrid/>
        <w:spacing w:before="0"/>
        <w:ind w:left="0" w:firstLine="420" w:firstLineChars="200"/>
        <w:jc w:val="both"/>
        <w:textAlignment w:val="auto"/>
        <w:rPr>
          <w:rFonts w:hint="eastAsia" w:ascii="楷体" w:hAnsi="楷体" w:eastAsia="楷体" w:cs="Times New Roman"/>
          <w:color w:val="auto"/>
          <w:kern w:val="2"/>
          <w:sz w:val="21"/>
          <w:szCs w:val="21"/>
          <w:highlight w:val="none"/>
          <w:lang w:val="en-US" w:eastAsia="zh-CN" w:bidi="ar-SA"/>
        </w:rPr>
      </w:pPr>
      <w:r>
        <w:rPr>
          <w:rFonts w:hint="eastAsia" w:ascii="楷体" w:hAnsi="楷体" w:eastAsia="楷体" w:cs="Times New Roman"/>
          <w:color w:val="auto"/>
          <w:kern w:val="2"/>
          <w:sz w:val="21"/>
          <w:szCs w:val="21"/>
          <w:highlight w:val="none"/>
          <w:lang w:val="en-US" w:eastAsia="zh-CN" w:bidi="ar-SA"/>
        </w:rPr>
        <w:t>若法律法规、国家监管政策或市场情况发生变化，管理人在不改变产品类型的情况下，可对本说明书中已约定的投资范围、投资品种、投资比例等事项进行调整，产品管理人将于调整事项生效前2个工作日通过短信、苏银理财有限责任公司官方网站（www.suyinwealth.com）、销售机构电子渠道和营业网点等方式进行信息披露。此种情况下产品管理人可能开放赎回，具体以届时产品管理人公告为准。若本理财产品的投资者不接受上述调整，可及时通过销售机构赎回本产品（高风险类型的理财产品超出比例范围投资较低风险资产的情况除外）；若本理财产品投资者未在约定的时间内赎回本产品，则视为本理财产品投资者接受相关调整且同意继续持有本理财产品。</w:t>
      </w:r>
    </w:p>
    <w:p>
      <w:pPr>
        <w:ind w:firstLine="420" w:firstLineChars="200"/>
        <w:rPr>
          <w:rFonts w:hint="eastAsia" w:ascii="楷体" w:hAnsi="楷体" w:eastAsia="楷体"/>
          <w:sz w:val="21"/>
          <w:szCs w:val="21"/>
          <w:highlight w:val="none"/>
          <w:lang w:val="en-US" w:eastAsia="zh-CN"/>
        </w:rPr>
      </w:pPr>
      <w:r>
        <w:rPr>
          <w:rFonts w:hint="eastAsia" w:ascii="楷体" w:hAnsi="楷体" w:eastAsia="楷体" w:cs="楷体"/>
          <w:color w:val="auto"/>
          <w:sz w:val="21"/>
          <w:szCs w:val="21"/>
          <w:highlight w:val="none"/>
        </w:rPr>
        <w:t>如监管有最新规定的，可参照监管规定</w:t>
      </w:r>
      <w:r>
        <w:rPr>
          <w:rFonts w:hint="eastAsia" w:ascii="楷体" w:hAnsi="楷体" w:eastAsia="楷体" w:cs="楷体"/>
          <w:color w:val="auto"/>
          <w:sz w:val="21"/>
          <w:szCs w:val="21"/>
          <w:highlight w:val="none"/>
          <w:lang w:val="en-US" w:eastAsia="zh-CN"/>
        </w:rPr>
        <w:t>执行</w:t>
      </w:r>
      <w:r>
        <w:rPr>
          <w:rFonts w:hint="eastAsia" w:ascii="楷体" w:hAnsi="楷体" w:eastAsia="楷体"/>
          <w:sz w:val="21"/>
          <w:szCs w:val="21"/>
          <w:highlight w:val="none"/>
          <w:lang w:val="en-US" w:eastAsia="zh-CN"/>
        </w:rPr>
        <w:t>。</w:t>
      </w:r>
    </w:p>
    <w:p>
      <w:pPr>
        <w:keepNext w:val="0"/>
        <w:keepLines w:val="0"/>
        <w:pageBreakBefore w:val="0"/>
        <w:widowControl w:val="0"/>
        <w:numPr>
          <w:ilvl w:val="0"/>
          <w:numId w:val="2"/>
        </w:numPr>
        <w:tabs>
          <w:tab w:val="left" w:pos="1134"/>
          <w:tab w:val="clear" w:pos="0"/>
        </w:tabs>
        <w:kinsoku/>
        <w:wordWrap/>
        <w:overflowPunct/>
        <w:topLinePunct w:val="0"/>
        <w:autoSpaceDE/>
        <w:autoSpaceDN/>
        <w:bidi w:val="0"/>
        <w:adjustRightInd/>
        <w:snapToGrid/>
        <w:ind w:left="0" w:leftChars="0" w:firstLine="422" w:firstLineChars="200"/>
        <w:textAlignment w:val="auto"/>
        <w:outlineLvl w:val="1"/>
        <w:rPr>
          <w:rFonts w:ascii="楷体" w:hAnsi="楷体" w:eastAsia="楷体"/>
          <w:b/>
          <w:sz w:val="21"/>
          <w:szCs w:val="21"/>
          <w:highlight w:val="none"/>
        </w:rPr>
      </w:pPr>
      <w:r>
        <w:rPr>
          <w:rFonts w:hint="eastAsia" w:ascii="楷体" w:hAnsi="楷体" w:eastAsia="楷体"/>
          <w:b/>
          <w:sz w:val="21"/>
          <w:szCs w:val="21"/>
          <w:highlight w:val="none"/>
        </w:rPr>
        <w:t>产品认购</w:t>
      </w:r>
    </w:p>
    <w:p>
      <w:pPr>
        <w:numPr>
          <w:ilvl w:val="0"/>
          <w:numId w:val="9"/>
        </w:numPr>
        <w:tabs>
          <w:tab w:val="left" w:pos="993"/>
        </w:tabs>
        <w:ind w:left="0" w:firstLine="420" w:firstLineChars="200"/>
        <w:rPr>
          <w:rFonts w:hint="eastAsia" w:ascii="楷体" w:hAnsi="楷体" w:eastAsia="楷体" w:cs="Calibri"/>
          <w:color w:val="auto"/>
          <w:sz w:val="21"/>
          <w:szCs w:val="21"/>
          <w:highlight w:val="none"/>
        </w:rPr>
      </w:pPr>
      <w:r>
        <w:rPr>
          <w:rFonts w:hint="eastAsia" w:ascii="楷体" w:hAnsi="楷体" w:eastAsia="楷体" w:cs="Calibri"/>
          <w:color w:val="auto"/>
          <w:sz w:val="21"/>
          <w:szCs w:val="21"/>
          <w:highlight w:val="none"/>
        </w:rPr>
        <w:t>认购方式</w:t>
      </w:r>
      <w:r>
        <w:rPr>
          <w:rFonts w:hint="eastAsia" w:ascii="楷体" w:hAnsi="楷体" w:eastAsia="楷体" w:cs="Calibri"/>
          <w:color w:val="auto"/>
          <w:sz w:val="21"/>
          <w:szCs w:val="21"/>
          <w:highlight w:val="none"/>
          <w:lang w:val="en-US" w:eastAsia="zh-CN"/>
        </w:rPr>
        <w:t>及确认</w:t>
      </w:r>
    </w:p>
    <w:p>
      <w:pPr>
        <w:numPr>
          <w:ilvl w:val="-1"/>
          <w:numId w:val="0"/>
        </w:numPr>
        <w:ind w:left="0" w:firstLine="420" w:firstLineChars="200"/>
        <w:rPr>
          <w:rFonts w:hint="eastAsia" w:ascii="楷体" w:hAnsi="楷体" w:eastAsia="楷体" w:cs="Calibri"/>
          <w:color w:val="auto"/>
          <w:sz w:val="21"/>
          <w:szCs w:val="21"/>
          <w:highlight w:val="none"/>
        </w:rPr>
      </w:pPr>
      <w:r>
        <w:rPr>
          <w:rFonts w:hint="eastAsia" w:ascii="楷体" w:hAnsi="楷体" w:eastAsia="楷体" w:cs="Calibri"/>
          <w:color w:val="auto"/>
          <w:sz w:val="21"/>
          <w:szCs w:val="21"/>
          <w:highlight w:val="none"/>
        </w:rPr>
        <w:t>本理财产品可在各销售机构指定渠道进行认购</w:t>
      </w:r>
      <w:r>
        <w:rPr>
          <w:rFonts w:hint="eastAsia" w:ascii="楷体" w:hAnsi="楷体" w:eastAsia="楷体" w:cs="Calibri"/>
          <w:sz w:val="21"/>
          <w:szCs w:val="21"/>
          <w:highlight w:val="none"/>
          <w:lang w:val="en-US" w:eastAsia="zh-CN"/>
        </w:rPr>
        <w:t>，投资者按规定提交认购申请，管理人在份额登记日对投资者的认购申请成功登记后并收到投资者全额交付的款项，视为投资者的认购申请生效。投资者应在理财产品成立后及时查询最终的成交情况。</w:t>
      </w:r>
      <w:r>
        <w:rPr>
          <w:rFonts w:hint="eastAsia" w:ascii="楷体" w:hAnsi="楷体" w:eastAsia="楷体"/>
          <w:sz w:val="21"/>
          <w:szCs w:val="21"/>
          <w:highlight w:val="none"/>
        </w:rPr>
        <w:t>因投资者资金账户余额不足、司法冻结、不可抗力因素或其他不可归责于</w:t>
      </w:r>
      <w:r>
        <w:rPr>
          <w:rFonts w:hint="eastAsia" w:ascii="楷体" w:hAnsi="楷体" w:eastAsia="楷体"/>
          <w:sz w:val="21"/>
          <w:szCs w:val="21"/>
          <w:highlight w:val="none"/>
          <w:lang w:val="en-US" w:eastAsia="zh-CN"/>
        </w:rPr>
        <w:t>管理人</w:t>
      </w:r>
      <w:r>
        <w:rPr>
          <w:rFonts w:hint="eastAsia" w:ascii="楷体" w:hAnsi="楷体" w:eastAsia="楷体"/>
          <w:sz w:val="21"/>
          <w:szCs w:val="21"/>
          <w:highlight w:val="none"/>
        </w:rPr>
        <w:t>和销售机构的事由出现，造成认购申请未被确认的，</w:t>
      </w:r>
      <w:r>
        <w:rPr>
          <w:rFonts w:hint="eastAsia" w:ascii="楷体" w:hAnsi="楷体" w:eastAsia="楷体"/>
          <w:sz w:val="21"/>
          <w:szCs w:val="21"/>
          <w:highlight w:val="none"/>
          <w:lang w:val="en-US" w:eastAsia="zh-CN"/>
        </w:rPr>
        <w:t>管理人</w:t>
      </w:r>
      <w:r>
        <w:rPr>
          <w:rFonts w:hint="eastAsia" w:ascii="楷体" w:hAnsi="楷体" w:eastAsia="楷体"/>
          <w:sz w:val="21"/>
          <w:szCs w:val="21"/>
          <w:highlight w:val="none"/>
        </w:rPr>
        <w:t>和销售机构不承担任何责任。</w:t>
      </w:r>
    </w:p>
    <w:p>
      <w:pPr>
        <w:numPr>
          <w:ilvl w:val="0"/>
          <w:numId w:val="9"/>
        </w:numPr>
        <w:tabs>
          <w:tab w:val="left" w:pos="993"/>
        </w:tabs>
        <w:ind w:left="0" w:firstLine="420" w:firstLineChars="200"/>
        <w:rPr>
          <w:rFonts w:hint="eastAsia" w:ascii="楷体" w:hAnsi="楷体" w:eastAsia="楷体" w:cs="Calibri"/>
          <w:color w:val="auto"/>
          <w:sz w:val="21"/>
          <w:szCs w:val="21"/>
          <w:highlight w:val="none"/>
        </w:rPr>
      </w:pPr>
      <w:r>
        <w:rPr>
          <w:rFonts w:hint="eastAsia" w:ascii="楷体" w:hAnsi="楷体" w:eastAsia="楷体" w:cs="Calibri"/>
          <w:color w:val="auto"/>
          <w:sz w:val="21"/>
          <w:szCs w:val="21"/>
          <w:highlight w:val="none"/>
        </w:rPr>
        <w:t>认购份额的计算</w:t>
      </w:r>
    </w:p>
    <w:p>
      <w:pPr>
        <w:numPr>
          <w:ilvl w:val="-1"/>
          <w:numId w:val="0"/>
        </w:numPr>
        <w:ind w:left="0" w:firstLine="420" w:firstLineChars="20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认购份额=认购金额/产品份额面值，认购份额以四舍五入的方法保留到小数点后两位。</w:t>
      </w:r>
    </w:p>
    <w:p>
      <w:pPr>
        <w:keepNext w:val="0"/>
        <w:keepLines w:val="0"/>
        <w:pageBreakBefore w:val="0"/>
        <w:widowControl w:val="0"/>
        <w:numPr>
          <w:ilvl w:val="0"/>
          <w:numId w:val="2"/>
        </w:numPr>
        <w:tabs>
          <w:tab w:val="left" w:pos="1134"/>
          <w:tab w:val="clear" w:pos="0"/>
        </w:tabs>
        <w:kinsoku/>
        <w:wordWrap/>
        <w:overflowPunct/>
        <w:topLinePunct w:val="0"/>
        <w:autoSpaceDE/>
        <w:autoSpaceDN/>
        <w:bidi w:val="0"/>
        <w:adjustRightInd/>
        <w:snapToGrid/>
        <w:ind w:left="0" w:leftChars="0" w:firstLine="422" w:firstLineChars="200"/>
        <w:textAlignment w:val="auto"/>
        <w:outlineLvl w:val="1"/>
        <w:rPr>
          <w:rFonts w:hint="eastAsia"/>
          <w:sz w:val="21"/>
          <w:szCs w:val="21"/>
          <w:highlight w:val="none"/>
        </w:rPr>
      </w:pPr>
      <w:r>
        <w:rPr>
          <w:rFonts w:hint="eastAsia" w:ascii="楷体" w:hAnsi="楷体" w:eastAsia="楷体"/>
          <w:b/>
          <w:sz w:val="21"/>
          <w:szCs w:val="21"/>
          <w:highlight w:val="none"/>
        </w:rPr>
        <w:t>产品申购、赎回</w:t>
      </w:r>
    </w:p>
    <w:p>
      <w:pPr>
        <w:numPr>
          <w:ilvl w:val="0"/>
          <w:numId w:val="10"/>
        </w:numPr>
        <w:tabs>
          <w:tab w:val="left" w:pos="993"/>
        </w:tabs>
        <w:ind w:left="0" w:firstLine="420" w:firstLineChars="200"/>
        <w:outlineLvl w:val="2"/>
        <w:rPr>
          <w:rFonts w:hint="eastAsia" w:ascii="楷体" w:hAnsi="楷体" w:eastAsia="楷体" w:cs="Calibri"/>
          <w:b w:val="0"/>
          <w:bCs/>
          <w:sz w:val="21"/>
          <w:szCs w:val="21"/>
          <w:highlight w:val="none"/>
        </w:rPr>
      </w:pPr>
      <w:r>
        <w:rPr>
          <w:rFonts w:hint="eastAsia" w:ascii="楷体" w:hAnsi="楷体" w:eastAsia="楷体" w:cs="Calibri"/>
          <w:b w:val="0"/>
          <w:bCs/>
          <w:sz w:val="21"/>
          <w:szCs w:val="21"/>
          <w:highlight w:val="none"/>
        </w:rPr>
        <w:t>投资周期、开放计划</w:t>
      </w:r>
    </w:p>
    <w:p>
      <w:pPr>
        <w:ind w:firstLine="420" w:firstLineChars="200"/>
        <w:rPr>
          <w:rFonts w:hint="eastAsia" w:ascii="楷体" w:hAnsi="楷体" w:eastAsia="楷体"/>
          <w:sz w:val="21"/>
          <w:szCs w:val="21"/>
          <w:highlight w:val="none"/>
        </w:rPr>
      </w:pPr>
      <w:r>
        <w:rPr>
          <w:rFonts w:hint="eastAsia" w:ascii="楷体" w:hAnsi="楷体" w:eastAsia="楷体"/>
          <w:sz w:val="21"/>
          <w:szCs w:val="21"/>
          <w:highlight w:val="none"/>
        </w:rPr>
        <w:t>本产品在每个投资周期结束前设置开放计划，时间为投资周期终止日前</w:t>
      </w:r>
      <w:r>
        <w:rPr>
          <w:rFonts w:hint="eastAsia" w:ascii="楷体" w:hAnsi="楷体" w:eastAsia="楷体"/>
          <w:sz w:val="21"/>
          <w:szCs w:val="21"/>
          <w:highlight w:val="none"/>
          <w:lang w:val="en-US" w:eastAsia="zh-CN"/>
        </w:rPr>
        <w:t>7个工作</w:t>
      </w:r>
      <w:r>
        <w:rPr>
          <w:rFonts w:hint="eastAsia" w:ascii="楷体" w:hAnsi="楷体" w:eastAsia="楷体"/>
          <w:sz w:val="21"/>
          <w:szCs w:val="21"/>
          <w:highlight w:val="none"/>
        </w:rPr>
        <w:t>日（含投资周期终止日），开放计划最后一日（即投资周期终止日）为开放日。投资者可在开放计划时间内通过销售机构提出申购/赎回申请（以各销售机构设置的开放时间为准），</w:t>
      </w:r>
      <w:r>
        <w:rPr>
          <w:rFonts w:hint="eastAsia" w:ascii="楷体" w:hAnsi="楷体" w:eastAsia="楷体"/>
          <w:b/>
          <w:sz w:val="21"/>
          <w:szCs w:val="21"/>
          <w:highlight w:val="none"/>
          <w:u w:val="single"/>
        </w:rPr>
        <w:t>除开放计划外的其他时间，管理人不接受投资者申购、赎回申请。</w:t>
      </w:r>
      <w:r>
        <w:rPr>
          <w:rFonts w:hint="eastAsia" w:ascii="楷体" w:hAnsi="楷体" w:eastAsia="楷体" w:cs="Calibri"/>
          <w:sz w:val="21"/>
          <w:szCs w:val="21"/>
          <w:highlight w:val="none"/>
        </w:rPr>
        <w:t>后续投资周期及开放计划受资产运作情况、节假日安排等要素限制，管理人将在每个投资周期结束前通过本理财产品说明书约定的方式披露下一周期开放计划。</w:t>
      </w:r>
    </w:p>
    <w:p>
      <w:pPr>
        <w:numPr>
          <w:ilvl w:val="0"/>
          <w:numId w:val="10"/>
        </w:numPr>
        <w:tabs>
          <w:tab w:val="left" w:pos="993"/>
        </w:tabs>
        <w:ind w:left="0" w:firstLine="420" w:firstLineChars="200"/>
        <w:outlineLvl w:val="2"/>
        <w:rPr>
          <w:rFonts w:hint="eastAsia" w:ascii="楷体" w:hAnsi="楷体" w:eastAsia="楷体" w:cs="Calibri"/>
          <w:b w:val="0"/>
          <w:bCs/>
          <w:sz w:val="21"/>
          <w:szCs w:val="21"/>
          <w:highlight w:val="none"/>
        </w:rPr>
      </w:pPr>
      <w:r>
        <w:rPr>
          <w:rFonts w:hint="eastAsia" w:ascii="楷体" w:hAnsi="楷体" w:eastAsia="楷体" w:cs="Calibri"/>
          <w:b w:val="0"/>
          <w:bCs/>
          <w:sz w:val="21"/>
          <w:szCs w:val="21"/>
          <w:highlight w:val="none"/>
        </w:rPr>
        <w:t>申购、赎回的规则</w:t>
      </w:r>
    </w:p>
    <w:p>
      <w:pPr>
        <w:keepNext w:val="0"/>
        <w:keepLines w:val="0"/>
        <w:pageBreakBefore w:val="0"/>
        <w:widowControl w:val="0"/>
        <w:numPr>
          <w:ilvl w:val="0"/>
          <w:numId w:val="11"/>
        </w:numPr>
        <w:tabs>
          <w:tab w:val="left" w:pos="728"/>
          <w:tab w:val="clear" w:pos="420"/>
        </w:tabs>
        <w:kinsoku/>
        <w:wordWrap/>
        <w:overflowPunct/>
        <w:topLinePunct w:val="0"/>
        <w:autoSpaceDE/>
        <w:autoSpaceDN/>
        <w:bidi w:val="0"/>
        <w:adjustRightInd/>
        <w:snapToGrid/>
        <w:ind w:left="0" w:leftChars="0" w:firstLine="420" w:firstLineChars="200"/>
        <w:textAlignment w:val="auto"/>
        <w:rPr>
          <w:rFonts w:hint="eastAsia" w:ascii="楷体" w:hAnsi="楷体" w:eastAsia="楷体" w:cs="Calibri"/>
          <w:sz w:val="21"/>
          <w:szCs w:val="21"/>
          <w:highlight w:val="none"/>
        </w:rPr>
      </w:pPr>
      <w:r>
        <w:rPr>
          <w:rFonts w:hint="eastAsia" w:ascii="楷体" w:hAnsi="楷体" w:eastAsia="楷体" w:cs="Calibri"/>
          <w:sz w:val="21"/>
          <w:szCs w:val="21"/>
          <w:highlight w:val="none"/>
        </w:rPr>
        <w:t>申购、赎回的原则：投资者必须在产品开放计划内提出申购、赎回申请</w:t>
      </w:r>
      <w:r>
        <w:rPr>
          <w:rFonts w:hint="eastAsia" w:ascii="楷体" w:hAnsi="楷体" w:eastAsia="楷体" w:cs="Calibri"/>
          <w:sz w:val="21"/>
          <w:szCs w:val="21"/>
          <w:highlight w:val="none"/>
          <w:lang w:eastAsia="zh-CN"/>
        </w:rPr>
        <w:t>，</w:t>
      </w:r>
      <w:r>
        <w:rPr>
          <w:rFonts w:hint="eastAsia" w:ascii="楷体" w:hAnsi="楷体" w:eastAsia="楷体" w:cs="Calibri"/>
          <w:sz w:val="21"/>
          <w:szCs w:val="21"/>
          <w:highlight w:val="none"/>
        </w:rPr>
        <w:t>采用金额申购、份额赎回的原则，即申购以金额申请，赎回以份额申请。投资者提出申购申请时，须备足购买资金</w:t>
      </w:r>
      <w:r>
        <w:rPr>
          <w:rFonts w:hint="eastAsia" w:ascii="楷体" w:hAnsi="楷体" w:eastAsia="楷体" w:cs="Calibri"/>
          <w:sz w:val="21"/>
          <w:szCs w:val="21"/>
          <w:highlight w:val="none"/>
          <w:lang w:val="en-US" w:eastAsia="zh-CN"/>
        </w:rPr>
        <w:t>；</w:t>
      </w:r>
      <w:r>
        <w:rPr>
          <w:rFonts w:hint="eastAsia" w:ascii="楷体" w:hAnsi="楷体" w:eastAsia="楷体" w:cs="Calibri"/>
          <w:sz w:val="21"/>
          <w:szCs w:val="21"/>
          <w:highlight w:val="none"/>
        </w:rPr>
        <w:t>投资者提出赎回申请时，须有足够的理财产品份额余额。在开放计划内提交的申购/赎回申请可以在产品开放日</w:t>
      </w:r>
      <w:r>
        <w:rPr>
          <w:rFonts w:hint="eastAsia" w:ascii="楷体" w:hAnsi="楷体" w:eastAsia="楷体" w:cs="Calibri"/>
          <w:sz w:val="21"/>
          <w:szCs w:val="21"/>
          <w:highlight w:val="none"/>
          <w:lang w:val="en-US" w:eastAsia="zh-CN"/>
        </w:rPr>
        <w:t>闭市</w:t>
      </w:r>
      <w:r>
        <w:rPr>
          <w:rFonts w:hint="eastAsia" w:ascii="楷体" w:hAnsi="楷体" w:eastAsia="楷体" w:cs="Calibri"/>
          <w:sz w:val="21"/>
          <w:szCs w:val="21"/>
          <w:highlight w:val="none"/>
        </w:rPr>
        <w:t>前撤销，之后不得撤销。</w:t>
      </w:r>
      <w:r>
        <w:rPr>
          <w:rFonts w:hint="eastAsia" w:ascii="楷体" w:hAnsi="楷体" w:eastAsia="楷体"/>
          <w:sz w:val="21"/>
          <w:szCs w:val="21"/>
          <w:highlight w:val="none"/>
        </w:rPr>
        <w:t>（</w:t>
      </w:r>
      <w:r>
        <w:rPr>
          <w:rFonts w:hint="eastAsia" w:ascii="楷体" w:hAnsi="楷体" w:eastAsia="楷体" w:cs="Calibri"/>
          <w:sz w:val="21"/>
          <w:szCs w:val="21"/>
          <w:highlight w:val="none"/>
          <w:lang w:val="en-US" w:eastAsia="zh-CN"/>
        </w:rPr>
        <w:t>闭市时间</w:t>
      </w:r>
      <w:r>
        <w:rPr>
          <w:rFonts w:hint="eastAsia" w:ascii="楷体" w:hAnsi="楷体" w:eastAsia="楷体"/>
          <w:sz w:val="21"/>
          <w:szCs w:val="21"/>
          <w:highlight w:val="none"/>
        </w:rPr>
        <w:t>以各销售机构设置为准）</w:t>
      </w:r>
    </w:p>
    <w:p>
      <w:pPr>
        <w:keepNext w:val="0"/>
        <w:keepLines w:val="0"/>
        <w:pageBreakBefore w:val="0"/>
        <w:widowControl w:val="0"/>
        <w:numPr>
          <w:ilvl w:val="0"/>
          <w:numId w:val="11"/>
        </w:numPr>
        <w:tabs>
          <w:tab w:val="left" w:pos="728"/>
          <w:tab w:val="clear" w:pos="420"/>
        </w:tabs>
        <w:kinsoku/>
        <w:wordWrap/>
        <w:overflowPunct/>
        <w:topLinePunct w:val="0"/>
        <w:autoSpaceDE/>
        <w:autoSpaceDN/>
        <w:bidi w:val="0"/>
        <w:adjustRightInd/>
        <w:snapToGrid/>
        <w:ind w:left="0" w:leftChars="0" w:firstLine="420" w:firstLineChars="200"/>
        <w:textAlignment w:val="auto"/>
        <w:rPr>
          <w:rFonts w:hint="eastAsia" w:ascii="楷体" w:hAnsi="楷体" w:eastAsia="楷体" w:cs="Calibri"/>
          <w:sz w:val="21"/>
          <w:szCs w:val="21"/>
          <w:highlight w:val="none"/>
        </w:rPr>
      </w:pPr>
      <w:r>
        <w:rPr>
          <w:rFonts w:hint="eastAsia" w:ascii="楷体" w:hAnsi="楷体" w:eastAsia="楷体" w:cs="Calibri"/>
          <w:sz w:val="21"/>
          <w:szCs w:val="21"/>
          <w:highlight w:val="none"/>
        </w:rPr>
        <w:t>申购、赎回的确认：投资者申购/赎回本产品时采用“未知价”原则，投资者在开放计划时间内通过销售机构提出的申购/赎回申请，管理人于开放日后1个工作日按开放日单位净值对申购/赎回申请予以统一确认，未赎回的份额自动进入下一个投资周期。</w:t>
      </w:r>
    </w:p>
    <w:p>
      <w:pPr>
        <w:ind w:firstLine="420" w:firstLineChars="200"/>
        <w:rPr>
          <w:rFonts w:hint="eastAsia" w:ascii="楷体" w:hAnsi="楷体" w:eastAsia="楷体"/>
          <w:sz w:val="21"/>
          <w:szCs w:val="21"/>
          <w:highlight w:val="none"/>
        </w:rPr>
      </w:pPr>
      <w:r>
        <w:rPr>
          <w:rFonts w:hint="eastAsia" w:ascii="楷体" w:hAnsi="楷体" w:eastAsia="楷体" w:cs="Calibri"/>
          <w:sz w:val="21"/>
          <w:szCs w:val="21"/>
          <w:highlight w:val="none"/>
          <w:lang w:val="en-US" w:eastAsia="zh-CN"/>
        </w:rPr>
        <w:t>管理人在份额登记日对投资者的</w:t>
      </w:r>
      <w:r>
        <w:rPr>
          <w:rFonts w:hint="eastAsia" w:ascii="楷体" w:hAnsi="楷体" w:eastAsia="楷体"/>
          <w:sz w:val="21"/>
          <w:szCs w:val="21"/>
          <w:highlight w:val="none"/>
        </w:rPr>
        <w:t>申购</w:t>
      </w:r>
      <w:r>
        <w:rPr>
          <w:rFonts w:hint="eastAsia" w:ascii="楷体" w:hAnsi="楷体" w:eastAsia="楷体" w:cs="Calibri"/>
          <w:sz w:val="21"/>
          <w:szCs w:val="21"/>
          <w:highlight w:val="none"/>
          <w:lang w:val="en-US" w:eastAsia="zh-CN"/>
        </w:rPr>
        <w:t>申请登记成功后并收到投资者全额交付的款项，视为投资者的</w:t>
      </w:r>
      <w:r>
        <w:rPr>
          <w:rFonts w:hint="eastAsia" w:ascii="楷体" w:hAnsi="楷体" w:eastAsia="楷体"/>
          <w:sz w:val="21"/>
          <w:szCs w:val="21"/>
          <w:highlight w:val="none"/>
        </w:rPr>
        <w:t>申购</w:t>
      </w:r>
      <w:r>
        <w:rPr>
          <w:rFonts w:hint="eastAsia" w:ascii="楷体" w:hAnsi="楷体" w:eastAsia="楷体" w:cs="Calibri"/>
          <w:sz w:val="21"/>
          <w:szCs w:val="21"/>
          <w:highlight w:val="none"/>
          <w:lang w:val="en-US" w:eastAsia="zh-CN"/>
        </w:rPr>
        <w:t>申请生效。投资者应在</w:t>
      </w:r>
      <w:r>
        <w:rPr>
          <w:rFonts w:hint="eastAsia" w:ascii="楷体" w:hAnsi="楷体" w:eastAsia="楷体"/>
          <w:sz w:val="21"/>
          <w:szCs w:val="21"/>
          <w:highlight w:val="none"/>
        </w:rPr>
        <w:t>开放日后</w:t>
      </w:r>
      <w:r>
        <w:rPr>
          <w:rFonts w:hint="eastAsia" w:ascii="楷体" w:hAnsi="楷体" w:eastAsia="楷体" w:cs="Calibri"/>
          <w:sz w:val="21"/>
          <w:szCs w:val="21"/>
          <w:highlight w:val="none"/>
          <w:lang w:val="en-US" w:eastAsia="zh-CN"/>
        </w:rPr>
        <w:t>及时查询最终的成交情况以及</w:t>
      </w:r>
      <w:r>
        <w:rPr>
          <w:rFonts w:hint="eastAsia" w:ascii="楷体" w:hAnsi="楷体" w:eastAsia="楷体"/>
          <w:sz w:val="21"/>
          <w:szCs w:val="21"/>
          <w:highlight w:val="none"/>
        </w:rPr>
        <w:t>申购</w:t>
      </w:r>
      <w:r>
        <w:rPr>
          <w:rFonts w:hint="eastAsia" w:ascii="楷体" w:hAnsi="楷体" w:eastAsia="楷体" w:cs="Calibri"/>
          <w:sz w:val="21"/>
          <w:szCs w:val="21"/>
          <w:highlight w:val="none"/>
          <w:lang w:val="en-US" w:eastAsia="zh-CN"/>
        </w:rPr>
        <w:t>的份额。</w:t>
      </w:r>
      <w:r>
        <w:rPr>
          <w:rFonts w:hint="eastAsia" w:ascii="楷体" w:hAnsi="楷体" w:eastAsia="楷体"/>
          <w:sz w:val="21"/>
          <w:szCs w:val="21"/>
          <w:highlight w:val="none"/>
        </w:rPr>
        <w:t>因投资者资金账户余额不足、司法冻结、不可抗力因素或其他不可归责于</w:t>
      </w:r>
      <w:r>
        <w:rPr>
          <w:rFonts w:hint="eastAsia" w:ascii="楷体" w:hAnsi="楷体" w:eastAsia="楷体"/>
          <w:sz w:val="21"/>
          <w:szCs w:val="21"/>
          <w:highlight w:val="none"/>
          <w:lang w:val="en-US" w:eastAsia="zh-CN"/>
        </w:rPr>
        <w:t>管理人</w:t>
      </w:r>
      <w:r>
        <w:rPr>
          <w:rFonts w:hint="eastAsia" w:ascii="楷体" w:hAnsi="楷体" w:eastAsia="楷体"/>
          <w:sz w:val="21"/>
          <w:szCs w:val="21"/>
          <w:highlight w:val="none"/>
        </w:rPr>
        <w:t>和销售机构的事由出现，造成申购</w:t>
      </w:r>
      <w:r>
        <w:rPr>
          <w:rFonts w:hint="eastAsia" w:ascii="楷体" w:hAnsi="楷体" w:eastAsia="楷体" w:cs="Calibri"/>
          <w:sz w:val="21"/>
          <w:szCs w:val="21"/>
          <w:highlight w:val="none"/>
          <w:lang w:val="en-US" w:eastAsia="zh-CN"/>
        </w:rPr>
        <w:t>申请</w:t>
      </w:r>
      <w:r>
        <w:rPr>
          <w:rFonts w:hint="eastAsia" w:ascii="楷体" w:hAnsi="楷体" w:eastAsia="楷体"/>
          <w:sz w:val="21"/>
          <w:szCs w:val="21"/>
          <w:highlight w:val="none"/>
        </w:rPr>
        <w:t>未被确认的，</w:t>
      </w:r>
      <w:r>
        <w:rPr>
          <w:rFonts w:hint="eastAsia" w:ascii="楷体" w:hAnsi="楷体" w:eastAsia="楷体"/>
          <w:sz w:val="21"/>
          <w:szCs w:val="21"/>
          <w:highlight w:val="none"/>
          <w:lang w:val="en-US" w:eastAsia="zh-CN"/>
        </w:rPr>
        <w:t>管理人</w:t>
      </w:r>
      <w:r>
        <w:rPr>
          <w:rFonts w:hint="eastAsia" w:ascii="楷体" w:hAnsi="楷体" w:eastAsia="楷体"/>
          <w:sz w:val="21"/>
          <w:szCs w:val="21"/>
          <w:highlight w:val="none"/>
        </w:rPr>
        <w:t>和销售机构不承担任何责任。</w:t>
      </w:r>
    </w:p>
    <w:p>
      <w:pPr>
        <w:ind w:firstLine="420" w:firstLineChars="200"/>
        <w:rPr>
          <w:rFonts w:hint="eastAsia" w:ascii="楷体" w:hAnsi="楷体" w:eastAsia="楷体"/>
          <w:sz w:val="21"/>
          <w:szCs w:val="21"/>
          <w:highlight w:val="none"/>
        </w:rPr>
      </w:pPr>
      <w:r>
        <w:rPr>
          <w:rFonts w:hint="eastAsia" w:ascii="楷体" w:hAnsi="楷体" w:eastAsia="楷体"/>
          <w:sz w:val="21"/>
          <w:szCs w:val="21"/>
          <w:highlight w:val="none"/>
        </w:rPr>
        <w:t>投资者赎回资金将在确认日后2个工作日内到达投资者资金账户。</w:t>
      </w:r>
    </w:p>
    <w:p>
      <w:pPr>
        <w:numPr>
          <w:ilvl w:val="0"/>
          <w:numId w:val="10"/>
        </w:numPr>
        <w:tabs>
          <w:tab w:val="left" w:pos="993"/>
        </w:tabs>
        <w:ind w:left="0" w:firstLine="420" w:firstLineChars="200"/>
        <w:outlineLvl w:val="2"/>
        <w:rPr>
          <w:rFonts w:hint="eastAsia" w:ascii="楷体" w:hAnsi="楷体" w:eastAsia="楷体" w:cs="Calibri"/>
          <w:b w:val="0"/>
          <w:bCs/>
          <w:sz w:val="21"/>
          <w:szCs w:val="21"/>
          <w:highlight w:val="none"/>
        </w:rPr>
      </w:pPr>
      <w:r>
        <w:rPr>
          <w:rFonts w:hint="eastAsia" w:ascii="楷体" w:hAnsi="楷体" w:eastAsia="楷体" w:cs="Calibri"/>
          <w:b w:val="0"/>
          <w:bCs/>
          <w:sz w:val="21"/>
          <w:szCs w:val="21"/>
          <w:highlight w:val="none"/>
        </w:rPr>
        <w:t>申购份额的计算</w:t>
      </w:r>
    </w:p>
    <w:p>
      <w:pPr>
        <w:ind w:firstLine="420" w:firstLineChars="200"/>
        <w:rPr>
          <w:rFonts w:hint="eastAsia" w:ascii="楷体" w:hAnsi="楷体" w:eastAsia="楷体"/>
          <w:sz w:val="21"/>
          <w:szCs w:val="21"/>
          <w:highlight w:val="none"/>
        </w:rPr>
      </w:pPr>
      <w:r>
        <w:rPr>
          <w:rFonts w:hint="eastAsia" w:ascii="楷体" w:hAnsi="楷体" w:eastAsia="楷体"/>
          <w:sz w:val="21"/>
          <w:szCs w:val="21"/>
          <w:highlight w:val="none"/>
        </w:rPr>
        <w:t>申购份额=申购金额/开放日产品单位净值</w:t>
      </w:r>
      <w:r>
        <w:rPr>
          <w:rFonts w:hint="eastAsia" w:ascii="楷体" w:hAnsi="楷体" w:eastAsia="楷体"/>
          <w:sz w:val="21"/>
          <w:szCs w:val="21"/>
          <w:highlight w:val="none"/>
          <w:lang w:eastAsia="zh-CN"/>
        </w:rPr>
        <w:t>，</w:t>
      </w:r>
      <w:r>
        <w:rPr>
          <w:rFonts w:hint="eastAsia" w:ascii="楷体" w:hAnsi="楷体" w:eastAsia="楷体"/>
          <w:sz w:val="21"/>
          <w:szCs w:val="21"/>
          <w:highlight w:val="none"/>
        </w:rPr>
        <w:t>申购份额以四舍五入的方法保留到小数点后两位</w:t>
      </w:r>
    </w:p>
    <w:p>
      <w:pPr>
        <w:numPr>
          <w:ilvl w:val="0"/>
          <w:numId w:val="10"/>
        </w:numPr>
        <w:tabs>
          <w:tab w:val="left" w:pos="993"/>
        </w:tabs>
        <w:ind w:left="0" w:firstLine="420" w:firstLineChars="200"/>
        <w:outlineLvl w:val="2"/>
        <w:rPr>
          <w:rFonts w:hint="eastAsia" w:ascii="楷体" w:hAnsi="楷体" w:eastAsia="楷体" w:cs="Calibri"/>
          <w:b w:val="0"/>
          <w:bCs/>
          <w:sz w:val="21"/>
          <w:szCs w:val="21"/>
          <w:highlight w:val="none"/>
        </w:rPr>
      </w:pPr>
      <w:r>
        <w:rPr>
          <w:rFonts w:hint="eastAsia" w:ascii="楷体" w:hAnsi="楷体" w:eastAsia="楷体" w:cs="Calibri"/>
          <w:b w:val="0"/>
          <w:bCs/>
          <w:sz w:val="21"/>
          <w:szCs w:val="21"/>
          <w:highlight w:val="none"/>
        </w:rPr>
        <w:t>赎回金额的计算</w:t>
      </w:r>
    </w:p>
    <w:p>
      <w:pPr>
        <w:ind w:firstLine="420" w:firstLineChars="200"/>
        <w:rPr>
          <w:rFonts w:hint="eastAsia" w:ascii="楷体" w:hAnsi="楷体" w:eastAsia="楷体"/>
          <w:sz w:val="21"/>
          <w:szCs w:val="21"/>
          <w:highlight w:val="none"/>
        </w:rPr>
      </w:pPr>
      <w:r>
        <w:rPr>
          <w:rFonts w:hint="eastAsia" w:ascii="楷体" w:hAnsi="楷体" w:eastAsia="楷体"/>
          <w:sz w:val="21"/>
          <w:szCs w:val="21"/>
          <w:highlight w:val="none"/>
        </w:rPr>
        <w:t>赎回金额=赎回份额*开放日产品单位净值</w:t>
      </w:r>
      <w:r>
        <w:rPr>
          <w:rFonts w:hint="eastAsia" w:ascii="楷体" w:hAnsi="楷体" w:eastAsia="楷体"/>
          <w:sz w:val="21"/>
          <w:szCs w:val="21"/>
          <w:highlight w:val="none"/>
          <w:lang w:val="en-US" w:eastAsia="zh-CN"/>
        </w:rPr>
        <w:t>-超额业绩报酬（如有）</w:t>
      </w:r>
      <w:r>
        <w:rPr>
          <w:rFonts w:hint="eastAsia" w:ascii="楷体" w:hAnsi="楷体" w:eastAsia="楷体"/>
          <w:sz w:val="21"/>
          <w:szCs w:val="21"/>
          <w:highlight w:val="none"/>
          <w:lang w:eastAsia="zh-CN"/>
        </w:rPr>
        <w:t>，</w:t>
      </w:r>
      <w:r>
        <w:rPr>
          <w:rFonts w:hint="eastAsia" w:ascii="楷体" w:hAnsi="楷体" w:eastAsia="楷体"/>
          <w:sz w:val="21"/>
          <w:szCs w:val="21"/>
          <w:highlight w:val="none"/>
        </w:rPr>
        <w:t>赎回金额以四舍五入的方法保留到小数点后两位</w:t>
      </w:r>
    </w:p>
    <w:p>
      <w:pPr>
        <w:numPr>
          <w:ilvl w:val="0"/>
          <w:numId w:val="10"/>
        </w:numPr>
        <w:tabs>
          <w:tab w:val="left" w:pos="993"/>
        </w:tabs>
        <w:ind w:left="0" w:firstLine="420" w:firstLineChars="200"/>
        <w:outlineLvl w:val="2"/>
        <w:rPr>
          <w:rFonts w:hint="eastAsia" w:ascii="楷体" w:hAnsi="楷体" w:eastAsia="楷体" w:cs="Calibri"/>
          <w:b w:val="0"/>
          <w:bCs/>
          <w:sz w:val="21"/>
          <w:szCs w:val="21"/>
          <w:highlight w:val="none"/>
        </w:rPr>
      </w:pPr>
      <w:r>
        <w:rPr>
          <w:rFonts w:hint="eastAsia" w:ascii="楷体" w:hAnsi="楷体" w:eastAsia="楷体" w:cs="Calibri"/>
          <w:b w:val="0"/>
          <w:bCs/>
          <w:sz w:val="21"/>
          <w:szCs w:val="21"/>
          <w:highlight w:val="none"/>
        </w:rPr>
        <w:t>巨额赎回</w:t>
      </w:r>
      <w:r>
        <w:rPr>
          <w:rFonts w:hint="eastAsia" w:ascii="楷体" w:hAnsi="楷体" w:eastAsia="楷体" w:cs="Calibri"/>
          <w:b w:val="0"/>
          <w:bCs/>
          <w:sz w:val="21"/>
          <w:szCs w:val="21"/>
          <w:highlight w:val="none"/>
          <w:lang w:eastAsia="zh-CN"/>
        </w:rPr>
        <w:t>：</w:t>
      </w:r>
      <w:r>
        <w:rPr>
          <w:rFonts w:hint="eastAsia" w:ascii="楷体" w:hAnsi="楷体" w:eastAsia="楷体" w:cs="Calibri"/>
          <w:b w:val="0"/>
          <w:bCs/>
          <w:sz w:val="21"/>
          <w:szCs w:val="21"/>
          <w:highlight w:val="none"/>
          <w:lang w:val="en-US" w:eastAsia="zh-CN"/>
        </w:rPr>
        <w:t>详见“产品要素”</w:t>
      </w:r>
    </w:p>
    <w:p>
      <w:pPr>
        <w:numPr>
          <w:ilvl w:val="0"/>
          <w:numId w:val="10"/>
        </w:numPr>
        <w:tabs>
          <w:tab w:val="left" w:pos="993"/>
        </w:tabs>
        <w:ind w:left="0" w:firstLine="420" w:firstLineChars="200"/>
        <w:outlineLvl w:val="2"/>
        <w:rPr>
          <w:rFonts w:hint="eastAsia" w:ascii="楷体" w:hAnsi="楷体" w:eastAsia="楷体" w:cs="Calibri"/>
          <w:b w:val="0"/>
          <w:bCs/>
          <w:sz w:val="21"/>
          <w:szCs w:val="21"/>
          <w:highlight w:val="none"/>
        </w:rPr>
      </w:pPr>
      <w:r>
        <w:rPr>
          <w:rFonts w:hint="eastAsia" w:ascii="楷体" w:hAnsi="楷体" w:eastAsia="楷体" w:cs="Calibri"/>
          <w:b w:val="0"/>
          <w:bCs/>
          <w:sz w:val="21"/>
          <w:szCs w:val="21"/>
          <w:highlight w:val="none"/>
        </w:rPr>
        <w:t>特殊情形及处理</w:t>
      </w:r>
    </w:p>
    <w:p>
      <w:pPr>
        <w:ind w:firstLine="420" w:firstLineChars="200"/>
        <w:rPr>
          <w:rFonts w:ascii="楷体" w:hAnsi="楷体" w:eastAsia="楷体"/>
          <w:b w:val="0"/>
          <w:bCs w:val="0"/>
          <w:sz w:val="21"/>
          <w:szCs w:val="21"/>
          <w:highlight w:val="none"/>
        </w:rPr>
      </w:pPr>
      <w:r>
        <w:rPr>
          <w:rFonts w:ascii="楷体" w:hAnsi="楷体" w:eastAsia="楷体"/>
          <w:b w:val="0"/>
          <w:bCs w:val="0"/>
          <w:sz w:val="21"/>
          <w:szCs w:val="21"/>
          <w:highlight w:val="none"/>
        </w:rPr>
        <w:t>1.</w:t>
      </w:r>
      <w:r>
        <w:rPr>
          <w:rFonts w:hint="eastAsia" w:ascii="楷体" w:hAnsi="楷体" w:eastAsia="楷体"/>
          <w:b w:val="0"/>
          <w:bCs w:val="0"/>
          <w:sz w:val="21"/>
          <w:szCs w:val="21"/>
          <w:highlight w:val="none"/>
        </w:rPr>
        <w:t>除以下情形外，管理人不得拒绝接受或暂停接受投资者的申购申请：</w:t>
      </w:r>
    </w:p>
    <w:p>
      <w:pPr>
        <w:numPr>
          <w:ilvl w:val="0"/>
          <w:numId w:val="0"/>
        </w:numPr>
        <w:tabs>
          <w:tab w:val="left" w:pos="728"/>
        </w:tabs>
        <w:ind w:left="0" w:leftChars="0" w:firstLine="420" w:firstLineChars="200"/>
        <w:rPr>
          <w:rFonts w:ascii="楷体" w:hAnsi="楷体" w:eastAsia="楷体" w:cs="Calibri"/>
          <w:sz w:val="21"/>
          <w:szCs w:val="21"/>
          <w:highlight w:val="none"/>
        </w:rPr>
      </w:pPr>
      <w:r>
        <w:rPr>
          <w:rFonts w:hint="eastAsia" w:ascii="楷体" w:hAnsi="楷体" w:eastAsia="楷体" w:cs="Calibri"/>
          <w:sz w:val="21"/>
          <w:szCs w:val="21"/>
          <w:highlight w:val="none"/>
        </w:rPr>
        <w:t>（1）不可抗力的原因导致产品无法正常运作</w:t>
      </w:r>
      <w:r>
        <w:rPr>
          <w:rFonts w:hint="eastAsia" w:ascii="楷体" w:hAnsi="楷体" w:eastAsia="楷体" w:cs="Calibri"/>
          <w:sz w:val="21"/>
          <w:szCs w:val="21"/>
          <w:highlight w:val="none"/>
          <w:lang w:eastAsia="zh-CN"/>
        </w:rPr>
        <w:t>；</w:t>
      </w:r>
      <w:r>
        <w:rPr>
          <w:rFonts w:hint="eastAsia" w:ascii="楷体" w:hAnsi="楷体" w:eastAsia="楷体" w:cs="Calibri"/>
          <w:sz w:val="21"/>
          <w:szCs w:val="21"/>
          <w:highlight w:val="none"/>
        </w:rPr>
        <w:t>（2）超出产品单一投资者持有上限</w:t>
      </w:r>
      <w:r>
        <w:rPr>
          <w:rFonts w:hint="eastAsia" w:ascii="楷体" w:hAnsi="楷体" w:eastAsia="楷体" w:cs="Calibri"/>
          <w:sz w:val="21"/>
          <w:szCs w:val="21"/>
          <w:highlight w:val="none"/>
          <w:lang w:eastAsia="zh-CN"/>
        </w:rPr>
        <w:t>；</w:t>
      </w:r>
      <w:r>
        <w:rPr>
          <w:rFonts w:hint="eastAsia" w:ascii="楷体" w:hAnsi="楷体" w:eastAsia="楷体" w:cs="Calibri"/>
          <w:sz w:val="21"/>
          <w:szCs w:val="21"/>
          <w:highlight w:val="none"/>
        </w:rPr>
        <w:t>（</w:t>
      </w:r>
      <w:r>
        <w:rPr>
          <w:rFonts w:hint="eastAsia" w:ascii="楷体" w:hAnsi="楷体" w:eastAsia="楷体" w:cs="Calibri"/>
          <w:sz w:val="21"/>
          <w:szCs w:val="21"/>
          <w:highlight w:val="none"/>
          <w:lang w:val="en-US" w:eastAsia="zh-CN"/>
        </w:rPr>
        <w:t>3</w:t>
      </w:r>
      <w:r>
        <w:rPr>
          <w:rFonts w:hint="eastAsia" w:ascii="楷体" w:hAnsi="楷体" w:eastAsia="楷体" w:cs="Calibri"/>
          <w:sz w:val="21"/>
          <w:szCs w:val="21"/>
          <w:highlight w:val="none"/>
        </w:rPr>
        <w:t>）发生《理财产品说明书》约定的暂停估值的情形</w:t>
      </w:r>
      <w:r>
        <w:rPr>
          <w:rFonts w:hint="eastAsia" w:ascii="楷体" w:hAnsi="楷体" w:eastAsia="楷体" w:cs="Calibri"/>
          <w:sz w:val="21"/>
          <w:szCs w:val="21"/>
          <w:highlight w:val="none"/>
          <w:lang w:eastAsia="zh-CN"/>
        </w:rPr>
        <w:t>；</w:t>
      </w:r>
      <w:r>
        <w:rPr>
          <w:rFonts w:hint="eastAsia" w:ascii="楷体" w:hAnsi="楷体" w:eastAsia="楷体" w:cs="Calibri"/>
          <w:sz w:val="21"/>
          <w:szCs w:val="21"/>
          <w:highlight w:val="none"/>
        </w:rPr>
        <w:t>（</w:t>
      </w:r>
      <w:r>
        <w:rPr>
          <w:rFonts w:hint="eastAsia" w:ascii="楷体" w:hAnsi="楷体" w:eastAsia="楷体" w:cs="Calibri"/>
          <w:sz w:val="21"/>
          <w:szCs w:val="21"/>
          <w:highlight w:val="none"/>
          <w:lang w:val="en-US" w:eastAsia="zh-CN"/>
        </w:rPr>
        <w:t>4</w:t>
      </w:r>
      <w:r>
        <w:rPr>
          <w:rFonts w:hint="eastAsia" w:ascii="楷体" w:hAnsi="楷体" w:eastAsia="楷体" w:cs="Calibri"/>
          <w:sz w:val="21"/>
          <w:szCs w:val="21"/>
          <w:highlight w:val="none"/>
        </w:rPr>
        <w:t>）管理人接受某笔或者某些申购申请有可能导致单一投资者持有理财</w:t>
      </w:r>
      <w:r>
        <w:rPr>
          <w:rFonts w:hint="eastAsia" w:ascii="楷体" w:hAnsi="楷体" w:eastAsia="楷体" w:cs="Calibri"/>
          <w:sz w:val="21"/>
          <w:szCs w:val="21"/>
          <w:highlight w:val="none"/>
          <w:lang w:val="en-US" w:eastAsia="zh-CN"/>
        </w:rPr>
        <w:t>产品</w:t>
      </w:r>
      <w:r>
        <w:rPr>
          <w:rFonts w:hint="eastAsia" w:ascii="楷体" w:hAnsi="楷体" w:eastAsia="楷体" w:cs="Calibri"/>
          <w:sz w:val="21"/>
          <w:szCs w:val="21"/>
          <w:highlight w:val="none"/>
        </w:rPr>
        <w:t>份额的比例达到或者超过50%的情形</w:t>
      </w:r>
      <w:r>
        <w:rPr>
          <w:rFonts w:hint="eastAsia" w:ascii="楷体" w:hAnsi="楷体" w:eastAsia="楷体" w:cs="Calibri"/>
          <w:sz w:val="21"/>
          <w:szCs w:val="21"/>
          <w:highlight w:val="none"/>
          <w:lang w:eastAsia="zh-CN"/>
        </w:rPr>
        <w:t>；</w:t>
      </w:r>
      <w:r>
        <w:rPr>
          <w:rFonts w:hint="eastAsia" w:ascii="楷体" w:hAnsi="楷体" w:eastAsia="楷体" w:cs="Calibri"/>
          <w:sz w:val="21"/>
          <w:szCs w:val="21"/>
          <w:highlight w:val="none"/>
        </w:rPr>
        <w:t>（</w:t>
      </w:r>
      <w:r>
        <w:rPr>
          <w:rFonts w:hint="eastAsia" w:ascii="楷体" w:hAnsi="楷体" w:eastAsia="楷体" w:cs="Calibri"/>
          <w:sz w:val="21"/>
          <w:szCs w:val="21"/>
          <w:highlight w:val="none"/>
          <w:lang w:val="en-US" w:eastAsia="zh-CN"/>
        </w:rPr>
        <w:t>5</w:t>
      </w:r>
      <w:r>
        <w:rPr>
          <w:rFonts w:hint="eastAsia" w:ascii="楷体" w:hAnsi="楷体" w:eastAsia="楷体" w:cs="Calibri"/>
          <w:sz w:val="21"/>
          <w:szCs w:val="21"/>
          <w:highlight w:val="none"/>
        </w:rPr>
        <w:t>）当接受某笔或某些申购申请可能对存量理财</w:t>
      </w:r>
      <w:r>
        <w:rPr>
          <w:rFonts w:hint="eastAsia" w:ascii="楷体" w:hAnsi="楷体" w:eastAsia="楷体" w:cs="Calibri"/>
          <w:sz w:val="21"/>
          <w:szCs w:val="21"/>
          <w:highlight w:val="none"/>
          <w:lang w:val="en-US" w:eastAsia="zh-CN"/>
        </w:rPr>
        <w:t>产品</w:t>
      </w:r>
      <w:r>
        <w:rPr>
          <w:rFonts w:hint="eastAsia" w:ascii="楷体" w:hAnsi="楷体" w:eastAsia="楷体" w:cs="Calibri"/>
          <w:sz w:val="21"/>
          <w:szCs w:val="21"/>
          <w:highlight w:val="none"/>
        </w:rPr>
        <w:t>份额持有人利益构成潜在重大不利影响时</w:t>
      </w:r>
      <w:r>
        <w:rPr>
          <w:rFonts w:hint="eastAsia" w:ascii="楷体" w:hAnsi="楷体" w:eastAsia="楷体" w:cs="Calibri"/>
          <w:sz w:val="21"/>
          <w:szCs w:val="21"/>
          <w:highlight w:val="none"/>
          <w:lang w:eastAsia="zh-CN"/>
        </w:rPr>
        <w:t>；</w:t>
      </w:r>
      <w:r>
        <w:rPr>
          <w:rFonts w:hint="eastAsia" w:ascii="楷体" w:hAnsi="楷体" w:eastAsia="楷体" w:cs="Calibri"/>
          <w:sz w:val="21"/>
          <w:szCs w:val="21"/>
          <w:highlight w:val="none"/>
        </w:rPr>
        <w:t>（</w:t>
      </w:r>
      <w:r>
        <w:rPr>
          <w:rFonts w:hint="eastAsia" w:ascii="楷体" w:hAnsi="楷体" w:eastAsia="楷体" w:cs="Calibri"/>
          <w:sz w:val="21"/>
          <w:szCs w:val="21"/>
          <w:highlight w:val="none"/>
          <w:lang w:val="en-US" w:eastAsia="zh-CN"/>
        </w:rPr>
        <w:t>6</w:t>
      </w:r>
      <w:r>
        <w:rPr>
          <w:rFonts w:hint="eastAsia" w:ascii="楷体" w:hAnsi="楷体" w:eastAsia="楷体" w:cs="Calibri"/>
          <w:sz w:val="21"/>
          <w:szCs w:val="21"/>
          <w:highlight w:val="none"/>
        </w:rPr>
        <w:t>）法律、法规规定认定的其他情形。</w:t>
      </w:r>
    </w:p>
    <w:p>
      <w:pPr>
        <w:numPr>
          <w:ilvl w:val="0"/>
          <w:numId w:val="0"/>
        </w:numPr>
        <w:tabs>
          <w:tab w:val="left" w:pos="728"/>
        </w:tabs>
        <w:ind w:firstLine="420" w:firstLineChars="200"/>
        <w:rPr>
          <w:rFonts w:ascii="楷体" w:hAnsi="楷体" w:eastAsia="楷体" w:cs="Calibri"/>
          <w:sz w:val="21"/>
          <w:szCs w:val="21"/>
          <w:highlight w:val="none"/>
        </w:rPr>
      </w:pPr>
      <w:r>
        <w:rPr>
          <w:rFonts w:hint="eastAsia" w:ascii="楷体" w:hAnsi="楷体" w:eastAsia="楷体" w:cs="Calibri"/>
          <w:sz w:val="21"/>
          <w:szCs w:val="21"/>
          <w:highlight w:val="none"/>
        </w:rPr>
        <w:t>若管理人决定拒绝接受或暂停接受投资者的申购申请，则将会在3个交易日内根据《理财产品说明书》约定的信息披露方式向投资者进行信息披露。若投资者的全部或部分申购申请被拒绝，被拒绝申购款项本金将退还给投资者。在上述暂停或拒绝申购的情况消除后，管理人将及时恢复申购业务的办理。</w:t>
      </w:r>
    </w:p>
    <w:p>
      <w:pPr>
        <w:ind w:firstLine="420" w:firstLineChars="200"/>
        <w:rPr>
          <w:rFonts w:ascii="楷体" w:hAnsi="楷体" w:eastAsia="楷体"/>
          <w:b w:val="0"/>
          <w:bCs w:val="0"/>
          <w:sz w:val="21"/>
          <w:szCs w:val="21"/>
          <w:highlight w:val="none"/>
        </w:rPr>
      </w:pPr>
      <w:r>
        <w:rPr>
          <w:rFonts w:ascii="楷体" w:hAnsi="楷体" w:eastAsia="楷体"/>
          <w:b w:val="0"/>
          <w:bCs w:val="0"/>
          <w:sz w:val="21"/>
          <w:szCs w:val="21"/>
          <w:highlight w:val="none"/>
        </w:rPr>
        <w:t>2.</w:t>
      </w:r>
      <w:r>
        <w:rPr>
          <w:rFonts w:hint="eastAsia" w:ascii="楷体" w:hAnsi="楷体" w:eastAsia="楷体"/>
          <w:b w:val="0"/>
          <w:bCs w:val="0"/>
          <w:sz w:val="21"/>
          <w:szCs w:val="21"/>
          <w:highlight w:val="none"/>
        </w:rPr>
        <w:t>除以下情形外，管理人不得暂停接受投资者的赎回申请或延缓支付赎回款项：</w:t>
      </w:r>
    </w:p>
    <w:p>
      <w:pPr>
        <w:numPr>
          <w:ilvl w:val="0"/>
          <w:numId w:val="0"/>
        </w:numPr>
        <w:tabs>
          <w:tab w:val="left" w:pos="728"/>
        </w:tabs>
        <w:ind w:firstLine="420" w:firstLineChars="200"/>
        <w:rPr>
          <w:rFonts w:ascii="楷体" w:hAnsi="楷体" w:eastAsia="楷体" w:cs="Calibri"/>
          <w:sz w:val="21"/>
          <w:szCs w:val="21"/>
          <w:highlight w:val="none"/>
        </w:rPr>
      </w:pPr>
      <w:r>
        <w:rPr>
          <w:rFonts w:hint="eastAsia" w:ascii="楷体" w:hAnsi="楷体" w:eastAsia="楷体" w:cs="Calibri"/>
          <w:sz w:val="21"/>
          <w:szCs w:val="21"/>
          <w:highlight w:val="none"/>
        </w:rPr>
        <w:t>（1）不可抗力的原因导致管理人不能支付赎回款项</w:t>
      </w:r>
      <w:r>
        <w:rPr>
          <w:rFonts w:hint="eastAsia" w:ascii="楷体" w:hAnsi="楷体" w:eastAsia="楷体" w:cs="Calibri"/>
          <w:sz w:val="21"/>
          <w:szCs w:val="21"/>
          <w:highlight w:val="none"/>
          <w:lang w:eastAsia="zh-CN"/>
        </w:rPr>
        <w:t>；</w:t>
      </w:r>
      <w:r>
        <w:rPr>
          <w:rFonts w:hint="eastAsia" w:ascii="楷体" w:hAnsi="楷体" w:eastAsia="楷体" w:cs="Calibri"/>
          <w:sz w:val="21"/>
          <w:szCs w:val="21"/>
          <w:highlight w:val="none"/>
        </w:rPr>
        <w:t>（2）触发巨额赎回条款</w:t>
      </w:r>
      <w:r>
        <w:rPr>
          <w:rFonts w:hint="eastAsia" w:ascii="楷体" w:hAnsi="楷体" w:eastAsia="楷体" w:cs="Calibri"/>
          <w:sz w:val="21"/>
          <w:szCs w:val="21"/>
          <w:highlight w:val="none"/>
          <w:lang w:eastAsia="zh-CN"/>
        </w:rPr>
        <w:t>；</w:t>
      </w:r>
      <w:r>
        <w:rPr>
          <w:rFonts w:hint="eastAsia" w:ascii="楷体" w:hAnsi="楷体" w:eastAsia="楷体" w:cs="Calibri"/>
          <w:sz w:val="21"/>
          <w:szCs w:val="21"/>
          <w:highlight w:val="none"/>
        </w:rPr>
        <w:t>（3）发生《理财产品说明书》约定的暂停估值的情形</w:t>
      </w:r>
      <w:r>
        <w:rPr>
          <w:rFonts w:hint="eastAsia" w:ascii="楷体" w:hAnsi="楷体" w:eastAsia="楷体" w:cs="Calibri"/>
          <w:sz w:val="21"/>
          <w:szCs w:val="21"/>
          <w:highlight w:val="none"/>
          <w:lang w:eastAsia="zh-CN"/>
        </w:rPr>
        <w:t>；</w:t>
      </w:r>
      <w:r>
        <w:rPr>
          <w:rFonts w:hint="eastAsia" w:ascii="楷体" w:hAnsi="楷体" w:eastAsia="楷体" w:cs="Calibri"/>
          <w:sz w:val="21"/>
          <w:szCs w:val="21"/>
          <w:highlight w:val="none"/>
        </w:rPr>
        <w:t>（4）当接受某笔或某些赎回申请可能对存量理财</w:t>
      </w:r>
      <w:r>
        <w:rPr>
          <w:rFonts w:hint="eastAsia" w:ascii="楷体" w:hAnsi="楷体" w:eastAsia="楷体" w:cs="Calibri"/>
          <w:sz w:val="21"/>
          <w:szCs w:val="21"/>
          <w:highlight w:val="none"/>
          <w:lang w:val="en-US" w:eastAsia="zh-CN"/>
        </w:rPr>
        <w:t>产品</w:t>
      </w:r>
      <w:r>
        <w:rPr>
          <w:rFonts w:hint="eastAsia" w:ascii="楷体" w:hAnsi="楷体" w:eastAsia="楷体" w:cs="Calibri"/>
          <w:sz w:val="21"/>
          <w:szCs w:val="21"/>
          <w:highlight w:val="none"/>
        </w:rPr>
        <w:t>份额持有人利益构成潜在重大不利影响时</w:t>
      </w:r>
      <w:r>
        <w:rPr>
          <w:rFonts w:hint="eastAsia" w:ascii="楷体" w:hAnsi="楷体" w:eastAsia="楷体" w:cs="Calibri"/>
          <w:sz w:val="21"/>
          <w:szCs w:val="21"/>
          <w:highlight w:val="none"/>
          <w:lang w:eastAsia="zh-CN"/>
        </w:rPr>
        <w:t>；</w:t>
      </w:r>
      <w:r>
        <w:rPr>
          <w:rFonts w:hint="eastAsia" w:ascii="楷体" w:hAnsi="楷体" w:eastAsia="楷体" w:cs="Calibri"/>
          <w:sz w:val="21"/>
          <w:szCs w:val="21"/>
          <w:highlight w:val="none"/>
        </w:rPr>
        <w:t>（5）法律、法规规定认定的其他情形。</w:t>
      </w:r>
    </w:p>
    <w:p>
      <w:pPr>
        <w:numPr>
          <w:ilvl w:val="0"/>
          <w:numId w:val="0"/>
        </w:numPr>
        <w:tabs>
          <w:tab w:val="left" w:pos="728"/>
        </w:tabs>
        <w:ind w:firstLine="420" w:firstLineChars="200"/>
        <w:rPr>
          <w:rFonts w:hint="eastAsia" w:ascii="楷体" w:hAnsi="楷体" w:eastAsia="楷体" w:cs="Calibri"/>
          <w:sz w:val="21"/>
          <w:szCs w:val="21"/>
          <w:highlight w:val="none"/>
        </w:rPr>
      </w:pPr>
      <w:r>
        <w:rPr>
          <w:rFonts w:hint="eastAsia" w:ascii="楷体" w:hAnsi="楷体" w:eastAsia="楷体" w:cs="Calibri"/>
          <w:sz w:val="21"/>
          <w:szCs w:val="21"/>
          <w:highlight w:val="none"/>
        </w:rPr>
        <w:t>若管理人决定</w:t>
      </w:r>
      <w:r>
        <w:rPr>
          <w:rFonts w:hint="eastAsia" w:ascii="楷体" w:hAnsi="楷体" w:eastAsia="楷体"/>
          <w:sz w:val="21"/>
          <w:szCs w:val="21"/>
          <w:highlight w:val="none"/>
        </w:rPr>
        <w:t>暂停接受投资者的赎回申请或延缓支付赎回款项</w:t>
      </w:r>
      <w:r>
        <w:rPr>
          <w:rFonts w:hint="eastAsia" w:ascii="楷体" w:hAnsi="楷体" w:eastAsia="楷体" w:cs="Calibri"/>
          <w:sz w:val="21"/>
          <w:szCs w:val="21"/>
          <w:highlight w:val="none"/>
        </w:rPr>
        <w:t>，则将会在3个交易日内根据《理财产品说明书》约定的信息披露方式向投资者进行信息披露。若投资者的全部或部分赎回申请被拒绝，投资者可将当日未能受理部分予以撤销。在上述</w:t>
      </w:r>
      <w:r>
        <w:rPr>
          <w:rFonts w:hint="eastAsia" w:ascii="楷体" w:hAnsi="楷体" w:eastAsia="楷体"/>
          <w:sz w:val="21"/>
          <w:szCs w:val="21"/>
          <w:highlight w:val="none"/>
        </w:rPr>
        <w:t>暂停接受投资者的赎回申请或延缓支付赎回款项的情况消除后</w:t>
      </w:r>
      <w:r>
        <w:rPr>
          <w:rFonts w:hint="eastAsia" w:ascii="楷体" w:hAnsi="楷体" w:eastAsia="楷体" w:cs="Calibri"/>
          <w:sz w:val="21"/>
          <w:szCs w:val="21"/>
          <w:highlight w:val="none"/>
        </w:rPr>
        <w:t>，管理人将及时恢复</w:t>
      </w:r>
      <w:r>
        <w:rPr>
          <w:rFonts w:hint="eastAsia" w:ascii="楷体" w:hAnsi="楷体" w:eastAsia="楷体" w:cs="Calibri"/>
          <w:sz w:val="21"/>
          <w:szCs w:val="21"/>
          <w:highlight w:val="none"/>
          <w:lang w:val="en-US" w:eastAsia="zh-CN"/>
        </w:rPr>
        <w:t>赎回</w:t>
      </w:r>
      <w:r>
        <w:rPr>
          <w:rFonts w:hint="eastAsia" w:ascii="楷体" w:hAnsi="楷体" w:eastAsia="楷体" w:cs="Calibri"/>
          <w:sz w:val="21"/>
          <w:szCs w:val="21"/>
          <w:highlight w:val="none"/>
        </w:rPr>
        <w:t>业务的办理。</w:t>
      </w:r>
    </w:p>
    <w:p>
      <w:pPr>
        <w:keepNext w:val="0"/>
        <w:keepLines w:val="0"/>
        <w:pageBreakBefore w:val="0"/>
        <w:widowControl w:val="0"/>
        <w:numPr>
          <w:ilvl w:val="0"/>
          <w:numId w:val="2"/>
        </w:numPr>
        <w:tabs>
          <w:tab w:val="left" w:pos="1134"/>
          <w:tab w:val="clear" w:pos="0"/>
        </w:tabs>
        <w:kinsoku/>
        <w:wordWrap/>
        <w:overflowPunct/>
        <w:topLinePunct w:val="0"/>
        <w:autoSpaceDE/>
        <w:autoSpaceDN/>
        <w:bidi w:val="0"/>
        <w:adjustRightInd/>
        <w:snapToGrid/>
        <w:ind w:left="0" w:leftChars="0" w:firstLine="422" w:firstLineChars="200"/>
        <w:textAlignment w:val="auto"/>
        <w:outlineLvl w:val="1"/>
        <w:rPr>
          <w:rFonts w:hint="eastAsia" w:ascii="楷体" w:hAnsi="楷体" w:eastAsia="楷体"/>
          <w:b/>
          <w:sz w:val="21"/>
          <w:szCs w:val="21"/>
          <w:highlight w:val="none"/>
        </w:rPr>
      </w:pPr>
      <w:r>
        <w:rPr>
          <w:rFonts w:hint="eastAsia" w:ascii="楷体" w:hAnsi="楷体" w:eastAsia="楷体"/>
          <w:b/>
          <w:sz w:val="21"/>
          <w:szCs w:val="21"/>
          <w:highlight w:val="none"/>
        </w:rPr>
        <w:t>收益分配</w:t>
      </w:r>
    </w:p>
    <w:p>
      <w:pPr>
        <w:ind w:firstLine="420" w:firstLineChars="200"/>
        <w:rPr>
          <w:rFonts w:hint="eastAsia" w:ascii="楷体" w:hAnsi="楷体" w:eastAsia="楷体"/>
          <w:sz w:val="21"/>
          <w:szCs w:val="21"/>
          <w:highlight w:val="none"/>
        </w:rPr>
      </w:pPr>
      <w:r>
        <w:rPr>
          <w:rFonts w:hint="eastAsia" w:ascii="楷体" w:hAnsi="楷体" w:eastAsia="楷体"/>
          <w:sz w:val="21"/>
          <w:szCs w:val="21"/>
          <w:highlight w:val="none"/>
        </w:rPr>
        <w:t>本产品</w:t>
      </w:r>
      <w:r>
        <w:rPr>
          <w:rFonts w:hint="eastAsia" w:ascii="楷体" w:hAnsi="楷体" w:eastAsia="楷体"/>
          <w:sz w:val="21"/>
          <w:szCs w:val="21"/>
          <w:highlight w:val="none"/>
          <w:lang w:val="en-US" w:eastAsia="zh-CN"/>
        </w:rPr>
        <w:t>计划</w:t>
      </w:r>
      <w:r>
        <w:rPr>
          <w:rFonts w:hint="eastAsia" w:ascii="楷体" w:hAnsi="楷体" w:eastAsia="楷体"/>
          <w:sz w:val="21"/>
          <w:szCs w:val="21"/>
          <w:highlight w:val="none"/>
        </w:rPr>
        <w:t>按投资周期进行现金分红。当一个投资周期结束，在满足投资周期终止日理财产品单位净值大于面值的条件下，管理人可进行现金分红，现金分红金额为单个投资周期投资产生的收益扣除固定费用（包括托管费、销售服务费、投资管理费）、运作产品所必须缴纳的税费、提取业绩报酬（如有）后的部分，将于投资周期终止日后2个工作日内分配至投资者资金账户。</w:t>
      </w:r>
    </w:p>
    <w:p>
      <w:pPr>
        <w:ind w:firstLine="422" w:firstLineChars="200"/>
        <w:rPr>
          <w:rFonts w:hint="eastAsia" w:ascii="楷体" w:hAnsi="楷体" w:eastAsia="楷体"/>
          <w:sz w:val="21"/>
          <w:szCs w:val="21"/>
          <w:highlight w:val="none"/>
          <w:lang w:eastAsia="zh-CN"/>
        </w:rPr>
      </w:pPr>
      <w:r>
        <w:rPr>
          <w:rFonts w:hint="eastAsia" w:ascii="楷体" w:hAnsi="楷体" w:eastAsia="楷体"/>
          <w:b/>
          <w:sz w:val="21"/>
          <w:szCs w:val="21"/>
          <w:highlight w:val="none"/>
          <w:u w:val="single"/>
        </w:rPr>
        <w:t>以下示例均为假设情况，不代表本产品实际投资业绩</w:t>
      </w:r>
      <w:r>
        <w:rPr>
          <w:rFonts w:hint="eastAsia" w:ascii="楷体" w:hAnsi="楷体" w:eastAsia="楷体"/>
          <w:b/>
          <w:sz w:val="21"/>
          <w:szCs w:val="21"/>
          <w:highlight w:val="none"/>
          <w:u w:val="single"/>
          <w:lang w:eastAsia="zh-CN"/>
        </w:rPr>
        <w:t>。</w:t>
      </w:r>
    </w:p>
    <w:p>
      <w:pPr>
        <w:ind w:firstLine="420" w:firstLineChars="200"/>
        <w:rPr>
          <w:rFonts w:hint="eastAsia" w:ascii="楷体" w:hAnsi="楷体" w:eastAsia="楷体"/>
          <w:sz w:val="21"/>
          <w:szCs w:val="21"/>
          <w:highlight w:val="none"/>
        </w:rPr>
      </w:pPr>
      <w:r>
        <w:rPr>
          <w:rFonts w:hint="eastAsia" w:ascii="楷体" w:hAnsi="楷体" w:eastAsia="楷体"/>
          <w:sz w:val="21"/>
          <w:szCs w:val="21"/>
          <w:highlight w:val="none"/>
        </w:rPr>
        <w:t>1.情景一</w:t>
      </w:r>
    </w:p>
    <w:p>
      <w:pPr>
        <w:ind w:firstLine="420" w:firstLineChars="200"/>
        <w:rPr>
          <w:rFonts w:hint="eastAsia" w:ascii="楷体" w:hAnsi="楷体" w:eastAsia="楷体"/>
          <w:sz w:val="21"/>
          <w:szCs w:val="21"/>
          <w:highlight w:val="none"/>
        </w:rPr>
      </w:pPr>
      <w:r>
        <w:rPr>
          <w:rFonts w:hint="eastAsia" w:ascii="楷体" w:hAnsi="楷体" w:eastAsia="楷体"/>
          <w:sz w:val="21"/>
          <w:szCs w:val="21"/>
          <w:highlight w:val="none"/>
        </w:rPr>
        <w:t>假定投资者在该投资周期持有该产品的份额为10,000.00份，该投资周期扣除固定费用（包括托管费、销售服务费、投资管理费）、运作产品所必须缴纳的税费、提取业绩报酬（如有）后，产品单位净值为1.0</w:t>
      </w:r>
      <w:r>
        <w:rPr>
          <w:rFonts w:hint="eastAsia" w:ascii="楷体" w:hAnsi="楷体" w:eastAsia="楷体"/>
          <w:sz w:val="21"/>
          <w:szCs w:val="21"/>
          <w:highlight w:val="none"/>
          <w:lang w:val="en-US" w:eastAsia="zh-CN"/>
        </w:rPr>
        <w:t>2</w:t>
      </w:r>
      <w:r>
        <w:rPr>
          <w:rFonts w:hint="eastAsia" w:ascii="楷体" w:hAnsi="楷体" w:eastAsia="楷体"/>
          <w:sz w:val="21"/>
          <w:szCs w:val="21"/>
          <w:highlight w:val="none"/>
        </w:rPr>
        <w:t>20。理财产品单位净值大于面值，管理人可进行现金分红，每份额可获得的现金分红为0.0</w:t>
      </w:r>
      <w:r>
        <w:rPr>
          <w:rFonts w:hint="eastAsia" w:ascii="楷体" w:hAnsi="楷体" w:eastAsia="楷体"/>
          <w:sz w:val="21"/>
          <w:szCs w:val="21"/>
          <w:highlight w:val="none"/>
          <w:lang w:val="en-US" w:eastAsia="zh-CN"/>
        </w:rPr>
        <w:t>2</w:t>
      </w:r>
      <w:r>
        <w:rPr>
          <w:rFonts w:hint="eastAsia" w:ascii="楷体" w:hAnsi="楷体" w:eastAsia="楷体"/>
          <w:sz w:val="21"/>
          <w:szCs w:val="21"/>
          <w:highlight w:val="none"/>
        </w:rPr>
        <w:t>20。</w:t>
      </w:r>
    </w:p>
    <w:p>
      <w:pPr>
        <w:ind w:firstLine="420" w:firstLineChars="200"/>
        <w:rPr>
          <w:rFonts w:hint="eastAsia" w:ascii="楷体" w:hAnsi="楷体" w:eastAsia="楷体"/>
          <w:sz w:val="21"/>
          <w:szCs w:val="21"/>
          <w:highlight w:val="none"/>
        </w:rPr>
      </w:pPr>
      <w:r>
        <w:rPr>
          <w:rFonts w:hint="eastAsia" w:ascii="楷体" w:hAnsi="楷体" w:eastAsia="楷体"/>
          <w:sz w:val="21"/>
          <w:szCs w:val="21"/>
          <w:highlight w:val="none"/>
        </w:rPr>
        <w:t>该投资周期投资者可得分红=10,000.00×0.0</w:t>
      </w:r>
      <w:r>
        <w:rPr>
          <w:rFonts w:hint="eastAsia" w:ascii="楷体" w:hAnsi="楷体" w:eastAsia="楷体"/>
          <w:sz w:val="21"/>
          <w:szCs w:val="21"/>
          <w:highlight w:val="none"/>
          <w:lang w:val="en-US" w:eastAsia="zh-CN"/>
        </w:rPr>
        <w:t>2</w:t>
      </w:r>
      <w:r>
        <w:rPr>
          <w:rFonts w:hint="eastAsia" w:ascii="楷体" w:hAnsi="楷体" w:eastAsia="楷体"/>
          <w:sz w:val="21"/>
          <w:szCs w:val="21"/>
          <w:highlight w:val="none"/>
        </w:rPr>
        <w:t>20=</w:t>
      </w:r>
      <w:r>
        <w:rPr>
          <w:rFonts w:hint="eastAsia" w:ascii="楷体" w:hAnsi="楷体" w:eastAsia="楷体"/>
          <w:sz w:val="21"/>
          <w:szCs w:val="21"/>
          <w:highlight w:val="none"/>
          <w:lang w:val="en-US" w:eastAsia="zh-CN"/>
        </w:rPr>
        <w:t>2</w:t>
      </w:r>
      <w:r>
        <w:rPr>
          <w:rFonts w:hint="eastAsia" w:ascii="楷体" w:hAnsi="楷体" w:eastAsia="楷体"/>
          <w:sz w:val="21"/>
          <w:szCs w:val="21"/>
          <w:highlight w:val="none"/>
        </w:rPr>
        <w:t>20.00（元）</w:t>
      </w:r>
    </w:p>
    <w:p>
      <w:pPr>
        <w:ind w:firstLine="420" w:firstLineChars="200"/>
        <w:rPr>
          <w:rFonts w:hint="eastAsia" w:ascii="楷体" w:hAnsi="楷体" w:eastAsia="楷体"/>
          <w:sz w:val="21"/>
          <w:szCs w:val="21"/>
          <w:highlight w:val="none"/>
        </w:rPr>
      </w:pPr>
      <w:r>
        <w:rPr>
          <w:rFonts w:hint="eastAsia" w:ascii="楷体" w:hAnsi="楷体" w:eastAsia="楷体"/>
          <w:sz w:val="21"/>
          <w:szCs w:val="21"/>
          <w:highlight w:val="none"/>
        </w:rPr>
        <w:t>2.情景二</w:t>
      </w:r>
    </w:p>
    <w:p>
      <w:pPr>
        <w:ind w:firstLine="420" w:firstLineChars="200"/>
        <w:rPr>
          <w:rFonts w:hint="eastAsia" w:ascii="楷体" w:hAnsi="楷体" w:eastAsia="楷体"/>
          <w:sz w:val="21"/>
          <w:szCs w:val="21"/>
          <w:highlight w:val="none"/>
        </w:rPr>
      </w:pPr>
      <w:r>
        <w:rPr>
          <w:rFonts w:hint="eastAsia" w:ascii="楷体" w:hAnsi="楷体" w:eastAsia="楷体"/>
          <w:sz w:val="21"/>
          <w:szCs w:val="21"/>
          <w:highlight w:val="none"/>
        </w:rPr>
        <w:t>假定投资者在该投资周期持有该产品的份额为10,000.00份，该投资周期扣除固定费用（包括托管费、销售服务费、投资管理费）、运作产品所必须缴纳的税费、提取业绩报酬（如有）后，产品单位净值为0.9975。理财产品单位净值小于面值，该投资周期无现金分红。</w:t>
      </w:r>
    </w:p>
    <w:p>
      <w:pPr>
        <w:ind w:firstLine="422" w:firstLineChars="200"/>
        <w:rPr>
          <w:rFonts w:hint="eastAsia"/>
          <w:sz w:val="21"/>
          <w:szCs w:val="21"/>
          <w:highlight w:val="none"/>
        </w:rPr>
      </w:pPr>
      <w:r>
        <w:rPr>
          <w:rFonts w:hint="eastAsia" w:ascii="楷体" w:hAnsi="楷体" w:eastAsia="楷体"/>
          <w:b/>
          <w:sz w:val="21"/>
          <w:szCs w:val="21"/>
          <w:highlight w:val="none"/>
          <w:u w:val="single"/>
        </w:rPr>
        <w:t>上述情况假设仅用于向投资者示例现金分红计算方法之用，并不代表管理人对实际分红情况的预期判断，也不代表以上所有情形或某一情形一定会发生，或管理人认为发生的可能性很大。投资者获得的最终</w:t>
      </w:r>
      <w:r>
        <w:rPr>
          <w:rFonts w:hint="eastAsia" w:ascii="楷体" w:hAnsi="楷体" w:eastAsia="楷体"/>
          <w:b/>
          <w:sz w:val="21"/>
          <w:szCs w:val="21"/>
          <w:highlight w:val="none"/>
          <w:u w:val="single"/>
          <w:lang w:val="en-US" w:eastAsia="zh-CN"/>
        </w:rPr>
        <w:t>收益</w:t>
      </w:r>
      <w:r>
        <w:rPr>
          <w:rFonts w:hint="eastAsia" w:ascii="楷体" w:hAnsi="楷体" w:eastAsia="楷体"/>
          <w:b/>
          <w:sz w:val="21"/>
          <w:szCs w:val="21"/>
          <w:highlight w:val="none"/>
          <w:u w:val="single"/>
        </w:rPr>
        <w:t>以产品实际运作表现及管理人实际支付为准。</w:t>
      </w:r>
    </w:p>
    <w:p>
      <w:pPr>
        <w:keepNext w:val="0"/>
        <w:keepLines w:val="0"/>
        <w:pageBreakBefore w:val="0"/>
        <w:widowControl w:val="0"/>
        <w:numPr>
          <w:ilvl w:val="0"/>
          <w:numId w:val="2"/>
        </w:numPr>
        <w:tabs>
          <w:tab w:val="left" w:pos="1428"/>
          <w:tab w:val="clear" w:pos="0"/>
        </w:tabs>
        <w:kinsoku/>
        <w:wordWrap/>
        <w:overflowPunct/>
        <w:topLinePunct w:val="0"/>
        <w:autoSpaceDE/>
        <w:autoSpaceDN/>
        <w:bidi w:val="0"/>
        <w:adjustRightInd/>
        <w:snapToGrid/>
        <w:ind w:left="0" w:leftChars="0" w:firstLine="422" w:firstLineChars="200"/>
        <w:textAlignment w:val="auto"/>
        <w:outlineLvl w:val="1"/>
        <w:rPr>
          <w:rFonts w:hint="eastAsia" w:ascii="楷体" w:hAnsi="楷体" w:eastAsia="楷体"/>
          <w:b/>
          <w:sz w:val="21"/>
          <w:szCs w:val="21"/>
          <w:highlight w:val="none"/>
        </w:rPr>
      </w:pPr>
      <w:r>
        <w:rPr>
          <w:rFonts w:hint="eastAsia" w:ascii="楷体" w:hAnsi="楷体" w:eastAsia="楷体"/>
          <w:b/>
          <w:sz w:val="21"/>
          <w:szCs w:val="21"/>
          <w:highlight w:val="none"/>
        </w:rPr>
        <w:t>产品终止</w:t>
      </w:r>
    </w:p>
    <w:p>
      <w:pPr>
        <w:keepNext w:val="0"/>
        <w:keepLines w:val="0"/>
        <w:pageBreakBefore w:val="0"/>
        <w:widowControl w:val="0"/>
        <w:numPr>
          <w:ilvl w:val="0"/>
          <w:numId w:val="12"/>
        </w:numPr>
        <w:tabs>
          <w:tab w:val="left" w:pos="993"/>
          <w:tab w:val="clear" w:pos="0"/>
        </w:tabs>
        <w:kinsoku/>
        <w:wordWrap/>
        <w:overflowPunct/>
        <w:topLinePunct w:val="0"/>
        <w:autoSpaceDE/>
        <w:autoSpaceDN/>
        <w:bidi w:val="0"/>
        <w:adjustRightInd/>
        <w:snapToGrid/>
        <w:ind w:left="0" w:leftChars="0" w:firstLine="420" w:firstLineChars="200"/>
        <w:textAlignment w:val="auto"/>
        <w:rPr>
          <w:rFonts w:hint="eastAsia" w:ascii="楷体" w:hAnsi="楷体" w:eastAsia="楷体" w:cs="楷体"/>
          <w:b w:val="0"/>
          <w:bCs w:val="0"/>
          <w:color w:val="auto"/>
          <w:sz w:val="21"/>
          <w:szCs w:val="21"/>
          <w:highlight w:val="none"/>
        </w:rPr>
      </w:pPr>
      <w:r>
        <w:rPr>
          <w:rFonts w:hint="eastAsia" w:ascii="楷体" w:hAnsi="楷体" w:eastAsia="楷体" w:cs="楷体"/>
          <w:b w:val="0"/>
          <w:bCs w:val="0"/>
          <w:color w:val="auto"/>
          <w:sz w:val="21"/>
          <w:szCs w:val="21"/>
          <w:highlight w:val="none"/>
        </w:rPr>
        <w:t>提前终止</w:t>
      </w:r>
    </w:p>
    <w:p>
      <w:pPr>
        <w:numPr>
          <w:ilvl w:val="0"/>
          <w:numId w:val="0"/>
        </w:numPr>
        <w:ind w:left="0" w:firstLine="420" w:firstLineChars="200"/>
        <w:rPr>
          <w:rFonts w:hint="eastAsia" w:ascii="楷体" w:hAnsi="楷体" w:eastAsia="楷体"/>
          <w:b w:val="0"/>
          <w:bCs w:val="0"/>
          <w:color w:val="auto"/>
          <w:sz w:val="21"/>
          <w:szCs w:val="21"/>
          <w:highlight w:val="none"/>
        </w:rPr>
      </w:pPr>
      <w:r>
        <w:rPr>
          <w:rFonts w:hint="eastAsia" w:ascii="楷体" w:hAnsi="楷体" w:eastAsia="楷体" w:cs="Calibri"/>
          <w:b w:val="0"/>
          <w:bCs w:val="0"/>
          <w:color w:val="auto"/>
          <w:sz w:val="21"/>
          <w:szCs w:val="21"/>
          <w:highlight w:val="none"/>
        </w:rPr>
        <w:t>在理财产品投资运作期间内，投资者无权要求提前终止该理财产品。在理财产品投资运作期间内，</w:t>
      </w:r>
      <w:r>
        <w:rPr>
          <w:rFonts w:hint="eastAsia" w:ascii="楷体" w:hAnsi="楷体" w:eastAsia="楷体" w:cs="Calibri"/>
          <w:b w:val="0"/>
          <w:bCs w:val="0"/>
          <w:color w:val="auto"/>
          <w:sz w:val="21"/>
          <w:szCs w:val="21"/>
          <w:highlight w:val="none"/>
          <w:lang w:val="en-US" w:eastAsia="zh-CN"/>
        </w:rPr>
        <w:t>包括但不限于</w:t>
      </w:r>
      <w:r>
        <w:rPr>
          <w:rFonts w:hint="eastAsia" w:ascii="楷体" w:hAnsi="楷体" w:eastAsia="楷体" w:cs="Calibri"/>
          <w:b w:val="0"/>
          <w:bCs w:val="0"/>
          <w:color w:val="auto"/>
          <w:sz w:val="21"/>
          <w:szCs w:val="21"/>
          <w:highlight w:val="none"/>
        </w:rPr>
        <w:t>出现下列情形时，产品管理人有权提前终止本产品：因不可抗力原因导致理财产品无法继续运作；因法律法规变化或国家金融政策调整、紧急措施出台影响产品继续正常运作；法律法规规定或监管部门认定的其他情形。</w:t>
      </w:r>
      <w:r>
        <w:rPr>
          <w:rFonts w:hint="eastAsia" w:ascii="楷体" w:hAnsi="楷体" w:eastAsia="楷体"/>
          <w:b w:val="0"/>
          <w:bCs w:val="0"/>
          <w:color w:val="auto"/>
          <w:sz w:val="21"/>
          <w:szCs w:val="21"/>
          <w:highlight w:val="none"/>
        </w:rPr>
        <w:t>如理财产品管理人提前终止本理财产品，将至少提前2个工作日（含）按说明书约定的信息披露方式予以披露</w:t>
      </w:r>
      <w:r>
        <w:rPr>
          <w:rFonts w:hint="eastAsia" w:ascii="楷体" w:hAnsi="楷体" w:eastAsia="楷体"/>
          <w:b w:val="0"/>
          <w:bCs w:val="0"/>
          <w:color w:val="auto"/>
          <w:sz w:val="21"/>
          <w:szCs w:val="21"/>
          <w:highlight w:val="none"/>
          <w:lang w:eastAsia="zh-CN"/>
        </w:rPr>
        <w:t>，</w:t>
      </w:r>
      <w:r>
        <w:rPr>
          <w:rFonts w:hint="eastAsia" w:ascii="楷体" w:hAnsi="楷体" w:eastAsia="楷体"/>
          <w:b w:val="0"/>
          <w:bCs w:val="0"/>
          <w:color w:val="auto"/>
          <w:sz w:val="21"/>
          <w:szCs w:val="21"/>
          <w:highlight w:val="none"/>
          <w:lang w:val="en-US" w:eastAsia="zh-CN"/>
        </w:rPr>
        <w:t>明确产品终止日</w:t>
      </w:r>
      <w:r>
        <w:rPr>
          <w:rFonts w:hint="eastAsia" w:ascii="楷体" w:hAnsi="楷体" w:eastAsia="楷体"/>
          <w:b w:val="0"/>
          <w:bCs w:val="0"/>
          <w:color w:val="auto"/>
          <w:sz w:val="21"/>
          <w:szCs w:val="21"/>
          <w:highlight w:val="none"/>
        </w:rPr>
        <w:t>。</w:t>
      </w:r>
    </w:p>
    <w:p>
      <w:pPr>
        <w:keepNext w:val="0"/>
        <w:keepLines w:val="0"/>
        <w:pageBreakBefore w:val="0"/>
        <w:widowControl w:val="0"/>
        <w:numPr>
          <w:ilvl w:val="0"/>
          <w:numId w:val="12"/>
        </w:numPr>
        <w:tabs>
          <w:tab w:val="left" w:pos="993"/>
          <w:tab w:val="clear" w:pos="0"/>
        </w:tabs>
        <w:kinsoku/>
        <w:wordWrap/>
        <w:overflowPunct/>
        <w:topLinePunct w:val="0"/>
        <w:autoSpaceDE/>
        <w:autoSpaceDN/>
        <w:bidi w:val="0"/>
        <w:adjustRightInd/>
        <w:snapToGrid/>
        <w:ind w:left="0" w:leftChars="0" w:firstLine="420" w:firstLineChars="200"/>
        <w:textAlignment w:val="auto"/>
        <w:rPr>
          <w:rFonts w:hint="eastAsia" w:ascii="楷体" w:hAnsi="楷体" w:eastAsia="楷体" w:cs="Calibri"/>
          <w:b w:val="0"/>
          <w:bCs w:val="0"/>
          <w:color w:val="auto"/>
          <w:sz w:val="21"/>
          <w:szCs w:val="21"/>
          <w:highlight w:val="none"/>
        </w:rPr>
      </w:pPr>
      <w:r>
        <w:rPr>
          <w:rFonts w:hint="eastAsia" w:ascii="楷体" w:hAnsi="楷体" w:eastAsia="楷体" w:cs="Calibri"/>
          <w:b w:val="0"/>
          <w:bCs w:val="0"/>
          <w:color w:val="auto"/>
          <w:sz w:val="21"/>
          <w:szCs w:val="21"/>
          <w:highlight w:val="none"/>
          <w:lang w:val="en-US" w:eastAsia="zh-CN"/>
        </w:rPr>
        <w:t>正常终止</w:t>
      </w:r>
    </w:p>
    <w:p>
      <w:pPr>
        <w:ind w:firstLine="420" w:firstLineChars="200"/>
        <w:rPr>
          <w:rFonts w:hint="eastAsia" w:ascii="楷体" w:hAnsi="楷体" w:eastAsia="楷体" w:cs="Calibri"/>
          <w:b w:val="0"/>
          <w:bCs w:val="0"/>
          <w:color w:val="auto"/>
          <w:sz w:val="21"/>
          <w:szCs w:val="21"/>
          <w:highlight w:val="none"/>
        </w:rPr>
      </w:pPr>
      <w:r>
        <w:rPr>
          <w:rFonts w:hint="eastAsia" w:ascii="楷体" w:hAnsi="楷体" w:eastAsia="楷体" w:cs="Calibri"/>
          <w:b w:val="0"/>
          <w:bCs w:val="0"/>
          <w:color w:val="auto"/>
          <w:sz w:val="21"/>
          <w:szCs w:val="21"/>
          <w:highlight w:val="none"/>
        </w:rPr>
        <w:t>投资者持有本理财产品至产品到期日，投资者的投资本金和收益（如有）将在产品到期后一次性支付。</w:t>
      </w:r>
    </w:p>
    <w:p>
      <w:pPr>
        <w:keepNext w:val="0"/>
        <w:keepLines w:val="0"/>
        <w:pageBreakBefore w:val="0"/>
        <w:widowControl w:val="0"/>
        <w:numPr>
          <w:ilvl w:val="0"/>
          <w:numId w:val="12"/>
        </w:numPr>
        <w:tabs>
          <w:tab w:val="left" w:pos="993"/>
          <w:tab w:val="clear" w:pos="0"/>
        </w:tabs>
        <w:kinsoku/>
        <w:wordWrap/>
        <w:overflowPunct/>
        <w:topLinePunct w:val="0"/>
        <w:autoSpaceDE/>
        <w:autoSpaceDN/>
        <w:bidi w:val="0"/>
        <w:adjustRightInd/>
        <w:snapToGrid/>
        <w:ind w:left="0" w:leftChars="0" w:firstLine="420" w:firstLineChars="200"/>
        <w:textAlignment w:val="auto"/>
        <w:rPr>
          <w:rFonts w:hint="eastAsia" w:ascii="楷体" w:hAnsi="楷体" w:eastAsia="楷体" w:cs="Calibri"/>
          <w:b w:val="0"/>
          <w:bCs w:val="0"/>
          <w:color w:val="auto"/>
          <w:sz w:val="21"/>
          <w:szCs w:val="21"/>
          <w:highlight w:val="none"/>
        </w:rPr>
      </w:pPr>
      <w:r>
        <w:rPr>
          <w:rFonts w:hint="eastAsia" w:ascii="楷体" w:hAnsi="楷体" w:eastAsia="楷体" w:cs="Calibri"/>
          <w:b w:val="0"/>
          <w:bCs w:val="0"/>
          <w:color w:val="auto"/>
          <w:sz w:val="21"/>
          <w:szCs w:val="21"/>
          <w:highlight w:val="none"/>
        </w:rPr>
        <w:t>延期</w:t>
      </w:r>
      <w:r>
        <w:rPr>
          <w:rFonts w:hint="eastAsia" w:ascii="楷体" w:hAnsi="楷体" w:eastAsia="楷体" w:cs="Calibri"/>
          <w:b w:val="0"/>
          <w:bCs w:val="0"/>
          <w:color w:val="auto"/>
          <w:sz w:val="21"/>
          <w:szCs w:val="21"/>
          <w:highlight w:val="none"/>
          <w:lang w:val="en-US" w:eastAsia="zh-CN"/>
        </w:rPr>
        <w:t>终止</w:t>
      </w:r>
    </w:p>
    <w:p>
      <w:pPr>
        <w:ind w:firstLine="420" w:firstLineChars="200"/>
        <w:rPr>
          <w:rFonts w:hint="eastAsia" w:ascii="楷体" w:hAnsi="楷体" w:eastAsia="楷体" w:cs="Calibri"/>
          <w:b w:val="0"/>
          <w:bCs w:val="0"/>
          <w:color w:val="auto"/>
          <w:sz w:val="21"/>
          <w:szCs w:val="21"/>
          <w:highlight w:val="none"/>
        </w:rPr>
      </w:pPr>
      <w:r>
        <w:rPr>
          <w:rFonts w:hint="eastAsia" w:ascii="楷体" w:hAnsi="楷体" w:eastAsia="楷体" w:cs="Calibri"/>
          <w:b w:val="0"/>
          <w:bCs w:val="0"/>
          <w:color w:val="auto"/>
          <w:sz w:val="21"/>
          <w:szCs w:val="21"/>
          <w:highlight w:val="none"/>
        </w:rPr>
        <w:t>出现以下情况，产品管理人有权延长本理财产品的终止日：产品终止日遇非工作日则顺延至下一工作日，投资者清算资金到账日将相应调整；因不可抗力、市场发生重大变化等原因导致产品项下对应的投资标的无法及时变现、无法及时收回资金；法律法规规定或监管部门认定的其他情形。产品管理人决定延期兑付的，将至少提前2个工作日（含）按说明书约定的信息披露方式予以披露</w:t>
      </w:r>
      <w:r>
        <w:rPr>
          <w:rFonts w:hint="eastAsia" w:ascii="楷体" w:hAnsi="楷体" w:eastAsia="楷体" w:cs="Calibri"/>
          <w:color w:val="auto"/>
          <w:sz w:val="21"/>
          <w:szCs w:val="21"/>
          <w:highlight w:val="none"/>
        </w:rPr>
        <w:t>。</w:t>
      </w:r>
    </w:p>
    <w:p>
      <w:pPr>
        <w:keepNext w:val="0"/>
        <w:keepLines w:val="0"/>
        <w:pageBreakBefore w:val="0"/>
        <w:widowControl w:val="0"/>
        <w:numPr>
          <w:ilvl w:val="0"/>
          <w:numId w:val="12"/>
        </w:numPr>
        <w:tabs>
          <w:tab w:val="left" w:pos="993"/>
          <w:tab w:val="clear" w:pos="0"/>
        </w:tabs>
        <w:kinsoku/>
        <w:wordWrap/>
        <w:overflowPunct/>
        <w:topLinePunct w:val="0"/>
        <w:autoSpaceDE/>
        <w:autoSpaceDN/>
        <w:bidi w:val="0"/>
        <w:adjustRightInd/>
        <w:snapToGrid/>
        <w:ind w:left="0" w:leftChars="0" w:firstLine="420" w:firstLineChars="200"/>
        <w:textAlignment w:val="auto"/>
        <w:rPr>
          <w:rFonts w:hint="eastAsia" w:ascii="楷体" w:hAnsi="楷体" w:eastAsia="楷体" w:cs="Calibri"/>
          <w:b w:val="0"/>
          <w:bCs w:val="0"/>
          <w:color w:val="auto"/>
          <w:sz w:val="21"/>
          <w:szCs w:val="21"/>
          <w:highlight w:val="none"/>
        </w:rPr>
      </w:pPr>
      <w:r>
        <w:rPr>
          <w:rFonts w:hint="eastAsia" w:ascii="楷体" w:hAnsi="楷体" w:eastAsia="楷体" w:cs="Calibri"/>
          <w:b w:val="0"/>
          <w:bCs w:val="0"/>
          <w:color w:val="auto"/>
          <w:sz w:val="21"/>
          <w:szCs w:val="21"/>
          <w:highlight w:val="none"/>
        </w:rPr>
        <w:t>投资者可得资金计算</w:t>
      </w:r>
    </w:p>
    <w:p>
      <w:pPr>
        <w:ind w:firstLine="420" w:firstLineChars="200"/>
        <w:rPr>
          <w:rFonts w:hint="eastAsia" w:ascii="楷体" w:hAnsi="楷体" w:eastAsia="楷体"/>
          <w:b w:val="0"/>
          <w:bCs w:val="0"/>
          <w:color w:val="auto"/>
          <w:sz w:val="21"/>
          <w:szCs w:val="21"/>
          <w:highlight w:val="none"/>
        </w:rPr>
      </w:pPr>
      <w:r>
        <w:rPr>
          <w:rFonts w:hint="eastAsia" w:ascii="楷体" w:hAnsi="楷体" w:eastAsia="楷体"/>
          <w:b w:val="0"/>
          <w:bCs w:val="0"/>
          <w:color w:val="auto"/>
          <w:sz w:val="21"/>
          <w:szCs w:val="21"/>
          <w:highlight w:val="none"/>
        </w:rPr>
        <w:t>投资者可得资金=投资者持有份额×产品到期</w:t>
      </w:r>
      <w:r>
        <w:rPr>
          <w:rFonts w:hint="eastAsia" w:ascii="楷体" w:hAnsi="楷体" w:eastAsia="楷体"/>
          <w:b w:val="0"/>
          <w:bCs w:val="0"/>
          <w:color w:val="auto"/>
          <w:sz w:val="21"/>
          <w:szCs w:val="21"/>
          <w:highlight w:val="none"/>
          <w:lang w:eastAsia="zh-CN"/>
        </w:rPr>
        <w:t>（</w:t>
      </w:r>
      <w:r>
        <w:rPr>
          <w:rFonts w:hint="eastAsia" w:ascii="楷体" w:hAnsi="楷体" w:eastAsia="楷体"/>
          <w:b w:val="0"/>
          <w:bCs w:val="0"/>
          <w:color w:val="auto"/>
          <w:sz w:val="21"/>
          <w:szCs w:val="21"/>
          <w:highlight w:val="none"/>
          <w:lang w:val="en-US" w:eastAsia="zh-CN"/>
        </w:rPr>
        <w:t>终止）</w:t>
      </w:r>
      <w:r>
        <w:rPr>
          <w:rFonts w:hint="eastAsia" w:ascii="楷体" w:hAnsi="楷体" w:eastAsia="楷体"/>
          <w:b w:val="0"/>
          <w:bCs w:val="0"/>
          <w:color w:val="auto"/>
          <w:sz w:val="21"/>
          <w:szCs w:val="21"/>
          <w:highlight w:val="none"/>
        </w:rPr>
        <w:t>时单位净值</w:t>
      </w:r>
      <w:r>
        <w:rPr>
          <w:rFonts w:hint="eastAsia" w:ascii="楷体" w:hAnsi="楷体" w:eastAsia="楷体"/>
          <w:b w:val="0"/>
          <w:bCs w:val="0"/>
          <w:color w:val="auto"/>
          <w:sz w:val="21"/>
          <w:szCs w:val="21"/>
          <w:highlight w:val="none"/>
          <w:lang w:val="en-US" w:eastAsia="zh-CN"/>
        </w:rPr>
        <w:t>-超额业绩报酬（如有）</w:t>
      </w:r>
      <w:r>
        <w:rPr>
          <w:rFonts w:hint="eastAsia" w:ascii="楷体" w:hAnsi="楷体" w:eastAsia="楷体"/>
          <w:b w:val="0"/>
          <w:bCs w:val="0"/>
          <w:color w:val="auto"/>
          <w:sz w:val="21"/>
          <w:szCs w:val="21"/>
          <w:highlight w:val="none"/>
          <w:lang w:eastAsia="zh-CN"/>
        </w:rPr>
        <w:t>，</w:t>
      </w:r>
      <w:r>
        <w:rPr>
          <w:rFonts w:hint="eastAsia" w:ascii="楷体" w:hAnsi="楷体" w:eastAsia="楷体"/>
          <w:b w:val="0"/>
          <w:bCs w:val="0"/>
          <w:color w:val="auto"/>
          <w:sz w:val="21"/>
          <w:szCs w:val="21"/>
          <w:highlight w:val="none"/>
        </w:rPr>
        <w:t>投资者可得资金以四舍五入的方法保留到小数点后两位。</w:t>
      </w:r>
    </w:p>
    <w:p>
      <w:pPr>
        <w:keepNext w:val="0"/>
        <w:keepLines w:val="0"/>
        <w:pageBreakBefore w:val="0"/>
        <w:widowControl w:val="0"/>
        <w:numPr>
          <w:ilvl w:val="0"/>
          <w:numId w:val="12"/>
        </w:numPr>
        <w:tabs>
          <w:tab w:val="left" w:pos="993"/>
          <w:tab w:val="clear" w:pos="0"/>
        </w:tabs>
        <w:kinsoku/>
        <w:wordWrap/>
        <w:overflowPunct/>
        <w:topLinePunct w:val="0"/>
        <w:autoSpaceDE/>
        <w:autoSpaceDN/>
        <w:bidi w:val="0"/>
        <w:adjustRightInd/>
        <w:snapToGrid/>
        <w:ind w:left="0" w:leftChars="0" w:firstLine="420" w:firstLineChars="200"/>
        <w:textAlignment w:val="auto"/>
        <w:rPr>
          <w:rFonts w:hint="eastAsia" w:ascii="楷体" w:hAnsi="楷体" w:eastAsia="楷体" w:cs="Calibri"/>
          <w:b w:val="0"/>
          <w:bCs w:val="0"/>
          <w:color w:val="auto"/>
          <w:sz w:val="21"/>
          <w:szCs w:val="21"/>
          <w:highlight w:val="none"/>
        </w:rPr>
      </w:pPr>
      <w:r>
        <w:rPr>
          <w:rFonts w:hint="eastAsia" w:ascii="楷体" w:hAnsi="楷体" w:eastAsia="楷体" w:cs="Calibri"/>
          <w:b w:val="0"/>
          <w:bCs w:val="0"/>
          <w:color w:val="auto"/>
          <w:sz w:val="21"/>
          <w:szCs w:val="21"/>
          <w:highlight w:val="none"/>
          <w:lang w:val="en-US" w:eastAsia="zh-CN"/>
        </w:rPr>
        <w:t>终止</w:t>
      </w:r>
      <w:r>
        <w:rPr>
          <w:rFonts w:hint="eastAsia" w:ascii="楷体" w:hAnsi="楷体" w:eastAsia="楷体" w:cs="Calibri"/>
          <w:b w:val="0"/>
          <w:bCs w:val="0"/>
          <w:color w:val="auto"/>
          <w:sz w:val="21"/>
          <w:szCs w:val="21"/>
          <w:highlight w:val="none"/>
        </w:rPr>
        <w:t>清算</w:t>
      </w:r>
    </w:p>
    <w:p>
      <w:pPr>
        <w:widowControl w:val="0"/>
        <w:numPr>
          <w:ilvl w:val="0"/>
          <w:numId w:val="0"/>
        </w:numPr>
        <w:tabs>
          <w:tab w:val="left" w:pos="1092"/>
        </w:tabs>
        <w:jc w:val="both"/>
        <w:rPr>
          <w:rFonts w:hint="eastAsia" w:ascii="楷体" w:hAnsi="楷体" w:eastAsia="楷体" w:cs="Calibri"/>
          <w:color w:val="auto"/>
          <w:sz w:val="21"/>
          <w:szCs w:val="21"/>
          <w:highlight w:val="none"/>
          <w:lang w:eastAsia="zh-CN"/>
        </w:rPr>
      </w:pPr>
      <w:r>
        <w:rPr>
          <w:rFonts w:hint="eastAsia" w:ascii="楷体" w:hAnsi="楷体" w:eastAsia="楷体" w:cs="Calibri"/>
          <w:color w:val="auto"/>
          <w:sz w:val="21"/>
          <w:szCs w:val="21"/>
          <w:highlight w:val="none"/>
        </w:rPr>
        <w:t>投资者的投资本金和收益（如有）将于产品到期日</w:t>
      </w:r>
      <w:r>
        <w:rPr>
          <w:rFonts w:hint="eastAsia" w:ascii="楷体" w:hAnsi="楷体" w:eastAsia="楷体" w:cs="Calibri"/>
          <w:color w:val="auto"/>
          <w:sz w:val="21"/>
          <w:szCs w:val="21"/>
          <w:highlight w:val="none"/>
          <w:lang w:eastAsia="zh-CN"/>
        </w:rPr>
        <w:t>（</w:t>
      </w:r>
      <w:r>
        <w:rPr>
          <w:rFonts w:hint="eastAsia" w:ascii="楷体" w:hAnsi="楷体" w:eastAsia="楷体" w:cs="Calibri"/>
          <w:color w:val="auto"/>
          <w:sz w:val="21"/>
          <w:szCs w:val="21"/>
          <w:highlight w:val="none"/>
          <w:lang w:val="en-US" w:eastAsia="zh-CN"/>
        </w:rPr>
        <w:t>产品终止日）</w:t>
      </w:r>
      <w:r>
        <w:rPr>
          <w:rFonts w:hint="eastAsia" w:ascii="楷体" w:hAnsi="楷体" w:eastAsia="楷体" w:cs="Calibri"/>
          <w:color w:val="auto"/>
          <w:sz w:val="21"/>
          <w:szCs w:val="21"/>
          <w:highlight w:val="none"/>
        </w:rPr>
        <w:t>后5个工作日以内划至投资者指定账户，如遇</w:t>
      </w:r>
      <w:r>
        <w:rPr>
          <w:rFonts w:hint="eastAsia" w:ascii="楷体" w:hAnsi="楷体" w:eastAsia="楷体" w:cs="Calibri"/>
          <w:color w:val="auto"/>
          <w:sz w:val="21"/>
          <w:szCs w:val="21"/>
          <w:highlight w:val="none"/>
          <w:lang w:val="en-US" w:eastAsia="zh-CN"/>
        </w:rPr>
        <w:t>非工作日</w:t>
      </w:r>
      <w:r>
        <w:rPr>
          <w:rFonts w:hint="eastAsia" w:ascii="楷体" w:hAnsi="楷体" w:eastAsia="楷体" w:cs="Calibri"/>
          <w:color w:val="auto"/>
          <w:sz w:val="21"/>
          <w:szCs w:val="21"/>
          <w:highlight w:val="none"/>
        </w:rPr>
        <w:t>则相应顺延。</w:t>
      </w:r>
    </w:p>
    <w:p>
      <w:pPr>
        <w:keepNext w:val="0"/>
        <w:keepLines w:val="0"/>
        <w:pageBreakBefore w:val="0"/>
        <w:widowControl w:val="0"/>
        <w:numPr>
          <w:ilvl w:val="0"/>
          <w:numId w:val="2"/>
        </w:numPr>
        <w:tabs>
          <w:tab w:val="left" w:pos="1428"/>
          <w:tab w:val="clear" w:pos="0"/>
        </w:tabs>
        <w:kinsoku/>
        <w:wordWrap/>
        <w:overflowPunct/>
        <w:topLinePunct w:val="0"/>
        <w:autoSpaceDE/>
        <w:autoSpaceDN/>
        <w:bidi w:val="0"/>
        <w:adjustRightInd/>
        <w:snapToGrid/>
        <w:ind w:left="0" w:leftChars="0" w:firstLine="422" w:firstLineChars="200"/>
        <w:textAlignment w:val="auto"/>
        <w:outlineLvl w:val="1"/>
        <w:rPr>
          <w:rFonts w:hint="eastAsia" w:ascii="楷体" w:hAnsi="楷体" w:eastAsia="楷体"/>
          <w:b/>
          <w:sz w:val="21"/>
          <w:szCs w:val="21"/>
          <w:highlight w:val="none"/>
        </w:rPr>
      </w:pPr>
      <w:r>
        <w:rPr>
          <w:rFonts w:hint="eastAsia" w:ascii="楷体" w:hAnsi="楷体" w:eastAsia="楷体"/>
          <w:b/>
          <w:sz w:val="21"/>
          <w:szCs w:val="21"/>
          <w:highlight w:val="none"/>
          <w:lang w:val="en-US" w:eastAsia="zh-CN"/>
        </w:rPr>
        <w:t>情景示例</w:t>
      </w:r>
    </w:p>
    <w:p>
      <w:pPr>
        <w:ind w:firstLine="422" w:firstLineChars="200"/>
        <w:rPr>
          <w:rFonts w:hint="eastAsia" w:ascii="楷体" w:hAnsi="楷体" w:eastAsia="楷体"/>
          <w:b/>
          <w:color w:val="auto"/>
          <w:sz w:val="21"/>
          <w:szCs w:val="21"/>
          <w:highlight w:val="none"/>
          <w:u w:val="single"/>
        </w:rPr>
      </w:pPr>
      <w:r>
        <w:rPr>
          <w:rFonts w:hint="eastAsia" w:ascii="楷体" w:hAnsi="楷体" w:eastAsia="楷体"/>
          <w:b/>
          <w:color w:val="auto"/>
          <w:sz w:val="21"/>
          <w:szCs w:val="21"/>
          <w:highlight w:val="none"/>
          <w:u w:val="single"/>
        </w:rPr>
        <w:t>以下示例均为假设情况，不代表本产品实际投资业绩。</w:t>
      </w:r>
    </w:p>
    <w:p>
      <w:pPr>
        <w:ind w:firstLine="420" w:firstLineChars="20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1.情景一</w:t>
      </w:r>
    </w:p>
    <w:p>
      <w:pPr>
        <w:ind w:firstLine="420" w:firstLineChars="20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假定投资者</w:t>
      </w:r>
      <w:r>
        <w:rPr>
          <w:rFonts w:hint="eastAsia" w:ascii="楷体" w:hAnsi="楷体" w:eastAsia="楷体"/>
          <w:color w:val="auto"/>
          <w:sz w:val="21"/>
          <w:szCs w:val="21"/>
          <w:highlight w:val="none"/>
          <w:lang w:val="en-US" w:eastAsia="zh-CN"/>
        </w:rPr>
        <w:t>购买</w:t>
      </w:r>
      <w:r>
        <w:rPr>
          <w:rFonts w:hint="eastAsia" w:ascii="楷体" w:hAnsi="楷体" w:eastAsia="楷体"/>
          <w:color w:val="auto"/>
          <w:sz w:val="21"/>
          <w:szCs w:val="21"/>
          <w:highlight w:val="none"/>
        </w:rPr>
        <w:t>本产品，投资金额为10,000.00元，</w:t>
      </w:r>
      <w:r>
        <w:rPr>
          <w:rFonts w:hint="eastAsia" w:ascii="楷体" w:hAnsi="楷体" w:eastAsia="楷体"/>
          <w:color w:val="auto"/>
          <w:sz w:val="21"/>
          <w:szCs w:val="21"/>
          <w:highlight w:val="none"/>
          <w:lang w:val="en-US" w:eastAsia="zh-CN"/>
        </w:rPr>
        <w:t>产品单位净值</w:t>
      </w:r>
      <w:r>
        <w:rPr>
          <w:rFonts w:hint="eastAsia" w:ascii="楷体" w:hAnsi="楷体" w:eastAsia="楷体"/>
          <w:color w:val="auto"/>
          <w:sz w:val="21"/>
          <w:szCs w:val="21"/>
          <w:highlight w:val="none"/>
        </w:rPr>
        <w:t>为1元</w:t>
      </w:r>
      <w:r>
        <w:rPr>
          <w:rFonts w:hint="eastAsia" w:ascii="楷体" w:hAnsi="楷体" w:eastAsia="楷体"/>
          <w:color w:val="auto"/>
          <w:sz w:val="21"/>
          <w:szCs w:val="21"/>
          <w:highlight w:val="none"/>
          <w:lang w:val="en-US" w:eastAsia="zh-CN"/>
        </w:rPr>
        <w:t>/份</w:t>
      </w:r>
      <w:r>
        <w:rPr>
          <w:rFonts w:hint="eastAsia" w:ascii="楷体" w:hAnsi="楷体" w:eastAsia="楷体"/>
          <w:color w:val="auto"/>
          <w:sz w:val="21"/>
          <w:szCs w:val="21"/>
          <w:highlight w:val="none"/>
        </w:rPr>
        <w:t>，折算份额为10,000.00份。</w:t>
      </w:r>
      <w:r>
        <w:rPr>
          <w:rFonts w:hint="eastAsia" w:ascii="楷体" w:hAnsi="楷体" w:eastAsia="楷体"/>
          <w:color w:val="auto"/>
          <w:sz w:val="21"/>
          <w:szCs w:val="21"/>
          <w:highlight w:val="none"/>
          <w:lang w:val="en-US" w:eastAsia="zh-CN"/>
        </w:rPr>
        <w:t>投资者赎回/</w:t>
      </w:r>
      <w:r>
        <w:rPr>
          <w:rFonts w:hint="eastAsia" w:ascii="楷体" w:hAnsi="楷体" w:eastAsia="楷体"/>
          <w:color w:val="auto"/>
          <w:sz w:val="21"/>
          <w:szCs w:val="21"/>
          <w:highlight w:val="none"/>
        </w:rPr>
        <w:t>到期时，产品单位净值为</w:t>
      </w:r>
      <w:r>
        <w:rPr>
          <w:rFonts w:ascii="楷体" w:hAnsi="楷体" w:eastAsia="楷体"/>
          <w:color w:val="auto"/>
          <w:sz w:val="21"/>
          <w:szCs w:val="21"/>
          <w:highlight w:val="none"/>
        </w:rPr>
        <w:t>1.0</w:t>
      </w:r>
      <w:r>
        <w:rPr>
          <w:rFonts w:hint="eastAsia" w:ascii="楷体" w:hAnsi="楷体" w:eastAsia="楷体"/>
          <w:color w:val="auto"/>
          <w:sz w:val="21"/>
          <w:szCs w:val="21"/>
          <w:highlight w:val="none"/>
          <w:lang w:val="en-US" w:eastAsia="zh-CN"/>
        </w:rPr>
        <w:t>25503</w:t>
      </w:r>
      <w:r>
        <w:rPr>
          <w:rFonts w:hint="eastAsia" w:ascii="楷体" w:hAnsi="楷体" w:eastAsia="楷体"/>
          <w:color w:val="auto"/>
          <w:sz w:val="21"/>
          <w:szCs w:val="21"/>
          <w:highlight w:val="none"/>
        </w:rPr>
        <w:t>元。</w:t>
      </w:r>
    </w:p>
    <w:p>
      <w:pPr>
        <w:ind w:firstLine="420" w:firstLineChars="20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投资者可得资金=10,000.00×</w:t>
      </w:r>
      <w:r>
        <w:rPr>
          <w:rFonts w:ascii="楷体" w:hAnsi="楷体" w:eastAsia="楷体"/>
          <w:color w:val="auto"/>
          <w:sz w:val="21"/>
          <w:szCs w:val="21"/>
          <w:highlight w:val="none"/>
        </w:rPr>
        <w:t>1.0</w:t>
      </w:r>
      <w:r>
        <w:rPr>
          <w:rFonts w:hint="eastAsia" w:ascii="楷体" w:hAnsi="楷体" w:eastAsia="楷体"/>
          <w:color w:val="auto"/>
          <w:sz w:val="21"/>
          <w:szCs w:val="21"/>
          <w:highlight w:val="none"/>
          <w:lang w:val="en-US" w:eastAsia="zh-CN"/>
        </w:rPr>
        <w:t>25503</w:t>
      </w:r>
      <w:r>
        <w:rPr>
          <w:rFonts w:hint="eastAsia" w:ascii="楷体" w:hAnsi="楷体" w:eastAsia="楷体"/>
          <w:color w:val="auto"/>
          <w:sz w:val="21"/>
          <w:szCs w:val="21"/>
          <w:highlight w:val="none"/>
        </w:rPr>
        <w:t>=</w:t>
      </w:r>
      <w:r>
        <w:rPr>
          <w:rFonts w:ascii="楷体" w:hAnsi="楷体" w:eastAsia="楷体"/>
          <w:color w:val="auto"/>
          <w:sz w:val="21"/>
          <w:szCs w:val="21"/>
          <w:highlight w:val="none"/>
        </w:rPr>
        <w:t>10</w:t>
      </w:r>
      <w:r>
        <w:rPr>
          <w:rFonts w:hint="eastAsia"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255</w:t>
      </w:r>
      <w:r>
        <w:rPr>
          <w:rFonts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03</w:t>
      </w:r>
      <w:r>
        <w:rPr>
          <w:rFonts w:hint="eastAsia" w:ascii="楷体" w:hAnsi="楷体" w:eastAsia="楷体"/>
          <w:color w:val="auto"/>
          <w:sz w:val="21"/>
          <w:szCs w:val="21"/>
          <w:highlight w:val="none"/>
        </w:rPr>
        <w:t>（元）</w:t>
      </w:r>
    </w:p>
    <w:p>
      <w:pPr>
        <w:ind w:firstLine="420" w:firstLineChars="20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投资者投资收益=</w:t>
      </w:r>
      <w:r>
        <w:rPr>
          <w:rFonts w:ascii="楷体" w:hAnsi="楷体" w:eastAsia="楷体"/>
          <w:color w:val="auto"/>
          <w:sz w:val="21"/>
          <w:szCs w:val="21"/>
          <w:highlight w:val="none"/>
        </w:rPr>
        <w:t>10</w:t>
      </w:r>
      <w:r>
        <w:rPr>
          <w:rFonts w:hint="eastAsia"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255</w:t>
      </w:r>
      <w:r>
        <w:rPr>
          <w:rFonts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03</w:t>
      </w:r>
      <w:r>
        <w:rPr>
          <w:rFonts w:hint="eastAsia" w:ascii="楷体" w:hAnsi="楷体" w:eastAsia="楷体"/>
          <w:color w:val="auto"/>
          <w:sz w:val="21"/>
          <w:szCs w:val="21"/>
          <w:highlight w:val="none"/>
        </w:rPr>
        <w:t>-10,000.00=</w:t>
      </w:r>
      <w:r>
        <w:rPr>
          <w:rFonts w:hint="eastAsia" w:ascii="楷体" w:hAnsi="楷体" w:eastAsia="楷体"/>
          <w:color w:val="auto"/>
          <w:sz w:val="21"/>
          <w:szCs w:val="21"/>
          <w:highlight w:val="none"/>
          <w:lang w:val="en-US" w:eastAsia="zh-CN"/>
        </w:rPr>
        <w:t>255</w:t>
      </w:r>
      <w:r>
        <w:rPr>
          <w:rFonts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03</w:t>
      </w:r>
      <w:r>
        <w:rPr>
          <w:rFonts w:hint="eastAsia" w:ascii="楷体" w:hAnsi="楷体" w:eastAsia="楷体"/>
          <w:color w:val="auto"/>
          <w:sz w:val="21"/>
          <w:szCs w:val="21"/>
          <w:highlight w:val="none"/>
        </w:rPr>
        <w:t>（元）</w:t>
      </w:r>
    </w:p>
    <w:p>
      <w:pPr>
        <w:ind w:firstLine="420" w:firstLineChars="20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2.情景二</w:t>
      </w:r>
    </w:p>
    <w:p>
      <w:pPr>
        <w:ind w:firstLine="420" w:firstLineChars="20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假定投资者</w:t>
      </w:r>
      <w:r>
        <w:rPr>
          <w:rFonts w:hint="eastAsia" w:ascii="楷体" w:hAnsi="楷体" w:eastAsia="楷体"/>
          <w:color w:val="auto"/>
          <w:sz w:val="21"/>
          <w:szCs w:val="21"/>
          <w:highlight w:val="none"/>
          <w:lang w:val="en-US" w:eastAsia="zh-CN"/>
        </w:rPr>
        <w:t>购买</w:t>
      </w:r>
      <w:r>
        <w:rPr>
          <w:rFonts w:hint="eastAsia" w:ascii="楷体" w:hAnsi="楷体" w:eastAsia="楷体"/>
          <w:color w:val="auto"/>
          <w:sz w:val="21"/>
          <w:szCs w:val="21"/>
          <w:highlight w:val="none"/>
        </w:rPr>
        <w:t>本产品，投资金额为10,000.00元，</w:t>
      </w:r>
      <w:r>
        <w:rPr>
          <w:rFonts w:hint="eastAsia" w:ascii="楷体" w:hAnsi="楷体" w:eastAsia="楷体"/>
          <w:color w:val="auto"/>
          <w:sz w:val="21"/>
          <w:szCs w:val="21"/>
          <w:highlight w:val="none"/>
          <w:lang w:val="en-US" w:eastAsia="zh-CN"/>
        </w:rPr>
        <w:t>产品单位净值</w:t>
      </w:r>
      <w:r>
        <w:rPr>
          <w:rFonts w:hint="eastAsia" w:ascii="楷体" w:hAnsi="楷体" w:eastAsia="楷体"/>
          <w:color w:val="auto"/>
          <w:sz w:val="21"/>
          <w:szCs w:val="21"/>
          <w:highlight w:val="none"/>
        </w:rPr>
        <w:t>为1元</w:t>
      </w:r>
      <w:r>
        <w:rPr>
          <w:rFonts w:hint="eastAsia" w:ascii="楷体" w:hAnsi="楷体" w:eastAsia="楷体"/>
          <w:color w:val="auto"/>
          <w:sz w:val="21"/>
          <w:szCs w:val="21"/>
          <w:highlight w:val="none"/>
          <w:lang w:val="en-US" w:eastAsia="zh-CN"/>
        </w:rPr>
        <w:t>/份</w:t>
      </w:r>
      <w:r>
        <w:rPr>
          <w:rFonts w:hint="eastAsia" w:ascii="楷体" w:hAnsi="楷体" w:eastAsia="楷体"/>
          <w:color w:val="auto"/>
          <w:sz w:val="21"/>
          <w:szCs w:val="21"/>
          <w:highlight w:val="none"/>
        </w:rPr>
        <w:t>，折算份额为10,000.00份。</w:t>
      </w:r>
      <w:r>
        <w:rPr>
          <w:rFonts w:hint="eastAsia" w:ascii="楷体" w:hAnsi="楷体" w:eastAsia="楷体"/>
          <w:color w:val="auto"/>
          <w:sz w:val="21"/>
          <w:szCs w:val="21"/>
          <w:highlight w:val="none"/>
          <w:lang w:val="en-US" w:eastAsia="zh-CN"/>
        </w:rPr>
        <w:t>投资者赎回/</w:t>
      </w:r>
      <w:r>
        <w:rPr>
          <w:rFonts w:hint="eastAsia" w:ascii="楷体" w:hAnsi="楷体" w:eastAsia="楷体"/>
          <w:color w:val="auto"/>
          <w:sz w:val="21"/>
          <w:szCs w:val="21"/>
          <w:highlight w:val="none"/>
        </w:rPr>
        <w:t>到期时，产品单位净值为</w:t>
      </w:r>
      <w:r>
        <w:rPr>
          <w:rFonts w:ascii="楷体" w:hAnsi="楷体" w:eastAsia="楷体"/>
          <w:color w:val="auto"/>
          <w:sz w:val="21"/>
          <w:szCs w:val="21"/>
          <w:highlight w:val="none"/>
        </w:rPr>
        <w:t>0.9975</w:t>
      </w:r>
      <w:r>
        <w:rPr>
          <w:rFonts w:hint="eastAsia" w:ascii="楷体" w:hAnsi="楷体" w:eastAsia="楷体"/>
          <w:color w:val="auto"/>
          <w:sz w:val="21"/>
          <w:szCs w:val="21"/>
          <w:highlight w:val="none"/>
          <w:lang w:val="en-US" w:eastAsia="zh-CN"/>
        </w:rPr>
        <w:t>94</w:t>
      </w:r>
      <w:r>
        <w:rPr>
          <w:rFonts w:hint="eastAsia" w:ascii="楷体" w:hAnsi="楷体" w:eastAsia="楷体"/>
          <w:color w:val="auto"/>
          <w:sz w:val="21"/>
          <w:szCs w:val="21"/>
          <w:highlight w:val="none"/>
        </w:rPr>
        <w:t>元。</w:t>
      </w:r>
    </w:p>
    <w:p>
      <w:pPr>
        <w:ind w:firstLine="420" w:firstLineChars="20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投资者可得资金=10,000.00×0.9975</w:t>
      </w:r>
      <w:r>
        <w:rPr>
          <w:rFonts w:hint="eastAsia" w:ascii="楷体" w:hAnsi="楷体" w:eastAsia="楷体"/>
          <w:color w:val="auto"/>
          <w:sz w:val="21"/>
          <w:szCs w:val="21"/>
          <w:highlight w:val="none"/>
          <w:lang w:val="en-US" w:eastAsia="zh-CN"/>
        </w:rPr>
        <w:t>94</w:t>
      </w:r>
      <w:r>
        <w:rPr>
          <w:rFonts w:hint="eastAsia" w:ascii="楷体" w:hAnsi="楷体" w:eastAsia="楷体"/>
          <w:color w:val="auto"/>
          <w:sz w:val="21"/>
          <w:szCs w:val="21"/>
          <w:highlight w:val="none"/>
        </w:rPr>
        <w:t>=9,975.</w:t>
      </w:r>
      <w:r>
        <w:rPr>
          <w:rFonts w:hint="eastAsia" w:ascii="楷体" w:hAnsi="楷体" w:eastAsia="楷体"/>
          <w:color w:val="auto"/>
          <w:sz w:val="21"/>
          <w:szCs w:val="21"/>
          <w:highlight w:val="none"/>
          <w:lang w:val="en-US" w:eastAsia="zh-CN"/>
        </w:rPr>
        <w:t>94</w:t>
      </w:r>
      <w:r>
        <w:rPr>
          <w:rFonts w:hint="eastAsia" w:ascii="楷体" w:hAnsi="楷体" w:eastAsia="楷体"/>
          <w:color w:val="auto"/>
          <w:sz w:val="21"/>
          <w:szCs w:val="21"/>
          <w:highlight w:val="none"/>
        </w:rPr>
        <w:t>（元）</w:t>
      </w:r>
    </w:p>
    <w:p>
      <w:pPr>
        <w:ind w:firstLine="420" w:firstLineChars="20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投资者投资收益=9,975.</w:t>
      </w:r>
      <w:r>
        <w:rPr>
          <w:rFonts w:hint="eastAsia" w:ascii="楷体" w:hAnsi="楷体" w:eastAsia="楷体"/>
          <w:color w:val="auto"/>
          <w:sz w:val="21"/>
          <w:szCs w:val="21"/>
          <w:highlight w:val="none"/>
          <w:lang w:val="en-US" w:eastAsia="zh-CN"/>
        </w:rPr>
        <w:t>94</w:t>
      </w:r>
      <w:r>
        <w:rPr>
          <w:rFonts w:hint="eastAsia" w:ascii="楷体" w:hAnsi="楷体" w:eastAsia="楷体"/>
          <w:color w:val="auto"/>
          <w:sz w:val="21"/>
          <w:szCs w:val="21"/>
          <w:highlight w:val="none"/>
        </w:rPr>
        <w:t>-10,000.00=-</w:t>
      </w:r>
      <w:r>
        <w:rPr>
          <w:rFonts w:ascii="楷体" w:hAnsi="楷体" w:eastAsia="楷体"/>
          <w:color w:val="auto"/>
          <w:sz w:val="21"/>
          <w:szCs w:val="21"/>
          <w:highlight w:val="none"/>
        </w:rPr>
        <w:t>2</w:t>
      </w:r>
      <w:r>
        <w:rPr>
          <w:rFonts w:hint="eastAsia" w:ascii="楷体" w:hAnsi="楷体" w:eastAsia="楷体"/>
          <w:color w:val="auto"/>
          <w:sz w:val="21"/>
          <w:szCs w:val="21"/>
          <w:highlight w:val="none"/>
          <w:lang w:val="en-US" w:eastAsia="zh-CN"/>
        </w:rPr>
        <w:t>4</w:t>
      </w:r>
      <w:r>
        <w:rPr>
          <w:rFonts w:hint="eastAsia" w:ascii="楷体" w:hAnsi="楷体" w:eastAsia="楷体"/>
          <w:color w:val="auto"/>
          <w:sz w:val="21"/>
          <w:szCs w:val="21"/>
          <w:highlight w:val="none"/>
        </w:rPr>
        <w:t>.</w:t>
      </w:r>
      <w:r>
        <w:rPr>
          <w:rFonts w:ascii="楷体" w:hAnsi="楷体" w:eastAsia="楷体"/>
          <w:color w:val="auto"/>
          <w:sz w:val="21"/>
          <w:szCs w:val="21"/>
          <w:highlight w:val="none"/>
        </w:rPr>
        <w:t>0</w:t>
      </w:r>
      <w:r>
        <w:rPr>
          <w:rFonts w:hint="eastAsia" w:ascii="楷体" w:hAnsi="楷体" w:eastAsia="楷体"/>
          <w:color w:val="auto"/>
          <w:sz w:val="21"/>
          <w:szCs w:val="21"/>
          <w:highlight w:val="none"/>
          <w:lang w:val="en-US" w:eastAsia="zh-CN"/>
        </w:rPr>
        <w:t>6</w:t>
      </w:r>
      <w:r>
        <w:rPr>
          <w:rFonts w:hint="eastAsia" w:ascii="楷体" w:hAnsi="楷体" w:eastAsia="楷体"/>
          <w:color w:val="auto"/>
          <w:sz w:val="21"/>
          <w:szCs w:val="21"/>
          <w:highlight w:val="none"/>
        </w:rPr>
        <w:t>（元）</w:t>
      </w:r>
    </w:p>
    <w:p>
      <w:pPr>
        <w:ind w:firstLine="422" w:firstLineChars="200"/>
        <w:rPr>
          <w:rFonts w:hint="eastAsia" w:ascii="楷体" w:hAnsi="楷体" w:eastAsia="楷体"/>
          <w:b/>
          <w:color w:val="auto"/>
          <w:sz w:val="21"/>
          <w:szCs w:val="21"/>
          <w:highlight w:val="none"/>
          <w:u w:val="single"/>
        </w:rPr>
      </w:pPr>
      <w:r>
        <w:rPr>
          <w:rFonts w:hint="eastAsia" w:ascii="楷体" w:hAnsi="楷体" w:eastAsia="楷体"/>
          <w:b/>
          <w:color w:val="auto"/>
          <w:sz w:val="21"/>
          <w:szCs w:val="21"/>
          <w:highlight w:val="none"/>
          <w:u w:val="single"/>
        </w:rPr>
        <w:t>最不利的情形下，投资者可能损失100%本金。</w:t>
      </w:r>
    </w:p>
    <w:p>
      <w:pPr>
        <w:ind w:left="0" w:leftChars="0" w:firstLine="422" w:firstLineChars="200"/>
        <w:rPr>
          <w:highlight w:val="none"/>
        </w:rPr>
      </w:pPr>
      <w:r>
        <w:rPr>
          <w:rFonts w:hint="eastAsia" w:ascii="楷体" w:hAnsi="楷体" w:eastAsia="楷体"/>
          <w:b/>
          <w:color w:val="auto"/>
          <w:sz w:val="21"/>
          <w:szCs w:val="21"/>
          <w:highlight w:val="none"/>
          <w:u w:val="single"/>
        </w:rPr>
        <w:t>上述情况假设仅用于向投资者示例收益计算方法之用，并不代表管理人对实际投资情况的预期判断，</w:t>
      </w:r>
      <w:r>
        <w:rPr>
          <w:rFonts w:hint="eastAsia" w:ascii="楷体" w:hAnsi="楷体" w:eastAsia="楷体"/>
          <w:b/>
          <w:color w:val="auto"/>
          <w:sz w:val="21"/>
          <w:szCs w:val="21"/>
          <w:highlight w:val="none"/>
          <w:u w:val="single"/>
          <w:lang w:val="en-US" w:eastAsia="zh-CN"/>
        </w:rPr>
        <w:t>也不代表</w:t>
      </w:r>
      <w:r>
        <w:rPr>
          <w:rFonts w:hint="eastAsia" w:ascii="楷体" w:hAnsi="楷体" w:eastAsia="楷体"/>
          <w:b/>
          <w:color w:val="auto"/>
          <w:sz w:val="21"/>
          <w:szCs w:val="21"/>
          <w:highlight w:val="none"/>
          <w:u w:val="single"/>
        </w:rPr>
        <w:t>以上所有情形或某一情形一定会发生，或管理人认为发生的可能性很大。投资者获得的最终收益以产品实际运作表现及管理人实际支付为准。</w:t>
      </w:r>
    </w:p>
    <w:p>
      <w:pPr>
        <w:keepNext w:val="0"/>
        <w:keepLines w:val="0"/>
        <w:pageBreakBefore w:val="0"/>
        <w:widowControl w:val="0"/>
        <w:numPr>
          <w:ilvl w:val="0"/>
          <w:numId w:val="2"/>
        </w:numPr>
        <w:tabs>
          <w:tab w:val="left" w:pos="1428"/>
          <w:tab w:val="clear" w:pos="0"/>
        </w:tabs>
        <w:kinsoku/>
        <w:wordWrap/>
        <w:overflowPunct/>
        <w:topLinePunct w:val="0"/>
        <w:autoSpaceDE/>
        <w:autoSpaceDN/>
        <w:bidi w:val="0"/>
        <w:adjustRightInd/>
        <w:snapToGrid/>
        <w:ind w:left="0" w:leftChars="0" w:firstLine="422" w:firstLineChars="200"/>
        <w:textAlignment w:val="auto"/>
        <w:outlineLvl w:val="1"/>
        <w:rPr>
          <w:rFonts w:ascii="楷体" w:hAnsi="楷体" w:eastAsia="楷体" w:cs="Calibri"/>
          <w:b w:val="0"/>
          <w:bCs/>
          <w:sz w:val="21"/>
          <w:szCs w:val="21"/>
          <w:highlight w:val="none"/>
        </w:rPr>
      </w:pPr>
      <w:r>
        <w:rPr>
          <w:rFonts w:hint="eastAsia" w:ascii="楷体" w:hAnsi="楷体" w:eastAsia="楷体"/>
          <w:b/>
          <w:sz w:val="21"/>
          <w:szCs w:val="21"/>
          <w:highlight w:val="none"/>
        </w:rPr>
        <w:t>产品费用</w:t>
      </w:r>
    </w:p>
    <w:p>
      <w:pPr>
        <w:ind w:firstLine="420" w:firstLineChars="200"/>
        <w:rPr>
          <w:rFonts w:hint="default" w:ascii="楷体" w:hAnsi="楷体" w:eastAsia="楷体" w:cs="Calibri"/>
          <w:b w:val="0"/>
          <w:bCs/>
          <w:sz w:val="21"/>
          <w:szCs w:val="21"/>
          <w:highlight w:val="none"/>
          <w:lang w:val="en-US" w:eastAsia="zh-CN"/>
        </w:rPr>
      </w:pPr>
      <w:r>
        <w:rPr>
          <w:rFonts w:hint="eastAsia" w:ascii="楷体" w:hAnsi="楷体" w:eastAsia="楷体"/>
          <w:b w:val="0"/>
          <w:bCs/>
          <w:sz w:val="21"/>
          <w:szCs w:val="21"/>
          <w:highlight w:val="none"/>
        </w:rPr>
        <w:t>本产品费用包括托管费、销售服务费、投资管理费、超额业绩报酬（如有）以及产品运作和清算中产生的其他费用等。</w:t>
      </w:r>
      <w:r>
        <w:rPr>
          <w:rFonts w:hint="eastAsia" w:ascii="楷体" w:hAnsi="楷体" w:eastAsia="楷体" w:cs="Calibri"/>
          <w:b w:val="0"/>
          <w:bCs/>
          <w:sz w:val="21"/>
          <w:szCs w:val="21"/>
          <w:highlight w:val="none"/>
        </w:rPr>
        <w:t>计提方法</w:t>
      </w:r>
      <w:r>
        <w:rPr>
          <w:rFonts w:hint="eastAsia" w:ascii="楷体" w:hAnsi="楷体" w:eastAsia="楷体" w:cs="Calibri"/>
          <w:b w:val="0"/>
          <w:bCs/>
          <w:sz w:val="21"/>
          <w:szCs w:val="21"/>
          <w:highlight w:val="none"/>
          <w:lang w:val="en-US" w:eastAsia="zh-CN"/>
        </w:rPr>
        <w:t>如下：</w:t>
      </w:r>
    </w:p>
    <w:p>
      <w:pPr>
        <w:keepNext w:val="0"/>
        <w:keepLines w:val="0"/>
        <w:pageBreakBefore w:val="0"/>
        <w:widowControl w:val="0"/>
        <w:numPr>
          <w:ilvl w:val="0"/>
          <w:numId w:val="13"/>
        </w:numPr>
        <w:tabs>
          <w:tab w:val="left" w:pos="728"/>
          <w:tab w:val="clear" w:pos="420"/>
        </w:tabs>
        <w:kinsoku/>
        <w:wordWrap/>
        <w:overflowPunct/>
        <w:topLinePunct w:val="0"/>
        <w:autoSpaceDE/>
        <w:autoSpaceDN/>
        <w:bidi w:val="0"/>
        <w:adjustRightInd/>
        <w:snapToGrid/>
        <w:ind w:left="0" w:leftChars="0" w:firstLine="420" w:firstLineChars="200"/>
        <w:textAlignment w:val="auto"/>
        <w:rPr>
          <w:rFonts w:hint="eastAsia" w:ascii="楷体" w:hAnsi="楷体" w:eastAsia="楷体"/>
          <w:sz w:val="21"/>
          <w:szCs w:val="21"/>
          <w:highlight w:val="none"/>
        </w:rPr>
      </w:pPr>
      <w:r>
        <w:rPr>
          <w:rFonts w:hint="eastAsia" w:ascii="楷体" w:hAnsi="楷体" w:eastAsia="楷体" w:cs="Calibri"/>
          <w:color w:val="auto"/>
          <w:sz w:val="21"/>
          <w:szCs w:val="21"/>
          <w:highlight w:val="none"/>
        </w:rPr>
        <w:t>托管费：每日计提，</w:t>
      </w:r>
      <w:r>
        <w:rPr>
          <w:rFonts w:hint="eastAsia" w:ascii="楷体" w:hAnsi="楷体" w:eastAsia="楷体"/>
          <w:sz w:val="21"/>
          <w:szCs w:val="21"/>
          <w:highlight w:val="none"/>
        </w:rPr>
        <w:t>每日应计提的托管费＝前一日的产品资产净值×托管费率÷</w:t>
      </w:r>
      <w:r>
        <w:rPr>
          <w:rFonts w:ascii="楷体" w:hAnsi="楷体" w:eastAsia="楷体"/>
          <w:sz w:val="21"/>
          <w:szCs w:val="21"/>
          <w:highlight w:val="none"/>
        </w:rPr>
        <w:t>365</w:t>
      </w:r>
    </w:p>
    <w:p>
      <w:pPr>
        <w:keepNext w:val="0"/>
        <w:keepLines w:val="0"/>
        <w:pageBreakBefore w:val="0"/>
        <w:widowControl w:val="0"/>
        <w:numPr>
          <w:ilvl w:val="0"/>
          <w:numId w:val="13"/>
        </w:numPr>
        <w:tabs>
          <w:tab w:val="left" w:pos="728"/>
          <w:tab w:val="clear" w:pos="420"/>
        </w:tabs>
        <w:kinsoku/>
        <w:wordWrap/>
        <w:overflowPunct/>
        <w:topLinePunct w:val="0"/>
        <w:autoSpaceDE/>
        <w:autoSpaceDN/>
        <w:bidi w:val="0"/>
        <w:adjustRightInd/>
        <w:snapToGrid/>
        <w:ind w:left="0" w:leftChars="0" w:firstLine="420" w:firstLineChars="200"/>
        <w:textAlignment w:val="auto"/>
        <w:rPr>
          <w:rFonts w:ascii="楷体" w:hAnsi="楷体" w:eastAsia="楷体"/>
          <w:sz w:val="21"/>
          <w:szCs w:val="21"/>
          <w:highlight w:val="none"/>
        </w:rPr>
      </w:pPr>
      <w:r>
        <w:rPr>
          <w:rFonts w:hint="eastAsia" w:ascii="楷体" w:hAnsi="楷体" w:eastAsia="楷体" w:cs="Calibri"/>
          <w:color w:val="auto"/>
          <w:sz w:val="21"/>
          <w:szCs w:val="21"/>
          <w:highlight w:val="none"/>
        </w:rPr>
        <w:t>销售服务费：每日计提</w:t>
      </w:r>
      <w:r>
        <w:rPr>
          <w:rFonts w:hint="eastAsia" w:ascii="楷体" w:hAnsi="楷体" w:eastAsia="楷体" w:cs="Calibri"/>
          <w:color w:val="auto"/>
          <w:sz w:val="21"/>
          <w:szCs w:val="21"/>
          <w:highlight w:val="none"/>
          <w:lang w:eastAsia="zh-CN"/>
        </w:rPr>
        <w:t>，</w:t>
      </w:r>
      <w:r>
        <w:rPr>
          <w:rFonts w:hint="eastAsia" w:ascii="楷体" w:hAnsi="楷体" w:eastAsia="楷体"/>
          <w:sz w:val="21"/>
          <w:szCs w:val="21"/>
          <w:highlight w:val="none"/>
        </w:rPr>
        <w:t>每日应计提的销售服务费＝前一日的产品资产净值×销售服务费率÷</w:t>
      </w:r>
      <w:r>
        <w:rPr>
          <w:rFonts w:ascii="楷体" w:hAnsi="楷体" w:eastAsia="楷体"/>
          <w:sz w:val="21"/>
          <w:szCs w:val="21"/>
          <w:highlight w:val="none"/>
        </w:rPr>
        <w:t>365</w:t>
      </w:r>
    </w:p>
    <w:p>
      <w:pPr>
        <w:keepNext w:val="0"/>
        <w:keepLines w:val="0"/>
        <w:pageBreakBefore w:val="0"/>
        <w:widowControl w:val="0"/>
        <w:numPr>
          <w:ilvl w:val="0"/>
          <w:numId w:val="13"/>
        </w:numPr>
        <w:tabs>
          <w:tab w:val="left" w:pos="728"/>
          <w:tab w:val="clear" w:pos="420"/>
        </w:tabs>
        <w:kinsoku/>
        <w:wordWrap/>
        <w:overflowPunct/>
        <w:topLinePunct w:val="0"/>
        <w:autoSpaceDE/>
        <w:autoSpaceDN/>
        <w:bidi w:val="0"/>
        <w:adjustRightInd/>
        <w:snapToGrid/>
        <w:ind w:left="0" w:leftChars="0" w:firstLine="420" w:firstLineChars="200"/>
        <w:textAlignment w:val="auto"/>
        <w:rPr>
          <w:rFonts w:hint="eastAsia" w:ascii="楷体" w:hAnsi="楷体" w:eastAsia="楷体" w:cs="Calibri"/>
          <w:color w:val="auto"/>
          <w:sz w:val="21"/>
          <w:szCs w:val="21"/>
          <w:highlight w:val="none"/>
        </w:rPr>
      </w:pPr>
      <w:r>
        <w:rPr>
          <w:rFonts w:hint="eastAsia" w:ascii="楷体" w:hAnsi="楷体" w:eastAsia="楷体" w:cs="Calibri"/>
          <w:color w:val="auto"/>
          <w:sz w:val="21"/>
          <w:szCs w:val="21"/>
          <w:highlight w:val="none"/>
        </w:rPr>
        <w:t>投资管理费：每日计提，每日应计提的投资管理费＝前一日的产品资产净值×投资管理费率÷365</w:t>
      </w:r>
    </w:p>
    <w:p>
      <w:pPr>
        <w:keepNext w:val="0"/>
        <w:keepLines w:val="0"/>
        <w:pageBreakBefore w:val="0"/>
        <w:widowControl w:val="0"/>
        <w:numPr>
          <w:ilvl w:val="0"/>
          <w:numId w:val="13"/>
        </w:numPr>
        <w:tabs>
          <w:tab w:val="left" w:pos="728"/>
          <w:tab w:val="clear" w:pos="420"/>
        </w:tabs>
        <w:kinsoku/>
        <w:wordWrap/>
        <w:overflowPunct/>
        <w:topLinePunct w:val="0"/>
        <w:autoSpaceDE/>
        <w:autoSpaceDN/>
        <w:bidi w:val="0"/>
        <w:adjustRightInd/>
        <w:snapToGrid/>
        <w:ind w:left="0" w:leftChars="0" w:firstLine="420" w:firstLineChars="200"/>
        <w:textAlignment w:val="auto"/>
        <w:rPr>
          <w:rFonts w:hint="eastAsia" w:ascii="楷体" w:hAnsi="楷体" w:eastAsia="楷体" w:cs="Calibri"/>
          <w:color w:val="auto"/>
          <w:sz w:val="21"/>
          <w:szCs w:val="21"/>
          <w:highlight w:val="none"/>
        </w:rPr>
      </w:pPr>
      <w:r>
        <w:rPr>
          <w:rFonts w:hint="eastAsia" w:ascii="楷体" w:hAnsi="楷体" w:eastAsia="楷体" w:cs="Calibri"/>
          <w:color w:val="auto"/>
          <w:sz w:val="21"/>
          <w:szCs w:val="21"/>
          <w:highlight w:val="none"/>
        </w:rPr>
        <w:t>超额业绩报酬</w:t>
      </w:r>
      <w:r>
        <w:rPr>
          <w:rFonts w:hint="eastAsia" w:ascii="楷体" w:hAnsi="楷体" w:eastAsia="楷体" w:cs="Calibri"/>
          <w:color w:val="auto"/>
          <w:sz w:val="21"/>
          <w:szCs w:val="21"/>
          <w:highlight w:val="none"/>
          <w:lang w:eastAsia="zh-CN"/>
        </w:rPr>
        <w:t>（</w:t>
      </w:r>
      <w:r>
        <w:rPr>
          <w:rFonts w:hint="eastAsia" w:ascii="楷体" w:hAnsi="楷体" w:eastAsia="楷体" w:cs="Calibri"/>
          <w:color w:val="auto"/>
          <w:sz w:val="21"/>
          <w:szCs w:val="21"/>
          <w:highlight w:val="none"/>
          <w:lang w:val="en-US" w:eastAsia="zh-CN"/>
        </w:rPr>
        <w:t>如有）</w:t>
      </w:r>
      <w:r>
        <w:rPr>
          <w:rFonts w:hint="eastAsia" w:ascii="楷体" w:hAnsi="楷体" w:eastAsia="楷体" w:cs="Calibri"/>
          <w:color w:val="auto"/>
          <w:sz w:val="21"/>
          <w:szCs w:val="21"/>
          <w:highlight w:val="none"/>
        </w:rPr>
        <w:t>：管理人按投资周期收取超额业绩报酬</w:t>
      </w:r>
      <w:r>
        <w:rPr>
          <w:rFonts w:hint="eastAsia" w:ascii="楷体" w:hAnsi="楷体" w:eastAsia="楷体" w:cs="Calibri"/>
          <w:color w:val="auto"/>
          <w:sz w:val="21"/>
          <w:szCs w:val="21"/>
          <w:highlight w:val="none"/>
          <w:lang w:eastAsia="zh-CN"/>
        </w:rPr>
        <w:t>，</w:t>
      </w:r>
      <w:r>
        <w:rPr>
          <w:rFonts w:hint="eastAsia" w:ascii="楷体" w:hAnsi="楷体" w:eastAsia="楷体" w:cs="Calibri"/>
          <w:color w:val="auto"/>
          <w:sz w:val="21"/>
          <w:szCs w:val="21"/>
          <w:highlight w:val="none"/>
          <w:lang w:val="en-US" w:eastAsia="zh-CN"/>
        </w:rPr>
        <w:t>超额业绩报酬计算详见“产品要素”。</w:t>
      </w:r>
    </w:p>
    <w:p>
      <w:pPr>
        <w:keepNext w:val="0"/>
        <w:keepLines w:val="0"/>
        <w:pageBreakBefore w:val="0"/>
        <w:widowControl w:val="0"/>
        <w:numPr>
          <w:ilvl w:val="0"/>
          <w:numId w:val="13"/>
        </w:numPr>
        <w:tabs>
          <w:tab w:val="left" w:pos="728"/>
          <w:tab w:val="clear" w:pos="420"/>
        </w:tabs>
        <w:kinsoku/>
        <w:wordWrap/>
        <w:overflowPunct/>
        <w:topLinePunct w:val="0"/>
        <w:autoSpaceDE/>
        <w:autoSpaceDN/>
        <w:bidi w:val="0"/>
        <w:adjustRightInd/>
        <w:snapToGrid/>
        <w:ind w:left="0" w:leftChars="0" w:firstLine="420" w:firstLineChars="200"/>
        <w:textAlignment w:val="auto"/>
        <w:rPr>
          <w:rFonts w:hint="eastAsia" w:ascii="楷体" w:hAnsi="楷体" w:eastAsia="楷体" w:cs="Calibri"/>
          <w:color w:val="auto"/>
          <w:sz w:val="21"/>
          <w:szCs w:val="21"/>
          <w:highlight w:val="none"/>
        </w:rPr>
      </w:pPr>
      <w:r>
        <w:rPr>
          <w:rFonts w:hint="eastAsia" w:ascii="楷体" w:hAnsi="楷体" w:eastAsia="楷体" w:cs="Calibri"/>
          <w:color w:val="auto"/>
          <w:sz w:val="21"/>
          <w:szCs w:val="21"/>
          <w:highlight w:val="none"/>
        </w:rPr>
        <w:t>产品运作和清算中产生的交易手续费、注册登记费、账户服务费、审计费、及其他应由本产品承担的费用从产品中列支。</w:t>
      </w:r>
    </w:p>
    <w:p>
      <w:pPr>
        <w:keepNext w:val="0"/>
        <w:keepLines w:val="0"/>
        <w:pageBreakBefore w:val="0"/>
        <w:widowControl w:val="0"/>
        <w:numPr>
          <w:ilvl w:val="0"/>
          <w:numId w:val="13"/>
        </w:numPr>
        <w:tabs>
          <w:tab w:val="left" w:pos="728"/>
          <w:tab w:val="clear" w:pos="420"/>
        </w:tabs>
        <w:kinsoku/>
        <w:wordWrap/>
        <w:overflowPunct/>
        <w:topLinePunct w:val="0"/>
        <w:autoSpaceDE/>
        <w:autoSpaceDN/>
        <w:bidi w:val="0"/>
        <w:adjustRightInd/>
        <w:snapToGrid/>
        <w:ind w:left="0" w:leftChars="0" w:firstLine="420" w:firstLineChars="200"/>
        <w:textAlignment w:val="auto"/>
        <w:rPr>
          <w:rFonts w:hint="eastAsia" w:ascii="楷体" w:hAnsi="楷体" w:eastAsia="楷体" w:cs="Calibri"/>
          <w:color w:val="auto"/>
          <w:sz w:val="21"/>
          <w:szCs w:val="21"/>
          <w:highlight w:val="none"/>
        </w:rPr>
      </w:pPr>
      <w:r>
        <w:rPr>
          <w:rFonts w:hint="eastAsia" w:ascii="楷体" w:hAnsi="楷体" w:eastAsia="楷体" w:cs="Calibri"/>
          <w:color w:val="auto"/>
          <w:sz w:val="21"/>
          <w:szCs w:val="21"/>
          <w:highlight w:val="none"/>
        </w:rPr>
        <w:t>本产品不收取认购费用、申购费用、赎回费用。</w:t>
      </w:r>
    </w:p>
    <w:p>
      <w:pPr>
        <w:keepNext w:val="0"/>
        <w:keepLines w:val="0"/>
        <w:pageBreakBefore w:val="0"/>
        <w:widowControl w:val="0"/>
        <w:numPr>
          <w:ilvl w:val="0"/>
          <w:numId w:val="13"/>
        </w:numPr>
        <w:tabs>
          <w:tab w:val="left" w:pos="728"/>
          <w:tab w:val="clear" w:pos="420"/>
        </w:tabs>
        <w:kinsoku/>
        <w:wordWrap/>
        <w:overflowPunct/>
        <w:topLinePunct w:val="0"/>
        <w:autoSpaceDE/>
        <w:autoSpaceDN/>
        <w:bidi w:val="0"/>
        <w:adjustRightInd/>
        <w:snapToGrid/>
        <w:ind w:left="0" w:leftChars="0" w:firstLine="420" w:firstLineChars="200"/>
        <w:textAlignment w:val="auto"/>
        <w:rPr>
          <w:rFonts w:hint="eastAsia" w:ascii="楷体" w:hAnsi="楷体" w:eastAsia="楷体" w:cs="Calibri"/>
          <w:color w:val="auto"/>
          <w:sz w:val="21"/>
          <w:szCs w:val="21"/>
          <w:highlight w:val="none"/>
        </w:rPr>
      </w:pPr>
      <w:r>
        <w:rPr>
          <w:rFonts w:hint="eastAsia" w:ascii="楷体" w:hAnsi="楷体" w:eastAsia="楷体" w:cs="Calibri"/>
          <w:color w:val="auto"/>
          <w:sz w:val="21"/>
          <w:szCs w:val="21"/>
          <w:highlight w:val="none"/>
          <w:lang w:val="en-US" w:eastAsia="zh-CN"/>
        </w:rPr>
        <w:t>费用计算</w:t>
      </w:r>
      <w:r>
        <w:rPr>
          <w:rFonts w:hint="eastAsia" w:ascii="楷体" w:hAnsi="楷体" w:eastAsia="楷体" w:cs="Calibri"/>
          <w:color w:val="auto"/>
          <w:sz w:val="21"/>
          <w:szCs w:val="21"/>
          <w:highlight w:val="none"/>
        </w:rPr>
        <w:t>四舍五入保留至小数点后两位</w:t>
      </w:r>
      <w:r>
        <w:rPr>
          <w:rFonts w:hint="eastAsia" w:ascii="楷体" w:hAnsi="楷体" w:eastAsia="楷体" w:cs="Calibri"/>
          <w:color w:val="auto"/>
          <w:sz w:val="21"/>
          <w:szCs w:val="21"/>
          <w:highlight w:val="none"/>
          <w:lang w:eastAsia="zh-CN"/>
        </w:rPr>
        <w:t>。</w:t>
      </w:r>
    </w:p>
    <w:p>
      <w:pPr>
        <w:ind w:firstLine="420" w:firstLineChars="200"/>
        <w:rPr>
          <w:rFonts w:hint="default" w:eastAsia="楷体"/>
          <w:sz w:val="21"/>
          <w:szCs w:val="21"/>
          <w:highlight w:val="none"/>
          <w:lang w:val="en-US" w:eastAsia="zh-CN"/>
        </w:rPr>
      </w:pPr>
      <w:r>
        <w:rPr>
          <w:rFonts w:hint="eastAsia" w:ascii="楷体" w:hAnsi="楷体" w:eastAsia="楷体"/>
          <w:sz w:val="21"/>
          <w:szCs w:val="21"/>
          <w:highlight w:val="none"/>
        </w:rPr>
        <w:t>产品管理人有权根据市场情况等调整上述各项费用费率和超额业绩报酬收取方式及比例，产品管理人将于调整事项生效前2个工作日通过短信及苏银理财有限责任公司官方网站（www.suyinwealth.com）、销售机构电子渠道和营业网点等方式进行信息披露。如投资者不接受的，可在公告约定的期限内赎回本产品，此种情况下产品管理人可能开放赎回，具体以届时产品管理人公告为准。若本理财产品的投资者不接受上述调整，可及时通过销售机构赎回本产品；若本理财产品投资者未在约定的时间内赎回本产品，则视为本理财产品投资者接受相关调整且同意继续持有本理财产品。</w:t>
      </w:r>
    </w:p>
    <w:p>
      <w:pPr>
        <w:keepNext w:val="0"/>
        <w:keepLines w:val="0"/>
        <w:pageBreakBefore w:val="0"/>
        <w:widowControl w:val="0"/>
        <w:numPr>
          <w:ilvl w:val="0"/>
          <w:numId w:val="2"/>
        </w:numPr>
        <w:tabs>
          <w:tab w:val="left" w:pos="1428"/>
          <w:tab w:val="clear" w:pos="0"/>
        </w:tabs>
        <w:kinsoku/>
        <w:wordWrap/>
        <w:overflowPunct/>
        <w:topLinePunct w:val="0"/>
        <w:autoSpaceDE/>
        <w:autoSpaceDN/>
        <w:bidi w:val="0"/>
        <w:adjustRightInd/>
        <w:snapToGrid/>
        <w:ind w:left="0" w:leftChars="0" w:firstLine="422" w:firstLineChars="200"/>
        <w:textAlignment w:val="auto"/>
        <w:outlineLvl w:val="1"/>
        <w:rPr>
          <w:rFonts w:ascii="楷体" w:hAnsi="楷体" w:eastAsia="楷体"/>
          <w:b/>
          <w:sz w:val="21"/>
          <w:szCs w:val="21"/>
          <w:highlight w:val="none"/>
        </w:rPr>
      </w:pPr>
      <w:r>
        <w:rPr>
          <w:rFonts w:hint="eastAsia" w:ascii="楷体" w:hAnsi="楷体" w:eastAsia="楷体"/>
          <w:b/>
          <w:sz w:val="21"/>
          <w:szCs w:val="21"/>
          <w:highlight w:val="none"/>
        </w:rPr>
        <w:t>产品估值</w:t>
      </w:r>
    </w:p>
    <w:p>
      <w:pPr>
        <w:keepNext w:val="0"/>
        <w:keepLines w:val="0"/>
        <w:pageBreakBefore w:val="0"/>
        <w:widowControl w:val="0"/>
        <w:numPr>
          <w:ilvl w:val="0"/>
          <w:numId w:val="14"/>
        </w:numPr>
        <w:tabs>
          <w:tab w:val="left" w:pos="993"/>
        </w:tabs>
        <w:kinsoku/>
        <w:wordWrap/>
        <w:overflowPunct/>
        <w:topLinePunct w:val="0"/>
        <w:bidi w:val="0"/>
        <w:snapToGrid/>
        <w:ind w:left="0" w:firstLine="420" w:firstLineChars="200"/>
        <w:textAlignment w:val="auto"/>
        <w:outlineLvl w:val="2"/>
        <w:rPr>
          <w:rFonts w:hint="eastAsia" w:ascii="楷体" w:hAnsi="楷体" w:eastAsia="楷体" w:cs="Calibri"/>
          <w:b w:val="0"/>
          <w:bCs/>
          <w:sz w:val="21"/>
          <w:szCs w:val="21"/>
          <w:highlight w:val="none"/>
        </w:rPr>
      </w:pPr>
      <w:r>
        <w:rPr>
          <w:rFonts w:hint="eastAsia" w:ascii="楷体" w:hAnsi="楷体" w:eastAsia="楷体" w:cs="Calibri"/>
          <w:b w:val="0"/>
          <w:bCs/>
          <w:sz w:val="21"/>
          <w:szCs w:val="21"/>
          <w:highlight w:val="none"/>
        </w:rPr>
        <w:t>估值对象</w:t>
      </w:r>
    </w:p>
    <w:p>
      <w:pPr>
        <w:keepNext w:val="0"/>
        <w:keepLines w:val="0"/>
        <w:pageBreakBefore w:val="0"/>
        <w:widowControl w:val="0"/>
        <w:kinsoku/>
        <w:wordWrap/>
        <w:overflowPunct/>
        <w:topLinePunct w:val="0"/>
        <w:bidi w:val="0"/>
        <w:snapToGrid/>
        <w:ind w:firstLine="420" w:firstLineChars="200"/>
        <w:textAlignment w:val="auto"/>
        <w:rPr>
          <w:rFonts w:ascii="楷体" w:hAnsi="楷体" w:eastAsia="楷体"/>
          <w:sz w:val="21"/>
          <w:szCs w:val="21"/>
          <w:highlight w:val="none"/>
        </w:rPr>
      </w:pPr>
      <w:r>
        <w:rPr>
          <w:rFonts w:hint="eastAsia" w:ascii="楷体" w:hAnsi="楷体" w:eastAsia="楷体"/>
          <w:sz w:val="21"/>
          <w:szCs w:val="21"/>
          <w:highlight w:val="none"/>
        </w:rPr>
        <w:t>本产品所拥有的各类证券、银行存款、应收款项及其它资产及负债。</w:t>
      </w:r>
    </w:p>
    <w:p>
      <w:pPr>
        <w:keepNext w:val="0"/>
        <w:keepLines w:val="0"/>
        <w:pageBreakBefore w:val="0"/>
        <w:widowControl w:val="0"/>
        <w:numPr>
          <w:ilvl w:val="0"/>
          <w:numId w:val="14"/>
        </w:numPr>
        <w:tabs>
          <w:tab w:val="left" w:pos="993"/>
        </w:tabs>
        <w:kinsoku/>
        <w:wordWrap/>
        <w:overflowPunct/>
        <w:topLinePunct w:val="0"/>
        <w:bidi w:val="0"/>
        <w:snapToGrid/>
        <w:ind w:left="0" w:firstLine="420" w:firstLineChars="200"/>
        <w:textAlignment w:val="auto"/>
        <w:outlineLvl w:val="2"/>
        <w:rPr>
          <w:rFonts w:ascii="楷体" w:hAnsi="楷体" w:eastAsia="楷体" w:cs="Calibri"/>
          <w:b w:val="0"/>
          <w:bCs/>
          <w:sz w:val="21"/>
          <w:szCs w:val="21"/>
          <w:highlight w:val="none"/>
        </w:rPr>
      </w:pPr>
      <w:r>
        <w:rPr>
          <w:rFonts w:hint="eastAsia" w:ascii="楷体" w:hAnsi="楷体" w:eastAsia="楷体" w:cs="Calibri"/>
          <w:b w:val="0"/>
          <w:bCs/>
          <w:sz w:val="21"/>
          <w:szCs w:val="21"/>
          <w:highlight w:val="none"/>
        </w:rPr>
        <w:t>估值要求</w:t>
      </w:r>
    </w:p>
    <w:p>
      <w:pPr>
        <w:keepNext w:val="0"/>
        <w:keepLines w:val="0"/>
        <w:pageBreakBefore w:val="0"/>
        <w:widowControl w:val="0"/>
        <w:numPr>
          <w:ilvl w:val="0"/>
          <w:numId w:val="15"/>
        </w:numPr>
        <w:tabs>
          <w:tab w:val="left" w:pos="728"/>
          <w:tab w:val="clear" w:pos="420"/>
        </w:tabs>
        <w:kinsoku/>
        <w:wordWrap/>
        <w:overflowPunct/>
        <w:topLinePunct w:val="0"/>
        <w:autoSpaceDE/>
        <w:autoSpaceDN/>
        <w:bidi w:val="0"/>
        <w:adjustRightInd/>
        <w:snapToGrid/>
        <w:ind w:left="0" w:leftChars="0" w:firstLine="420" w:firstLineChars="200"/>
        <w:textAlignment w:val="auto"/>
        <w:rPr>
          <w:rFonts w:ascii="楷体" w:hAnsi="楷体" w:eastAsia="楷体" w:cs="Calibri"/>
          <w:sz w:val="21"/>
          <w:szCs w:val="21"/>
          <w:highlight w:val="none"/>
        </w:rPr>
      </w:pPr>
      <w:r>
        <w:rPr>
          <w:rFonts w:hint="eastAsia" w:ascii="楷体" w:hAnsi="楷体" w:eastAsia="楷体" w:cs="Calibri"/>
          <w:b w:val="0"/>
          <w:bCs w:val="0"/>
          <w:color w:val="auto"/>
          <w:sz w:val="21"/>
          <w:szCs w:val="21"/>
          <w:highlight w:val="none"/>
        </w:rPr>
        <w:t>本产品资产估值的目的是客观、准确</w:t>
      </w:r>
      <w:r>
        <w:rPr>
          <w:rFonts w:hint="eastAsia" w:ascii="楷体" w:hAnsi="楷体" w:eastAsia="楷体" w:cs="Calibri"/>
          <w:b w:val="0"/>
          <w:bCs w:val="0"/>
          <w:color w:val="auto"/>
          <w:sz w:val="21"/>
          <w:szCs w:val="21"/>
          <w:highlight w:val="none"/>
          <w:lang w:val="en-US" w:eastAsia="zh-CN"/>
        </w:rPr>
        <w:t>地</w:t>
      </w:r>
      <w:r>
        <w:rPr>
          <w:rFonts w:hint="eastAsia" w:ascii="楷体" w:hAnsi="楷体" w:eastAsia="楷体" w:cs="Calibri"/>
          <w:b w:val="0"/>
          <w:bCs w:val="0"/>
          <w:color w:val="auto"/>
          <w:sz w:val="21"/>
          <w:szCs w:val="21"/>
          <w:highlight w:val="none"/>
        </w:rPr>
        <w:t>反映资产净值，确定理财产品资产净值，并为理财产品的兑付提供计价依据</w:t>
      </w:r>
      <w:r>
        <w:rPr>
          <w:rFonts w:hint="eastAsia" w:ascii="楷体" w:hAnsi="楷体" w:eastAsia="楷体" w:cs="Calibri"/>
          <w:sz w:val="21"/>
          <w:szCs w:val="21"/>
          <w:highlight w:val="none"/>
        </w:rPr>
        <w:t>。</w:t>
      </w:r>
    </w:p>
    <w:p>
      <w:pPr>
        <w:keepNext w:val="0"/>
        <w:keepLines w:val="0"/>
        <w:pageBreakBefore w:val="0"/>
        <w:widowControl w:val="0"/>
        <w:numPr>
          <w:ilvl w:val="0"/>
          <w:numId w:val="15"/>
        </w:numPr>
        <w:tabs>
          <w:tab w:val="left" w:pos="728"/>
          <w:tab w:val="clear" w:pos="420"/>
        </w:tabs>
        <w:kinsoku/>
        <w:wordWrap/>
        <w:overflowPunct/>
        <w:topLinePunct w:val="0"/>
        <w:autoSpaceDE/>
        <w:autoSpaceDN/>
        <w:bidi w:val="0"/>
        <w:adjustRightInd/>
        <w:snapToGrid/>
        <w:ind w:left="0" w:leftChars="0" w:firstLine="420" w:firstLineChars="200"/>
        <w:textAlignment w:val="auto"/>
        <w:rPr>
          <w:rFonts w:ascii="楷体" w:hAnsi="楷体" w:eastAsia="楷体" w:cs="Calibri"/>
          <w:sz w:val="21"/>
          <w:szCs w:val="21"/>
          <w:highlight w:val="none"/>
        </w:rPr>
      </w:pPr>
      <w:r>
        <w:rPr>
          <w:rFonts w:hint="eastAsia" w:ascii="楷体" w:hAnsi="楷体" w:eastAsia="楷体" w:cs="Calibri"/>
          <w:sz w:val="21"/>
          <w:szCs w:val="21"/>
          <w:highlight w:val="none"/>
        </w:rPr>
        <w:t>本产品单位净值精确到小数点后</w:t>
      </w:r>
      <w:r>
        <w:rPr>
          <w:rFonts w:hint="eastAsia" w:ascii="楷体" w:hAnsi="楷体" w:eastAsia="楷体" w:cs="Calibri"/>
          <w:sz w:val="21"/>
          <w:szCs w:val="21"/>
          <w:highlight w:val="none"/>
          <w:lang w:val="en-US" w:eastAsia="zh-CN"/>
        </w:rPr>
        <w:t>6</w:t>
      </w:r>
      <w:r>
        <w:rPr>
          <w:rFonts w:hint="eastAsia" w:ascii="楷体" w:hAnsi="楷体" w:eastAsia="楷体" w:cs="Calibri"/>
          <w:sz w:val="21"/>
          <w:szCs w:val="21"/>
          <w:highlight w:val="none"/>
        </w:rPr>
        <w:t>位，小数点</w:t>
      </w:r>
      <w:r>
        <w:rPr>
          <w:rFonts w:hint="eastAsia" w:ascii="楷体" w:hAnsi="楷体" w:eastAsia="楷体" w:cs="Calibri"/>
          <w:sz w:val="21"/>
          <w:szCs w:val="21"/>
          <w:highlight w:val="none"/>
          <w:lang w:val="en-US" w:eastAsia="zh-CN"/>
        </w:rPr>
        <w:t>6</w:t>
      </w:r>
      <w:r>
        <w:rPr>
          <w:rFonts w:hint="eastAsia" w:ascii="楷体" w:hAnsi="楷体" w:eastAsia="楷体" w:cs="Calibri"/>
          <w:sz w:val="21"/>
          <w:szCs w:val="21"/>
          <w:highlight w:val="none"/>
        </w:rPr>
        <w:t>位后截位。</w:t>
      </w:r>
    </w:p>
    <w:p>
      <w:pPr>
        <w:keepNext w:val="0"/>
        <w:keepLines w:val="0"/>
        <w:pageBreakBefore w:val="0"/>
        <w:widowControl w:val="0"/>
        <w:numPr>
          <w:ilvl w:val="0"/>
          <w:numId w:val="14"/>
        </w:numPr>
        <w:tabs>
          <w:tab w:val="left" w:pos="993"/>
        </w:tabs>
        <w:kinsoku/>
        <w:wordWrap/>
        <w:overflowPunct/>
        <w:topLinePunct w:val="0"/>
        <w:bidi w:val="0"/>
        <w:snapToGrid/>
        <w:ind w:left="0" w:firstLine="420" w:firstLineChars="200"/>
        <w:textAlignment w:val="auto"/>
        <w:outlineLvl w:val="2"/>
        <w:rPr>
          <w:rFonts w:ascii="楷体" w:hAnsi="楷体" w:eastAsia="楷体" w:cs="Calibri"/>
          <w:b w:val="0"/>
          <w:bCs/>
          <w:sz w:val="21"/>
          <w:szCs w:val="21"/>
          <w:highlight w:val="none"/>
        </w:rPr>
      </w:pPr>
      <w:r>
        <w:rPr>
          <w:rFonts w:hint="eastAsia" w:ascii="楷体" w:hAnsi="楷体" w:eastAsia="楷体" w:cs="Calibri"/>
          <w:b w:val="0"/>
          <w:bCs/>
          <w:sz w:val="21"/>
          <w:szCs w:val="21"/>
          <w:highlight w:val="none"/>
        </w:rPr>
        <w:t>估值方法</w:t>
      </w:r>
    </w:p>
    <w:p>
      <w:pPr>
        <w:keepNext w:val="0"/>
        <w:keepLines w:val="0"/>
        <w:pageBreakBefore w:val="0"/>
        <w:widowControl w:val="0"/>
        <w:numPr>
          <w:ilvl w:val="0"/>
          <w:numId w:val="16"/>
        </w:numPr>
        <w:tabs>
          <w:tab w:val="left" w:pos="728"/>
          <w:tab w:val="clear" w:pos="420"/>
        </w:tabs>
        <w:kinsoku/>
        <w:wordWrap/>
        <w:overflowPunct/>
        <w:topLinePunct w:val="0"/>
        <w:autoSpaceDE/>
        <w:autoSpaceDN/>
        <w:bidi w:val="0"/>
        <w:adjustRightInd/>
        <w:snapToGrid/>
        <w:ind w:left="0" w:leftChars="0" w:firstLine="420" w:firstLineChars="200"/>
        <w:textAlignment w:val="auto"/>
        <w:rPr>
          <w:rFonts w:ascii="楷体" w:hAnsi="楷体" w:eastAsia="楷体" w:cs="Calibri"/>
          <w:sz w:val="21"/>
          <w:szCs w:val="21"/>
          <w:highlight w:val="none"/>
        </w:rPr>
      </w:pPr>
      <w:r>
        <w:rPr>
          <w:rFonts w:hint="eastAsia" w:ascii="楷体" w:hAnsi="楷体" w:eastAsia="楷体" w:cs="Calibri"/>
          <w:sz w:val="21"/>
          <w:szCs w:val="21"/>
          <w:highlight w:val="none"/>
        </w:rPr>
        <w:t>存款类资产、货币市场工具：以本金列示，逐日计提利息。</w:t>
      </w:r>
    </w:p>
    <w:p>
      <w:pPr>
        <w:keepNext w:val="0"/>
        <w:keepLines w:val="0"/>
        <w:pageBreakBefore w:val="0"/>
        <w:widowControl w:val="0"/>
        <w:numPr>
          <w:ilvl w:val="0"/>
          <w:numId w:val="16"/>
        </w:numPr>
        <w:tabs>
          <w:tab w:val="left" w:pos="728"/>
          <w:tab w:val="clear" w:pos="420"/>
        </w:tabs>
        <w:kinsoku/>
        <w:wordWrap/>
        <w:overflowPunct/>
        <w:topLinePunct w:val="0"/>
        <w:autoSpaceDE/>
        <w:autoSpaceDN/>
        <w:bidi w:val="0"/>
        <w:adjustRightInd/>
        <w:snapToGrid/>
        <w:ind w:left="0" w:leftChars="0" w:firstLine="420" w:firstLineChars="200"/>
        <w:textAlignment w:val="auto"/>
        <w:rPr>
          <w:rFonts w:hint="eastAsia" w:ascii="楷体" w:hAnsi="楷体" w:eastAsia="楷体" w:cs="Calibri"/>
          <w:sz w:val="21"/>
          <w:szCs w:val="21"/>
          <w:highlight w:val="none"/>
        </w:rPr>
      </w:pPr>
      <w:r>
        <w:rPr>
          <w:rFonts w:hint="eastAsia" w:ascii="楷体" w:hAnsi="楷体" w:eastAsia="楷体" w:cs="Calibri"/>
          <w:sz w:val="21"/>
          <w:szCs w:val="21"/>
          <w:highlight w:val="none"/>
        </w:rPr>
        <w:t>货币市场基金：以估值截止时间点能够取得的最新每万份收益进行估值。</w:t>
      </w:r>
    </w:p>
    <w:p>
      <w:pPr>
        <w:keepNext w:val="0"/>
        <w:keepLines w:val="0"/>
        <w:pageBreakBefore w:val="0"/>
        <w:widowControl w:val="0"/>
        <w:numPr>
          <w:ilvl w:val="0"/>
          <w:numId w:val="16"/>
        </w:numPr>
        <w:tabs>
          <w:tab w:val="left" w:pos="728"/>
          <w:tab w:val="clear" w:pos="420"/>
        </w:tabs>
        <w:kinsoku/>
        <w:wordWrap/>
        <w:overflowPunct/>
        <w:topLinePunct w:val="0"/>
        <w:autoSpaceDE/>
        <w:autoSpaceDN/>
        <w:bidi w:val="0"/>
        <w:adjustRightInd/>
        <w:snapToGrid/>
        <w:ind w:left="0" w:leftChars="0" w:firstLine="420" w:firstLineChars="200"/>
        <w:textAlignment w:val="auto"/>
        <w:rPr>
          <w:rFonts w:hint="eastAsia" w:ascii="楷体" w:hAnsi="楷体" w:eastAsia="楷体" w:cs="Calibri"/>
          <w:sz w:val="21"/>
          <w:szCs w:val="21"/>
          <w:highlight w:val="none"/>
        </w:rPr>
      </w:pPr>
      <w:r>
        <w:rPr>
          <w:rFonts w:hint="eastAsia" w:ascii="楷体" w:hAnsi="楷体" w:eastAsia="楷体" w:cs="Calibri"/>
          <w:sz w:val="21"/>
          <w:szCs w:val="21"/>
          <w:highlight w:val="none"/>
        </w:rPr>
        <w:t>债券类资产：按公允价值进行估值，采用市价、第三方估值机构提供的估值价格、合理的估值技术或监管机构认可的其他估值方法进行估值。</w:t>
      </w:r>
    </w:p>
    <w:p>
      <w:pPr>
        <w:keepNext w:val="0"/>
        <w:keepLines w:val="0"/>
        <w:pageBreakBefore w:val="0"/>
        <w:widowControl w:val="0"/>
        <w:numPr>
          <w:ilvl w:val="0"/>
          <w:numId w:val="16"/>
        </w:numPr>
        <w:tabs>
          <w:tab w:val="left" w:pos="728"/>
          <w:tab w:val="clear" w:pos="420"/>
        </w:tabs>
        <w:kinsoku/>
        <w:wordWrap/>
        <w:overflowPunct/>
        <w:topLinePunct w:val="0"/>
        <w:autoSpaceDE/>
        <w:autoSpaceDN/>
        <w:bidi w:val="0"/>
        <w:adjustRightInd/>
        <w:snapToGrid/>
        <w:ind w:left="0" w:leftChars="0" w:firstLine="420" w:firstLineChars="200"/>
        <w:textAlignment w:val="auto"/>
        <w:rPr>
          <w:rFonts w:hint="eastAsia" w:ascii="楷体" w:hAnsi="楷体" w:eastAsia="楷体" w:cs="Calibri"/>
          <w:sz w:val="21"/>
          <w:szCs w:val="21"/>
          <w:highlight w:val="none"/>
        </w:rPr>
      </w:pPr>
      <w:r>
        <w:rPr>
          <w:rFonts w:hint="eastAsia" w:ascii="楷体" w:hAnsi="楷体" w:eastAsia="楷体" w:cs="Calibri"/>
          <w:sz w:val="21"/>
          <w:szCs w:val="21"/>
          <w:highlight w:val="none"/>
        </w:rPr>
        <w:t>债权类资产：按公允价值进行估值，采用合理的估值技术或监管机构认可的估值方法进行估值。</w:t>
      </w:r>
    </w:p>
    <w:p>
      <w:pPr>
        <w:keepNext w:val="0"/>
        <w:keepLines w:val="0"/>
        <w:pageBreakBefore w:val="0"/>
        <w:widowControl w:val="0"/>
        <w:numPr>
          <w:ilvl w:val="0"/>
          <w:numId w:val="16"/>
        </w:numPr>
        <w:tabs>
          <w:tab w:val="left" w:pos="728"/>
          <w:tab w:val="clear" w:pos="420"/>
        </w:tabs>
        <w:kinsoku/>
        <w:wordWrap/>
        <w:overflowPunct/>
        <w:topLinePunct w:val="0"/>
        <w:autoSpaceDE/>
        <w:autoSpaceDN/>
        <w:bidi w:val="0"/>
        <w:adjustRightInd/>
        <w:snapToGrid/>
        <w:ind w:left="0" w:leftChars="0" w:firstLine="420" w:firstLineChars="200"/>
        <w:textAlignment w:val="auto"/>
        <w:rPr>
          <w:rFonts w:hint="eastAsia" w:ascii="楷体" w:hAnsi="楷体" w:eastAsia="楷体" w:cs="Calibri"/>
          <w:sz w:val="21"/>
          <w:szCs w:val="21"/>
          <w:highlight w:val="none"/>
        </w:rPr>
      </w:pPr>
      <w:r>
        <w:rPr>
          <w:rFonts w:hint="eastAsia" w:ascii="楷体" w:hAnsi="楷体" w:eastAsia="楷体" w:cs="Calibri"/>
          <w:sz w:val="21"/>
          <w:szCs w:val="21"/>
          <w:highlight w:val="none"/>
        </w:rPr>
        <w:t>证券、基金、保险等资产管理计划和信托计划等资产（不含货币市场基金）：按照证券、基金、保险等资产管理计划和信托计划的管理人和托管人共同确认的最新净值或投资收益进行估值。</w:t>
      </w:r>
    </w:p>
    <w:p>
      <w:pPr>
        <w:keepNext w:val="0"/>
        <w:keepLines w:val="0"/>
        <w:pageBreakBefore w:val="0"/>
        <w:widowControl w:val="0"/>
        <w:numPr>
          <w:ilvl w:val="0"/>
          <w:numId w:val="16"/>
        </w:numPr>
        <w:tabs>
          <w:tab w:val="left" w:pos="728"/>
          <w:tab w:val="clear" w:pos="420"/>
        </w:tabs>
        <w:kinsoku/>
        <w:wordWrap/>
        <w:overflowPunct/>
        <w:topLinePunct w:val="0"/>
        <w:autoSpaceDE/>
        <w:autoSpaceDN/>
        <w:bidi w:val="0"/>
        <w:adjustRightInd/>
        <w:snapToGrid/>
        <w:ind w:left="0" w:leftChars="0" w:firstLine="420" w:firstLineChars="200"/>
        <w:textAlignment w:val="auto"/>
        <w:rPr>
          <w:rFonts w:ascii="楷体" w:hAnsi="楷体" w:eastAsia="楷体" w:cs="Calibri"/>
          <w:sz w:val="21"/>
          <w:szCs w:val="21"/>
          <w:highlight w:val="none"/>
        </w:rPr>
      </w:pPr>
      <w:r>
        <w:rPr>
          <w:rFonts w:hint="eastAsia" w:ascii="楷体" w:hAnsi="楷体" w:eastAsia="楷体" w:cs="Calibri"/>
          <w:sz w:val="21"/>
          <w:szCs w:val="21"/>
          <w:highlight w:val="none"/>
        </w:rPr>
        <w:t>商品及衍生品类资产：按公允价值进行估值，采用市价、第三方估值机构提供的估值价格、合理的估值技术或监管机构认可的其他估值方法进行估值。</w:t>
      </w:r>
    </w:p>
    <w:p>
      <w:pPr>
        <w:keepNext w:val="0"/>
        <w:keepLines w:val="0"/>
        <w:pageBreakBefore w:val="0"/>
        <w:widowControl w:val="0"/>
        <w:numPr>
          <w:ilvl w:val="0"/>
          <w:numId w:val="16"/>
        </w:numPr>
        <w:tabs>
          <w:tab w:val="left" w:pos="728"/>
          <w:tab w:val="clear" w:pos="420"/>
        </w:tabs>
        <w:kinsoku/>
        <w:wordWrap/>
        <w:overflowPunct/>
        <w:topLinePunct w:val="0"/>
        <w:autoSpaceDE/>
        <w:autoSpaceDN/>
        <w:bidi w:val="0"/>
        <w:adjustRightInd/>
        <w:snapToGrid/>
        <w:ind w:left="0" w:leftChars="0" w:firstLine="420" w:firstLineChars="200"/>
        <w:textAlignment w:val="auto"/>
        <w:rPr>
          <w:rFonts w:hint="eastAsia" w:ascii="楷体" w:hAnsi="楷体" w:eastAsia="楷体" w:cs="Calibri"/>
          <w:sz w:val="21"/>
          <w:szCs w:val="21"/>
          <w:highlight w:val="none"/>
        </w:rPr>
      </w:pPr>
      <w:r>
        <w:rPr>
          <w:rFonts w:hint="eastAsia" w:ascii="楷体" w:hAnsi="楷体" w:eastAsia="楷体" w:cs="Calibri"/>
          <w:sz w:val="21"/>
          <w:szCs w:val="21"/>
          <w:highlight w:val="none"/>
        </w:rPr>
        <w:t>其他资产：按公允价值进行估值，采用合理的估值技术或监管机构认可的估值方法进行估值。</w:t>
      </w:r>
    </w:p>
    <w:p>
      <w:pPr>
        <w:keepNext w:val="0"/>
        <w:keepLines w:val="0"/>
        <w:pageBreakBefore w:val="0"/>
        <w:widowControl w:val="0"/>
        <w:kinsoku/>
        <w:wordWrap/>
        <w:overflowPunct/>
        <w:topLinePunct w:val="0"/>
        <w:autoSpaceDE/>
        <w:autoSpaceDN/>
        <w:bidi w:val="0"/>
        <w:adjustRightInd/>
        <w:snapToGrid/>
        <w:ind w:left="0" w:firstLine="420" w:firstLineChars="200"/>
        <w:textAlignment w:val="auto"/>
        <w:rPr>
          <w:rFonts w:hint="eastAsia" w:ascii="楷体" w:hAnsi="楷体" w:eastAsia="楷体"/>
          <w:sz w:val="21"/>
          <w:szCs w:val="21"/>
          <w:highlight w:val="none"/>
        </w:rPr>
      </w:pPr>
      <w:r>
        <w:rPr>
          <w:rFonts w:hint="eastAsia" w:ascii="楷体" w:hAnsi="楷体" w:eastAsia="楷体"/>
          <w:sz w:val="21"/>
          <w:szCs w:val="21"/>
          <w:highlight w:val="none"/>
        </w:rPr>
        <w:t>如有新增事项或变更事项，按国家法律法规及监管最新规定执行。</w:t>
      </w:r>
    </w:p>
    <w:p>
      <w:pPr>
        <w:keepNext w:val="0"/>
        <w:keepLines w:val="0"/>
        <w:pageBreakBefore w:val="0"/>
        <w:widowControl w:val="0"/>
        <w:numPr>
          <w:ilvl w:val="0"/>
          <w:numId w:val="14"/>
        </w:numPr>
        <w:tabs>
          <w:tab w:val="left" w:pos="993"/>
        </w:tabs>
        <w:kinsoku/>
        <w:wordWrap/>
        <w:overflowPunct/>
        <w:topLinePunct w:val="0"/>
        <w:bidi w:val="0"/>
        <w:snapToGrid/>
        <w:ind w:left="0" w:firstLine="420" w:firstLineChars="200"/>
        <w:textAlignment w:val="auto"/>
        <w:outlineLvl w:val="2"/>
        <w:rPr>
          <w:rFonts w:ascii="楷体" w:hAnsi="楷体" w:eastAsia="楷体" w:cs="Calibri"/>
          <w:b w:val="0"/>
          <w:bCs/>
          <w:sz w:val="21"/>
          <w:szCs w:val="21"/>
          <w:highlight w:val="none"/>
        </w:rPr>
      </w:pPr>
      <w:r>
        <w:rPr>
          <w:rFonts w:hint="eastAsia" w:ascii="楷体" w:hAnsi="楷体" w:eastAsia="楷体" w:cs="Calibri"/>
          <w:b w:val="0"/>
          <w:bCs/>
          <w:sz w:val="21"/>
          <w:szCs w:val="21"/>
          <w:highlight w:val="none"/>
        </w:rPr>
        <w:t>估值错误的处理</w:t>
      </w:r>
    </w:p>
    <w:p>
      <w:pPr>
        <w:keepNext w:val="0"/>
        <w:keepLines w:val="0"/>
        <w:pageBreakBefore w:val="0"/>
        <w:widowControl w:val="0"/>
        <w:kinsoku/>
        <w:wordWrap/>
        <w:overflowPunct/>
        <w:topLinePunct w:val="0"/>
        <w:bidi w:val="0"/>
        <w:snapToGrid/>
        <w:ind w:firstLine="420" w:firstLineChars="200"/>
        <w:textAlignment w:val="auto"/>
        <w:rPr>
          <w:rFonts w:ascii="楷体" w:hAnsi="楷体" w:eastAsia="楷体"/>
          <w:sz w:val="21"/>
          <w:szCs w:val="21"/>
          <w:highlight w:val="none"/>
        </w:rPr>
      </w:pPr>
      <w:r>
        <w:rPr>
          <w:rFonts w:hint="eastAsia" w:ascii="楷体" w:hAnsi="楷体" w:eastAsia="楷体"/>
          <w:sz w:val="21"/>
          <w:szCs w:val="21"/>
          <w:highlight w:val="none"/>
        </w:rPr>
        <w:t>产品管理人和产品托管人将采取必要、适当合理的措施确保产品资产估值的准确性、及时性。当产品单位净值出现错误时，产品管理人应当立即予以纠正，并采取合理的措施防止损失进一步扩大。由于证券交易所、期货交易所、第三方估值机构、登记机构等发送数据错误等非理财产品管理人和托管人原因，或由于其它不可抗力原因，产品管理人和产品托管人虽然已采取必要、适当、合理的措施进行检查，但是未能发现该错误的，由此造成的产品估值错误，产品管理人和产品托管人免除赔偿责任。但产品管理人和产品托管人应当积极采取必要的措施减轻或消除由此造成的影响。</w:t>
      </w:r>
    </w:p>
    <w:p>
      <w:pPr>
        <w:keepNext w:val="0"/>
        <w:keepLines w:val="0"/>
        <w:pageBreakBefore w:val="0"/>
        <w:widowControl w:val="0"/>
        <w:numPr>
          <w:ilvl w:val="0"/>
          <w:numId w:val="14"/>
        </w:numPr>
        <w:tabs>
          <w:tab w:val="left" w:pos="993"/>
        </w:tabs>
        <w:kinsoku/>
        <w:wordWrap/>
        <w:overflowPunct/>
        <w:topLinePunct w:val="0"/>
        <w:bidi w:val="0"/>
        <w:snapToGrid/>
        <w:ind w:left="0" w:firstLine="420" w:firstLineChars="200"/>
        <w:textAlignment w:val="auto"/>
        <w:outlineLvl w:val="2"/>
        <w:rPr>
          <w:rFonts w:ascii="楷体" w:hAnsi="楷体" w:eastAsia="楷体" w:cs="Calibri"/>
          <w:b w:val="0"/>
          <w:bCs/>
          <w:sz w:val="21"/>
          <w:szCs w:val="21"/>
          <w:highlight w:val="none"/>
        </w:rPr>
      </w:pPr>
      <w:r>
        <w:rPr>
          <w:rFonts w:hint="eastAsia" w:ascii="楷体" w:hAnsi="楷体" w:eastAsia="楷体" w:cs="Calibri"/>
          <w:b w:val="0"/>
          <w:bCs/>
          <w:sz w:val="21"/>
          <w:szCs w:val="21"/>
          <w:highlight w:val="none"/>
        </w:rPr>
        <w:t>暂停估值</w:t>
      </w:r>
    </w:p>
    <w:p>
      <w:pPr>
        <w:keepNext w:val="0"/>
        <w:keepLines w:val="0"/>
        <w:pageBreakBefore w:val="0"/>
        <w:widowControl w:val="0"/>
        <w:kinsoku/>
        <w:wordWrap/>
        <w:overflowPunct/>
        <w:topLinePunct w:val="0"/>
        <w:bidi w:val="0"/>
        <w:snapToGrid/>
        <w:ind w:firstLine="420" w:firstLineChars="200"/>
        <w:textAlignment w:val="auto"/>
        <w:rPr>
          <w:rFonts w:hint="eastAsia" w:ascii="楷体" w:hAnsi="楷体" w:eastAsia="楷体"/>
          <w:sz w:val="21"/>
          <w:szCs w:val="21"/>
          <w:highlight w:val="none"/>
        </w:rPr>
      </w:pPr>
      <w:r>
        <w:rPr>
          <w:rFonts w:hint="eastAsia" w:ascii="楷体" w:hAnsi="楷体" w:eastAsia="楷体"/>
          <w:sz w:val="21"/>
          <w:szCs w:val="21"/>
          <w:highlight w:val="none"/>
        </w:rPr>
        <w:t>理财产品投资所涉及的证券交易所遇法定节假日或其他原因暂停营业时，或因任何不可抗力致使无法准确评估资产价值时，可暂停估值。但估值条件恢复时，将按规定完成估值工作。</w:t>
      </w:r>
    </w:p>
    <w:p>
      <w:pPr>
        <w:keepNext w:val="0"/>
        <w:keepLines w:val="0"/>
        <w:pageBreakBefore w:val="0"/>
        <w:widowControl w:val="0"/>
        <w:numPr>
          <w:ilvl w:val="0"/>
          <w:numId w:val="2"/>
        </w:numPr>
        <w:tabs>
          <w:tab w:val="left" w:pos="1428"/>
          <w:tab w:val="clear" w:pos="0"/>
        </w:tabs>
        <w:kinsoku/>
        <w:wordWrap/>
        <w:overflowPunct/>
        <w:topLinePunct w:val="0"/>
        <w:autoSpaceDE/>
        <w:autoSpaceDN/>
        <w:bidi w:val="0"/>
        <w:adjustRightInd/>
        <w:snapToGrid/>
        <w:ind w:left="0" w:leftChars="0" w:firstLine="422" w:firstLineChars="200"/>
        <w:textAlignment w:val="auto"/>
        <w:outlineLvl w:val="1"/>
        <w:rPr>
          <w:rFonts w:ascii="楷体" w:hAnsi="楷体" w:eastAsia="楷体"/>
          <w:b/>
          <w:sz w:val="21"/>
          <w:szCs w:val="21"/>
          <w:highlight w:val="none"/>
        </w:rPr>
      </w:pPr>
      <w:r>
        <w:rPr>
          <w:rFonts w:hint="eastAsia" w:ascii="楷体" w:hAnsi="楷体" w:eastAsia="楷体"/>
          <w:b/>
          <w:sz w:val="21"/>
          <w:szCs w:val="21"/>
          <w:highlight w:val="none"/>
        </w:rPr>
        <w:t>信息披露</w:t>
      </w:r>
    </w:p>
    <w:p>
      <w:pPr>
        <w:numPr>
          <w:ilvl w:val="0"/>
          <w:numId w:val="17"/>
        </w:numPr>
        <w:tabs>
          <w:tab w:val="left" w:pos="993"/>
        </w:tabs>
        <w:ind w:left="0" w:firstLine="420" w:firstLineChars="200"/>
        <w:rPr>
          <w:rFonts w:ascii="楷体" w:hAnsi="楷体" w:eastAsia="楷体" w:cs="Calibri"/>
          <w:color w:val="auto"/>
          <w:sz w:val="21"/>
          <w:szCs w:val="21"/>
          <w:highlight w:val="none"/>
        </w:rPr>
      </w:pPr>
      <w:r>
        <w:rPr>
          <w:rFonts w:hint="eastAsia" w:ascii="楷体" w:hAnsi="楷体" w:eastAsia="楷体" w:cs="Calibri"/>
          <w:color w:val="auto"/>
          <w:sz w:val="21"/>
          <w:szCs w:val="21"/>
          <w:highlight w:val="none"/>
        </w:rPr>
        <w:t>信息披露</w:t>
      </w:r>
      <w:r>
        <w:rPr>
          <w:rFonts w:hint="eastAsia" w:ascii="楷体" w:hAnsi="楷体" w:eastAsia="楷体" w:cs="Calibri"/>
          <w:color w:val="auto"/>
          <w:sz w:val="21"/>
          <w:szCs w:val="21"/>
          <w:highlight w:val="none"/>
          <w:lang w:val="en-US" w:eastAsia="zh-CN"/>
        </w:rPr>
        <w:t>方式</w:t>
      </w:r>
    </w:p>
    <w:p>
      <w:pPr>
        <w:keepNext w:val="0"/>
        <w:keepLines w:val="0"/>
        <w:pageBreakBefore w:val="0"/>
        <w:widowControl w:val="0"/>
        <w:numPr>
          <w:ilvl w:val="0"/>
          <w:numId w:val="18"/>
        </w:numPr>
        <w:tabs>
          <w:tab w:val="left" w:pos="728"/>
          <w:tab w:val="clear" w:pos="420"/>
        </w:tabs>
        <w:kinsoku/>
        <w:wordWrap/>
        <w:overflowPunct/>
        <w:topLinePunct w:val="0"/>
        <w:autoSpaceDE/>
        <w:autoSpaceDN/>
        <w:bidi w:val="0"/>
        <w:adjustRightInd/>
        <w:snapToGrid/>
        <w:ind w:left="0" w:leftChars="0" w:firstLine="420" w:firstLineChars="200"/>
        <w:textAlignment w:val="auto"/>
        <w:rPr>
          <w:rFonts w:ascii="楷体" w:hAnsi="楷体" w:eastAsia="楷体" w:cs="Calibri"/>
          <w:color w:val="auto"/>
          <w:sz w:val="21"/>
          <w:szCs w:val="21"/>
          <w:highlight w:val="none"/>
        </w:rPr>
      </w:pPr>
      <w:r>
        <w:rPr>
          <w:rFonts w:hint="eastAsia" w:ascii="楷体" w:hAnsi="楷体" w:eastAsia="楷体" w:cs="Calibri"/>
          <w:sz w:val="21"/>
          <w:szCs w:val="21"/>
          <w:highlight w:val="none"/>
          <w:lang w:val="en-US" w:eastAsia="zh-CN"/>
        </w:rPr>
        <w:t>管理人</w:t>
      </w:r>
      <w:r>
        <w:rPr>
          <w:rFonts w:hint="eastAsia" w:ascii="楷体" w:hAnsi="楷体" w:eastAsia="楷体" w:cs="Calibri"/>
          <w:sz w:val="21"/>
          <w:szCs w:val="21"/>
          <w:highlight w:val="none"/>
        </w:rPr>
        <w:t>通过苏银理财有限责任公司官方网站（</w:t>
      </w:r>
      <w:r>
        <w:rPr>
          <w:rFonts w:ascii="楷体" w:hAnsi="楷体" w:eastAsia="楷体" w:cs="Calibri"/>
          <w:sz w:val="21"/>
          <w:szCs w:val="21"/>
          <w:highlight w:val="none"/>
        </w:rPr>
        <w:t>www</w:t>
      </w:r>
      <w:r>
        <w:rPr>
          <w:rFonts w:hint="eastAsia" w:ascii="楷体" w:hAnsi="楷体" w:eastAsia="楷体" w:cs="Calibri"/>
          <w:sz w:val="21"/>
          <w:szCs w:val="21"/>
          <w:highlight w:val="none"/>
          <w:lang w:val="en-US" w:eastAsia="zh-CN"/>
        </w:rPr>
        <w:t>.</w:t>
      </w:r>
      <w:r>
        <w:rPr>
          <w:rFonts w:ascii="楷体" w:hAnsi="楷体" w:eastAsia="楷体" w:cs="Calibri"/>
          <w:sz w:val="21"/>
          <w:szCs w:val="21"/>
          <w:highlight w:val="none"/>
        </w:rPr>
        <w:t>suyinwealth</w:t>
      </w:r>
      <w:r>
        <w:rPr>
          <w:rFonts w:hint="eastAsia" w:ascii="楷体" w:hAnsi="楷体" w:eastAsia="楷体" w:cs="Calibri"/>
          <w:sz w:val="21"/>
          <w:szCs w:val="21"/>
          <w:highlight w:val="none"/>
          <w:lang w:val="en-US" w:eastAsia="zh-CN"/>
        </w:rPr>
        <w:t>.</w:t>
      </w:r>
      <w:r>
        <w:rPr>
          <w:rFonts w:ascii="楷体" w:hAnsi="楷体" w:eastAsia="楷体" w:cs="Calibri"/>
          <w:sz w:val="21"/>
          <w:szCs w:val="21"/>
          <w:highlight w:val="none"/>
        </w:rPr>
        <w:t>com</w:t>
      </w:r>
      <w:r>
        <w:rPr>
          <w:rFonts w:hint="eastAsia" w:ascii="楷体" w:hAnsi="楷体" w:eastAsia="楷体" w:cs="Calibri"/>
          <w:sz w:val="21"/>
          <w:szCs w:val="21"/>
          <w:highlight w:val="none"/>
        </w:rPr>
        <w:t>）进行信息披露。</w:t>
      </w:r>
    </w:p>
    <w:p>
      <w:pPr>
        <w:keepNext w:val="0"/>
        <w:keepLines w:val="0"/>
        <w:pageBreakBefore w:val="0"/>
        <w:widowControl w:val="0"/>
        <w:numPr>
          <w:ilvl w:val="0"/>
          <w:numId w:val="18"/>
        </w:numPr>
        <w:tabs>
          <w:tab w:val="left" w:pos="728"/>
          <w:tab w:val="clear" w:pos="420"/>
        </w:tabs>
        <w:kinsoku/>
        <w:wordWrap/>
        <w:overflowPunct/>
        <w:topLinePunct w:val="0"/>
        <w:autoSpaceDE/>
        <w:autoSpaceDN/>
        <w:bidi w:val="0"/>
        <w:adjustRightInd/>
        <w:snapToGrid/>
        <w:ind w:left="0" w:leftChars="0" w:firstLine="420" w:firstLineChars="200"/>
        <w:textAlignment w:val="auto"/>
        <w:rPr>
          <w:rFonts w:ascii="楷体" w:hAnsi="楷体" w:eastAsia="楷体" w:cs="Calibri"/>
          <w:color w:val="auto"/>
          <w:sz w:val="21"/>
          <w:szCs w:val="21"/>
          <w:highlight w:val="none"/>
        </w:rPr>
      </w:pPr>
      <w:r>
        <w:rPr>
          <w:rFonts w:hint="eastAsia" w:ascii="楷体" w:hAnsi="楷体" w:eastAsia="楷体" w:cs="Calibri"/>
          <w:sz w:val="21"/>
          <w:szCs w:val="21"/>
          <w:highlight w:val="none"/>
          <w:lang w:val="en-US" w:eastAsia="zh-CN"/>
        </w:rPr>
        <w:t>管理人</w:t>
      </w:r>
      <w:r>
        <w:rPr>
          <w:rFonts w:hint="eastAsia" w:ascii="楷体" w:hAnsi="楷体" w:eastAsia="楷体" w:cs="Calibri"/>
          <w:sz w:val="21"/>
          <w:szCs w:val="21"/>
          <w:highlight w:val="none"/>
        </w:rPr>
        <w:t>将信息披露内容发送销售机构，由销售机构通过</w:t>
      </w:r>
      <w:r>
        <w:rPr>
          <w:rFonts w:hint="eastAsia" w:ascii="楷体" w:hAnsi="楷体" w:eastAsia="楷体" w:cs="Calibri"/>
          <w:sz w:val="21"/>
          <w:szCs w:val="21"/>
          <w:highlight w:val="none"/>
          <w:lang w:val="en-US" w:eastAsia="zh-CN"/>
        </w:rPr>
        <w:t>短信及</w:t>
      </w:r>
      <w:r>
        <w:rPr>
          <w:rFonts w:hint="eastAsia" w:ascii="楷体" w:hAnsi="楷体" w:eastAsia="楷体" w:cs="Calibri"/>
          <w:sz w:val="21"/>
          <w:szCs w:val="21"/>
          <w:highlight w:val="none"/>
        </w:rPr>
        <w:t>销售机构电子渠道和营业网点</w:t>
      </w:r>
      <w:r>
        <w:rPr>
          <w:rFonts w:hint="eastAsia" w:ascii="楷体" w:hAnsi="楷体" w:eastAsia="楷体" w:cs="Calibri"/>
          <w:sz w:val="21"/>
          <w:szCs w:val="21"/>
          <w:highlight w:val="none"/>
          <w:lang w:val="en-US" w:eastAsia="zh-CN"/>
        </w:rPr>
        <w:t>等方式</w:t>
      </w:r>
      <w:r>
        <w:rPr>
          <w:rFonts w:hint="eastAsia" w:ascii="楷体" w:hAnsi="楷体" w:eastAsia="楷体" w:cs="Calibri"/>
          <w:sz w:val="21"/>
          <w:szCs w:val="21"/>
          <w:highlight w:val="none"/>
        </w:rPr>
        <w:t>进行信息披露。</w:t>
      </w:r>
    </w:p>
    <w:p>
      <w:pPr>
        <w:numPr>
          <w:ilvl w:val="-1"/>
          <w:numId w:val="0"/>
        </w:numPr>
        <w:ind w:left="0" w:firstLine="420" w:firstLineChars="200"/>
        <w:rPr>
          <w:rFonts w:ascii="楷体" w:hAnsi="楷体" w:eastAsia="楷体" w:cs="Calibri"/>
          <w:color w:val="auto"/>
          <w:sz w:val="21"/>
          <w:szCs w:val="21"/>
          <w:highlight w:val="none"/>
        </w:rPr>
      </w:pPr>
      <w:r>
        <w:rPr>
          <w:rFonts w:hint="eastAsia" w:ascii="楷体" w:hAnsi="楷体" w:eastAsia="楷体"/>
          <w:sz w:val="21"/>
          <w:szCs w:val="21"/>
          <w:highlight w:val="none"/>
        </w:rPr>
        <w:t>相关信息在发布或发出之日视为通知已送达投资者并生效，</w:t>
      </w:r>
      <w:r>
        <w:rPr>
          <w:rFonts w:hint="eastAsia" w:ascii="楷体" w:hAnsi="楷体" w:eastAsia="楷体"/>
          <w:sz w:val="21"/>
          <w:szCs w:val="21"/>
          <w:highlight w:val="none"/>
          <w:lang w:val="en-US" w:eastAsia="zh-CN"/>
        </w:rPr>
        <w:t>管理人已完全履行信息披露义务。如因投资者未及时查询，或由于通讯故障、非产品管理人原因的系统故障以及其它不可抗力等因素的影响，致使投资者无法及时获取产品信息而产生的全部责任和风险（包括但不限于因未及时获取信息而错过资金使用和再投资的机会等），都由投资者自行承担。因此</w:t>
      </w:r>
      <w:r>
        <w:rPr>
          <w:rFonts w:hint="eastAsia" w:ascii="楷体" w:hAnsi="楷体" w:eastAsia="楷体"/>
          <w:sz w:val="21"/>
          <w:szCs w:val="21"/>
          <w:highlight w:val="none"/>
        </w:rPr>
        <w:t>请</w:t>
      </w:r>
      <w:r>
        <w:rPr>
          <w:rFonts w:hint="eastAsia" w:ascii="楷体" w:hAnsi="楷体" w:eastAsia="楷体"/>
          <w:sz w:val="21"/>
          <w:szCs w:val="21"/>
          <w:highlight w:val="none"/>
          <w:lang w:val="en-US" w:eastAsia="zh-CN"/>
        </w:rPr>
        <w:t>投资者</w:t>
      </w:r>
      <w:r>
        <w:rPr>
          <w:rFonts w:hint="eastAsia" w:ascii="楷体" w:hAnsi="楷体" w:eastAsia="楷体"/>
          <w:sz w:val="21"/>
          <w:szCs w:val="21"/>
          <w:highlight w:val="none"/>
        </w:rPr>
        <w:t>及时登陆苏银理财有限责任</w:t>
      </w:r>
      <w:r>
        <w:rPr>
          <w:rFonts w:hint="eastAsia" w:ascii="楷体" w:hAnsi="楷体" w:eastAsia="楷体"/>
          <w:sz w:val="21"/>
          <w:szCs w:val="21"/>
          <w:highlight w:val="none"/>
          <w:lang w:val="en-US" w:eastAsia="zh-CN"/>
        </w:rPr>
        <w:t>公司</w:t>
      </w:r>
      <w:r>
        <w:rPr>
          <w:rFonts w:hint="eastAsia" w:ascii="楷体" w:hAnsi="楷体" w:eastAsia="楷体"/>
          <w:sz w:val="21"/>
          <w:szCs w:val="21"/>
          <w:highlight w:val="none"/>
        </w:rPr>
        <w:t>官方网站或者向销售机构查询获取披露信息</w:t>
      </w:r>
      <w:r>
        <w:rPr>
          <w:rFonts w:hint="eastAsia" w:ascii="楷体" w:hAnsi="楷体" w:eastAsia="楷体"/>
          <w:color w:val="auto"/>
          <w:sz w:val="21"/>
          <w:szCs w:val="21"/>
          <w:highlight w:val="none"/>
        </w:rPr>
        <w:t>。</w:t>
      </w:r>
    </w:p>
    <w:p>
      <w:pPr>
        <w:numPr>
          <w:ilvl w:val="0"/>
          <w:numId w:val="17"/>
        </w:numPr>
        <w:tabs>
          <w:tab w:val="left" w:pos="993"/>
        </w:tabs>
        <w:ind w:left="0" w:firstLine="420" w:firstLineChars="200"/>
        <w:rPr>
          <w:rFonts w:ascii="楷体" w:hAnsi="楷体" w:eastAsia="楷体" w:cs="Calibri"/>
          <w:color w:val="auto"/>
          <w:sz w:val="21"/>
          <w:szCs w:val="21"/>
          <w:highlight w:val="none"/>
        </w:rPr>
      </w:pPr>
      <w:r>
        <w:rPr>
          <w:rFonts w:hint="eastAsia" w:ascii="楷体" w:hAnsi="楷体" w:eastAsia="楷体" w:cs="Calibri"/>
          <w:color w:val="auto"/>
          <w:sz w:val="21"/>
          <w:szCs w:val="21"/>
          <w:highlight w:val="none"/>
        </w:rPr>
        <w:t>信息披露</w:t>
      </w:r>
      <w:r>
        <w:rPr>
          <w:rFonts w:hint="eastAsia" w:ascii="楷体" w:hAnsi="楷体" w:eastAsia="楷体" w:cs="Calibri"/>
          <w:color w:val="auto"/>
          <w:sz w:val="21"/>
          <w:szCs w:val="21"/>
          <w:highlight w:val="none"/>
          <w:lang w:val="en-US" w:eastAsia="zh-CN"/>
        </w:rPr>
        <w:t>内容及时间</w:t>
      </w:r>
    </w:p>
    <w:p>
      <w:pPr>
        <w:keepNext w:val="0"/>
        <w:keepLines w:val="0"/>
        <w:pageBreakBefore w:val="0"/>
        <w:widowControl w:val="0"/>
        <w:numPr>
          <w:ilvl w:val="0"/>
          <w:numId w:val="19"/>
        </w:numPr>
        <w:tabs>
          <w:tab w:val="left" w:pos="728"/>
          <w:tab w:val="clear" w:pos="420"/>
        </w:tabs>
        <w:kinsoku/>
        <w:wordWrap/>
        <w:overflowPunct/>
        <w:topLinePunct w:val="0"/>
        <w:autoSpaceDE/>
        <w:autoSpaceDN/>
        <w:bidi w:val="0"/>
        <w:adjustRightInd/>
        <w:snapToGrid/>
        <w:ind w:left="0" w:leftChars="0" w:firstLine="420" w:firstLineChars="200"/>
        <w:textAlignment w:val="auto"/>
        <w:rPr>
          <w:rFonts w:ascii="楷体" w:hAnsi="楷体" w:eastAsia="楷体" w:cs="Calibri"/>
          <w:color w:val="auto"/>
          <w:sz w:val="21"/>
          <w:szCs w:val="21"/>
          <w:highlight w:val="none"/>
        </w:rPr>
      </w:pPr>
      <w:r>
        <w:rPr>
          <w:rFonts w:hint="eastAsia" w:ascii="楷体" w:hAnsi="楷体" w:eastAsia="楷体" w:cs="Calibri"/>
          <w:color w:val="auto"/>
          <w:sz w:val="21"/>
          <w:szCs w:val="21"/>
          <w:highlight w:val="none"/>
        </w:rPr>
        <w:t>产品净值：</w:t>
      </w:r>
      <w:r>
        <w:rPr>
          <w:rFonts w:hint="eastAsia" w:ascii="楷体" w:hAnsi="楷体" w:eastAsia="楷体" w:cs="Calibri"/>
          <w:color w:val="auto"/>
          <w:sz w:val="21"/>
          <w:szCs w:val="21"/>
          <w:highlight w:val="none"/>
          <w:lang w:val="en-US" w:eastAsia="zh-CN"/>
        </w:rPr>
        <w:t>公募封闭式产品至少</w:t>
      </w:r>
      <w:r>
        <w:rPr>
          <w:rFonts w:hint="eastAsia" w:ascii="楷体" w:hAnsi="楷体" w:eastAsia="楷体" w:cs="Calibri"/>
          <w:color w:val="auto"/>
          <w:sz w:val="21"/>
          <w:szCs w:val="21"/>
          <w:highlight w:val="none"/>
        </w:rPr>
        <w:t>每周向投资者披露一次产品的份额净值、份额累计净值</w:t>
      </w:r>
      <w:r>
        <w:rPr>
          <w:rFonts w:hint="eastAsia" w:ascii="楷体" w:hAnsi="楷体" w:eastAsia="楷体" w:cs="Calibri"/>
          <w:color w:val="auto"/>
          <w:sz w:val="21"/>
          <w:szCs w:val="21"/>
          <w:highlight w:val="none"/>
          <w:lang w:val="en-US" w:eastAsia="zh-CN"/>
        </w:rPr>
        <w:t>；公募开放式产品</w:t>
      </w:r>
      <w:r>
        <w:rPr>
          <w:rFonts w:hint="eastAsia" w:ascii="楷体" w:hAnsi="楷体" w:eastAsia="楷体" w:cs="Calibri"/>
          <w:color w:val="auto"/>
          <w:sz w:val="21"/>
          <w:szCs w:val="21"/>
          <w:highlight w:val="none"/>
          <w:lang w:eastAsia="zh-CN"/>
        </w:rPr>
        <w:t>每个开放日结束后两个工作日内，披露开放式公募理财产品在开放日的份额净值、份额累计净值、认（申）购价格和赎回价格</w:t>
      </w:r>
      <w:r>
        <w:rPr>
          <w:rFonts w:hint="eastAsia" w:ascii="楷体" w:hAnsi="楷体" w:eastAsia="楷体" w:cs="Calibri"/>
          <w:color w:val="auto"/>
          <w:sz w:val="21"/>
          <w:szCs w:val="21"/>
          <w:highlight w:val="none"/>
          <w:lang w:val="en-US" w:eastAsia="zh-CN"/>
        </w:rPr>
        <w:t>；私募产品至少每季度向投资者披露一次产品的份额净值、份额累计净值，以管理人实际披露为准</w:t>
      </w:r>
      <w:r>
        <w:rPr>
          <w:rFonts w:hint="eastAsia" w:ascii="楷体" w:hAnsi="楷体" w:eastAsia="楷体" w:cs="Calibri"/>
          <w:color w:val="auto"/>
          <w:sz w:val="21"/>
          <w:szCs w:val="21"/>
          <w:highlight w:val="none"/>
        </w:rPr>
        <w:t>。</w:t>
      </w:r>
    </w:p>
    <w:p>
      <w:pPr>
        <w:keepNext w:val="0"/>
        <w:keepLines w:val="0"/>
        <w:pageBreakBefore w:val="0"/>
        <w:widowControl w:val="0"/>
        <w:numPr>
          <w:ilvl w:val="0"/>
          <w:numId w:val="19"/>
        </w:numPr>
        <w:tabs>
          <w:tab w:val="left" w:pos="728"/>
          <w:tab w:val="clear" w:pos="420"/>
        </w:tabs>
        <w:kinsoku/>
        <w:wordWrap/>
        <w:overflowPunct/>
        <w:topLinePunct w:val="0"/>
        <w:autoSpaceDE/>
        <w:autoSpaceDN/>
        <w:bidi w:val="0"/>
        <w:adjustRightInd/>
        <w:snapToGrid/>
        <w:ind w:left="0" w:leftChars="0" w:firstLine="420" w:firstLineChars="200"/>
        <w:textAlignment w:val="auto"/>
        <w:rPr>
          <w:rFonts w:ascii="楷体" w:hAnsi="楷体" w:eastAsia="楷体" w:cs="Calibri"/>
          <w:color w:val="auto"/>
          <w:sz w:val="21"/>
          <w:szCs w:val="21"/>
          <w:highlight w:val="none"/>
        </w:rPr>
      </w:pPr>
      <w:r>
        <w:rPr>
          <w:rFonts w:hint="eastAsia" w:ascii="楷体" w:hAnsi="楷体" w:eastAsia="楷体" w:cs="Calibri"/>
          <w:color w:val="auto"/>
          <w:sz w:val="21"/>
          <w:szCs w:val="21"/>
          <w:highlight w:val="none"/>
        </w:rPr>
        <w:t>发行公告：管理人在产品成立后5个工作日内，披露产品成立公告，内容包括理财产品成立日期和募集规模等信息。</w:t>
      </w:r>
    </w:p>
    <w:p>
      <w:pPr>
        <w:keepNext w:val="0"/>
        <w:keepLines w:val="0"/>
        <w:pageBreakBefore w:val="0"/>
        <w:widowControl w:val="0"/>
        <w:numPr>
          <w:ilvl w:val="0"/>
          <w:numId w:val="19"/>
        </w:numPr>
        <w:tabs>
          <w:tab w:val="left" w:pos="728"/>
          <w:tab w:val="clear" w:pos="420"/>
        </w:tabs>
        <w:kinsoku/>
        <w:wordWrap/>
        <w:overflowPunct/>
        <w:topLinePunct w:val="0"/>
        <w:autoSpaceDE/>
        <w:autoSpaceDN/>
        <w:bidi w:val="0"/>
        <w:adjustRightInd/>
        <w:snapToGrid/>
        <w:ind w:left="0" w:leftChars="0" w:firstLine="420" w:firstLineChars="200"/>
        <w:textAlignment w:val="auto"/>
        <w:rPr>
          <w:rFonts w:hint="eastAsia" w:ascii="楷体" w:hAnsi="楷体" w:eastAsia="楷体" w:cs="Calibri"/>
          <w:color w:val="auto"/>
          <w:sz w:val="21"/>
          <w:szCs w:val="21"/>
          <w:highlight w:val="none"/>
        </w:rPr>
      </w:pPr>
      <w:r>
        <w:rPr>
          <w:rFonts w:hint="eastAsia" w:ascii="楷体" w:hAnsi="楷体" w:eastAsia="楷体" w:cs="Calibri"/>
          <w:color w:val="auto"/>
          <w:sz w:val="21"/>
          <w:szCs w:val="21"/>
          <w:highlight w:val="none"/>
        </w:rPr>
        <w:t>定期公告：管理人在每个季度结束之日起15个工作日内、上半年结束之日起60个工作日内、每年结束之日起90个工作日内，披露产品季度、半年和年度报告等定期报告；产品成立不足90个工作日或者剩余存续期不超过90个工作日的，管理人将不编制产品当期的季度、半年和年度报告；内容包括理财产品的存续规模、收益表现，并分别列示直接和间接投资的资产种类、投资比例、投资组合的流动性风险分析，以及前十项资产具体名称、规模和比例等信息。</w:t>
      </w:r>
    </w:p>
    <w:p>
      <w:pPr>
        <w:keepNext w:val="0"/>
        <w:keepLines w:val="0"/>
        <w:pageBreakBefore w:val="0"/>
        <w:widowControl w:val="0"/>
        <w:numPr>
          <w:ilvl w:val="0"/>
          <w:numId w:val="19"/>
        </w:numPr>
        <w:tabs>
          <w:tab w:val="left" w:pos="728"/>
          <w:tab w:val="clear" w:pos="420"/>
        </w:tabs>
        <w:kinsoku/>
        <w:wordWrap/>
        <w:overflowPunct/>
        <w:topLinePunct w:val="0"/>
        <w:autoSpaceDE/>
        <w:autoSpaceDN/>
        <w:bidi w:val="0"/>
        <w:adjustRightInd/>
        <w:snapToGrid/>
        <w:ind w:left="0" w:leftChars="0" w:firstLine="420" w:firstLineChars="200"/>
        <w:textAlignment w:val="auto"/>
        <w:rPr>
          <w:rFonts w:hint="eastAsia" w:ascii="楷体" w:hAnsi="楷体" w:eastAsia="楷体" w:cs="Calibri"/>
          <w:color w:val="auto"/>
          <w:sz w:val="21"/>
          <w:szCs w:val="21"/>
          <w:highlight w:val="none"/>
        </w:rPr>
      </w:pPr>
      <w:r>
        <w:rPr>
          <w:rFonts w:hint="eastAsia" w:ascii="楷体" w:hAnsi="楷体" w:eastAsia="楷体" w:cs="Calibri"/>
          <w:color w:val="auto"/>
          <w:sz w:val="21"/>
          <w:szCs w:val="21"/>
          <w:highlight w:val="none"/>
        </w:rPr>
        <w:t>到期公告：管理人在产品终止后5个工作日内，披露产品到期公告，内容包括理财产品的存续期限、终止日期、收费情况和收益分配情况等信息。</w:t>
      </w:r>
    </w:p>
    <w:p>
      <w:pPr>
        <w:keepNext w:val="0"/>
        <w:keepLines w:val="0"/>
        <w:pageBreakBefore w:val="0"/>
        <w:widowControl w:val="0"/>
        <w:numPr>
          <w:ilvl w:val="0"/>
          <w:numId w:val="19"/>
        </w:numPr>
        <w:tabs>
          <w:tab w:val="left" w:pos="728"/>
          <w:tab w:val="clear" w:pos="420"/>
        </w:tabs>
        <w:kinsoku/>
        <w:wordWrap/>
        <w:overflowPunct/>
        <w:topLinePunct w:val="0"/>
        <w:autoSpaceDE/>
        <w:autoSpaceDN/>
        <w:bidi w:val="0"/>
        <w:adjustRightInd/>
        <w:snapToGrid/>
        <w:ind w:left="0" w:leftChars="0" w:firstLine="420" w:firstLineChars="200"/>
        <w:textAlignment w:val="auto"/>
        <w:rPr>
          <w:rFonts w:hint="eastAsia" w:ascii="楷体" w:hAnsi="楷体" w:eastAsia="楷体" w:cs="Calibri"/>
          <w:color w:val="auto"/>
          <w:sz w:val="21"/>
          <w:szCs w:val="21"/>
          <w:highlight w:val="none"/>
        </w:rPr>
      </w:pPr>
      <w:r>
        <w:rPr>
          <w:rFonts w:hint="eastAsia" w:ascii="楷体" w:hAnsi="楷体" w:eastAsia="楷体" w:cs="Calibri"/>
          <w:color w:val="auto"/>
          <w:sz w:val="21"/>
          <w:szCs w:val="21"/>
          <w:highlight w:val="none"/>
        </w:rPr>
        <w:t>重大事项公告：管理人在发生可能对理财产品投资者或者理财产品收益</w:t>
      </w:r>
      <w:r>
        <w:rPr>
          <w:rFonts w:hint="eastAsia" w:ascii="楷体" w:hAnsi="楷体" w:eastAsia="楷体" w:cs="Calibri"/>
          <w:color w:val="auto"/>
          <w:sz w:val="21"/>
          <w:szCs w:val="21"/>
          <w:highlight w:val="none"/>
          <w:lang w:val="en-US" w:eastAsia="zh-CN"/>
        </w:rPr>
        <w:t>产生重大影响</w:t>
      </w:r>
      <w:r>
        <w:rPr>
          <w:rFonts w:hint="eastAsia" w:ascii="楷体" w:hAnsi="楷体" w:eastAsia="楷体" w:cs="Calibri"/>
          <w:color w:val="auto"/>
          <w:sz w:val="21"/>
          <w:szCs w:val="21"/>
          <w:highlight w:val="none"/>
        </w:rPr>
        <w:t>的事件后2个工作日内发布重大事项公告。</w:t>
      </w:r>
    </w:p>
    <w:p>
      <w:pPr>
        <w:keepNext w:val="0"/>
        <w:keepLines w:val="0"/>
        <w:pageBreakBefore w:val="0"/>
        <w:widowControl w:val="0"/>
        <w:numPr>
          <w:ilvl w:val="0"/>
          <w:numId w:val="19"/>
        </w:numPr>
        <w:tabs>
          <w:tab w:val="left" w:pos="728"/>
          <w:tab w:val="clear" w:pos="420"/>
        </w:tabs>
        <w:kinsoku/>
        <w:wordWrap/>
        <w:overflowPunct/>
        <w:topLinePunct w:val="0"/>
        <w:autoSpaceDE/>
        <w:autoSpaceDN/>
        <w:bidi w:val="0"/>
        <w:adjustRightInd/>
        <w:snapToGrid/>
        <w:ind w:left="0" w:leftChars="0" w:firstLine="420" w:firstLineChars="200"/>
        <w:textAlignment w:val="auto"/>
        <w:rPr>
          <w:rFonts w:hint="eastAsia" w:ascii="楷体" w:hAnsi="楷体" w:eastAsia="楷体" w:cs="Calibri"/>
          <w:color w:val="auto"/>
          <w:sz w:val="21"/>
          <w:szCs w:val="21"/>
          <w:highlight w:val="none"/>
        </w:rPr>
      </w:pPr>
      <w:r>
        <w:rPr>
          <w:rFonts w:hint="eastAsia" w:ascii="楷体" w:hAnsi="楷体" w:eastAsia="楷体" w:cs="Calibri"/>
          <w:color w:val="auto"/>
          <w:sz w:val="21"/>
          <w:szCs w:val="21"/>
          <w:highlight w:val="none"/>
        </w:rPr>
        <w:t>临时性信息：管理人将及时披露国务院银行业监督管理机构规定的其他信息或除重大事项事件以外的其他信息。</w:t>
      </w:r>
    </w:p>
    <w:p>
      <w:pPr>
        <w:keepNext w:val="0"/>
        <w:keepLines w:val="0"/>
        <w:pageBreakBefore w:val="0"/>
        <w:widowControl w:val="0"/>
        <w:numPr>
          <w:ilvl w:val="0"/>
          <w:numId w:val="19"/>
        </w:numPr>
        <w:tabs>
          <w:tab w:val="left" w:pos="728"/>
          <w:tab w:val="clear" w:pos="420"/>
        </w:tabs>
        <w:kinsoku/>
        <w:wordWrap/>
        <w:overflowPunct/>
        <w:topLinePunct w:val="0"/>
        <w:autoSpaceDE/>
        <w:autoSpaceDN/>
        <w:bidi w:val="0"/>
        <w:adjustRightInd/>
        <w:snapToGrid/>
        <w:ind w:left="0" w:leftChars="0" w:firstLine="420" w:firstLineChars="200"/>
        <w:textAlignment w:val="auto"/>
        <w:rPr>
          <w:rFonts w:hint="eastAsia" w:ascii="楷体" w:hAnsi="楷体" w:eastAsia="楷体" w:cs="Calibri"/>
          <w:color w:val="auto"/>
          <w:sz w:val="21"/>
          <w:szCs w:val="21"/>
          <w:highlight w:val="none"/>
        </w:rPr>
      </w:pPr>
      <w:r>
        <w:rPr>
          <w:rFonts w:hint="eastAsia" w:ascii="楷体" w:hAnsi="楷体" w:eastAsia="楷体" w:cs="Calibri"/>
          <w:color w:val="auto"/>
          <w:sz w:val="21"/>
          <w:szCs w:val="21"/>
          <w:highlight w:val="none"/>
        </w:rPr>
        <w:t>半年度整体报告：每半年披露从事理财业务活动的有关信息。</w:t>
      </w:r>
    </w:p>
    <w:p>
      <w:pPr>
        <w:keepNext w:val="0"/>
        <w:keepLines w:val="0"/>
        <w:pageBreakBefore w:val="0"/>
        <w:widowControl w:val="0"/>
        <w:numPr>
          <w:ilvl w:val="0"/>
          <w:numId w:val="19"/>
        </w:numPr>
        <w:tabs>
          <w:tab w:val="left" w:pos="728"/>
          <w:tab w:val="clear" w:pos="420"/>
        </w:tabs>
        <w:kinsoku/>
        <w:wordWrap/>
        <w:overflowPunct/>
        <w:topLinePunct w:val="0"/>
        <w:autoSpaceDE/>
        <w:autoSpaceDN/>
        <w:bidi w:val="0"/>
        <w:adjustRightInd/>
        <w:snapToGrid/>
        <w:ind w:left="0" w:leftChars="0" w:firstLine="420" w:firstLineChars="200"/>
        <w:textAlignment w:val="auto"/>
        <w:rPr>
          <w:rFonts w:hint="eastAsia" w:ascii="楷体" w:hAnsi="楷体" w:eastAsia="楷体" w:cs="Calibri"/>
          <w:color w:val="auto"/>
          <w:sz w:val="21"/>
          <w:szCs w:val="21"/>
          <w:highlight w:val="none"/>
        </w:rPr>
      </w:pPr>
      <w:r>
        <w:rPr>
          <w:rFonts w:hint="eastAsia" w:ascii="楷体" w:hAnsi="楷体" w:eastAsia="楷体" w:cs="Calibri"/>
          <w:color w:val="auto"/>
          <w:sz w:val="21"/>
          <w:szCs w:val="21"/>
          <w:highlight w:val="none"/>
        </w:rPr>
        <w:t>理财账单：管理人每月向投资者提供其所持有的理财产品账单，账单内容包括但不限于投资者持有的理财产品份额、认购金额、份额</w:t>
      </w:r>
      <w:r>
        <w:rPr>
          <w:rFonts w:hint="eastAsia" w:ascii="楷体" w:hAnsi="楷体" w:eastAsia="楷体" w:cs="Calibri"/>
          <w:color w:val="auto"/>
          <w:sz w:val="21"/>
          <w:szCs w:val="21"/>
          <w:highlight w:val="none"/>
          <w:lang w:val="en-US" w:eastAsia="zh-CN"/>
        </w:rPr>
        <w:t>单位</w:t>
      </w:r>
      <w:r>
        <w:rPr>
          <w:rFonts w:hint="eastAsia" w:ascii="楷体" w:hAnsi="楷体" w:eastAsia="楷体" w:cs="Calibri"/>
          <w:color w:val="auto"/>
          <w:sz w:val="21"/>
          <w:szCs w:val="21"/>
          <w:highlight w:val="none"/>
        </w:rPr>
        <w:t>净值、份额累计净值、资产净值、收益情况、投资者理财交易账户发生的交易明细记录等信息。</w:t>
      </w:r>
    </w:p>
    <w:p>
      <w:pPr>
        <w:keepNext w:val="0"/>
        <w:keepLines w:val="0"/>
        <w:pageBreakBefore w:val="0"/>
        <w:widowControl w:val="0"/>
        <w:numPr>
          <w:ilvl w:val="0"/>
          <w:numId w:val="2"/>
        </w:numPr>
        <w:tabs>
          <w:tab w:val="left" w:pos="1428"/>
          <w:tab w:val="clear" w:pos="0"/>
        </w:tabs>
        <w:kinsoku/>
        <w:wordWrap/>
        <w:overflowPunct/>
        <w:topLinePunct w:val="0"/>
        <w:autoSpaceDE/>
        <w:autoSpaceDN/>
        <w:bidi w:val="0"/>
        <w:adjustRightInd/>
        <w:snapToGrid/>
        <w:ind w:left="0" w:leftChars="0" w:firstLine="422" w:firstLineChars="200"/>
        <w:textAlignment w:val="auto"/>
        <w:outlineLvl w:val="1"/>
        <w:rPr>
          <w:rFonts w:hint="eastAsia" w:ascii="楷体" w:hAnsi="楷体" w:eastAsia="楷体"/>
          <w:b/>
          <w:sz w:val="21"/>
          <w:szCs w:val="21"/>
          <w:highlight w:val="none"/>
        </w:rPr>
      </w:pPr>
      <w:r>
        <w:rPr>
          <w:rFonts w:hint="eastAsia" w:ascii="楷体" w:hAnsi="楷体" w:eastAsia="楷体"/>
          <w:b/>
          <w:sz w:val="21"/>
          <w:szCs w:val="21"/>
          <w:highlight w:val="none"/>
        </w:rPr>
        <w:t>其他</w:t>
      </w:r>
    </w:p>
    <w:p>
      <w:pPr>
        <w:numPr>
          <w:ilvl w:val="0"/>
          <w:numId w:val="20"/>
        </w:numPr>
        <w:tabs>
          <w:tab w:val="left" w:pos="993"/>
        </w:tabs>
        <w:ind w:left="0" w:firstLine="420" w:firstLineChars="200"/>
        <w:rPr>
          <w:rFonts w:ascii="楷体" w:hAnsi="楷体" w:eastAsia="楷体" w:cs="Calibri"/>
          <w:color w:val="auto"/>
          <w:sz w:val="21"/>
          <w:szCs w:val="21"/>
          <w:highlight w:val="none"/>
        </w:rPr>
      </w:pPr>
      <w:r>
        <w:rPr>
          <w:rFonts w:hint="eastAsia" w:ascii="楷体" w:hAnsi="楷体" w:eastAsia="楷体" w:cs="Calibri"/>
          <w:color w:val="auto"/>
          <w:sz w:val="21"/>
          <w:szCs w:val="21"/>
          <w:highlight w:val="none"/>
        </w:rPr>
        <w:t>追索条款</w:t>
      </w:r>
    </w:p>
    <w:p>
      <w:pPr>
        <w:ind w:firstLine="420" w:firstLineChars="200"/>
        <w:rPr>
          <w:rFonts w:ascii="楷体" w:hAnsi="楷体" w:eastAsia="楷体"/>
          <w:color w:val="auto"/>
          <w:sz w:val="21"/>
          <w:szCs w:val="21"/>
          <w:highlight w:val="none"/>
        </w:rPr>
      </w:pPr>
      <w:r>
        <w:rPr>
          <w:rFonts w:hint="eastAsia" w:ascii="楷体" w:hAnsi="楷体" w:eastAsia="楷体"/>
          <w:color w:val="auto"/>
          <w:sz w:val="21"/>
          <w:szCs w:val="21"/>
          <w:highlight w:val="none"/>
        </w:rPr>
        <w:t>若本理财产品所投资的金融资产到期不能全部偿付导致资产减值甚至本金大幅损失，则苏银理财将以管理人名义，代表理财产品投资者利益行使诉讼权利或者实施其他权利救济措施。</w:t>
      </w:r>
    </w:p>
    <w:p>
      <w:pPr>
        <w:numPr>
          <w:ilvl w:val="0"/>
          <w:numId w:val="20"/>
        </w:numPr>
        <w:tabs>
          <w:tab w:val="left" w:pos="993"/>
        </w:tabs>
        <w:ind w:left="0" w:firstLine="420" w:firstLineChars="200"/>
        <w:rPr>
          <w:rFonts w:ascii="楷体" w:hAnsi="楷体" w:eastAsia="楷体" w:cs="Calibri"/>
          <w:color w:val="auto"/>
          <w:sz w:val="21"/>
          <w:szCs w:val="21"/>
          <w:highlight w:val="none"/>
        </w:rPr>
      </w:pPr>
      <w:r>
        <w:rPr>
          <w:rFonts w:hint="eastAsia" w:ascii="楷体" w:hAnsi="楷体" w:eastAsia="楷体" w:cs="Calibri"/>
          <w:color w:val="auto"/>
          <w:sz w:val="21"/>
          <w:szCs w:val="21"/>
          <w:highlight w:val="none"/>
        </w:rPr>
        <w:t>信息安全</w:t>
      </w:r>
    </w:p>
    <w:p>
      <w:pPr>
        <w:ind w:firstLine="420" w:firstLineChars="20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苏银理财及</w:t>
      </w:r>
      <w:r>
        <w:rPr>
          <w:rFonts w:hint="eastAsia" w:ascii="楷体" w:hAnsi="楷体" w:eastAsia="楷体"/>
          <w:color w:val="auto"/>
          <w:sz w:val="21"/>
          <w:szCs w:val="21"/>
          <w:highlight w:val="none"/>
          <w:lang w:val="en-US" w:eastAsia="zh-CN"/>
        </w:rPr>
        <w:t>销售</w:t>
      </w:r>
      <w:r>
        <w:rPr>
          <w:rFonts w:hint="eastAsia" w:ascii="楷体" w:hAnsi="楷体" w:eastAsia="楷体"/>
          <w:color w:val="auto"/>
          <w:sz w:val="21"/>
          <w:szCs w:val="21"/>
          <w:highlight w:val="none"/>
        </w:rPr>
        <w:t>机构将据相关法律、法规严格履行投资者信息保密责任，除监管机构或司法机关等有权机构外，不得对其他第三方提供任何投资者信息。</w:t>
      </w:r>
    </w:p>
    <w:p>
      <w:pPr>
        <w:numPr>
          <w:ilvl w:val="0"/>
          <w:numId w:val="20"/>
        </w:numPr>
        <w:tabs>
          <w:tab w:val="left" w:pos="993"/>
        </w:tabs>
        <w:ind w:left="0" w:firstLine="420" w:firstLineChars="200"/>
        <w:rPr>
          <w:rFonts w:ascii="楷体" w:hAnsi="楷体" w:eastAsia="楷体" w:cs="Calibri"/>
          <w:color w:val="auto"/>
          <w:sz w:val="21"/>
          <w:szCs w:val="21"/>
          <w:highlight w:val="none"/>
        </w:rPr>
      </w:pPr>
      <w:r>
        <w:rPr>
          <w:rFonts w:hint="eastAsia" w:ascii="楷体" w:hAnsi="楷体" w:eastAsia="楷体" w:cs="Calibri"/>
          <w:color w:val="auto"/>
          <w:sz w:val="21"/>
          <w:szCs w:val="21"/>
          <w:highlight w:val="none"/>
        </w:rPr>
        <w:t>争议解决</w:t>
      </w:r>
    </w:p>
    <w:p>
      <w:pPr>
        <w:ind w:firstLine="420" w:firstLineChars="200"/>
        <w:jc w:val="left"/>
        <w:rPr>
          <w:rFonts w:hint="eastAsia"/>
          <w:highlight w:val="none"/>
        </w:rPr>
      </w:pPr>
      <w:r>
        <w:rPr>
          <w:rFonts w:hint="eastAsia" w:ascii="楷体" w:hAnsi="楷体" w:eastAsia="楷体"/>
          <w:color w:val="auto"/>
          <w:sz w:val="21"/>
          <w:szCs w:val="21"/>
          <w:highlight w:val="none"/>
          <w:lang w:val="en-US" w:eastAsia="zh-CN"/>
        </w:rPr>
        <w:t>本产品说明书</w:t>
      </w:r>
      <w:r>
        <w:rPr>
          <w:rFonts w:hint="eastAsia" w:ascii="楷体" w:hAnsi="楷体" w:eastAsia="楷体"/>
          <w:color w:val="auto"/>
          <w:sz w:val="21"/>
          <w:szCs w:val="21"/>
          <w:highlight w:val="none"/>
        </w:rPr>
        <w:t>的订立、生效、履行、解释、修改和终止等事项均适用中华人民共和国（</w:t>
      </w:r>
      <w:r>
        <w:rPr>
          <w:rFonts w:hint="eastAsia" w:ascii="楷体" w:hAnsi="楷体" w:eastAsia="楷体"/>
          <w:color w:val="auto"/>
          <w:sz w:val="21"/>
          <w:szCs w:val="21"/>
          <w:highlight w:val="none"/>
          <w:lang w:val="en-US" w:eastAsia="zh-CN"/>
        </w:rPr>
        <w:t>为本合同目的，</w:t>
      </w:r>
      <w:r>
        <w:rPr>
          <w:rFonts w:hint="eastAsia" w:ascii="楷体" w:hAnsi="楷体" w:eastAsia="楷体"/>
          <w:color w:val="auto"/>
          <w:sz w:val="21"/>
          <w:szCs w:val="21"/>
          <w:highlight w:val="none"/>
        </w:rPr>
        <w:t>不包括香港特别行政区、澳门特别行政区和台湾地区）法律。</w:t>
      </w:r>
      <w:r>
        <w:rPr>
          <w:rFonts w:hint="eastAsia" w:ascii="楷体" w:hAnsi="楷体" w:eastAsia="楷体"/>
          <w:color w:val="auto"/>
          <w:sz w:val="21"/>
          <w:szCs w:val="21"/>
          <w:highlight w:val="none"/>
          <w:lang w:val="en-US" w:eastAsia="zh-CN"/>
        </w:rPr>
        <w:t>因本产品说明书</w:t>
      </w:r>
      <w:r>
        <w:rPr>
          <w:rFonts w:hint="eastAsia" w:ascii="楷体" w:hAnsi="楷体" w:eastAsia="楷体"/>
          <w:color w:val="auto"/>
          <w:sz w:val="21"/>
          <w:szCs w:val="21"/>
          <w:highlight w:val="none"/>
        </w:rPr>
        <w:t>引起的或与</w:t>
      </w:r>
      <w:r>
        <w:rPr>
          <w:rFonts w:hint="eastAsia" w:ascii="楷体" w:hAnsi="楷体" w:eastAsia="楷体"/>
          <w:color w:val="auto"/>
          <w:sz w:val="21"/>
          <w:szCs w:val="21"/>
          <w:highlight w:val="none"/>
          <w:lang w:val="en-US" w:eastAsia="zh-CN"/>
        </w:rPr>
        <w:t>本产品说明书</w:t>
      </w:r>
      <w:r>
        <w:rPr>
          <w:rFonts w:hint="eastAsia" w:ascii="楷体" w:hAnsi="楷体" w:eastAsia="楷体"/>
          <w:color w:val="auto"/>
          <w:sz w:val="21"/>
          <w:szCs w:val="21"/>
          <w:highlight w:val="none"/>
        </w:rPr>
        <w:t>有关的任何争议，应当首先通过双方之间的友好协商解决；协商不成的，双方均有权提交产品管理人</w:t>
      </w:r>
      <w:r>
        <w:rPr>
          <w:rFonts w:hint="eastAsia" w:ascii="楷体" w:hAnsi="楷体" w:eastAsia="楷体"/>
          <w:color w:val="auto"/>
          <w:sz w:val="21"/>
          <w:szCs w:val="21"/>
          <w:highlight w:val="none"/>
          <w:lang w:val="en-US" w:eastAsia="zh-CN"/>
        </w:rPr>
        <w:t>住所地</w:t>
      </w:r>
      <w:r>
        <w:rPr>
          <w:rFonts w:hint="eastAsia" w:ascii="楷体" w:hAnsi="楷体" w:eastAsia="楷体"/>
          <w:color w:val="auto"/>
          <w:sz w:val="21"/>
          <w:szCs w:val="21"/>
          <w:highlight w:val="none"/>
        </w:rPr>
        <w:t>有管辖权的人民法院诉讼解决。</w:t>
      </w:r>
    </w:p>
    <w:sectPr>
      <w:headerReference r:id="rId5" w:type="first"/>
      <w:headerReference r:id="rId3" w:type="default"/>
      <w:footerReference r:id="rId6" w:type="default"/>
      <w:headerReference r:id="rId4" w:type="even"/>
      <w:pgSz w:w="11906" w:h="16838"/>
      <w:pgMar w:top="1440" w:right="1134" w:bottom="1440" w:left="1134"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
    <w:panose1 w:val="02010609060101010101"/>
    <w:charset w:val="86"/>
    <w:family w:val="modern"/>
    <w:pitch w:val="default"/>
    <w:sig w:usb0="800002BF" w:usb1="38CF7CFA" w:usb2="00000016" w:usb3="00000000" w:csb0="00040001" w:csb1="00000000"/>
  </w:font>
  <w:font w:name="浠垮畫">
    <w:altName w:val="宋体"/>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23</w:t>
    </w:r>
    <w:r>
      <w:rPr>
        <w:b/>
        <w:bCs/>
        <w:sz w:val="24"/>
        <w:szCs w:val="24"/>
      </w:rPr>
      <w:fldChar w:fldCharType="end"/>
    </w:r>
  </w:p>
  <w:p>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kinsoku w:val="0"/>
      <w:overflowPunct w:val="0"/>
      <w:spacing w:before="0" w:line="320" w:lineRule="exact"/>
      <w:ind w:left="20"/>
      <w:jc w:val="both"/>
      <w:rPr>
        <w:rFonts w:ascii="楷体" w:hAnsi="楷体" w:eastAsia="楷体" w:cs="黑体"/>
        <w:b/>
        <w:spacing w:val="-2"/>
        <w:sz w:val="24"/>
        <w:szCs w:val="24"/>
      </w:rPr>
    </w:pPr>
    <w:r>
      <w:rPr>
        <w:rFonts w:ascii="楷体" w:hAnsi="楷体" w:eastAsia="楷体"/>
        <w:b/>
      </w:rP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14444345" cy="10958195"/>
          <wp:effectExtent l="0" t="0" r="14605" b="14605"/>
          <wp:wrapNone/>
          <wp:docPr id="4" name="WordPictureWatermark367128483" descr="苏银理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367128483" descr="苏银理财"/>
                  <pic:cNvPicPr>
                    <a:picLocks noChangeAspect="1"/>
                  </pic:cNvPicPr>
                </pic:nvPicPr>
                <pic:blipFill>
                  <a:blip r:embed="rId1">
                    <a:lum bright="70001" contrast="-70000"/>
                  </a:blip>
                  <a:stretch>
                    <a:fillRect/>
                  </a:stretch>
                </pic:blipFill>
                <pic:spPr>
                  <a:xfrm>
                    <a:off x="0" y="0"/>
                    <a:ext cx="14444345" cy="10958195"/>
                  </a:xfrm>
                  <a:prstGeom prst="rect">
                    <a:avLst/>
                  </a:prstGeom>
                  <a:noFill/>
                  <a:ln>
                    <a:noFill/>
                  </a:ln>
                </pic:spPr>
              </pic:pic>
            </a:graphicData>
          </a:graphic>
        </wp:anchor>
      </w:drawing>
    </w:r>
    <w:r>
      <w:drawing>
        <wp:anchor distT="0" distB="0" distL="114300" distR="114300" simplePos="0" relativeHeight="251662336" behindDoc="0" locked="0" layoutInCell="1" allowOverlap="1">
          <wp:simplePos x="0" y="0"/>
          <wp:positionH relativeFrom="column">
            <wp:posOffset>4992370</wp:posOffset>
          </wp:positionH>
          <wp:positionV relativeFrom="paragraph">
            <wp:posOffset>-124460</wp:posOffset>
          </wp:positionV>
          <wp:extent cx="1325245" cy="424815"/>
          <wp:effectExtent l="0" t="0" r="8255" b="3810"/>
          <wp:wrapSquare wrapText="bothSides"/>
          <wp:docPr id="1" name="图片 1" descr="说明: 说明: C:\Users\JSYH\Desktop\苏银理财.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说明: 说明: C:\Users\JSYH\Desktop\苏银理财.png"/>
                  <pic:cNvPicPr>
                    <a:picLocks noChangeAspect="1"/>
                  </pic:cNvPicPr>
                </pic:nvPicPr>
                <pic:blipFill>
                  <a:blip r:embed="rId2"/>
                  <a:stretch>
                    <a:fillRect/>
                  </a:stretch>
                </pic:blipFill>
                <pic:spPr>
                  <a:xfrm>
                    <a:off x="0" y="0"/>
                    <a:ext cx="1325245" cy="424815"/>
                  </a:xfrm>
                  <a:prstGeom prst="rect">
                    <a:avLst/>
                  </a:prstGeom>
                  <a:noFill/>
                  <a:ln>
                    <a:noFill/>
                  </a:ln>
                </pic:spPr>
              </pic:pic>
            </a:graphicData>
          </a:graphic>
        </wp:anchor>
      </w:drawing>
    </w:r>
    <w:r>
      <w:rPr>
        <w:rFonts w:hint="eastAsia" w:ascii="楷体" w:hAnsi="楷体" w:eastAsia="楷体" w:cs="黑体"/>
        <w:b/>
        <w:bCs/>
        <w:spacing w:val="-2"/>
        <w:sz w:val="24"/>
        <w:szCs w:val="24"/>
      </w:rPr>
      <w:t>理财非存款、产品有风险、投资须谨慎</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14444345" cy="10958195"/>
          <wp:effectExtent l="0" t="0" r="14605" b="14605"/>
          <wp:wrapNone/>
          <wp:docPr id="3" name="WordPictureWatermark367128482" descr="苏银理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367128482" descr="苏银理财"/>
                  <pic:cNvPicPr>
                    <a:picLocks noChangeAspect="1"/>
                  </pic:cNvPicPr>
                </pic:nvPicPr>
                <pic:blipFill>
                  <a:blip r:embed="rId1">
                    <a:lum bright="70001" contrast="-70000"/>
                  </a:blip>
                  <a:stretch>
                    <a:fillRect/>
                  </a:stretch>
                </pic:blipFill>
                <pic:spPr>
                  <a:xfrm>
                    <a:off x="0" y="0"/>
                    <a:ext cx="14444345" cy="1095819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drawing>
        <wp:anchor distT="0" distB="0" distL="114300" distR="114300" simplePos="0" relativeHeight="251659264" behindDoc="1" locked="0" layoutInCell="0" allowOverlap="1">
          <wp:simplePos x="0" y="0"/>
          <wp:positionH relativeFrom="margin">
            <wp:align>center</wp:align>
          </wp:positionH>
          <wp:positionV relativeFrom="margin">
            <wp:align>center</wp:align>
          </wp:positionV>
          <wp:extent cx="14444345" cy="10958195"/>
          <wp:effectExtent l="0" t="0" r="14605" b="14605"/>
          <wp:wrapNone/>
          <wp:docPr id="2" name="WordPictureWatermark367128481" descr="苏银理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PictureWatermark367128481" descr="苏银理财"/>
                  <pic:cNvPicPr>
                    <a:picLocks noChangeAspect="1"/>
                  </pic:cNvPicPr>
                </pic:nvPicPr>
                <pic:blipFill>
                  <a:blip r:embed="rId1">
                    <a:lum bright="70001" contrast="-70000"/>
                  </a:blip>
                  <a:stretch>
                    <a:fillRect/>
                  </a:stretch>
                </pic:blipFill>
                <pic:spPr>
                  <a:xfrm>
                    <a:off x="0" y="0"/>
                    <a:ext cx="14444345" cy="109581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C7A4B8"/>
    <w:multiLevelType w:val="multilevel"/>
    <w:tmpl w:val="83C7A4B8"/>
    <w:lvl w:ilvl="0" w:tentative="0">
      <w:start w:val="1"/>
      <w:numFmt w:val="decimal"/>
      <w:suff w:val="nothing"/>
      <w:lvlText w:val="%1."/>
      <w:lvlJc w:val="left"/>
      <w:pPr>
        <w:tabs>
          <w:tab w:val="left" w:pos="420"/>
        </w:tabs>
        <w:ind w:left="420" w:hanging="420"/>
      </w:pPr>
      <w:rPr>
        <w:rFonts w:hint="default" w:eastAsia="楷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A471B109"/>
    <w:multiLevelType w:val="multilevel"/>
    <w:tmpl w:val="A471B109"/>
    <w:lvl w:ilvl="0" w:tentative="0">
      <w:start w:val="1"/>
      <w:numFmt w:val="decimal"/>
      <w:suff w:val="nothing"/>
      <w:lvlText w:val="%1."/>
      <w:lvlJc w:val="left"/>
      <w:pPr>
        <w:tabs>
          <w:tab w:val="left" w:pos="420"/>
        </w:tabs>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A550252B"/>
    <w:multiLevelType w:val="multilevel"/>
    <w:tmpl w:val="A550252B"/>
    <w:lvl w:ilvl="0" w:tentative="0">
      <w:start w:val="1"/>
      <w:numFmt w:val="decimal"/>
      <w:suff w:val="nothing"/>
      <w:lvlText w:val="%1."/>
      <w:lvlJc w:val="left"/>
      <w:pPr>
        <w:tabs>
          <w:tab w:val="left" w:pos="420"/>
        </w:tabs>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B4D4F12E"/>
    <w:multiLevelType w:val="singleLevel"/>
    <w:tmpl w:val="B4D4F12E"/>
    <w:lvl w:ilvl="0" w:tentative="0">
      <w:start w:val="1"/>
      <w:numFmt w:val="decimal"/>
      <w:suff w:val="nothing"/>
      <w:lvlText w:val="（%1）"/>
      <w:lvlJc w:val="left"/>
    </w:lvl>
  </w:abstractNum>
  <w:abstractNum w:abstractNumId="4">
    <w:nsid w:val="E11AD990"/>
    <w:multiLevelType w:val="multilevel"/>
    <w:tmpl w:val="E11AD990"/>
    <w:lvl w:ilvl="0" w:tentative="0">
      <w:start w:val="1"/>
      <w:numFmt w:val="decimal"/>
      <w:suff w:val="nothing"/>
      <w:lvlText w:val="%1."/>
      <w:lvlJc w:val="left"/>
      <w:pPr>
        <w:tabs>
          <w:tab w:val="left" w:pos="420"/>
        </w:tabs>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0C3765E7"/>
    <w:multiLevelType w:val="multilevel"/>
    <w:tmpl w:val="0C3765E7"/>
    <w:lvl w:ilvl="0" w:tentative="0">
      <w:start w:val="1"/>
      <w:numFmt w:val="chineseCounting"/>
      <w:suff w:val="nothing"/>
      <w:lvlText w:val="（%1）"/>
      <w:lvlJc w:val="left"/>
      <w:pPr>
        <w:tabs>
          <w:tab w:val="left" w:pos="0"/>
        </w:tabs>
        <w:ind w:left="420" w:hanging="420"/>
      </w:pPr>
      <w:rPr>
        <w:rFonts w:hint="eastAsia" w:ascii="楷体" w:hAnsi="楷体" w:eastAsia="楷体" w:cs="楷体"/>
        <w:b w:val="0"/>
        <w:bCs w:val="0"/>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6">
    <w:nsid w:val="13CDDB3D"/>
    <w:multiLevelType w:val="multilevel"/>
    <w:tmpl w:val="13CDDB3D"/>
    <w:lvl w:ilvl="0" w:tentative="0">
      <w:start w:val="1"/>
      <w:numFmt w:val="decimal"/>
      <w:suff w:val="nothing"/>
      <w:lvlText w:val="%1."/>
      <w:lvlJc w:val="left"/>
      <w:pPr>
        <w:tabs>
          <w:tab w:val="left" w:pos="420"/>
        </w:tabs>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2B5E71E1"/>
    <w:multiLevelType w:val="multilevel"/>
    <w:tmpl w:val="2B5E71E1"/>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2D5197BC"/>
    <w:multiLevelType w:val="multilevel"/>
    <w:tmpl w:val="2D5197BC"/>
    <w:lvl w:ilvl="0" w:tentative="0">
      <w:start w:val="1"/>
      <w:numFmt w:val="chineseCounting"/>
      <w:suff w:val="nothing"/>
      <w:lvlText w:val="%1、"/>
      <w:lvlJc w:val="left"/>
      <w:pPr>
        <w:tabs>
          <w:tab w:val="left" w:pos="0"/>
        </w:tabs>
        <w:ind w:left="0" w:firstLine="40"/>
      </w:pPr>
      <w:rPr>
        <w:rFonts w:hint="eastAsia" w:ascii="楷体" w:hAnsi="楷体" w:eastAsia="楷体" w:cs="楷体"/>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9">
    <w:nsid w:val="3708999D"/>
    <w:multiLevelType w:val="singleLevel"/>
    <w:tmpl w:val="3708999D"/>
    <w:lvl w:ilvl="0" w:tentative="0">
      <w:start w:val="1"/>
      <w:numFmt w:val="decimalEnclosedCircleChinese"/>
      <w:suff w:val="nothing"/>
      <w:lvlText w:val="%1　"/>
      <w:lvlJc w:val="left"/>
      <w:pPr>
        <w:ind w:left="0" w:firstLine="400"/>
      </w:pPr>
      <w:rPr>
        <w:rFonts w:hint="eastAsia"/>
      </w:rPr>
    </w:lvl>
  </w:abstractNum>
  <w:abstractNum w:abstractNumId="10">
    <w:nsid w:val="393A262E"/>
    <w:multiLevelType w:val="multilevel"/>
    <w:tmpl w:val="393A262E"/>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4CC848E7"/>
    <w:multiLevelType w:val="multilevel"/>
    <w:tmpl w:val="4CC848E7"/>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4FF03779"/>
    <w:multiLevelType w:val="singleLevel"/>
    <w:tmpl w:val="4FF03779"/>
    <w:lvl w:ilvl="0" w:tentative="0">
      <w:start w:val="1"/>
      <w:numFmt w:val="decimal"/>
      <w:suff w:val="nothing"/>
      <w:lvlText w:val="%1."/>
      <w:lvlJc w:val="left"/>
      <w:pPr>
        <w:tabs>
          <w:tab w:val="left" w:pos="0"/>
        </w:tabs>
        <w:ind w:left="0" w:firstLine="0"/>
      </w:pPr>
      <w:rPr>
        <w:rFonts w:hint="default"/>
      </w:rPr>
    </w:lvl>
  </w:abstractNum>
  <w:abstractNum w:abstractNumId="13">
    <w:nsid w:val="542FDF91"/>
    <w:multiLevelType w:val="multilevel"/>
    <w:tmpl w:val="542FDF91"/>
    <w:lvl w:ilvl="0" w:tentative="0">
      <w:start w:val="1"/>
      <w:numFmt w:val="decimal"/>
      <w:suff w:val="nothing"/>
      <w:lvlText w:val="%1."/>
      <w:lvlJc w:val="left"/>
      <w:pPr>
        <w:tabs>
          <w:tab w:val="left" w:pos="420"/>
        </w:tabs>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551134C1"/>
    <w:multiLevelType w:val="multilevel"/>
    <w:tmpl w:val="551134C1"/>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58D10B54"/>
    <w:multiLevelType w:val="multilevel"/>
    <w:tmpl w:val="58D10B54"/>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67267532"/>
    <w:multiLevelType w:val="multilevel"/>
    <w:tmpl w:val="67267532"/>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7">
    <w:nsid w:val="7038F410"/>
    <w:multiLevelType w:val="multilevel"/>
    <w:tmpl w:val="7038F410"/>
    <w:lvl w:ilvl="0" w:tentative="0">
      <w:start w:val="1"/>
      <w:numFmt w:val="decimal"/>
      <w:suff w:val="nothing"/>
      <w:lvlText w:val="%1."/>
      <w:lvlJc w:val="left"/>
      <w:pPr>
        <w:tabs>
          <w:tab w:val="left" w:pos="420"/>
        </w:tabs>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75E52FDD"/>
    <w:multiLevelType w:val="multilevel"/>
    <w:tmpl w:val="75E52FDD"/>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7F17FFC0"/>
    <w:multiLevelType w:val="multilevel"/>
    <w:tmpl w:val="7F17FFC0"/>
    <w:lvl w:ilvl="0" w:tentative="0">
      <w:start w:val="1"/>
      <w:numFmt w:val="decimal"/>
      <w:suff w:val="nothing"/>
      <w:lvlText w:val="%1."/>
      <w:lvlJc w:val="left"/>
      <w:pPr>
        <w:tabs>
          <w:tab w:val="left" w:pos="420"/>
        </w:tabs>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9"/>
  </w:num>
  <w:num w:numId="2">
    <w:abstractNumId w:val="8"/>
  </w:num>
  <w:num w:numId="3">
    <w:abstractNumId w:val="16"/>
  </w:num>
  <w:num w:numId="4">
    <w:abstractNumId w:val="17"/>
  </w:num>
  <w:num w:numId="5">
    <w:abstractNumId w:val="19"/>
  </w:num>
  <w:num w:numId="6">
    <w:abstractNumId w:val="18"/>
  </w:num>
  <w:num w:numId="7">
    <w:abstractNumId w:val="3"/>
  </w:num>
  <w:num w:numId="8">
    <w:abstractNumId w:val="12"/>
  </w:num>
  <w:num w:numId="9">
    <w:abstractNumId w:val="11"/>
  </w:num>
  <w:num w:numId="10">
    <w:abstractNumId w:val="7"/>
  </w:num>
  <w:num w:numId="11">
    <w:abstractNumId w:val="2"/>
  </w:num>
  <w:num w:numId="12">
    <w:abstractNumId w:val="5"/>
  </w:num>
  <w:num w:numId="13">
    <w:abstractNumId w:val="0"/>
  </w:num>
  <w:num w:numId="14">
    <w:abstractNumId w:val="15"/>
  </w:num>
  <w:num w:numId="15">
    <w:abstractNumId w:val="13"/>
  </w:num>
  <w:num w:numId="16">
    <w:abstractNumId w:val="6"/>
  </w:num>
  <w:num w:numId="17">
    <w:abstractNumId w:val="14"/>
  </w:num>
  <w:num w:numId="18">
    <w:abstractNumId w:val="1"/>
  </w:num>
  <w:num w:numId="19">
    <w:abstractNumId w:val="4"/>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5"/>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61CBB"/>
    <w:rsid w:val="00276FCD"/>
    <w:rsid w:val="002A7F52"/>
    <w:rsid w:val="005610EB"/>
    <w:rsid w:val="00B73039"/>
    <w:rsid w:val="00F02299"/>
    <w:rsid w:val="00FD53CA"/>
    <w:rsid w:val="01081DDE"/>
    <w:rsid w:val="01916153"/>
    <w:rsid w:val="01C11F94"/>
    <w:rsid w:val="01DA571A"/>
    <w:rsid w:val="01F11ABC"/>
    <w:rsid w:val="02342294"/>
    <w:rsid w:val="02394C4E"/>
    <w:rsid w:val="023B31B5"/>
    <w:rsid w:val="02706D07"/>
    <w:rsid w:val="027B1BEB"/>
    <w:rsid w:val="02B04479"/>
    <w:rsid w:val="02B54BB9"/>
    <w:rsid w:val="02BB217A"/>
    <w:rsid w:val="02E47F25"/>
    <w:rsid w:val="02EE64DC"/>
    <w:rsid w:val="030516AD"/>
    <w:rsid w:val="03B26B31"/>
    <w:rsid w:val="03E91BF7"/>
    <w:rsid w:val="03FC3F39"/>
    <w:rsid w:val="04351FFD"/>
    <w:rsid w:val="049E6222"/>
    <w:rsid w:val="04A92EE3"/>
    <w:rsid w:val="05120775"/>
    <w:rsid w:val="05213D83"/>
    <w:rsid w:val="0522647B"/>
    <w:rsid w:val="052D480C"/>
    <w:rsid w:val="0537036B"/>
    <w:rsid w:val="05397409"/>
    <w:rsid w:val="05A60B08"/>
    <w:rsid w:val="05AB50DB"/>
    <w:rsid w:val="05C22B02"/>
    <w:rsid w:val="05DF682E"/>
    <w:rsid w:val="06411C20"/>
    <w:rsid w:val="06917613"/>
    <w:rsid w:val="06A93A70"/>
    <w:rsid w:val="06FF25F4"/>
    <w:rsid w:val="07363BBD"/>
    <w:rsid w:val="07770ECE"/>
    <w:rsid w:val="07963995"/>
    <w:rsid w:val="07DC6E8D"/>
    <w:rsid w:val="07DE1B77"/>
    <w:rsid w:val="07E626A5"/>
    <w:rsid w:val="083C4181"/>
    <w:rsid w:val="08494B4C"/>
    <w:rsid w:val="08545039"/>
    <w:rsid w:val="087E378B"/>
    <w:rsid w:val="08C87576"/>
    <w:rsid w:val="099730C7"/>
    <w:rsid w:val="09BB6FD3"/>
    <w:rsid w:val="09E64105"/>
    <w:rsid w:val="0AA20035"/>
    <w:rsid w:val="0B3550F2"/>
    <w:rsid w:val="0B426C20"/>
    <w:rsid w:val="0B471607"/>
    <w:rsid w:val="0B493D92"/>
    <w:rsid w:val="0B521344"/>
    <w:rsid w:val="0B7873E7"/>
    <w:rsid w:val="0BE46D3E"/>
    <w:rsid w:val="0C2A04AF"/>
    <w:rsid w:val="0C383A1B"/>
    <w:rsid w:val="0C3C461F"/>
    <w:rsid w:val="0C8B2263"/>
    <w:rsid w:val="0C8C56A3"/>
    <w:rsid w:val="0CB3468E"/>
    <w:rsid w:val="0D460355"/>
    <w:rsid w:val="0D5044E7"/>
    <w:rsid w:val="0D5B3087"/>
    <w:rsid w:val="0DCA2B2C"/>
    <w:rsid w:val="0DDD75CE"/>
    <w:rsid w:val="0DE6245C"/>
    <w:rsid w:val="0E324ADA"/>
    <w:rsid w:val="0E8C12CF"/>
    <w:rsid w:val="0E995783"/>
    <w:rsid w:val="0EA24D8E"/>
    <w:rsid w:val="0EFD7A26"/>
    <w:rsid w:val="0F1B4A58"/>
    <w:rsid w:val="0F1B4AB3"/>
    <w:rsid w:val="0F2D7FC5"/>
    <w:rsid w:val="0FA551A3"/>
    <w:rsid w:val="0FD22F01"/>
    <w:rsid w:val="100459CF"/>
    <w:rsid w:val="106A7BFD"/>
    <w:rsid w:val="109A102D"/>
    <w:rsid w:val="10B72620"/>
    <w:rsid w:val="10D208A6"/>
    <w:rsid w:val="11022343"/>
    <w:rsid w:val="111D76A0"/>
    <w:rsid w:val="1137604C"/>
    <w:rsid w:val="1167461D"/>
    <w:rsid w:val="11C449B6"/>
    <w:rsid w:val="12136ABA"/>
    <w:rsid w:val="121A7943"/>
    <w:rsid w:val="121F3DCB"/>
    <w:rsid w:val="12627D38"/>
    <w:rsid w:val="126807AF"/>
    <w:rsid w:val="126877DE"/>
    <w:rsid w:val="12705D8B"/>
    <w:rsid w:val="12E2190B"/>
    <w:rsid w:val="130762C7"/>
    <w:rsid w:val="130A1945"/>
    <w:rsid w:val="132C05F4"/>
    <w:rsid w:val="133603BC"/>
    <w:rsid w:val="13512072"/>
    <w:rsid w:val="13566046"/>
    <w:rsid w:val="1363315E"/>
    <w:rsid w:val="13813EDF"/>
    <w:rsid w:val="13BA3C51"/>
    <w:rsid w:val="142E3B87"/>
    <w:rsid w:val="14497ECB"/>
    <w:rsid w:val="14AE7D5C"/>
    <w:rsid w:val="14E76B1D"/>
    <w:rsid w:val="14EA3140"/>
    <w:rsid w:val="14ED722A"/>
    <w:rsid w:val="151627A4"/>
    <w:rsid w:val="15250560"/>
    <w:rsid w:val="15452BE9"/>
    <w:rsid w:val="15661276"/>
    <w:rsid w:val="15961DF8"/>
    <w:rsid w:val="15C23F41"/>
    <w:rsid w:val="15D95D65"/>
    <w:rsid w:val="16321C77"/>
    <w:rsid w:val="16452649"/>
    <w:rsid w:val="165A010B"/>
    <w:rsid w:val="16DB02E7"/>
    <w:rsid w:val="16E82A20"/>
    <w:rsid w:val="17E11F5A"/>
    <w:rsid w:val="17F83B61"/>
    <w:rsid w:val="18563155"/>
    <w:rsid w:val="18766114"/>
    <w:rsid w:val="18790C37"/>
    <w:rsid w:val="18903A4D"/>
    <w:rsid w:val="18925467"/>
    <w:rsid w:val="18D417E2"/>
    <w:rsid w:val="191E3445"/>
    <w:rsid w:val="19525097"/>
    <w:rsid w:val="19765916"/>
    <w:rsid w:val="19B25954"/>
    <w:rsid w:val="19D011E9"/>
    <w:rsid w:val="19DA1846"/>
    <w:rsid w:val="19DF46F8"/>
    <w:rsid w:val="19E8300C"/>
    <w:rsid w:val="1A1254D5"/>
    <w:rsid w:val="1A2331F2"/>
    <w:rsid w:val="1A74679E"/>
    <w:rsid w:val="1AA527A3"/>
    <w:rsid w:val="1AB40CBF"/>
    <w:rsid w:val="1BB6506B"/>
    <w:rsid w:val="1BC003D1"/>
    <w:rsid w:val="1BC94B68"/>
    <w:rsid w:val="1BEF4322"/>
    <w:rsid w:val="1BF53974"/>
    <w:rsid w:val="1C1B3B29"/>
    <w:rsid w:val="1C4231EC"/>
    <w:rsid w:val="1C512181"/>
    <w:rsid w:val="1CB5609A"/>
    <w:rsid w:val="1D17073A"/>
    <w:rsid w:val="1D505225"/>
    <w:rsid w:val="1DA43FDF"/>
    <w:rsid w:val="1E0972D4"/>
    <w:rsid w:val="1E1E7279"/>
    <w:rsid w:val="1E315B06"/>
    <w:rsid w:val="1E3C6829"/>
    <w:rsid w:val="1E5B385B"/>
    <w:rsid w:val="1E747638"/>
    <w:rsid w:val="1F111238"/>
    <w:rsid w:val="1F603109"/>
    <w:rsid w:val="1F9E2BED"/>
    <w:rsid w:val="1FBB7F9F"/>
    <w:rsid w:val="1FC73DB2"/>
    <w:rsid w:val="1FC85FB0"/>
    <w:rsid w:val="1FCD5CBB"/>
    <w:rsid w:val="200E39C9"/>
    <w:rsid w:val="20220C48"/>
    <w:rsid w:val="203F2777"/>
    <w:rsid w:val="205E2E63"/>
    <w:rsid w:val="20862AD5"/>
    <w:rsid w:val="208D0A85"/>
    <w:rsid w:val="20A5280C"/>
    <w:rsid w:val="20D359FB"/>
    <w:rsid w:val="20E556F1"/>
    <w:rsid w:val="21361C5E"/>
    <w:rsid w:val="2185500C"/>
    <w:rsid w:val="21893A13"/>
    <w:rsid w:val="219707AA"/>
    <w:rsid w:val="21F94FCB"/>
    <w:rsid w:val="22046BDF"/>
    <w:rsid w:val="22386D07"/>
    <w:rsid w:val="22480419"/>
    <w:rsid w:val="22965783"/>
    <w:rsid w:val="22DC376E"/>
    <w:rsid w:val="22ED32DA"/>
    <w:rsid w:val="22FD3574"/>
    <w:rsid w:val="231C6AB5"/>
    <w:rsid w:val="233F30E4"/>
    <w:rsid w:val="23593C8E"/>
    <w:rsid w:val="23727724"/>
    <w:rsid w:val="239F40F6"/>
    <w:rsid w:val="23AA2793"/>
    <w:rsid w:val="23ED3B3C"/>
    <w:rsid w:val="24CA7BB8"/>
    <w:rsid w:val="24FA6D92"/>
    <w:rsid w:val="250550E5"/>
    <w:rsid w:val="2536069B"/>
    <w:rsid w:val="25374980"/>
    <w:rsid w:val="254734B9"/>
    <w:rsid w:val="2550672C"/>
    <w:rsid w:val="25624188"/>
    <w:rsid w:val="25BD0FD2"/>
    <w:rsid w:val="263B5F44"/>
    <w:rsid w:val="265A1DE6"/>
    <w:rsid w:val="26690F27"/>
    <w:rsid w:val="26694895"/>
    <w:rsid w:val="26A12F28"/>
    <w:rsid w:val="26AC79F8"/>
    <w:rsid w:val="26B91D54"/>
    <w:rsid w:val="26C45E5E"/>
    <w:rsid w:val="26E75D9A"/>
    <w:rsid w:val="26E90667"/>
    <w:rsid w:val="26F43175"/>
    <w:rsid w:val="274A0B5C"/>
    <w:rsid w:val="279142F8"/>
    <w:rsid w:val="27FA7E2E"/>
    <w:rsid w:val="280B1A43"/>
    <w:rsid w:val="287A6F6C"/>
    <w:rsid w:val="288E0F4E"/>
    <w:rsid w:val="28A91541"/>
    <w:rsid w:val="28B0474F"/>
    <w:rsid w:val="28EF5796"/>
    <w:rsid w:val="28F60FCD"/>
    <w:rsid w:val="29522941"/>
    <w:rsid w:val="29855A2C"/>
    <w:rsid w:val="29B92A03"/>
    <w:rsid w:val="29CE7219"/>
    <w:rsid w:val="2A5C719F"/>
    <w:rsid w:val="2A832D10"/>
    <w:rsid w:val="2AF12700"/>
    <w:rsid w:val="2B221E6C"/>
    <w:rsid w:val="2B3631F4"/>
    <w:rsid w:val="2B575927"/>
    <w:rsid w:val="2B797161"/>
    <w:rsid w:val="2B9D3E9D"/>
    <w:rsid w:val="2CE341B5"/>
    <w:rsid w:val="2D11017C"/>
    <w:rsid w:val="2D2626A0"/>
    <w:rsid w:val="2DDC0B49"/>
    <w:rsid w:val="2E252A9E"/>
    <w:rsid w:val="2E407A81"/>
    <w:rsid w:val="2E6D5504"/>
    <w:rsid w:val="2E835E5F"/>
    <w:rsid w:val="2E8A38BB"/>
    <w:rsid w:val="2E9559D9"/>
    <w:rsid w:val="2E9F679E"/>
    <w:rsid w:val="2EA56E27"/>
    <w:rsid w:val="2F0313A8"/>
    <w:rsid w:val="2F3015A3"/>
    <w:rsid w:val="2F5219B0"/>
    <w:rsid w:val="2F6A13F9"/>
    <w:rsid w:val="2FC41CB0"/>
    <w:rsid w:val="302144DC"/>
    <w:rsid w:val="30405DB5"/>
    <w:rsid w:val="30426D1D"/>
    <w:rsid w:val="30CF5A24"/>
    <w:rsid w:val="31097378"/>
    <w:rsid w:val="311D7D22"/>
    <w:rsid w:val="31312245"/>
    <w:rsid w:val="31376781"/>
    <w:rsid w:val="31526B96"/>
    <w:rsid w:val="315A6870"/>
    <w:rsid w:val="316E051C"/>
    <w:rsid w:val="31F16321"/>
    <w:rsid w:val="32035262"/>
    <w:rsid w:val="32273428"/>
    <w:rsid w:val="3270263D"/>
    <w:rsid w:val="328344B2"/>
    <w:rsid w:val="3286033C"/>
    <w:rsid w:val="328F0574"/>
    <w:rsid w:val="3296605F"/>
    <w:rsid w:val="331B4ED5"/>
    <w:rsid w:val="334151A1"/>
    <w:rsid w:val="33463EAF"/>
    <w:rsid w:val="33550FE6"/>
    <w:rsid w:val="336C141E"/>
    <w:rsid w:val="339C18CC"/>
    <w:rsid w:val="33A87FED"/>
    <w:rsid w:val="33C259F7"/>
    <w:rsid w:val="34127147"/>
    <w:rsid w:val="34201613"/>
    <w:rsid w:val="34291F23"/>
    <w:rsid w:val="344806D1"/>
    <w:rsid w:val="34727D99"/>
    <w:rsid w:val="34750B27"/>
    <w:rsid w:val="347A39E3"/>
    <w:rsid w:val="349E222E"/>
    <w:rsid w:val="34B33411"/>
    <w:rsid w:val="34C51A78"/>
    <w:rsid w:val="34E0563C"/>
    <w:rsid w:val="34EB675E"/>
    <w:rsid w:val="351055D8"/>
    <w:rsid w:val="355F3301"/>
    <w:rsid w:val="35CD3B0F"/>
    <w:rsid w:val="35F40894"/>
    <w:rsid w:val="35F53BC7"/>
    <w:rsid w:val="35FC56A1"/>
    <w:rsid w:val="36771768"/>
    <w:rsid w:val="36D265FE"/>
    <w:rsid w:val="36E01197"/>
    <w:rsid w:val="37195DD0"/>
    <w:rsid w:val="37396667"/>
    <w:rsid w:val="375223CF"/>
    <w:rsid w:val="375F35B5"/>
    <w:rsid w:val="379E3A7A"/>
    <w:rsid w:val="37CA14FC"/>
    <w:rsid w:val="37F6376B"/>
    <w:rsid w:val="38005C99"/>
    <w:rsid w:val="3806789C"/>
    <w:rsid w:val="38324F36"/>
    <w:rsid w:val="396430B4"/>
    <w:rsid w:val="398C207A"/>
    <w:rsid w:val="399651CC"/>
    <w:rsid w:val="39E64E78"/>
    <w:rsid w:val="3A2F3A82"/>
    <w:rsid w:val="3A2F453A"/>
    <w:rsid w:val="3A6A61E5"/>
    <w:rsid w:val="3AC86100"/>
    <w:rsid w:val="3ACC2A06"/>
    <w:rsid w:val="3B20468F"/>
    <w:rsid w:val="3B316DAA"/>
    <w:rsid w:val="3B372FD2"/>
    <w:rsid w:val="3BAF51F7"/>
    <w:rsid w:val="3BC8097B"/>
    <w:rsid w:val="3C422C2A"/>
    <w:rsid w:val="3C565716"/>
    <w:rsid w:val="3C6C38E1"/>
    <w:rsid w:val="3CA73211"/>
    <w:rsid w:val="3CC938CE"/>
    <w:rsid w:val="3CD97263"/>
    <w:rsid w:val="3D0A03EB"/>
    <w:rsid w:val="3D19224B"/>
    <w:rsid w:val="3D5742AE"/>
    <w:rsid w:val="3DC06319"/>
    <w:rsid w:val="3E294607"/>
    <w:rsid w:val="3E390124"/>
    <w:rsid w:val="3E3C7880"/>
    <w:rsid w:val="3E4F4139"/>
    <w:rsid w:val="3ED33ABA"/>
    <w:rsid w:val="3EDC31B1"/>
    <w:rsid w:val="3EEA1626"/>
    <w:rsid w:val="3F366D42"/>
    <w:rsid w:val="3F3B3EDB"/>
    <w:rsid w:val="3F522DEF"/>
    <w:rsid w:val="3F8A45CE"/>
    <w:rsid w:val="3FBD5D22"/>
    <w:rsid w:val="3FD352E5"/>
    <w:rsid w:val="3FFF7279"/>
    <w:rsid w:val="40456F00"/>
    <w:rsid w:val="405B780B"/>
    <w:rsid w:val="407A2131"/>
    <w:rsid w:val="40B93161"/>
    <w:rsid w:val="40BB01C3"/>
    <w:rsid w:val="40F3251B"/>
    <w:rsid w:val="411811BC"/>
    <w:rsid w:val="4126543E"/>
    <w:rsid w:val="41670A1F"/>
    <w:rsid w:val="420B0DEA"/>
    <w:rsid w:val="423A0CFF"/>
    <w:rsid w:val="42414BD8"/>
    <w:rsid w:val="427B00CF"/>
    <w:rsid w:val="429162BF"/>
    <w:rsid w:val="43016A94"/>
    <w:rsid w:val="430644A8"/>
    <w:rsid w:val="43076EE2"/>
    <w:rsid w:val="432F1E46"/>
    <w:rsid w:val="43484F6E"/>
    <w:rsid w:val="43562586"/>
    <w:rsid w:val="43A60B8B"/>
    <w:rsid w:val="43CA7AC6"/>
    <w:rsid w:val="43DD1CAC"/>
    <w:rsid w:val="43ED3FBD"/>
    <w:rsid w:val="44044239"/>
    <w:rsid w:val="442A5561"/>
    <w:rsid w:val="44524527"/>
    <w:rsid w:val="447F71E8"/>
    <w:rsid w:val="451A06ED"/>
    <w:rsid w:val="45245151"/>
    <w:rsid w:val="456926CF"/>
    <w:rsid w:val="458B1600"/>
    <w:rsid w:val="45A31E9F"/>
    <w:rsid w:val="45E06380"/>
    <w:rsid w:val="46132E83"/>
    <w:rsid w:val="46F648FA"/>
    <w:rsid w:val="47A4705A"/>
    <w:rsid w:val="480D1D44"/>
    <w:rsid w:val="4835453B"/>
    <w:rsid w:val="48652264"/>
    <w:rsid w:val="48683357"/>
    <w:rsid w:val="489F12B3"/>
    <w:rsid w:val="48B60ED8"/>
    <w:rsid w:val="48E038AF"/>
    <w:rsid w:val="49287F12"/>
    <w:rsid w:val="49466806"/>
    <w:rsid w:val="49582C60"/>
    <w:rsid w:val="495D6DB6"/>
    <w:rsid w:val="496E5595"/>
    <w:rsid w:val="497B6BF6"/>
    <w:rsid w:val="499F73AD"/>
    <w:rsid w:val="49B83F7E"/>
    <w:rsid w:val="4A007BF5"/>
    <w:rsid w:val="4A06662F"/>
    <w:rsid w:val="4A0D148A"/>
    <w:rsid w:val="4A4009DF"/>
    <w:rsid w:val="4A6F5CAB"/>
    <w:rsid w:val="4ABD162D"/>
    <w:rsid w:val="4B80633B"/>
    <w:rsid w:val="4BD02064"/>
    <w:rsid w:val="4BF23C29"/>
    <w:rsid w:val="4BF673B5"/>
    <w:rsid w:val="4C0A2CBC"/>
    <w:rsid w:val="4C0B3EB6"/>
    <w:rsid w:val="4C281795"/>
    <w:rsid w:val="4C4F3FC2"/>
    <w:rsid w:val="4CAB3057"/>
    <w:rsid w:val="4CC732A2"/>
    <w:rsid w:val="4D077EEE"/>
    <w:rsid w:val="4D0B68F4"/>
    <w:rsid w:val="4D0E0101"/>
    <w:rsid w:val="4D3C02CC"/>
    <w:rsid w:val="4D7311CC"/>
    <w:rsid w:val="4DB35E08"/>
    <w:rsid w:val="4DBC05B9"/>
    <w:rsid w:val="4DFD4F82"/>
    <w:rsid w:val="4E1131A0"/>
    <w:rsid w:val="4E470622"/>
    <w:rsid w:val="4E5E45D2"/>
    <w:rsid w:val="4E66112F"/>
    <w:rsid w:val="4EB57E15"/>
    <w:rsid w:val="4EFB1622"/>
    <w:rsid w:val="4F1D45B9"/>
    <w:rsid w:val="4F3141FC"/>
    <w:rsid w:val="4F395405"/>
    <w:rsid w:val="4F3B33EB"/>
    <w:rsid w:val="4F5E5E3A"/>
    <w:rsid w:val="4F833B49"/>
    <w:rsid w:val="504D489E"/>
    <w:rsid w:val="505C2070"/>
    <w:rsid w:val="50AC6DEA"/>
    <w:rsid w:val="50B618F8"/>
    <w:rsid w:val="50B9327D"/>
    <w:rsid w:val="50D13718"/>
    <w:rsid w:val="514805FC"/>
    <w:rsid w:val="517B26E0"/>
    <w:rsid w:val="51950F66"/>
    <w:rsid w:val="5219373E"/>
    <w:rsid w:val="524C0A95"/>
    <w:rsid w:val="52780153"/>
    <w:rsid w:val="52EF7092"/>
    <w:rsid w:val="52F50359"/>
    <w:rsid w:val="53155F5F"/>
    <w:rsid w:val="532064EF"/>
    <w:rsid w:val="539677B2"/>
    <w:rsid w:val="539B5F4C"/>
    <w:rsid w:val="53C2259E"/>
    <w:rsid w:val="53F44044"/>
    <w:rsid w:val="53FB4F58"/>
    <w:rsid w:val="54047DE6"/>
    <w:rsid w:val="54BF0519"/>
    <w:rsid w:val="55F51240"/>
    <w:rsid w:val="561B6485"/>
    <w:rsid w:val="56376A81"/>
    <w:rsid w:val="566B4A32"/>
    <w:rsid w:val="567D1A39"/>
    <w:rsid w:val="56812378"/>
    <w:rsid w:val="56A64B36"/>
    <w:rsid w:val="56EF4E6F"/>
    <w:rsid w:val="575431DF"/>
    <w:rsid w:val="57597E5D"/>
    <w:rsid w:val="576079D6"/>
    <w:rsid w:val="57C205D4"/>
    <w:rsid w:val="57E25806"/>
    <w:rsid w:val="581A432A"/>
    <w:rsid w:val="58381A4A"/>
    <w:rsid w:val="58B925EB"/>
    <w:rsid w:val="58DF20B1"/>
    <w:rsid w:val="58EF2ED0"/>
    <w:rsid w:val="5910752F"/>
    <w:rsid w:val="59144A6B"/>
    <w:rsid w:val="59205884"/>
    <w:rsid w:val="597317D1"/>
    <w:rsid w:val="597E4543"/>
    <w:rsid w:val="598A3524"/>
    <w:rsid w:val="59D963B1"/>
    <w:rsid w:val="59EE2A23"/>
    <w:rsid w:val="59F60EF3"/>
    <w:rsid w:val="5A093EC3"/>
    <w:rsid w:val="5A1070D1"/>
    <w:rsid w:val="5A650D5A"/>
    <w:rsid w:val="5A86434D"/>
    <w:rsid w:val="5A8702A8"/>
    <w:rsid w:val="5ADF54B5"/>
    <w:rsid w:val="5AF50649"/>
    <w:rsid w:val="5B3326AC"/>
    <w:rsid w:val="5B591D6B"/>
    <w:rsid w:val="5B8174BD"/>
    <w:rsid w:val="5B956ECD"/>
    <w:rsid w:val="5C6D5D06"/>
    <w:rsid w:val="5C882FDD"/>
    <w:rsid w:val="5C8D0FEA"/>
    <w:rsid w:val="5C98615B"/>
    <w:rsid w:val="5CB22E1D"/>
    <w:rsid w:val="5CBD3C3C"/>
    <w:rsid w:val="5CE337EF"/>
    <w:rsid w:val="5D3922E6"/>
    <w:rsid w:val="5D78775B"/>
    <w:rsid w:val="5D7A4CE1"/>
    <w:rsid w:val="5DCB48EE"/>
    <w:rsid w:val="5E0B4E24"/>
    <w:rsid w:val="5E0F1B60"/>
    <w:rsid w:val="5E7B340D"/>
    <w:rsid w:val="5EB35D09"/>
    <w:rsid w:val="5EC17405"/>
    <w:rsid w:val="5ECB7D14"/>
    <w:rsid w:val="5ECE5416"/>
    <w:rsid w:val="5EEB7403"/>
    <w:rsid w:val="5F095F47"/>
    <w:rsid w:val="5F0C6580"/>
    <w:rsid w:val="5F20411D"/>
    <w:rsid w:val="5F247745"/>
    <w:rsid w:val="5F43566A"/>
    <w:rsid w:val="5F5271CC"/>
    <w:rsid w:val="5FE307E1"/>
    <w:rsid w:val="5FEF45F4"/>
    <w:rsid w:val="5FFB2605"/>
    <w:rsid w:val="600C6122"/>
    <w:rsid w:val="60382A88"/>
    <w:rsid w:val="608C2C29"/>
    <w:rsid w:val="60B91793"/>
    <w:rsid w:val="60CC4D75"/>
    <w:rsid w:val="60E67AA7"/>
    <w:rsid w:val="6124795C"/>
    <w:rsid w:val="61331572"/>
    <w:rsid w:val="613F1997"/>
    <w:rsid w:val="6142619F"/>
    <w:rsid w:val="614D07E8"/>
    <w:rsid w:val="61521F2D"/>
    <w:rsid w:val="61883090"/>
    <w:rsid w:val="618E39BF"/>
    <w:rsid w:val="618F2A1B"/>
    <w:rsid w:val="619E0AB7"/>
    <w:rsid w:val="61B16453"/>
    <w:rsid w:val="61BA0B42"/>
    <w:rsid w:val="61E536FC"/>
    <w:rsid w:val="620C10EB"/>
    <w:rsid w:val="620D0C17"/>
    <w:rsid w:val="624548B3"/>
    <w:rsid w:val="627E6257"/>
    <w:rsid w:val="628D12AE"/>
    <w:rsid w:val="629E645C"/>
    <w:rsid w:val="62C9149E"/>
    <w:rsid w:val="62E5554B"/>
    <w:rsid w:val="631B084A"/>
    <w:rsid w:val="632A023E"/>
    <w:rsid w:val="63894210"/>
    <w:rsid w:val="63CD32CA"/>
    <w:rsid w:val="63DD04FD"/>
    <w:rsid w:val="63E17D6C"/>
    <w:rsid w:val="63F6448F"/>
    <w:rsid w:val="64133A3F"/>
    <w:rsid w:val="643D2685"/>
    <w:rsid w:val="643E4883"/>
    <w:rsid w:val="6495118C"/>
    <w:rsid w:val="64BF1959"/>
    <w:rsid w:val="64C14621"/>
    <w:rsid w:val="64EF46A6"/>
    <w:rsid w:val="65014B04"/>
    <w:rsid w:val="65017F33"/>
    <w:rsid w:val="65143FAD"/>
    <w:rsid w:val="65225514"/>
    <w:rsid w:val="653A47CB"/>
    <w:rsid w:val="655A3D56"/>
    <w:rsid w:val="657938B0"/>
    <w:rsid w:val="65A137B1"/>
    <w:rsid w:val="65CD5630"/>
    <w:rsid w:val="65FC7340"/>
    <w:rsid w:val="662117DA"/>
    <w:rsid w:val="663C214A"/>
    <w:rsid w:val="664A6EE1"/>
    <w:rsid w:val="66682C0E"/>
    <w:rsid w:val="66A065EB"/>
    <w:rsid w:val="66A32DF3"/>
    <w:rsid w:val="66A717F9"/>
    <w:rsid w:val="66A9578C"/>
    <w:rsid w:val="66CD205B"/>
    <w:rsid w:val="67057615"/>
    <w:rsid w:val="6734105D"/>
    <w:rsid w:val="67896ED4"/>
    <w:rsid w:val="67AA451F"/>
    <w:rsid w:val="67FA4DDD"/>
    <w:rsid w:val="67FA7C0D"/>
    <w:rsid w:val="68251C6A"/>
    <w:rsid w:val="683C5113"/>
    <w:rsid w:val="685C1DC4"/>
    <w:rsid w:val="688556A7"/>
    <w:rsid w:val="688E2042"/>
    <w:rsid w:val="6895189D"/>
    <w:rsid w:val="68BC0EE4"/>
    <w:rsid w:val="68FC334A"/>
    <w:rsid w:val="69473E9F"/>
    <w:rsid w:val="698718B2"/>
    <w:rsid w:val="69AC4F69"/>
    <w:rsid w:val="69D72936"/>
    <w:rsid w:val="6A4C28F4"/>
    <w:rsid w:val="6A572E84"/>
    <w:rsid w:val="6A5C730C"/>
    <w:rsid w:val="6A8E01AC"/>
    <w:rsid w:val="6ABE3B2D"/>
    <w:rsid w:val="6B2D6E6C"/>
    <w:rsid w:val="6B4F2A74"/>
    <w:rsid w:val="6B7460C1"/>
    <w:rsid w:val="6B7912ED"/>
    <w:rsid w:val="6BA359B8"/>
    <w:rsid w:val="6C035B7A"/>
    <w:rsid w:val="6C303D8F"/>
    <w:rsid w:val="6C6A6233"/>
    <w:rsid w:val="6C6C0792"/>
    <w:rsid w:val="6C9E1E44"/>
    <w:rsid w:val="6CAB2100"/>
    <w:rsid w:val="6CE33832"/>
    <w:rsid w:val="6D106257"/>
    <w:rsid w:val="6D1F1846"/>
    <w:rsid w:val="6D8E77D0"/>
    <w:rsid w:val="6D9A555F"/>
    <w:rsid w:val="6DC70BD2"/>
    <w:rsid w:val="6DFD7CD4"/>
    <w:rsid w:val="6E046353"/>
    <w:rsid w:val="6E3034D4"/>
    <w:rsid w:val="6E4D57CD"/>
    <w:rsid w:val="6F5161E8"/>
    <w:rsid w:val="6F722BE7"/>
    <w:rsid w:val="6FF51B3B"/>
    <w:rsid w:val="6FFC72C8"/>
    <w:rsid w:val="704A3BFB"/>
    <w:rsid w:val="709561C1"/>
    <w:rsid w:val="709642CC"/>
    <w:rsid w:val="70CF70D5"/>
    <w:rsid w:val="70F85622"/>
    <w:rsid w:val="711F0324"/>
    <w:rsid w:val="7156627F"/>
    <w:rsid w:val="71812947"/>
    <w:rsid w:val="719B567C"/>
    <w:rsid w:val="72210801"/>
    <w:rsid w:val="72755659"/>
    <w:rsid w:val="72827EA0"/>
    <w:rsid w:val="72CE224D"/>
    <w:rsid w:val="72E91E80"/>
    <w:rsid w:val="73022ABD"/>
    <w:rsid w:val="73E55634"/>
    <w:rsid w:val="7408726D"/>
    <w:rsid w:val="747E7F88"/>
    <w:rsid w:val="74905ACD"/>
    <w:rsid w:val="74C3179F"/>
    <w:rsid w:val="74FF3B82"/>
    <w:rsid w:val="755D77B8"/>
    <w:rsid w:val="761D2C35"/>
    <w:rsid w:val="765C023B"/>
    <w:rsid w:val="7684397E"/>
    <w:rsid w:val="76B344CD"/>
    <w:rsid w:val="77150CEF"/>
    <w:rsid w:val="774477A2"/>
    <w:rsid w:val="77492D2D"/>
    <w:rsid w:val="77524F4D"/>
    <w:rsid w:val="775B5A6C"/>
    <w:rsid w:val="777C1998"/>
    <w:rsid w:val="77DA01B2"/>
    <w:rsid w:val="77EF6453"/>
    <w:rsid w:val="78177B29"/>
    <w:rsid w:val="782352CE"/>
    <w:rsid w:val="782A33A6"/>
    <w:rsid w:val="782E17BB"/>
    <w:rsid w:val="783A2119"/>
    <w:rsid w:val="784D09EB"/>
    <w:rsid w:val="78535B94"/>
    <w:rsid w:val="785E0C86"/>
    <w:rsid w:val="786A5D9D"/>
    <w:rsid w:val="787F629A"/>
    <w:rsid w:val="78A83684"/>
    <w:rsid w:val="78AA535B"/>
    <w:rsid w:val="78D9250F"/>
    <w:rsid w:val="78DC2FDD"/>
    <w:rsid w:val="78DC7260"/>
    <w:rsid w:val="7900411B"/>
    <w:rsid w:val="790D0E29"/>
    <w:rsid w:val="79395171"/>
    <w:rsid w:val="79A35C57"/>
    <w:rsid w:val="79A90A44"/>
    <w:rsid w:val="79B85C40"/>
    <w:rsid w:val="7A385137"/>
    <w:rsid w:val="7A4D5F33"/>
    <w:rsid w:val="7AFC2853"/>
    <w:rsid w:val="7B425546"/>
    <w:rsid w:val="7B4A194A"/>
    <w:rsid w:val="7B5016A8"/>
    <w:rsid w:val="7B647B37"/>
    <w:rsid w:val="7B825B7C"/>
    <w:rsid w:val="7B931FE5"/>
    <w:rsid w:val="7B9F28DD"/>
    <w:rsid w:val="7BBF3DB1"/>
    <w:rsid w:val="7BC24B9B"/>
    <w:rsid w:val="7BD21CD6"/>
    <w:rsid w:val="7BE372CE"/>
    <w:rsid w:val="7C440773"/>
    <w:rsid w:val="7C981154"/>
    <w:rsid w:val="7C9B635C"/>
    <w:rsid w:val="7CB55428"/>
    <w:rsid w:val="7CCC5756"/>
    <w:rsid w:val="7D0C38B8"/>
    <w:rsid w:val="7D466F15"/>
    <w:rsid w:val="7D805BC0"/>
    <w:rsid w:val="7D9A0522"/>
    <w:rsid w:val="7DAE7CF4"/>
    <w:rsid w:val="7DC971F1"/>
    <w:rsid w:val="7DD76804"/>
    <w:rsid w:val="7DEB54A4"/>
    <w:rsid w:val="7E125364"/>
    <w:rsid w:val="7E93243A"/>
    <w:rsid w:val="7EB03B57"/>
    <w:rsid w:val="7EBA0FF5"/>
    <w:rsid w:val="7F3412A1"/>
    <w:rsid w:val="7FD32D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9" w:semiHidden="0" w:name="heading 2"/>
    <w:lsdException w:qFormat="1" w:unhideWhenUsed="0" w:uiPriority="1"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72"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3">
    <w:name w:val="heading 1"/>
    <w:basedOn w:val="1"/>
    <w:next w:val="1"/>
    <w:link w:val="39"/>
    <w:qFormat/>
    <w:uiPriority w:val="1"/>
    <w:pPr>
      <w:autoSpaceDE w:val="0"/>
      <w:autoSpaceDN w:val="0"/>
      <w:adjustRightInd w:val="0"/>
      <w:spacing w:before="17"/>
      <w:ind w:left="1144"/>
      <w:jc w:val="left"/>
      <w:outlineLvl w:val="0"/>
    </w:pPr>
    <w:rPr>
      <w:rFonts w:ascii="黑体" w:hAnsi="Times New Roman" w:eastAsia="黑体"/>
      <w:b/>
      <w:bCs/>
      <w:kern w:val="0"/>
      <w:sz w:val="36"/>
      <w:szCs w:val="36"/>
    </w:rPr>
  </w:style>
  <w:style w:type="paragraph" w:styleId="4">
    <w:name w:val="heading 2"/>
    <w:basedOn w:val="1"/>
    <w:next w:val="1"/>
    <w:link w:val="40"/>
    <w:qFormat/>
    <w:uiPriority w:val="9"/>
    <w:pPr>
      <w:keepNext/>
      <w:keepLines/>
      <w:spacing w:before="260" w:after="260" w:line="416" w:lineRule="auto"/>
      <w:outlineLvl w:val="1"/>
    </w:pPr>
    <w:rPr>
      <w:rFonts w:ascii="Cambria" w:hAnsi="Cambria"/>
      <w:b/>
      <w:bCs/>
      <w:kern w:val="0"/>
      <w:sz w:val="32"/>
      <w:szCs w:val="32"/>
    </w:rPr>
  </w:style>
  <w:style w:type="paragraph" w:styleId="5">
    <w:name w:val="heading 3"/>
    <w:basedOn w:val="1"/>
    <w:next w:val="1"/>
    <w:link w:val="41"/>
    <w:qFormat/>
    <w:uiPriority w:val="1"/>
    <w:pPr>
      <w:autoSpaceDE w:val="0"/>
      <w:autoSpaceDN w:val="0"/>
      <w:adjustRightInd w:val="0"/>
      <w:spacing w:before="34"/>
      <w:ind w:left="120"/>
      <w:jc w:val="left"/>
      <w:outlineLvl w:val="2"/>
    </w:pPr>
    <w:rPr>
      <w:rFonts w:ascii="宋体" w:hAnsi="Times New Roman"/>
      <w:b/>
      <w:bCs/>
      <w:kern w:val="0"/>
      <w:sz w:val="20"/>
      <w:szCs w:val="21"/>
    </w:rPr>
  </w:style>
  <w:style w:type="character" w:default="1" w:styleId="17">
    <w:name w:val="Default Paragraph Font"/>
    <w:unhideWhenUsed/>
    <w:qFormat/>
    <w:uiPriority w:val="1"/>
  </w:style>
  <w:style w:type="table" w:default="1" w:styleId="15">
    <w:name w:val="Normal Table"/>
    <w:unhideWhenUsed/>
    <w:qFormat/>
    <w:uiPriority w:val="99"/>
    <w:tblPr>
      <w:tblCellMar>
        <w:top w:w="0" w:type="dxa"/>
        <w:left w:w="108" w:type="dxa"/>
        <w:bottom w:w="0" w:type="dxa"/>
        <w:right w:w="108" w:type="dxa"/>
      </w:tblCellMar>
    </w:tblPr>
  </w:style>
  <w:style w:type="paragraph" w:styleId="2">
    <w:name w:val="Body Text"/>
    <w:basedOn w:val="1"/>
    <w:next w:val="1"/>
    <w:link w:val="43"/>
    <w:qFormat/>
    <w:uiPriority w:val="1"/>
    <w:pPr>
      <w:autoSpaceDE w:val="0"/>
      <w:autoSpaceDN w:val="0"/>
      <w:adjustRightInd w:val="0"/>
      <w:spacing w:before="162"/>
      <w:ind w:left="120"/>
      <w:jc w:val="left"/>
    </w:pPr>
    <w:rPr>
      <w:rFonts w:ascii="宋体" w:hAnsi="Times New Roman"/>
      <w:kern w:val="0"/>
      <w:sz w:val="20"/>
      <w:szCs w:val="21"/>
    </w:rPr>
  </w:style>
  <w:style w:type="paragraph" w:styleId="6">
    <w:name w:val="annotation text"/>
    <w:basedOn w:val="1"/>
    <w:link w:val="42"/>
    <w:unhideWhenUsed/>
    <w:qFormat/>
    <w:uiPriority w:val="99"/>
    <w:pPr>
      <w:jc w:val="left"/>
    </w:pPr>
  </w:style>
  <w:style w:type="paragraph" w:styleId="7">
    <w:name w:val="Date"/>
    <w:basedOn w:val="1"/>
    <w:next w:val="1"/>
    <w:link w:val="44"/>
    <w:unhideWhenUsed/>
    <w:qFormat/>
    <w:uiPriority w:val="99"/>
    <w:pPr>
      <w:ind w:left="100" w:leftChars="2500"/>
    </w:pPr>
  </w:style>
  <w:style w:type="paragraph" w:styleId="8">
    <w:name w:val="Balloon Text"/>
    <w:basedOn w:val="1"/>
    <w:link w:val="45"/>
    <w:unhideWhenUsed/>
    <w:qFormat/>
    <w:uiPriority w:val="99"/>
    <w:rPr>
      <w:kern w:val="0"/>
      <w:sz w:val="18"/>
      <w:szCs w:val="18"/>
    </w:rPr>
  </w:style>
  <w:style w:type="paragraph" w:styleId="9">
    <w:name w:val="footer"/>
    <w:basedOn w:val="1"/>
    <w:link w:val="46"/>
    <w:unhideWhenUsed/>
    <w:qFormat/>
    <w:uiPriority w:val="99"/>
    <w:pPr>
      <w:tabs>
        <w:tab w:val="center" w:pos="4153"/>
        <w:tab w:val="right" w:pos="8306"/>
      </w:tabs>
      <w:snapToGrid w:val="0"/>
      <w:jc w:val="left"/>
    </w:pPr>
    <w:rPr>
      <w:kern w:val="0"/>
      <w:sz w:val="18"/>
      <w:szCs w:val="18"/>
    </w:rPr>
  </w:style>
  <w:style w:type="paragraph" w:styleId="10">
    <w:name w:val="header"/>
    <w:basedOn w:val="1"/>
    <w:link w:val="47"/>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1">
    <w:name w:val="footnote text"/>
    <w:basedOn w:val="1"/>
    <w:link w:val="31"/>
    <w:semiHidden/>
    <w:unhideWhenUsed/>
    <w:qFormat/>
    <w:uiPriority w:val="99"/>
    <w:pPr>
      <w:snapToGrid w:val="0"/>
      <w:jc w:val="left"/>
    </w:pPr>
    <w:rPr>
      <w:sz w:val="18"/>
      <w:szCs w:val="18"/>
    </w:rPr>
  </w:style>
  <w:style w:type="paragraph" w:styleId="12">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3">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4">
    <w:name w:val="annotation subject"/>
    <w:basedOn w:val="6"/>
    <w:next w:val="6"/>
    <w:link w:val="48"/>
    <w:unhideWhenUsed/>
    <w:qFormat/>
    <w:uiPriority w:val="99"/>
    <w:rPr>
      <w:b/>
      <w:bCs/>
    </w:rPr>
  </w:style>
  <w:style w:type="table" w:styleId="16">
    <w:name w:val="Table Grid"/>
    <w:basedOn w:val="1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qFormat/>
    <w:uiPriority w:val="22"/>
    <w:rPr>
      <w:rFonts w:ascii="Times New Roman" w:hAnsi="Times New Roman" w:eastAsia="宋体" w:cs="Times New Roman"/>
      <w:b/>
      <w:bCs/>
    </w:rPr>
  </w:style>
  <w:style w:type="character" w:styleId="19">
    <w:name w:val="Hyperlink"/>
    <w:unhideWhenUsed/>
    <w:qFormat/>
    <w:uiPriority w:val="99"/>
    <w:rPr>
      <w:rFonts w:ascii="Times New Roman" w:hAnsi="Times New Roman" w:eastAsia="宋体" w:cs="Times New Roman"/>
      <w:color w:val="0000FF"/>
      <w:u w:val="single"/>
    </w:rPr>
  </w:style>
  <w:style w:type="character" w:styleId="20">
    <w:name w:val="annotation reference"/>
    <w:unhideWhenUsed/>
    <w:qFormat/>
    <w:uiPriority w:val="99"/>
    <w:rPr>
      <w:rFonts w:ascii="Times New Roman" w:hAnsi="Times New Roman" w:eastAsia="宋体" w:cs="Times New Roman"/>
      <w:sz w:val="21"/>
      <w:szCs w:val="21"/>
    </w:rPr>
  </w:style>
  <w:style w:type="character" w:styleId="21">
    <w:name w:val="footnote reference"/>
    <w:semiHidden/>
    <w:unhideWhenUsed/>
    <w:qFormat/>
    <w:uiPriority w:val="99"/>
    <w:rPr>
      <w:rFonts w:ascii="Times New Roman" w:hAnsi="Times New Roman" w:eastAsia="宋体" w:cs="Times New Roman"/>
      <w:vertAlign w:val="superscript"/>
    </w:rPr>
  </w:style>
  <w:style w:type="character" w:customStyle="1" w:styleId="22">
    <w:name w:val="正文文本 字符"/>
    <w:link w:val="2"/>
    <w:qFormat/>
    <w:uiPriority w:val="1"/>
    <w:rPr>
      <w:rFonts w:ascii="宋体" w:hAnsi="Times New Roman" w:eastAsia="宋体" w:cs="Times New Roman"/>
      <w:kern w:val="0"/>
      <w:sz w:val="20"/>
      <w:szCs w:val="21"/>
    </w:rPr>
  </w:style>
  <w:style w:type="character" w:customStyle="1" w:styleId="23">
    <w:name w:val="标题 1 字符"/>
    <w:link w:val="3"/>
    <w:qFormat/>
    <w:uiPriority w:val="1"/>
    <w:rPr>
      <w:rFonts w:ascii="黑体" w:hAnsi="Times New Roman" w:eastAsia="黑体" w:cs="Times New Roman"/>
      <w:b/>
      <w:bCs/>
      <w:kern w:val="0"/>
      <w:sz w:val="36"/>
      <w:szCs w:val="36"/>
    </w:rPr>
  </w:style>
  <w:style w:type="character" w:customStyle="1" w:styleId="24">
    <w:name w:val="标题 2 字符"/>
    <w:link w:val="4"/>
    <w:qFormat/>
    <w:uiPriority w:val="9"/>
    <w:rPr>
      <w:rFonts w:ascii="Cambria" w:hAnsi="Cambria" w:eastAsia="宋体" w:cs="Times New Roman"/>
      <w:b/>
      <w:bCs/>
      <w:kern w:val="0"/>
      <w:sz w:val="32"/>
      <w:szCs w:val="32"/>
    </w:rPr>
  </w:style>
  <w:style w:type="character" w:customStyle="1" w:styleId="25">
    <w:name w:val="标题 3 字符"/>
    <w:link w:val="5"/>
    <w:qFormat/>
    <w:uiPriority w:val="1"/>
    <w:rPr>
      <w:rFonts w:ascii="宋体" w:hAnsi="Times New Roman" w:eastAsia="宋体" w:cs="Times New Roman"/>
      <w:b/>
      <w:bCs/>
      <w:kern w:val="0"/>
      <w:sz w:val="20"/>
      <w:szCs w:val="21"/>
    </w:rPr>
  </w:style>
  <w:style w:type="character" w:customStyle="1" w:styleId="26">
    <w:name w:val="批注文字 字符"/>
    <w:link w:val="6"/>
    <w:qFormat/>
    <w:uiPriority w:val="99"/>
    <w:rPr>
      <w:rFonts w:ascii="Times New Roman" w:hAnsi="Times New Roman" w:eastAsia="宋体" w:cs="Times New Roman"/>
    </w:rPr>
  </w:style>
  <w:style w:type="character" w:customStyle="1" w:styleId="27">
    <w:name w:val="日期 字符"/>
    <w:basedOn w:val="17"/>
    <w:link w:val="7"/>
    <w:semiHidden/>
    <w:qFormat/>
    <w:uiPriority w:val="99"/>
    <w:rPr>
      <w:rFonts w:ascii="Times New Roman" w:hAnsi="Times New Roman" w:eastAsia="宋体" w:cs="Times New Roman"/>
    </w:rPr>
  </w:style>
  <w:style w:type="character" w:customStyle="1" w:styleId="28">
    <w:name w:val="批注框文本 字符"/>
    <w:link w:val="8"/>
    <w:semiHidden/>
    <w:qFormat/>
    <w:uiPriority w:val="99"/>
    <w:rPr>
      <w:rFonts w:ascii="Times New Roman" w:hAnsi="Times New Roman" w:eastAsia="宋体" w:cs="Times New Roman"/>
      <w:kern w:val="0"/>
      <w:sz w:val="18"/>
      <w:szCs w:val="18"/>
    </w:rPr>
  </w:style>
  <w:style w:type="character" w:customStyle="1" w:styleId="29">
    <w:name w:val="页脚 字符"/>
    <w:link w:val="9"/>
    <w:qFormat/>
    <w:uiPriority w:val="99"/>
    <w:rPr>
      <w:rFonts w:ascii="Times New Roman" w:hAnsi="Times New Roman" w:eastAsia="宋体" w:cs="Times New Roman"/>
      <w:kern w:val="0"/>
      <w:sz w:val="18"/>
      <w:szCs w:val="18"/>
    </w:rPr>
  </w:style>
  <w:style w:type="character" w:customStyle="1" w:styleId="30">
    <w:name w:val="页眉 字符"/>
    <w:link w:val="10"/>
    <w:qFormat/>
    <w:uiPriority w:val="99"/>
    <w:rPr>
      <w:rFonts w:ascii="Times New Roman" w:hAnsi="Times New Roman" w:eastAsia="宋体" w:cs="Times New Roman"/>
      <w:kern w:val="0"/>
      <w:sz w:val="18"/>
      <w:szCs w:val="18"/>
    </w:rPr>
  </w:style>
  <w:style w:type="character" w:customStyle="1" w:styleId="31">
    <w:name w:val="脚注文本 字符1"/>
    <w:link w:val="11"/>
    <w:qFormat/>
    <w:uiPriority w:val="99"/>
    <w:rPr>
      <w:rFonts w:ascii="Times New Roman" w:hAnsi="Times New Roman" w:eastAsia="宋体" w:cs="Times New Roman"/>
      <w:sz w:val="18"/>
      <w:szCs w:val="18"/>
    </w:rPr>
  </w:style>
  <w:style w:type="character" w:customStyle="1" w:styleId="32">
    <w:name w:val="批注主题 字符"/>
    <w:link w:val="14"/>
    <w:semiHidden/>
    <w:qFormat/>
    <w:uiPriority w:val="99"/>
    <w:rPr>
      <w:rFonts w:ascii="Times New Roman" w:hAnsi="Times New Roman" w:eastAsia="宋体" w:cs="Times New Roman"/>
      <w:b/>
      <w:bCs/>
    </w:rPr>
  </w:style>
  <w:style w:type="character" w:customStyle="1" w:styleId="33">
    <w:name w:val="脚注文本 字符"/>
    <w:semiHidden/>
    <w:qFormat/>
    <w:uiPriority w:val="99"/>
    <w:rPr>
      <w:rFonts w:ascii="Times New Roman" w:hAnsi="Times New Roman" w:eastAsia="宋体" w:cs="Times New Roman"/>
      <w:kern w:val="2"/>
      <w:sz w:val="18"/>
      <w:szCs w:val="18"/>
    </w:rPr>
  </w:style>
  <w:style w:type="paragraph" w:customStyle="1" w:styleId="34">
    <w:name w:val="Table Paragraph"/>
    <w:basedOn w:val="1"/>
    <w:qFormat/>
    <w:uiPriority w:val="1"/>
    <w:pPr>
      <w:autoSpaceDE w:val="0"/>
      <w:autoSpaceDN w:val="0"/>
      <w:adjustRightInd w:val="0"/>
      <w:jc w:val="left"/>
    </w:pPr>
    <w:rPr>
      <w:rFonts w:ascii="Times New Roman" w:hAnsi="Times New Roman" w:cs="Times New Roman"/>
      <w:kern w:val="0"/>
      <w:sz w:val="24"/>
      <w:szCs w:val="24"/>
    </w:rPr>
  </w:style>
  <w:style w:type="paragraph" w:styleId="35">
    <w:name w:val="List Paragraph"/>
    <w:basedOn w:val="1"/>
    <w:qFormat/>
    <w:uiPriority w:val="72"/>
    <w:pPr>
      <w:ind w:firstLine="420" w:firstLineChars="200"/>
    </w:pPr>
  </w:style>
  <w:style w:type="paragraph" w:customStyle="1" w:styleId="36">
    <w:name w:val="Default"/>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paragraph" w:customStyle="1" w:styleId="37">
    <w:name w:val="_Style 35"/>
    <w:semiHidden/>
    <w:qFormat/>
    <w:uiPriority w:val="99"/>
    <w:rPr>
      <w:rFonts w:ascii="Times New Roman" w:hAnsi="Times New Roman" w:eastAsia="宋体" w:cs="Times New Roman"/>
      <w:kern w:val="2"/>
      <w:sz w:val="21"/>
      <w:szCs w:val="22"/>
      <w:lang w:val="en-US" w:eastAsia="zh-CN" w:bidi="ar-SA"/>
    </w:rPr>
  </w:style>
  <w:style w:type="paragraph" w:customStyle="1" w:styleId="38">
    <w:name w:val="_Style 33"/>
    <w:semiHidden/>
    <w:qFormat/>
    <w:uiPriority w:val="99"/>
    <w:rPr>
      <w:rFonts w:ascii="Times New Roman" w:hAnsi="Times New Roman" w:eastAsia="宋体" w:cs="Times New Roman"/>
      <w:kern w:val="2"/>
      <w:sz w:val="21"/>
      <w:szCs w:val="22"/>
      <w:lang w:val="en-US" w:eastAsia="zh-CN" w:bidi="ar-SA"/>
    </w:rPr>
  </w:style>
  <w:style w:type="character" w:customStyle="1" w:styleId="39">
    <w:name w:val="标题 1 Char"/>
    <w:link w:val="3"/>
    <w:qFormat/>
    <w:uiPriority w:val="1"/>
    <w:rPr>
      <w:rFonts w:ascii="黑体" w:hAnsi="Times New Roman" w:eastAsia="黑体" w:cs="黑体"/>
      <w:b/>
      <w:bCs/>
      <w:kern w:val="0"/>
      <w:sz w:val="36"/>
      <w:szCs w:val="36"/>
    </w:rPr>
  </w:style>
  <w:style w:type="character" w:customStyle="1" w:styleId="40">
    <w:name w:val="标题 2 Char"/>
    <w:link w:val="4"/>
    <w:qFormat/>
    <w:uiPriority w:val="9"/>
    <w:rPr>
      <w:rFonts w:ascii="Cambria" w:hAnsi="Cambria" w:eastAsia="宋体" w:cs="Times New Roman"/>
      <w:b/>
      <w:bCs/>
      <w:sz w:val="32"/>
      <w:szCs w:val="32"/>
    </w:rPr>
  </w:style>
  <w:style w:type="character" w:customStyle="1" w:styleId="41">
    <w:name w:val="标题 3 Char"/>
    <w:link w:val="5"/>
    <w:qFormat/>
    <w:uiPriority w:val="1"/>
    <w:rPr>
      <w:rFonts w:ascii="宋体" w:hAnsi="Times New Roman" w:eastAsia="宋体" w:cs="宋体"/>
      <w:b/>
      <w:bCs/>
      <w:kern w:val="0"/>
      <w:szCs w:val="21"/>
    </w:rPr>
  </w:style>
  <w:style w:type="character" w:customStyle="1" w:styleId="42">
    <w:name w:val="批注文字 Char"/>
    <w:link w:val="6"/>
    <w:qFormat/>
    <w:uiPriority w:val="99"/>
    <w:rPr>
      <w:rFonts w:ascii="Times New Roman" w:hAnsi="Times New Roman" w:eastAsia="宋体" w:cs="Times New Roman"/>
      <w:kern w:val="2"/>
      <w:sz w:val="21"/>
      <w:szCs w:val="22"/>
    </w:rPr>
  </w:style>
  <w:style w:type="character" w:customStyle="1" w:styleId="43">
    <w:name w:val="正文文本 Char"/>
    <w:link w:val="2"/>
    <w:qFormat/>
    <w:uiPriority w:val="1"/>
    <w:rPr>
      <w:rFonts w:ascii="宋体" w:hAnsi="Times New Roman" w:eastAsia="宋体" w:cs="宋体"/>
      <w:kern w:val="0"/>
      <w:szCs w:val="21"/>
    </w:rPr>
  </w:style>
  <w:style w:type="character" w:customStyle="1" w:styleId="44">
    <w:name w:val="日期 Char"/>
    <w:basedOn w:val="17"/>
    <w:link w:val="7"/>
    <w:semiHidden/>
    <w:qFormat/>
    <w:uiPriority w:val="99"/>
    <w:rPr>
      <w:rFonts w:ascii="Times New Roman" w:hAnsi="Times New Roman" w:eastAsia="宋体" w:cs="Times New Roman"/>
    </w:rPr>
  </w:style>
  <w:style w:type="character" w:customStyle="1" w:styleId="45">
    <w:name w:val="批注框文本 Char"/>
    <w:link w:val="8"/>
    <w:semiHidden/>
    <w:qFormat/>
    <w:uiPriority w:val="99"/>
    <w:rPr>
      <w:rFonts w:ascii="Times New Roman" w:hAnsi="Times New Roman" w:eastAsia="宋体" w:cs="Times New Roman"/>
      <w:sz w:val="18"/>
      <w:szCs w:val="18"/>
    </w:rPr>
  </w:style>
  <w:style w:type="character" w:customStyle="1" w:styleId="46">
    <w:name w:val="页脚 Char"/>
    <w:link w:val="9"/>
    <w:qFormat/>
    <w:uiPriority w:val="99"/>
    <w:rPr>
      <w:rFonts w:ascii="Times New Roman" w:hAnsi="Times New Roman" w:eastAsia="宋体" w:cs="Times New Roman"/>
      <w:sz w:val="18"/>
      <w:szCs w:val="18"/>
    </w:rPr>
  </w:style>
  <w:style w:type="character" w:customStyle="1" w:styleId="47">
    <w:name w:val="页眉 Char"/>
    <w:link w:val="10"/>
    <w:qFormat/>
    <w:uiPriority w:val="99"/>
    <w:rPr>
      <w:rFonts w:ascii="Times New Roman" w:hAnsi="Times New Roman" w:eastAsia="宋体" w:cs="Times New Roman"/>
      <w:sz w:val="18"/>
      <w:szCs w:val="18"/>
    </w:rPr>
  </w:style>
  <w:style w:type="character" w:customStyle="1" w:styleId="48">
    <w:name w:val="批注主题 Char"/>
    <w:link w:val="14"/>
    <w:semiHidden/>
    <w:qFormat/>
    <w:uiPriority w:val="99"/>
    <w:rPr>
      <w:rFonts w:ascii="Times New Roman" w:hAnsi="Times New Roman" w:eastAsia="宋体" w:cs="Times New Roman"/>
      <w:b/>
      <w:bCs/>
      <w:kern w:val="2"/>
      <w:sz w:val="21"/>
      <w:szCs w:val="22"/>
    </w:rPr>
  </w:style>
  <w:style w:type="paragraph" w:customStyle="1" w:styleId="49">
    <w:name w:val="_Style 27"/>
    <w:semiHidden/>
    <w:qFormat/>
    <w:uiPriority w:val="99"/>
    <w:rPr>
      <w:rFonts w:ascii="Times New Roman"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15</Pages>
  <Words>21563</Words>
  <Characters>22897</Characters>
  <Lines>37</Lines>
  <Paragraphs>10</Paragraphs>
  <TotalTime>7</TotalTime>
  <ScaleCrop>false</ScaleCrop>
  <LinksUpToDate>false</LinksUpToDate>
  <CharactersWithSpaces>22916</CharactersWithSpaces>
  <Application>WPS Office_11.8.2.11734_F1E327BC-269C-435d-A152-05C5408002CA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2022-06-24T09:49:00Z</dcterms:created>
  <dc:creator>JSYH</dc:creator>
  <cp:lastModifiedBy>陈哲琨</cp:lastModifiedBy>
  <cp:lastPrinted>2026-01-27T02:32:00Z</cp:lastPrinted>
  <dcterms:modified xsi:type="dcterms:W3CDTF">2026-08-20T05:20:00Z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57DE483545F742868D80F7217A5BA398</vt:lpwstr>
  </property>
</Properties>
</file>