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bookmarkStart w:id="1" w:name="_GoBack"/>
      <w:bookmarkEnd w:id="1"/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0" w:edGrp="everyone"/>
      <w:r>
        <w:rPr>
          <w:rStyle w:val="11"/>
          <w:rFonts w:hint="eastAsia" w:ascii="黑体" w:hAnsi="黑体" w:eastAsia="黑体"/>
          <w:sz w:val="28"/>
          <w:szCs w:val="28"/>
        </w:rPr>
        <w:t>【添利】</w:t>
      </w:r>
      <w:permEnd w:id="0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（适用于个人投资者）</w:t>
      </w:r>
    </w:p>
    <w:p>
      <w:pPr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1" w:edGrp="everyone"/>
      <w:r>
        <w:rPr>
          <w:rFonts w:hint="eastAsia" w:ascii="宋体" w:hAnsi="宋体"/>
          <w:sz w:val="18"/>
          <w:szCs w:val="18"/>
          <w:lang w:eastAsia="zh-CN"/>
        </w:rPr>
        <w:t>【】</w:t>
      </w:r>
      <w:permEnd w:id="1"/>
      <w:r>
        <w:rPr>
          <w:rFonts w:hint="eastAsia" w:ascii="宋体" w:hAnsi="宋体"/>
          <w:sz w:val="18"/>
          <w:szCs w:val="18"/>
        </w:rPr>
        <w:t>以(</w:t>
      </w:r>
      <w:permStart w:id="2" w:edGrp="everyone"/>
      <w:r>
        <w:rPr>
          <w:rFonts w:hint="eastAsia" w:ascii="宋体" w:hAnsi="宋体"/>
          <w:sz w:val="18"/>
          <w:szCs w:val="18"/>
        </w:rPr>
        <w:t>□ 直销：产品管理人销售/</w:t>
      </w:r>
      <w:r>
        <w:rPr>
          <w:rFonts w:hint="eastAsia" w:ascii="宋体" w:hAnsi="宋体" w:cs="宋体"/>
          <w:sz w:val="18"/>
          <w:szCs w:val="18"/>
        </w:rPr>
        <w:t>■</w:t>
      </w:r>
      <w:r>
        <w:rPr>
          <w:rFonts w:hint="eastAsia" w:ascii="宋体" w:hAnsi="宋体"/>
          <w:sz w:val="18"/>
          <w:szCs w:val="18"/>
        </w:rPr>
        <w:t xml:space="preserve"> 代销：代理销售机构销售</w:t>
      </w:r>
      <w:permEnd w:id="2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协议书》《产品说明书》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</w:t>
      </w:r>
      <w:r>
        <w:rPr>
          <w:rFonts w:ascii="宋体" w:hAnsi="宋体"/>
          <w:sz w:val="18"/>
          <w:szCs w:val="18"/>
        </w:rPr>
        <w:t>《风险揭示书》《投资者权益须知》以及其他有关文件（如有），确认已同意相关内容、充分了解相关风险并无疑问和异议后，签署相关销售文件，并办理购买手续。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.您购买理财产品前，应确保已完成风险承受能力评估且风险评估结果在有效期内，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2.</w:t>
      </w:r>
      <w:r>
        <w:rPr>
          <w:rFonts w:hint="eastAsia" w:ascii="宋体" w:hAnsi="宋体"/>
          <w:b/>
          <w:sz w:val="18"/>
          <w:szCs w:val="18"/>
        </w:rPr>
        <w:t>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投资者风险承受能力，个人投资者由低至高分为</w:t>
      </w:r>
      <w:permStart w:id="3" w:edGrp="everyone"/>
      <w:r>
        <w:rPr>
          <w:rFonts w:hint="eastAsia" w:ascii="宋体" w:hAnsi="宋体"/>
          <w:sz w:val="18"/>
          <w:szCs w:val="18"/>
        </w:rPr>
        <w:t>【</w:t>
      </w:r>
      <w:r>
        <w:rPr>
          <w:rFonts w:hint="eastAsia" w:ascii="宋体" w:hAnsi="宋体"/>
          <w:sz w:val="18"/>
          <w:szCs w:val="18"/>
          <w:lang w:val="en-US" w:eastAsia="zh-CN"/>
        </w:rPr>
        <w:t>C1-C6</w:t>
      </w:r>
      <w:r>
        <w:rPr>
          <w:rFonts w:hint="eastAsia" w:ascii="宋体" w:hAnsi="宋体"/>
          <w:sz w:val="18"/>
          <w:szCs w:val="18"/>
        </w:rPr>
        <w:t>】</w:t>
      </w:r>
      <w:permEnd w:id="3"/>
      <w:r>
        <w:rPr>
          <w:rFonts w:ascii="宋体" w:hAnsi="宋体"/>
          <w:sz w:val="18"/>
          <w:szCs w:val="18"/>
        </w:rPr>
        <w:t>。其中，</w:t>
      </w:r>
      <w:permStart w:id="4" w:edGrp="everyone"/>
      <w:r>
        <w:rPr>
          <w:rFonts w:hint="eastAsia" w:ascii="宋体" w:hAnsi="宋体"/>
          <w:sz w:val="18"/>
          <w:szCs w:val="18"/>
        </w:rPr>
        <w:t>【</w:t>
      </w:r>
      <w:r>
        <w:rPr>
          <w:rFonts w:hint="eastAsia" w:ascii="宋体" w:hAnsi="宋体"/>
          <w:sz w:val="18"/>
          <w:szCs w:val="18"/>
          <w:lang w:val="en-US" w:eastAsia="zh-CN"/>
        </w:rPr>
        <w:t>C1</w:t>
      </w:r>
      <w:r>
        <w:rPr>
          <w:rFonts w:hint="eastAsia" w:ascii="宋体" w:hAnsi="宋体"/>
          <w:sz w:val="18"/>
          <w:szCs w:val="18"/>
        </w:rPr>
        <w:t>】</w:t>
      </w:r>
      <w:permEnd w:id="4"/>
      <w:r>
        <w:rPr>
          <w:rFonts w:ascii="宋体" w:hAnsi="宋体"/>
          <w:sz w:val="18"/>
          <w:szCs w:val="18"/>
        </w:rPr>
        <w:t>为风险承受能力最低类别，</w:t>
      </w:r>
      <w:permStart w:id="5" w:edGrp="everyone"/>
      <w:r>
        <w:rPr>
          <w:rFonts w:hint="eastAsia" w:ascii="宋体" w:hAnsi="宋体"/>
          <w:sz w:val="18"/>
          <w:szCs w:val="18"/>
        </w:rPr>
        <w:t>【</w:t>
      </w:r>
      <w:r>
        <w:rPr>
          <w:rFonts w:hint="eastAsia" w:ascii="宋体" w:hAnsi="宋体"/>
          <w:sz w:val="18"/>
          <w:szCs w:val="18"/>
          <w:lang w:val="en-US" w:eastAsia="zh-CN"/>
        </w:rPr>
        <w:t>C6</w:t>
      </w:r>
      <w:r>
        <w:rPr>
          <w:rFonts w:hint="eastAsia" w:ascii="宋体" w:hAnsi="宋体"/>
          <w:sz w:val="18"/>
          <w:szCs w:val="18"/>
        </w:rPr>
        <w:t>】</w:t>
      </w:r>
      <w:permEnd w:id="5"/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486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permStart w:id="6" w:edGrp="everyone"/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安逸型（R1）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本金风险低，产品投资目标不能实现的概率较低；或投资范围仅限于货币市场工具等风险极低的短期金融资产。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安逸型（C1）及以上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谨慎型（R2）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本金风险相对较小，收益浮动但相对较小。产品结构简单，过往业绩及净值的历史波动率低；投资标的流动性很好或为较高等级的信用主体；或者衍生品及杠杆交易对净值波动极小；估值政策清晰。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谨慎型（C2）及以上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稳健型（R3）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有一定的本金风险，收益浮动且有一定波动。产品结构简单，过往业绩及净值的历史波动率较低；投资标的流动性好或为中等及以上的信用主体；或者投资衍生品以套期保值为目的，衍生品及杠杆交易对净值波动较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稳健型（C3）及以上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增长型（R4）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较大。产品主要投资于流动性较好的投资标的，产品结构简单，但收益浮动且波动很大，过往业绩及净值的历史波动率较高；或者投资标的流动性较差或为中等以下的信用主体，但产品结构简单，且不投资于衍生品及杠杆交易；估值政策简单；或者投资衍生品以套期保值为目的，衍生品及杠杆交易对净值波动较大，估值政策较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增长型（C4）及以上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进取型（R5）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很大，收益浮动且波动很大。产品结构较复杂，过往业绩及净值的历史波动率高；或者投资标的流动性较差或为低等级的信用主体，期限较长；或者投资衍生品以追求收益为目的，衍生品及杠杆交易对净值波动很大；估值政策较复杂。投资者要作出谨慎的产品选择，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进取型（C5）及以上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激进型（R6）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极大，收益浮动且波动极大。产品结构复杂，过往业绩及净值的历史波动率很高；或者投资标的流动性很差或为极低等级的信用主体，期限很长；或者投资衍生品以追求收益为目的，衍生品及杠杆交易对净值波动极大；估值政策非常复杂。投资者需要非常谨慎的产品选择、十分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激进型（C6） </w:t>
            </w:r>
          </w:p>
        </w:tc>
      </w:tr>
      <w:permEnd w:id="6"/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ind w:firstLine="361" w:firstLineChars="200"/>
        <w:rPr>
          <w:rFonts w:asciiTheme="minorEastAsia" w:hAnsiTheme="minorEastAsia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bookmarkStart w:id="0" w:name="_Hlk64707831"/>
      <w:r>
        <w:rPr>
          <w:rFonts w:hint="eastAsia" w:ascii="宋体" w:hAnsi="宋体"/>
          <w:sz w:val="18"/>
          <w:szCs w:val="18"/>
        </w:rPr>
        <w:t>1.产品管理人：兴银理财有限责任公司</w:t>
      </w:r>
    </w:p>
    <w:bookmarkEnd w:id="0"/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outlineLvl w:val="2"/>
        <w:rPr>
          <w:rFonts w:ascii="宋体" w:hAnsi="宋体"/>
          <w:sz w:val="18"/>
          <w:szCs w:val="18"/>
        </w:rPr>
      </w:pPr>
      <w:permStart w:id="7" w:edGrp="everyone"/>
      <w:r>
        <w:rPr>
          <w:rFonts w:hint="eastAsia" w:ascii="宋体" w:hAnsi="宋体"/>
          <w:sz w:val="18"/>
          <w:szCs w:val="18"/>
        </w:rPr>
        <w:t>2.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outlineLvl w:val="2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3.销售机构：【】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【】</w:t>
      </w:r>
    </w:p>
    <w:permEnd w:id="7"/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8" w:edGrp="everyone"/>
      <w:r>
        <w:rPr>
          <w:rStyle w:val="11"/>
          <w:rFonts w:hint="eastAsia" w:ascii="黑体" w:hAnsi="黑体" w:eastAsia="黑体"/>
          <w:sz w:val="28"/>
          <w:szCs w:val="28"/>
        </w:rPr>
        <w:t>【添利】</w:t>
      </w:r>
      <w:permEnd w:id="8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spacing w:line="280" w:lineRule="atLeast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</w:t>
      </w:r>
      <w:permStart w:id="9" w:edGrp="everyone"/>
      <w:r>
        <w:rPr>
          <w:rFonts w:hint="eastAsia" w:hAnsi="宋体"/>
          <w:b/>
          <w:color w:val="auto"/>
          <w:sz w:val="28"/>
          <w:szCs w:val="28"/>
          <w:lang w:val="en-US" w:eastAsia="zh-CN"/>
        </w:rPr>
        <w:t>一般</w:t>
      </w:r>
      <w:r>
        <w:rPr>
          <w:rFonts w:hint="eastAsia" w:hAnsi="宋体"/>
          <w:b/>
          <w:color w:val="auto"/>
          <w:sz w:val="28"/>
          <w:szCs w:val="28"/>
        </w:rPr>
        <w:t>机构</w:t>
      </w:r>
      <w:r>
        <w:rPr>
          <w:rFonts w:hint="eastAsia" w:hAnsi="宋体"/>
          <w:b/>
          <w:color w:val="auto"/>
          <w:sz w:val="28"/>
          <w:szCs w:val="28"/>
          <w:lang w:val="en-US" w:eastAsia="zh-CN"/>
        </w:rPr>
        <w:t>客户</w:t>
      </w:r>
      <w:permEnd w:id="9"/>
      <w:r>
        <w:rPr>
          <w:rFonts w:hint="eastAsia" w:hAnsi="宋体"/>
          <w:b/>
          <w:color w:val="auto"/>
          <w:sz w:val="28"/>
          <w:szCs w:val="28"/>
        </w:rPr>
        <w:t>）</w:t>
      </w:r>
    </w:p>
    <w:p>
      <w:pPr>
        <w:spacing w:line="280" w:lineRule="atLeast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10" w:edGrp="everyone"/>
      <w:r>
        <w:rPr>
          <w:rFonts w:hint="eastAsia" w:ascii="宋体" w:hAnsi="宋体"/>
          <w:sz w:val="18"/>
          <w:szCs w:val="18"/>
          <w:lang w:eastAsia="zh-CN"/>
        </w:rPr>
        <w:t>【】</w:t>
      </w:r>
      <w:permEnd w:id="10"/>
      <w:r>
        <w:rPr>
          <w:rFonts w:hint="eastAsia" w:ascii="宋体" w:hAnsi="宋体"/>
          <w:sz w:val="18"/>
          <w:szCs w:val="18"/>
        </w:rPr>
        <w:t>以(</w:t>
      </w:r>
      <w:permStart w:id="11" w:edGrp="everyone"/>
      <w:r>
        <w:rPr>
          <w:rFonts w:hint="eastAsia" w:ascii="宋体" w:hAnsi="宋体"/>
          <w:sz w:val="18"/>
          <w:szCs w:val="18"/>
        </w:rPr>
        <w:t>□ 直销：产品管理人销售/□ 代销：代理销售机构销售</w:t>
      </w:r>
      <w:permEnd w:id="11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协议书》《产品说明书》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</w:t>
      </w:r>
      <w:r>
        <w:rPr>
          <w:rFonts w:ascii="宋体" w:hAnsi="宋体"/>
          <w:sz w:val="18"/>
          <w:szCs w:val="18"/>
        </w:rPr>
        <w:t>《风险揭示书》《投资者权益须知》以及其他有关文件（如有），确认已同意相关内容、充分了解相关风险并无疑问和异议后，签署相关销售文件，并办理购买手续。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spacing w:line="280" w:lineRule="atLeast"/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您购买理财产品前，应确保已完成风险承受能力评估且风险评估结果在有效期内。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</w:t>
      </w:r>
      <w:r>
        <w:rPr>
          <w:rFonts w:hint="eastAsia" w:ascii="宋体" w:hAnsi="宋体"/>
          <w:b/>
          <w:sz w:val="18"/>
          <w:szCs w:val="18"/>
        </w:rPr>
        <w:t>.投资者风险承受能力评级与理财产品风险评级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投资者风险承受能力，机构投资者由低至高分为</w:t>
      </w:r>
      <w:permStart w:id="12" w:edGrp="everyone"/>
      <w:r>
        <w:rPr>
          <w:rFonts w:hint="eastAsia" w:ascii="宋体" w:hAnsi="宋体"/>
          <w:sz w:val="18"/>
          <w:szCs w:val="18"/>
        </w:rPr>
        <w:t>【】</w:t>
      </w:r>
      <w:permEnd w:id="12"/>
      <w:r>
        <w:rPr>
          <w:rFonts w:ascii="宋体" w:hAnsi="宋体"/>
          <w:sz w:val="18"/>
          <w:szCs w:val="18"/>
        </w:rPr>
        <w:t>。其中，</w:t>
      </w:r>
      <w:permStart w:id="13" w:edGrp="everyone"/>
      <w:r>
        <w:rPr>
          <w:rFonts w:hint="eastAsia" w:ascii="宋体" w:hAnsi="宋体"/>
          <w:sz w:val="18"/>
          <w:szCs w:val="18"/>
        </w:rPr>
        <w:t>【】</w:t>
      </w:r>
      <w:permEnd w:id="13"/>
      <w:r>
        <w:rPr>
          <w:rFonts w:ascii="宋体" w:hAnsi="宋体"/>
          <w:sz w:val="18"/>
          <w:szCs w:val="18"/>
        </w:rPr>
        <w:t>为风险承受能力最低类别，</w:t>
      </w:r>
      <w:permStart w:id="14" w:edGrp="everyone"/>
      <w:r>
        <w:rPr>
          <w:rFonts w:hint="eastAsia" w:ascii="宋体" w:hAnsi="宋体"/>
          <w:sz w:val="18"/>
          <w:szCs w:val="18"/>
        </w:rPr>
        <w:t>【】</w:t>
      </w:r>
      <w:permEnd w:id="14"/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484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permStart w:id="15" w:edGrp="everyone"/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permEnd w:id="15"/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spacing w:line="280" w:lineRule="atLeast"/>
        <w:ind w:firstLine="361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1.产品管理人：兴银理财有限责任公司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outlineLvl w:val="2"/>
        <w:rPr>
          <w:rFonts w:ascii="宋体" w:hAnsi="宋体"/>
          <w:sz w:val="18"/>
          <w:szCs w:val="18"/>
        </w:rPr>
      </w:pPr>
      <w:permStart w:id="16" w:edGrp="everyone"/>
      <w:r>
        <w:rPr>
          <w:rFonts w:hint="eastAsia" w:ascii="宋体" w:hAnsi="宋体"/>
          <w:sz w:val="18"/>
          <w:szCs w:val="18"/>
        </w:rPr>
        <w:t>2.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40" w:lineRule="auto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兴银理财【添利】理财产品</w:t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spacing w:line="280" w:lineRule="atLeast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（适用于金融</w:t>
      </w:r>
      <w:r>
        <w:rPr>
          <w:rFonts w:hAnsi="宋体"/>
          <w:b/>
          <w:color w:val="auto"/>
          <w:sz w:val="28"/>
          <w:szCs w:val="28"/>
        </w:rPr>
        <w:t>同业客户</w:t>
      </w:r>
      <w:r>
        <w:rPr>
          <w:rFonts w:hint="eastAsia" w:hAnsi="宋体"/>
          <w:b/>
          <w:color w:val="auto"/>
          <w:sz w:val="28"/>
          <w:szCs w:val="28"/>
        </w:rPr>
        <w:t>）</w:t>
      </w:r>
    </w:p>
    <w:p>
      <w:pPr>
        <w:spacing w:line="280" w:lineRule="atLeast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r>
        <w:rPr>
          <w:rFonts w:hint="eastAsia" w:ascii="宋体" w:hAnsi="宋体"/>
          <w:sz w:val="18"/>
          <w:szCs w:val="18"/>
          <w:lang w:eastAsia="zh-CN"/>
        </w:rPr>
        <w:t>【】</w:t>
      </w:r>
      <w:r>
        <w:rPr>
          <w:rFonts w:hint="eastAsia" w:ascii="宋体" w:hAnsi="宋体"/>
          <w:sz w:val="18"/>
          <w:szCs w:val="18"/>
        </w:rPr>
        <w:t>以(□ 直销：产品管理人销售/□ 代销：代理销售机构销售)的形式购买兴银理财有限责任公司（以下简称“兴银理财”）作为产品管理人管理的理财产品。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协议书》《产品说明书》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</w:t>
      </w:r>
      <w:r>
        <w:rPr>
          <w:rFonts w:ascii="宋体" w:hAnsi="宋体"/>
          <w:sz w:val="18"/>
          <w:szCs w:val="18"/>
        </w:rPr>
        <w:t>《风险揭示书》《投资者权益须知》以及其他有关文件（如有），确认已同意相关内容、充分了解相关风险并无疑问和异议后，签署相关销售文件，并办理购买手续。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spacing w:line="280" w:lineRule="atLeast"/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您购买理财产品前，应确保已完成风险承受能力评估且风险评估结果在有效期内。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</w:t>
      </w:r>
      <w:r>
        <w:rPr>
          <w:rFonts w:hint="eastAsia" w:ascii="宋体" w:hAnsi="宋体"/>
          <w:b/>
          <w:sz w:val="18"/>
          <w:szCs w:val="18"/>
        </w:rPr>
        <w:t>.投资者风险承受能力评级与理财产品风险评级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投资者风险承受能力，机构投资者由低至高分为【】</w:t>
      </w:r>
      <w:r>
        <w:rPr>
          <w:rFonts w:ascii="宋体" w:hAnsi="宋体"/>
          <w:sz w:val="18"/>
          <w:szCs w:val="18"/>
        </w:rPr>
        <w:t>。其中，</w:t>
      </w:r>
      <w:r>
        <w:rPr>
          <w:rFonts w:hint="eastAsia" w:ascii="宋体" w:hAnsi="宋体"/>
          <w:sz w:val="18"/>
          <w:szCs w:val="18"/>
        </w:rPr>
        <w:t>【】</w:t>
      </w:r>
      <w:r>
        <w:rPr>
          <w:rFonts w:ascii="宋体" w:hAnsi="宋体"/>
          <w:sz w:val="18"/>
          <w:szCs w:val="18"/>
        </w:rPr>
        <w:t>为风险承受能力最低类别，</w:t>
      </w:r>
      <w:r>
        <w:rPr>
          <w:rFonts w:hint="eastAsia" w:ascii="宋体" w:hAnsi="宋体"/>
          <w:sz w:val="18"/>
          <w:szCs w:val="18"/>
        </w:rPr>
        <w:t>【】</w:t>
      </w:r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484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spacing w:line="280" w:lineRule="atLeast"/>
        <w:ind w:firstLine="361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1.产品管理人：兴银理财有限责任公司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outlineLvl w:val="2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2.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</w:p>
    <w:permEnd w:id="16"/>
    <w:p>
      <w:pPr>
        <w:autoSpaceDE w:val="0"/>
        <w:autoSpaceDN w:val="0"/>
        <w:adjustRightInd w:val="0"/>
        <w:spacing w:line="280" w:lineRule="atLeast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spacing w:line="280" w:lineRule="atLeast"/>
        <w:jc w:val="left"/>
        <w:rPr>
          <w:rFonts w:ascii="宋体" w:hAnsi="宋体"/>
          <w:b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567" w:footer="96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03202528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Times New Roman" w:hAnsi="Times New Roman" w:eastAsia="宋体" w:cs="Times New Roman"/>
        <w:b/>
        <w:szCs w:val="20"/>
      </w:rPr>
    </w:pPr>
    <w:r>
      <w:rPr>
        <w:rFonts w:hint="eastAsia" w:ascii="Times New Roman" w:hAnsi="Times New Roman" w:eastAsia="宋体" w:cs="Times New Roman"/>
        <w:b/>
        <w:szCs w:val="20"/>
      </w:rPr>
      <w:t>投资者权益须知</w:t>
    </w:r>
  </w:p>
  <w:p>
    <w:pPr>
      <w:pStyle w:val="6"/>
      <w:jc w:val="right"/>
      <w:rPr>
        <w:rFonts w:ascii="Times New Roman" w:hAnsi="Times New Roman" w:eastAsia="宋体" w:cs="Times New Roman"/>
        <w:b/>
        <w:szCs w:val="20"/>
      </w:rPr>
    </w:pPr>
    <w:r>
      <w:rPr>
        <w:rFonts w:hint="eastAsia" w:ascii="Times New Roman" w:hAnsi="Times New Roman" w:eastAsia="宋体" w:cs="Times New Roman"/>
        <w:b/>
        <w:szCs w:val="20"/>
      </w:rPr>
      <w:t>注：本文件由兴银理财有限责任公司统一编制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dit="readOnly" w:enforcement="1" w:cryptProviderType="rsaAES" w:cryptAlgorithmClass="hash" w:cryptAlgorithmType="typeAny" w:cryptAlgorithmSid="14" w:cryptSpinCount="100000" w:hash="Krz6pIZv9J6BWuVumVxe1jYii/UofWTnJ3Qkicbw1gS1pnSEKrCHBXxyXWb9JndskbQKq/YtF1U6ZlRKrhky1g==" w:salt="xKltuT9rsFflxZpY37Qek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IwNTljODZlNmMxN2IxODkyNGQ0MzYwYjkyOGU4YWIifQ=="/>
  </w:docVars>
  <w:rsids>
    <w:rsidRoot w:val="00D237B3"/>
    <w:rsid w:val="00012DF8"/>
    <w:rsid w:val="00020B21"/>
    <w:rsid w:val="00044E9D"/>
    <w:rsid w:val="000466D9"/>
    <w:rsid w:val="00052540"/>
    <w:rsid w:val="000921B4"/>
    <w:rsid w:val="000C4846"/>
    <w:rsid w:val="000E1A5F"/>
    <w:rsid w:val="000E6147"/>
    <w:rsid w:val="00106877"/>
    <w:rsid w:val="001201EA"/>
    <w:rsid w:val="001242AF"/>
    <w:rsid w:val="00141624"/>
    <w:rsid w:val="00171420"/>
    <w:rsid w:val="00195672"/>
    <w:rsid w:val="001A48F9"/>
    <w:rsid w:val="001C6375"/>
    <w:rsid w:val="001E2A14"/>
    <w:rsid w:val="002462D8"/>
    <w:rsid w:val="00271331"/>
    <w:rsid w:val="00276F5A"/>
    <w:rsid w:val="00283229"/>
    <w:rsid w:val="002A6909"/>
    <w:rsid w:val="002B0017"/>
    <w:rsid w:val="002B69B3"/>
    <w:rsid w:val="002B6D4B"/>
    <w:rsid w:val="002C01C0"/>
    <w:rsid w:val="002E6656"/>
    <w:rsid w:val="002F133A"/>
    <w:rsid w:val="00376CFF"/>
    <w:rsid w:val="003B4628"/>
    <w:rsid w:val="003C3A9E"/>
    <w:rsid w:val="003D624D"/>
    <w:rsid w:val="004727B8"/>
    <w:rsid w:val="00493512"/>
    <w:rsid w:val="004A1091"/>
    <w:rsid w:val="004D586E"/>
    <w:rsid w:val="004E337B"/>
    <w:rsid w:val="004E5B8C"/>
    <w:rsid w:val="004F756D"/>
    <w:rsid w:val="005438C7"/>
    <w:rsid w:val="005514E2"/>
    <w:rsid w:val="00552ACB"/>
    <w:rsid w:val="00571A72"/>
    <w:rsid w:val="005A0FFB"/>
    <w:rsid w:val="005A17EF"/>
    <w:rsid w:val="005D158B"/>
    <w:rsid w:val="005D405A"/>
    <w:rsid w:val="005E4F9A"/>
    <w:rsid w:val="0060775A"/>
    <w:rsid w:val="00622E88"/>
    <w:rsid w:val="00641888"/>
    <w:rsid w:val="00661E32"/>
    <w:rsid w:val="006639A1"/>
    <w:rsid w:val="006B20CA"/>
    <w:rsid w:val="006B237F"/>
    <w:rsid w:val="006E4016"/>
    <w:rsid w:val="006F690F"/>
    <w:rsid w:val="00705E58"/>
    <w:rsid w:val="00710B52"/>
    <w:rsid w:val="00781AA5"/>
    <w:rsid w:val="007B0970"/>
    <w:rsid w:val="007B231D"/>
    <w:rsid w:val="007C6A06"/>
    <w:rsid w:val="007C6A86"/>
    <w:rsid w:val="0080127B"/>
    <w:rsid w:val="00812B92"/>
    <w:rsid w:val="00820AF6"/>
    <w:rsid w:val="008A10A9"/>
    <w:rsid w:val="008A57A2"/>
    <w:rsid w:val="008C2FE9"/>
    <w:rsid w:val="008E7821"/>
    <w:rsid w:val="008E7C7D"/>
    <w:rsid w:val="00971F4B"/>
    <w:rsid w:val="009816B9"/>
    <w:rsid w:val="00991788"/>
    <w:rsid w:val="009B1EE5"/>
    <w:rsid w:val="009D1DC4"/>
    <w:rsid w:val="009D35C1"/>
    <w:rsid w:val="009E4DBC"/>
    <w:rsid w:val="00A112C9"/>
    <w:rsid w:val="00A21F06"/>
    <w:rsid w:val="00A646F7"/>
    <w:rsid w:val="00AA4438"/>
    <w:rsid w:val="00AB386C"/>
    <w:rsid w:val="00AC71D9"/>
    <w:rsid w:val="00B02055"/>
    <w:rsid w:val="00B12049"/>
    <w:rsid w:val="00B314E7"/>
    <w:rsid w:val="00B507EB"/>
    <w:rsid w:val="00B75610"/>
    <w:rsid w:val="00BC0053"/>
    <w:rsid w:val="00BE3E99"/>
    <w:rsid w:val="00BE4E6B"/>
    <w:rsid w:val="00BF7C2F"/>
    <w:rsid w:val="00C018F3"/>
    <w:rsid w:val="00C202DE"/>
    <w:rsid w:val="00C32FF7"/>
    <w:rsid w:val="00C37EB3"/>
    <w:rsid w:val="00C827C4"/>
    <w:rsid w:val="00C8683D"/>
    <w:rsid w:val="00C86FD7"/>
    <w:rsid w:val="00D01E10"/>
    <w:rsid w:val="00D237B3"/>
    <w:rsid w:val="00D56354"/>
    <w:rsid w:val="00D71983"/>
    <w:rsid w:val="00D917DB"/>
    <w:rsid w:val="00DB5CAA"/>
    <w:rsid w:val="00DB67D6"/>
    <w:rsid w:val="00DC6391"/>
    <w:rsid w:val="00DD5F6E"/>
    <w:rsid w:val="00E01CA3"/>
    <w:rsid w:val="00E077CB"/>
    <w:rsid w:val="00E236CC"/>
    <w:rsid w:val="00E5408F"/>
    <w:rsid w:val="00EA7D7F"/>
    <w:rsid w:val="00EF1A43"/>
    <w:rsid w:val="00F126D2"/>
    <w:rsid w:val="00F24388"/>
    <w:rsid w:val="00F33265"/>
    <w:rsid w:val="00F47A61"/>
    <w:rsid w:val="00F55639"/>
    <w:rsid w:val="00F63C18"/>
    <w:rsid w:val="00F74AE2"/>
    <w:rsid w:val="00F81CAA"/>
    <w:rsid w:val="00FA461D"/>
    <w:rsid w:val="00FD0D35"/>
    <w:rsid w:val="04AD52CA"/>
    <w:rsid w:val="0E981DAE"/>
    <w:rsid w:val="4D513CF1"/>
    <w:rsid w:val="52D44062"/>
    <w:rsid w:val="548D7071"/>
    <w:rsid w:val="620D133E"/>
    <w:rsid w:val="6FB9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120" w:after="120" w:line="360" w:lineRule="auto"/>
      <w:outlineLvl w:val="0"/>
    </w:pPr>
    <w:rPr>
      <w:rFonts w:ascii="宋体"/>
      <w:b/>
      <w:color w:val="000000"/>
      <w:kern w:val="0"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TML Preformatted"/>
    <w:basedOn w:val="1"/>
    <w:link w:val="17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1"/>
    <w:semiHidden/>
    <w:unhideWhenUsed/>
    <w:qFormat/>
    <w:uiPriority w:val="99"/>
    <w:rPr>
      <w:b/>
      <w:bCs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annotation reference"/>
    <w:qFormat/>
    <w:uiPriority w:val="0"/>
    <w:rPr>
      <w:sz w:val="21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16">
    <w:name w:val="标题 1 Char"/>
    <w:basedOn w:val="10"/>
    <w:link w:val="2"/>
    <w:qFormat/>
    <w:uiPriority w:val="0"/>
    <w:rPr>
      <w:rFonts w:ascii="宋体" w:hAnsi="Times New Roman" w:eastAsia="宋体" w:cs="Times New Roman"/>
      <w:b/>
      <w:color w:val="000000"/>
      <w:kern w:val="0"/>
      <w:sz w:val="24"/>
      <w:szCs w:val="20"/>
    </w:rPr>
  </w:style>
  <w:style w:type="character" w:customStyle="1" w:styleId="17">
    <w:name w:val="HTML 预设格式 Char"/>
    <w:basedOn w:val="10"/>
    <w:link w:val="7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批注文字 Char"/>
    <w:basedOn w:val="10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9">
    <w:name w:val="批注文字 Char1"/>
    <w:basedOn w:val="10"/>
    <w:link w:val="3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0">
    <w:name w:val="批注框文本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批注主题 Char"/>
    <w:basedOn w:val="19"/>
    <w:link w:val="8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paragraph" w:customStyle="1" w:styleId="22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429</Words>
  <Characters>2446</Characters>
  <Lines>20</Lines>
  <Paragraphs>5</Paragraphs>
  <TotalTime>1</TotalTime>
  <ScaleCrop>false</ScaleCrop>
  <LinksUpToDate>false</LinksUpToDate>
  <CharactersWithSpaces>2870</CharactersWithSpaces>
  <Application>WPS Office_11.8.2.12309_F1E327BC-269C-435d-A152-05C5408002CA</Application>
  <DocSecurity>8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2024-03-04T03:18:00Z</dcterms:created>
  <dc:creator>胡骁潇</dc:creator>
  <cp:lastModifiedBy>cib</cp:lastModifiedBy>
  <dcterms:modified xsi:type="dcterms:W3CDTF">2025-03-26T02:01:52Z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F38CDB0A342847339B79C7443BD612BA</vt:lpwstr>
  </property>
</Properties>
</file>