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Style w:val="27"/>
          <w:rFonts w:ascii="宋体" w:hAnsi="宋体"/>
          <w:sz w:val="30"/>
          <w:szCs w:val="30"/>
        </w:rPr>
      </w:pPr>
      <w:r>
        <w:rPr>
          <w:rFonts w:hint="eastAsia" w:ascii="宋体" w:hAnsi="宋体"/>
          <w:b/>
          <w:sz w:val="30"/>
          <w:szCs w:val="30"/>
        </w:rPr>
        <w:t>理财非存款、产品有风险、投资须谨慎！</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黑体" w:hAnsi="黑体" w:eastAsia="黑体"/>
          <w:sz w:val="44"/>
          <w:szCs w:val="44"/>
        </w:rPr>
      </w:pPr>
      <w:r>
        <w:rPr>
          <w:rStyle w:val="27"/>
          <w:rFonts w:hint="eastAsia" w:ascii="黑体" w:hAnsi="黑体" w:eastAsia="黑体"/>
          <w:sz w:val="44"/>
          <w:szCs w:val="44"/>
        </w:rPr>
        <w:t>兴银理财</w:t>
      </w:r>
      <w:permStart w:id="0" w:edGrp="everyone"/>
      <w:r>
        <w:rPr>
          <w:rStyle w:val="27"/>
          <w:rFonts w:hint="eastAsia" w:ascii="黑体" w:hAnsi="黑体" w:eastAsia="黑体"/>
          <w:sz w:val="44"/>
          <w:szCs w:val="44"/>
        </w:rPr>
        <w:t>【添利】</w:t>
      </w:r>
      <w:permEnd w:id="0"/>
      <w:r>
        <w:rPr>
          <w:rStyle w:val="27"/>
          <w:rFonts w:hint="eastAsia" w:ascii="黑体" w:hAnsi="黑体" w:eastAsia="黑体"/>
          <w:sz w:val="44"/>
          <w:szCs w:val="44"/>
        </w:rPr>
        <w:t>理财产品</w:t>
      </w:r>
    </w:p>
    <w:p>
      <w:pPr>
        <w:adjustRightInd w:val="0"/>
        <w:spacing w:line="360" w:lineRule="auto"/>
        <w:jc w:val="center"/>
        <w:rPr>
          <w:rStyle w:val="27"/>
          <w:rFonts w:ascii="黑体" w:hAnsi="黑体" w:eastAsia="黑体"/>
          <w:sz w:val="44"/>
          <w:szCs w:val="44"/>
        </w:rPr>
      </w:pPr>
      <w:r>
        <w:rPr>
          <w:rStyle w:val="27"/>
          <w:rFonts w:hint="eastAsia" w:ascii="黑体" w:hAnsi="黑体" w:eastAsia="黑体"/>
          <w:sz w:val="44"/>
          <w:szCs w:val="44"/>
        </w:rPr>
        <w:t>产品说明书</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黑体" w:hAnsi="黑体" w:eastAsia="黑体"/>
          <w:bCs w:val="0"/>
          <w:sz w:val="28"/>
          <w:szCs w:val="28"/>
        </w:rPr>
      </w:pPr>
    </w:p>
    <w:p>
      <w:pPr>
        <w:adjustRightInd w:val="0"/>
        <w:spacing w:line="360" w:lineRule="auto"/>
        <w:jc w:val="center"/>
        <w:rPr>
          <w:rStyle w:val="27"/>
          <w:rFonts w:ascii="宋体" w:hAnsi="宋体" w:cs="Times New Roman"/>
          <w:sz w:val="32"/>
          <w:szCs w:val="32"/>
        </w:rPr>
      </w:pPr>
      <w:r>
        <w:rPr>
          <w:rStyle w:val="27"/>
          <w:rFonts w:hint="eastAsia" w:ascii="宋体" w:hAnsi="宋体" w:cs="Times New Roman"/>
          <w:sz w:val="32"/>
          <w:szCs w:val="32"/>
        </w:rPr>
        <w:t>理财产品管理人：兴银理财有限责任公司</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cs="Times New Roman"/>
          <w:sz w:val="32"/>
          <w:szCs w:val="32"/>
        </w:rPr>
      </w:pPr>
      <w:r>
        <w:rPr>
          <w:rStyle w:val="27"/>
          <w:rFonts w:hint="eastAsia" w:ascii="宋体" w:hAnsi="宋体" w:cs="Times New Roman"/>
          <w:sz w:val="32"/>
          <w:szCs w:val="32"/>
        </w:rPr>
        <w:t>日期</w:t>
      </w:r>
      <w:r>
        <w:rPr>
          <w:rStyle w:val="27"/>
          <w:rFonts w:ascii="宋体" w:hAnsi="宋体" w:cs="Times New Roman"/>
          <w:sz w:val="32"/>
          <w:szCs w:val="32"/>
        </w:rPr>
        <w:t>：</w:t>
      </w:r>
      <w:permStart w:id="1" w:edGrp="everyone"/>
      <w:r>
        <w:rPr>
          <w:rStyle w:val="27"/>
          <w:rFonts w:hint="eastAsia" w:ascii="宋体" w:hAnsi="宋体" w:cs="Times New Roman"/>
          <w:sz w:val="32"/>
          <w:szCs w:val="32"/>
        </w:rPr>
        <w:t>【</w:t>
      </w:r>
      <w:r>
        <w:rPr>
          <w:rStyle w:val="27"/>
          <w:rFonts w:hint="eastAsia" w:ascii="宋体" w:hAnsi="宋体" w:cs="Times New Roman"/>
          <w:sz w:val="32"/>
          <w:szCs w:val="32"/>
          <w:lang w:val="en-US" w:eastAsia="zh-CN"/>
        </w:rPr>
        <w:t>2025</w:t>
      </w:r>
      <w:r>
        <w:rPr>
          <w:rStyle w:val="27"/>
          <w:rFonts w:hint="eastAsia" w:ascii="宋体" w:hAnsi="宋体" w:cs="Times New Roman"/>
          <w:sz w:val="32"/>
          <w:szCs w:val="32"/>
        </w:rPr>
        <w:t>】年【</w:t>
      </w:r>
      <w:r>
        <w:rPr>
          <w:rStyle w:val="27"/>
          <w:rFonts w:hint="eastAsia" w:ascii="宋体" w:hAnsi="宋体" w:cs="Times New Roman"/>
          <w:sz w:val="32"/>
          <w:szCs w:val="32"/>
          <w:lang w:val="en-US" w:eastAsia="zh-CN"/>
        </w:rPr>
        <w:t>3</w:t>
      </w:r>
      <w:r>
        <w:rPr>
          <w:rStyle w:val="27"/>
          <w:rFonts w:hint="eastAsia" w:ascii="宋体" w:hAnsi="宋体" w:cs="Times New Roman"/>
          <w:sz w:val="32"/>
          <w:szCs w:val="32"/>
        </w:rPr>
        <w:t>】月</w:t>
      </w:r>
      <w:permEnd w:id="1"/>
    </w:p>
    <w:p>
      <w:pPr>
        <w:adjustRightInd w:val="0"/>
        <w:spacing w:line="360" w:lineRule="auto"/>
        <w:jc w:val="center"/>
        <w:rPr>
          <w:rStyle w:val="27"/>
          <w:rFonts w:ascii="宋体" w:hAnsi="宋体"/>
          <w:sz w:val="32"/>
          <w:szCs w:val="32"/>
        </w:rPr>
      </w:pPr>
    </w:p>
    <w:p>
      <w:pPr>
        <w:pStyle w:val="3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pPr>
            <w:pStyle w:val="48"/>
            <w:spacing w:line="360" w:lineRule="auto"/>
            <w:jc w:val="center"/>
          </w:pPr>
          <w:permStart w:id="2" w:edGrp="everyone"/>
          <w:bookmarkStart w:id="0" w:name="_Toc78276587"/>
          <w:r>
            <w:rPr>
              <w:lang w:val="zh-CN"/>
            </w:rPr>
            <w:t>目录</w:t>
          </w:r>
        </w:p>
        <w:p>
          <w:pPr>
            <w:pStyle w:val="16"/>
            <w:tabs>
              <w:tab w:val="right" w:leader="dot" w:pos="8296"/>
            </w:tabs>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"_Toc176189278" </w:instrText>
          </w:r>
          <w:r>
            <w:fldChar w:fldCharType="separate"/>
          </w:r>
          <w:r>
            <w:rPr>
              <w:rStyle w:val="29"/>
              <w:rFonts w:hint="eastAsia" w:ascii="Times New Roman"/>
            </w:rPr>
            <w:t>第一条</w:t>
          </w:r>
          <w:r>
            <w:rPr>
              <w:rStyle w:val="29"/>
              <w:rFonts w:ascii="Times New Roman"/>
            </w:rPr>
            <w:t xml:space="preserve">  </w:t>
          </w:r>
          <w:r>
            <w:rPr>
              <w:rStyle w:val="29"/>
              <w:rFonts w:hint="eastAsia" w:ascii="Times New Roman"/>
            </w:rPr>
            <w:t>释义</w:t>
          </w:r>
          <w:r>
            <w:tab/>
          </w:r>
          <w:r>
            <w:fldChar w:fldCharType="begin"/>
          </w:r>
          <w:r>
            <w:instrText xml:space="preserve"> PAGEREF _Toc176189278 \h </w:instrText>
          </w:r>
          <w:r>
            <w:fldChar w:fldCharType="separate"/>
          </w:r>
          <w:r>
            <w:t>3</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"_Toc176189279" </w:instrText>
          </w:r>
          <w:r>
            <w:fldChar w:fldCharType="separate"/>
          </w:r>
          <w:r>
            <w:rPr>
              <w:rStyle w:val="29"/>
              <w:rFonts w:hint="eastAsia" w:hAnsi="宋体"/>
            </w:rPr>
            <w:t>第二条</w:t>
          </w:r>
          <w:r>
            <w:rPr>
              <w:rStyle w:val="29"/>
              <w:rFonts w:hAnsi="宋体"/>
            </w:rPr>
            <w:t xml:space="preserve">  </w:t>
          </w:r>
          <w:r>
            <w:rPr>
              <w:rStyle w:val="29"/>
              <w:rFonts w:hint="eastAsia" w:hAnsi="宋体"/>
            </w:rPr>
            <w:t>理财产品基本情况</w:t>
          </w:r>
          <w:r>
            <w:tab/>
          </w:r>
          <w:r>
            <w:fldChar w:fldCharType="begin"/>
          </w:r>
          <w:r>
            <w:instrText xml:space="preserve"> PAGEREF _Toc176189279 \h </w:instrText>
          </w:r>
          <w:r>
            <w:fldChar w:fldCharType="separate"/>
          </w:r>
          <w:r>
            <w:t>8</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"_Toc176189280" </w:instrText>
          </w:r>
          <w:r>
            <w:fldChar w:fldCharType="separate"/>
          </w:r>
          <w:r>
            <w:rPr>
              <w:rStyle w:val="29"/>
              <w:rFonts w:hint="eastAsia" w:ascii="Times New Roman"/>
            </w:rPr>
            <w:t>第三条</w:t>
          </w:r>
          <w:r>
            <w:rPr>
              <w:rStyle w:val="29"/>
              <w:rFonts w:ascii="Times New Roman"/>
            </w:rPr>
            <w:t xml:space="preserve">  </w:t>
          </w:r>
          <w:r>
            <w:rPr>
              <w:rStyle w:val="29"/>
              <w:rFonts w:hint="eastAsia" w:ascii="Times New Roman"/>
            </w:rPr>
            <w:t>理财产品的认购</w:t>
          </w:r>
          <w:r>
            <w:tab/>
          </w:r>
          <w:r>
            <w:fldChar w:fldCharType="begin"/>
          </w:r>
          <w:r>
            <w:instrText xml:space="preserve"> PAGEREF _Toc176189280 \h </w:instrText>
          </w:r>
          <w:r>
            <w:fldChar w:fldCharType="separate"/>
          </w:r>
          <w:r>
            <w:t>15</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"_Toc176189281" </w:instrText>
          </w:r>
          <w:r>
            <w:fldChar w:fldCharType="separate"/>
          </w:r>
          <w:r>
            <w:rPr>
              <w:rStyle w:val="29"/>
              <w:rFonts w:hint="eastAsia" w:ascii="Times New Roman"/>
            </w:rPr>
            <w:t>第四条</w:t>
          </w:r>
          <w:r>
            <w:rPr>
              <w:rStyle w:val="29"/>
              <w:rFonts w:ascii="Times New Roman"/>
            </w:rPr>
            <w:t xml:space="preserve">  </w:t>
          </w:r>
          <w:r>
            <w:rPr>
              <w:rStyle w:val="29"/>
              <w:rFonts w:hint="eastAsia" w:ascii="Times New Roman"/>
            </w:rPr>
            <w:t>理财产品的申购与赎回</w:t>
          </w:r>
          <w:r>
            <w:tab/>
          </w:r>
          <w:r>
            <w:fldChar w:fldCharType="begin"/>
          </w:r>
          <w:r>
            <w:instrText xml:space="preserve"> PAGEREF _Toc176189281 \h </w:instrText>
          </w:r>
          <w:r>
            <w:fldChar w:fldCharType="separate"/>
          </w:r>
          <w:r>
            <w:t>17</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"_Toc176189282" </w:instrText>
          </w:r>
          <w:r>
            <w:fldChar w:fldCharType="separate"/>
          </w:r>
          <w:r>
            <w:rPr>
              <w:rStyle w:val="29"/>
              <w:rFonts w:hint="eastAsia" w:ascii="Times New Roman"/>
            </w:rPr>
            <w:t>第五条</w:t>
          </w:r>
          <w:r>
            <w:rPr>
              <w:rStyle w:val="29"/>
              <w:rFonts w:ascii="Times New Roman"/>
            </w:rPr>
            <w:t xml:space="preserve">  </w:t>
          </w:r>
          <w:r>
            <w:rPr>
              <w:rStyle w:val="29"/>
              <w:rFonts w:hint="eastAsia" w:ascii="Times New Roman"/>
            </w:rPr>
            <w:t>理财产品的投资</w:t>
          </w:r>
          <w:r>
            <w:tab/>
          </w:r>
          <w:r>
            <w:fldChar w:fldCharType="begin"/>
          </w:r>
          <w:r>
            <w:instrText xml:space="preserve"> PAGEREF _Toc176189282 \h </w:instrText>
          </w:r>
          <w:r>
            <w:fldChar w:fldCharType="separate"/>
          </w:r>
          <w:r>
            <w:t>21</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"_Toc176189283" </w:instrText>
          </w:r>
          <w:r>
            <w:fldChar w:fldCharType="separate"/>
          </w:r>
          <w:r>
            <w:rPr>
              <w:rStyle w:val="29"/>
              <w:rFonts w:hint="eastAsia" w:ascii="Times New Roman"/>
            </w:rPr>
            <w:t>第六条</w:t>
          </w:r>
          <w:r>
            <w:rPr>
              <w:rStyle w:val="29"/>
              <w:rFonts w:ascii="Times New Roman"/>
            </w:rPr>
            <w:t xml:space="preserve">  </w:t>
          </w:r>
          <w:r>
            <w:rPr>
              <w:rStyle w:val="29"/>
              <w:rFonts w:hint="eastAsia" w:ascii="Times New Roman"/>
            </w:rPr>
            <w:t>理财产品的资产</w:t>
          </w:r>
          <w:r>
            <w:tab/>
          </w:r>
          <w:r>
            <w:fldChar w:fldCharType="begin"/>
          </w:r>
          <w:r>
            <w:instrText xml:space="preserve"> PAGEREF _Toc176189283 \h </w:instrText>
          </w:r>
          <w:r>
            <w:fldChar w:fldCharType="separate"/>
          </w:r>
          <w:r>
            <w:t>25</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"_Toc176189284" </w:instrText>
          </w:r>
          <w:r>
            <w:fldChar w:fldCharType="separate"/>
          </w:r>
          <w:r>
            <w:rPr>
              <w:rStyle w:val="29"/>
              <w:rFonts w:hint="eastAsia" w:ascii="Times New Roman"/>
            </w:rPr>
            <w:t>第七条</w:t>
          </w:r>
          <w:r>
            <w:rPr>
              <w:rStyle w:val="29"/>
              <w:rFonts w:ascii="Times New Roman"/>
            </w:rPr>
            <w:t xml:space="preserve">  </w:t>
          </w:r>
          <w:r>
            <w:rPr>
              <w:rStyle w:val="29"/>
              <w:rFonts w:hint="eastAsia" w:ascii="Times New Roman"/>
            </w:rPr>
            <w:t>理财产品项下资产的估值</w:t>
          </w:r>
          <w:r>
            <w:tab/>
          </w:r>
          <w:r>
            <w:fldChar w:fldCharType="begin"/>
          </w:r>
          <w:r>
            <w:instrText xml:space="preserve"> PAGEREF _Toc176189284 \h </w:instrText>
          </w:r>
          <w:r>
            <w:fldChar w:fldCharType="separate"/>
          </w:r>
          <w:r>
            <w:t>26</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"_Toc176189285" </w:instrText>
          </w:r>
          <w:r>
            <w:fldChar w:fldCharType="separate"/>
          </w:r>
          <w:r>
            <w:rPr>
              <w:rStyle w:val="29"/>
              <w:rFonts w:hint="eastAsia" w:ascii="Times New Roman"/>
            </w:rPr>
            <w:t>第八条</w:t>
          </w:r>
          <w:r>
            <w:rPr>
              <w:rStyle w:val="29"/>
              <w:rFonts w:ascii="Times New Roman"/>
            </w:rPr>
            <w:t xml:space="preserve">  </w:t>
          </w:r>
          <w:r>
            <w:rPr>
              <w:rStyle w:val="29"/>
              <w:rFonts w:hint="eastAsia" w:ascii="Times New Roman"/>
            </w:rPr>
            <w:t>理财产品的利益分配</w:t>
          </w:r>
          <w:r>
            <w:tab/>
          </w:r>
          <w:r>
            <w:fldChar w:fldCharType="begin"/>
          </w:r>
          <w:r>
            <w:instrText xml:space="preserve"> PAGEREF _Toc176189285 \h </w:instrText>
          </w:r>
          <w:r>
            <w:fldChar w:fldCharType="separate"/>
          </w:r>
          <w:r>
            <w:t>29</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"_Toc176189286" </w:instrText>
          </w:r>
          <w:r>
            <w:fldChar w:fldCharType="separate"/>
          </w:r>
          <w:r>
            <w:rPr>
              <w:rStyle w:val="29"/>
              <w:rFonts w:hint="eastAsia" w:ascii="Times New Roman"/>
            </w:rPr>
            <w:t>第九条</w:t>
          </w:r>
          <w:r>
            <w:rPr>
              <w:rStyle w:val="29"/>
              <w:rFonts w:ascii="Times New Roman"/>
            </w:rPr>
            <w:t xml:space="preserve">  </w:t>
          </w:r>
          <w:r>
            <w:rPr>
              <w:rStyle w:val="29"/>
              <w:rFonts w:hint="eastAsia" w:ascii="Times New Roman"/>
            </w:rPr>
            <w:t>理财产品的费用与税收</w:t>
          </w:r>
          <w:r>
            <w:tab/>
          </w:r>
          <w:r>
            <w:fldChar w:fldCharType="begin"/>
          </w:r>
          <w:r>
            <w:instrText xml:space="preserve"> PAGEREF _Toc176189286 \h </w:instrText>
          </w:r>
          <w:r>
            <w:fldChar w:fldCharType="separate"/>
          </w:r>
          <w:r>
            <w:t>31</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"_Toc176189287" </w:instrText>
          </w:r>
          <w:r>
            <w:fldChar w:fldCharType="separate"/>
          </w:r>
          <w:r>
            <w:rPr>
              <w:rStyle w:val="29"/>
              <w:rFonts w:hint="eastAsia"/>
            </w:rPr>
            <w:t>第十条</w:t>
          </w:r>
          <w:r>
            <w:rPr>
              <w:rStyle w:val="29"/>
            </w:rPr>
            <w:t xml:space="preserve">  </w:t>
          </w:r>
          <w:r>
            <w:rPr>
              <w:rStyle w:val="29"/>
              <w:rFonts w:hint="eastAsia"/>
            </w:rPr>
            <w:t>理财产品的终止与清算</w:t>
          </w:r>
          <w:r>
            <w:tab/>
          </w:r>
          <w:r>
            <w:fldChar w:fldCharType="begin"/>
          </w:r>
          <w:r>
            <w:instrText xml:space="preserve"> PAGEREF _Toc176189287 \h </w:instrText>
          </w:r>
          <w:r>
            <w:fldChar w:fldCharType="separate"/>
          </w:r>
          <w:r>
            <w:t>33</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"_Toc176189288" </w:instrText>
          </w:r>
          <w:r>
            <w:fldChar w:fldCharType="separate"/>
          </w:r>
          <w:r>
            <w:rPr>
              <w:rStyle w:val="29"/>
              <w:rFonts w:hint="eastAsia" w:ascii="Times New Roman"/>
            </w:rPr>
            <w:t>第十一条</w:t>
          </w:r>
          <w:r>
            <w:rPr>
              <w:rStyle w:val="29"/>
              <w:rFonts w:ascii="Times New Roman"/>
            </w:rPr>
            <w:t xml:space="preserve">  </w:t>
          </w:r>
          <w:r>
            <w:rPr>
              <w:rStyle w:val="29"/>
              <w:rFonts w:hint="eastAsia" w:ascii="Times New Roman"/>
            </w:rPr>
            <w:t>理财产品的信息披露</w:t>
          </w:r>
          <w:r>
            <w:tab/>
          </w:r>
          <w:r>
            <w:fldChar w:fldCharType="begin"/>
          </w:r>
          <w:r>
            <w:instrText xml:space="preserve"> PAGEREF _Toc176189288 \h </w:instrText>
          </w:r>
          <w:r>
            <w:fldChar w:fldCharType="separate"/>
          </w:r>
          <w:r>
            <w:t>35</w:t>
          </w:r>
          <w:r>
            <w:fldChar w:fldCharType="end"/>
          </w:r>
          <w:r>
            <w:fldChar w:fldCharType="end"/>
          </w:r>
        </w:p>
        <w:p>
          <w:pPr>
            <w:pStyle w:val="16"/>
            <w:tabs>
              <w:tab w:val="right" w:leader="dot" w:pos="8296"/>
            </w:tabs>
            <w:rPr>
              <w:rFonts w:asciiTheme="minorHAnsi" w:hAnsiTheme="minorHAnsi" w:eastAsiaTheme="minorEastAsia" w:cstheme="minorBidi"/>
              <w:kern w:val="2"/>
              <w:sz w:val="21"/>
            </w:rPr>
          </w:pPr>
          <w:r>
            <w:fldChar w:fldCharType="begin"/>
          </w:r>
          <w:r>
            <w:instrText xml:space="preserve"> HYPERLINK \l "_Toc176189289" </w:instrText>
          </w:r>
          <w:r>
            <w:fldChar w:fldCharType="separate"/>
          </w:r>
          <w:r>
            <w:rPr>
              <w:rStyle w:val="29"/>
              <w:rFonts w:hint="eastAsia" w:ascii="Times New Roman"/>
            </w:rPr>
            <w:t>第十二条</w:t>
          </w:r>
          <w:r>
            <w:rPr>
              <w:rStyle w:val="29"/>
              <w:rFonts w:ascii="Times New Roman"/>
            </w:rPr>
            <w:t xml:space="preserve">  </w:t>
          </w:r>
          <w:r>
            <w:rPr>
              <w:rStyle w:val="29"/>
              <w:rFonts w:hint="eastAsia" w:ascii="Times New Roman"/>
            </w:rPr>
            <w:t>理财产品的风险揭示</w:t>
          </w:r>
          <w:r>
            <w:tab/>
          </w:r>
          <w:r>
            <w:fldChar w:fldCharType="begin"/>
          </w:r>
          <w:r>
            <w:instrText xml:space="preserve"> PAGEREF _Toc176189289 \h </w:instrText>
          </w:r>
          <w:r>
            <w:fldChar w:fldCharType="separate"/>
          </w:r>
          <w:r>
            <w:t>37</w:t>
          </w:r>
          <w:r>
            <w:fldChar w:fldCharType="end"/>
          </w:r>
          <w:r>
            <w:fldChar w:fldCharType="end"/>
          </w:r>
        </w:p>
        <w:p>
          <w:pPr>
            <w:spacing w:line="360" w:lineRule="auto"/>
          </w:pPr>
          <w:r>
            <w:fldChar w:fldCharType="end"/>
          </w:r>
        </w:p>
      </w:sdtContent>
    </w:sdt>
    <w:permEnd w:id="2"/>
    <w:p>
      <w:pPr>
        <w:rPr>
          <w:rFonts w:ascii="Times New Roman"/>
          <w:sz w:val="30"/>
        </w:rPr>
      </w:pPr>
      <w:r>
        <w:rPr>
          <w:rFonts w:ascii="Times New Roman"/>
          <w:sz w:val="30"/>
        </w:rPr>
        <w:br w:type="page"/>
      </w:r>
    </w:p>
    <w:p>
      <w:pPr>
        <w:pStyle w:val="2"/>
        <w:spacing w:before="0" w:after="0" w:line="360" w:lineRule="auto"/>
        <w:jc w:val="center"/>
        <w:rPr>
          <w:rFonts w:ascii="Times New Roman"/>
          <w:sz w:val="30"/>
        </w:rPr>
      </w:pPr>
      <w:bookmarkStart w:id="1" w:name="_Toc6906"/>
      <w:bookmarkStart w:id="2" w:name="_Toc176189278"/>
      <w:r>
        <w:rPr>
          <w:rFonts w:ascii="Times New Roman"/>
          <w:sz w:val="30"/>
        </w:rPr>
        <w:t>第</w:t>
      </w:r>
      <w:r>
        <w:rPr>
          <w:rFonts w:hint="eastAsia" w:ascii="Times New Roman"/>
          <w:sz w:val="30"/>
        </w:rPr>
        <w:t xml:space="preserve">一条 </w:t>
      </w:r>
      <w:r>
        <w:rPr>
          <w:rFonts w:ascii="Times New Roman"/>
          <w:sz w:val="30"/>
        </w:rPr>
        <w:t xml:space="preserve"> 释义</w:t>
      </w:r>
      <w:bookmarkEnd w:id="0"/>
      <w:bookmarkEnd w:id="1"/>
      <w:bookmarkEnd w:id="2"/>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w:t>
      </w:r>
      <w:permStart w:id="3" w:edGrp="everyone"/>
      <w:r>
        <w:rPr>
          <w:rFonts w:hint="eastAsia" w:asciiTheme="majorEastAsia" w:hAnsiTheme="majorEastAsia" w:eastAsiaTheme="majorEastAsia"/>
          <w:bCs/>
          <w:color w:val="auto"/>
          <w:sz w:val="18"/>
          <w:szCs w:val="18"/>
        </w:rPr>
        <w:t>指兴业银行股份有限公司（以下简称</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）。兴业银行成立于</w:t>
      </w:r>
      <w:r>
        <w:rPr>
          <w:rFonts w:asciiTheme="majorEastAsia" w:hAnsiTheme="majorEastAsia" w:eastAsiaTheme="majorEastAsia"/>
          <w:bCs/>
          <w:color w:val="auto"/>
          <w:sz w:val="18"/>
          <w:szCs w:val="18"/>
        </w:rPr>
        <w:t>1988年，于2005年开展资产托管业务，具备理财产品托管资格。</w:t>
      </w:r>
      <w:r>
        <w:rPr>
          <w:rFonts w:hint="eastAsia" w:asciiTheme="majorEastAsia" w:hAnsiTheme="majorEastAsia" w:eastAsiaTheme="majorEastAsia"/>
          <w:bCs/>
          <w:color w:val="auto"/>
          <w:sz w:val="18"/>
          <w:szCs w:val="18"/>
        </w:rPr>
        <w:t>托管人负责履行安全保管理财产品资金及其所投资的资产，办理清算、交割事宜，与管理人对账，监督理财产品投资运作等职责。</w:t>
      </w:r>
      <w:permEnd w:id="3"/>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监管部门</w:t>
      </w:r>
      <w:r>
        <w:rPr>
          <w:rFonts w:asciiTheme="majorEastAsia" w:hAnsiTheme="majorEastAsia" w:eastAsiaTheme="majorEastAsia"/>
          <w:bCs/>
          <w:color w:val="auto"/>
          <w:sz w:val="18"/>
          <w:szCs w:val="18"/>
        </w:rPr>
        <w:t>认定的其他业务活动。各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pPr>
        <w:pStyle w:val="3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（6）全国银行业理财信息登记系统：指供商业银行及商业银行理财公司进行理财产品电子化报告和信息登记的电子信息系统。</w:t>
      </w:r>
    </w:p>
    <w:p>
      <w:pPr>
        <w:pStyle w:val="3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w:t>
      </w:r>
      <w:permStart w:id="4" w:edGrp="everyone"/>
      <w:r>
        <w:rPr>
          <w:rFonts w:hint="eastAsia" w:asciiTheme="majorEastAsia" w:hAnsiTheme="majorEastAsia" w:eastAsiaTheme="majorEastAsia"/>
          <w:bCs/>
          <w:sz w:val="18"/>
          <w:szCs w:val="18"/>
        </w:rPr>
        <w:t>【添利】</w:t>
      </w:r>
      <w:permEnd w:id="4"/>
      <w:r>
        <w:rPr>
          <w:rFonts w:hint="eastAsia" w:asciiTheme="majorEastAsia" w:hAnsiTheme="majorEastAsia" w:eastAsiaTheme="majorEastAsia"/>
          <w:bCs/>
          <w:sz w:val="18"/>
          <w:szCs w:val="18"/>
        </w:rPr>
        <w:t>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w:t>
      </w:r>
      <w:permStart w:id="5" w:edGrp="everyone"/>
      <w:r>
        <w:rPr>
          <w:rFonts w:hint="eastAsia" w:asciiTheme="majorEastAsia" w:hAnsiTheme="majorEastAsia" w:eastAsiaTheme="majorEastAsia"/>
          <w:bCs/>
          <w:sz w:val="18"/>
          <w:szCs w:val="18"/>
        </w:rPr>
        <w:t>【添利】</w:t>
      </w:r>
      <w:permEnd w:id="5"/>
      <w:r>
        <w:rPr>
          <w:rFonts w:hint="eastAsia" w:asciiTheme="majorEastAsia" w:hAnsiTheme="majorEastAsia" w:eastAsiaTheme="majorEastAsia"/>
          <w:bCs/>
          <w:sz w:val="18"/>
          <w:szCs w:val="18"/>
        </w:rPr>
        <w:t>理财产品投资协议书》，以及对该文件的有效修改或补充。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w:t>
      </w:r>
      <w:permStart w:id="6" w:edGrp="everyone"/>
      <w:r>
        <w:rPr>
          <w:rFonts w:hint="eastAsia" w:asciiTheme="majorEastAsia" w:hAnsiTheme="majorEastAsia" w:eastAsiaTheme="majorEastAsia"/>
          <w:bCs/>
          <w:sz w:val="18"/>
          <w:szCs w:val="18"/>
        </w:rPr>
        <w:t>【添利】</w:t>
      </w:r>
      <w:permEnd w:id="6"/>
      <w:r>
        <w:rPr>
          <w:rFonts w:hint="eastAsia" w:asciiTheme="majorEastAsia" w:hAnsiTheme="majorEastAsia" w:eastAsiaTheme="majorEastAsia"/>
          <w:bCs/>
          <w:sz w:val="18"/>
          <w:szCs w:val="18"/>
        </w:rPr>
        <w:t>理财产品产品说明书》，以及对该文件的有效修改或补充。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w:t>
      </w:r>
      <w:permStart w:id="7" w:edGrp="everyone"/>
      <w:r>
        <w:rPr>
          <w:rFonts w:hint="eastAsia" w:asciiTheme="majorEastAsia" w:hAnsiTheme="majorEastAsia" w:eastAsiaTheme="majorEastAsia"/>
          <w:bCs/>
          <w:sz w:val="18"/>
          <w:szCs w:val="18"/>
        </w:rPr>
        <w:t>【添利】</w:t>
      </w:r>
      <w:permEnd w:id="7"/>
      <w:r>
        <w:rPr>
          <w:rFonts w:hint="eastAsia" w:asciiTheme="majorEastAsia" w:hAnsiTheme="majorEastAsia" w:eastAsiaTheme="majorEastAsia"/>
          <w:bCs/>
          <w:sz w:val="18"/>
          <w:szCs w:val="18"/>
        </w:rPr>
        <w:t>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permStart w:id="8" w:edGrp="everyone"/>
      <w:r>
        <w:rPr>
          <w:rFonts w:hint="eastAsia" w:asciiTheme="majorEastAsia" w:hAnsiTheme="majorEastAsia" w:eastAsiaTheme="majorEastAsia"/>
          <w:bCs/>
          <w:sz w:val="18"/>
          <w:szCs w:val="18"/>
        </w:rPr>
        <w:t>【添利】</w:t>
      </w:r>
      <w:permEnd w:id="8"/>
      <w:r>
        <w:rPr>
          <w:rFonts w:hint="eastAsia" w:asciiTheme="majorEastAsia" w:hAnsiTheme="majorEastAsia" w:eastAsiaTheme="majorEastAsia"/>
          <w:bCs/>
          <w:sz w:val="18"/>
          <w:szCs w:val="18"/>
        </w:rPr>
        <w:t>理财产品（代理）销售协议书》（文件名称以代理销售机构实际编制为准），以及对该文件的有效修改或补充。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w:t>
      </w:r>
      <w:permStart w:id="9" w:edGrp="everyone"/>
      <w:r>
        <w:rPr>
          <w:rFonts w:hint="eastAsia" w:asciiTheme="majorEastAsia" w:hAnsiTheme="majorEastAsia" w:eastAsiaTheme="majorEastAsia"/>
          <w:bCs/>
          <w:sz w:val="18"/>
          <w:szCs w:val="18"/>
        </w:rPr>
        <w:t>【添利】</w:t>
      </w:r>
      <w:permEnd w:id="9"/>
      <w:r>
        <w:rPr>
          <w:rFonts w:hint="eastAsia" w:asciiTheme="majorEastAsia" w:hAnsiTheme="majorEastAsia" w:eastAsiaTheme="majorEastAsia"/>
          <w:bCs/>
          <w:sz w:val="18"/>
          <w:szCs w:val="18"/>
        </w:rPr>
        <w:t>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permStart w:id="10" w:edGrp="everyone"/>
      <w:r>
        <w:rPr>
          <w:rFonts w:hint="eastAsia" w:asciiTheme="majorEastAsia" w:hAnsiTheme="majorEastAsia" w:eastAsiaTheme="majorEastAsia"/>
          <w:bCs/>
          <w:sz w:val="18"/>
          <w:szCs w:val="18"/>
        </w:rPr>
        <w:t>【添利】</w:t>
      </w:r>
      <w:permEnd w:id="10"/>
      <w:r>
        <w:rPr>
          <w:rFonts w:hint="eastAsia" w:asciiTheme="majorEastAsia" w:hAnsiTheme="majorEastAsia" w:eastAsiaTheme="majorEastAsia"/>
          <w:bCs/>
          <w:sz w:val="18"/>
          <w:szCs w:val="18"/>
        </w:rPr>
        <w:t>理财产品风险揭示书》（文件名称以代理销售机构实际编制为准），以及对该文件的有效修改或补充。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w:t>
      </w:r>
      <w:permStart w:id="11" w:edGrp="everyone"/>
      <w:r>
        <w:rPr>
          <w:rFonts w:hint="eastAsia" w:asciiTheme="majorEastAsia" w:hAnsiTheme="majorEastAsia" w:eastAsiaTheme="majorEastAsia"/>
          <w:bCs/>
          <w:sz w:val="18"/>
          <w:szCs w:val="18"/>
        </w:rPr>
        <w:t>【添利】</w:t>
      </w:r>
      <w:permEnd w:id="11"/>
      <w:r>
        <w:rPr>
          <w:rFonts w:hint="eastAsia" w:asciiTheme="majorEastAsia" w:hAnsiTheme="majorEastAsia" w:eastAsiaTheme="majorEastAsia"/>
          <w:bCs/>
          <w:sz w:val="18"/>
          <w:szCs w:val="18"/>
        </w:rPr>
        <w:t>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w:t>
      </w:r>
      <w:permStart w:id="12" w:edGrp="everyone"/>
      <w:r>
        <w:rPr>
          <w:rFonts w:hint="eastAsia" w:asciiTheme="majorEastAsia" w:hAnsiTheme="majorEastAsia" w:eastAsiaTheme="majorEastAsia"/>
          <w:bCs/>
          <w:sz w:val="18"/>
          <w:szCs w:val="18"/>
        </w:rPr>
        <w:t>【添利】</w:t>
      </w:r>
      <w:permEnd w:id="12"/>
      <w:r>
        <w:rPr>
          <w:rFonts w:hint="eastAsia" w:asciiTheme="majorEastAsia" w:hAnsiTheme="majorEastAsia" w:eastAsiaTheme="majorEastAsia"/>
          <w:bCs/>
          <w:sz w:val="18"/>
          <w:szCs w:val="18"/>
        </w:rPr>
        <w:t>理财产品投资者权益须知》（文件名称以代理销售机构实际编制为准），以及对该文件的有效修改或补充。</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，为在理财产品销售管理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每</w:t>
      </w:r>
      <w:r>
        <w:rPr>
          <w:rFonts w:asciiTheme="majorEastAsia" w:hAnsiTheme="majorEastAsia" w:eastAsiaTheme="majorEastAsia"/>
          <w:bCs/>
          <w:color w:val="auto"/>
          <w:sz w:val="18"/>
          <w:szCs w:val="18"/>
        </w:rPr>
        <w:t>类份额类别设置的</w:t>
      </w:r>
      <w:r>
        <w:rPr>
          <w:rFonts w:hint="eastAsia" w:asciiTheme="majorEastAsia" w:hAnsiTheme="majorEastAsia" w:eastAsiaTheme="majorEastAsia"/>
          <w:bCs/>
          <w:color w:val="auto"/>
          <w:sz w:val="18"/>
          <w:szCs w:val="18"/>
        </w:rPr>
        <w:t>唯一性内部识别码。若本款理财产品不设置差异化产品份额类别，理财产品代码即为理财产品销售代码。</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理财产品通过代理销售机构销售的，理财产品评级以代理销售机构最终披露的评级结果为准。产品管理人和代理销售机构对理财产品的风险等级评估结果不一致时，代理销售机构应采用对应较高风险的评级结果。</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）适合投资者：指适合购买理财产品的投资者类型。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。投资者按该份额净值进行理财产品申购、赎回和终止时分配。理财</w:t>
      </w:r>
      <w:r>
        <w:rPr>
          <w:rFonts w:asciiTheme="majorEastAsia" w:hAnsiTheme="majorEastAsia" w:eastAsiaTheme="majorEastAsia"/>
          <w:bCs/>
          <w:color w:val="auto"/>
          <w:sz w:val="18"/>
          <w:szCs w:val="18"/>
        </w:rPr>
        <w:t>产品份额净值四舍五入保留5位小数。</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（10）理财产品估值：指计算评估理财产品资产和理财产品负债的价值，以确定理财产品份额净值、每万份理财产品收益和7日年化收益率的过程。</w:t>
      </w:r>
    </w:p>
    <w:p>
      <w:pPr>
        <w:pStyle w:val="3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sz w:val="18"/>
        </w:rPr>
        <w:t>不</w:t>
      </w:r>
      <w:r>
        <w:rPr>
          <w:rFonts w:hint="eastAsia" w:ascii="黑体" w:hAnsi="黑体" w:eastAsia="黑体"/>
          <w:bCs/>
          <w:sz w:val="18"/>
          <w:szCs w:val="18"/>
        </w:rPr>
        <w:t>构成对</w:t>
      </w:r>
      <w:r>
        <w:rPr>
          <w:rFonts w:hint="eastAsia" w:ascii="黑体" w:hAnsi="黑体"/>
          <w:sz w:val="18"/>
        </w:rPr>
        <w:t>产品收益的</w:t>
      </w:r>
      <w:r>
        <w:rPr>
          <w:rFonts w:hint="eastAsia" w:ascii="黑体" w:hAnsi="黑体" w:eastAsia="黑体"/>
          <w:bCs/>
          <w:sz w:val="18"/>
          <w:szCs w:val="18"/>
        </w:rPr>
        <w:t>承诺</w:t>
      </w:r>
      <w:r>
        <w:rPr>
          <w:rFonts w:hint="eastAsia" w:ascii="黑体" w:hAnsi="黑体"/>
          <w:sz w:val="18"/>
        </w:rPr>
        <w:t>，</w:t>
      </w:r>
      <w:r>
        <w:rPr>
          <w:rFonts w:hint="eastAsia" w:ascii="黑体" w:hAnsi="黑体" w:eastAsia="黑体"/>
          <w:bCs/>
          <w:color w:val="auto"/>
          <w:sz w:val="18"/>
          <w:szCs w:val="18"/>
        </w:rPr>
        <w:t>投资须谨慎。</w:t>
      </w:r>
    </w:p>
    <w:p>
      <w:pPr>
        <w:pStyle w:val="3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8）申购：</w:t>
      </w:r>
      <w:r>
        <w:rPr>
          <w:rFonts w:hint="eastAsia" w:asciiTheme="minorEastAsia" w:hAnsiTheme="minorEastAsia" w:eastAsiaTheme="minorEastAsia"/>
          <w:color w:val="auto"/>
          <w:sz w:val="18"/>
          <w:szCs w:val="18"/>
        </w:rPr>
        <w:t>指开放式理财产品成立后，投资者申请购买理财产品份额的行为。</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（19）赎回：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pPr>
        <w:pStyle w:val="34"/>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0）巨额赎回：</w:t>
      </w:r>
      <w:r>
        <w:rPr>
          <w:rFonts w:hint="eastAsia" w:asciiTheme="minorEastAsia" w:hAnsiTheme="minorEastAsia"/>
          <w:bCs/>
          <w:color w:val="auto"/>
          <w:sz w:val="18"/>
          <w:szCs w:val="18"/>
        </w:rPr>
        <w:t>单个开放日中，本产品的产品份额净赎回申请（赎回申请总份额扣除申购总份额后的余额</w:t>
      </w:r>
      <w:r>
        <w:rPr>
          <w:rFonts w:asciiTheme="minorEastAsia" w:hAnsiTheme="minorEastAsia"/>
          <w:bCs/>
          <w:color w:val="auto"/>
          <w:sz w:val="18"/>
          <w:szCs w:val="18"/>
        </w:rPr>
        <w:t>,</w:t>
      </w:r>
      <w:r>
        <w:rPr>
          <w:rFonts w:hint="eastAsia" w:asciiTheme="minorEastAsia" w:hAnsiTheme="minorEastAsia"/>
          <w:bCs/>
          <w:color w:val="auto"/>
          <w:sz w:val="18"/>
          <w:szCs w:val="18"/>
        </w:rPr>
        <w:t>下同）之和达到上一日产品总份额的</w:t>
      </w:r>
      <w:r>
        <w:rPr>
          <w:rFonts w:asciiTheme="minorEastAsia" w:hAnsiTheme="minorEastAsia"/>
          <w:bCs/>
          <w:color w:val="auto"/>
          <w:sz w:val="18"/>
          <w:szCs w:val="18"/>
        </w:rPr>
        <w:t>约定百分比</w:t>
      </w:r>
      <w:r>
        <w:rPr>
          <w:rFonts w:hint="eastAsia" w:asciiTheme="minorEastAsia" w:hAnsiTheme="minorEastAsia"/>
          <w:bCs/>
          <w:color w:val="auto"/>
          <w:sz w:val="18"/>
          <w:szCs w:val="18"/>
        </w:rPr>
        <w:t>，为巨额赎回。</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21）流动性受限资产：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22）7个工作日可变现资产：包括可在交易所、银行间市场正常交易的股票、债券、非金融企业债务融资工具、期货及期权合约以及同业存单，7个工作日内到期或可支取的买入返售、银行存款，7个工作日内能够确认收到的各类应收款项等。</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工作日：指国家法定工作日。</w:t>
      </w:r>
      <w:r>
        <w:rPr>
          <w:rFonts w:asciiTheme="majorEastAsia" w:hAnsiTheme="majorEastAsia" w:eastAsiaTheme="majorEastAsia"/>
          <w:bCs/>
          <w:color w:val="auto"/>
          <w:sz w:val="18"/>
          <w:szCs w:val="18"/>
        </w:rPr>
        <w:t xml:space="preserve"> </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）成立日：指理财产品开始运作的日期。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）终止日：指理财产品终止的日期。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w:t>
      </w:r>
      <w:r>
        <w:rPr>
          <w:rFonts w:hint="eastAsia" w:hAnsi="宋体"/>
          <w:color w:val="auto"/>
          <w:sz w:val="18"/>
          <w:szCs w:val="18"/>
        </w:rPr>
        <w:t>利益的日期。</w:t>
      </w:r>
    </w:p>
    <w:p>
      <w:pPr>
        <w:pStyle w:val="3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1）产品存续期：指自理财产品成立日起，至理财产品终止日的期间。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（12）申购申请日：指投资者做出申购申请的当日。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（13）赎回申请日：指投资者做出赎回申请的当日。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（14）申购日：指产品管理人接受投资者申购申请的当日。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（15）赎回日：指产品管理人接受投资者赎回申请的当日。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（16）申购确认日：指产品管理人确认投资者申购申请有效性的当日。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（17）赎回确认日：指产品管理人确认投资者赎回申请有效性的当日。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8）清算期：指自本理财产品终止日至投资者理财利益到账日之间的期间。</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pPr>
        <w:pStyle w:val="3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（2）</w:t>
      </w:r>
      <w:r>
        <w:rPr>
          <w:rFonts w:hint="eastAsia" w:ascii="黑体" w:hAnsi="黑体" w:eastAsia="黑体" w:cs="仿宋_GB2312"/>
          <w:bCs/>
          <w:sz w:val="18"/>
          <w:szCs w:val="18"/>
        </w:rPr>
        <w:t>★</w:t>
      </w:r>
      <w:r>
        <w:rPr>
          <w:rFonts w:ascii="宋体" w:hAnsi="宋体"/>
          <w:kern w:val="0"/>
          <w:sz w:val="18"/>
          <w:szCs w:val="18"/>
        </w:rPr>
        <w:t>申购费：</w:t>
      </w:r>
      <w:r>
        <w:rPr>
          <w:rFonts w:hint="eastAsia" w:ascii="宋体" w:hAnsi="宋体"/>
          <w:kern w:val="0"/>
          <w:sz w:val="18"/>
          <w:szCs w:val="18"/>
        </w:rPr>
        <w:t>指</w:t>
      </w:r>
      <w:r>
        <w:rPr>
          <w:rFonts w:ascii="宋体" w:hAnsi="宋体"/>
          <w:kern w:val="0"/>
          <w:sz w:val="18"/>
          <w:szCs w:val="18"/>
        </w:rPr>
        <w:t>投资者申购产品时</w:t>
      </w:r>
      <w:r>
        <w:rPr>
          <w:rFonts w:hint="eastAsia" w:ascii="宋体" w:hAnsi="宋体"/>
          <w:kern w:val="0"/>
          <w:sz w:val="18"/>
          <w:szCs w:val="18"/>
        </w:rPr>
        <w:t>需缴纳的费用。</w:t>
      </w:r>
    </w:p>
    <w:p>
      <w:pPr>
        <w:pStyle w:val="3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赎回费：指投资者赎回产品时需缴纳的费用。</w:t>
      </w:r>
    </w:p>
    <w:p>
      <w:pPr>
        <w:pStyle w:val="3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销售服务费：指因理财产品销售行为产生的费用。</w:t>
      </w:r>
    </w:p>
    <w:p>
      <w:pPr>
        <w:pStyle w:val="34"/>
        <w:spacing w:line="360" w:lineRule="auto"/>
        <w:ind w:firstLine="360" w:firstLineChars="200"/>
        <w:rPr>
          <w:rFonts w:hAnsi="宋体"/>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pPr>
        <w:pStyle w:val="34"/>
        <w:spacing w:line="360" w:lineRule="auto"/>
        <w:ind w:firstLine="360" w:firstLineChars="200"/>
        <w:rPr>
          <w:rFonts w:hAnsi="宋体"/>
          <w:sz w:val="18"/>
          <w:szCs w:val="18"/>
        </w:rPr>
      </w:pPr>
      <w:r>
        <w:rPr>
          <w:rFonts w:hint="eastAsia" w:hAnsi="宋体"/>
          <w:sz w:val="18"/>
          <w:szCs w:val="18"/>
        </w:rPr>
        <w:t>（6）</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pPr>
        <w:pStyle w:val="3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（7）</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pPr>
        <w:spacing w:line="360" w:lineRule="auto"/>
        <w:ind w:firstLine="360" w:firstLineChars="200"/>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p>
    <w:p>
      <w:pPr>
        <w:widowControl/>
        <w:spacing w:line="360" w:lineRule="auto"/>
        <w:jc w:val="left"/>
        <w:rPr>
          <w:rFonts w:ascii="宋体" w:hAnsi="宋体"/>
          <w:color w:val="000000"/>
          <w:kern w:val="0"/>
          <w:sz w:val="28"/>
          <w:szCs w:val="28"/>
        </w:rPr>
      </w:pPr>
      <w:r>
        <w:rPr>
          <w:rFonts w:hAnsi="宋体"/>
          <w:sz w:val="28"/>
          <w:szCs w:val="28"/>
        </w:rPr>
        <w:br w:type="page"/>
      </w:r>
    </w:p>
    <w:p>
      <w:pPr>
        <w:pStyle w:val="2"/>
        <w:spacing w:before="0" w:after="0" w:line="360" w:lineRule="auto"/>
        <w:jc w:val="center"/>
        <w:rPr>
          <w:rFonts w:hAnsi="宋体"/>
          <w:sz w:val="28"/>
          <w:szCs w:val="28"/>
        </w:rPr>
      </w:pPr>
      <w:bookmarkStart w:id="3" w:name="_Toc176189279"/>
      <w:bookmarkStart w:id="4" w:name="_Toc79154665"/>
      <w:bookmarkStart w:id="5" w:name="_Toc29961"/>
      <w:r>
        <w:rPr>
          <w:rFonts w:hint="eastAsia" w:hAnsi="宋体"/>
          <w:sz w:val="28"/>
          <w:szCs w:val="28"/>
        </w:rPr>
        <w:t>第二条  理财产品基本情况</w:t>
      </w:r>
      <w:bookmarkEnd w:id="3"/>
      <w:bookmarkEnd w:id="4"/>
      <w:bookmarkEnd w:id="5"/>
      <w:r>
        <w:rPr>
          <w:rFonts w:hint="eastAsia" w:hAnsi="宋体"/>
          <w:sz w:val="28"/>
          <w:szCs w:val="28"/>
        </w:rPr>
        <w:t xml:space="preserve"> </w:t>
      </w:r>
    </w:p>
    <w:tbl>
      <w:tblPr>
        <w:tblStyle w:val="24"/>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45"/>
        <w:gridCol w:w="769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45" w:type="dxa"/>
            <w:shd w:val="solid" w:color="FFFFFF" w:fill="FFFFFF"/>
          </w:tcPr>
          <w:p>
            <w:pPr>
              <w:spacing w:line="360" w:lineRule="auto"/>
              <w:jc w:val="left"/>
              <w:rPr>
                <w:rFonts w:ascii="宋体" w:hAnsi="宋体"/>
                <w:b/>
                <w:bCs/>
                <w:sz w:val="18"/>
                <w:szCs w:val="18"/>
              </w:rPr>
            </w:pPr>
            <w:permStart w:id="13" w:edGrp="everyone"/>
            <w:r>
              <w:rPr>
                <w:rFonts w:hint="eastAsia" w:hAnsi="宋体"/>
                <w:sz w:val="18"/>
                <w:szCs w:val="18"/>
              </w:rPr>
              <w:t>★</w:t>
            </w:r>
            <w:r>
              <w:rPr>
                <w:rFonts w:hint="eastAsia" w:ascii="宋体" w:hAnsi="宋体"/>
                <w:b/>
                <w:bCs/>
                <w:sz w:val="18"/>
                <w:szCs w:val="18"/>
              </w:rPr>
              <w:t>理财产品名称</w:t>
            </w:r>
          </w:p>
        </w:tc>
        <w:tc>
          <w:tcPr>
            <w:tcW w:w="7699" w:type="dxa"/>
            <w:shd w:val="solid" w:color="FFFFFF" w:fill="FFFFFF"/>
          </w:tcPr>
          <w:p>
            <w:pPr>
              <w:spacing w:line="360" w:lineRule="auto"/>
              <w:jc w:val="left"/>
              <w:rPr>
                <w:rFonts w:ascii="宋体" w:hAnsi="宋体"/>
                <w:bCs/>
                <w:sz w:val="18"/>
                <w:szCs w:val="18"/>
              </w:rPr>
            </w:pPr>
            <w:r>
              <w:rPr>
                <w:rFonts w:hint="eastAsia" w:asciiTheme="majorEastAsia" w:hAnsiTheme="majorEastAsia" w:eastAsiaTheme="majorEastAsia"/>
                <w:bCs/>
                <w:sz w:val="18"/>
                <w:szCs w:val="18"/>
              </w:rPr>
              <w:t>【</w:t>
            </w:r>
            <w:r>
              <w:rPr>
                <w:rFonts w:hint="eastAsia" w:asciiTheme="minorEastAsia" w:hAnsiTheme="minorEastAsia"/>
                <w:sz w:val="18"/>
                <w:szCs w:val="18"/>
              </w:rPr>
              <w:t>兴银理财添利天天利</w:t>
            </w:r>
            <w:r>
              <w:rPr>
                <w:rFonts w:hint="eastAsia" w:asciiTheme="minorEastAsia" w:hAnsiTheme="minorEastAsia"/>
                <w:sz w:val="18"/>
                <w:szCs w:val="18"/>
                <w:lang w:val="en-US" w:eastAsia="zh-CN"/>
              </w:rPr>
              <w:t>45</w:t>
            </w:r>
            <w:r>
              <w:rPr>
                <w:rFonts w:hint="eastAsia" w:asciiTheme="minorEastAsia" w:hAnsiTheme="minorEastAsia"/>
                <w:sz w:val="18"/>
                <w:szCs w:val="18"/>
              </w:rPr>
              <w:t>号现金管理型理财产品</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99" w:type="dxa"/>
            <w:shd w:val="solid" w:color="FFFFFF" w:fill="FFFFFF"/>
          </w:tcPr>
          <w:p>
            <w:pPr>
              <w:widowControl/>
              <w:spacing w:line="360" w:lineRule="auto"/>
              <w:jc w:val="left"/>
              <w:rPr>
                <w:rFonts w:hint="eastAsia" w:ascii="宋体" w:hAnsi="宋体" w:eastAsiaTheme="majorEastAsia"/>
                <w:kern w:val="0"/>
                <w:sz w:val="22"/>
                <w:lang w:eastAsia="zh-CN"/>
              </w:rPr>
            </w:pPr>
            <w:r>
              <w:rPr>
                <w:rFonts w:hint="eastAsia" w:asciiTheme="majorEastAsia" w:hAnsiTheme="majorEastAsia" w:eastAsiaTheme="majorEastAsia"/>
                <w:bCs/>
                <w:kern w:val="0"/>
                <w:sz w:val="18"/>
                <w:szCs w:val="18"/>
              </w:rPr>
              <w:t>【</w:t>
            </w:r>
            <w:r>
              <w:rPr>
                <w:rFonts w:hint="eastAsia" w:asciiTheme="minorEastAsia" w:hAnsiTheme="minorEastAsia"/>
                <w:sz w:val="18"/>
                <w:szCs w:val="18"/>
              </w:rPr>
              <w:t>兴银添利天天利45号</w:t>
            </w:r>
            <w:r>
              <w:rPr>
                <w:rFonts w:hint="eastAsia" w:asciiTheme="minorEastAsia" w:hAnsiTheme="minorEastAsia"/>
                <w:sz w:val="18"/>
                <w:szCs w:val="18"/>
                <w:lang w:val="en-US" w:eastAsia="zh-CN"/>
              </w:rPr>
              <w:t>F</w:t>
            </w:r>
            <w:r>
              <w:rPr>
                <w:rFonts w:hint="eastAsia" w:asciiTheme="majorEastAsia" w:hAnsiTheme="majorEastAsia" w:eastAsiaTheme="majorEastAsia"/>
                <w:bCs/>
                <w:kern w:val="0"/>
                <w:sz w:val="18"/>
                <w:szCs w:val="18"/>
              </w:rPr>
              <w:t>】</w:t>
            </w:r>
            <w:r>
              <w:rPr>
                <w:rFonts w:hint="eastAsia" w:hAnsi="宋体" w:eastAsiaTheme="majorEastAsia"/>
                <w:sz w:val="18"/>
                <w:szCs w:val="18"/>
                <w:lang w:eastAsia="zh-CN"/>
              </w:rPr>
              <w:t>（适用【F】类份额）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99" w:type="dxa"/>
            <w:shd w:val="solid" w:color="FFFFFF" w:fill="FFFFFF"/>
          </w:tcPr>
          <w:p>
            <w:pPr>
              <w:spacing w:line="360" w:lineRule="auto"/>
              <w:jc w:val="left"/>
              <w:rPr>
                <w:rFonts w:ascii="宋体" w:hAnsi="宋体"/>
                <w:b/>
                <w:sz w:val="18"/>
                <w:szCs w:val="18"/>
              </w:rPr>
            </w:pPr>
            <w:r>
              <w:rPr>
                <w:rFonts w:hint="eastAsia" w:asciiTheme="minorEastAsia" w:hAnsiTheme="minorEastAsia"/>
                <w:sz w:val="18"/>
                <w:szCs w:val="18"/>
              </w:rPr>
              <w:t>【</w:t>
            </w:r>
            <w:r>
              <w:rPr>
                <w:rFonts w:hint="eastAsia" w:ascii="宋体" w:hAnsi="宋体"/>
                <w:bCs/>
                <w:sz w:val="18"/>
                <w:szCs w:val="18"/>
              </w:rPr>
              <w:t>Z7002025000130</w:t>
            </w:r>
            <w:r>
              <w:rPr>
                <w:rFonts w:hint="eastAsia" w:asciiTheme="minorEastAsia" w:hAnsiTheme="minorEastAsia"/>
                <w:sz w:val="18"/>
                <w:szCs w:val="18"/>
              </w:rPr>
              <w:t>】</w:t>
            </w:r>
            <w:r>
              <w:rPr>
                <w:rFonts w:hint="eastAsia" w:asciiTheme="majorEastAsia" w:hAnsiTheme="majorEastAsia" w:eastAsiaTheme="majorEastAsia"/>
                <w:sz w:val="18"/>
                <w:szCs w:val="18"/>
              </w:rPr>
              <w:t>投资者可依据理财产品登记编码在中国理财网</w:t>
            </w:r>
            <w:r>
              <w:rPr>
                <w:rFonts w:asciiTheme="majorEastAsia" w:hAnsiTheme="majorEastAsia" w:eastAsiaTheme="majorEastAsia"/>
                <w:sz w:val="18"/>
                <w:szCs w:val="18"/>
              </w:rPr>
              <w:t>(</w:t>
            </w:r>
            <w:r>
              <w:fldChar w:fldCharType="begin"/>
            </w:r>
            <w:r>
              <w:instrText xml:space="preserve"> HYPERLINK "http://www.chinawealth.com.cn" </w:instrText>
            </w:r>
            <w:r>
              <w:fldChar w:fldCharType="separate"/>
            </w:r>
            <w:r>
              <w:rPr>
                <w:rFonts w:asciiTheme="majorEastAsia" w:hAnsiTheme="majorEastAsia" w:eastAsiaTheme="majorEastAsia"/>
                <w:sz w:val="18"/>
                <w:szCs w:val="18"/>
              </w:rPr>
              <w:t>www.chinawealth.com.cn</w:t>
            </w:r>
            <w:r>
              <w:rPr>
                <w:rFonts w:asciiTheme="majorEastAsia" w:hAnsiTheme="majorEastAsia" w:eastAsiaTheme="majorEastAsia"/>
                <w:sz w:val="18"/>
                <w:szCs w:val="18"/>
              </w:rPr>
              <w:fldChar w:fldCharType="end"/>
            </w:r>
            <w:r>
              <w:rPr>
                <w:rFonts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99" w:type="dxa"/>
            <w:shd w:val="solid" w:color="FFFFFF" w:fill="FFFFFF"/>
            <w:vAlign w:val="center"/>
          </w:tcPr>
          <w:p>
            <w:pPr>
              <w:spacing w:line="360" w:lineRule="auto"/>
              <w:jc w:val="left"/>
              <w:rPr>
                <w:rFonts w:ascii="宋体" w:hAnsi="宋体"/>
                <w:bCs/>
                <w:sz w:val="18"/>
                <w:szCs w:val="18"/>
              </w:rPr>
            </w:pPr>
            <w:r>
              <w:rPr>
                <w:rFonts w:ascii="宋体" w:hAnsi="宋体"/>
                <w:bCs/>
                <w:sz w:val="18"/>
                <w:szCs w:val="18"/>
              </w:rPr>
              <w:t>【</w:t>
            </w:r>
            <w:r>
              <w:rPr>
                <w:rFonts w:hint="eastAsia" w:ascii="宋体" w:hAnsi="宋体"/>
                <w:bCs/>
                <w:color w:val="000000" w:themeColor="text1"/>
                <w:sz w:val="18"/>
                <w:szCs w:val="18"/>
                <w14:textFill>
                  <w14:solidFill>
                    <w14:schemeClr w14:val="tx1"/>
                  </w14:solidFill>
                </w14:textFill>
              </w:rPr>
              <w:t>9TTL94</w:t>
            </w:r>
            <w:r>
              <w:rPr>
                <w:rFonts w:hint="eastAsia" w:ascii="宋体" w:hAnsi="宋体"/>
                <w:bCs/>
                <w:color w:val="000000" w:themeColor="text1"/>
                <w:sz w:val="18"/>
                <w:szCs w:val="18"/>
                <w:lang w:val="en-US" w:eastAsia="zh-CN"/>
                <w14:textFill>
                  <w14:solidFill>
                    <w14:schemeClr w14:val="tx1"/>
                  </w14:solidFill>
                </w14:textFill>
              </w:rPr>
              <w:t>5</w:t>
            </w:r>
            <w:r>
              <w:rPr>
                <w:rFonts w:hint="eastAsia" w:ascii="宋体" w:hAnsi="宋体"/>
                <w:bCs/>
                <w:color w:val="000000" w:themeColor="text1"/>
                <w:sz w:val="18"/>
                <w:szCs w:val="18"/>
                <w14:textFill>
                  <w14:solidFill>
                    <w14:schemeClr w14:val="tx1"/>
                  </w14:solidFill>
                </w14:textFill>
              </w:rPr>
              <w:t>0</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hAnsi="宋体"/>
                <w:b/>
                <w:sz w:val="18"/>
                <w:szCs w:val="18"/>
              </w:rPr>
            </w:pPr>
            <w:r>
              <w:rPr>
                <w:rFonts w:hint="eastAsia" w:hAnsi="宋体"/>
                <w:b/>
                <w:sz w:val="18"/>
                <w:szCs w:val="18"/>
              </w:rPr>
              <w:t>★销售代码</w:t>
            </w:r>
          </w:p>
        </w:tc>
        <w:tc>
          <w:tcPr>
            <w:tcW w:w="7699" w:type="dxa"/>
            <w:shd w:val="solid" w:color="FFFFFF" w:fill="FFFFFF"/>
          </w:tcPr>
          <w:p>
            <w:pPr>
              <w:spacing w:line="360" w:lineRule="auto"/>
              <w:jc w:val="left"/>
              <w:rPr>
                <w:rFonts w:hint="eastAsia" w:hAnsi="宋体" w:eastAsia="宋体"/>
                <w:sz w:val="18"/>
                <w:szCs w:val="18"/>
                <w:lang w:eastAsia="zh-CN"/>
              </w:rPr>
            </w:pPr>
            <w:r>
              <w:rPr>
                <w:rFonts w:hint="eastAsia" w:hAnsi="宋体"/>
                <w:sz w:val="18"/>
                <w:szCs w:val="18"/>
              </w:rPr>
              <w:t>【</w:t>
            </w:r>
            <w:r>
              <w:rPr>
                <w:rFonts w:hint="eastAsia" w:ascii="宋体" w:hAnsi="宋体"/>
                <w:bCs/>
                <w:sz w:val="18"/>
                <w:szCs w:val="18"/>
              </w:rPr>
              <w:t>9TTL94</w:t>
            </w:r>
            <w:r>
              <w:rPr>
                <w:rFonts w:hint="eastAsia" w:ascii="宋体" w:hAnsi="宋体"/>
                <w:bCs/>
                <w:sz w:val="18"/>
                <w:szCs w:val="18"/>
                <w:lang w:val="en-US" w:eastAsia="zh-CN"/>
              </w:rPr>
              <w:t>5F</w:t>
            </w:r>
            <w:r>
              <w:rPr>
                <w:rFonts w:hint="eastAsia" w:hAnsi="宋体"/>
                <w:sz w:val="18"/>
                <w:szCs w:val="18"/>
              </w:rPr>
              <w:t>】</w:t>
            </w:r>
            <w:r>
              <w:rPr>
                <w:rFonts w:hint="eastAsia" w:hAnsi="宋体"/>
                <w:sz w:val="18"/>
                <w:szCs w:val="18"/>
                <w:lang w:eastAsia="zh-CN"/>
              </w:rPr>
              <w:t>（适用【F】类份额）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99" w:type="dxa"/>
            <w:shd w:val="solid" w:color="FFFFFF" w:fill="FFFFFF"/>
            <w:vAlign w:val="center"/>
          </w:tcPr>
          <w:p>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.本产品设置不同的理财产品份额，每类理财产品份额以下内容可能单独设置：</w:t>
            </w:r>
          </w:p>
          <w:p>
            <w:pPr>
              <w:spacing w:line="360" w:lineRule="auto"/>
              <w:rPr>
                <w:rFonts w:ascii="宋体" w:hAnsi="宋体"/>
                <w:bCs/>
                <w:sz w:val="18"/>
                <w:szCs w:val="18"/>
              </w:rPr>
            </w:pPr>
            <w:r>
              <w:rPr>
                <w:rFonts w:hint="eastAsia" w:ascii="宋体" w:hAnsi="宋体"/>
                <w:bCs/>
                <w:sz w:val="18"/>
                <w:szCs w:val="18"/>
              </w:rPr>
              <w:t>（1）销售名称</w:t>
            </w:r>
          </w:p>
          <w:p>
            <w:pPr>
              <w:spacing w:line="360" w:lineRule="auto"/>
              <w:rPr>
                <w:rFonts w:ascii="宋体" w:hAnsi="宋体"/>
                <w:bCs/>
                <w:sz w:val="18"/>
                <w:szCs w:val="18"/>
              </w:rPr>
            </w:pPr>
            <w:r>
              <w:rPr>
                <w:rFonts w:hint="eastAsia" w:ascii="宋体" w:hAnsi="宋体"/>
                <w:bCs/>
                <w:sz w:val="18"/>
                <w:szCs w:val="18"/>
              </w:rPr>
              <w:t>（2）收费方式</w:t>
            </w:r>
          </w:p>
          <w:p>
            <w:pPr>
              <w:spacing w:line="360" w:lineRule="auto"/>
              <w:rPr>
                <w:rFonts w:ascii="宋体" w:hAnsi="宋体"/>
                <w:bCs/>
                <w:sz w:val="18"/>
                <w:szCs w:val="18"/>
              </w:rPr>
            </w:pPr>
            <w:r>
              <w:rPr>
                <w:rFonts w:hint="eastAsia" w:ascii="宋体" w:hAnsi="宋体"/>
                <w:bCs/>
                <w:sz w:val="18"/>
                <w:szCs w:val="18"/>
              </w:rPr>
              <w:t>（3）销售服务费</w:t>
            </w:r>
          </w:p>
          <w:p>
            <w:pPr>
              <w:spacing w:line="360" w:lineRule="auto"/>
              <w:rPr>
                <w:rFonts w:ascii="宋体" w:hAnsi="宋体"/>
                <w:bCs/>
                <w:sz w:val="18"/>
                <w:szCs w:val="18"/>
              </w:rPr>
            </w:pPr>
            <w:r>
              <w:rPr>
                <w:rFonts w:hint="eastAsia" w:ascii="宋体" w:hAnsi="宋体"/>
                <w:bCs/>
                <w:sz w:val="18"/>
                <w:szCs w:val="18"/>
              </w:rPr>
              <w:t>（4）销售代码</w:t>
            </w:r>
          </w:p>
          <w:p>
            <w:pPr>
              <w:spacing w:line="360" w:lineRule="auto"/>
              <w:rPr>
                <w:rFonts w:ascii="宋体" w:hAnsi="宋体"/>
                <w:bCs/>
                <w:sz w:val="18"/>
                <w:szCs w:val="18"/>
              </w:rPr>
            </w:pPr>
            <w:r>
              <w:rPr>
                <w:rFonts w:hint="eastAsia" w:ascii="宋体" w:hAnsi="宋体"/>
                <w:bCs/>
                <w:sz w:val="18"/>
                <w:szCs w:val="18"/>
              </w:rPr>
              <w:t>（5）销售对象</w:t>
            </w:r>
          </w:p>
          <w:p>
            <w:pPr>
              <w:spacing w:line="360" w:lineRule="auto"/>
              <w:rPr>
                <w:rFonts w:ascii="宋体" w:hAnsi="宋体"/>
                <w:bCs/>
                <w:sz w:val="18"/>
                <w:szCs w:val="18"/>
              </w:rPr>
            </w:pPr>
            <w:r>
              <w:rPr>
                <w:rFonts w:hint="eastAsia" w:ascii="宋体" w:hAnsi="宋体"/>
                <w:bCs/>
                <w:sz w:val="18"/>
                <w:szCs w:val="18"/>
              </w:rPr>
              <w:t>（6）销售起点金额（认购、申购的起点金额）</w:t>
            </w:r>
          </w:p>
          <w:p>
            <w:pPr>
              <w:spacing w:line="360" w:lineRule="auto"/>
              <w:rPr>
                <w:rFonts w:ascii="宋体" w:hAnsi="宋体"/>
                <w:bCs/>
                <w:sz w:val="18"/>
                <w:szCs w:val="18"/>
              </w:rPr>
            </w:pPr>
            <w:r>
              <w:rPr>
                <w:rFonts w:hint="eastAsia" w:ascii="宋体" w:hAnsi="宋体"/>
                <w:bCs/>
                <w:sz w:val="18"/>
                <w:szCs w:val="18"/>
              </w:rPr>
              <w:t>（7）投资者认购、申购和赎回的数量限制</w:t>
            </w:r>
          </w:p>
          <w:p>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pPr>
              <w:spacing w:line="360" w:lineRule="auto"/>
              <w:rPr>
                <w:rFonts w:ascii="宋体" w:hAnsi="宋体"/>
                <w:bCs/>
                <w:sz w:val="18"/>
                <w:szCs w:val="18"/>
              </w:rPr>
            </w:pPr>
            <w:r>
              <w:rPr>
                <w:rFonts w:hint="eastAsia" w:ascii="宋体" w:hAnsi="宋体"/>
                <w:bCs/>
                <w:sz w:val="18"/>
                <w:szCs w:val="18"/>
              </w:rPr>
              <w:t>（9）分别计算和公告产品份额净值</w:t>
            </w:r>
          </w:p>
          <w:p>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99" w:type="dxa"/>
            <w:shd w:val="solid" w:color="FFFFFF" w:fill="FFFFFF"/>
            <w:vAlign w:val="center"/>
          </w:tcPr>
          <w:p>
            <w:pPr>
              <w:spacing w:line="360" w:lineRule="auto"/>
              <w:rPr>
                <w:rFonts w:ascii="黑体" w:hAnsi="黑体" w:eastAsia="黑体"/>
                <w:b/>
                <w:bCs/>
                <w:sz w:val="18"/>
                <w:szCs w:val="18"/>
              </w:rPr>
            </w:pPr>
            <w:r>
              <w:rPr>
                <w:rFonts w:hint="eastAsia" w:ascii="黑体" w:hAnsi="黑体" w:eastAsia="黑体"/>
                <w:sz w:val="18"/>
                <w:szCs w:val="18"/>
              </w:rPr>
              <w:t>公募</w:t>
            </w:r>
            <w:r>
              <w:rPr>
                <w:rFonts w:hint="eastAsia" w:ascii="黑体" w:hAnsi="黑体" w:eastAsia="黑体"/>
                <w:bCs/>
                <w:sz w:val="18"/>
                <w:szCs w:val="18"/>
              </w:rPr>
              <w:t>、开放式、固定</w:t>
            </w:r>
            <w:r>
              <w:rPr>
                <w:rFonts w:ascii="黑体" w:hAnsi="黑体" w:eastAsia="黑体"/>
                <w:bCs/>
                <w:sz w:val="18"/>
                <w:szCs w:val="18"/>
              </w:rPr>
              <w:t>收益</w:t>
            </w:r>
            <w:r>
              <w:rPr>
                <w:rFonts w:hint="eastAsia" w:ascii="黑体" w:hAnsi="黑体" w:eastAsia="黑体"/>
                <w:bCs/>
                <w:sz w:val="18"/>
                <w:szCs w:val="18"/>
              </w:rPr>
              <w:t>类、非保本浮动</w:t>
            </w:r>
            <w:r>
              <w:rPr>
                <w:rFonts w:ascii="黑体" w:hAnsi="黑体" w:eastAsia="黑体"/>
                <w:bCs/>
                <w:sz w:val="18"/>
                <w:szCs w:val="18"/>
              </w:rPr>
              <w:t>收益</w:t>
            </w:r>
            <w:r>
              <w:rPr>
                <w:rFonts w:hint="eastAsia" w:ascii="黑体" w:hAnsi="黑体" w:eastAsia="黑体"/>
                <w:bCs/>
                <w:sz w:val="18"/>
                <w:szCs w:val="18"/>
              </w:rPr>
              <w:t>、净值型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99" w:type="dxa"/>
            <w:shd w:val="solid" w:color="FFFFFF" w:fill="FFFFFF"/>
            <w:vAlign w:val="center"/>
          </w:tcPr>
          <w:p>
            <w:pPr>
              <w:spacing w:line="360" w:lineRule="auto"/>
              <w:rPr>
                <w:rFonts w:ascii="宋体" w:hAnsi="宋体"/>
                <w:b/>
                <w:bCs/>
                <w:sz w:val="18"/>
                <w:szCs w:val="18"/>
              </w:rPr>
            </w:pPr>
            <w:r>
              <w:rPr>
                <w:rFonts w:hint="eastAsia" w:asciiTheme="majorEastAsia" w:hAnsiTheme="majorEastAsia" w:eastAsiaTheme="majorEastAsia"/>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99" w:type="dxa"/>
            <w:shd w:val="solid" w:color="FFFFFF" w:fill="FFFFFF"/>
            <w:vAlign w:val="center"/>
          </w:tcPr>
          <w:p>
            <w:pPr>
              <w:spacing w:line="360" w:lineRule="auto"/>
              <w:rPr>
                <w:rFonts w:ascii="宋体" w:hAnsi="宋体"/>
                <w:b/>
                <w:bCs/>
                <w:sz w:val="18"/>
                <w:szCs w:val="18"/>
              </w:rPr>
            </w:pPr>
            <w:r>
              <w:rPr>
                <w:rFonts w:hint="eastAsia" w:ascii="宋体" w:hAnsi="宋体"/>
                <w:bCs/>
                <w:sz w:val="18"/>
                <w:szCs w:val="18"/>
              </w:rPr>
              <w:t>开放式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黑体" w:hAnsi="黑体" w:eastAsia="黑体"/>
                <w:sz w:val="18"/>
                <w:szCs w:val="18"/>
              </w:rPr>
              <w:t>★</w:t>
            </w:r>
            <w:r>
              <w:rPr>
                <w:rFonts w:hint="eastAsia" w:asciiTheme="majorEastAsia" w:hAnsiTheme="majorEastAsia" w:eastAsiaTheme="majorEastAsia"/>
                <w:b/>
                <w:sz w:val="18"/>
                <w:szCs w:val="18"/>
              </w:rPr>
              <w:t>产品投资性质</w:t>
            </w:r>
          </w:p>
        </w:tc>
        <w:tc>
          <w:tcPr>
            <w:tcW w:w="7699" w:type="dxa"/>
            <w:shd w:val="solid" w:color="FFFFFF" w:fill="FFFFFF"/>
            <w:vAlign w:val="center"/>
          </w:tcPr>
          <w:p>
            <w:pPr>
              <w:adjustRightInd w:val="0"/>
              <w:snapToGrid w:val="0"/>
              <w:spacing w:line="360" w:lineRule="auto"/>
              <w:rPr>
                <w:rFonts w:ascii="黑体" w:hAnsi="黑体" w:eastAsia="黑体"/>
                <w:bCs/>
                <w:sz w:val="18"/>
                <w:szCs w:val="18"/>
              </w:rPr>
            </w:pPr>
            <w:r>
              <w:rPr>
                <w:rFonts w:hint="eastAsia" w:ascii="黑体" w:hAnsi="黑体" w:eastAsia="黑体"/>
                <w:bCs/>
                <w:sz w:val="18"/>
                <w:szCs w:val="18"/>
              </w:rPr>
              <w:t>固定收益类</w:t>
            </w:r>
          </w:p>
          <w:p>
            <w:pPr>
              <w:adjustRightInd w:val="0"/>
              <w:snapToGrid w:val="0"/>
              <w:spacing w:line="360" w:lineRule="auto"/>
              <w:rPr>
                <w:rFonts w:ascii="黑体" w:hAnsi="黑体" w:eastAsia="黑体"/>
                <w:bCs/>
                <w:sz w:val="18"/>
                <w:szCs w:val="18"/>
              </w:rPr>
            </w:pPr>
            <w:r>
              <w:rPr>
                <w:rFonts w:hint="eastAsia" w:ascii="黑体" w:hAnsi="黑体" w:eastAsia="黑体"/>
                <w:bCs/>
                <w:sz w:val="18"/>
                <w:szCs w:val="18"/>
              </w:rPr>
              <w:t>固定</w:t>
            </w:r>
            <w:r>
              <w:rPr>
                <w:rFonts w:ascii="黑体" w:hAnsi="黑体" w:eastAsia="黑体"/>
                <w:bCs/>
                <w:sz w:val="18"/>
                <w:szCs w:val="18"/>
              </w:rPr>
              <w:t>收益</w:t>
            </w:r>
            <w:r>
              <w:rPr>
                <w:rFonts w:hint="eastAsia" w:ascii="黑体" w:hAnsi="黑体" w:eastAsia="黑体"/>
                <w:bCs/>
                <w:sz w:val="18"/>
                <w:szCs w:val="18"/>
              </w:rPr>
              <w:t>类</w:t>
            </w:r>
            <w:r>
              <w:rPr>
                <w:rFonts w:ascii="黑体" w:hAnsi="黑体" w:eastAsia="黑体"/>
                <w:bCs/>
                <w:sz w:val="18"/>
                <w:szCs w:val="18"/>
              </w:rPr>
              <w:t>产品是指根据监管</w:t>
            </w:r>
            <w:r>
              <w:rPr>
                <w:rFonts w:hint="eastAsia" w:ascii="黑体" w:hAnsi="黑体" w:eastAsia="黑体"/>
                <w:bCs/>
                <w:sz w:val="18"/>
                <w:szCs w:val="18"/>
              </w:rPr>
              <w:t>相关规定</w:t>
            </w:r>
            <w:r>
              <w:rPr>
                <w:rFonts w:ascii="黑体" w:hAnsi="黑体" w:eastAsia="黑体"/>
                <w:bCs/>
                <w:sz w:val="18"/>
                <w:szCs w:val="18"/>
              </w:rPr>
              <w:t>，投资于债权类资产的</w:t>
            </w:r>
            <w:r>
              <w:rPr>
                <w:rFonts w:hint="eastAsia" w:ascii="黑体" w:hAnsi="黑体" w:eastAsia="黑体"/>
                <w:bCs/>
                <w:sz w:val="18"/>
                <w:szCs w:val="18"/>
              </w:rPr>
              <w:t>比例</w:t>
            </w:r>
            <w:r>
              <w:rPr>
                <w:rFonts w:ascii="黑体" w:hAnsi="黑体" w:eastAsia="黑体"/>
                <w:bCs/>
                <w:sz w:val="18"/>
                <w:szCs w:val="18"/>
              </w:rPr>
              <w:t>不低于80%的产品</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黑体" w:hAnsi="黑体" w:eastAsia="黑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99" w:type="dxa"/>
            <w:shd w:val="solid" w:color="FFFFFF" w:fill="FFFFFF"/>
            <w:vAlign w:val="center"/>
          </w:tcPr>
          <w:p>
            <w:pPr>
              <w:adjustRightInd w:val="0"/>
              <w:snapToGrid w:val="0"/>
              <w:spacing w:line="360" w:lineRule="auto"/>
              <w:rPr>
                <w:rFonts w:ascii="黑体" w:hAnsi="黑体" w:eastAsia="黑体"/>
                <w:b/>
                <w:sz w:val="18"/>
                <w:szCs w:val="18"/>
              </w:rPr>
            </w:pPr>
            <w:r>
              <w:rPr>
                <w:rFonts w:hint="eastAsia" w:ascii="黑体" w:hAnsi="黑体" w:eastAsia="黑体"/>
                <w:sz w:val="18"/>
                <w:szCs w:val="18"/>
              </w:rPr>
              <w:t>非保本浮动收益</w:t>
            </w:r>
          </w:p>
          <w:p>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pPr>
              <w:adjustRightInd w:val="0"/>
              <w:snapToGrid w:val="0"/>
              <w:spacing w:line="360" w:lineRule="auto"/>
              <w:rPr>
                <w:rFonts w:ascii="黑体" w:hAnsi="黑体" w:eastAsia="黑体"/>
                <w:b/>
                <w:color w:val="000000" w:themeColor="text1"/>
                <w:sz w:val="18"/>
                <w:szCs w:val="18"/>
                <w14:textFill>
                  <w14:solidFill>
                    <w14:schemeClr w14:val="tx1"/>
                  </w14:solidFill>
                </w14:textFill>
              </w:rPr>
            </w:pPr>
            <w:r>
              <w:rPr>
                <w:rFonts w:hint="eastAsia" w:ascii="黑体" w:hAnsi="黑体" w:eastAsia="黑体"/>
                <w:bCs/>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99"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99" w:type="dxa"/>
            <w:shd w:val="solid" w:color="FFFFFF" w:fill="FFFFFF"/>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本产品属于【■ </w:t>
            </w:r>
            <w:r>
              <w:rPr>
                <w:rFonts w:asciiTheme="majorEastAsia" w:hAnsiTheme="majorEastAsia" w:eastAsiaTheme="majorEastAsia"/>
                <w:bCs/>
                <w:sz w:val="18"/>
                <w:szCs w:val="18"/>
              </w:rPr>
              <w:t>R1、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R5】理财产品</w:t>
            </w:r>
            <w:r>
              <w:rPr>
                <w:rFonts w:hint="eastAsia" w:asciiTheme="majorEastAsia" w:hAnsiTheme="majorEastAsia" w:eastAsiaTheme="majorEastAsia"/>
                <w:bCs/>
                <w:sz w:val="18"/>
                <w:szCs w:val="18"/>
              </w:rPr>
              <w:t>。</w:t>
            </w:r>
          </w:p>
          <w:p>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99" w:type="dxa"/>
            <w:shd w:val="solid" w:color="FFFFFF" w:fill="FFFFFF"/>
            <w:vAlign w:val="bottom"/>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w:t>
            </w:r>
          </w:p>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个人投资者</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机构投资者</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一般</w:t>
            </w:r>
            <w:r>
              <w:rPr>
                <w:rFonts w:asciiTheme="majorEastAsia" w:hAnsiTheme="majorEastAsia" w:eastAsiaTheme="majorEastAsia"/>
                <w:bCs/>
                <w:color w:val="000000" w:themeColor="text1"/>
                <w:sz w:val="18"/>
                <w:szCs w:val="18"/>
                <w14:textFill>
                  <w14:solidFill>
                    <w14:schemeClr w14:val="tx1"/>
                  </w14:solidFill>
                </w14:textFill>
              </w:rPr>
              <w:t>机构</w:t>
            </w:r>
            <w:r>
              <w:rPr>
                <w:rFonts w:hint="eastAsia" w:asciiTheme="majorEastAsia" w:hAnsiTheme="majorEastAsia" w:eastAsiaTheme="majorEastAsia"/>
                <w:bCs/>
                <w:color w:val="000000" w:themeColor="text1"/>
                <w:sz w:val="18"/>
                <w:szCs w:val="18"/>
                <w14:textFill>
                  <w14:solidFill>
                    <w14:schemeClr w14:val="tx1"/>
                  </w14:solidFill>
                </w14:textFill>
              </w:rPr>
              <w:t xml:space="preserve">客户 </w:t>
            </w:r>
            <w:r>
              <w:rPr>
                <w:rFonts w:asciiTheme="majorEastAsia" w:hAnsiTheme="majorEastAsia" w:eastAsiaTheme="majorEastAsia"/>
                <w:bCs/>
                <w:color w:val="000000" w:themeColor="text1"/>
                <w:sz w:val="18"/>
                <w:szCs w:val="18"/>
                <w14:textFill>
                  <w14:solidFill>
                    <w14:schemeClr w14:val="tx1"/>
                  </w14:solidFill>
                </w14:textFill>
              </w:rPr>
              <w:t xml:space="preserve"> </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金融同业客户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sz w:val="18"/>
                <w:szCs w:val="18"/>
              </w:rPr>
              <w:t>注：当销售机构销</w:t>
            </w:r>
            <w:bookmarkStart w:id="169" w:name="_GoBack"/>
            <w:bookmarkEnd w:id="169"/>
            <w:r>
              <w:rPr>
                <w:rFonts w:hint="eastAsia" w:ascii="黑体" w:hAnsi="黑体" w:eastAsia="黑体"/>
                <w:sz w:val="18"/>
                <w:szCs w:val="18"/>
              </w:rPr>
              <w:t>售产品风险评级为</w:t>
            </w:r>
            <w:r>
              <w:rPr>
                <w:rFonts w:ascii="黑体" w:hAnsi="黑体" w:eastAsia="黑体"/>
                <w:sz w:val="18"/>
                <w:szCs w:val="18"/>
              </w:rPr>
              <w:t>R4</w:t>
            </w:r>
            <w:r>
              <w:rPr>
                <w:rFonts w:hint="eastAsia" w:ascii="黑体" w:hAnsi="黑体" w:eastAsia="黑体"/>
                <w:sz w:val="18"/>
                <w:szCs w:val="18"/>
              </w:rPr>
              <w:t>及</w:t>
            </w:r>
            <w:r>
              <w:rPr>
                <w:rFonts w:ascii="黑体" w:hAnsi="黑体" w:eastAsia="黑体"/>
                <w:sz w:val="18"/>
                <w:szCs w:val="18"/>
              </w:rPr>
              <w:t>以上</w:t>
            </w:r>
            <w:r>
              <w:rPr>
                <w:rFonts w:hint="eastAsia" w:ascii="黑体" w:hAnsi="黑体" w:eastAsia="黑体"/>
                <w:sz w:val="18"/>
                <w:szCs w:val="18"/>
              </w:rPr>
              <w:t>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99"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 直销适用</w:t>
            </w:r>
          </w:p>
          <w:p>
            <w:pPr>
              <w:spacing w:line="360" w:lineRule="auto"/>
              <w:jc w:val="left"/>
              <w:rPr>
                <w:rFonts w:ascii="宋体" w:hAnsi="宋体"/>
                <w:sz w:val="18"/>
                <w:szCs w:val="18"/>
              </w:rPr>
            </w:pPr>
            <w:r>
              <w:rPr>
                <w:rFonts w:hint="eastAsia" w:ascii="宋体" w:hAnsi="宋体"/>
                <w:sz w:val="18"/>
                <w:szCs w:val="18"/>
              </w:rPr>
              <w:t>本产品由产品管理人销售。</w:t>
            </w:r>
          </w:p>
          <w:p>
            <w:pPr>
              <w:spacing w:line="360" w:lineRule="auto"/>
              <w:jc w:val="left"/>
              <w:rPr>
                <w:rFonts w:ascii="宋体" w:hAnsi="宋体"/>
                <w:sz w:val="18"/>
                <w:szCs w:val="18"/>
              </w:rPr>
            </w:pPr>
            <w:r>
              <w:rPr>
                <w:rFonts w:hint="eastAsia" w:asciiTheme="majorEastAsia" w:hAnsiTheme="majorEastAsia" w:eastAsiaTheme="majorEastAsia"/>
                <w:bCs/>
                <w:sz w:val="18"/>
                <w:szCs w:val="18"/>
              </w:rPr>
              <w:t>■</w:t>
            </w:r>
            <w:r>
              <w:rPr>
                <w:rFonts w:hint="eastAsia" w:ascii="宋体" w:hAnsi="宋体"/>
                <w:sz w:val="18"/>
                <w:szCs w:val="18"/>
              </w:rPr>
              <w:t xml:space="preserve"> 代销适用</w:t>
            </w:r>
          </w:p>
          <w:p>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w:t>
            </w:r>
            <w:r>
              <w:rPr>
                <w:rFonts w:hint="eastAsia" w:asciiTheme="majorEastAsia" w:hAnsiTheme="majorEastAsia" w:eastAsiaTheme="majorEastAsia"/>
                <w:bCs/>
                <w:sz w:val="18"/>
                <w:szCs w:val="18"/>
                <w:lang w:val="en-US" w:eastAsia="zh-CN"/>
              </w:rPr>
              <w:t>0.1</w:t>
            </w:r>
            <w:r>
              <w:rPr>
                <w:rFonts w:hint="eastAsia" w:asciiTheme="majorEastAsia" w:hAnsiTheme="majorEastAsia" w:eastAsiaTheme="majorEastAsia"/>
                <w:bCs/>
                <w:sz w:val="18"/>
                <w:szCs w:val="18"/>
              </w:rPr>
              <w:t>】亿元，最小成立规模为【</w:t>
            </w:r>
            <w:r>
              <w:rPr>
                <w:rFonts w:hint="eastAsia" w:asciiTheme="majorEastAsia" w:hAnsiTheme="majorEastAsia" w:eastAsiaTheme="majorEastAsia"/>
                <w:bCs/>
                <w:sz w:val="18"/>
                <w:szCs w:val="18"/>
                <w:lang w:val="en-US" w:eastAsia="zh-CN"/>
              </w:rPr>
              <w:t>/</w:t>
            </w:r>
            <w:r>
              <w:rPr>
                <w:rFonts w:hint="eastAsia" w:asciiTheme="majorEastAsia" w:hAnsiTheme="majorEastAsia" w:eastAsiaTheme="majorEastAsia"/>
                <w:bCs/>
                <w:sz w:val="18"/>
                <w:szCs w:val="18"/>
              </w:rPr>
              <w:t>】亿元。</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□有固定期限：【】</w:t>
            </w:r>
          </w:p>
          <w:p>
            <w:pPr>
              <w:spacing w:line="360" w:lineRule="auto"/>
              <w:rPr>
                <w:rFonts w:cs="仿宋_GB2312"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hint="eastAsia" w:cs="仿宋_GB2312" w:asciiTheme="majorEastAsia" w:hAnsiTheme="majorEastAsia" w:eastAsiaTheme="majorEastAsia"/>
                <w:kern w:val="0"/>
                <w:sz w:val="18"/>
                <w:szCs w:val="18"/>
              </w:rPr>
              <w:t>无固定期限</w:t>
            </w:r>
          </w:p>
          <w:p>
            <w:pPr>
              <w:spacing w:line="360" w:lineRule="auto"/>
              <w:rPr>
                <w:rFonts w:cs="仿宋_GB2312" w:asciiTheme="majorEastAsia" w:hAnsiTheme="majorEastAsia" w:eastAsiaTheme="majorEastAsia"/>
                <w:kern w:val="0"/>
                <w:sz w:val="18"/>
                <w:szCs w:val="18"/>
              </w:rPr>
            </w:pPr>
            <w:r>
              <w:rPr>
                <w:rFonts w:hint="eastAsia" w:ascii="黑体" w:hAnsi="黑体" w:eastAsia="黑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03</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20</w:t>
            </w:r>
            <w:r>
              <w:rPr>
                <w:rFonts w:hint="eastAsia" w:cs="Times New Roman" w:asciiTheme="minorEastAsia" w:hAnsiTheme="minorEastAsia"/>
                <w:sz w:val="18"/>
                <w:szCs w:val="18"/>
              </w:rPr>
              <w:t>】日【</w:t>
            </w:r>
            <w:r>
              <w:rPr>
                <w:rFonts w:hint="eastAsia" w:cs="Times New Roman" w:asciiTheme="minorEastAsia" w:hAnsiTheme="minorEastAsia"/>
                <w:sz w:val="18"/>
                <w:szCs w:val="18"/>
                <w:lang w:val="en-US" w:eastAsia="zh-CN"/>
              </w:rPr>
              <w:t>0：00</w:t>
            </w:r>
            <w:r>
              <w:rPr>
                <w:rFonts w:hint="eastAsia" w:cs="Times New Roman" w:asciiTheme="minorEastAsia" w:hAnsiTheme="minorEastAsia"/>
                <w:sz w:val="18"/>
                <w:szCs w:val="18"/>
              </w:rPr>
              <w:t>】</w:t>
            </w:r>
            <w:r>
              <w:rPr>
                <w:rFonts w:hint="eastAsia" w:cs="仿宋_GB2312" w:asciiTheme="minorEastAsia" w:hAnsiTheme="minorEastAsia"/>
                <w:sz w:val="18"/>
                <w:szCs w:val="18"/>
              </w:rPr>
              <w:t>至</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03</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20</w:t>
            </w:r>
            <w:r>
              <w:rPr>
                <w:rFonts w:hint="eastAsia" w:cs="Times New Roman" w:asciiTheme="minorEastAsia" w:hAnsiTheme="minorEastAsia"/>
                <w:sz w:val="18"/>
                <w:szCs w:val="18"/>
              </w:rPr>
              <w:t>】日</w:t>
            </w:r>
            <w:r>
              <w:rPr>
                <w:rFonts w:hint="eastAsia" w:asciiTheme="majorEastAsia" w:hAnsiTheme="majorEastAsia" w:eastAsiaTheme="majorEastAsia"/>
                <w:sz w:val="18"/>
                <w:szCs w:val="18"/>
              </w:rPr>
              <w:t>【</w:t>
            </w:r>
            <w:r>
              <w:rPr>
                <w:rFonts w:hint="eastAsia" w:asciiTheme="majorEastAsia" w:hAnsiTheme="majorEastAsia" w:eastAsiaTheme="majorEastAsia"/>
                <w:sz w:val="18"/>
                <w:szCs w:val="18"/>
                <w:lang w:val="en-US" w:eastAsia="zh-CN"/>
              </w:rPr>
              <w:t>24：00</w:t>
            </w:r>
            <w:r>
              <w:rPr>
                <w:rFonts w:hint="eastAsia" w:asciiTheme="majorEastAsia" w:hAnsiTheme="majorEastAsia" w:eastAsiaTheme="majorEastAsia"/>
                <w:sz w:val="18"/>
                <w:szCs w:val="18"/>
              </w:rPr>
              <w:t>】</w:t>
            </w:r>
            <w:r>
              <w:rPr>
                <w:rFonts w:asciiTheme="majorEastAsia" w:hAnsiTheme="majorEastAsia" w:eastAsiaTheme="majorEastAsia"/>
                <w:sz w:val="18"/>
                <w:szCs w:val="18"/>
              </w:rPr>
              <w:t>。</w:t>
            </w:r>
          </w:p>
          <w:p>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pPr>
              <w:spacing w:line="360" w:lineRule="auto"/>
              <w:rPr>
                <w:rFonts w:asciiTheme="majorEastAsia" w:hAnsiTheme="majorEastAsia" w:eastAsiaTheme="majorEastAsia"/>
                <w:bCs/>
                <w:sz w:val="18"/>
                <w:szCs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认购期/募集期内资金产生的利息不计入认购资金</w:t>
            </w:r>
            <w:r>
              <w:rPr>
                <w:rFonts w:hint="eastAsia" w:ascii="宋体" w:hAnsi="宋体"/>
                <w:sz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03</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21</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inorEastAsia" w:hAnsiTheme="minorEastAsia"/>
                <w:b/>
                <w:bCs/>
                <w:sz w:val="18"/>
                <w:szCs w:val="18"/>
              </w:rPr>
            </w:pPr>
            <w:r>
              <w:rPr>
                <w:rFonts w:hint="eastAsia" w:asciiTheme="minorEastAsia" w:hAnsiTheme="minorEastAsia"/>
                <w:b/>
                <w:bCs/>
                <w:sz w:val="18"/>
                <w:szCs w:val="18"/>
              </w:rPr>
              <w:t>终止日</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asciiTheme="minorEastAsia" w:hAnsiTheme="minorEastAsia"/>
                <w:bCs/>
                <w:sz w:val="18"/>
                <w:szCs w:val="18"/>
              </w:rPr>
            </w:pPr>
            <w:r>
              <w:rPr>
                <w:rFonts w:hint="eastAsia" w:ascii="宋体" w:hAnsi="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Theme="minorEastAsia" w:hAnsiTheme="minorEastAsia"/>
                <w:b/>
                <w:bCs/>
                <w:sz w:val="18"/>
                <w:szCs w:val="18"/>
              </w:rPr>
            </w:pPr>
            <w:r>
              <w:rPr>
                <w:rFonts w:hint="eastAsia" w:hAnsi="宋体"/>
                <w:sz w:val="18"/>
                <w:szCs w:val="18"/>
              </w:rPr>
              <w:t>★</w:t>
            </w:r>
            <w:r>
              <w:rPr>
                <w:rFonts w:hint="eastAsia" w:asciiTheme="minorEastAsia" w:hAnsiTheme="minorEastAsia"/>
                <w:b/>
                <w:sz w:val="18"/>
                <w:szCs w:val="18"/>
              </w:rPr>
              <w:t>封闭期</w:t>
            </w:r>
          </w:p>
        </w:tc>
        <w:tc>
          <w:tcPr>
            <w:tcW w:w="7699" w:type="dxa"/>
            <w:shd w:val="solid" w:color="FFFFFF" w:fill="FFFFFF"/>
          </w:tcPr>
          <w:p>
            <w:pPr>
              <w:spacing w:line="360" w:lineRule="auto"/>
              <w:rPr>
                <w:rFonts w:asciiTheme="minorEastAsia" w:hAnsiTheme="minorEastAsia" w:eastAsiaTheme="majorEastAsia" w:cstheme="majorBidi"/>
                <w:b/>
                <w:bCs/>
                <w:sz w:val="18"/>
                <w:szCs w:val="18"/>
              </w:rPr>
            </w:pPr>
            <w:r>
              <w:rPr>
                <w:rFonts w:cs="Times New Roman" w:asciiTheme="minorEastAsia" w:hAnsiTheme="minorEastAsia"/>
                <w:sz w:val="18"/>
                <w:szCs w:val="18"/>
              </w:rPr>
              <w:t>1.</w:t>
            </w:r>
            <w:r>
              <w:rPr>
                <w:rFonts w:hint="eastAsia" w:ascii="宋体" w:hAnsi="宋体"/>
                <w:bCs/>
                <w:sz w:val="18"/>
                <w:szCs w:val="18"/>
              </w:rPr>
              <w:t>本产品封闭期为：</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】日</w:t>
            </w:r>
            <w:r>
              <w:rPr>
                <w:rFonts w:hint="eastAsia" w:cs="仿宋_GB2312" w:asciiTheme="minorEastAsia" w:hAnsiTheme="minorEastAsia"/>
                <w:sz w:val="18"/>
                <w:szCs w:val="18"/>
              </w:rPr>
              <w:t>至</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】日</w:t>
            </w:r>
            <w:r>
              <w:rPr>
                <w:rFonts w:hint="eastAsia" w:asciiTheme="majorEastAsia" w:hAnsiTheme="majorEastAsia" w:eastAsiaTheme="majorEastAsia"/>
                <w:sz w:val="18"/>
                <w:szCs w:val="18"/>
              </w:rPr>
              <w:t>。</w:t>
            </w:r>
          </w:p>
          <w:p>
            <w:pPr>
              <w:spacing w:line="360" w:lineRule="auto"/>
              <w:rPr>
                <w:rFonts w:asciiTheme="minorEastAsia" w:hAnsiTheme="minorEastAsia"/>
                <w:bCs/>
                <w:sz w:val="18"/>
                <w:szCs w:val="18"/>
              </w:rPr>
            </w:pPr>
            <w:r>
              <w:rPr>
                <w:rFonts w:asciiTheme="minorEastAsia" w:hAnsiTheme="minorEastAsia"/>
                <w:sz w:val="18"/>
                <w:szCs w:val="18"/>
              </w:rPr>
              <w:t>2.</w:t>
            </w:r>
            <w:r>
              <w:rPr>
                <w:rFonts w:hint="eastAsia" w:asciiTheme="minorEastAsia" w:hAnsiTheme="minorEastAsia"/>
                <w:sz w:val="18"/>
                <w:szCs w:val="18"/>
              </w:rPr>
              <w:t>封闭期内不接受申购或赎回申请。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hAnsi="宋体"/>
                <w:sz w:val="18"/>
                <w:szCs w:val="18"/>
              </w:rPr>
            </w:pPr>
            <w:r>
              <w:rPr>
                <w:rFonts w:hint="eastAsia" w:hAnsi="宋体"/>
                <w:sz w:val="18"/>
                <w:szCs w:val="18"/>
              </w:rPr>
              <w:t>★</w:t>
            </w:r>
            <w:r>
              <w:rPr>
                <w:rFonts w:hint="eastAsia" w:hAnsi="宋体"/>
                <w:b/>
                <w:sz w:val="18"/>
                <w:szCs w:val="18"/>
              </w:rPr>
              <w:t>申购/赎回安排</w:t>
            </w:r>
          </w:p>
        </w:tc>
        <w:tc>
          <w:tcPr>
            <w:tcW w:w="7699" w:type="dxa"/>
            <w:shd w:val="solid" w:color="FFFFFF" w:fill="FFFFFF"/>
          </w:tcPr>
          <w:p>
            <w:pPr>
              <w:spacing w:line="360" w:lineRule="auto"/>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w:t>
            </w:r>
            <w:r>
              <w:rPr>
                <w:rFonts w:hint="eastAsia" w:asciiTheme="minorEastAsia" w:hAnsiTheme="minorEastAsia"/>
                <w:sz w:val="18"/>
                <w:szCs w:val="18"/>
              </w:rPr>
              <w:t>本产品在封闭期后，产品按以下规则设置开放期：</w:t>
            </w:r>
          </w:p>
          <w:p>
            <w:pPr>
              <w:spacing w:line="360" w:lineRule="auto"/>
              <w:rPr>
                <w:rFonts w:asciiTheme="minorEastAsia" w:hAnsiTheme="minorEastAsia"/>
                <w:sz w:val="18"/>
                <w:szCs w:val="18"/>
              </w:rPr>
            </w:pPr>
            <w:r>
              <w:rPr>
                <w:rFonts w:hint="eastAsia" w:asciiTheme="minorEastAsia" w:hAnsiTheme="minorEastAsia"/>
                <w:sz w:val="18"/>
                <w:szCs w:val="18"/>
              </w:rPr>
              <w:t>（1）本</w:t>
            </w:r>
            <w:r>
              <w:rPr>
                <w:rFonts w:asciiTheme="minorEastAsia" w:hAnsiTheme="minorEastAsia"/>
                <w:sz w:val="18"/>
                <w:szCs w:val="18"/>
              </w:rPr>
              <w:t>产品成立后</w:t>
            </w:r>
            <w:r>
              <w:rPr>
                <w:rFonts w:hint="eastAsia" w:asciiTheme="minorEastAsia" w:hAnsiTheme="minorEastAsia"/>
                <w:sz w:val="18"/>
                <w:szCs w:val="18"/>
              </w:rPr>
              <w:t>，</w:t>
            </w:r>
            <w:r>
              <w:rPr>
                <w:rFonts w:asciiTheme="minorEastAsia" w:hAnsiTheme="minorEastAsia"/>
                <w:sz w:val="18"/>
                <w:szCs w:val="18"/>
              </w:rPr>
              <w:t>在封闭期之</w:t>
            </w:r>
            <w:r>
              <w:rPr>
                <w:rFonts w:hint="eastAsia" w:asciiTheme="minorEastAsia" w:hAnsiTheme="minorEastAsia"/>
                <w:sz w:val="18"/>
                <w:szCs w:val="18"/>
              </w:rPr>
              <w:t>后的每个【</w:t>
            </w:r>
            <w:r>
              <w:rPr>
                <w:rFonts w:hint="eastAsia" w:asciiTheme="minorEastAsia" w:hAnsiTheme="minorEastAsia"/>
                <w:sz w:val="18"/>
                <w:szCs w:val="18"/>
                <w:lang w:val="en-US" w:eastAsia="zh-CN"/>
              </w:rPr>
              <w:t>工作日</w:t>
            </w:r>
            <w:r>
              <w:rPr>
                <w:rFonts w:hint="eastAsia" w:asciiTheme="minorEastAsia" w:hAnsiTheme="minorEastAsia"/>
                <w:sz w:val="18"/>
                <w:szCs w:val="18"/>
              </w:rPr>
              <w:t>】为开放日，开放日开放投资者的申购与赎回；</w:t>
            </w:r>
          </w:p>
          <w:p>
            <w:pPr>
              <w:spacing w:line="360" w:lineRule="auto"/>
              <w:rPr>
                <w:rFonts w:asciiTheme="minorEastAsia" w:hAnsiTheme="minorEastAsia"/>
                <w:sz w:val="18"/>
                <w:szCs w:val="18"/>
              </w:rPr>
            </w:pPr>
            <w:r>
              <w:rPr>
                <w:rFonts w:hint="eastAsia" w:asciiTheme="minorEastAsia" w:hAnsiTheme="minorEastAsia"/>
                <w:sz w:val="18"/>
                <w:szCs w:val="18"/>
              </w:rPr>
              <w:t>（2）产品管理人公告暂停开放的日期除外。</w:t>
            </w:r>
          </w:p>
          <w:p>
            <w:pPr>
              <w:spacing w:line="360" w:lineRule="auto"/>
              <w:rPr>
                <w:rFonts w:eastAsia="黑体" w:asciiTheme="minorEastAsia" w:hAnsiTheme="minorEastAsia"/>
                <w:b/>
                <w:sz w:val="18"/>
                <w:szCs w:val="18"/>
              </w:rPr>
            </w:pPr>
            <w:r>
              <w:rPr>
                <w:rFonts w:hint="eastAsia" w:asciiTheme="minorEastAsia" w:hAnsiTheme="minorEastAsia"/>
                <w:sz w:val="18"/>
                <w:szCs w:val="18"/>
              </w:rPr>
              <w:t>2</w:t>
            </w:r>
            <w:r>
              <w:rPr>
                <w:rFonts w:asciiTheme="minorEastAsia" w:hAnsiTheme="minorEastAsia"/>
                <w:sz w:val="18"/>
                <w:szCs w:val="18"/>
              </w:rPr>
              <w:t>.</w:t>
            </w:r>
            <w:r>
              <w:rPr>
                <w:rFonts w:hint="eastAsia" w:asciiTheme="minorEastAsia" w:hAnsiTheme="minorEastAsia"/>
                <w:sz w:val="18"/>
                <w:szCs w:val="18"/>
              </w:rPr>
              <w:t>申购安排</w:t>
            </w:r>
          </w:p>
          <w:p>
            <w:pPr>
              <w:spacing w:line="360" w:lineRule="auto"/>
              <w:rPr>
                <w:rFonts w:eastAsia="黑体" w:asciiTheme="minorEastAsia" w:hAnsiTheme="minorEastAsia"/>
                <w:b/>
                <w:sz w:val="18"/>
                <w:szCs w:val="18"/>
              </w:rPr>
            </w:pPr>
            <w:r>
              <w:rPr>
                <w:rFonts w:hint="eastAsia" w:asciiTheme="minorEastAsia" w:hAnsiTheme="minorEastAsia"/>
                <w:sz w:val="18"/>
                <w:szCs w:val="18"/>
              </w:rPr>
              <w:t>（1）申购的时间</w:t>
            </w:r>
          </w:p>
          <w:p>
            <w:pPr>
              <w:spacing w:line="360" w:lineRule="auto"/>
              <w:rPr>
                <w:rFonts w:eastAsia="黑体" w:asciiTheme="minorEastAsia" w:hAnsiTheme="minorEastAsia"/>
                <w:b/>
                <w:sz w:val="18"/>
                <w:szCs w:val="18"/>
              </w:rPr>
            </w:pPr>
            <w:r>
              <w:rPr>
                <w:rFonts w:hint="eastAsia" w:asciiTheme="minorEastAsia" w:hAnsiTheme="minorEastAsia"/>
                <w:sz w:val="18"/>
                <w:szCs w:val="18"/>
              </w:rPr>
              <w:t>本产品封闭期后的每个开放日开放申购。投资者可于开放日内提交申购申请，产品管理人公告暂停开放的日期除外。</w:t>
            </w:r>
          </w:p>
          <w:p>
            <w:pPr>
              <w:spacing w:line="360" w:lineRule="auto"/>
              <w:rPr>
                <w:rFonts w:eastAsia="黑体" w:asciiTheme="minorEastAsia" w:hAnsiTheme="minorEastAsia"/>
                <w:b/>
                <w:sz w:val="18"/>
                <w:szCs w:val="18"/>
              </w:rPr>
            </w:pPr>
            <w:r>
              <w:rPr>
                <w:rFonts w:hint="eastAsia" w:asciiTheme="minorEastAsia" w:hAnsiTheme="minorEastAsia"/>
                <w:sz w:val="18"/>
                <w:szCs w:val="18"/>
              </w:rPr>
              <w:t>（2）申购的确认</w:t>
            </w:r>
          </w:p>
          <w:tbl>
            <w:tblPr>
              <w:tblStyle w:val="25"/>
              <w:tblW w:w="7507"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37"/>
              <w:gridCol w:w="1701"/>
              <w:gridCol w:w="1984"/>
              <w:gridCol w:w="198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9" w:hRule="atLeast"/>
              </w:trPr>
              <w:tc>
                <w:tcPr>
                  <w:tcW w:w="1837" w:type="dxa"/>
                  <w:vAlign w:val="center"/>
                </w:tcPr>
                <w:p>
                  <w:pPr>
                    <w:pStyle w:val="34"/>
                    <w:spacing w:line="360" w:lineRule="auto"/>
                    <w:jc w:val="center"/>
                    <w:rPr>
                      <w:rFonts w:asciiTheme="minorEastAsia" w:hAnsiTheme="minorEastAsia"/>
                      <w:b/>
                      <w:bCs/>
                      <w:kern w:val="2"/>
                      <w:sz w:val="18"/>
                      <w:szCs w:val="18"/>
                    </w:rPr>
                  </w:pPr>
                  <w:r>
                    <w:rPr>
                      <w:rFonts w:hint="eastAsia" w:asciiTheme="majorEastAsia" w:hAnsiTheme="majorEastAsia" w:eastAsiaTheme="majorEastAsia"/>
                      <w:b/>
                      <w:bCs/>
                      <w:color w:val="auto"/>
                      <w:sz w:val="18"/>
                      <w:szCs w:val="18"/>
                    </w:rPr>
                    <w:t>申购申请日</w:t>
                  </w:r>
                </w:p>
              </w:tc>
              <w:tc>
                <w:tcPr>
                  <w:tcW w:w="1701" w:type="dxa"/>
                  <w:vAlign w:val="center"/>
                </w:tcPr>
                <w:p>
                  <w:pPr>
                    <w:pStyle w:val="34"/>
                    <w:spacing w:line="360" w:lineRule="auto"/>
                    <w:jc w:val="center"/>
                    <w:rPr>
                      <w:rFonts w:cs="Times New Roman" w:asciiTheme="minorEastAsia" w:hAnsiTheme="minorEastAsia"/>
                      <w:b/>
                      <w:bCs/>
                      <w:color w:val="auto"/>
                      <w:kern w:val="2"/>
                      <w:sz w:val="18"/>
                      <w:szCs w:val="18"/>
                    </w:rPr>
                  </w:pPr>
                  <w:r>
                    <w:rPr>
                      <w:rFonts w:hint="eastAsia" w:cs="Times New Roman" w:asciiTheme="minorEastAsia" w:hAnsiTheme="minorEastAsia"/>
                      <w:b/>
                      <w:bCs/>
                      <w:color w:val="auto"/>
                      <w:sz w:val="18"/>
                      <w:szCs w:val="18"/>
                    </w:rPr>
                    <w:t>申购日</w:t>
                  </w:r>
                </w:p>
              </w:tc>
              <w:tc>
                <w:tcPr>
                  <w:tcW w:w="1984" w:type="dxa"/>
                  <w:vAlign w:val="center"/>
                </w:tcPr>
                <w:p>
                  <w:pPr>
                    <w:pStyle w:val="34"/>
                    <w:spacing w:line="360" w:lineRule="auto"/>
                    <w:jc w:val="center"/>
                    <w:rPr>
                      <w:rFonts w:asciiTheme="minorEastAsia" w:hAnsiTheme="minorEastAsia"/>
                      <w:b/>
                      <w:bCs/>
                      <w:kern w:val="2"/>
                      <w:sz w:val="18"/>
                      <w:szCs w:val="18"/>
                    </w:rPr>
                  </w:pPr>
                  <w:r>
                    <w:rPr>
                      <w:rFonts w:hint="eastAsia" w:cs="Times New Roman" w:asciiTheme="minorEastAsia" w:hAnsiTheme="minorEastAsia"/>
                      <w:b/>
                      <w:bCs/>
                      <w:color w:val="auto"/>
                      <w:sz w:val="18"/>
                      <w:szCs w:val="18"/>
                    </w:rPr>
                    <w:t>申购确认日</w:t>
                  </w:r>
                </w:p>
              </w:tc>
              <w:tc>
                <w:tcPr>
                  <w:tcW w:w="1985" w:type="dxa"/>
                  <w:vAlign w:val="center"/>
                </w:tcPr>
                <w:p>
                  <w:pPr>
                    <w:pStyle w:val="34"/>
                    <w:spacing w:line="360" w:lineRule="auto"/>
                    <w:jc w:val="center"/>
                    <w:rPr>
                      <w:rFonts w:cs="Times New Roman" w:asciiTheme="minorEastAsia" w:hAnsiTheme="minorEastAsia"/>
                      <w:b/>
                      <w:bCs/>
                      <w:color w:val="auto"/>
                      <w:sz w:val="18"/>
                      <w:szCs w:val="18"/>
                    </w:rPr>
                  </w:pPr>
                  <w:r>
                    <w:rPr>
                      <w:rFonts w:hint="eastAsia" w:cs="Times New Roman" w:asciiTheme="minorEastAsia" w:hAnsiTheme="minorEastAsia"/>
                      <w:b/>
                      <w:bCs/>
                      <w:color w:val="auto"/>
                      <w:sz w:val="18"/>
                      <w:szCs w:val="18"/>
                    </w:rPr>
                    <w:t>申购确认方式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9：00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hint="eastAsia" w:asciiTheme="majorEastAsia" w:hAnsiTheme="majorEastAsia" w:eastAsiaTheme="majorEastAsia"/>
                      <w:bCs/>
                      <w:color w:val="auto"/>
                      <w:sz w:val="18"/>
                      <w:szCs w:val="18"/>
                    </w:rPr>
                    <w:t xml:space="preserve">】 </w:t>
                  </w:r>
                </w:p>
              </w:tc>
              <w:tc>
                <w:tcPr>
                  <w:tcW w:w="1701"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申购申请日当日</w:t>
                  </w:r>
                </w:p>
              </w:tc>
              <w:tc>
                <w:tcPr>
                  <w:tcW w:w="1984" w:type="dxa"/>
                  <w:vAlign w:val="center"/>
                </w:tcPr>
                <w:p>
                  <w:pPr>
                    <w:pStyle w:val="34"/>
                    <w:spacing w:line="360" w:lineRule="auto"/>
                    <w:jc w:val="left"/>
                    <w:rPr>
                      <w:rFonts w:asciiTheme="majorEastAsia" w:hAnsiTheme="majorEastAsia" w:eastAsiaTheme="majorEastAsia"/>
                      <w:bCs/>
                      <w:color w:val="auto"/>
                      <w:kern w:val="2"/>
                      <w:sz w:val="18"/>
                      <w:szCs w:val="18"/>
                    </w:rPr>
                  </w:pPr>
                  <w:r>
                    <w:rPr>
                      <w:rFonts w:hint="eastAsia" w:asciiTheme="majorEastAsia" w:hAnsiTheme="majorEastAsia" w:eastAsiaTheme="majorEastAsia"/>
                      <w:bCs/>
                      <w:color w:val="auto"/>
                      <w:sz w:val="18"/>
                      <w:szCs w:val="18"/>
                    </w:rPr>
                    <w:t>申购日后的下一个开放日</w:t>
                  </w:r>
                </w:p>
              </w:tc>
              <w:tc>
                <w:tcPr>
                  <w:tcW w:w="1985" w:type="dxa"/>
                  <w:vMerge w:val="restart"/>
                </w:tcPr>
                <w:p>
                  <w:pPr>
                    <w:pStyle w:val="34"/>
                    <w:spacing w:line="360" w:lineRule="auto"/>
                    <w:jc w:val="left"/>
                    <w:rPr>
                      <w:rFonts w:asciiTheme="majorEastAsia" w:hAnsiTheme="majorEastAsia" w:eastAsiaTheme="majorEastAsia"/>
                      <w:bCs/>
                      <w:color w:val="auto"/>
                      <w:kern w:val="2"/>
                      <w:sz w:val="18"/>
                      <w:szCs w:val="18"/>
                    </w:rPr>
                  </w:pPr>
                  <w:r>
                    <w:rPr>
                      <w:rFonts w:hint="eastAsia" w:asciiTheme="majorEastAsia" w:hAnsiTheme="majorEastAsia" w:eastAsiaTheme="majorEastAsia"/>
                      <w:bCs/>
                      <w:color w:val="auto"/>
                      <w:sz w:val="18"/>
                      <w:szCs w:val="18"/>
                    </w:rPr>
                    <w:t>产品管理人在申购确认日对投资者的申购申请的有效性进行确认，并登记理财份额。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开放日内非交易时间：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24：00</w:t>
                  </w:r>
                  <w:r>
                    <w:rPr>
                      <w:rFonts w:hint="eastAsia" w:asciiTheme="majorEastAsia" w:hAnsiTheme="majorEastAsia" w:eastAsiaTheme="majorEastAsia"/>
                      <w:bCs/>
                      <w:color w:val="auto"/>
                      <w:sz w:val="18"/>
                      <w:szCs w:val="18"/>
                    </w:rPr>
                    <w:t>】</w:t>
                  </w:r>
                </w:p>
              </w:tc>
              <w:tc>
                <w:tcPr>
                  <w:tcW w:w="1701"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申购申请日后的下一个开放日</w:t>
                  </w:r>
                </w:p>
              </w:tc>
              <w:tc>
                <w:tcPr>
                  <w:tcW w:w="1984"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申购日后的下一个开放日</w:t>
                  </w:r>
                </w:p>
              </w:tc>
              <w:tc>
                <w:tcPr>
                  <w:tcW w:w="1985" w:type="dxa"/>
                  <w:vMerge w:val="continue"/>
                </w:tcPr>
                <w:p>
                  <w:pPr>
                    <w:pStyle w:val="34"/>
                    <w:spacing w:line="360" w:lineRule="auto"/>
                    <w:jc w:val="left"/>
                    <w:rPr>
                      <w:rFonts w:asciiTheme="majorEastAsia" w:hAnsiTheme="majorEastAsia" w:eastAsiaTheme="majorEastAsia"/>
                      <w:bCs/>
                      <w:color w:val="auto"/>
                      <w:kern w:val="2"/>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 xml:space="preserve">非开放日 </w:t>
                  </w:r>
                </w:p>
              </w:tc>
              <w:tc>
                <w:tcPr>
                  <w:tcW w:w="1701"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申购申请日后的下一个开放日</w:t>
                  </w:r>
                </w:p>
              </w:tc>
              <w:tc>
                <w:tcPr>
                  <w:tcW w:w="1984" w:type="dxa"/>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申购日后的下一个开放日</w:t>
                  </w:r>
                </w:p>
              </w:tc>
              <w:tc>
                <w:tcPr>
                  <w:tcW w:w="1985" w:type="dxa"/>
                  <w:vMerge w:val="continue"/>
                </w:tcPr>
                <w:p>
                  <w:pPr>
                    <w:pStyle w:val="34"/>
                    <w:spacing w:line="360" w:lineRule="auto"/>
                    <w:jc w:val="left"/>
                    <w:rPr>
                      <w:rFonts w:asciiTheme="majorEastAsia" w:hAnsiTheme="majorEastAsia" w:eastAsiaTheme="majorEastAsia"/>
                      <w:bCs/>
                      <w:color w:val="auto"/>
                      <w:kern w:val="2"/>
                      <w:sz w:val="18"/>
                      <w:szCs w:val="18"/>
                    </w:rPr>
                  </w:pPr>
                </w:p>
              </w:tc>
            </w:tr>
          </w:tbl>
          <w:p>
            <w:pPr>
              <w:spacing w:line="360" w:lineRule="auto"/>
              <w:rPr>
                <w:rFonts w:asciiTheme="minorEastAsia" w:hAnsiTheme="minorEastAsia"/>
                <w:sz w:val="18"/>
                <w:szCs w:val="18"/>
              </w:rPr>
            </w:pPr>
            <w:r>
              <w:rPr>
                <w:rFonts w:asciiTheme="minorEastAsia" w:hAnsiTheme="minorEastAsia"/>
                <w:sz w:val="18"/>
                <w:szCs w:val="18"/>
              </w:rPr>
              <w:t>3.赎回</w:t>
            </w:r>
            <w:r>
              <w:rPr>
                <w:rFonts w:hint="eastAsia" w:asciiTheme="minorEastAsia" w:hAnsiTheme="minorEastAsia"/>
                <w:sz w:val="18"/>
                <w:szCs w:val="18"/>
              </w:rPr>
              <w:t>安排</w:t>
            </w:r>
          </w:p>
          <w:p>
            <w:pPr>
              <w:spacing w:line="360" w:lineRule="auto"/>
              <w:rPr>
                <w:rFonts w:asciiTheme="minorEastAsia" w:hAnsiTheme="minorEastAsia"/>
                <w:sz w:val="18"/>
                <w:szCs w:val="18"/>
              </w:rPr>
            </w:pPr>
            <w:r>
              <w:rPr>
                <w:rFonts w:hint="eastAsia" w:asciiTheme="minorEastAsia" w:hAnsiTheme="minorEastAsia"/>
                <w:sz w:val="18"/>
                <w:szCs w:val="18"/>
              </w:rPr>
              <w:t>（1）赎回的时间</w:t>
            </w:r>
          </w:p>
          <w:p>
            <w:pPr>
              <w:spacing w:line="360" w:lineRule="auto"/>
              <w:rPr>
                <w:rFonts w:asciiTheme="minorEastAsia" w:hAnsiTheme="minorEastAsia"/>
                <w:sz w:val="18"/>
                <w:szCs w:val="18"/>
              </w:rPr>
            </w:pPr>
            <w:r>
              <w:rPr>
                <w:rFonts w:hint="eastAsia" w:asciiTheme="minorEastAsia" w:hAnsiTheme="minorEastAsia"/>
                <w:sz w:val="18"/>
                <w:szCs w:val="18"/>
              </w:rPr>
              <w:t>本产品</w:t>
            </w:r>
            <w:r>
              <w:rPr>
                <w:rFonts w:asciiTheme="minorEastAsia" w:hAnsiTheme="minorEastAsia"/>
                <w:sz w:val="18"/>
                <w:szCs w:val="18"/>
              </w:rPr>
              <w:t>封闭期</w:t>
            </w:r>
            <w:r>
              <w:rPr>
                <w:rFonts w:hint="eastAsia" w:asciiTheme="minorEastAsia" w:hAnsiTheme="minorEastAsia"/>
                <w:sz w:val="18"/>
                <w:szCs w:val="18"/>
              </w:rPr>
              <w:t>后</w:t>
            </w:r>
            <w:r>
              <w:rPr>
                <w:rFonts w:hint="eastAsia" w:cs="Times New Roman" w:asciiTheme="minorEastAsia" w:hAnsiTheme="minorEastAsia"/>
                <w:sz w:val="18"/>
                <w:szCs w:val="18"/>
              </w:rPr>
              <w:t>的</w:t>
            </w:r>
            <w:r>
              <w:rPr>
                <w:rFonts w:hint="eastAsia" w:asciiTheme="minorEastAsia" w:hAnsiTheme="minorEastAsia"/>
                <w:sz w:val="18"/>
                <w:szCs w:val="18"/>
              </w:rPr>
              <w:t>每个开放日开放</w:t>
            </w:r>
            <w:r>
              <w:rPr>
                <w:rFonts w:hint="eastAsia" w:asciiTheme="minorEastAsia" w:hAnsiTheme="minorEastAsia"/>
                <w:bCs/>
                <w:sz w:val="18"/>
                <w:szCs w:val="18"/>
              </w:rPr>
              <w:t>赎回</w:t>
            </w:r>
            <w:r>
              <w:rPr>
                <w:rFonts w:asciiTheme="minorEastAsia" w:hAnsiTheme="minorEastAsia"/>
                <w:sz w:val="18"/>
                <w:szCs w:val="18"/>
              </w:rPr>
              <w:t>。</w:t>
            </w:r>
            <w:r>
              <w:rPr>
                <w:rFonts w:hint="eastAsia" w:asciiTheme="minorEastAsia" w:hAnsiTheme="minorEastAsia"/>
                <w:sz w:val="18"/>
                <w:szCs w:val="18"/>
              </w:rPr>
              <w:t>投资者可于开放日内提交赎回申请，产品管理人公告暂停开放的日期除外</w:t>
            </w:r>
            <w:r>
              <w:rPr>
                <w:rFonts w:hint="eastAsia" w:asciiTheme="majorEastAsia" w:hAnsiTheme="majorEastAsia" w:eastAsiaTheme="majorEastAsia"/>
                <w:bCs/>
                <w:sz w:val="18"/>
                <w:szCs w:val="18"/>
              </w:rPr>
              <w:t>。</w:t>
            </w:r>
          </w:p>
          <w:p>
            <w:pPr>
              <w:spacing w:line="360" w:lineRule="auto"/>
              <w:rPr>
                <w:rFonts w:asciiTheme="minorEastAsia" w:hAnsiTheme="minorEastAsia"/>
                <w:sz w:val="18"/>
                <w:szCs w:val="18"/>
              </w:rPr>
            </w:pPr>
            <w:r>
              <w:rPr>
                <w:rFonts w:hint="eastAsia" w:asciiTheme="minorEastAsia" w:hAnsiTheme="minorEastAsia"/>
                <w:sz w:val="18"/>
                <w:szCs w:val="18"/>
              </w:rPr>
              <w:t>（2）赎回的确认</w:t>
            </w:r>
          </w:p>
          <w:tbl>
            <w:tblPr>
              <w:tblStyle w:val="25"/>
              <w:tblW w:w="75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33"/>
              <w:gridCol w:w="1701"/>
              <w:gridCol w:w="1984"/>
              <w:gridCol w:w="20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4" w:hRule="atLeast"/>
                <w:jc w:val="center"/>
              </w:trPr>
              <w:tc>
                <w:tcPr>
                  <w:tcW w:w="1833" w:type="dxa"/>
                  <w:vAlign w:val="center"/>
                </w:tcPr>
                <w:p>
                  <w:pPr>
                    <w:spacing w:line="360" w:lineRule="auto"/>
                    <w:jc w:val="center"/>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赎回申请日</w:t>
                  </w:r>
                </w:p>
              </w:tc>
              <w:tc>
                <w:tcPr>
                  <w:tcW w:w="1701" w:type="dxa"/>
                </w:tcPr>
                <w:p>
                  <w:pPr>
                    <w:spacing w:line="360" w:lineRule="auto"/>
                    <w:jc w:val="center"/>
                    <w:rPr>
                      <w:rFonts w:cs="Times New Roman" w:asciiTheme="minorEastAsia" w:hAnsiTheme="minorEastAsia" w:eastAsiaTheme="minorEastAsia"/>
                      <w:b/>
                      <w:bCs/>
                      <w:kern w:val="0"/>
                      <w:sz w:val="18"/>
                      <w:szCs w:val="18"/>
                    </w:rPr>
                  </w:pPr>
                  <w:r>
                    <w:rPr>
                      <w:rFonts w:hint="eastAsia" w:cs="Times New Roman" w:asciiTheme="minorEastAsia" w:hAnsiTheme="minorEastAsia" w:eastAsiaTheme="minorEastAsia"/>
                      <w:b/>
                      <w:bCs/>
                      <w:kern w:val="0"/>
                      <w:sz w:val="18"/>
                      <w:szCs w:val="18"/>
                    </w:rPr>
                    <w:t>赎回</w:t>
                  </w:r>
                  <w:r>
                    <w:rPr>
                      <w:rFonts w:cs="Times New Roman" w:asciiTheme="minorEastAsia" w:hAnsiTheme="minorEastAsia" w:eastAsiaTheme="minorEastAsia"/>
                      <w:b/>
                      <w:bCs/>
                      <w:kern w:val="0"/>
                      <w:sz w:val="18"/>
                      <w:szCs w:val="18"/>
                    </w:rPr>
                    <w:t>日</w:t>
                  </w:r>
                </w:p>
              </w:tc>
              <w:tc>
                <w:tcPr>
                  <w:tcW w:w="1984" w:type="dxa"/>
                  <w:vAlign w:val="center"/>
                </w:tcPr>
                <w:p>
                  <w:pPr>
                    <w:spacing w:line="360" w:lineRule="auto"/>
                    <w:jc w:val="center"/>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赎回确认日</w:t>
                  </w:r>
                </w:p>
              </w:tc>
              <w:tc>
                <w:tcPr>
                  <w:tcW w:w="2043" w:type="dxa"/>
                  <w:vAlign w:val="center"/>
                </w:tcPr>
                <w:p>
                  <w:pPr>
                    <w:spacing w:line="360" w:lineRule="auto"/>
                    <w:jc w:val="center"/>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9" w:hRule="atLeast"/>
                <w:jc w:val="center"/>
              </w:trPr>
              <w:tc>
                <w:tcPr>
                  <w:tcW w:w="1833" w:type="dxa"/>
                  <w:tcBorders>
                    <w:bottom w:val="single" w:color="auto" w:sz="12" w:space="0"/>
                  </w:tcBorders>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9：00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hint="eastAsia" w:asciiTheme="majorEastAsia" w:hAnsiTheme="majorEastAsia" w:eastAsiaTheme="majorEastAsia"/>
                      <w:bCs/>
                      <w:color w:val="auto"/>
                      <w:sz w:val="18"/>
                      <w:szCs w:val="18"/>
                    </w:rPr>
                    <w:t>】</w:t>
                  </w:r>
                </w:p>
              </w:tc>
              <w:tc>
                <w:tcPr>
                  <w:tcW w:w="1701" w:type="dxa"/>
                  <w:tcBorders>
                    <w:bottom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赎回申请日当日</w:t>
                  </w:r>
                </w:p>
              </w:tc>
              <w:tc>
                <w:tcPr>
                  <w:tcW w:w="1984" w:type="dxa"/>
                  <w:tcBorders>
                    <w:bottom w:val="single" w:color="auto" w:sz="12" w:space="0"/>
                  </w:tcBorders>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restart"/>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eastAsiaTheme="minorEastAsia"/>
                      <w:bCs/>
                      <w:kern w:val="0"/>
                      <w:sz w:val="18"/>
                      <w:szCs w:val="18"/>
                    </w:rPr>
                    <w:t>产品管理人在赎回</w:t>
                  </w:r>
                  <w:r>
                    <w:rPr>
                      <w:rFonts w:cs="Times New Roman" w:asciiTheme="minorEastAsia" w:hAnsiTheme="minorEastAsia" w:eastAsiaTheme="minorEastAsia"/>
                      <w:bCs/>
                      <w:kern w:val="0"/>
                      <w:sz w:val="18"/>
                      <w:szCs w:val="18"/>
                    </w:rPr>
                    <w:t>确认日</w:t>
                  </w:r>
                  <w:r>
                    <w:rPr>
                      <w:rFonts w:hint="eastAsia" w:cs="Times New Roman" w:asciiTheme="minorEastAsia" w:hAnsiTheme="minorEastAsia" w:eastAsiaTheme="minorEastAsia"/>
                      <w:bCs/>
                      <w:kern w:val="0"/>
                      <w:sz w:val="18"/>
                      <w:szCs w:val="18"/>
                    </w:rPr>
                    <w:t>对赎回申请的有效性进行确认，并注销理财份额。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1833" w:type="dxa"/>
                  <w:tcBorders>
                    <w:top w:val="single" w:color="auto" w:sz="12" w:space="0"/>
                    <w:bottom w:val="single" w:color="auto" w:sz="12" w:space="0"/>
                  </w:tcBorders>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开放日内非交易时间：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24：00</w:t>
                  </w:r>
                  <w:r>
                    <w:rPr>
                      <w:rFonts w:hint="eastAsia" w:asciiTheme="majorEastAsia" w:hAnsiTheme="majorEastAsia" w:eastAsiaTheme="majorEastAsia"/>
                      <w:bCs/>
                      <w:color w:val="auto"/>
                      <w:sz w:val="18"/>
                      <w:szCs w:val="18"/>
                    </w:rPr>
                    <w:t>】</w:t>
                  </w:r>
                </w:p>
              </w:tc>
              <w:tc>
                <w:tcPr>
                  <w:tcW w:w="1701" w:type="dxa"/>
                  <w:tcBorders>
                    <w:top w:val="single" w:color="auto" w:sz="12" w:space="0"/>
                    <w:bottom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赎回申请日后的下一个开放日</w:t>
                  </w:r>
                </w:p>
              </w:tc>
              <w:tc>
                <w:tcPr>
                  <w:tcW w:w="1984" w:type="dxa"/>
                  <w:tcBorders>
                    <w:top w:val="single" w:color="auto" w:sz="12" w:space="0"/>
                    <w:bottom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continue"/>
                  <w:vAlign w:val="center"/>
                </w:tcPr>
                <w:p>
                  <w:pPr>
                    <w:spacing w:line="360" w:lineRule="auto"/>
                    <w:rPr>
                      <w:rFonts w:cs="Times New Roman" w:asciiTheme="minorEastAsia" w:hAnsiTheme="minorEastAsia" w:eastAsiaTheme="minorEastAsia"/>
                      <w:bCs/>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1833" w:type="dxa"/>
                  <w:tcBorders>
                    <w:top w:val="single" w:color="auto" w:sz="12" w:space="0"/>
                  </w:tcBorders>
                  <w:vAlign w:val="center"/>
                </w:tcPr>
                <w:p>
                  <w:pPr>
                    <w:pStyle w:val="34"/>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非</w:t>
                  </w:r>
                  <w:r>
                    <w:rPr>
                      <w:rFonts w:asciiTheme="majorEastAsia" w:hAnsiTheme="majorEastAsia" w:eastAsiaTheme="majorEastAsia"/>
                      <w:bCs/>
                      <w:color w:val="auto"/>
                      <w:sz w:val="18"/>
                      <w:szCs w:val="18"/>
                    </w:rPr>
                    <w:t>开放</w:t>
                  </w:r>
                  <w:r>
                    <w:rPr>
                      <w:rFonts w:hint="eastAsia" w:asciiTheme="majorEastAsia" w:hAnsiTheme="majorEastAsia" w:eastAsiaTheme="majorEastAsia"/>
                      <w:bCs/>
                      <w:color w:val="auto"/>
                      <w:sz w:val="18"/>
                      <w:szCs w:val="18"/>
                    </w:rPr>
                    <w:t>日</w:t>
                  </w:r>
                </w:p>
              </w:tc>
              <w:tc>
                <w:tcPr>
                  <w:tcW w:w="1701" w:type="dxa"/>
                  <w:tcBorders>
                    <w:top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赎回申请日后的下一个开放日</w:t>
                  </w:r>
                </w:p>
              </w:tc>
              <w:tc>
                <w:tcPr>
                  <w:tcW w:w="1984" w:type="dxa"/>
                  <w:tcBorders>
                    <w:top w:val="single" w:color="auto" w:sz="12" w:space="0"/>
                  </w:tcBorders>
                </w:tcPr>
                <w:p>
                  <w:pPr>
                    <w:spacing w:line="360" w:lineRule="auto"/>
                    <w:rPr>
                      <w:rFonts w:cs="Times New Roman" w:asciiTheme="minorEastAsia" w:hAnsiTheme="minorEastAsia" w:eastAsiaTheme="minorEastAsia"/>
                      <w:bCs/>
                      <w:kern w:val="0"/>
                      <w:sz w:val="18"/>
                      <w:szCs w:val="18"/>
                    </w:rPr>
                  </w:pPr>
                  <w:r>
                    <w:rPr>
                      <w:rFonts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continue"/>
                </w:tcPr>
                <w:p>
                  <w:pPr>
                    <w:spacing w:line="360" w:lineRule="auto"/>
                    <w:rPr>
                      <w:rFonts w:cs="Times New Roman" w:asciiTheme="minorEastAsia" w:hAnsiTheme="minorEastAsia" w:eastAsiaTheme="minorEastAsia"/>
                      <w:bCs/>
                      <w:kern w:val="0"/>
                      <w:sz w:val="18"/>
                      <w:szCs w:val="18"/>
                    </w:rPr>
                  </w:pPr>
                </w:p>
              </w:tc>
            </w:tr>
          </w:tbl>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注：</w:t>
            </w:r>
            <w:r>
              <w:rPr>
                <w:rFonts w:hint="eastAsia" w:ascii="黑体" w:hAnsi="黑体" w:eastAsia="黑体" w:cs="黑体"/>
                <w:color w:val="000000" w:themeColor="text1"/>
                <w:sz w:val="18"/>
                <w14:textFill>
                  <w14:solidFill>
                    <w14:schemeClr w14:val="tx1"/>
                  </w14:solidFill>
                </w14:textFill>
              </w:rPr>
              <w:t>赎回</w:t>
            </w:r>
            <w:r>
              <w:rPr>
                <w:rFonts w:hint="eastAsia" w:ascii="黑体" w:hAnsi="黑体" w:eastAsia="黑体" w:cs="黑体"/>
                <w:color w:val="000000" w:themeColor="text1"/>
                <w:sz w:val="18"/>
                <w:szCs w:val="18"/>
                <w14:textFill>
                  <w14:solidFill>
                    <w14:schemeClr w14:val="tx1"/>
                  </w14:solidFill>
                </w14:textFill>
              </w:rPr>
              <w:t>款项于</w:t>
            </w:r>
            <w:r>
              <w:rPr>
                <w:rFonts w:hint="eastAsia" w:ascii="黑体" w:hAnsi="黑体" w:eastAsia="黑体" w:cs="黑体"/>
                <w:kern w:val="0"/>
                <w:sz w:val="18"/>
                <w:szCs w:val="18"/>
              </w:rPr>
              <w:t>赎回</w:t>
            </w:r>
            <w:r>
              <w:rPr>
                <w:rFonts w:hint="eastAsia" w:ascii="黑体" w:hAnsi="黑体" w:eastAsia="黑体" w:cs="黑体"/>
                <w:kern w:val="0"/>
                <w:sz w:val="18"/>
              </w:rPr>
              <w:t>日后【</w:t>
            </w:r>
            <w:r>
              <w:rPr>
                <w:rFonts w:hint="eastAsia" w:ascii="黑体" w:hAnsi="黑体" w:eastAsia="黑体" w:cs="黑体"/>
                <w:kern w:val="0"/>
                <w:sz w:val="18"/>
                <w:lang w:val="en-US" w:eastAsia="zh-CN"/>
              </w:rPr>
              <w:t>1</w:t>
            </w:r>
            <w:r>
              <w:rPr>
                <w:rFonts w:hint="eastAsia" w:ascii="黑体" w:hAnsi="黑体" w:eastAsia="黑体" w:cs="黑体"/>
                <w:kern w:val="0"/>
                <w:sz w:val="18"/>
              </w:rPr>
              <w:t>】个开放日</w:t>
            </w:r>
            <w:r>
              <w:rPr>
                <w:rFonts w:hint="eastAsia" w:ascii="黑体" w:hAnsi="黑体" w:eastAsia="黑体" w:cs="黑体"/>
                <w:kern w:val="0"/>
                <w:sz w:val="18"/>
                <w:szCs w:val="18"/>
              </w:rPr>
              <w:t>内支付给</w:t>
            </w:r>
            <w:r>
              <w:rPr>
                <w:rFonts w:hint="eastAsia" w:ascii="黑体" w:hAnsi="黑体" w:eastAsia="黑体" w:cs="黑体"/>
                <w:kern w:val="0"/>
                <w:sz w:val="18"/>
              </w:rPr>
              <w:t>投资者</w:t>
            </w:r>
            <w:r>
              <w:rPr>
                <w:rFonts w:hint="eastAsia" w:ascii="黑体" w:hAnsi="黑体" w:eastAsia="黑体" w:cs="黑体"/>
                <w:kern w:val="0"/>
                <w:sz w:val="18"/>
                <w:szCs w:val="18"/>
              </w:rPr>
              <w:t>。</w:t>
            </w:r>
          </w:p>
          <w:p>
            <w:pPr>
              <w:spacing w:line="360" w:lineRule="auto"/>
              <w:rPr>
                <w:rFonts w:asciiTheme="minorEastAsia" w:hAnsiTheme="minorEastAsia"/>
                <w:sz w:val="18"/>
                <w:szCs w:val="18"/>
              </w:rPr>
            </w:pPr>
            <w:r>
              <w:rPr>
                <w:rFonts w:asciiTheme="majorEastAsia" w:hAnsiTheme="majorEastAsia" w:eastAsiaTheme="majorEastAsia"/>
                <w:bCs/>
                <w:color w:val="000000" w:themeColor="text1"/>
                <w:sz w:val="18"/>
                <w:szCs w:val="18"/>
                <w14:textFill>
                  <w14:solidFill>
                    <w14:schemeClr w14:val="tx1"/>
                  </w14:solidFill>
                </w14:textFill>
              </w:rPr>
              <w:t>4.申购/</w:t>
            </w:r>
            <w:r>
              <w:rPr>
                <w:rFonts w:hint="eastAsia" w:asciiTheme="majorEastAsia" w:hAnsiTheme="majorEastAsia" w:eastAsiaTheme="majorEastAsia"/>
                <w:bCs/>
                <w:color w:val="000000" w:themeColor="text1"/>
                <w:sz w:val="18"/>
                <w:szCs w:val="18"/>
                <w14:textFill>
                  <w14:solidFill>
                    <w14:schemeClr w14:val="tx1"/>
                  </w14:solidFill>
                </w14:textFill>
              </w:rPr>
              <w:t>赎回申请时间如遇非工作日，则产品管理人做相应调整。</w:t>
            </w:r>
          </w:p>
          <w:p>
            <w:pPr>
              <w:spacing w:line="360" w:lineRule="auto"/>
              <w:rPr>
                <w:rFonts w:ascii="黑体" w:hAnsi="黑体" w:eastAsia="黑体"/>
                <w:bCs/>
                <w:sz w:val="18"/>
                <w:szCs w:val="18"/>
              </w:rPr>
            </w:pPr>
            <w:r>
              <w:rPr>
                <w:rFonts w:hint="eastAsia" w:ascii="黑体" w:hAnsi="黑体" w:eastAsia="黑体"/>
                <w:bCs/>
                <w:sz w:val="18"/>
                <w:szCs w:val="18"/>
              </w:rPr>
              <w:t>注：关于代理销售机构的实际工作服务时段的提示</w:t>
            </w:r>
          </w:p>
          <w:p>
            <w:pPr>
              <w:spacing w:line="360" w:lineRule="auto"/>
              <w:rPr>
                <w:rFonts w:ascii="黑体" w:hAnsi="黑体" w:eastAsia="黑体"/>
                <w:bCs/>
                <w:sz w:val="18"/>
                <w:szCs w:val="18"/>
              </w:rPr>
            </w:pPr>
            <w:r>
              <w:rPr>
                <w:rFonts w:hint="eastAsia" w:ascii="黑体" w:hAnsi="黑体" w:eastAsia="黑体"/>
                <w:bCs/>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cs="仿宋_GB2312" w:asciiTheme="majorEastAsia" w:hAnsiTheme="majorEastAsia" w:eastAsiaTheme="majorEastAsia"/>
                <w:color w:val="000000" w:themeColor="text1"/>
                <w:kern w:val="0"/>
                <w:sz w:val="18"/>
                <w:szCs w:val="18"/>
                <w14:textFill>
                  <w14:solidFill>
                    <w14:schemeClr w14:val="tx1"/>
                  </w14:solidFill>
                </w14:textFill>
              </w:rPr>
            </w:pPr>
            <w:r>
              <w:rPr>
                <w:rFonts w:hint="eastAsia" w:ascii="黑体" w:hAnsi="黑体" w:eastAsia="黑体"/>
                <w:bCs/>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99" w:type="dxa"/>
            <w:shd w:val="solid" w:color="FFFFFF" w:fill="FFFFFF"/>
            <w:vAlign w:val="center"/>
          </w:tcPr>
          <w:p>
            <w:pPr>
              <w:spacing w:line="360" w:lineRule="auto"/>
              <w:rPr>
                <w:rFonts w:hint="eastAsia" w:asciiTheme="majorEastAsia" w:hAnsiTheme="majorEastAsia" w:eastAsiaTheme="majorEastAsia"/>
                <w:bCs/>
                <w:sz w:val="18"/>
                <w:szCs w:val="18"/>
                <w:lang w:eastAsia="zh-CN"/>
              </w:rPr>
            </w:pPr>
            <w:r>
              <w:rPr>
                <w:rFonts w:hint="eastAsia" w:asciiTheme="majorEastAsia" w:hAnsiTheme="majorEastAsia" w:eastAsiaTheme="majorEastAsia"/>
                <w:sz w:val="18"/>
                <w:szCs w:val="18"/>
              </w:rPr>
              <w:t>每笔</w:t>
            </w:r>
            <w:r>
              <w:rPr>
                <w:rFonts w:hint="eastAsia" w:asciiTheme="majorEastAsia" w:hAnsiTheme="majorEastAsia" w:eastAsiaTheme="majorEastAsia"/>
                <w:bCs/>
                <w:sz w:val="18"/>
                <w:szCs w:val="18"/>
              </w:rPr>
              <w:t>购买起点金额为【</w:t>
            </w:r>
            <w:r>
              <w:rPr>
                <w:rFonts w:hint="eastAsia" w:asciiTheme="majorEastAsia" w:hAnsiTheme="majorEastAsia" w:eastAsiaTheme="majorEastAsia"/>
                <w:bCs/>
                <w:sz w:val="18"/>
                <w:szCs w:val="18"/>
                <w:lang w:val="en-US" w:eastAsia="zh-CN"/>
              </w:rPr>
              <w:t>0.01</w:t>
            </w:r>
            <w:r>
              <w:rPr>
                <w:rFonts w:hint="eastAsia" w:asciiTheme="majorEastAsia" w:hAnsiTheme="majorEastAsia" w:eastAsiaTheme="majorEastAsia"/>
                <w:bCs/>
                <w:sz w:val="18"/>
                <w:szCs w:val="18"/>
              </w:rPr>
              <w:t>】元；超出起点金额的部分以【</w:t>
            </w:r>
            <w:r>
              <w:rPr>
                <w:rFonts w:hint="eastAsia" w:asciiTheme="majorEastAsia" w:hAnsiTheme="majorEastAsia" w:eastAsiaTheme="majorEastAsia"/>
                <w:bCs/>
                <w:sz w:val="18"/>
                <w:szCs w:val="18"/>
                <w:lang w:val="en-US" w:eastAsia="zh-CN"/>
              </w:rPr>
              <w:t>0.01</w:t>
            </w:r>
            <w:r>
              <w:rPr>
                <w:rFonts w:hint="eastAsia" w:asciiTheme="majorEastAsia" w:hAnsiTheme="majorEastAsia" w:eastAsiaTheme="majorEastAsia"/>
                <w:bCs/>
                <w:sz w:val="18"/>
                <w:szCs w:val="18"/>
              </w:rPr>
              <w:t>】元的整数倍递增。</w:t>
            </w:r>
            <w:r>
              <w:rPr>
                <w:rFonts w:hint="eastAsia" w:asciiTheme="majorEastAsia" w:hAnsiTheme="majorEastAsia" w:eastAsiaTheme="majorEastAsia"/>
                <w:bCs/>
                <w:color w:val="000000" w:themeColor="text1"/>
                <w:sz w:val="18"/>
                <w:szCs w:val="18"/>
                <w:lang w:eastAsia="zh-CN"/>
                <w14:textFill>
                  <w14:solidFill>
                    <w14:schemeClr w14:val="tx1"/>
                  </w14:solidFill>
                </w14:textFill>
              </w:rPr>
              <w:t>（适用【F】类份额）</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注</w:t>
            </w:r>
            <w:r>
              <w:rPr>
                <w:rFonts w:ascii="黑体" w:hAnsi="黑体" w:eastAsia="黑体"/>
                <w:bCs/>
                <w:color w:val="000000" w:themeColor="text1"/>
                <w:sz w:val="18"/>
                <w:szCs w:val="18"/>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关于代理销售机构的实际销售</w:t>
            </w:r>
            <w:r>
              <w:rPr>
                <w:rFonts w:ascii="黑体" w:hAnsi="黑体" w:eastAsia="黑体"/>
                <w:bCs/>
                <w:color w:val="000000" w:themeColor="text1"/>
                <w:sz w:val="18"/>
                <w:szCs w:val="18"/>
                <w14:textFill>
                  <w14:solidFill>
                    <w14:schemeClr w14:val="tx1"/>
                  </w14:solidFill>
                </w14:textFill>
              </w:rPr>
              <w:t>起点金额</w:t>
            </w:r>
            <w:r>
              <w:rPr>
                <w:rFonts w:hint="eastAsia" w:ascii="黑体" w:hAnsi="黑体" w:eastAsia="黑体"/>
                <w:bCs/>
                <w:color w:val="000000" w:themeColor="text1"/>
                <w:sz w:val="18"/>
                <w:szCs w:val="18"/>
                <w14:textFill>
                  <w14:solidFill>
                    <w14:schemeClr w14:val="tx1"/>
                  </w14:solidFill>
                </w14:textFill>
              </w:rPr>
              <w:t>的提示</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bCs/>
                <w:color w:val="000000" w:themeColor="text1"/>
                <w:sz w:val="18"/>
                <w:szCs w:val="18"/>
                <w14:textFill>
                  <w14:solidFill>
                    <w14:schemeClr w14:val="tx1"/>
                  </w14:solidFill>
                </w14:textFill>
              </w:rPr>
              <w:t>以</w:t>
            </w:r>
            <w:r>
              <w:rPr>
                <w:rFonts w:hint="eastAsia" w:ascii="黑体" w:hAnsi="黑体" w:eastAsia="黑体"/>
                <w:bCs/>
                <w:color w:val="000000" w:themeColor="text1"/>
                <w:sz w:val="18"/>
                <w:szCs w:val="18"/>
                <w14:textFill>
                  <w14:solidFill>
                    <w14:schemeClr w14:val="tx1"/>
                  </w14:solidFill>
                </w14:textFill>
              </w:rPr>
              <w:t>代理销售机构展示</w:t>
            </w:r>
            <w:r>
              <w:rPr>
                <w:rFonts w:ascii="黑体" w:hAnsi="黑体" w:eastAsia="黑体"/>
                <w:bCs/>
                <w:color w:val="000000" w:themeColor="text1"/>
                <w:sz w:val="18"/>
                <w:szCs w:val="18"/>
                <w14:textFill>
                  <w14:solidFill>
                    <w14:schemeClr w14:val="tx1"/>
                  </w14:solidFill>
                </w14:textFill>
              </w:rPr>
              <w:t>为准</w:t>
            </w:r>
            <w:r>
              <w:rPr>
                <w:rFonts w:hint="eastAsia" w:ascii="黑体" w:hAnsi="黑体" w:eastAsia="黑体"/>
                <w:bCs/>
                <w:color w:val="000000" w:themeColor="text1"/>
                <w:sz w:val="18"/>
                <w:szCs w:val="18"/>
                <w14:textFill>
                  <w14:solidFill>
                    <w14:schemeClr w14:val="tx1"/>
                  </w14:solidFill>
                </w14:textFill>
              </w:rPr>
              <w:t>。</w:t>
            </w:r>
          </w:p>
          <w:p>
            <w:pPr>
              <w:spacing w:line="360" w:lineRule="auto"/>
              <w:jc w:val="left"/>
              <w:rPr>
                <w:rFonts w:cs="Times New Roman" w:asciiTheme="minorEastAsia" w:hAnsiTheme="minorEastAsia"/>
                <w:sz w:val="18"/>
                <w:szCs w:val="18"/>
              </w:rPr>
            </w:pPr>
            <w:r>
              <w:rPr>
                <w:rFonts w:hint="eastAsia" w:ascii="黑体" w:hAnsi="黑体" w:eastAsia="黑体"/>
                <w:bCs/>
                <w:color w:val="000000" w:themeColor="text1"/>
                <w:sz w:val="18"/>
                <w:szCs w:val="18"/>
                <w14:textFill>
                  <w14:solidFill>
                    <w14:schemeClr w14:val="tx1"/>
                  </w14:solidFill>
                </w14:textFill>
              </w:rPr>
              <w:t>②代理销售机构的实际销售起点金额，</w:t>
            </w:r>
            <w:r>
              <w:rPr>
                <w:rFonts w:ascii="黑体" w:hAnsi="黑体" w:eastAsia="黑体"/>
                <w:bCs/>
                <w:color w:val="000000" w:themeColor="text1"/>
                <w:sz w:val="18"/>
                <w:szCs w:val="18"/>
                <w14:textFill>
                  <w14:solidFill>
                    <w14:schemeClr w14:val="tx1"/>
                  </w14:solidFill>
                </w14:textFill>
              </w:rPr>
              <w:t>不得低于</w:t>
            </w:r>
            <w:r>
              <w:rPr>
                <w:rFonts w:hint="eastAsia" w:ascii="黑体" w:hAnsi="黑体" w:eastAsia="黑体"/>
                <w:bCs/>
                <w:color w:val="000000" w:themeColor="text1"/>
                <w:sz w:val="18"/>
                <w:szCs w:val="18"/>
                <w14:textFill>
                  <w14:solidFill>
                    <w14:schemeClr w14:val="tx1"/>
                  </w14:solidFill>
                </w14:textFill>
              </w:rPr>
              <w:t>销售</w:t>
            </w:r>
            <w:r>
              <w:rPr>
                <w:rFonts w:ascii="黑体" w:hAnsi="黑体" w:eastAsia="黑体"/>
                <w:bCs/>
                <w:color w:val="000000" w:themeColor="text1"/>
                <w:sz w:val="18"/>
                <w:szCs w:val="18"/>
                <w14:textFill>
                  <w14:solidFill>
                    <w14:schemeClr w14:val="tx1"/>
                  </w14:solidFill>
                </w14:textFill>
              </w:rPr>
              <w:t>文件约定的</w:t>
            </w:r>
            <w:r>
              <w:rPr>
                <w:rFonts w:hint="eastAsia" w:ascii="黑体" w:hAnsi="黑体" w:eastAsia="黑体"/>
                <w:bCs/>
                <w:color w:val="000000" w:themeColor="text1"/>
                <w:sz w:val="18"/>
                <w:szCs w:val="18"/>
                <w14:textFill>
                  <w14:solidFill>
                    <w14:schemeClr w14:val="tx1"/>
                  </w14:solidFill>
                </w14:textFill>
              </w:rPr>
              <w:t>销售</w:t>
            </w:r>
            <w:r>
              <w:rPr>
                <w:rFonts w:ascii="黑体" w:hAnsi="黑体" w:eastAsia="黑体"/>
                <w:bCs/>
                <w:color w:val="000000" w:themeColor="text1"/>
                <w:sz w:val="18"/>
                <w:szCs w:val="18"/>
                <w14:textFill>
                  <w14:solidFill>
                    <w14:schemeClr w14:val="tx1"/>
                  </w14:solidFill>
                </w14:textFill>
              </w:rPr>
              <w:t>起点金额</w:t>
            </w:r>
            <w:r>
              <w:rPr>
                <w:rFonts w:hint="eastAsia" w:ascii="黑体" w:hAnsi="黑体" w:eastAsia="黑体"/>
                <w:bCs/>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b/>
                <w:sz w:val="18"/>
                <w:szCs w:val="18"/>
              </w:rPr>
              <w:t>★认购、申购与赎回的数量限制</w:t>
            </w:r>
          </w:p>
        </w:tc>
        <w:tc>
          <w:tcPr>
            <w:tcW w:w="7699" w:type="dxa"/>
            <w:shd w:val="solid" w:color="FFFFFF" w:fill="FFFFFF"/>
            <w:vAlign w:val="center"/>
          </w:tcPr>
          <w:p>
            <w:pPr>
              <w:pStyle w:val="34"/>
              <w:spacing w:line="360" w:lineRule="auto"/>
              <w:rPr>
                <w:rFonts w:hint="eastAsia" w:hAnsi="宋体" w:eastAsia="宋体"/>
                <w:bCs/>
                <w:sz w:val="18"/>
                <w:szCs w:val="18"/>
                <w:lang w:eastAsia="zh-CN"/>
              </w:rPr>
            </w:pPr>
            <w:r>
              <w:rPr>
                <w:rFonts w:hint="eastAsia" w:hAnsi="宋体"/>
                <w:bCs/>
                <w:sz w:val="18"/>
                <w:szCs w:val="18"/>
                <w:lang w:eastAsia="zh-CN"/>
              </w:rPr>
              <w:t>（适用【F】类份额）</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1.认购的数量限制</w:t>
            </w:r>
          </w:p>
          <w:p>
            <w:pPr>
              <w:pStyle w:val="34"/>
              <w:spacing w:line="360" w:lineRule="auto"/>
              <w:rPr>
                <w:rFonts w:hAnsi="宋体"/>
                <w:bCs/>
                <w:sz w:val="18"/>
                <w:szCs w:val="18"/>
              </w:rPr>
            </w:pPr>
            <w:r>
              <w:rPr>
                <w:rFonts w:hint="eastAsia" w:asciiTheme="minorEastAsia" w:hAnsiTheme="minorEastAsia" w:eastAsiaTheme="minorEastAsia"/>
                <w:color w:val="auto"/>
                <w:sz w:val="18"/>
                <w:szCs w:val="18"/>
              </w:rPr>
              <w:t>单一投资者认购上限为【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】。如需突破上限，请与产品管理人或销售机构客户经理联系。</w:t>
            </w:r>
          </w:p>
          <w:p>
            <w:pPr>
              <w:pStyle w:val="34"/>
              <w:spacing w:line="360" w:lineRule="auto"/>
              <w:rPr>
                <w:rFonts w:asciiTheme="minorEastAsia" w:hAnsiTheme="minorEastAsia" w:eastAsiaTheme="minorEastAsia"/>
                <w:color w:val="auto"/>
                <w:sz w:val="18"/>
                <w:szCs w:val="18"/>
              </w:rPr>
            </w:pPr>
            <w:r>
              <w:rPr>
                <w:rFonts w:hint="eastAsia" w:hAnsi="宋体"/>
                <w:bCs/>
                <w:sz w:val="18"/>
                <w:szCs w:val="18"/>
              </w:rPr>
              <w:t>2.</w:t>
            </w:r>
            <w:r>
              <w:rPr>
                <w:rFonts w:hint="eastAsia" w:asciiTheme="minorEastAsia" w:hAnsiTheme="minorEastAsia" w:eastAsiaTheme="minorEastAsia"/>
                <w:color w:val="auto"/>
                <w:sz w:val="18"/>
                <w:szCs w:val="18"/>
              </w:rPr>
              <w:t>申购的数量限制</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（1）单一投资者申购上限为【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lang w:val="en-US" w:eastAsia="zh-CN"/>
              </w:rPr>
              <w:t>元</w:t>
            </w:r>
            <w:r>
              <w:rPr>
                <w:rFonts w:hint="eastAsia" w:asciiTheme="minorEastAsia" w:hAnsiTheme="minorEastAsia" w:eastAsiaTheme="minorEastAsia"/>
                <w:color w:val="auto"/>
                <w:sz w:val="18"/>
                <w:szCs w:val="18"/>
              </w:rPr>
              <w:t>。</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（2）产品</w:t>
            </w:r>
            <w:r>
              <w:rPr>
                <w:rFonts w:asciiTheme="minorEastAsia" w:hAnsiTheme="minorEastAsia" w:eastAsiaTheme="minorEastAsia"/>
                <w:color w:val="auto"/>
                <w:sz w:val="18"/>
                <w:szCs w:val="18"/>
              </w:rPr>
              <w:t>存续期间，</w:t>
            </w:r>
            <w:r>
              <w:rPr>
                <w:rFonts w:hint="eastAsia" w:asciiTheme="minorEastAsia" w:hAnsiTheme="minorEastAsia" w:eastAsiaTheme="minorEastAsia"/>
                <w:color w:val="auto"/>
                <w:sz w:val="18"/>
                <w:szCs w:val="18"/>
              </w:rPr>
              <w:t>单一投资者</w:t>
            </w:r>
            <w:r>
              <w:rPr>
                <w:rFonts w:asciiTheme="minorEastAsia" w:hAnsiTheme="minorEastAsia" w:eastAsiaTheme="minorEastAsia"/>
                <w:color w:val="auto"/>
                <w:sz w:val="18"/>
                <w:szCs w:val="18"/>
              </w:rPr>
              <w:t>最高</w:t>
            </w:r>
            <w:r>
              <w:rPr>
                <w:rFonts w:hint="eastAsia" w:asciiTheme="minorEastAsia" w:hAnsiTheme="minorEastAsia" w:eastAsiaTheme="minorEastAsia"/>
                <w:color w:val="auto"/>
                <w:sz w:val="18"/>
                <w:szCs w:val="18"/>
              </w:rPr>
              <w:t>持有</w:t>
            </w:r>
            <w:r>
              <w:rPr>
                <w:rFonts w:asciiTheme="minorEastAsia" w:hAnsiTheme="minorEastAsia" w:eastAsiaTheme="minorEastAsia"/>
                <w:color w:val="auto"/>
                <w:sz w:val="18"/>
                <w:szCs w:val="18"/>
              </w:rPr>
              <w:t>份额上限为</w:t>
            </w:r>
            <w:r>
              <w:rPr>
                <w:rFonts w:hint="eastAsia"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】份，符合产品管理人流动性管理的稳定资金除外。</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3.赎回的数量限制</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（1）单一投资者赎回上限为【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投资者可全部或部分赎回其理财份额，但是部分赎回后单一投资者持有产品份额不得低于【】份。受理财利益分配去尾规则的影响，投资者持有产品份额较低时可能无法取得利益。巨额赎回情景发生时，投资者的可赎回份额需要根据巨额赎回规则确定。</w:t>
            </w:r>
          </w:p>
          <w:p>
            <w:pPr>
              <w:pStyle w:val="34"/>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注</w:t>
            </w:r>
            <w:r>
              <w:rPr>
                <w:rFonts w:ascii="黑体" w:hAnsi="黑体" w:eastAsia="黑体"/>
                <w:bCs/>
                <w:color w:val="000000" w:themeColor="text1"/>
                <w:sz w:val="18"/>
                <w:szCs w:val="18"/>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本产品单一投资者持有份额不得超过产品总份额</w:t>
            </w:r>
            <w:r>
              <w:rPr>
                <w:rFonts w:ascii="黑体" w:hAnsi="黑体" w:eastAsia="黑体"/>
                <w:bCs/>
                <w:color w:val="000000" w:themeColor="text1"/>
                <w:sz w:val="18"/>
                <w:szCs w:val="18"/>
                <w14:textFill>
                  <w14:solidFill>
                    <w14:schemeClr w14:val="tx1"/>
                  </w14:solidFill>
                </w14:textFill>
              </w:rPr>
              <w:t>50%。</w:t>
            </w:r>
          </w:p>
          <w:p>
            <w:pPr>
              <w:pStyle w:val="34"/>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1）投资者认购或申购确认后可能导致其持有份额超过产品总份额50%的，管理人有权拒绝或暂停认购、申购。</w:t>
            </w:r>
          </w:p>
          <w:p>
            <w:pPr>
              <w:spacing w:line="360" w:lineRule="auto"/>
              <w:rPr>
                <w:rFonts w:asciiTheme="minorEastAsia" w:hAnsiTheme="minorEastAsia" w:eastAsiaTheme="minorEastAsia"/>
                <w:sz w:val="18"/>
                <w:szCs w:val="18"/>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hAnsi="宋体"/>
                <w:b/>
                <w:sz w:val="18"/>
                <w:szCs w:val="18"/>
              </w:rPr>
            </w:pPr>
            <w:r>
              <w:rPr>
                <w:rFonts w:hint="eastAsia"/>
                <w:sz w:val="18"/>
                <w:szCs w:val="18"/>
              </w:rPr>
              <w:t>★</w:t>
            </w:r>
            <w:r>
              <w:rPr>
                <w:rFonts w:hint="eastAsia" w:hAnsi="宋体"/>
                <w:b/>
                <w:sz w:val="18"/>
                <w:szCs w:val="18"/>
              </w:rPr>
              <w:t>巨额赎回的认定</w:t>
            </w:r>
          </w:p>
        </w:tc>
        <w:tc>
          <w:tcPr>
            <w:tcW w:w="7699" w:type="dxa"/>
            <w:shd w:val="solid" w:color="FFFFFF" w:fill="FFFFFF"/>
          </w:tcPr>
          <w:p>
            <w:pPr>
              <w:pStyle w:val="34"/>
              <w:spacing w:line="360" w:lineRule="auto"/>
              <w:rPr>
                <w:rFonts w:asciiTheme="minorEastAsia" w:hAnsiTheme="minorEastAsia" w:eastAsiaTheme="minorEastAsia"/>
                <w:color w:val="auto"/>
                <w:kern w:val="2"/>
                <w:sz w:val="18"/>
                <w:szCs w:val="18"/>
              </w:rPr>
            </w:pPr>
            <w:r>
              <w:rPr>
                <w:rFonts w:hint="eastAsia" w:asciiTheme="minorEastAsia" w:hAnsiTheme="minorEastAsia"/>
                <w:bCs/>
                <w:sz w:val="18"/>
                <w:szCs w:val="18"/>
              </w:rPr>
              <w:t>单个开放日中</w:t>
            </w:r>
            <w:r>
              <w:rPr>
                <w:rFonts w:hint="eastAsia" w:asciiTheme="majorEastAsia" w:hAnsiTheme="majorEastAsia" w:eastAsiaTheme="majorEastAsia"/>
                <w:bCs/>
                <w:sz w:val="18"/>
                <w:szCs w:val="18"/>
              </w:rPr>
              <w:t>，本产品的累计产品份额净赎回申请（赎回申请总份额扣除申购总份额后的余额</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下同）之和达到上一日产品总份额的1</w:t>
            </w:r>
            <w:r>
              <w:rPr>
                <w:rFonts w:asciiTheme="majorEastAsia" w:hAnsiTheme="majorEastAsia" w:eastAsiaTheme="majorEastAsia"/>
                <w:bCs/>
                <w:sz w:val="18"/>
                <w:szCs w:val="18"/>
              </w:rPr>
              <w:t>0%</w:t>
            </w:r>
            <w:r>
              <w:rPr>
                <w:rFonts w:hint="eastAsia" w:asciiTheme="majorEastAsia" w:hAnsiTheme="majorEastAsia" w:eastAsiaTheme="majorEastAsia"/>
                <w:bCs/>
                <w:sz w:val="18"/>
                <w:szCs w:val="18"/>
              </w:rPr>
              <w:t>，为巨额赎回。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99" w:type="dxa"/>
            <w:shd w:val="solid" w:color="FFFFFF" w:fill="FFFFFF"/>
            <w:vAlign w:val="center"/>
          </w:tcPr>
          <w:p>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asciiTheme="minorEastAsia" w:hAnsiTheme="minorEastAsia"/>
                <w:sz w:val="18"/>
                <w:szCs w:val="18"/>
              </w:rPr>
              <w:t>.</w:t>
            </w:r>
            <w:r>
              <w:rPr>
                <w:rFonts w:hint="eastAsia" w:asciiTheme="minorEastAsia" w:hAnsiTheme="minorEastAsia"/>
                <w:bCs/>
                <w:sz w:val="18"/>
                <w:szCs w:val="18"/>
              </w:rPr>
              <w:t>理财产品份额净值</w:t>
            </w:r>
            <w:r>
              <w:rPr>
                <w:rFonts w:asciiTheme="minorEastAsia" w:hAnsiTheme="minorEastAsia"/>
                <w:bCs/>
                <w:sz w:val="18"/>
                <w:szCs w:val="18"/>
              </w:rPr>
              <w:t>为提取</w:t>
            </w:r>
            <w:r>
              <w:rPr>
                <w:rFonts w:hint="eastAsia" w:asciiTheme="minorEastAsia" w:hAnsiTheme="minorEastAsia"/>
                <w:bCs/>
                <w:sz w:val="18"/>
                <w:szCs w:val="18"/>
              </w:rPr>
              <w:t>理财产品</w:t>
            </w:r>
            <w:r>
              <w:rPr>
                <w:rFonts w:asciiTheme="minorEastAsia" w:hAnsiTheme="minorEastAsia"/>
                <w:bCs/>
                <w:sz w:val="18"/>
                <w:szCs w:val="18"/>
              </w:rPr>
              <w:t>费用后的理财产品份额净值，</w:t>
            </w:r>
            <w:r>
              <w:rPr>
                <w:rFonts w:hint="eastAsia" w:asciiTheme="minorEastAsia" w:hAnsiTheme="minorEastAsia"/>
                <w:bCs/>
                <w:sz w:val="18"/>
                <w:szCs w:val="18"/>
              </w:rPr>
              <w:t>投资者</w:t>
            </w:r>
            <w:r>
              <w:rPr>
                <w:rFonts w:asciiTheme="minorEastAsia" w:hAnsiTheme="minorEastAsia"/>
                <w:bCs/>
                <w:sz w:val="18"/>
                <w:szCs w:val="18"/>
              </w:rPr>
              <w:t>按该</w:t>
            </w:r>
            <w:r>
              <w:rPr>
                <w:rFonts w:hint="eastAsia" w:asciiTheme="minorEastAsia" w:hAnsiTheme="minorEastAsia"/>
                <w:bCs/>
                <w:sz w:val="18"/>
                <w:szCs w:val="18"/>
              </w:rPr>
              <w:t>理财产品份额净值</w:t>
            </w:r>
            <w:r>
              <w:rPr>
                <w:rFonts w:asciiTheme="minorEastAsia" w:hAnsiTheme="minorEastAsia"/>
                <w:bCs/>
                <w:sz w:val="18"/>
                <w:szCs w:val="18"/>
              </w:rPr>
              <w:t>进行赎回和提前终止分配。</w:t>
            </w:r>
          </w:p>
          <w:p>
            <w:pPr>
              <w:spacing w:line="360" w:lineRule="auto"/>
              <w:jc w:val="left"/>
              <w:rPr>
                <w:rFonts w:cs="Times New Roman" w:asciiTheme="minorEastAsia" w:hAnsiTheme="minorEastAsia"/>
                <w:sz w:val="18"/>
                <w:szCs w:val="18"/>
              </w:rPr>
            </w:pPr>
            <w:r>
              <w:rPr>
                <w:rFonts w:asciiTheme="minorEastAsia" w:hAnsiTheme="minorEastAsia"/>
                <w:bCs/>
                <w:sz w:val="18"/>
                <w:szCs w:val="18"/>
              </w:rPr>
              <w:t>2</w:t>
            </w:r>
            <w:r>
              <w:rPr>
                <w:rFonts w:asciiTheme="minorEastAsia" w:hAnsiTheme="minorEastAsia"/>
                <w:sz w:val="18"/>
                <w:szCs w:val="18"/>
              </w:rPr>
              <w:t>.</w:t>
            </w:r>
            <w:r>
              <w:rPr>
                <w:rFonts w:asciiTheme="minorEastAsia" w:hAnsiTheme="minorEastAsia"/>
                <w:bCs/>
                <w:sz w:val="18"/>
                <w:szCs w:val="18"/>
              </w:rPr>
              <w:t>本产品采用1.00</w:t>
            </w:r>
            <w:r>
              <w:rPr>
                <w:rFonts w:hint="eastAsia" w:asciiTheme="minorEastAsia" w:hAnsiTheme="minorEastAsia"/>
                <w:bCs/>
                <w:sz w:val="18"/>
                <w:szCs w:val="18"/>
              </w:rPr>
              <w:t>元固定理财产品份额净值交易方式，自产品成立日起每日将实现的产品净收益以分红形式（或净损失）分配给理财产品投资者，并将该部分收益以份额形式按日结转到投资者理财账户，参与下一日产品收益分配，使理财产品份额净值始终保持</w:t>
            </w:r>
            <w:r>
              <w:rPr>
                <w:rFonts w:asciiTheme="minorEastAsia" w:hAnsiTheme="minorEastAsia"/>
                <w:bCs/>
                <w:sz w:val="18"/>
                <w:szCs w:val="18"/>
              </w:rPr>
              <w:t>1.00</w:t>
            </w:r>
            <w:r>
              <w:rPr>
                <w:rFonts w:hint="eastAsia" w:asciiTheme="minorEastAsia" w:hAnsiTheme="minorEastAsia"/>
                <w:bCs/>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宋体" w:hAnsi="宋体"/>
                <w:b/>
                <w:bCs/>
                <w:kern w:val="0"/>
                <w:sz w:val="18"/>
                <w:szCs w:val="18"/>
              </w:rPr>
            </w:pPr>
            <w:r>
              <w:rPr>
                <w:rFonts w:hint="eastAsia" w:hAnsi="宋体"/>
                <w:sz w:val="18"/>
                <w:szCs w:val="18"/>
              </w:rPr>
              <w:t>★</w:t>
            </w:r>
            <w:r>
              <w:rPr>
                <w:rFonts w:hint="eastAsia" w:asciiTheme="minorEastAsia" w:hAnsiTheme="minorEastAsia"/>
                <w:b/>
                <w:sz w:val="18"/>
                <w:szCs w:val="18"/>
              </w:rPr>
              <w:t>每万份理财产品收益</w:t>
            </w:r>
          </w:p>
        </w:tc>
        <w:tc>
          <w:tcPr>
            <w:tcW w:w="7699" w:type="dxa"/>
            <w:shd w:val="solid" w:color="FFFFFF" w:fill="FFFFFF"/>
          </w:tcPr>
          <w:p>
            <w:pPr>
              <w:autoSpaceDE w:val="0"/>
              <w:autoSpaceDN w:val="0"/>
              <w:adjustRightInd w:val="0"/>
              <w:spacing w:line="360" w:lineRule="auto"/>
              <w:jc w:val="left"/>
              <w:rPr>
                <w:rFonts w:asciiTheme="minorEastAsia" w:hAnsiTheme="minorEastAsia"/>
                <w:sz w:val="18"/>
                <w:szCs w:val="18"/>
              </w:rPr>
            </w:pPr>
            <w:r>
              <w:rPr>
                <w:rFonts w:asciiTheme="minorEastAsia" w:hAnsiTheme="minorEastAsia"/>
                <w:sz w:val="18"/>
                <w:szCs w:val="18"/>
              </w:rPr>
              <w:t>1.每万份理财产品收益</w:t>
            </w:r>
            <w:r>
              <w:rPr>
                <w:rFonts w:hint="eastAsia" w:asciiTheme="minorEastAsia" w:hAnsiTheme="minorEastAsia"/>
                <w:bCs/>
                <w:sz w:val="18"/>
                <w:szCs w:val="18"/>
              </w:rPr>
              <w:t>＝</w:t>
            </w:r>
            <w:r>
              <w:rPr>
                <w:rFonts w:hint="eastAsia" w:asciiTheme="minorEastAsia" w:hAnsiTheme="minorEastAsia"/>
                <w:sz w:val="18"/>
                <w:szCs w:val="18"/>
              </w:rPr>
              <w:t>当日理财产品收益÷当日理财产品份额×</w:t>
            </w:r>
            <w:r>
              <w:rPr>
                <w:rFonts w:asciiTheme="minorEastAsia" w:hAnsiTheme="minorEastAsia"/>
                <w:sz w:val="18"/>
                <w:szCs w:val="18"/>
              </w:rPr>
              <w:t>10000</w:t>
            </w:r>
            <w:r>
              <w:rPr>
                <w:rFonts w:hint="eastAsia" w:asciiTheme="minorEastAsia" w:hAnsiTheme="minorEastAsia"/>
                <w:sz w:val="18"/>
                <w:szCs w:val="18"/>
              </w:rPr>
              <w:t>。</w:t>
            </w:r>
          </w:p>
          <w:p>
            <w:pPr>
              <w:spacing w:line="360" w:lineRule="auto"/>
              <w:jc w:val="left"/>
              <w:rPr>
                <w:rFonts w:asciiTheme="majorEastAsia" w:hAnsiTheme="majorEastAsia" w:eastAsiaTheme="majorEastAsia"/>
                <w:bCs/>
                <w:sz w:val="18"/>
                <w:szCs w:val="18"/>
              </w:rPr>
            </w:pPr>
            <w:r>
              <w:rPr>
                <w:rFonts w:asciiTheme="minorEastAsia" w:hAnsiTheme="minorEastAsia"/>
                <w:sz w:val="18"/>
                <w:szCs w:val="18"/>
              </w:rPr>
              <w:t>2.</w:t>
            </w:r>
            <w:r>
              <w:rPr>
                <w:rFonts w:hint="eastAsia" w:asciiTheme="minorEastAsia" w:hAnsiTheme="minorEastAsia"/>
                <w:kern w:val="0"/>
                <w:sz w:val="18"/>
                <w:szCs w:val="18"/>
              </w:rPr>
              <w:t>每万份理财产品收益是</w:t>
            </w:r>
            <w:r>
              <w:rPr>
                <w:rFonts w:hint="eastAsia" w:asciiTheme="minorEastAsia" w:hAnsiTheme="minorEastAsia"/>
                <w:sz w:val="18"/>
                <w:szCs w:val="18"/>
              </w:rPr>
              <w:t>每万份理财份额的日</w:t>
            </w:r>
            <w:r>
              <w:rPr>
                <w:rFonts w:asciiTheme="minorEastAsia" w:hAnsiTheme="minorEastAsia"/>
                <w:sz w:val="18"/>
                <w:szCs w:val="18"/>
              </w:rPr>
              <w:t>净收益</w:t>
            </w:r>
            <w:r>
              <w:rPr>
                <w:rFonts w:hint="eastAsia" w:asciiTheme="minorEastAsia" w:hAnsiTheme="minorEastAsia"/>
                <w:sz w:val="18"/>
                <w:szCs w:val="18"/>
              </w:rPr>
              <w:t>，精确至小数点后第</w:t>
            </w:r>
            <w:r>
              <w:rPr>
                <w:rFonts w:asciiTheme="minorEastAsia" w:hAnsiTheme="minorEastAsia"/>
                <w:sz w:val="18"/>
                <w:szCs w:val="18"/>
              </w:rPr>
              <w:t>4位，小数点后第5</w:t>
            </w:r>
            <w:r>
              <w:rPr>
                <w:rFonts w:hint="eastAsia" w:asciiTheme="minorEastAsia" w:hAnsiTheme="minorEastAsia"/>
                <w:sz w:val="18"/>
                <w:szCs w:val="18"/>
              </w:rPr>
              <w:t>位按去尾原则处理。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宋体" w:hAnsi="宋体"/>
                <w:b/>
                <w:bCs/>
                <w:kern w:val="0"/>
                <w:sz w:val="18"/>
                <w:szCs w:val="18"/>
              </w:rPr>
            </w:pPr>
            <w:r>
              <w:rPr>
                <w:rFonts w:hint="eastAsia" w:hAnsi="宋体"/>
                <w:sz w:val="18"/>
                <w:szCs w:val="18"/>
              </w:rPr>
              <w:t>★</w:t>
            </w:r>
            <w:r>
              <w:rPr>
                <w:rFonts w:asciiTheme="minorEastAsia" w:hAnsiTheme="minorEastAsia"/>
                <w:b/>
                <w:bCs/>
                <w:sz w:val="18"/>
                <w:szCs w:val="18"/>
              </w:rPr>
              <w:t>7日</w:t>
            </w:r>
            <w:r>
              <w:rPr>
                <w:rFonts w:hint="eastAsia" w:asciiTheme="minorEastAsia" w:hAnsiTheme="minorEastAsia"/>
                <w:b/>
                <w:bCs/>
                <w:sz w:val="18"/>
                <w:szCs w:val="18"/>
              </w:rPr>
              <w:t>年化收益率</w:t>
            </w:r>
          </w:p>
        </w:tc>
        <w:tc>
          <w:tcPr>
            <w:tcW w:w="7699" w:type="dxa"/>
            <w:shd w:val="solid" w:color="FFFFFF" w:fill="FFFFFF"/>
          </w:tcPr>
          <w:p>
            <w:pPr>
              <w:autoSpaceDE w:val="0"/>
              <w:autoSpaceDN w:val="0"/>
              <w:adjustRightInd w:val="0"/>
              <w:spacing w:line="360" w:lineRule="auto"/>
              <w:jc w:val="left"/>
              <w:rPr>
                <w:rFonts w:asciiTheme="minorEastAsia" w:hAnsiTheme="minorEastAsia"/>
                <w:sz w:val="18"/>
                <w:szCs w:val="18"/>
              </w:rPr>
            </w:pPr>
            <w:r>
              <w:rPr>
                <w:rFonts w:hint="eastAsia" w:asciiTheme="minorEastAsia" w:hAnsiTheme="minorEastAsia"/>
                <w:sz w:val="18"/>
                <w:szCs w:val="18"/>
              </w:rPr>
              <w:t>指以本产品最近七日（含节假日）收益率所折算的产品年化收益率。产品成立不满七日时以实际日收益率折算年收益率。</w:t>
            </w:r>
          </w:p>
          <w:p>
            <w:pPr>
              <w:adjustRightInd w:val="0"/>
              <w:snapToGrid w:val="0"/>
              <w:spacing w:line="360" w:lineRule="auto"/>
              <w:rPr>
                <w:rFonts w:asciiTheme="minorEastAsia" w:hAnsiTheme="minorEastAsia"/>
                <w:sz w:val="18"/>
                <w:szCs w:val="18"/>
              </w:rPr>
            </w:pPr>
            <w:r>
              <w:rPr>
                <w:rFonts w:asciiTheme="minorEastAsia" w:hAnsiTheme="minorEastAsia"/>
                <w:sz w:val="18"/>
                <w:szCs w:val="18"/>
              </w:rPr>
              <w:t>7日年化收益率</w:t>
            </w:r>
            <w:r>
              <w:rPr>
                <w:rFonts w:hint="eastAsia" w:asciiTheme="minorEastAsia" w:hAnsiTheme="minorEastAsia"/>
                <w:sz w:val="18"/>
                <w:szCs w:val="18"/>
              </w:rPr>
              <w:t>（</w:t>
            </w:r>
            <w:r>
              <w:rPr>
                <w:rFonts w:asciiTheme="minorEastAsia" w:hAnsiTheme="minorEastAsia"/>
                <w:sz w:val="18"/>
                <w:szCs w:val="18"/>
              </w:rPr>
              <w:t>%）</w:t>
            </w:r>
            <w:r>
              <w:rPr>
                <w:rFonts w:hint="eastAsia" w:asciiTheme="minorEastAsia" w:hAnsiTheme="minorEastAsia"/>
                <w:bCs/>
                <w:sz w:val="18"/>
                <w:szCs w:val="18"/>
              </w:rPr>
              <w:t>＝</w:t>
            </w:r>
            <w:r>
              <w:rPr>
                <w:rFonts w:asciiTheme="minorEastAsia" w:hAnsiTheme="minorEastAsia"/>
                <w:sz w:val="18"/>
                <w:szCs w:val="18"/>
              </w:rPr>
              <w:object>
                <v:shape id="_x0000_i1025" o:spt="75" type="#_x0000_t75" style="height:28.7pt;width:122.95pt;" o:ole="t" filled="f" o:preferrelative="t" stroked="f" coordsize="21600,21600">
                  <v:path/>
                  <v:fill on="f" focussize="0,0"/>
                  <v:stroke on="f" joinstyle="miter"/>
                  <v:imagedata r:id="rId8" o:title=""/>
                  <o:lock v:ext="edit" aspectratio="t"/>
                  <w10:wrap type="none"/>
                  <w10:anchorlock/>
                </v:shape>
                <o:OLEObject Type="Embed" ProgID="Equation.DSMT4" ShapeID="_x0000_i1025" DrawAspect="Content" ObjectID="_1468075725" r:id="rId7">
                  <o:LockedField>false</o:LockedField>
                </o:OLEObject>
              </w:object>
            </w:r>
          </w:p>
          <w:p>
            <w:pPr>
              <w:adjustRightInd w:val="0"/>
              <w:snapToGrid w:val="0"/>
              <w:spacing w:line="360" w:lineRule="auto"/>
              <w:rPr>
                <w:rFonts w:asciiTheme="minorEastAsia" w:hAnsiTheme="minorEastAsia"/>
                <w:sz w:val="18"/>
                <w:szCs w:val="18"/>
              </w:rPr>
            </w:pPr>
            <w:r>
              <w:rPr>
                <w:rFonts w:hint="eastAsia" w:asciiTheme="minorEastAsia" w:hAnsiTheme="minorEastAsia"/>
                <w:sz w:val="18"/>
                <w:szCs w:val="18"/>
              </w:rPr>
              <w:t>其中，</w:t>
            </w:r>
            <w:r>
              <w:rPr>
                <w:rFonts w:asciiTheme="minorEastAsia" w:hAnsiTheme="minorEastAsia"/>
                <w:sz w:val="18"/>
                <w:szCs w:val="18"/>
              </w:rPr>
              <w:t>Ri</w:t>
            </w:r>
            <w:r>
              <w:rPr>
                <w:rFonts w:hint="eastAsia" w:asciiTheme="minorEastAsia" w:hAnsiTheme="minorEastAsia"/>
                <w:sz w:val="18"/>
                <w:szCs w:val="18"/>
              </w:rPr>
              <w:t>为最近第</w:t>
            </w:r>
            <w:r>
              <w:rPr>
                <w:rFonts w:asciiTheme="minorEastAsia" w:hAnsiTheme="minorEastAsia"/>
                <w:sz w:val="18"/>
                <w:szCs w:val="18"/>
              </w:rPr>
              <w:t>i</w:t>
            </w:r>
            <w:r>
              <w:rPr>
                <w:rFonts w:hint="eastAsia" w:asciiTheme="minorEastAsia" w:hAnsiTheme="minorEastAsia"/>
                <w:sz w:val="18"/>
                <w:szCs w:val="18"/>
              </w:rPr>
              <w:t>个自然日</w:t>
            </w:r>
            <w:r>
              <w:rPr>
                <w:rFonts w:asciiTheme="minorEastAsia" w:hAnsiTheme="minorEastAsia"/>
                <w:sz w:val="18"/>
                <w:szCs w:val="18"/>
              </w:rPr>
              <w:t>(</w:t>
            </w:r>
            <w:r>
              <w:rPr>
                <w:rFonts w:hint="eastAsia" w:asciiTheme="minorEastAsia" w:hAnsiTheme="minorEastAsia"/>
                <w:sz w:val="18"/>
                <w:szCs w:val="18"/>
              </w:rPr>
              <w:t>包括计算当日</w:t>
            </w:r>
            <w:r>
              <w:rPr>
                <w:rFonts w:asciiTheme="minorEastAsia" w:hAnsiTheme="minorEastAsia"/>
                <w:sz w:val="18"/>
                <w:szCs w:val="18"/>
              </w:rPr>
              <w:t>)</w:t>
            </w:r>
            <w:r>
              <w:rPr>
                <w:rFonts w:hint="eastAsia" w:asciiTheme="minorEastAsia" w:hAnsiTheme="minorEastAsia"/>
                <w:sz w:val="18"/>
                <w:szCs w:val="18"/>
              </w:rPr>
              <w:t>的每万份理财产品收益。</w:t>
            </w:r>
          </w:p>
          <w:p>
            <w:pPr>
              <w:spacing w:line="360" w:lineRule="auto"/>
              <w:jc w:val="left"/>
              <w:rPr>
                <w:rFonts w:asciiTheme="majorEastAsia" w:hAnsiTheme="majorEastAsia" w:eastAsiaTheme="majorEastAsia"/>
                <w:bCs/>
                <w:sz w:val="18"/>
                <w:szCs w:val="18"/>
              </w:rPr>
            </w:pPr>
            <w:r>
              <w:rPr>
                <w:rFonts w:asciiTheme="minorEastAsia" w:hAnsiTheme="minorEastAsia"/>
                <w:sz w:val="18"/>
                <w:szCs w:val="18"/>
              </w:rPr>
              <w:t>7日年化收益率</w:t>
            </w:r>
            <w:r>
              <w:rPr>
                <w:rFonts w:hint="eastAsia" w:asciiTheme="minorEastAsia" w:hAnsiTheme="minorEastAsia"/>
                <w:sz w:val="18"/>
                <w:szCs w:val="18"/>
              </w:rPr>
              <w:t>采用四舍五入保留至百分号内小数点后第</w:t>
            </w:r>
            <w:r>
              <w:rPr>
                <w:rFonts w:asciiTheme="minorEastAsia" w:hAnsiTheme="minorEastAsia"/>
                <w:sz w:val="18"/>
                <w:szCs w:val="18"/>
              </w:rPr>
              <w:t>3位。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99" w:type="dxa"/>
            <w:shd w:val="solid" w:color="FFFFFF" w:fill="FFFFFF"/>
            <w:vAlign w:val="center"/>
          </w:tcPr>
          <w:p>
            <w:pPr>
              <w:spacing w:line="360" w:lineRule="auto"/>
              <w:jc w:val="left"/>
              <w:rPr>
                <w:rFonts w:hint="eastAsia" w:ascii="宋体" w:hAnsi="宋体" w:eastAsia="宋体"/>
                <w:bCs/>
                <w:sz w:val="18"/>
                <w:szCs w:val="18"/>
                <w:lang w:eastAsia="zh-CN"/>
              </w:rPr>
            </w:pPr>
            <w:r>
              <w:rPr>
                <w:rFonts w:hint="eastAsia" w:ascii="宋体" w:hAnsi="宋体"/>
                <w:bCs/>
                <w:sz w:val="18"/>
                <w:szCs w:val="18"/>
                <w:lang w:eastAsia="zh-CN"/>
              </w:rPr>
              <w:t>（适用【F】类份额）</w:t>
            </w:r>
          </w:p>
          <w:p>
            <w:pPr>
              <w:spacing w:line="360" w:lineRule="auto"/>
              <w:jc w:val="left"/>
              <w:rPr>
                <w:rFonts w:ascii="宋体" w:hAnsi="宋体"/>
                <w:bCs/>
                <w:sz w:val="18"/>
                <w:szCs w:val="18"/>
              </w:rPr>
            </w:pPr>
            <w:r>
              <w:rPr>
                <w:rFonts w:hint="eastAsia" w:ascii="宋体" w:hAnsi="宋体"/>
                <w:bCs/>
                <w:sz w:val="18"/>
                <w:szCs w:val="18"/>
              </w:rPr>
              <w:t>1.业绩比较基准的设置</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产品管理人设置业绩比较基准。</w:t>
            </w:r>
          </w:p>
          <w:p>
            <w:pPr>
              <w:spacing w:line="360" w:lineRule="auto"/>
              <w:jc w:val="left"/>
              <w:rPr>
                <w:rFonts w:asciiTheme="majorEastAsia" w:hAnsiTheme="majorEastAsia"/>
                <w:bCs/>
                <w:sz w:val="18"/>
                <w:szCs w:val="18"/>
              </w:rPr>
            </w:pPr>
            <w:r>
              <w:rPr>
                <w:rFonts w:hint="eastAsia" w:ascii="宋体" w:hAnsi="宋体"/>
                <w:bCs/>
                <w:sz w:val="18"/>
                <w:szCs w:val="18"/>
              </w:rPr>
              <w:t>（1）业绩比较基准的说明：【本产品主要投资于货币市场工具，根据货币市场工具当前以及未来一段时期的收益率水平预测，设定业绩比较基准</w:t>
            </w:r>
            <w:r>
              <w:rPr>
                <w:rFonts w:ascii="宋体" w:hAnsi="宋体"/>
                <w:bCs/>
                <w:sz w:val="18"/>
                <w:szCs w:val="18"/>
              </w:rPr>
              <w:t>】</w:t>
            </w:r>
            <w:r>
              <w:rPr>
                <w:rFonts w:hint="eastAsia" w:ascii="宋体" w:hAnsi="宋体"/>
                <w:bCs/>
                <w:sz w:val="18"/>
                <w:szCs w:val="18"/>
              </w:rPr>
              <w:t>。</w:t>
            </w:r>
          </w:p>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w:t>
            </w:r>
            <w:r>
              <w:rPr>
                <w:rFonts w:asciiTheme="majorEastAsia" w:hAnsiTheme="majorEastAsia" w:eastAsiaTheme="majorEastAsia"/>
                <w:bCs/>
                <w:sz w:val="18"/>
                <w:szCs w:val="18"/>
              </w:rPr>
              <w:t>业绩比较基准的设定</w:t>
            </w:r>
            <w:r>
              <w:rPr>
                <w:rFonts w:hint="eastAsia" w:asciiTheme="majorEastAsia" w:hAnsiTheme="majorEastAsia" w:eastAsiaTheme="majorEastAsia"/>
                <w:bCs/>
                <w:sz w:val="18"/>
                <w:szCs w:val="18"/>
              </w:rPr>
              <w:t>：</w:t>
            </w:r>
            <w:r>
              <w:rPr>
                <w:rFonts w:hint="eastAsia" w:asciiTheme="majorEastAsia" w:hAnsiTheme="majorEastAsia"/>
                <w:sz w:val="18"/>
              </w:rPr>
              <w:t>管理人对</w:t>
            </w:r>
            <w:r>
              <w:rPr>
                <w:rFonts w:asciiTheme="majorEastAsia" w:hAnsiTheme="majorEastAsia"/>
                <w:sz w:val="18"/>
              </w:rPr>
              <w:t>本产品设定</w:t>
            </w:r>
            <w:r>
              <w:rPr>
                <w:rFonts w:hint="eastAsia" w:asciiTheme="majorEastAsia" w:hAnsiTheme="majorEastAsia"/>
                <w:sz w:val="18"/>
              </w:rPr>
              <w:t>业绩比较基准：</w:t>
            </w:r>
            <w:r>
              <w:rPr>
                <w:rFonts w:hint="eastAsia" w:ascii="宋体" w:hAnsi="宋体"/>
                <w:bCs/>
                <w:sz w:val="18"/>
                <w:szCs w:val="18"/>
              </w:rPr>
              <w:t>【</w:t>
            </w:r>
            <w:r>
              <w:rPr>
                <w:rFonts w:hint="eastAsia" w:asciiTheme="minorEastAsia" w:hAnsiTheme="minorEastAsia"/>
                <w:sz w:val="18"/>
                <w:szCs w:val="18"/>
              </w:rPr>
              <w:t>人民银行</w:t>
            </w:r>
            <w:r>
              <w:rPr>
                <w:rFonts w:asciiTheme="minorEastAsia" w:hAnsiTheme="minorEastAsia"/>
                <w:sz w:val="18"/>
                <w:szCs w:val="18"/>
              </w:rPr>
              <w:t>7天通知存款利率</w:t>
            </w:r>
            <w:r>
              <w:rPr>
                <w:rFonts w:ascii="宋体" w:hAnsi="宋体"/>
                <w:bCs/>
                <w:sz w:val="18"/>
                <w:szCs w:val="18"/>
              </w:rPr>
              <w:t>】</w:t>
            </w:r>
            <w:r>
              <w:rPr>
                <w:rFonts w:hint="eastAsia" w:ascii="宋体" w:hAnsi="宋体"/>
                <w:bCs/>
                <w:sz w:val="18"/>
                <w:szCs w:val="18"/>
              </w:rPr>
              <w:t>。</w:t>
            </w:r>
          </w:p>
          <w:p>
            <w:pPr>
              <w:spacing w:line="360" w:lineRule="auto"/>
              <w:jc w:val="left"/>
              <w:rPr>
                <w:rFonts w:ascii="宋体" w:hAnsi="宋体"/>
                <w:bCs/>
                <w:sz w:val="18"/>
                <w:szCs w:val="18"/>
              </w:rPr>
            </w:pPr>
            <w:r>
              <w:rPr>
                <w:rFonts w:hint="eastAsia" w:asciiTheme="majorEastAsia" w:hAnsiTheme="majorEastAsia" w:eastAsiaTheme="majorEastAsia"/>
                <w:kern w:val="0"/>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产品管理人不设置业绩比较基准。</w:t>
            </w:r>
          </w:p>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2.业绩</w:t>
            </w:r>
            <w:r>
              <w:rPr>
                <w:rFonts w:asciiTheme="majorEastAsia" w:hAnsiTheme="majorEastAsia" w:eastAsiaTheme="majorEastAsia"/>
                <w:bCs/>
                <w:sz w:val="18"/>
                <w:szCs w:val="18"/>
              </w:rPr>
              <w:t>比较基准的提示：</w:t>
            </w:r>
          </w:p>
          <w:p>
            <w:pPr>
              <w:spacing w:line="360" w:lineRule="auto"/>
              <w:jc w:val="left"/>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sz w:val="18"/>
                <w:szCs w:val="18"/>
              </w:rPr>
              <w:t>★</w:t>
            </w:r>
            <w:r>
              <w:rPr>
                <w:rFonts w:hint="eastAsia"/>
                <w:b/>
                <w:sz w:val="18"/>
                <w:szCs w:val="18"/>
              </w:rPr>
              <w:t>业绩报酬计提基准</w:t>
            </w:r>
          </w:p>
        </w:tc>
        <w:tc>
          <w:tcPr>
            <w:tcW w:w="7699"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（适用【】类份额）</w:t>
            </w:r>
          </w:p>
          <w:p>
            <w:pPr>
              <w:spacing w:line="360" w:lineRule="auto"/>
              <w:jc w:val="left"/>
              <w:rPr>
                <w:rFonts w:ascii="宋体" w:hAnsi="宋体"/>
                <w:bCs/>
                <w:sz w:val="18"/>
                <w:szCs w:val="18"/>
              </w:rPr>
            </w:pPr>
            <w:r>
              <w:rPr>
                <w:rFonts w:ascii="宋体" w:hAnsi="宋体"/>
                <w:bCs/>
                <w:sz w:val="18"/>
                <w:szCs w:val="18"/>
              </w:rPr>
              <w:t>1.业绩报酬计提基准的设置</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kern w:val="0"/>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产品管理人设置业绩报酬计提基准。</w:t>
            </w:r>
          </w:p>
          <w:p>
            <w:pPr>
              <w:spacing w:line="360" w:lineRule="auto"/>
              <w:jc w:val="left"/>
              <w:rPr>
                <w:rFonts w:ascii="宋体" w:hAnsi="宋体"/>
                <w:sz w:val="18"/>
              </w:rPr>
            </w:pPr>
            <w:r>
              <w:rPr>
                <w:rFonts w:ascii="宋体" w:hAnsi="宋体"/>
                <w:bCs/>
                <w:sz w:val="18"/>
                <w:szCs w:val="18"/>
              </w:rPr>
              <w:t>业绩报酬计提基准的</w:t>
            </w:r>
            <w:r>
              <w:rPr>
                <w:rFonts w:ascii="宋体" w:hAnsi="宋体"/>
                <w:sz w:val="18"/>
              </w:rPr>
              <w:t>设定</w:t>
            </w:r>
            <w:r>
              <w:rPr>
                <w:rFonts w:hint="eastAsia" w:ascii="宋体" w:hAnsi="宋体"/>
                <w:sz w:val="18"/>
              </w:rPr>
              <w:t>：管理人</w:t>
            </w:r>
            <w:r>
              <w:rPr>
                <w:rFonts w:ascii="宋体" w:hAnsi="宋体"/>
                <w:sz w:val="18"/>
              </w:rPr>
              <w:t>对本产品设定</w:t>
            </w:r>
            <w:r>
              <w:rPr>
                <w:rFonts w:hint="eastAsia" w:ascii="宋体" w:hAnsi="宋体"/>
                <w:sz w:val="18"/>
              </w:rPr>
              <w:t>业绩报酬计提基准：【】。</w:t>
            </w:r>
          </w:p>
          <w:p>
            <w:pPr>
              <w:spacing w:line="360" w:lineRule="auto"/>
              <w:jc w:val="left"/>
              <w:rPr>
                <w:rFonts w:ascii="宋体" w:hAnsi="宋体"/>
                <w:bCs/>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kern w:val="0"/>
                <w:sz w:val="18"/>
                <w:szCs w:val="18"/>
              </w:rPr>
              <w:t xml:space="preserve"> 产品管理人不设置业绩报酬计提基准。</w:t>
            </w:r>
          </w:p>
          <w:p>
            <w:pPr>
              <w:spacing w:line="360" w:lineRule="auto"/>
              <w:jc w:val="left"/>
              <w:rPr>
                <w:rFonts w:ascii="宋体" w:hAnsi="宋体"/>
                <w:bCs/>
                <w:sz w:val="18"/>
                <w:szCs w:val="18"/>
              </w:rPr>
            </w:pPr>
            <w:r>
              <w:rPr>
                <w:rFonts w:hint="eastAsia" w:ascii="宋体" w:hAnsi="宋体"/>
                <w:bCs/>
                <w:sz w:val="18"/>
                <w:szCs w:val="18"/>
              </w:rPr>
              <w:t>2</w:t>
            </w:r>
            <w:r>
              <w:rPr>
                <w:rFonts w:ascii="宋体" w:hAnsi="宋体"/>
                <w:bCs/>
                <w:sz w:val="18"/>
                <w:szCs w:val="18"/>
              </w:rPr>
              <w:t>.业绩报酬计提基准的提示</w:t>
            </w:r>
            <w:r>
              <w:rPr>
                <w:rFonts w:hint="eastAsia" w:ascii="宋体" w:hAnsi="宋体"/>
                <w:bCs/>
                <w:sz w:val="18"/>
                <w:szCs w:val="18"/>
              </w:rPr>
              <w:t>：</w:t>
            </w:r>
          </w:p>
          <w:p>
            <w:pPr>
              <w:autoSpaceDE w:val="0"/>
              <w:autoSpaceDN w:val="0"/>
              <w:adjustRightInd w:val="0"/>
              <w:spacing w:line="360" w:lineRule="auto"/>
              <w:jc w:val="left"/>
              <w:rPr>
                <w:rFonts w:ascii="宋体" w:hAnsi="宋体"/>
                <w:b/>
                <w:bCs/>
                <w:sz w:val="18"/>
                <w:szCs w:val="18"/>
              </w:rPr>
            </w:pPr>
            <w:r>
              <w:rPr>
                <w:rFonts w:hint="eastAsia" w:ascii="宋体" w:hAnsi="宋体"/>
                <w:bCs/>
                <w:sz w:val="18"/>
                <w:szCs w:val="18"/>
              </w:rPr>
              <w:t>（1）</w:t>
            </w:r>
            <w:r>
              <w:rPr>
                <w:rFonts w:hint="eastAsia"/>
                <w:sz w:val="18"/>
                <w:szCs w:val="18"/>
              </w:rPr>
              <w:t>★</w:t>
            </w:r>
            <w:r>
              <w:rPr>
                <w:rFonts w:hint="eastAsia" w:ascii="黑体" w:hAnsi="黑体" w:eastAsia="黑体"/>
                <w:bCs/>
                <w:sz w:val="18"/>
                <w:szCs w:val="18"/>
              </w:rPr>
              <w:t>业绩报酬计提基准仅作为管理人计算超额业绩报酬的参照标准。业绩报酬计提基准不是预期收益率，不代表产品的未来表现和实际收益，不构成对产品收益的承诺，投资须谨慎。</w:t>
            </w:r>
          </w:p>
          <w:p>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99" w:type="dxa"/>
            <w:shd w:val="solid" w:color="FFFFFF" w:fill="FFFFFF"/>
            <w:vAlign w:val="center"/>
          </w:tcPr>
          <w:p>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本产品</w:t>
            </w:r>
            <w:r>
              <w:rPr>
                <w:rFonts w:hint="eastAsia" w:asciiTheme="minorEastAsia" w:hAnsiTheme="minorEastAsia" w:eastAsiaTheme="minorEastAsia"/>
                <w:sz w:val="18"/>
                <w:szCs w:val="18"/>
              </w:rPr>
              <w:t>每日进行收益分配，</w:t>
            </w:r>
            <w:r>
              <w:rPr>
                <w:rFonts w:hint="eastAsia" w:hAnsi="宋体"/>
                <w:bCs/>
                <w:sz w:val="18"/>
                <w:szCs w:val="18"/>
              </w:rPr>
              <w:t>收益分配方式为红利再投资，免收再投资的费用。</w:t>
            </w:r>
          </w:p>
          <w:p>
            <w:pPr>
              <w:spacing w:line="360" w:lineRule="auto"/>
              <w:jc w:val="left"/>
              <w:rPr>
                <w:rFonts w:hAnsi="宋体"/>
                <w:bCs/>
                <w:sz w:val="18"/>
                <w:szCs w:val="18"/>
              </w:rPr>
            </w:pPr>
            <w:r>
              <w:rPr>
                <w:rFonts w:hAnsi="宋体"/>
                <w:bCs/>
                <w:sz w:val="18"/>
                <w:szCs w:val="18"/>
              </w:rPr>
              <w:t>2.</w:t>
            </w:r>
            <w:r>
              <w:rPr>
                <w:rFonts w:hint="eastAsia" w:hAnsi="宋体"/>
                <w:bCs/>
                <w:sz w:val="18"/>
                <w:szCs w:val="18"/>
              </w:rPr>
              <w:t>理财产品存续期间，产品管理人有权视理财产品收益情况进行主动分配，相应分配基准日、分配方案由管理人及时披露。</w:t>
            </w:r>
          </w:p>
          <w:p>
            <w:pPr>
              <w:spacing w:line="360" w:lineRule="auto"/>
              <w:jc w:val="left"/>
              <w:rPr>
                <w:rFonts w:ascii="宋体" w:hAnsi="宋体"/>
                <w:bCs/>
                <w:sz w:val="18"/>
                <w:szCs w:val="18"/>
              </w:rPr>
            </w:pPr>
            <w:r>
              <w:rPr>
                <w:rFonts w:hAnsi="宋体"/>
                <w:bCs/>
                <w:sz w:val="18"/>
                <w:szCs w:val="18"/>
              </w:rPr>
              <w:t>3.具体理财产品利益分配</w:t>
            </w:r>
            <w:r>
              <w:rPr>
                <w:rFonts w:hint="eastAsia" w:hAnsi="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99" w:type="dxa"/>
            <w:shd w:val="solid" w:color="FFFFFF" w:fill="FFFFFF"/>
            <w:vAlign w:val="center"/>
          </w:tcPr>
          <w:p>
            <w:pPr>
              <w:spacing w:line="360" w:lineRule="auto"/>
              <w:rPr>
                <w:rFonts w:hint="eastAsia" w:asciiTheme="majorEastAsia" w:hAnsiTheme="majorEastAsia" w:eastAsiaTheme="majorEastAsia"/>
                <w:bCs/>
                <w:color w:val="000000" w:themeColor="text1"/>
                <w:sz w:val="18"/>
                <w:szCs w:val="18"/>
                <w:lang w:eastAsia="zh-CN"/>
                <w14:textFill>
                  <w14:solidFill>
                    <w14:schemeClr w14:val="tx1"/>
                  </w14:solidFill>
                </w14:textFill>
              </w:rPr>
            </w:pPr>
            <w:r>
              <w:rPr>
                <w:rFonts w:hint="eastAsia" w:asciiTheme="majorEastAsia" w:hAnsiTheme="majorEastAsia" w:eastAsiaTheme="majorEastAsia"/>
                <w:bCs/>
                <w:color w:val="000000" w:themeColor="text1"/>
                <w:sz w:val="18"/>
                <w:szCs w:val="18"/>
                <w:lang w:eastAsia="zh-CN"/>
                <w14:textFill>
                  <w14:solidFill>
                    <w14:schemeClr w14:val="tx1"/>
                  </w14:solidFill>
                </w14:textFill>
              </w:rPr>
              <w:t>（适用【F】类份额）</w:t>
            </w:r>
          </w:p>
          <w:p>
            <w:pPr>
              <w:spacing w:line="360" w:lineRule="auto"/>
              <w:rPr>
                <w:rFonts w:ascii="黑体" w:hAnsi="黑体" w:eastAsia="黑体"/>
                <w:bCs/>
                <w:color w:val="000000" w:themeColor="text1"/>
                <w:sz w:val="18"/>
                <w:szCs w:val="18"/>
                <w14:textFill>
                  <w14:solidFill>
                    <w14:schemeClr w14:val="tx1"/>
                  </w14:solidFill>
                </w14:textFill>
              </w:rPr>
            </w:pPr>
            <w:r>
              <w:rPr>
                <w:rFonts w:ascii="黑体" w:hAnsi="黑体" w:eastAsia="黑体"/>
                <w:bCs/>
                <w:color w:val="000000" w:themeColor="text1"/>
                <w:sz w:val="18"/>
                <w:szCs w:val="18"/>
                <w14:textFill>
                  <w14:solidFill>
                    <w14:schemeClr w14:val="tx1"/>
                  </w14:solidFill>
                </w14:textFill>
              </w:rPr>
              <w:t>1.</w:t>
            </w:r>
            <w:r>
              <w:rPr>
                <w:rFonts w:hint="eastAsia" w:ascii="黑体" w:hAnsi="黑体" w:eastAsia="黑体"/>
                <w:bCs/>
                <w:color w:val="000000" w:themeColor="text1"/>
                <w:sz w:val="18"/>
                <w:szCs w:val="18"/>
                <w14:textFill>
                  <w14:solidFill>
                    <w14:schemeClr w14:val="tx1"/>
                  </w14:solidFill>
                </w14:textFill>
              </w:rPr>
              <w:t>理财产品的费率标准</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（1）认购费：【</w:t>
            </w:r>
            <w:r>
              <w:rPr>
                <w:rFonts w:hint="eastAsia" w:ascii="黑体" w:hAnsi="黑体" w:eastAsia="黑体"/>
                <w:bCs/>
                <w:color w:val="000000" w:themeColor="text1"/>
                <w:sz w:val="18"/>
                <w:szCs w:val="18"/>
                <w:lang w:val="en-US" w:eastAsia="zh-CN"/>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（2）</w:t>
            </w:r>
            <w:r>
              <w:rPr>
                <w:rFonts w:ascii="黑体" w:hAnsi="黑体" w:eastAsia="黑体"/>
                <w:bCs/>
                <w:color w:val="000000" w:themeColor="text1"/>
                <w:sz w:val="18"/>
                <w:szCs w:val="18"/>
                <w14:textFill>
                  <w14:solidFill>
                    <w14:schemeClr w14:val="tx1"/>
                  </w14:solidFill>
                </w14:textFill>
              </w:rPr>
              <w:t>申购费：</w:t>
            </w:r>
            <w:r>
              <w:rPr>
                <w:rFonts w:hint="eastAsia" w:ascii="黑体" w:hAnsi="黑体" w:eastAsia="黑体"/>
                <w:bCs/>
                <w:color w:val="000000" w:themeColor="text1"/>
                <w:sz w:val="18"/>
                <w:szCs w:val="18"/>
                <w14:textFill>
                  <w14:solidFill>
                    <w14:schemeClr w14:val="tx1"/>
                  </w14:solidFill>
                </w14:textFill>
              </w:rPr>
              <w:t>【</w:t>
            </w:r>
            <w:r>
              <w:rPr>
                <w:rFonts w:hint="eastAsia" w:ascii="黑体" w:hAnsi="黑体" w:eastAsia="黑体"/>
                <w:bCs/>
                <w:color w:val="000000" w:themeColor="text1"/>
                <w:sz w:val="18"/>
                <w:szCs w:val="18"/>
                <w:lang w:val="en-US" w:eastAsia="zh-CN"/>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（3）赎回费：【</w:t>
            </w:r>
            <w:r>
              <w:rPr>
                <w:rFonts w:hint="eastAsia" w:ascii="黑体" w:hAnsi="黑体" w:eastAsia="黑体"/>
                <w:bCs/>
                <w:color w:val="000000" w:themeColor="text1"/>
                <w:sz w:val="18"/>
                <w:szCs w:val="18"/>
                <w:lang w:val="en-US" w:eastAsia="zh-CN"/>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4）</w:t>
            </w:r>
            <w:r>
              <w:rPr>
                <w:rFonts w:hint="eastAsia" w:ascii="黑体" w:hAnsi="黑体" w:eastAsia="黑体"/>
                <w:sz w:val="18"/>
                <w:szCs w:val="18"/>
              </w:rPr>
              <w:t>★</w:t>
            </w:r>
            <w:r>
              <w:rPr>
                <w:rFonts w:ascii="黑体" w:hAnsi="黑体" w:eastAsia="黑体"/>
                <w:bCs/>
                <w:color w:val="000000" w:themeColor="text1"/>
                <w:sz w:val="18"/>
                <w:szCs w:val="18"/>
                <w14:textFill>
                  <w14:solidFill>
                    <w14:schemeClr w14:val="tx1"/>
                  </w14:solidFill>
                </w14:textFill>
              </w:rPr>
              <w:t>强制赎回费</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kern w:val="0"/>
                <w:sz w:val="18"/>
                <w:szCs w:val="18"/>
              </w:rPr>
            </w:pPr>
            <w:r>
              <w:rPr>
                <w:rFonts w:ascii="黑体" w:hAnsi="黑体" w:eastAsia="黑体"/>
                <w:kern w:val="0"/>
                <w:sz w:val="18"/>
                <w:szCs w:val="18"/>
              </w:rPr>
              <w:t>1）当产品持有的现金、国债、中央银行票据、政策性金融债券以及5个交易日内到期的其他金融工具占产品资产净值的比例合计低于5%且偏离度为负时，产品管理人有权对当日单个投资者申请赎回份额超过产品总份额1%以上的赎回申请征收1%的强制赎回费用，并将上述赎回费用全额计入产品财产。</w:t>
            </w:r>
          </w:p>
          <w:p>
            <w:pPr>
              <w:widowControl/>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）产品前</w:t>
            </w:r>
            <w:r>
              <w:rPr>
                <w:rFonts w:ascii="黑体" w:hAnsi="黑体" w:eastAsia="黑体"/>
                <w:kern w:val="0"/>
                <w:sz w:val="18"/>
                <w:szCs w:val="18"/>
              </w:rPr>
              <w:t>10</w:t>
            </w:r>
            <w:r>
              <w:rPr>
                <w:rFonts w:hint="eastAsia" w:ascii="黑体" w:hAnsi="黑体" w:eastAsia="黑体"/>
                <w:kern w:val="0"/>
                <w:sz w:val="18"/>
                <w:szCs w:val="18"/>
              </w:rPr>
              <w:t>名投资者的持有份额合计超过产品总份额</w:t>
            </w:r>
            <w:r>
              <w:rPr>
                <w:rFonts w:ascii="黑体" w:hAnsi="黑体" w:eastAsia="黑体"/>
                <w:kern w:val="0"/>
                <w:sz w:val="18"/>
                <w:szCs w:val="18"/>
              </w:rPr>
              <w:t>50%</w:t>
            </w:r>
            <w:r>
              <w:rPr>
                <w:rFonts w:hint="eastAsia" w:ascii="黑体" w:hAnsi="黑体" w:eastAsia="黑体"/>
                <w:kern w:val="0"/>
                <w:sz w:val="18"/>
                <w:szCs w:val="18"/>
              </w:rPr>
              <w:t>的，当投资组合中现金、国债、中央银行票据、政策性金融债券以及</w:t>
            </w:r>
            <w:r>
              <w:rPr>
                <w:rFonts w:ascii="黑体" w:hAnsi="黑体" w:eastAsia="黑体"/>
                <w:kern w:val="0"/>
                <w:sz w:val="18"/>
                <w:szCs w:val="18"/>
              </w:rPr>
              <w:t>5</w:t>
            </w:r>
            <w:r>
              <w:rPr>
                <w:rFonts w:hint="eastAsia" w:ascii="黑体" w:hAnsi="黑体" w:eastAsia="黑体"/>
                <w:kern w:val="0"/>
                <w:sz w:val="18"/>
                <w:szCs w:val="18"/>
              </w:rPr>
              <w:t>个交易日内到期的其他金融工具占该产品资产净值的比例合计低于</w:t>
            </w:r>
            <w:r>
              <w:rPr>
                <w:rFonts w:ascii="黑体" w:hAnsi="黑体" w:eastAsia="黑体"/>
                <w:kern w:val="0"/>
                <w:sz w:val="18"/>
                <w:szCs w:val="18"/>
              </w:rPr>
              <w:t>10%</w:t>
            </w:r>
            <w:r>
              <w:rPr>
                <w:rFonts w:hint="eastAsia" w:ascii="黑体" w:hAnsi="黑体" w:eastAsia="黑体"/>
                <w:kern w:val="0"/>
                <w:sz w:val="18"/>
                <w:szCs w:val="18"/>
              </w:rPr>
              <w:t>且偏离度为负时，产品管理人有权对投资者超过产品总份额</w:t>
            </w:r>
            <w:r>
              <w:rPr>
                <w:rFonts w:ascii="黑体" w:hAnsi="黑体" w:eastAsia="黑体"/>
                <w:kern w:val="0"/>
                <w:sz w:val="18"/>
                <w:szCs w:val="18"/>
              </w:rPr>
              <w:t>1%</w:t>
            </w:r>
            <w:r>
              <w:rPr>
                <w:rFonts w:hint="eastAsia" w:ascii="黑体" w:hAnsi="黑体" w:eastAsia="黑体"/>
                <w:kern w:val="0"/>
                <w:sz w:val="18"/>
                <w:szCs w:val="18"/>
              </w:rPr>
              <w:t>以上的赎回申请征收</w:t>
            </w:r>
            <w:r>
              <w:rPr>
                <w:rFonts w:ascii="黑体" w:hAnsi="黑体" w:eastAsia="黑体"/>
                <w:kern w:val="0"/>
                <w:sz w:val="18"/>
                <w:szCs w:val="18"/>
              </w:rPr>
              <w:t>1%</w:t>
            </w:r>
            <w:r>
              <w:rPr>
                <w:rFonts w:hint="eastAsia" w:ascii="黑体" w:hAnsi="黑体" w:eastAsia="黑体"/>
                <w:kern w:val="0"/>
                <w:sz w:val="18"/>
                <w:szCs w:val="18"/>
              </w:rPr>
              <w:t>的强制赎回费用。</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（5）</w:t>
            </w:r>
            <w:r>
              <w:rPr>
                <w:rFonts w:ascii="黑体" w:hAnsi="黑体" w:eastAsia="黑体"/>
                <w:bCs/>
                <w:color w:val="000000" w:themeColor="text1"/>
                <w:sz w:val="18"/>
                <w:szCs w:val="18"/>
                <w14:textFill>
                  <w14:solidFill>
                    <w14:schemeClr w14:val="tx1"/>
                  </w14:solidFill>
                </w14:textFill>
              </w:rPr>
              <w:t>销售服</w:t>
            </w:r>
            <w:r>
              <w:rPr>
                <w:rFonts w:hint="eastAsia" w:ascii="黑体" w:hAnsi="黑体" w:eastAsia="黑体"/>
                <w:bCs/>
                <w:color w:val="000000" w:themeColor="text1"/>
                <w:sz w:val="18"/>
                <w:szCs w:val="18"/>
                <w14:textFill>
                  <w14:solidFill>
                    <w14:schemeClr w14:val="tx1"/>
                  </w14:solidFill>
                </w14:textFill>
              </w:rPr>
              <w:t>务费：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黑体" w:hAnsi="黑体" w:eastAsia="黑体"/>
                <w:sz w:val="18"/>
                <w:szCs w:val="18"/>
                <w:lang w:val="en-US" w:eastAsia="zh-CN"/>
              </w:rPr>
              <w:t>0.30%</w:t>
            </w:r>
            <w:r>
              <w:rPr>
                <w:rFonts w:hint="eastAsia"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（6）投资管理费：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黑体" w:hAnsi="黑体" w:eastAsia="黑体"/>
                <w:sz w:val="18"/>
                <w:szCs w:val="18"/>
                <w:lang w:val="en-US" w:eastAsia="zh-CN"/>
              </w:rPr>
              <w:t>0.30%</w:t>
            </w:r>
            <w:r>
              <w:rPr>
                <w:rFonts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（7）产品托管费：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黑体" w:hAnsi="黑体" w:eastAsia="黑体"/>
                <w:sz w:val="18"/>
                <w:szCs w:val="18"/>
                <w:lang w:val="en-US" w:eastAsia="zh-CN"/>
              </w:rPr>
              <w:t>0.03%</w:t>
            </w:r>
            <w:r>
              <w:rPr>
                <w:rFonts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（8）超额业绩报酬：</w:t>
            </w:r>
          </w:p>
          <w:p>
            <w:pPr>
              <w:widowControl/>
              <w:spacing w:line="360" w:lineRule="auto"/>
              <w:jc w:val="left"/>
              <w:rPr>
                <w:rFonts w:ascii="宋体" w:hAnsi="宋体"/>
                <w:kern w:val="0"/>
                <w:sz w:val="18"/>
                <w:szCs w:val="18"/>
              </w:rPr>
            </w:pPr>
            <w:r>
              <w:rPr>
                <w:rFonts w:ascii="宋体" w:hAnsi="宋体"/>
                <w:sz w:val="18"/>
                <w:szCs w:val="18"/>
              </w:rPr>
              <w:t>本产品不收取超额业绩报酬</w:t>
            </w:r>
            <w:r>
              <w:rPr>
                <w:rFonts w:hint="eastAsia" w:ascii="宋体" w:hAnsi="宋体"/>
                <w:sz w:val="18"/>
                <w:szCs w:val="18"/>
              </w:rPr>
              <w:t>。</w:t>
            </w:r>
          </w:p>
          <w:p>
            <w:pPr>
              <w:spacing w:line="360" w:lineRule="auto"/>
              <w:rPr>
                <w:rFonts w:ascii="黑体" w:hAnsi="黑体" w:eastAsia="黑体"/>
                <w:bCs/>
                <w:sz w:val="18"/>
                <w:szCs w:val="18"/>
              </w:rPr>
            </w:pPr>
            <w:r>
              <w:rPr>
                <w:rFonts w:hint="eastAsia" w:ascii="宋体" w:hAnsi="宋体"/>
                <w:bCs/>
                <w:sz w:val="18"/>
                <w:szCs w:val="18"/>
              </w:rPr>
              <w:t>2</w:t>
            </w:r>
            <w:r>
              <w:rPr>
                <w:rFonts w:hint="eastAsia" w:asciiTheme="majorEastAsia" w:hAnsiTheme="majorEastAsia" w:eastAsiaTheme="majorEastAsia"/>
                <w:bCs/>
                <w:sz w:val="18"/>
                <w:szCs w:val="18"/>
              </w:rPr>
              <w:t>.</w:t>
            </w:r>
            <w:r>
              <w:rPr>
                <w:rFonts w:hint="eastAsia"/>
                <w:sz w:val="18"/>
                <w:szCs w:val="18"/>
              </w:rPr>
              <w:t xml:space="preserve"> </w:t>
            </w:r>
            <w:r>
              <w:rPr>
                <w:rFonts w:hint="eastAsia" w:ascii="黑体" w:hAnsi="黑体" w:eastAsia="黑体"/>
                <w:bCs/>
                <w:sz w:val="18"/>
                <w:szCs w:val="18"/>
              </w:rPr>
              <w:t>产品管理人</w:t>
            </w:r>
            <w:r>
              <w:rPr>
                <w:rFonts w:ascii="黑体" w:hAnsi="黑体" w:eastAsia="黑体"/>
                <w:bCs/>
                <w:sz w:val="18"/>
                <w:szCs w:val="18"/>
              </w:rPr>
              <w:t>保留变更</w:t>
            </w:r>
            <w:r>
              <w:rPr>
                <w:rFonts w:hint="eastAsia" w:ascii="黑体" w:hAnsi="黑体" w:eastAsia="黑体"/>
                <w:bCs/>
                <w:sz w:val="18"/>
                <w:szCs w:val="18"/>
              </w:rPr>
              <w:t>上述</w:t>
            </w:r>
            <w:r>
              <w:rPr>
                <w:rFonts w:ascii="黑体" w:hAnsi="黑体" w:eastAsia="黑体"/>
                <w:bCs/>
                <w:sz w:val="18"/>
                <w:szCs w:val="18"/>
              </w:rPr>
              <w:t>理财产品</w:t>
            </w:r>
            <w:r>
              <w:rPr>
                <w:rFonts w:hint="eastAsia" w:ascii="黑体" w:hAnsi="黑体" w:eastAsia="黑体"/>
                <w:bCs/>
                <w:sz w:val="18"/>
                <w:szCs w:val="18"/>
              </w:rPr>
              <w:t>收取</w:t>
            </w:r>
            <w:r>
              <w:rPr>
                <w:rFonts w:ascii="黑体" w:hAnsi="黑体" w:eastAsia="黑体"/>
                <w:bCs/>
                <w:sz w:val="18"/>
                <w:szCs w:val="18"/>
              </w:rPr>
              <w:t>费率</w:t>
            </w:r>
            <w:r>
              <w:rPr>
                <w:rFonts w:hint="eastAsia" w:ascii="黑体" w:hAnsi="黑体" w:eastAsia="黑体"/>
                <w:bCs/>
                <w:sz w:val="18"/>
                <w:szCs w:val="18"/>
              </w:rPr>
              <w:t>标准</w:t>
            </w:r>
            <w:r>
              <w:rPr>
                <w:rFonts w:ascii="黑体" w:hAnsi="黑体" w:eastAsia="黑体"/>
                <w:bCs/>
                <w:sz w:val="18"/>
                <w:szCs w:val="18"/>
              </w:rPr>
              <w:t>的权利</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宋体" w:hAnsi="宋体"/>
                <w:b/>
                <w:bCs/>
                <w:kern w:val="0"/>
                <w:sz w:val="18"/>
                <w:szCs w:val="18"/>
              </w:rPr>
              <w:t>税收</w:t>
            </w:r>
          </w:p>
        </w:tc>
        <w:tc>
          <w:tcPr>
            <w:tcW w:w="7699" w:type="dxa"/>
            <w:shd w:val="solid" w:color="FFFFFF" w:fill="FFFFFF"/>
            <w:vAlign w:val="center"/>
          </w:tcPr>
          <w:p>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99"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99"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permEnd w:id="13"/>
    </w:tbl>
    <w:p>
      <w:pPr>
        <w:pStyle w:val="34"/>
        <w:spacing w:line="360" w:lineRule="auto"/>
        <w:rPr>
          <w:rFonts w:hAnsi="宋体"/>
          <w:sz w:val="18"/>
          <w:szCs w:val="18"/>
        </w:rPr>
      </w:pPr>
    </w:p>
    <w:p>
      <w:pPr>
        <w:widowControl/>
        <w:spacing w:line="360" w:lineRule="auto"/>
        <w:jc w:val="left"/>
        <w:rPr>
          <w:rFonts w:ascii="宋体" w:hAnsi="宋体"/>
          <w:color w:val="000000"/>
          <w:kern w:val="0"/>
          <w:sz w:val="18"/>
          <w:szCs w:val="18"/>
        </w:rPr>
      </w:pPr>
      <w:r>
        <w:rPr>
          <w:rFonts w:hAnsi="宋体"/>
          <w:sz w:val="18"/>
          <w:szCs w:val="18"/>
        </w:rPr>
        <w:br w:type="page"/>
      </w:r>
    </w:p>
    <w:p>
      <w:pPr>
        <w:pStyle w:val="2"/>
        <w:spacing w:before="0" w:after="0" w:line="360" w:lineRule="auto"/>
        <w:jc w:val="center"/>
        <w:rPr>
          <w:rFonts w:ascii="Times New Roman"/>
          <w:sz w:val="30"/>
        </w:rPr>
      </w:pPr>
      <w:bookmarkStart w:id="6" w:name="_Toc176189280"/>
      <w:bookmarkStart w:id="7" w:name="_Toc3800"/>
      <w:bookmarkStart w:id="8" w:name="_Toc79154666"/>
      <w:r>
        <w:rPr>
          <w:rFonts w:ascii="Times New Roman"/>
          <w:sz w:val="30"/>
        </w:rPr>
        <w:t>第</w:t>
      </w:r>
      <w:r>
        <w:rPr>
          <w:rFonts w:hint="eastAsia" w:ascii="Times New Roman"/>
          <w:sz w:val="30"/>
        </w:rPr>
        <w:t>三条</w:t>
      </w:r>
      <w:r>
        <w:rPr>
          <w:rFonts w:ascii="Times New Roman"/>
          <w:sz w:val="30"/>
        </w:rPr>
        <w:t xml:space="preserve">  </w:t>
      </w:r>
      <w:bookmarkStart w:id="9" w:name="_Toc79392573"/>
      <w:r>
        <w:rPr>
          <w:rFonts w:hint="eastAsia" w:ascii="Times New Roman"/>
          <w:sz w:val="30"/>
        </w:rPr>
        <w:t>理财产品的认购</w:t>
      </w:r>
      <w:bookmarkEnd w:id="6"/>
      <w:bookmarkEnd w:id="7"/>
      <w:bookmarkEnd w:id="8"/>
    </w:p>
    <w:p>
      <w:pPr>
        <w:spacing w:line="360" w:lineRule="auto"/>
        <w:ind w:firstLine="361" w:firstLineChars="200"/>
        <w:rPr>
          <w:rFonts w:asciiTheme="minorEastAsia" w:hAnsiTheme="minorEastAsia"/>
          <w:b/>
          <w:bCs/>
          <w:sz w:val="18"/>
          <w:szCs w:val="18"/>
        </w:rPr>
      </w:pPr>
      <w:bookmarkStart w:id="10" w:name="_Hlt88031774"/>
      <w:bookmarkEnd w:id="10"/>
      <w:bookmarkStart w:id="11" w:name="_Hlt88031741"/>
      <w:r>
        <w:rPr>
          <w:rFonts w:hint="eastAsia" w:asciiTheme="minorEastAsia" w:hAnsiTheme="minorEastAsia"/>
          <w:b/>
          <w:bCs/>
          <w:sz w:val="18"/>
          <w:szCs w:val="18"/>
        </w:rPr>
        <w:t>（一）理财产品的认购</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25"/>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认购期/募集期内投资者可提交认购申请。</w:t>
      </w:r>
      <w:r>
        <w:rPr>
          <w:rFonts w:hint="eastAsia" w:asciiTheme="majorEastAsia" w:hAnsiTheme="majorEastAsia" w:eastAsiaTheme="majorEastAsia"/>
          <w:sz w:val="18"/>
          <w:szCs w:val="18"/>
        </w:rPr>
        <w:t>提交</w:t>
      </w:r>
      <w:r>
        <w:rPr>
          <w:rFonts w:asciiTheme="majorEastAsia" w:hAnsiTheme="majorEastAsia" w:eastAsiaTheme="majorEastAsia"/>
          <w:sz w:val="18"/>
          <w:szCs w:val="18"/>
        </w:rPr>
        <w:t>认购</w:t>
      </w:r>
      <w:r>
        <w:rPr>
          <w:rFonts w:hint="eastAsia" w:asciiTheme="majorEastAsia" w:hAnsiTheme="majorEastAsia" w:eastAsiaTheme="majorEastAsia"/>
          <w:sz w:val="18"/>
          <w:szCs w:val="18"/>
        </w:rPr>
        <w:t>申请并不代表认购成功，产品管理人将在认购确认日确认投资者是否认购成功，是否成功以管理人的确认结果为准</w:t>
      </w:r>
      <w:r>
        <w:rPr>
          <w:rFonts w:hint="eastAsia" w:asciiTheme="minorEastAsia" w:hAnsiTheme="minorEastAsia" w:eastAsiaTheme="minorEastAsia"/>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w:t>
      </w:r>
      <w:r>
        <w:rPr>
          <w:rFonts w:asciiTheme="minorEastAsia" w:hAnsiTheme="minorEastAsia" w:eastAsiaTheme="minorEastAsia"/>
          <w:color w:val="auto"/>
          <w:sz w:val="18"/>
          <w:szCs w:val="18"/>
        </w:rPr>
        <w:t>1.00</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pPr>
        <w:pStyle w:val="3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pPr>
        <w:spacing w:line="360" w:lineRule="auto"/>
        <w:ind w:firstLine="360" w:firstLineChars="200"/>
        <w:rPr>
          <w:rFonts w:asciiTheme="minorEastAsia" w:hAnsiTheme="minorEastAsia" w:eastAsiaTheme="minorEastAsia"/>
          <w:sz w:val="18"/>
          <w:szCs w:val="18"/>
        </w:rPr>
      </w:pPr>
      <w:r>
        <w:rPr>
          <w:rFonts w:hint="eastAsia" w:asciiTheme="minorEastAsia" w:hAnsiTheme="minorEastAsia" w:eastAsiaTheme="minorEastAsia"/>
          <w:sz w:val="18"/>
          <w:szCs w:val="18"/>
        </w:rPr>
        <w:t>详见《产品说明书》“第二条 理财产品基本情况”。</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投资者认购资金在产品认购期内产生的利息不作为理财资金进入运作，不计算理财利益。</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pPr>
        <w:pStyle w:val="3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spacing w:line="360" w:lineRule="auto"/>
        <w:ind w:firstLine="360" w:firstLineChars="200"/>
        <w:rPr>
          <w:rFonts w:asciiTheme="minorEastAsia" w:hAnsiTheme="minorEastAsia"/>
          <w:bCs/>
          <w:sz w:val="18"/>
          <w:szCs w:val="18"/>
        </w:rPr>
      </w:pPr>
    </w:p>
    <w:p>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p>
      <w:pPr>
        <w:pStyle w:val="2"/>
        <w:spacing w:before="0" w:after="0" w:line="360" w:lineRule="auto"/>
        <w:jc w:val="center"/>
        <w:rPr>
          <w:rFonts w:ascii="Times New Roman"/>
          <w:sz w:val="30"/>
        </w:rPr>
      </w:pPr>
      <w:bookmarkStart w:id="12" w:name="_Toc79154667"/>
      <w:bookmarkStart w:id="13" w:name="_Toc28773"/>
      <w:bookmarkStart w:id="14" w:name="_Toc176189281"/>
      <w:r>
        <w:rPr>
          <w:rFonts w:hint="eastAsia" w:ascii="Times New Roman"/>
          <w:sz w:val="30"/>
        </w:rPr>
        <w:t xml:space="preserve">第四条 </w:t>
      </w:r>
      <w:r>
        <w:rPr>
          <w:rFonts w:ascii="Times New Roman"/>
          <w:sz w:val="30"/>
        </w:rPr>
        <w:t xml:space="preserve"> </w:t>
      </w:r>
      <w:r>
        <w:rPr>
          <w:rFonts w:hint="eastAsia" w:ascii="Times New Roman"/>
          <w:sz w:val="30"/>
        </w:rPr>
        <w:t>理财产品的申购与赎回</w:t>
      </w:r>
      <w:bookmarkEnd w:id="12"/>
      <w:bookmarkEnd w:id="13"/>
      <w:bookmarkEnd w:id="14"/>
    </w:p>
    <w:bookmarkEnd w:id="11"/>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（一）理财产品的申购</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申购的时间</w:t>
      </w:r>
    </w:p>
    <w:p>
      <w:pPr>
        <w:pStyle w:val="34"/>
        <w:spacing w:line="360" w:lineRule="auto"/>
        <w:ind w:firstLine="360" w:firstLineChars="200"/>
        <w:rPr>
          <w:rFonts w:asciiTheme="majorEastAsia" w:hAnsiTheme="majorEastAsia"/>
          <w:sz w:val="18"/>
        </w:rPr>
      </w:pPr>
      <w:r>
        <w:rPr>
          <w:rFonts w:hint="eastAsia" w:asciiTheme="majorEastAsia" w:hAnsiTheme="majorEastAsia"/>
          <w:color w:val="auto"/>
          <w:sz w:val="18"/>
        </w:rPr>
        <w:t>本产品设置开放期，</w:t>
      </w:r>
      <w:r>
        <w:rPr>
          <w:rFonts w:hint="eastAsia" w:asciiTheme="majorEastAsia" w:hAnsiTheme="majorEastAsia" w:eastAsiaTheme="majorEastAsia"/>
          <w:bCs/>
          <w:color w:val="auto"/>
          <w:sz w:val="18"/>
          <w:szCs w:val="18"/>
        </w:rPr>
        <w:t>具体的申购时间以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bCs/>
          <w:color w:val="auto"/>
          <w:sz w:val="18"/>
          <w:szCs w:val="18"/>
        </w:rPr>
        <w:t>为准。</w:t>
      </w:r>
      <w:r>
        <w:rPr>
          <w:rFonts w:hint="eastAsia" w:asciiTheme="minorEastAsia" w:hAnsiTheme="minorEastAsia"/>
          <w:sz w:val="18"/>
          <w:szCs w:val="18"/>
        </w:rPr>
        <w:t>投资者可于开放日内申购，产品管理人公告暂停开放的日期除外</w:t>
      </w:r>
      <w:r>
        <w:rPr>
          <w:rFonts w:hint="eastAsia" w:asciiTheme="majorEastAsia" w:hAnsiTheme="majorEastAsia" w:eastAsiaTheme="majorEastAsia"/>
          <w:bCs/>
          <w:sz w:val="18"/>
          <w:szCs w:val="18"/>
        </w:rPr>
        <w:t>。</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2.申购的方式</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投资者可通过</w:t>
      </w:r>
      <w:r>
        <w:rPr>
          <w:rFonts w:hint="eastAsia" w:asciiTheme="minorEastAsia" w:hAnsiTheme="minorEastAsia"/>
          <w:bCs/>
          <w:color w:val="auto"/>
          <w:sz w:val="18"/>
          <w:szCs w:val="18"/>
        </w:rPr>
        <w:t>销售机构的销售</w:t>
      </w:r>
      <w:r>
        <w:rPr>
          <w:rFonts w:asciiTheme="minorEastAsia" w:hAnsiTheme="minorEastAsia"/>
          <w:bCs/>
          <w:color w:val="auto"/>
          <w:sz w:val="18"/>
          <w:szCs w:val="18"/>
        </w:rPr>
        <w:t>渠道</w:t>
      </w:r>
      <w:r>
        <w:rPr>
          <w:rFonts w:hint="eastAsia" w:asciiTheme="minorEastAsia" w:hAnsiTheme="minorEastAsia"/>
          <w:bCs/>
          <w:color w:val="auto"/>
          <w:sz w:val="18"/>
          <w:szCs w:val="18"/>
        </w:rPr>
        <w:t>申购。不同销售机构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渠道，申购确认时效可能存在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投资者通过</w:t>
      </w:r>
      <w:r>
        <w:rPr>
          <w:rFonts w:hint="eastAsia" w:asciiTheme="minorEastAsia" w:hAnsiTheme="minorEastAsia"/>
          <w:bCs/>
          <w:color w:val="auto"/>
          <w:sz w:val="18"/>
          <w:szCs w:val="18"/>
        </w:rPr>
        <w:t>销售机构线下</w:t>
      </w:r>
      <w:r>
        <w:rPr>
          <w:rFonts w:asciiTheme="minorEastAsia" w:hAnsiTheme="minorEastAsia"/>
          <w:bCs/>
          <w:color w:val="auto"/>
          <w:sz w:val="18"/>
          <w:szCs w:val="18"/>
        </w:rPr>
        <w:t>渠道申购</w:t>
      </w:r>
      <w:r>
        <w:rPr>
          <w:rFonts w:hint="eastAsia" w:asciiTheme="minorEastAsia" w:hAnsiTheme="minorEastAsia"/>
          <w:bCs/>
          <w:color w:val="auto"/>
          <w:sz w:val="18"/>
          <w:szCs w:val="18"/>
        </w:rPr>
        <w:t>的，应签署有关理财产品销售文件。</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投资者通过销售机构线上渠道申购的，应根据销售机构线上渠道的具体要求执行。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申购的确认</w:t>
      </w:r>
    </w:p>
    <w:p>
      <w:pPr>
        <w:spacing w:line="360" w:lineRule="auto"/>
        <w:ind w:firstLine="360" w:firstLineChars="200"/>
        <w:rPr>
          <w:rFonts w:asciiTheme="minorEastAsia" w:hAnsiTheme="minorEastAsia"/>
          <w:bCs/>
          <w:sz w:val="18"/>
          <w:szCs w:val="18"/>
        </w:rPr>
      </w:pPr>
      <w:r>
        <w:rPr>
          <w:rFonts w:hint="eastAsia" w:asciiTheme="minorEastAsia" w:hAnsiTheme="minorEastAsia"/>
          <w:sz w:val="18"/>
          <w:szCs w:val="18"/>
        </w:rPr>
        <w:t>详见《产品说明书》“第二条 理财产品基本情况”</w:t>
      </w:r>
      <w:r>
        <w:rPr>
          <w:rFonts w:hint="eastAsia"/>
          <w:bCs/>
          <w:sz w:val="18"/>
          <w:szCs w:val="18"/>
        </w:rPr>
        <w:t>。</w:t>
      </w:r>
    </w:p>
    <w:p>
      <w:pPr>
        <w:pStyle w:val="34"/>
        <w:spacing w:line="360" w:lineRule="auto"/>
        <w:ind w:firstLine="360" w:firstLineChars="200"/>
        <w:rPr>
          <w:rFonts w:asciiTheme="minorEastAsia" w:hAnsiTheme="minorEastAsia"/>
          <w:color w:val="auto"/>
          <w:sz w:val="18"/>
        </w:rPr>
      </w:pPr>
      <w:r>
        <w:rPr>
          <w:rFonts w:hint="eastAsia" w:asciiTheme="majorEastAsia" w:hAnsiTheme="majorEastAsia" w:eastAsiaTheme="majorEastAsia"/>
          <w:color w:val="auto"/>
          <w:sz w:val="18"/>
          <w:szCs w:val="18"/>
        </w:rPr>
        <w:t>提交申购申请并不代表申购成功，产品管理人将在申购确认日确认投资者是否申购成功，是否成功以管理人的确认结果为准</w:t>
      </w:r>
      <w:r>
        <w:rPr>
          <w:rFonts w:hint="eastAsia" w:asciiTheme="minorEastAsia" w:hAnsiTheme="minorEastAsia" w:eastAsiaTheme="minorEastAsia"/>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.申购</w:t>
      </w:r>
      <w:r>
        <w:rPr>
          <w:rFonts w:asciiTheme="minorEastAsia" w:hAnsiTheme="minorEastAsia"/>
          <w:b/>
          <w:bCs/>
          <w:sz w:val="18"/>
          <w:szCs w:val="18"/>
        </w:rPr>
        <w:t>的价格</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inorEastAsia" w:hAnsiTheme="minorEastAsia" w:eastAsiaTheme="minorEastAsia"/>
          <w:color w:val="auto"/>
          <w:sz w:val="18"/>
          <w:szCs w:val="18"/>
        </w:rPr>
        <w:t>本产品的申购价格为每份理财份额人民币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申购的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pStyle w:val="34"/>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sz w:val="18"/>
          <w:szCs w:val="18"/>
        </w:rPr>
        <w:t>申购份额计算</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本产品的申购金额包括申购费用和净申购金额。申购份额的计算公式为：</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净申购金额=申购金额/（1+申购费率）</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申购费用=申购金额－净申购金额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申购份额=净申购金额/</w:t>
      </w:r>
      <w:r>
        <w:rPr>
          <w:rFonts w:asciiTheme="minorEastAsia" w:hAnsiTheme="minorEastAsia" w:eastAsiaTheme="minorEastAsia"/>
          <w:color w:val="auto"/>
          <w:sz w:val="18"/>
          <w:szCs w:val="18"/>
        </w:rPr>
        <w:t>1.00</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上述计算结果均按四舍五入方法，保留到小数点后2位，由此产生的收益或损失由理财产品承担。</w:t>
      </w:r>
    </w:p>
    <w:p>
      <w:pPr>
        <w:pStyle w:val="3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申购的起点和递增金额</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w:t>
      </w:r>
      <w:r>
        <w:rPr>
          <w:rFonts w:hint="eastAsia" w:asciiTheme="minorEastAsia" w:hAnsiTheme="minorEastAsia" w:eastAsiaTheme="minorEastAsia"/>
          <w:b/>
          <w:color w:val="auto"/>
          <w:sz w:val="18"/>
          <w:szCs w:val="18"/>
        </w:rPr>
        <w:t>申购</w:t>
      </w:r>
      <w:r>
        <w:rPr>
          <w:rFonts w:asciiTheme="minorEastAsia" w:hAnsiTheme="minorEastAsia" w:eastAsiaTheme="minorEastAsia"/>
          <w:b/>
          <w:color w:val="auto"/>
          <w:sz w:val="18"/>
          <w:szCs w:val="18"/>
        </w:rPr>
        <w:t>的数量限制</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（二）理财产品的赎回</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赎回的时间</w:t>
      </w:r>
    </w:p>
    <w:p>
      <w:pPr>
        <w:pStyle w:val="34"/>
        <w:spacing w:line="360" w:lineRule="auto"/>
        <w:ind w:firstLine="360" w:firstLineChars="200"/>
        <w:rPr>
          <w:rFonts w:asciiTheme="majorEastAsia" w:hAnsiTheme="majorEastAsia"/>
          <w:color w:val="auto"/>
          <w:sz w:val="18"/>
        </w:rPr>
      </w:pPr>
      <w:r>
        <w:rPr>
          <w:rFonts w:hint="eastAsia" w:asciiTheme="majorEastAsia" w:hAnsiTheme="majorEastAsia"/>
          <w:color w:val="auto"/>
          <w:sz w:val="18"/>
        </w:rPr>
        <w:t>本产品设置开放期，</w:t>
      </w:r>
      <w:r>
        <w:rPr>
          <w:rFonts w:hint="eastAsia" w:asciiTheme="majorEastAsia" w:hAnsiTheme="majorEastAsia" w:eastAsiaTheme="majorEastAsia"/>
          <w:bCs/>
          <w:color w:val="auto"/>
          <w:sz w:val="18"/>
          <w:szCs w:val="18"/>
        </w:rPr>
        <w:t>具体的赎回时间以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bCs/>
          <w:color w:val="auto"/>
          <w:sz w:val="18"/>
          <w:szCs w:val="18"/>
        </w:rPr>
        <w:t>为准。</w:t>
      </w:r>
      <w:r>
        <w:rPr>
          <w:rFonts w:hint="eastAsia" w:asciiTheme="minorEastAsia" w:hAnsiTheme="minorEastAsia"/>
          <w:sz w:val="18"/>
          <w:szCs w:val="18"/>
        </w:rPr>
        <w:t>投资者可于开放日内赎回，产品管理人公告暂停开放的日期除外</w:t>
      </w:r>
      <w:r>
        <w:rPr>
          <w:rFonts w:hint="eastAsia" w:asciiTheme="majorEastAsia" w:hAnsiTheme="majorEastAsia" w:eastAsiaTheme="majorEastAsia"/>
          <w:bCs/>
          <w:sz w:val="18"/>
          <w:szCs w:val="18"/>
        </w:rPr>
        <w:t>。</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2.赎回的方式</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投资者可通过</w:t>
      </w:r>
      <w:r>
        <w:rPr>
          <w:rFonts w:hint="eastAsia" w:asciiTheme="majorEastAsia" w:hAnsiTheme="majorEastAsia" w:eastAsiaTheme="majorEastAsia"/>
          <w:color w:val="auto"/>
          <w:sz w:val="18"/>
          <w:szCs w:val="18"/>
        </w:rPr>
        <w:t>销售机构的销售</w:t>
      </w:r>
      <w:r>
        <w:rPr>
          <w:rFonts w:asciiTheme="majorEastAsia" w:hAnsiTheme="majorEastAsia" w:eastAsiaTheme="majorEastAsia"/>
          <w:color w:val="auto"/>
          <w:sz w:val="18"/>
          <w:szCs w:val="18"/>
        </w:rPr>
        <w:t>渠道</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w:t>
      </w:r>
      <w:r>
        <w:rPr>
          <w:rFonts w:hint="eastAsia" w:asciiTheme="minorEastAsia" w:hAnsiTheme="minorEastAsia"/>
          <w:bCs/>
          <w:color w:val="auto"/>
          <w:sz w:val="18"/>
          <w:szCs w:val="18"/>
        </w:rPr>
        <w:t>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渠道，赎回确认时效可能存在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w:t>
      </w:r>
      <w:r>
        <w:rPr>
          <w:rFonts w:asciiTheme="minorEastAsia" w:hAnsiTheme="minorEastAsia" w:eastAsiaTheme="minorEastAsia"/>
          <w:color w:val="auto"/>
          <w:sz w:val="18"/>
          <w:szCs w:val="18"/>
        </w:rPr>
        <w:t>渠道赎回的</w:t>
      </w:r>
      <w:r>
        <w:rPr>
          <w:rFonts w:hint="eastAsia" w:asciiTheme="majorEastAsia" w:hAnsiTheme="majorEastAsia" w:eastAsiaTheme="majorEastAsia"/>
          <w:color w:val="auto"/>
          <w:sz w:val="18"/>
          <w:szCs w:val="18"/>
        </w:rPr>
        <w:t>，应签署</w:t>
      </w:r>
      <w:r>
        <w:rPr>
          <w:rFonts w:hint="eastAsia" w:asciiTheme="minorEastAsia" w:hAnsiTheme="minorEastAsia"/>
          <w:bCs/>
          <w:color w:val="auto"/>
          <w:sz w:val="18"/>
          <w:szCs w:val="18"/>
        </w:rPr>
        <w:t>有关理财产品销售文件</w:t>
      </w:r>
      <w:r>
        <w:rPr>
          <w:rFonts w:hint="eastAsia" w:asciiTheme="majorEastAsia" w:hAnsiTheme="majorEastAsia" w:eastAsiaTheme="majorEastAsia"/>
          <w:color w:val="auto"/>
          <w:sz w:val="18"/>
          <w:szCs w:val="18"/>
        </w:rPr>
        <w:t>。</w:t>
      </w:r>
    </w:p>
    <w:p>
      <w:pPr>
        <w:pStyle w:val="34"/>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color w:val="auto"/>
          <w:sz w:val="18"/>
          <w:szCs w:val="18"/>
        </w:rPr>
        <w:t>投资者通过销售机构线上渠道</w:t>
      </w:r>
      <w:r>
        <w:rPr>
          <w:rFonts w:hint="eastAsia" w:asciiTheme="minorEastAsia" w:hAnsiTheme="minorEastAsia" w:eastAsiaTheme="minorEastAsia"/>
          <w:color w:val="auto"/>
          <w:sz w:val="18"/>
          <w:szCs w:val="18"/>
        </w:rPr>
        <w:t>赎回的，</w:t>
      </w:r>
      <w:r>
        <w:rPr>
          <w:rFonts w:hint="eastAsia" w:asciiTheme="minorEastAsia" w:hAnsiTheme="minorEastAsia"/>
          <w:bCs/>
          <w:color w:val="auto"/>
          <w:sz w:val="18"/>
          <w:szCs w:val="18"/>
        </w:rPr>
        <w:t>应根据销售机构线上渠道的具体要求执行。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赎回的确认</w:t>
      </w:r>
    </w:p>
    <w:p>
      <w:pPr>
        <w:spacing w:line="360" w:lineRule="auto"/>
        <w:ind w:firstLine="360" w:firstLineChars="200"/>
        <w:rPr>
          <w:rFonts w:asciiTheme="minorEastAsia" w:hAnsiTheme="minorEastAsia"/>
          <w:bCs/>
          <w:sz w:val="18"/>
          <w:szCs w:val="18"/>
        </w:rPr>
      </w:pPr>
      <w:r>
        <w:rPr>
          <w:rFonts w:hint="eastAsia" w:asciiTheme="minorEastAsia" w:hAnsiTheme="minorEastAsia"/>
          <w:sz w:val="18"/>
          <w:szCs w:val="18"/>
        </w:rPr>
        <w:t>详见《产品说明书》“第二条 理财产品基本情况”</w:t>
      </w:r>
      <w:r>
        <w:rPr>
          <w:rFonts w:hint="eastAsia"/>
          <w:bCs/>
          <w:sz w:val="18"/>
          <w:szCs w:val="18"/>
        </w:rPr>
        <w:t>。</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color w:val="auto"/>
          <w:sz w:val="18"/>
          <w:szCs w:val="18"/>
        </w:rPr>
        <w:t>提交赎回申请并不代表赎回成功，产品管理人将在赎回确认日确认投资者是否赎回成功，是否成功以管理人的确认结果为准</w:t>
      </w:r>
      <w:r>
        <w:rPr>
          <w:rFonts w:hint="eastAsia" w:asciiTheme="minorEastAsia" w:hAnsiTheme="minorEastAsia" w:eastAsiaTheme="minorEastAsia"/>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.赎回</w:t>
      </w:r>
      <w:r>
        <w:rPr>
          <w:rFonts w:asciiTheme="minorEastAsia" w:hAnsiTheme="minorEastAsia"/>
          <w:b/>
          <w:bCs/>
          <w:sz w:val="18"/>
          <w:szCs w:val="18"/>
        </w:rPr>
        <w:t>的价格</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inorEastAsia" w:hAnsiTheme="minorEastAsia" w:eastAsiaTheme="minorEastAsia"/>
          <w:color w:val="auto"/>
          <w:sz w:val="18"/>
          <w:szCs w:val="18"/>
        </w:rPr>
        <w:t>本产品的赎回价格为每份理财份额人民币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赎回的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pStyle w:val="34"/>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color w:val="auto"/>
          <w:sz w:val="18"/>
          <w:szCs w:val="18"/>
        </w:rPr>
        <w:t>赎回</w:t>
      </w:r>
      <w:r>
        <w:rPr>
          <w:rFonts w:hint="eastAsia" w:asciiTheme="minorEastAsia" w:hAnsiTheme="minorEastAsia"/>
          <w:b/>
          <w:bCs/>
          <w:sz w:val="18"/>
          <w:szCs w:val="18"/>
        </w:rPr>
        <w:t>金额计算</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本产品赎回</w:t>
      </w:r>
      <w:r>
        <w:rPr>
          <w:rFonts w:asciiTheme="minorEastAsia" w:hAnsiTheme="minorEastAsia"/>
          <w:bCs/>
          <w:color w:val="auto"/>
          <w:sz w:val="18"/>
          <w:szCs w:val="18"/>
        </w:rPr>
        <w:t>金额</w:t>
      </w:r>
      <w:r>
        <w:rPr>
          <w:rFonts w:hint="eastAsia" w:asciiTheme="minorEastAsia" w:hAnsiTheme="minorEastAsia"/>
          <w:bCs/>
          <w:color w:val="auto"/>
          <w:sz w:val="18"/>
          <w:szCs w:val="18"/>
        </w:rPr>
        <w:t>的计算公式如下：</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赎回总金额=赎回份额×1</w:t>
      </w:r>
      <w:r>
        <w:rPr>
          <w:rFonts w:asciiTheme="majorEastAsia" w:hAnsiTheme="majorEastAsia" w:eastAsiaTheme="majorEastAsia"/>
          <w:color w:val="auto"/>
          <w:sz w:val="18"/>
          <w:szCs w:val="18"/>
        </w:rPr>
        <w:t>.00</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赎回费用=赎回总金额×赎回费率</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净赎回金额=赎回总金额-赎回费用</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上述计算结果均按四舍五入方法，保留到小数点后</w:t>
      </w: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位，由此产生的收益或损失由理财产品承担。</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7.</w:t>
      </w:r>
      <w:r>
        <w:rPr>
          <w:rFonts w:hint="eastAsia" w:asciiTheme="minorEastAsia" w:hAnsiTheme="minorEastAsia"/>
          <w:b/>
          <w:bCs/>
          <w:color w:val="auto"/>
          <w:sz w:val="18"/>
          <w:szCs w:val="18"/>
        </w:rPr>
        <w:t>赎回</w:t>
      </w:r>
      <w:r>
        <w:rPr>
          <w:rFonts w:asciiTheme="minorEastAsia" w:hAnsiTheme="minorEastAsia" w:eastAsiaTheme="minorEastAsia"/>
          <w:b/>
          <w:color w:val="auto"/>
          <w:sz w:val="18"/>
          <w:szCs w:val="18"/>
        </w:rPr>
        <w:t>的数量限制</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（三）</w:t>
      </w:r>
      <w:r>
        <w:rPr>
          <w:rFonts w:hint="eastAsia" w:asciiTheme="majorEastAsia" w:hAnsiTheme="majorEastAsia" w:eastAsiaTheme="majorEastAsia"/>
          <w:b/>
          <w:color w:val="auto"/>
          <w:sz w:val="18"/>
          <w:szCs w:val="18"/>
        </w:rPr>
        <w:t>申购与赎回的原则</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金额申购、份额赎回</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原则，即申购以金额申请，赎回以份额申请。</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color w:val="auto"/>
          <w:sz w:val="18"/>
          <w:szCs w:val="18"/>
        </w:rPr>
        <w:t>2.</w:t>
      </w:r>
      <w:r>
        <w:rPr>
          <w:rFonts w:asciiTheme="majorEastAsia" w:hAnsiTheme="majorEastAsia" w:eastAsiaTheme="majorEastAsia"/>
          <w:bCs/>
          <w:color w:val="auto"/>
          <w:sz w:val="18"/>
          <w:szCs w:val="18"/>
        </w:rPr>
        <w:t>申购和赎回采用</w:t>
      </w:r>
      <w:r>
        <w:rPr>
          <w:rFonts w:hint="eastAsia" w:asciiTheme="majorEastAsia" w:hAnsiTheme="majorEastAsia" w:eastAsiaTheme="majorEastAsia"/>
          <w:bCs/>
          <w:color w:val="auto"/>
          <w:sz w:val="18"/>
          <w:szCs w:val="18"/>
        </w:rPr>
        <w:t>“确定价</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原则，即本产品申购申请和赎回申请提交时，适用的产品份额净值都是</w:t>
      </w:r>
      <w:r>
        <w:rPr>
          <w:rFonts w:hint="eastAsia" w:asciiTheme="minorEastAsia" w:hAnsiTheme="minorEastAsia" w:eastAsiaTheme="minorEastAsia"/>
          <w:color w:val="auto"/>
          <w:sz w:val="18"/>
          <w:szCs w:val="18"/>
        </w:rPr>
        <w:t>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3.</w:t>
      </w:r>
      <w:r>
        <w:rPr>
          <w:rFonts w:asciiTheme="majorEastAsia" w:hAnsiTheme="majorEastAsia" w:eastAsiaTheme="majorEastAsia"/>
          <w:color w:val="auto"/>
          <w:sz w:val="18"/>
          <w:szCs w:val="18"/>
        </w:rPr>
        <w:t>申购</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申请可以在对应</w:t>
      </w:r>
      <w:r>
        <w:rPr>
          <w:rFonts w:hint="eastAsia" w:asciiTheme="majorEastAsia" w:hAnsiTheme="majorEastAsia" w:eastAsiaTheme="majorEastAsia"/>
          <w:color w:val="auto"/>
          <w:sz w:val="18"/>
          <w:szCs w:val="18"/>
        </w:rPr>
        <w:t>开放日</w:t>
      </w:r>
      <w:permStart w:id="14" w:edGrp="everyone"/>
      <w:r>
        <w:rPr>
          <w:rFonts w:hint="eastAsia"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lang w:val="en-US" w:eastAsia="zh-CN"/>
        </w:rPr>
        <w:t>17:00</w:t>
      </w:r>
      <w:r>
        <w:rPr>
          <w:rFonts w:hint="eastAsia" w:asciiTheme="majorEastAsia" w:hAnsiTheme="majorEastAsia" w:eastAsiaTheme="majorEastAsia"/>
          <w:color w:val="auto"/>
          <w:sz w:val="18"/>
          <w:szCs w:val="18"/>
        </w:rPr>
        <w:t>】</w:t>
      </w:r>
      <w:permEnd w:id="14"/>
      <w:r>
        <w:rPr>
          <w:rFonts w:asciiTheme="majorEastAsia" w:hAnsiTheme="majorEastAsia" w:eastAsiaTheme="majorEastAsia"/>
          <w:color w:val="auto"/>
          <w:sz w:val="18"/>
          <w:szCs w:val="18"/>
        </w:rPr>
        <w:t>截止前撤销</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（四）拒绝或暂停申购的情形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w:t>
      </w:r>
      <w:r>
        <w:rPr>
          <w:rFonts w:asciiTheme="majorEastAsia" w:hAnsiTheme="majorEastAsia" w:eastAsiaTheme="majorEastAsia"/>
          <w:color w:val="auto"/>
          <w:sz w:val="18"/>
          <w:szCs w:val="18"/>
        </w:rPr>
        <w:t>申购申请：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.发生暂停理财资产估值情况时，产品管理人可暂停接受投资者的申购申请。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.本产品出现当日净收益小于零的情形，为保护持有人的权益，产品管理人可暂停本产品的申购。</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.产品管理人认为接受某笔或某些申购申请可能会影响或损害现有理财份额持有人权益时。</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.理财产品规模过大，产品管理人无法找到合适的投资品种，或其他可能对理财业绩产生负面影响，从而损害现有理财份额持有人权益的情形。</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7</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8</w:t>
      </w:r>
      <w:r>
        <w:rPr>
          <w:rFonts w:hint="eastAsia" w:asciiTheme="majorEastAsia" w:hAnsiTheme="majorEastAsia" w:eastAsiaTheme="majorEastAsia"/>
          <w:color w:val="auto"/>
          <w:sz w:val="18"/>
          <w:szCs w:val="18"/>
        </w:rPr>
        <w:t>.法律法规规定或监管机构认定的其他情形。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如果投资者的申购申请被拒绝，被拒绝的申购款项将退还给投资者。在暂停申购的情况消除时，产品管理人应及时恢复申购业务的办理。</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（五）暂停赎回或延缓支付赎回款项的情形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发生下列情形时，产品管理人可暂停接受投资者的赎回申请或延缓支付赎回款项：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.因不可抗力导致产品管理人不能支付赎回款项。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.发生暂停理财资产估值情况时，产品管理人可暂停接受投资者的赎回申请或延缓支付赎回款项。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证券交易所或银行间市场出现异常市场情况，管理人无法</w:t>
      </w:r>
      <w:r>
        <w:rPr>
          <w:rFonts w:hint="eastAsia" w:asciiTheme="majorEastAsia" w:hAnsiTheme="majorEastAsia" w:eastAsiaTheme="majorEastAsia"/>
          <w:color w:val="auto"/>
          <w:sz w:val="18"/>
          <w:szCs w:val="18"/>
        </w:rPr>
        <w:t>开展产品的</w:t>
      </w:r>
      <w:r>
        <w:rPr>
          <w:rFonts w:asciiTheme="majorEastAsia" w:hAnsiTheme="majorEastAsia" w:eastAsiaTheme="majorEastAsia"/>
          <w:color w:val="auto"/>
          <w:sz w:val="18"/>
          <w:szCs w:val="18"/>
        </w:rPr>
        <w:t>流动性</w:t>
      </w:r>
      <w:r>
        <w:rPr>
          <w:rFonts w:hint="eastAsia" w:asciiTheme="majorEastAsia" w:hAnsiTheme="majorEastAsia" w:eastAsiaTheme="majorEastAsia"/>
          <w:color w:val="auto"/>
          <w:sz w:val="18"/>
          <w:szCs w:val="18"/>
        </w:rPr>
        <w:t>管理</w:t>
      </w:r>
      <w:r>
        <w:rPr>
          <w:rFonts w:asciiTheme="majorEastAsia" w:hAnsiTheme="majorEastAsia" w:eastAsiaTheme="majorEastAsia"/>
          <w:color w:val="auto"/>
          <w:sz w:val="18"/>
          <w:szCs w:val="18"/>
        </w:rPr>
        <w:t>。</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.本产品出现当日净收益小于零的情形，为保护持有人的权益，产品管理人可暂停本产品的赎回。</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.发生单个投资者在赎回日申请赎回的理财产品份额超过限额的。</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7.发生巨额赎回。</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8.产品管理人和产品托管人的技术保障等异常情况导致理财销售系统或会计系统无法正常运行。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9.证券交易所或银行间市场数据传输延迟、通讯系统故障、银行系统故障或其他非产品管理人及产品托管人所能控制的因素影响了产品运作流程。</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10.法律法规规定或监管机构认定的其他情形。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bCs/>
          <w:sz w:val="18"/>
          <w:szCs w:val="18"/>
        </w:rPr>
        <w:t>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w:t>
      </w:r>
      <w:r>
        <w:rPr>
          <w:rFonts w:hint="eastAsia" w:asciiTheme="majorEastAsia" w:hAnsiTheme="majorEastAsia" w:eastAsiaTheme="majorEastAsia"/>
          <w:color w:val="auto"/>
          <w:sz w:val="18"/>
          <w:szCs w:val="18"/>
        </w:rPr>
        <w:t>在暂停赎回或延缓支付赎回款项的情况消除时，产品管理人应及时恢复赎回或支付业务赎回款项的办理。</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（六）巨额赎回的情形及</w:t>
      </w:r>
      <w:r>
        <w:rPr>
          <w:rFonts w:asciiTheme="majorEastAsia" w:hAnsiTheme="majorEastAsia" w:eastAsiaTheme="majorEastAsia"/>
          <w:b/>
          <w:color w:val="auto"/>
          <w:sz w:val="18"/>
          <w:szCs w:val="18"/>
        </w:rPr>
        <w:t>处理方式</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巨额赎回的认定</w:t>
      </w:r>
    </w:p>
    <w:p>
      <w:pPr>
        <w:widowControl/>
        <w:spacing w:line="360" w:lineRule="auto"/>
        <w:ind w:firstLine="360" w:firstLineChars="200"/>
        <w:jc w:val="left"/>
        <w:rPr>
          <w:rFonts w:asciiTheme="minorEastAsia" w:hAnsiTheme="minorEastAsia" w:eastAsiaTheme="minorEastAsia"/>
          <w:sz w:val="18"/>
          <w:szCs w:val="18"/>
        </w:rPr>
      </w:pPr>
      <w:r>
        <w:rPr>
          <w:rFonts w:hint="eastAsia" w:asciiTheme="minorEastAsia" w:hAnsiTheme="minorEastAsia" w:eastAsiaTheme="minorEastAsia"/>
          <w:sz w:val="18"/>
          <w:szCs w:val="18"/>
        </w:rPr>
        <w:t>详见《产品说明书》“第二条 理财产品基本情况”。</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巨额赎回的处理方式</w:t>
      </w:r>
    </w:p>
    <w:p>
      <w:pPr>
        <w:widowControl/>
        <w:spacing w:line="360" w:lineRule="auto"/>
        <w:ind w:firstLine="360" w:firstLineChars="200"/>
        <w:jc w:val="left"/>
        <w:rPr>
          <w:rFonts w:asciiTheme="minorEastAsia" w:hAnsiTheme="minorEastAsia"/>
          <w:bCs/>
          <w:sz w:val="18"/>
          <w:szCs w:val="18"/>
        </w:rPr>
      </w:pPr>
      <w:r>
        <w:rPr>
          <w:rFonts w:hint="eastAsia" w:asciiTheme="majorEastAsia" w:hAnsiTheme="majorEastAsia" w:eastAsiaTheme="majorEastAsia"/>
          <w:bCs/>
          <w:sz w:val="18"/>
          <w:szCs w:val="18"/>
        </w:rPr>
        <w:t>出现巨额赎回时，产品管理人有权决定：（1）申购申请不得撤销；（2）</w:t>
      </w:r>
      <w:r>
        <w:rPr>
          <w:rFonts w:asciiTheme="majorEastAsia" w:hAnsiTheme="majorEastAsia" w:eastAsiaTheme="majorEastAsia"/>
          <w:bCs/>
          <w:sz w:val="18"/>
          <w:szCs w:val="18"/>
        </w:rPr>
        <w:t>不接受</w:t>
      </w:r>
      <w:r>
        <w:rPr>
          <w:rFonts w:hint="eastAsia" w:asciiTheme="majorEastAsia" w:hAnsiTheme="majorEastAsia" w:eastAsiaTheme="majorEastAsia"/>
          <w:bCs/>
          <w:sz w:val="18"/>
          <w:szCs w:val="18"/>
        </w:rPr>
        <w:t>超出部分的净赎回申请，但投资者可于下一开放日重新进行赎回申请；（</w:t>
      </w:r>
      <w:r>
        <w:rPr>
          <w:rFonts w:asciiTheme="majorEastAsia" w:hAnsiTheme="majorEastAsia" w:eastAsiaTheme="majorEastAsia"/>
          <w:bCs/>
          <w:sz w:val="18"/>
          <w:szCs w:val="18"/>
        </w:rPr>
        <w:t>3）延缓支付赎回款项</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如产品管理人认为有必要，</w:t>
      </w:r>
      <w:r>
        <w:rPr>
          <w:rFonts w:hint="eastAsia" w:asciiTheme="majorEastAsia" w:hAnsiTheme="majorEastAsia" w:eastAsiaTheme="majorEastAsia"/>
          <w:bCs/>
          <w:sz w:val="18"/>
          <w:szCs w:val="18"/>
        </w:rPr>
        <w:t>针对</w:t>
      </w:r>
      <w:r>
        <w:rPr>
          <w:rFonts w:asciiTheme="majorEastAsia" w:hAnsiTheme="majorEastAsia" w:eastAsiaTheme="majorEastAsia"/>
          <w:bCs/>
          <w:sz w:val="18"/>
          <w:szCs w:val="18"/>
        </w:rPr>
        <w:t>已经</w:t>
      </w:r>
      <w:r>
        <w:rPr>
          <w:rFonts w:hint="eastAsia" w:asciiTheme="majorEastAsia" w:hAnsiTheme="majorEastAsia" w:eastAsiaTheme="majorEastAsia"/>
          <w:bCs/>
          <w:sz w:val="18"/>
          <w:szCs w:val="18"/>
        </w:rPr>
        <w:t>确认</w:t>
      </w:r>
      <w:r>
        <w:rPr>
          <w:rFonts w:asciiTheme="majorEastAsia" w:hAnsiTheme="majorEastAsia" w:eastAsiaTheme="majorEastAsia"/>
          <w:bCs/>
          <w:sz w:val="18"/>
          <w:szCs w:val="18"/>
        </w:rPr>
        <w:t>的赎回申请</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可以延缓支付赎回款项。延缓支付赎回款项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w:t>
      </w:r>
      <w:r>
        <w:rPr>
          <w:rFonts w:hint="eastAsia" w:asciiTheme="minorEastAsia" w:hAnsiTheme="minorEastAsia"/>
          <w:bCs/>
          <w:sz w:val="18"/>
          <w:szCs w:val="18"/>
        </w:rPr>
        <w:t>（4）理财产品连续两个开放日（含）发生因巨额赎回导致拒绝赎回情况的，产品管理人可暂停接受投资者的赎回申请。投资者根据产品管理人披露的开放日可重新进行申购和赎回；</w:t>
      </w:r>
      <w:r>
        <w:rPr>
          <w:rFonts w:hint="eastAsia" w:asciiTheme="majorEastAsia" w:hAnsiTheme="majorEastAsia" w:eastAsiaTheme="majorEastAsia"/>
          <w:bCs/>
          <w:sz w:val="18"/>
          <w:szCs w:val="18"/>
        </w:rPr>
        <w:t>（5）法律法规规定或监管机构规定的其他措施。</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巨额赎回的公告</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在发生巨额赎回产品管理人暂停接受投资者赎回申请时，产品管理人将依约定发布相关公告信息。</w:t>
      </w:r>
    </w:p>
    <w:p>
      <w:pPr>
        <w:pStyle w:val="3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（七）日期遇非工作日的调整</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申购日、申购确认日、赎回日以及赎回确认日等）如遇非工作日则产品管理人可做相应调整。产品管理人对上述日期保留变更的权利，调整后的日期以产品管理人发布的公告中所载明的日期为准。</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（八）投资者持有理财份额的限额和理财产品总规模限额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widowControl/>
        <w:spacing w:line="360" w:lineRule="auto"/>
        <w:jc w:val="left"/>
        <w:rPr>
          <w:rFonts w:asciiTheme="minorEastAsia" w:hAnsiTheme="minorEastAsia"/>
          <w:bCs/>
          <w:kern w:val="0"/>
          <w:sz w:val="18"/>
          <w:szCs w:val="18"/>
        </w:rPr>
      </w:pPr>
      <w:r>
        <w:rPr>
          <w:rFonts w:asciiTheme="minorEastAsia" w:hAnsiTheme="minorEastAsia"/>
          <w:bCs/>
          <w:sz w:val="18"/>
          <w:szCs w:val="18"/>
        </w:rPr>
        <w:br w:type="page"/>
      </w:r>
    </w:p>
    <w:bookmarkEnd w:id="9"/>
    <w:p>
      <w:pPr>
        <w:pStyle w:val="2"/>
        <w:spacing w:before="0" w:after="0" w:line="360" w:lineRule="auto"/>
        <w:jc w:val="center"/>
        <w:rPr>
          <w:rFonts w:ascii="Times New Roman"/>
          <w:sz w:val="30"/>
        </w:rPr>
      </w:pPr>
      <w:bookmarkStart w:id="15" w:name="_Toc22074"/>
      <w:bookmarkStart w:id="16" w:name="_Toc15203"/>
      <w:bookmarkStart w:id="17" w:name="_Toc6714"/>
      <w:bookmarkStart w:id="18" w:name="_Toc90742688"/>
      <w:bookmarkStart w:id="19" w:name="_Toc27226"/>
      <w:bookmarkStart w:id="20" w:name="_Toc29784"/>
      <w:bookmarkStart w:id="21" w:name="_Toc7151"/>
      <w:bookmarkStart w:id="22" w:name="_Toc3266"/>
      <w:bookmarkStart w:id="23" w:name="_Toc27189"/>
      <w:bookmarkStart w:id="24" w:name="_Toc16265"/>
      <w:bookmarkStart w:id="25" w:name="_Toc74065741"/>
      <w:bookmarkStart w:id="26" w:name="_Toc90742321"/>
      <w:bookmarkStart w:id="27" w:name="_Toc90742390"/>
      <w:bookmarkStart w:id="28" w:name="_Toc79154668"/>
      <w:bookmarkStart w:id="29" w:name="_Toc29948"/>
      <w:bookmarkStart w:id="30" w:name="_Toc2561"/>
      <w:bookmarkStart w:id="31" w:name="_Toc176189282"/>
      <w:r>
        <w:rPr>
          <w:rFonts w:ascii="Times New Roman"/>
          <w:sz w:val="30"/>
        </w:rPr>
        <w:t>第</w:t>
      </w:r>
      <w:r>
        <w:rPr>
          <w:rFonts w:hint="eastAsia" w:ascii="Times New Roman"/>
          <w:sz w:val="30"/>
        </w:rPr>
        <w:t>五条</w:t>
      </w:r>
      <w:r>
        <w:rPr>
          <w:rFonts w:ascii="Times New Roman"/>
          <w:sz w:val="30"/>
        </w:rPr>
        <w:t xml:space="preserve">  </w:t>
      </w:r>
      <w:r>
        <w:rPr>
          <w:rFonts w:hint="eastAsia" w:ascii="Times New Roman"/>
          <w:sz w:val="30"/>
        </w:rPr>
        <w:t>理财产品的投资</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pPr>
        <w:pStyle w:val="34"/>
        <w:spacing w:line="360" w:lineRule="auto"/>
        <w:ind w:firstLine="360" w:firstLineChars="200"/>
        <w:rPr>
          <w:rFonts w:asciiTheme="majorEastAsia" w:hAnsiTheme="majorEastAsia" w:eastAsiaTheme="majorEastAsia"/>
          <w:color w:val="auto"/>
          <w:sz w:val="18"/>
          <w:szCs w:val="18"/>
        </w:rPr>
      </w:pPr>
      <w:permStart w:id="15" w:edGrp="everyone"/>
      <w:r>
        <w:rPr>
          <w:rFonts w:hint="eastAsia" w:asciiTheme="majorEastAsia" w:hAnsiTheme="majorEastAsia" w:eastAsiaTheme="majorEastAsia"/>
          <w:color w:val="auto"/>
          <w:sz w:val="18"/>
          <w:szCs w:val="18"/>
        </w:rPr>
        <w:t>本产品为</w:t>
      </w:r>
      <w:r>
        <w:rPr>
          <w:rFonts w:asciiTheme="majorEastAsia" w:hAnsiTheme="majorEastAsia" w:eastAsiaTheme="majorEastAsia"/>
          <w:color w:val="auto"/>
          <w:sz w:val="18"/>
          <w:szCs w:val="18"/>
        </w:rPr>
        <w:t>固定收益类产品</w:t>
      </w:r>
      <w:r>
        <w:rPr>
          <w:rFonts w:hint="eastAsia" w:asciiTheme="majorEastAsia" w:hAnsiTheme="majorEastAsia" w:eastAsiaTheme="majorEastAsia"/>
          <w:color w:val="auto"/>
          <w:sz w:val="18"/>
          <w:szCs w:val="18"/>
        </w:rPr>
        <w:t>，在</w:t>
      </w:r>
      <w:r>
        <w:rPr>
          <w:rFonts w:hint="eastAsia" w:asciiTheme="minorEastAsia" w:hAnsiTheme="minorEastAsia" w:eastAsiaTheme="minorEastAsia"/>
          <w:color w:val="auto"/>
          <w:sz w:val="18"/>
          <w:szCs w:val="18"/>
        </w:rPr>
        <w:t>保持理财资产的低风险和高流动性的前提下，力争实现超越业绩比较基准的投资回报。</w:t>
      </w:r>
    </w:p>
    <w:permEnd w:id="15"/>
    <w:p>
      <w:pPr>
        <w:pStyle w:val="3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w:t>
      </w:r>
      <w:r>
        <w:rPr>
          <w:rFonts w:asciiTheme="majorEastAsia" w:hAnsiTheme="majorEastAsia" w:eastAsiaTheme="majorEastAsia"/>
          <w:bCs/>
          <w:sz w:val="18"/>
          <w:szCs w:val="18"/>
        </w:rPr>
        <w:t>主要投资范围包括但不限于</w:t>
      </w:r>
      <w:r>
        <w:rPr>
          <w:rFonts w:hint="eastAsia" w:asciiTheme="majorEastAsia" w:hAnsiTheme="majorEastAsia" w:eastAsiaTheme="majorEastAsia"/>
          <w:bCs/>
          <w:sz w:val="18"/>
          <w:szCs w:val="18"/>
        </w:rPr>
        <w:t>（实际投资范围可根据法律法规及监管规定进行调整）</w:t>
      </w:r>
      <w:r>
        <w:rPr>
          <w:rFonts w:asciiTheme="majorEastAsia" w:hAnsiTheme="majorEastAsia" w:eastAsiaTheme="majorEastAsia"/>
          <w:bCs/>
          <w:sz w:val="18"/>
          <w:szCs w:val="18"/>
        </w:rPr>
        <w:t>：</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permStart w:id="16" w:edGrp="everyone"/>
      <w:r>
        <w:rPr>
          <w:rFonts w:hint="eastAsia" w:asciiTheme="majorEastAsia" w:hAnsiTheme="majorEastAsia" w:eastAsiaTheme="majorEastAsia"/>
          <w:bCs/>
          <w:sz w:val="18"/>
          <w:szCs w:val="18"/>
        </w:rPr>
        <w:t>（1）现金；</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（2）期限在1年以内（含1年）的银行存款、债券回购、中央银行票据、同业存单；</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（3）剩余期限在397天以内（含397天）的债券、在银行间市场和证券交易所市场发行的资产支持证券；</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（4）监管部门、中国人民银行认可的其他具有良好流动性的货币市场工具。</w:t>
      </w:r>
    </w:p>
    <w:permEnd w:id="16"/>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直接或通过依法设立的资产管理产品（包括信托公司、证券公司、证券公司子公司、基金管理公司、基金管理子公司、期货公司、期货公司子公司、保险资产管理机构、金融资产投资公司发行的资产管理产品等）以及其他符合国家相关政策、法律法规的投资渠道和方式投资于上述资产。</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.投资组合比例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permStart w:id="17" w:edGrp="everyone"/>
      <w:r>
        <w:rPr>
          <w:rFonts w:hint="eastAsia" w:asciiTheme="majorEastAsia" w:hAnsiTheme="majorEastAsia" w:eastAsiaTheme="majorEastAsia"/>
          <w:bCs/>
          <w:sz w:val="18"/>
          <w:szCs w:val="18"/>
        </w:rPr>
        <w:t>本产品投资于债权类资产的比例不低于产品总资产的</w:t>
      </w:r>
      <w:r>
        <w:rPr>
          <w:rFonts w:asciiTheme="majorEastAsia" w:hAnsiTheme="majorEastAsia" w:eastAsiaTheme="majorEastAsia"/>
          <w:bCs/>
          <w:sz w:val="18"/>
          <w:szCs w:val="18"/>
        </w:rPr>
        <w:t>80%</w:t>
      </w:r>
      <w:r>
        <w:rPr>
          <w:rFonts w:hint="eastAsia" w:asciiTheme="majorEastAsia" w:hAnsiTheme="majorEastAsia" w:eastAsiaTheme="majorEastAsia"/>
          <w:bCs/>
          <w:sz w:val="18"/>
          <w:szCs w:val="18"/>
        </w:rPr>
        <w:t>。</w:t>
      </w:r>
    </w:p>
    <w:permEnd w:id="17"/>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4.如果法律法规对本销售文件约定投资组合比例限制进行变更的，以变更后的规定为准。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permStart w:id="18" w:edGrp="everyone"/>
      <w:r>
        <w:rPr>
          <w:rFonts w:hint="eastAsia" w:asciiTheme="majorEastAsia" w:hAnsiTheme="majorEastAsia" w:eastAsiaTheme="majorEastAsia"/>
          <w:bCs/>
          <w:sz w:val="18"/>
          <w:szCs w:val="18"/>
        </w:rPr>
        <w:t>【</w:t>
      </w:r>
      <w:r>
        <w:rPr>
          <w:rFonts w:ascii="黑体" w:hAnsi="黑体" w:eastAsia="黑体"/>
          <w:bCs/>
          <w:sz w:val="18"/>
          <w:szCs w:val="18"/>
        </w:rPr>
        <w:t>3】</w:t>
      </w:r>
      <w:r>
        <w:rPr>
          <w:rFonts w:hint="eastAsia" w:ascii="黑体" w:hAnsi="黑体" w:eastAsia="黑体"/>
          <w:bCs/>
          <w:sz w:val="18"/>
          <w:szCs w:val="18"/>
        </w:rPr>
        <w:t>个月</w:t>
      </w:r>
      <w:permEnd w:id="18"/>
      <w:r>
        <w:rPr>
          <w:rFonts w:hint="eastAsia" w:ascii="黑体" w:hAnsi="黑体" w:eastAsia="黑体"/>
          <w:bCs/>
          <w:sz w:val="18"/>
          <w:szCs w:val="18"/>
        </w:rPr>
        <w:t>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应当符合本销售文件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产品管理人应当根据市场情况调整投资范围、投资资产种类或投资比例，并进行相应公告。超出前述约定投资比例的，除高风险类型的理财产品超出比例范围投资较低风险资产外，</w:t>
      </w:r>
      <w:r>
        <w:rPr>
          <w:rFonts w:ascii="黑体" w:hAnsi="黑体" w:eastAsia="黑体"/>
          <w:bCs/>
          <w:sz w:val="18"/>
          <w:szCs w:val="18"/>
        </w:rPr>
        <w:t>投资者有权不接受变更</w:t>
      </w:r>
      <w:r>
        <w:rPr>
          <w:rFonts w:hint="eastAsia" w:ascii="黑体" w:hAnsi="黑体" w:eastAsia="黑体"/>
          <w:bCs/>
          <w:sz w:val="18"/>
          <w:szCs w:val="18"/>
        </w:rPr>
        <w:t>，并通过赎回退出本产品。</w:t>
      </w:r>
    </w:p>
    <w:p>
      <w:pPr>
        <w:pStyle w:val="3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w:t>
      </w:r>
      <w:r>
        <w:rPr>
          <w:rFonts w:hint="eastAsia" w:ascii="黑体" w:hAnsi="黑体" w:eastAsia="黑体"/>
          <w:bCs/>
          <w:sz w:val="18"/>
          <w:szCs w:val="18"/>
        </w:rPr>
        <w:t>销售文件</w:t>
      </w:r>
      <w:r>
        <w:rPr>
          <w:rFonts w:ascii="黑体" w:hAnsi="黑体" w:eastAsia="黑体"/>
          <w:bCs/>
          <w:sz w:val="18"/>
          <w:szCs w:val="18"/>
        </w:rPr>
        <w:t>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pPr>
        <w:pStyle w:val="34"/>
        <w:spacing w:line="360" w:lineRule="auto"/>
        <w:ind w:firstLine="271" w:firstLineChars="150"/>
      </w:pPr>
      <w:r>
        <w:rPr>
          <w:rFonts w:hint="eastAsia" w:asciiTheme="majorEastAsia" w:hAnsiTheme="majorEastAsia" w:eastAsiaTheme="majorEastAsia"/>
          <w:b/>
          <w:color w:val="auto"/>
          <w:sz w:val="18"/>
          <w:szCs w:val="18"/>
        </w:rPr>
        <w:t>（三）投资限制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pPr>
        <w:widowControl/>
        <w:spacing w:line="360" w:lineRule="auto"/>
        <w:ind w:firstLine="360" w:firstLineChars="200"/>
        <w:jc w:val="left"/>
        <w:rPr>
          <w:rFonts w:asciiTheme="majorEastAsia" w:hAnsiTheme="majorEastAsia" w:eastAsiaTheme="majorEastAsia"/>
          <w:bCs/>
          <w:kern w:val="0"/>
          <w:sz w:val="18"/>
          <w:szCs w:val="18"/>
        </w:rPr>
      </w:pPr>
      <w:permStart w:id="19" w:edGrp="everyone"/>
      <w:r>
        <w:rPr>
          <w:rFonts w:hint="eastAsia" w:asciiTheme="majorEastAsia" w:hAnsiTheme="majorEastAsia" w:eastAsiaTheme="majorEastAsia"/>
          <w:bCs/>
          <w:kern w:val="0"/>
          <w:sz w:val="18"/>
          <w:szCs w:val="18"/>
        </w:rPr>
        <w:t>（1）本产品不得投资于以下金融工具：</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1）股票；</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2）可转换债券、可交换债券；</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3）以定期存款利率为基准利率的浮动利率债券，已进入最后一个利率调整期的除外；</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4）信用等级在AA+以下的债券、资产支持证券；</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5）监管部门、中国人民银行禁止投资的其他金融工具。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（2）投资于同一机构发行的债券及其作为原始权益人的资产支持证券的比例合计不得超过产品资产净值的10%，投资于国债、中央银行票据、政策性金融债券的除外。</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投资于所有主体信用评级低于AAA的机构发行的金融工具的比例合计不得超过产品资产净值的10%，其中单一机构发行的金融工具的比例合计不得超过产品资产净值的2%。金融工具包括债券、银行存款、同业存单、相关机构作为原始权益人的资产支持证券及监管部门认可的其他金融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投资于有固定期限银行存款的比例合计不得超过产品资产净值的30%，投资于有存款期限，根据协议可提前支取的银行存款除外；投资于主体信用评级为AAA的同一商业银行的银行存款、同业存单占产品资产净值的比例合计不得超过20%。</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（5）全部现金管理类理财产品投资于同一商业银行的存款、同业存单和债券，不得超过该商业银行最近一个季度末净资产的10%。</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（6）投资于主体信用评级低于AA+的商业银行的银行存款与同业存单的，应当经产品管理人董事会审议批准，事先告知托管人，并作为重大事项履行信息披露程序。</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7）每只开放式公募理财产品和每个交易日开放的私募理财产品直接投资于流动性受限资产的市值在开放日不得超过该产品资产净值的15%。每只定期开放式私募理财产品直接投资于流动性受限资产的市值在开放日不得超过该产品资产净值的20%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面向单一投资者发行的私募理财产品可不受前款比例限制。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因证券市场波动、上市公司股票停牌、理财产品规模变动等因素导致理财产品不符合本款规定比例限制的，该理财产品不得主动新增投资流动性受限资产。</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w:t>
      </w:r>
      <w:r>
        <w:rPr>
          <w:rFonts w:hint="eastAsia" w:asciiTheme="majorEastAsia" w:hAnsiTheme="majorEastAsia" w:eastAsiaTheme="majorEastAsia"/>
          <w:bCs/>
          <w:sz w:val="18"/>
          <w:szCs w:val="18"/>
        </w:rPr>
        <w:t>）开放式公募理财产品定期开放周期不低于90天的，在开放日及开放日前7个工作日内持有不低于该产品资产净值5%的现金或者到期日在一年以内的国债、中央银行票据和政策性金融债券。其他开放式公募理财产品持续满足持有不低于该产品资产净值5%的现金或者到期日在一年以内的国债、中央银行票据和政策性金融债券。</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9）每只开放式理财产品每日确认且需当日支付的净赎回申请不超过前一工作日产品7个工作日可变现资产的可变现价值，监管部门另有规定的除外。在开放日前一工作日内，每只开放式理财产品7个工作日可变现资产的可变现价值应当不低于该产品资产净值的10%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面向单一投资者发行的私募理财产品可不受前款比例限制。</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非主观因素导致突破前款各项比例限制的，</w:t>
      </w:r>
      <w:r>
        <w:rPr>
          <w:rFonts w:hint="eastAsia" w:asciiTheme="majorEastAsia" w:hAnsiTheme="majorEastAsia" w:eastAsiaTheme="majorEastAsia"/>
          <w:bCs/>
          <w:sz w:val="18"/>
          <w:szCs w:val="18"/>
          <w:highlight w:val="yellow"/>
        </w:rPr>
        <w:t>产品管理人</w:t>
      </w:r>
      <w:r>
        <w:rPr>
          <w:rFonts w:hint="eastAsia" w:asciiTheme="majorEastAsia" w:hAnsiTheme="majorEastAsia" w:eastAsiaTheme="majorEastAsia"/>
          <w:bCs/>
          <w:sz w:val="18"/>
          <w:szCs w:val="18"/>
        </w:rPr>
        <w:t>应当在10个交易日内调整至符合要求，监管部门规定的特殊情形除外。</w:t>
      </w:r>
    </w:p>
    <w:permEnd w:id="19"/>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w:t>
      </w:r>
      <w:r>
        <w:rPr>
          <w:rFonts w:asciiTheme="majorEastAsia" w:hAnsiTheme="majorEastAsia" w:eastAsiaTheme="majorEastAsia"/>
          <w:bCs/>
          <w:sz w:val="18"/>
          <w:szCs w:val="18"/>
        </w:rPr>
        <w:t>本</w:t>
      </w:r>
      <w:r>
        <w:rPr>
          <w:rFonts w:hint="eastAsia" w:asciiTheme="majorEastAsia" w:hAnsiTheme="majorEastAsia" w:eastAsiaTheme="majorEastAsia"/>
          <w:bCs/>
          <w:sz w:val="18"/>
          <w:szCs w:val="18"/>
        </w:rPr>
        <w:t>产品持有足够的具有良好流动性的资产，投资组合符合以下要求：</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（1）产品持有不低于产品资产净值5%的现金、国债、中央银行票据、政策性金融债券；</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（2）产品持有不低于产品资产净值10%的现金、国债、中央银行票据、政策性金融债券以及五个交易日内到期的其他金融工具；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产品投资到期日在10个交易日以上的债券买入返售、银行定期存款（含协议约定有条件提前支取的银行存款），以及资产支持证券、因发行人债务违约无法进行转让或者交易的债券等由于法律法规、合同或者操作障碍等原因无法以合理价格予以变现的流动性受限资产，合计不得超过产品资产净值的10%；</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（4）产品的杠杆水平不得超过120%，发生巨额赎回、连续3个交易日累计赎回20%以上或者连续5个交易日累计赎回30%以上的情形除外。</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非主观因素导致突破前款第（2）（4）项比例限制的，产品管理人应当在10个交易日内调整至符合要求；非主观因素导致突破前款第（3）项比例限制的，产品管理人不得主动新增流动性受限资产的投资。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3.产品投资组合的平均剩余期限不得超过120天，平均剩余存续期限不得超过240天。</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w:t>
      </w:r>
      <w:r>
        <w:rPr>
          <w:rFonts w:asciiTheme="majorEastAsia" w:hAnsiTheme="majorEastAsia" w:eastAsiaTheme="majorEastAsia"/>
          <w:bCs/>
          <w:kern w:val="0"/>
          <w:sz w:val="18"/>
          <w:szCs w:val="18"/>
        </w:rPr>
        <w:t>.产品管理人对产品的投资者</w:t>
      </w:r>
      <w:r>
        <w:rPr>
          <w:rFonts w:hint="eastAsia" w:asciiTheme="majorEastAsia" w:hAnsiTheme="majorEastAsia" w:eastAsiaTheme="majorEastAsia"/>
          <w:bCs/>
          <w:kern w:val="0"/>
          <w:sz w:val="18"/>
          <w:szCs w:val="18"/>
        </w:rPr>
        <w:t>集中度实施严格的监控与管理，并根据投资者集中度情况对投资组合实施调整：</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当前10名投资者的持有份额合计超过产品总份额的50%时,投资组合的平均剩余期限不得超过60天,平均剩余存续期限不得超过120天，投资组合中现金、国债、中央银行票据、政策性金融债券以及5个交易日内到期的其他金融工具占产品资产净值的比例合计不得低于30%;</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当前10名投资者的持有份额合计超过产品总份额的20%时,投资组合的平均剩余期限不得超过90天,平均剩余存续期限不得超过180天,投资组合中现金、国债、中央银行票据、政策性金融债券以及5个交易日内到期的其他金融工具占该产品资产净值的比例合计不得低于20%。</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非因管理人主观因素导致突破前款第(1)(2)项比例限制的，管理人应当在10个交易日内调整至符合要求,监管部门规定的特殊情形除外。</w:t>
      </w:r>
    </w:p>
    <w:p>
      <w:pPr>
        <w:spacing w:line="360" w:lineRule="auto"/>
        <w:ind w:firstLine="360" w:firstLineChars="200"/>
        <w:rPr>
          <w:rFonts w:ascii="宋体" w:hAnsi="宋体"/>
          <w:bCs/>
          <w:sz w:val="18"/>
          <w:szCs w:val="18"/>
        </w:rPr>
      </w:pPr>
      <w:r>
        <w:rPr>
          <w:rFonts w:hint="eastAsia" w:ascii="宋体" w:hAnsi="宋体"/>
          <w:bCs/>
          <w:sz w:val="18"/>
          <w:szCs w:val="18"/>
        </w:rPr>
        <w:t>5</w:t>
      </w:r>
      <w:r>
        <w:rPr>
          <w:rFonts w:ascii="宋体" w:hAnsi="宋体"/>
          <w:bCs/>
          <w:sz w:val="18"/>
          <w:szCs w:val="18"/>
        </w:rPr>
        <w:t>.</w:t>
      </w:r>
      <w:r>
        <w:rPr>
          <w:rFonts w:hint="eastAsia" w:ascii="宋体" w:hAnsi="宋体"/>
          <w:bCs/>
          <w:sz w:val="18"/>
          <w:szCs w:val="18"/>
        </w:rPr>
        <w:t>其他投资限制：</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6.</w:t>
      </w:r>
      <w:r>
        <w:rPr>
          <w:rFonts w:asciiTheme="majorEastAsia" w:hAnsiTheme="majorEastAsia" w:eastAsiaTheme="majorEastAsia"/>
          <w:bCs/>
          <w:sz w:val="18"/>
          <w:szCs w:val="18"/>
        </w:rPr>
        <w:t>如果法律法规对本</w:t>
      </w:r>
      <w:r>
        <w:rPr>
          <w:rFonts w:hint="eastAsia" w:asciiTheme="majorEastAsia" w:hAnsiTheme="majorEastAsia" w:eastAsiaTheme="majorEastAsia"/>
          <w:bCs/>
          <w:sz w:val="18"/>
          <w:szCs w:val="18"/>
        </w:rPr>
        <w:t>销售文件</w:t>
      </w:r>
      <w:r>
        <w:rPr>
          <w:rFonts w:asciiTheme="majorEastAsia" w:hAnsiTheme="majorEastAsia" w:eastAsiaTheme="majorEastAsia"/>
          <w:bCs/>
          <w:sz w:val="18"/>
          <w:szCs w:val="18"/>
        </w:rPr>
        <w:t>约定的投资限制进行变更的，以变更后的规定为准。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pPr>
        <w:pStyle w:val="34"/>
        <w:spacing w:line="360" w:lineRule="auto"/>
        <w:ind w:firstLine="360" w:firstLineChars="200"/>
        <w:rPr>
          <w:rFonts w:asciiTheme="majorEastAsia" w:hAnsiTheme="majorEastAsia" w:eastAsiaTheme="majorEastAsia"/>
          <w:bCs/>
          <w:sz w:val="18"/>
          <w:szCs w:val="18"/>
        </w:rPr>
      </w:pPr>
      <w:permStart w:id="20" w:edGrp="everyone"/>
      <w:r>
        <w:rPr>
          <w:rFonts w:hint="eastAsia" w:asciiTheme="majorEastAsia" w:hAnsiTheme="majorEastAsia" w:eastAsiaTheme="majorEastAsia"/>
          <w:bCs/>
          <w:color w:val="auto"/>
          <w:sz w:val="18"/>
          <w:szCs w:val="18"/>
        </w:rPr>
        <w:t>本产品根据对短期利率变动的预测，采用投资组合平均剩余期限控制下的主动性投资策略，利用定性分析和定量分析方法，通过对短期金融工具的积极投资，在控制风险和保证流动性的基础上，力争获得稳定的当期收益。</w:t>
      </w:r>
    </w:p>
    <w:permEnd w:id="20"/>
    <w:p>
      <w:pPr>
        <w:pStyle w:val="20"/>
        <w:shd w:val="clear" w:color="auto" w:fill="FFFFFF"/>
        <w:spacing w:line="360" w:lineRule="auto"/>
        <w:rPr>
          <w:rFonts w:asciiTheme="majorEastAsia" w:hAnsiTheme="majorEastAsia" w:eastAsiaTheme="majorEastAsia"/>
          <w:sz w:val="18"/>
          <w:szCs w:val="18"/>
        </w:rPr>
      </w:pPr>
    </w:p>
    <w:p>
      <w:pPr>
        <w:pStyle w:val="20"/>
        <w:spacing w:line="360" w:lineRule="auto"/>
        <w:ind w:firstLine="360" w:firstLineChars="200"/>
        <w:rPr>
          <w:rFonts w:asciiTheme="majorEastAsia" w:hAnsiTheme="majorEastAsia" w:eastAsiaTheme="majorEastAsia"/>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32" w:name="_Toc17912"/>
      <w:bookmarkStart w:id="33" w:name="_Toc1823"/>
      <w:bookmarkStart w:id="34" w:name="_Toc74065742"/>
      <w:bookmarkStart w:id="35" w:name="_Toc26986"/>
      <w:bookmarkStart w:id="36" w:name="_Toc14893"/>
      <w:bookmarkStart w:id="37" w:name="_Toc139991735"/>
      <w:bookmarkStart w:id="38" w:name="_Toc4741"/>
      <w:bookmarkStart w:id="39" w:name="_Toc18526"/>
      <w:bookmarkStart w:id="40" w:name="_Toc18329"/>
      <w:bookmarkStart w:id="41" w:name="_Toc176189283"/>
      <w:bookmarkStart w:id="42" w:name="_Toc7848"/>
      <w:bookmarkStart w:id="43" w:name="_Toc21988"/>
      <w:bookmarkStart w:id="44" w:name="_Toc141703885"/>
      <w:bookmarkStart w:id="45" w:name="_Toc79154669"/>
      <w:bookmarkStart w:id="46" w:name="_Toc24783"/>
      <w:bookmarkStart w:id="47" w:name="_Toc18797"/>
      <w:r>
        <w:rPr>
          <w:rFonts w:ascii="Times New Roman"/>
          <w:sz w:val="30"/>
        </w:rPr>
        <w:t>第</w:t>
      </w:r>
      <w:r>
        <w:rPr>
          <w:rFonts w:hint="eastAsia" w:ascii="Times New Roman"/>
          <w:sz w:val="30"/>
        </w:rPr>
        <w:t>六条</w:t>
      </w:r>
      <w:r>
        <w:rPr>
          <w:rFonts w:ascii="Times New Roman"/>
          <w:sz w:val="30"/>
        </w:rPr>
        <w:t xml:space="preserve">  </w:t>
      </w:r>
      <w:r>
        <w:rPr>
          <w:rFonts w:hint="eastAsia" w:ascii="Times New Roman"/>
          <w:sz w:val="30"/>
        </w:rPr>
        <w:t>理财产品的资产</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pPr>
        <w:pStyle w:val="34"/>
        <w:spacing w:line="360" w:lineRule="auto"/>
        <w:ind w:firstLine="361" w:firstLineChars="200"/>
        <w:rPr>
          <w:rFonts w:asciiTheme="majorEastAsia" w:hAnsiTheme="majorEastAsia" w:eastAsiaTheme="majorEastAsia"/>
          <w:b/>
          <w:color w:val="auto"/>
          <w:sz w:val="18"/>
          <w:szCs w:val="18"/>
        </w:rPr>
      </w:pPr>
      <w:bookmarkStart w:id="48" w:name="_Hlk490214295"/>
      <w:r>
        <w:rPr>
          <w:rFonts w:hint="eastAsia" w:asciiTheme="majorEastAsia" w:hAnsiTheme="majorEastAsia" w:eastAsiaTheme="majorEastAsia"/>
          <w:b/>
          <w:color w:val="auto"/>
          <w:sz w:val="18"/>
          <w:szCs w:val="18"/>
        </w:rPr>
        <w:t>（一）理财产品的资产的保管和处分</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48"/>
    <w:p>
      <w:pPr>
        <w:pStyle w:val="2"/>
        <w:spacing w:before="0" w:after="0" w:line="360" w:lineRule="auto"/>
        <w:jc w:val="center"/>
        <w:rPr>
          <w:rFonts w:ascii="Times New Roman"/>
          <w:sz w:val="30"/>
        </w:rPr>
      </w:pPr>
      <w:bookmarkStart w:id="49" w:name="_Toc176189284"/>
      <w:bookmarkStart w:id="50" w:name="_Toc20733"/>
      <w:bookmarkStart w:id="51" w:name="_Toc5681"/>
      <w:bookmarkStart w:id="52" w:name="_Toc48649707"/>
      <w:bookmarkStart w:id="53" w:name="_Toc123051452"/>
      <w:bookmarkStart w:id="54" w:name="_Toc17244"/>
      <w:bookmarkStart w:id="55" w:name="_Toc7920"/>
      <w:bookmarkStart w:id="56" w:name="_Toc141703886"/>
      <w:bookmarkStart w:id="57" w:name="_Toc4003"/>
      <w:bookmarkStart w:id="58" w:name="_Toc1270"/>
      <w:bookmarkStart w:id="59" w:name="_Toc23822"/>
      <w:bookmarkStart w:id="60" w:name="_Toc10463"/>
      <w:bookmarkStart w:id="61" w:name="_Toc98560352"/>
      <w:bookmarkStart w:id="62" w:name="_Toc123112234"/>
      <w:bookmarkStart w:id="63" w:name="_Toc74065743"/>
      <w:bookmarkStart w:id="64" w:name="_Toc123102453"/>
      <w:bookmarkStart w:id="65" w:name="_Toc79154670"/>
      <w:bookmarkStart w:id="66" w:name="_Toc610"/>
      <w:bookmarkStart w:id="67" w:name="_Toc1427"/>
      <w:bookmarkStart w:id="68" w:name="_Toc23261"/>
      <w:bookmarkStart w:id="69" w:name="_Toc139991736"/>
      <w:bookmarkStart w:id="70" w:name="_Toc79392606"/>
      <w:r>
        <w:rPr>
          <w:rFonts w:ascii="Times New Roman"/>
          <w:sz w:val="30"/>
        </w:rPr>
        <w:t>第</w:t>
      </w:r>
      <w:r>
        <w:rPr>
          <w:rFonts w:hint="eastAsia" w:ascii="Times New Roman"/>
          <w:sz w:val="30"/>
        </w:rPr>
        <w:t>七条</w:t>
      </w:r>
      <w:r>
        <w:rPr>
          <w:rFonts w:ascii="Times New Roman"/>
          <w:sz w:val="30"/>
        </w:rPr>
        <w:t xml:space="preserve">  </w:t>
      </w:r>
      <w:r>
        <w:rPr>
          <w:rFonts w:hint="eastAsia" w:ascii="Times New Roman"/>
          <w:sz w:val="30"/>
        </w:rPr>
        <w:t>理财产品项下资产的估值</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p>
      <w:pPr>
        <w:pStyle w:val="3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pPr>
        <w:pStyle w:val="34"/>
        <w:spacing w:line="360" w:lineRule="auto"/>
        <w:ind w:firstLine="361"/>
        <w:rPr>
          <w:rFonts w:hAnsi="宋体"/>
          <w:b/>
          <w:color w:val="auto"/>
          <w:sz w:val="18"/>
          <w:szCs w:val="18"/>
        </w:rPr>
      </w:pPr>
      <w:r>
        <w:rPr>
          <w:rFonts w:hint="eastAsia" w:hAnsi="宋体"/>
          <w:b/>
          <w:color w:val="auto"/>
          <w:sz w:val="18"/>
          <w:szCs w:val="18"/>
        </w:rPr>
        <w:t>（一）估值目的</w:t>
      </w:r>
    </w:p>
    <w:p>
      <w:pPr>
        <w:pStyle w:val="34"/>
        <w:spacing w:line="360" w:lineRule="auto"/>
        <w:ind w:firstLine="360"/>
        <w:rPr>
          <w:rFonts w:hAnsi="宋体"/>
          <w:color w:val="auto"/>
          <w:sz w:val="18"/>
          <w:szCs w:val="18"/>
        </w:rPr>
      </w:pPr>
      <w:r>
        <w:rPr>
          <w:rFonts w:hint="eastAsia" w:hAnsi="宋体"/>
          <w:color w:val="auto"/>
          <w:sz w:val="18"/>
          <w:szCs w:val="18"/>
        </w:rPr>
        <w:t>理财资产估值的目的是客观、准确地反映理财资产是否保值、增值。</w:t>
      </w:r>
    </w:p>
    <w:p>
      <w:pPr>
        <w:pStyle w:val="34"/>
        <w:spacing w:line="360" w:lineRule="auto"/>
        <w:ind w:firstLine="361"/>
        <w:rPr>
          <w:rFonts w:hAnsi="宋体"/>
          <w:b/>
          <w:color w:val="auto"/>
          <w:sz w:val="18"/>
          <w:szCs w:val="18"/>
        </w:rPr>
      </w:pPr>
      <w:r>
        <w:rPr>
          <w:rFonts w:hint="eastAsia" w:hAnsi="宋体"/>
          <w:b/>
          <w:color w:val="auto"/>
          <w:sz w:val="18"/>
          <w:szCs w:val="18"/>
        </w:rPr>
        <w:t>（二）估值频率</w:t>
      </w:r>
    </w:p>
    <w:p>
      <w:pPr>
        <w:pStyle w:val="34"/>
        <w:spacing w:line="360" w:lineRule="auto"/>
        <w:ind w:firstLine="450" w:firstLineChars="250"/>
        <w:rPr>
          <w:rFonts w:hAnsi="宋体"/>
          <w:color w:val="auto"/>
          <w:sz w:val="18"/>
          <w:szCs w:val="18"/>
        </w:rPr>
      </w:pPr>
      <w:permStart w:id="21" w:edGrp="everyone"/>
      <w:r>
        <w:rPr>
          <w:rFonts w:hint="eastAsia"/>
          <w:color w:val="auto"/>
          <w:sz w:val="18"/>
          <w:szCs w:val="18"/>
        </w:rPr>
        <w:t>本产品存续期间，管理人每日进行估值。</w:t>
      </w:r>
    </w:p>
    <w:permEnd w:id="21"/>
    <w:p>
      <w:pPr>
        <w:pStyle w:val="34"/>
        <w:spacing w:line="360" w:lineRule="auto"/>
        <w:ind w:firstLine="361"/>
        <w:rPr>
          <w:rFonts w:hAnsi="宋体"/>
          <w:b/>
          <w:color w:val="auto"/>
          <w:sz w:val="18"/>
          <w:szCs w:val="18"/>
        </w:rPr>
      </w:pPr>
      <w:r>
        <w:rPr>
          <w:rFonts w:hint="eastAsia" w:hAnsi="宋体"/>
          <w:b/>
          <w:color w:val="auto"/>
          <w:sz w:val="18"/>
          <w:szCs w:val="18"/>
        </w:rPr>
        <w:t>（三）估值对象</w:t>
      </w:r>
    </w:p>
    <w:p>
      <w:pPr>
        <w:pStyle w:val="34"/>
        <w:spacing w:line="360" w:lineRule="auto"/>
        <w:ind w:firstLine="450" w:firstLineChars="250"/>
        <w:rPr>
          <w:rFonts w:hAnsi="宋体"/>
          <w:color w:val="auto"/>
          <w:sz w:val="18"/>
          <w:szCs w:val="18"/>
        </w:rPr>
      </w:pPr>
      <w:r>
        <w:rPr>
          <w:rFonts w:hint="eastAsia" w:hAnsi="宋体"/>
          <w:color w:val="auto"/>
          <w:sz w:val="18"/>
          <w:szCs w:val="18"/>
        </w:rPr>
        <w:t>本产品所拥有的各类证券、资产管理产品和银行存款本息、应收款项、其它投资等资产及负债。</w:t>
      </w:r>
    </w:p>
    <w:p>
      <w:pPr>
        <w:pStyle w:val="34"/>
        <w:spacing w:line="360" w:lineRule="auto"/>
        <w:ind w:firstLine="361"/>
        <w:rPr>
          <w:rFonts w:hAnsi="宋体"/>
          <w:b/>
          <w:color w:val="auto"/>
          <w:sz w:val="18"/>
          <w:szCs w:val="18"/>
        </w:rPr>
      </w:pPr>
      <w:r>
        <w:rPr>
          <w:rFonts w:hint="eastAsia" w:hAnsi="宋体"/>
          <w:b/>
          <w:color w:val="auto"/>
          <w:sz w:val="18"/>
          <w:szCs w:val="18"/>
        </w:rPr>
        <w:t>（四）估值方法</w:t>
      </w:r>
    </w:p>
    <w:p>
      <w:pPr>
        <w:pStyle w:val="34"/>
        <w:spacing w:line="360" w:lineRule="auto"/>
        <w:ind w:firstLine="361"/>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w:t>
      </w:r>
      <w:r>
        <w:rPr>
          <w:rFonts w:hint="eastAsia" w:asciiTheme="minorEastAsia" w:hAnsiTheme="minorEastAsia" w:eastAsiaTheme="minorEastAsia"/>
          <w:color w:val="auto"/>
          <w:sz w:val="18"/>
          <w:szCs w:val="18"/>
        </w:rPr>
        <w:t>标准化债权类资产估值</w:t>
      </w:r>
    </w:p>
    <w:p>
      <w:pPr>
        <w:pStyle w:val="34"/>
        <w:spacing w:line="360" w:lineRule="auto"/>
        <w:ind w:firstLine="36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债券类资产采用摊余成本法估值，即估值对象以买入成本列示，按票面利率或协议利率并考虑其买入时的溢价与折价，在其剩余存续期内按照实际利率法进行摊销，每日计提损益。</w:t>
      </w:r>
    </w:p>
    <w:p>
      <w:pPr>
        <w:pStyle w:val="34"/>
        <w:spacing w:line="360" w:lineRule="auto"/>
        <w:ind w:firstLine="361"/>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货币市场基金估值</w:t>
      </w:r>
    </w:p>
    <w:p>
      <w:pPr>
        <w:pStyle w:val="34"/>
        <w:spacing w:line="360" w:lineRule="auto"/>
        <w:ind w:firstLine="361"/>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1</w:t>
      </w:r>
      <w:r>
        <w:rPr>
          <w:rFonts w:asciiTheme="minorEastAsia" w:hAnsiTheme="minorEastAsia" w:eastAsiaTheme="minorEastAsia"/>
          <w:color w:val="auto"/>
          <w:sz w:val="18"/>
          <w:szCs w:val="18"/>
        </w:rPr>
        <w:t>）本产品投资的境内非上市货币市场基金，按所投资基金前一估值日后至估值日期间（含节假日）的万份收益计提估值日基金收益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pPr>
        <w:pStyle w:val="34"/>
        <w:spacing w:line="360" w:lineRule="auto"/>
        <w:ind w:firstLine="361"/>
        <w:rPr>
          <w:rFonts w:asciiTheme="minorEastAsia" w:hAnsiTheme="minorEastAsia" w:eastAsiaTheme="minorEastAsia"/>
          <w:sz w:val="18"/>
          <w:szCs w:val="18"/>
        </w:rPr>
      </w:pPr>
      <w:r>
        <w:rPr>
          <w:rFonts w:asciiTheme="minorEastAsia" w:hAnsiTheme="minorEastAsia" w:eastAsiaTheme="minorEastAsia"/>
          <w:color w:val="auto"/>
          <w:sz w:val="18"/>
          <w:szCs w:val="18"/>
        </w:rPr>
        <w:t>（2)本产品投资的境内上市交易型货币市场基金，如所投资基金披露份额净值，则按所投资基金估值日的份额净值估值，</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asciiTheme="minorEastAsia" w:hAnsiTheme="minorEastAsia" w:eastAsiaTheme="minorEastAsia"/>
          <w:color w:val="auto"/>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pPr>
        <w:pStyle w:val="34"/>
        <w:spacing w:line="360" w:lineRule="auto"/>
        <w:ind w:firstLine="361"/>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3</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其他资产管理产品的估值</w:t>
      </w:r>
    </w:p>
    <w:p>
      <w:pPr>
        <w:spacing w:line="360" w:lineRule="auto"/>
        <w:ind w:firstLine="360" w:firstLineChars="200"/>
        <w:rPr>
          <w:rFonts w:hAnsi="宋体"/>
          <w:sz w:val="18"/>
        </w:rPr>
      </w:pPr>
      <w:r>
        <w:rPr>
          <w:rFonts w:hint="eastAsia" w:hAnsi="宋体"/>
          <w:sz w:val="18"/>
        </w:rPr>
        <w:t>其他资产管理产品，指理财产品投资的除证券投资基金以外的其他资产管理产品，主要包括：</w:t>
      </w:r>
      <w:r>
        <w:rPr>
          <w:rFonts w:hAnsi="宋体"/>
          <w:sz w:val="18"/>
        </w:rPr>
        <w:t>信托公司</w:t>
      </w:r>
      <w:r>
        <w:rPr>
          <w:rFonts w:hint="eastAsia" w:hAnsi="宋体"/>
          <w:sz w:val="18"/>
        </w:rPr>
        <w:t>、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spacing w:line="360" w:lineRule="auto"/>
        <w:ind w:firstLine="360" w:firstLineChars="200"/>
        <w:rPr>
          <w:rFonts w:hAnsi="宋体"/>
          <w:sz w:val="18"/>
        </w:rPr>
      </w:pPr>
      <w:r>
        <w:rPr>
          <w:rFonts w:hint="eastAsia" w:asciiTheme="minorEastAsia" w:hAnsiTheme="minorEastAsia" w:eastAsiaTheme="minorEastAsia"/>
          <w:sz w:val="18"/>
          <w:szCs w:val="18"/>
        </w:rPr>
        <w:t>4</w:t>
      </w:r>
      <w:r>
        <w:rPr>
          <w:rFonts w:asciiTheme="minorEastAsia" w:hAnsiTheme="minorEastAsia" w:eastAsiaTheme="minorEastAsia"/>
          <w:sz w:val="18"/>
          <w:szCs w:val="18"/>
        </w:rPr>
        <w:t>.</w:t>
      </w:r>
      <w:r>
        <w:rPr>
          <w:rFonts w:hint="eastAsia" w:asciiTheme="minorEastAsia" w:hAnsiTheme="minorEastAsia" w:eastAsiaTheme="minorEastAsia"/>
          <w:sz w:val="18"/>
          <w:szCs w:val="18"/>
        </w:rPr>
        <w:t>存款、拆借、回购等货币市场工具的估值</w:t>
      </w:r>
    </w:p>
    <w:p>
      <w:pPr>
        <w:spacing w:line="360" w:lineRule="auto"/>
        <w:ind w:firstLine="360" w:firstLineChars="200"/>
        <w:rPr>
          <w:rFonts w:hAnsi="宋体"/>
          <w:sz w:val="18"/>
          <w:szCs w:val="18"/>
        </w:rPr>
      </w:pPr>
      <w:r>
        <w:rPr>
          <w:rFonts w:hint="eastAsia" w:hAnsi="宋体"/>
          <w:sz w:val="18"/>
          <w:szCs w:val="18"/>
        </w:rPr>
        <w:t>以本金列示，按商定利率在实际持有期间内逐日计提利息。</w:t>
      </w:r>
    </w:p>
    <w:p>
      <w:pPr>
        <w:spacing w:line="360" w:lineRule="auto"/>
        <w:ind w:firstLine="360" w:firstLineChars="200"/>
        <w:rPr>
          <w:rFonts w:asciiTheme="minorEastAsia" w:hAnsiTheme="minorEastAsia" w:eastAsiaTheme="minorEastAsia"/>
          <w:sz w:val="18"/>
          <w:szCs w:val="18"/>
        </w:rPr>
      </w:pPr>
      <w:r>
        <w:rPr>
          <w:rFonts w:hint="eastAsia" w:asciiTheme="minorEastAsia" w:hAnsiTheme="minorEastAsia" w:eastAsiaTheme="minorEastAsia"/>
          <w:sz w:val="18"/>
          <w:szCs w:val="18"/>
        </w:rPr>
        <w:t>5.为了避免采用</w:t>
      </w:r>
      <w:r>
        <w:rPr>
          <w:rFonts w:asciiTheme="minorEastAsia" w:hAnsiTheme="minorEastAsia" w:eastAsiaTheme="minorEastAsia"/>
          <w:sz w:val="18"/>
          <w:szCs w:val="18"/>
        </w:rPr>
        <w:t>“</w:t>
      </w:r>
      <w:r>
        <w:rPr>
          <w:rFonts w:hint="eastAsia" w:asciiTheme="minorEastAsia" w:hAnsiTheme="minorEastAsia" w:eastAsiaTheme="minorEastAsia"/>
          <w:sz w:val="18"/>
          <w:szCs w:val="18"/>
        </w:rPr>
        <w:t>摊余成本法</w:t>
      </w:r>
      <w:r>
        <w:rPr>
          <w:rFonts w:asciiTheme="minorEastAsia" w:hAnsiTheme="minorEastAsia" w:eastAsiaTheme="minorEastAsia"/>
          <w:sz w:val="18"/>
          <w:szCs w:val="18"/>
        </w:rPr>
        <w:t>”</w:t>
      </w:r>
      <w:r>
        <w:rPr>
          <w:rFonts w:hint="eastAsia" w:asciiTheme="minorEastAsia" w:hAnsiTheme="minorEastAsia" w:eastAsiaTheme="minorEastAsia"/>
          <w:sz w:val="18"/>
          <w:szCs w:val="18"/>
        </w:rPr>
        <w:t>计算的理财资产净值与按市场利率和交易市价计算的理财资产净值发生重大偏离，从而对理财份额持有人的利益产生稀释和不公平的结果，产品管理人于每一估值日，采用估值技术，对理财持有的估值对象进行重新评估，即</w:t>
      </w:r>
      <w:r>
        <w:rPr>
          <w:rFonts w:asciiTheme="minorEastAsia" w:hAnsiTheme="minorEastAsia" w:eastAsiaTheme="minorEastAsia"/>
          <w:sz w:val="18"/>
          <w:szCs w:val="18"/>
        </w:rPr>
        <w:t>“</w:t>
      </w:r>
      <w:r>
        <w:rPr>
          <w:rFonts w:hint="eastAsia" w:asciiTheme="minorEastAsia" w:hAnsiTheme="minorEastAsia" w:eastAsiaTheme="minorEastAsia"/>
          <w:sz w:val="18"/>
          <w:szCs w:val="18"/>
        </w:rPr>
        <w:t>影子定价</w:t>
      </w:r>
      <w:r>
        <w:rPr>
          <w:rFonts w:asciiTheme="minorEastAsia" w:hAnsiTheme="minorEastAsia" w:eastAsiaTheme="minorEastAsia"/>
          <w:sz w:val="18"/>
          <w:szCs w:val="18"/>
        </w:rPr>
        <w:t>”</w:t>
      </w:r>
      <w:r>
        <w:rPr>
          <w:rFonts w:hint="eastAsia" w:asciiTheme="minorEastAsia" w:hAnsiTheme="minorEastAsia" w:eastAsiaTheme="minorEastAsia"/>
          <w:sz w:val="18"/>
          <w:szCs w:val="18"/>
        </w:rPr>
        <w:t>。</w:t>
      </w:r>
    </w:p>
    <w:p>
      <w:pPr>
        <w:spacing w:line="360" w:lineRule="auto"/>
        <w:ind w:firstLine="360" w:firstLineChars="200"/>
        <w:rPr>
          <w:rFonts w:asciiTheme="minorEastAsia" w:hAnsiTheme="minorEastAsia" w:eastAsiaTheme="minorEastAsia"/>
          <w:sz w:val="18"/>
          <w:szCs w:val="18"/>
        </w:rPr>
      </w:pPr>
      <w:r>
        <w:rPr>
          <w:rFonts w:hint="eastAsia" w:asciiTheme="minorEastAsia" w:hAnsiTheme="minorEastAsia" w:eastAsiaTheme="minorEastAsia"/>
          <w:sz w:val="18"/>
          <w:szCs w:val="18"/>
        </w:rPr>
        <w:t>当影子定价确定的资产净值与摊余成本法计算的资产净值正偏离度绝对值达到0.5%时，管理人将暂停接受认</w:t>
      </w:r>
      <w:r>
        <w:rPr>
          <w:rFonts w:asciiTheme="minorEastAsia" w:hAnsiTheme="minorEastAsia" w:eastAsiaTheme="minorEastAsia"/>
          <w:sz w:val="18"/>
          <w:szCs w:val="18"/>
        </w:rPr>
        <w:t>/申</w:t>
      </w:r>
      <w:r>
        <w:rPr>
          <w:rFonts w:hint="eastAsia" w:asciiTheme="minorEastAsia" w:hAnsiTheme="minorEastAsia" w:eastAsiaTheme="minorEastAsia"/>
          <w:sz w:val="18"/>
          <w:szCs w:val="18"/>
        </w:rPr>
        <w:t>购并在5个交易日内将正偏离度绝对值调整到0.5%以内。当负偏离度绝对值达到0.25%时，管理人应当在5个交易日内将负偏离度绝对值调整到0.25%以内。当负偏离度绝对值达到0.5%时，管理人应当采取相应措施，将负偏离度绝对值控制在0.5%以内。当负偏离度绝对值连续两个交易日超过0.5%时，管理人应当采用公允价值估值方法对持有投资组合的账面价值进行调整，或者采取暂停接受所有赎回申请并终止产品合同进行财产清算等措施。</w:t>
      </w:r>
      <w:r>
        <w:rPr>
          <w:rFonts w:asciiTheme="minorEastAsia" w:hAnsiTheme="minorEastAsia" w:eastAsiaTheme="minorEastAsia"/>
          <w:sz w:val="18"/>
          <w:szCs w:val="18"/>
        </w:rPr>
        <w:t xml:space="preserve"> </w:t>
      </w:r>
    </w:p>
    <w:p>
      <w:pPr>
        <w:spacing w:line="360" w:lineRule="auto"/>
        <w:ind w:firstLine="360" w:firstLineChars="200"/>
        <w:rPr>
          <w:rFonts w:asciiTheme="minorEastAsia" w:hAnsiTheme="minorEastAsia" w:eastAsiaTheme="minorEastAsia"/>
          <w:sz w:val="18"/>
          <w:szCs w:val="18"/>
        </w:rPr>
      </w:pPr>
      <w:r>
        <w:rPr>
          <w:rFonts w:hint="eastAsia" w:ascii="宋体" w:hAnsi="宋体"/>
          <w:bCs/>
          <w:sz w:val="18"/>
          <w:szCs w:val="18"/>
        </w:rPr>
        <w:t>6.</w:t>
      </w:r>
      <w:r>
        <w:rPr>
          <w:rFonts w:ascii="宋体" w:hAnsi="宋体"/>
          <w:bCs/>
          <w:sz w:val="18"/>
          <w:szCs w:val="18"/>
        </w:rPr>
        <w:t>如有确凿证据表明按上述方法进行估</w:t>
      </w:r>
      <w:r>
        <w:rPr>
          <w:rFonts w:hint="eastAsia" w:asciiTheme="minorEastAsia" w:hAnsiTheme="minorEastAsia"/>
          <w:sz w:val="18"/>
          <w:szCs w:val="18"/>
        </w:rPr>
        <w:t>值不能客观反映其公允价值的，产品管理人可根据具体情况与产品托管人商定后，</w:t>
      </w:r>
      <w:r>
        <w:rPr>
          <w:rFonts w:hint="eastAsia" w:hAnsi="宋体"/>
          <w:sz w:val="18"/>
          <w:szCs w:val="18"/>
        </w:rPr>
        <w:t>在综合考虑市场成交、市场报价、流动性、收益率曲线等因素基础上，</w:t>
      </w:r>
      <w:r>
        <w:rPr>
          <w:rFonts w:hint="eastAsia" w:asciiTheme="minorEastAsia" w:hAnsiTheme="minorEastAsia"/>
          <w:sz w:val="18"/>
          <w:szCs w:val="18"/>
        </w:rPr>
        <w:t>按最能反映公</w:t>
      </w:r>
      <w:r>
        <w:rPr>
          <w:rFonts w:hint="eastAsia" w:asciiTheme="minorEastAsia" w:hAnsiTheme="minorEastAsia" w:eastAsiaTheme="minorEastAsia"/>
          <w:sz w:val="18"/>
          <w:szCs w:val="18"/>
        </w:rPr>
        <w:t>允价值的价格估值。</w:t>
      </w:r>
    </w:p>
    <w:p>
      <w:pPr>
        <w:spacing w:line="360" w:lineRule="auto"/>
        <w:ind w:firstLine="360" w:firstLineChars="200"/>
        <w:rPr>
          <w:rFonts w:asciiTheme="minorEastAsia" w:hAnsiTheme="minorEastAsia" w:eastAsiaTheme="minorEastAsia"/>
          <w:sz w:val="18"/>
          <w:szCs w:val="18"/>
        </w:rPr>
      </w:pPr>
      <w:r>
        <w:rPr>
          <w:rFonts w:asciiTheme="minorEastAsia" w:hAnsiTheme="minorEastAsia" w:eastAsiaTheme="minorEastAsia"/>
          <w:sz w:val="18"/>
          <w:szCs w:val="18"/>
        </w:rPr>
        <w:t>7</w:t>
      </w:r>
      <w:r>
        <w:rPr>
          <w:rFonts w:hint="eastAsia" w:asciiTheme="minorEastAsia" w:hAnsiTheme="minorEastAsia" w:eastAsiaTheme="minorEastAsia"/>
          <w:sz w:val="18"/>
          <w:szCs w:val="18"/>
        </w:rPr>
        <w:t>.估值方法的调整</w:t>
      </w:r>
    </w:p>
    <w:p>
      <w:pPr>
        <w:pStyle w:val="34"/>
        <w:spacing w:line="360" w:lineRule="auto"/>
        <w:ind w:firstLine="360"/>
        <w:rPr>
          <w:rFonts w:ascii="黑体" w:hAnsi="黑体" w:eastAsia="黑体"/>
          <w:color w:val="auto"/>
          <w:sz w:val="18"/>
          <w:szCs w:val="18"/>
        </w:rPr>
      </w:pPr>
      <w:r>
        <w:rPr>
          <w:rFonts w:hint="eastAsia" w:hAnsi="宋体"/>
          <w:color w:val="auto"/>
          <w:sz w:val="18"/>
          <w:szCs w:val="18"/>
        </w:rPr>
        <w:t>★</w:t>
      </w:r>
      <w:r>
        <w:rPr>
          <w:rFonts w:hint="eastAsia" w:ascii="黑体" w:hAnsi="黑体" w:eastAsia="黑体"/>
          <w:color w:val="auto"/>
          <w:sz w:val="18"/>
          <w:szCs w:val="18"/>
        </w:rPr>
        <w:t>相关法律法规以及监管部门有强制规定的，从其规定。如有新增事项，按国家最新规定估值。</w:t>
      </w:r>
    </w:p>
    <w:p>
      <w:pPr>
        <w:pStyle w:val="34"/>
        <w:spacing w:line="360" w:lineRule="auto"/>
        <w:ind w:firstLine="361"/>
        <w:rPr>
          <w:rFonts w:hAnsi="宋体"/>
          <w:b/>
          <w:color w:val="auto"/>
          <w:sz w:val="18"/>
          <w:szCs w:val="18"/>
        </w:rPr>
      </w:pPr>
      <w:r>
        <w:rPr>
          <w:rFonts w:hint="eastAsia" w:hAnsi="宋体"/>
          <w:b/>
          <w:color w:val="auto"/>
          <w:sz w:val="18"/>
          <w:szCs w:val="18"/>
        </w:rPr>
        <w:t>（五）估值程序</w:t>
      </w:r>
    </w:p>
    <w:p>
      <w:pPr>
        <w:pStyle w:val="34"/>
        <w:spacing w:line="360" w:lineRule="auto"/>
        <w:ind w:firstLine="360"/>
        <w:rPr>
          <w:rFonts w:hAnsi="宋体"/>
          <w:color w:val="auto"/>
          <w:sz w:val="18"/>
          <w:szCs w:val="18"/>
        </w:rPr>
      </w:pPr>
      <w:r>
        <w:rPr>
          <w:rFonts w:hint="eastAsia" w:hAnsi="宋体"/>
          <w:color w:val="auto"/>
          <w:sz w:val="18"/>
          <w:szCs w:val="18"/>
        </w:rPr>
        <w:t>1.每万份理财产品收益是每万份理财份额的日净收益，精确至小数点后第</w:t>
      </w:r>
      <w:r>
        <w:rPr>
          <w:rFonts w:hAnsi="宋体"/>
          <w:color w:val="auto"/>
          <w:sz w:val="18"/>
          <w:szCs w:val="18"/>
        </w:rPr>
        <w:t>4位，小数点后第5</w:t>
      </w:r>
      <w:r>
        <w:rPr>
          <w:rFonts w:hint="eastAsia" w:hAnsi="宋体"/>
          <w:color w:val="auto"/>
          <w:sz w:val="18"/>
          <w:szCs w:val="18"/>
        </w:rPr>
        <w:t>位按去尾原则处理。本产品的收益分配按日结转份额，</w:t>
      </w:r>
      <w:r>
        <w:rPr>
          <w:rFonts w:hAnsi="宋体"/>
          <w:color w:val="auto"/>
          <w:sz w:val="18"/>
          <w:szCs w:val="18"/>
        </w:rPr>
        <w:t>7</w:t>
      </w:r>
      <w:r>
        <w:rPr>
          <w:rFonts w:hint="eastAsia" w:hAnsi="宋体"/>
          <w:color w:val="auto"/>
          <w:sz w:val="18"/>
          <w:szCs w:val="18"/>
        </w:rPr>
        <w:t>日年化收益率是以最近</w:t>
      </w:r>
      <w:r>
        <w:rPr>
          <w:rFonts w:hAnsi="宋体"/>
          <w:color w:val="auto"/>
          <w:sz w:val="18"/>
          <w:szCs w:val="18"/>
        </w:rPr>
        <w:t>7</w:t>
      </w:r>
      <w:r>
        <w:rPr>
          <w:rFonts w:hint="eastAsia" w:hAnsi="宋体"/>
          <w:color w:val="auto"/>
          <w:sz w:val="18"/>
          <w:szCs w:val="18"/>
        </w:rPr>
        <w:t>日</w:t>
      </w:r>
      <w:r>
        <w:rPr>
          <w:rFonts w:hAnsi="宋体"/>
          <w:color w:val="auto"/>
          <w:sz w:val="18"/>
          <w:szCs w:val="18"/>
        </w:rPr>
        <w:t>(</w:t>
      </w:r>
      <w:r>
        <w:rPr>
          <w:rFonts w:hint="eastAsia" w:hAnsi="宋体"/>
          <w:color w:val="auto"/>
          <w:sz w:val="18"/>
          <w:szCs w:val="18"/>
        </w:rPr>
        <w:t>含节假日</w:t>
      </w:r>
      <w:r>
        <w:rPr>
          <w:rFonts w:hAnsi="宋体"/>
          <w:color w:val="auto"/>
          <w:sz w:val="18"/>
          <w:szCs w:val="18"/>
        </w:rPr>
        <w:t>)</w:t>
      </w:r>
      <w:r>
        <w:rPr>
          <w:rFonts w:hint="eastAsia" w:hAnsi="宋体"/>
          <w:color w:val="auto"/>
          <w:sz w:val="18"/>
          <w:szCs w:val="18"/>
        </w:rPr>
        <w:t>收益所折算的年资产收益率，精确到百分号内小数点后</w:t>
      </w:r>
      <w:r>
        <w:rPr>
          <w:rFonts w:hAnsi="宋体"/>
          <w:color w:val="auto"/>
          <w:sz w:val="18"/>
          <w:szCs w:val="18"/>
        </w:rPr>
        <w:t>3</w:t>
      </w:r>
      <w:r>
        <w:rPr>
          <w:rFonts w:hint="eastAsia" w:hAnsi="宋体"/>
          <w:color w:val="auto"/>
          <w:sz w:val="18"/>
          <w:szCs w:val="18"/>
        </w:rPr>
        <w:t>位，小数点后第</w:t>
      </w:r>
      <w:r>
        <w:rPr>
          <w:rFonts w:hAnsi="宋体"/>
          <w:color w:val="auto"/>
          <w:sz w:val="18"/>
          <w:szCs w:val="18"/>
        </w:rPr>
        <w:t>4</w:t>
      </w:r>
      <w:r>
        <w:rPr>
          <w:rFonts w:hint="eastAsia" w:hAnsi="宋体"/>
          <w:color w:val="auto"/>
          <w:sz w:val="18"/>
          <w:szCs w:val="18"/>
        </w:rPr>
        <w:t>位四舍五入。国家另有规定的，从其规定。</w:t>
      </w:r>
    </w:p>
    <w:p>
      <w:pPr>
        <w:pStyle w:val="34"/>
        <w:spacing w:line="360" w:lineRule="auto"/>
        <w:ind w:firstLine="360"/>
        <w:rPr>
          <w:rFonts w:hAnsi="宋体"/>
          <w:color w:val="auto"/>
          <w:sz w:val="18"/>
          <w:szCs w:val="18"/>
        </w:rPr>
      </w:pPr>
      <w:r>
        <w:rPr>
          <w:rFonts w:hint="eastAsia" w:hAnsi="宋体"/>
          <w:color w:val="auto"/>
          <w:sz w:val="18"/>
          <w:szCs w:val="18"/>
        </w:rPr>
        <w:t>2.产品管理人对理财资产估值后，将理财产品份额净值、</w:t>
      </w:r>
      <w:r>
        <w:rPr>
          <w:rFonts w:hint="eastAsia" w:asciiTheme="minorEastAsia" w:hAnsiTheme="minorEastAsia" w:eastAsiaTheme="minorEastAsia"/>
          <w:color w:val="auto"/>
          <w:sz w:val="18"/>
          <w:szCs w:val="18"/>
        </w:rPr>
        <w:t>每万份理财收益和</w:t>
      </w:r>
      <w:r>
        <w:rPr>
          <w:rFonts w:asciiTheme="minorEastAsia" w:hAnsiTheme="minorEastAsia" w:eastAsiaTheme="minorEastAsia"/>
          <w:color w:val="auto"/>
          <w:sz w:val="18"/>
          <w:szCs w:val="18"/>
        </w:rPr>
        <w:t>7</w:t>
      </w:r>
      <w:r>
        <w:rPr>
          <w:rFonts w:hint="eastAsia" w:asciiTheme="minorEastAsia" w:hAnsiTheme="minorEastAsia" w:eastAsiaTheme="minorEastAsia"/>
          <w:color w:val="auto"/>
          <w:sz w:val="18"/>
          <w:szCs w:val="18"/>
        </w:rPr>
        <w:t>日年化收益率</w:t>
      </w:r>
      <w:r>
        <w:rPr>
          <w:rFonts w:hint="eastAsia" w:hAnsi="宋体"/>
          <w:color w:val="auto"/>
          <w:sz w:val="18"/>
          <w:szCs w:val="18"/>
        </w:rPr>
        <w:t>结果发送产品托管人，经产品托管人复核无误后，由产品管理人按规定对外公布。</w:t>
      </w:r>
    </w:p>
    <w:p>
      <w:pPr>
        <w:pStyle w:val="34"/>
        <w:spacing w:line="360" w:lineRule="auto"/>
        <w:ind w:firstLine="360"/>
        <w:rPr>
          <w:rFonts w:hAnsi="宋体"/>
          <w:color w:val="auto"/>
          <w:sz w:val="18"/>
          <w:szCs w:val="18"/>
        </w:rPr>
      </w:pPr>
      <w:r>
        <w:rPr>
          <w:rFonts w:hAnsi="宋体"/>
          <w:color w:val="auto"/>
          <w:sz w:val="18"/>
          <w:szCs w:val="18"/>
        </w:rPr>
        <w:t xml:space="preserve">3. </w:t>
      </w:r>
      <w:r>
        <w:rPr>
          <w:rFonts w:hint="eastAsia" w:hAnsi="宋体"/>
          <w:color w:val="auto"/>
          <w:sz w:val="18"/>
          <w:szCs w:val="18"/>
        </w:rPr>
        <w:t>如产品管理人或产品托管人发现理财估值违反本说明书约定的估值方法、程序及相关法律法规的规定或者未能充分维护理财份额持有人权益时，应立即通知对方，共同查明原因，双方协商解决。</w:t>
      </w:r>
    </w:p>
    <w:p>
      <w:pPr>
        <w:pStyle w:val="34"/>
        <w:spacing w:line="360" w:lineRule="auto"/>
        <w:ind w:firstLine="361" w:firstLineChars="200"/>
        <w:rPr>
          <w:rFonts w:cs="Times New Roman" w:asciiTheme="minorEastAsia" w:hAnsiTheme="minorEastAsia" w:eastAsiaTheme="minorEastAsia"/>
          <w:b/>
          <w:color w:val="auto"/>
          <w:sz w:val="18"/>
          <w:szCs w:val="18"/>
        </w:rPr>
      </w:pPr>
      <w:r>
        <w:rPr>
          <w:rFonts w:hint="eastAsia" w:cs="Times New Roman" w:asciiTheme="minorEastAsia" w:hAnsiTheme="minorEastAsia" w:eastAsiaTheme="minorEastAsia"/>
          <w:b/>
          <w:color w:val="auto"/>
          <w:sz w:val="18"/>
          <w:szCs w:val="18"/>
        </w:rPr>
        <w:t>（六）估值主体</w:t>
      </w:r>
    </w:p>
    <w:p>
      <w:pPr>
        <w:pStyle w:val="34"/>
        <w:spacing w:line="360" w:lineRule="auto"/>
        <w:ind w:firstLine="360"/>
        <w:rPr>
          <w:rFonts w:hAnsi="宋体"/>
          <w:color w:val="auto"/>
          <w:sz w:val="18"/>
          <w:szCs w:val="18"/>
        </w:rPr>
      </w:pPr>
      <w:r>
        <w:rPr>
          <w:rFonts w:hint="eastAsia" w:hAnsi="宋体"/>
          <w:color w:val="auto"/>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pPr>
        <w:pStyle w:val="34"/>
        <w:spacing w:line="360" w:lineRule="auto"/>
        <w:ind w:firstLine="360" w:firstLineChars="200"/>
        <w:rPr>
          <w:rFonts w:hAnsi="宋体"/>
          <w:color w:val="auto"/>
          <w:sz w:val="18"/>
          <w:szCs w:val="18"/>
        </w:rPr>
      </w:pPr>
    </w:p>
    <w:p>
      <w:pPr>
        <w:widowControl/>
        <w:spacing w:line="360" w:lineRule="auto"/>
        <w:jc w:val="left"/>
        <w:rPr>
          <w:rFonts w:ascii="宋体" w:hAnsi="宋体"/>
          <w:kern w:val="0"/>
          <w:sz w:val="18"/>
          <w:szCs w:val="18"/>
        </w:rPr>
      </w:pPr>
      <w:r>
        <w:rPr>
          <w:rFonts w:hAnsi="宋体"/>
          <w:sz w:val="18"/>
          <w:szCs w:val="18"/>
        </w:rPr>
        <w:br w:type="page"/>
      </w:r>
    </w:p>
    <w:p>
      <w:pPr>
        <w:pStyle w:val="2"/>
        <w:spacing w:before="0" w:after="0" w:line="360" w:lineRule="auto"/>
        <w:ind w:left="60" w:firstLine="10"/>
        <w:jc w:val="center"/>
        <w:rPr>
          <w:rFonts w:ascii="Times New Roman"/>
          <w:sz w:val="30"/>
        </w:rPr>
      </w:pPr>
      <w:bookmarkStart w:id="71" w:name="_Hlt70481650"/>
      <w:bookmarkEnd w:id="71"/>
      <w:bookmarkStart w:id="72" w:name="_Toc29251"/>
      <w:bookmarkStart w:id="73" w:name="_Toc3601"/>
      <w:bookmarkStart w:id="74" w:name="_Toc123051453"/>
      <w:bookmarkStart w:id="75" w:name="_Toc123102454"/>
      <w:bookmarkStart w:id="76" w:name="_Toc15143"/>
      <w:bookmarkStart w:id="77" w:name="_Toc12245"/>
      <w:bookmarkStart w:id="78" w:name="_Toc6405"/>
      <w:bookmarkStart w:id="79" w:name="_Toc74065744"/>
      <w:bookmarkStart w:id="80" w:name="_Toc14835"/>
      <w:bookmarkStart w:id="81" w:name="_Toc31653"/>
      <w:bookmarkStart w:id="82" w:name="_Toc123112235"/>
      <w:bookmarkStart w:id="83" w:name="_Toc98560353"/>
      <w:bookmarkStart w:id="84" w:name="_Toc31644"/>
      <w:bookmarkStart w:id="85" w:name="_Toc176189285"/>
      <w:bookmarkStart w:id="86" w:name="_Toc79154671"/>
      <w:bookmarkStart w:id="87" w:name="_Toc26207"/>
      <w:bookmarkStart w:id="88" w:name="_Toc6810"/>
      <w:bookmarkStart w:id="89" w:name="_Toc141703887"/>
      <w:bookmarkStart w:id="90" w:name="_Toc31235"/>
      <w:bookmarkStart w:id="91" w:name="_Toc139991737"/>
      <w:r>
        <w:rPr>
          <w:rFonts w:ascii="Times New Roman"/>
          <w:sz w:val="30"/>
        </w:rPr>
        <w:t>第</w:t>
      </w:r>
      <w:r>
        <w:rPr>
          <w:rFonts w:hint="eastAsia" w:ascii="Times New Roman"/>
          <w:sz w:val="30"/>
        </w:rPr>
        <w:t>八条</w:t>
      </w:r>
      <w:r>
        <w:rPr>
          <w:rFonts w:ascii="Times New Roman"/>
          <w:sz w:val="30"/>
        </w:rPr>
        <w:t xml:space="preserve">  </w:t>
      </w:r>
      <w:r>
        <w:rPr>
          <w:rFonts w:hint="eastAsia" w:ascii="Times New Roman"/>
          <w:sz w:val="30"/>
        </w:rPr>
        <w:t>理财产品的利益分配</w:t>
      </w:r>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Start w:id="92" w:name="_Hlt55355235"/>
      <w:bookmarkEnd w:id="92"/>
      <w:bookmarkStart w:id="93" w:name="_Toc57530239"/>
      <w:bookmarkStart w:id="94" w:name="_Toc15118234"/>
      <w:bookmarkStart w:id="95" w:name="_Toc79392580"/>
      <w:bookmarkStart w:id="96" w:name="_Toc523711668"/>
    </w:p>
    <w:p>
      <w:pPr>
        <w:pStyle w:val="3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pPr>
        <w:pStyle w:val="3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pPr>
        <w:pStyle w:val="3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pPr>
        <w:pStyle w:val="3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pPr>
        <w:pStyle w:val="34"/>
        <w:spacing w:line="360" w:lineRule="auto"/>
        <w:ind w:firstLine="360" w:firstLineChars="200"/>
        <w:rPr>
          <w:rFonts w:hAnsi="宋体"/>
          <w:color w:val="auto"/>
          <w:sz w:val="18"/>
          <w:szCs w:val="18"/>
        </w:rPr>
      </w:pPr>
      <w:r>
        <w:rPr>
          <w:rFonts w:hint="eastAsia" w:hAnsi="宋体"/>
          <w:color w:val="auto"/>
          <w:sz w:val="18"/>
          <w:szCs w:val="18"/>
        </w:rPr>
        <w:t>1</w:t>
      </w:r>
      <w:r>
        <w:rPr>
          <w:rFonts w:hAnsi="宋体"/>
          <w:color w:val="auto"/>
          <w:sz w:val="18"/>
          <w:szCs w:val="18"/>
        </w:rPr>
        <w:t>.</w:t>
      </w:r>
      <w:r>
        <w:rPr>
          <w:rFonts w:hint="eastAsia" w:hAnsi="宋体"/>
          <w:color w:val="auto"/>
          <w:sz w:val="18"/>
          <w:szCs w:val="18"/>
        </w:rPr>
        <w:t>本产品利益分配应遵循下列原则：</w:t>
      </w:r>
    </w:p>
    <w:p>
      <w:pPr>
        <w:pStyle w:val="34"/>
        <w:spacing w:line="360" w:lineRule="auto"/>
        <w:ind w:firstLine="360" w:firstLineChars="200"/>
        <w:rPr>
          <w:rFonts w:hAnsi="宋体"/>
          <w:color w:val="auto"/>
          <w:sz w:val="18"/>
          <w:szCs w:val="18"/>
        </w:rPr>
      </w:pPr>
      <w:r>
        <w:rPr>
          <w:rFonts w:hint="eastAsia" w:hAnsi="宋体"/>
          <w:color w:val="auto"/>
          <w:sz w:val="18"/>
          <w:szCs w:val="18"/>
        </w:rPr>
        <w:t>（1）每一产品份额</w:t>
      </w:r>
      <w:r>
        <w:rPr>
          <w:rFonts w:hAnsi="宋体"/>
          <w:color w:val="auto"/>
          <w:sz w:val="18"/>
          <w:szCs w:val="18"/>
        </w:rPr>
        <w:t>享有同等分配权</w:t>
      </w:r>
      <w:r>
        <w:rPr>
          <w:rFonts w:hint="eastAsia" w:hAnsi="宋体"/>
          <w:color w:val="auto"/>
          <w:sz w:val="18"/>
          <w:szCs w:val="18"/>
        </w:rPr>
        <w:t>。</w:t>
      </w:r>
    </w:p>
    <w:p>
      <w:pPr>
        <w:pStyle w:val="3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本</w:t>
      </w:r>
      <w:r>
        <w:rPr>
          <w:rFonts w:hint="eastAsia" w:hAnsi="宋体"/>
          <w:color w:val="auto"/>
          <w:sz w:val="18"/>
          <w:szCs w:val="18"/>
        </w:rPr>
        <w:t>产品</w:t>
      </w:r>
      <w:r>
        <w:rPr>
          <w:rFonts w:hAnsi="宋体"/>
          <w:color w:val="auto"/>
          <w:sz w:val="18"/>
          <w:szCs w:val="18"/>
        </w:rPr>
        <w:t>收益分配方式为红利再投资，免收再投资的费用</w:t>
      </w:r>
      <w:r>
        <w:rPr>
          <w:rFonts w:hint="eastAsia" w:hAnsi="宋体"/>
          <w:color w:val="auto"/>
          <w:sz w:val="18"/>
          <w:szCs w:val="18"/>
        </w:rPr>
        <w:t>。</w:t>
      </w:r>
    </w:p>
    <w:p>
      <w:pPr>
        <w:pStyle w:val="34"/>
        <w:spacing w:line="360" w:lineRule="auto"/>
        <w:ind w:firstLine="360" w:firstLineChars="200"/>
        <w:rPr>
          <w:rFonts w:hAnsi="宋体"/>
          <w:color w:val="auto"/>
          <w:sz w:val="18"/>
          <w:szCs w:val="18"/>
        </w:rPr>
      </w:pPr>
      <w:r>
        <w:rPr>
          <w:rFonts w:hint="eastAsia" w:hAnsi="宋体"/>
          <w:color w:val="auto"/>
          <w:sz w:val="18"/>
          <w:szCs w:val="18"/>
        </w:rPr>
        <w:t>（3）</w:t>
      </w:r>
      <w:r>
        <w:rPr>
          <w:rFonts w:hAnsi="宋体"/>
          <w:color w:val="auto"/>
          <w:sz w:val="18"/>
          <w:szCs w:val="18"/>
        </w:rPr>
        <w:t>“</w:t>
      </w:r>
      <w:r>
        <w:rPr>
          <w:rFonts w:hint="eastAsia" w:hAnsi="宋体"/>
          <w:color w:val="auto"/>
          <w:sz w:val="18"/>
          <w:szCs w:val="18"/>
        </w:rPr>
        <w:t>每日分配、按日支付</w:t>
      </w:r>
      <w:r>
        <w:rPr>
          <w:rFonts w:hAnsi="宋体"/>
          <w:color w:val="auto"/>
          <w:sz w:val="18"/>
          <w:szCs w:val="18"/>
        </w:rPr>
        <w:t>”</w:t>
      </w:r>
      <w:r>
        <w:rPr>
          <w:rFonts w:hint="eastAsia" w:hAnsi="宋体"/>
          <w:color w:val="auto"/>
          <w:sz w:val="18"/>
          <w:szCs w:val="18"/>
        </w:rPr>
        <w:t>。本产品根据每日理财收益情况，以每万份理财收益为基准，为投资人每日计算当日收益并分配，且每日进行支付。投资者当日收益分配的计算保留到小数点后</w:t>
      </w:r>
      <w:r>
        <w:rPr>
          <w:rFonts w:hAnsi="宋体"/>
          <w:color w:val="auto"/>
          <w:sz w:val="18"/>
          <w:szCs w:val="18"/>
        </w:rPr>
        <w:t>2</w:t>
      </w:r>
      <w:r>
        <w:rPr>
          <w:rFonts w:hint="eastAsia" w:hAnsi="宋体"/>
          <w:color w:val="auto"/>
          <w:sz w:val="18"/>
          <w:szCs w:val="18"/>
        </w:rPr>
        <w:t>位，小数点后第</w:t>
      </w:r>
      <w:r>
        <w:rPr>
          <w:rFonts w:hAnsi="宋体"/>
          <w:color w:val="auto"/>
          <w:sz w:val="18"/>
          <w:szCs w:val="18"/>
        </w:rPr>
        <w:t>3</w:t>
      </w:r>
      <w:r>
        <w:rPr>
          <w:rFonts w:hint="eastAsia" w:hAnsi="宋体"/>
          <w:color w:val="auto"/>
          <w:sz w:val="18"/>
          <w:szCs w:val="18"/>
        </w:rPr>
        <w:t>位按去尾原则处理。</w:t>
      </w:r>
    </w:p>
    <w:p>
      <w:pPr>
        <w:pStyle w:val="34"/>
        <w:spacing w:line="360" w:lineRule="auto"/>
        <w:ind w:firstLine="360" w:firstLineChars="200"/>
        <w:rPr>
          <w:rFonts w:hAnsi="宋体"/>
          <w:color w:val="auto"/>
          <w:sz w:val="18"/>
          <w:szCs w:val="18"/>
        </w:rPr>
      </w:pPr>
      <w:r>
        <w:rPr>
          <w:rFonts w:hint="eastAsia" w:hAnsi="宋体"/>
          <w:color w:val="auto"/>
          <w:sz w:val="18"/>
          <w:szCs w:val="18"/>
        </w:rPr>
        <w:t>（4）</w:t>
      </w:r>
      <w:r>
        <w:rPr>
          <w:rFonts w:hAnsi="宋体"/>
          <w:color w:val="auto"/>
          <w:sz w:val="18"/>
          <w:szCs w:val="18"/>
        </w:rPr>
        <w:t>本</w:t>
      </w:r>
      <w:r>
        <w:rPr>
          <w:rFonts w:hint="eastAsia" w:hAnsi="宋体"/>
          <w:color w:val="auto"/>
          <w:sz w:val="18"/>
          <w:szCs w:val="18"/>
        </w:rPr>
        <w:t>产品</w:t>
      </w:r>
      <w:r>
        <w:rPr>
          <w:rFonts w:hAnsi="宋体"/>
          <w:color w:val="auto"/>
          <w:sz w:val="18"/>
          <w:szCs w:val="18"/>
        </w:rPr>
        <w:t>根据每日收益情况，将当日收益全部分配，若当日</w:t>
      </w:r>
      <w:r>
        <w:rPr>
          <w:rFonts w:hint="eastAsia" w:hAnsi="宋体"/>
          <w:color w:val="auto"/>
          <w:sz w:val="18"/>
          <w:szCs w:val="18"/>
        </w:rPr>
        <w:t>理财产品收益</w:t>
      </w:r>
      <w:r>
        <w:rPr>
          <w:rFonts w:hAnsi="宋体"/>
          <w:color w:val="auto"/>
          <w:sz w:val="18"/>
          <w:szCs w:val="18"/>
        </w:rPr>
        <w:t>大于零时，为投资</w:t>
      </w:r>
      <w:r>
        <w:rPr>
          <w:rFonts w:hint="eastAsia" w:hAnsi="宋体"/>
          <w:color w:val="auto"/>
          <w:sz w:val="18"/>
          <w:szCs w:val="18"/>
        </w:rPr>
        <w:t>者</w:t>
      </w:r>
      <w:r>
        <w:rPr>
          <w:rFonts w:hAnsi="宋体"/>
          <w:color w:val="auto"/>
          <w:sz w:val="18"/>
          <w:szCs w:val="18"/>
        </w:rPr>
        <w:t>记正收益；若当日</w:t>
      </w:r>
      <w:r>
        <w:rPr>
          <w:rFonts w:hint="eastAsia" w:hAnsi="宋体"/>
          <w:color w:val="auto"/>
          <w:sz w:val="18"/>
          <w:szCs w:val="18"/>
        </w:rPr>
        <w:t>理财产品收益</w:t>
      </w:r>
      <w:r>
        <w:rPr>
          <w:rFonts w:hAnsi="宋体"/>
          <w:color w:val="auto"/>
          <w:sz w:val="18"/>
          <w:szCs w:val="18"/>
        </w:rPr>
        <w:t>小于零时，为投资人记负收益；若当日</w:t>
      </w:r>
      <w:r>
        <w:rPr>
          <w:rFonts w:hint="eastAsia" w:hAnsi="宋体"/>
          <w:color w:val="auto"/>
          <w:sz w:val="18"/>
          <w:szCs w:val="18"/>
        </w:rPr>
        <w:t>理财产品收益</w:t>
      </w:r>
      <w:r>
        <w:rPr>
          <w:rFonts w:hAnsi="宋体"/>
          <w:color w:val="auto"/>
          <w:sz w:val="18"/>
          <w:szCs w:val="18"/>
        </w:rPr>
        <w:t>等于零时，当日投资</w:t>
      </w:r>
      <w:r>
        <w:rPr>
          <w:rFonts w:hint="eastAsia" w:hAnsi="宋体"/>
          <w:color w:val="auto"/>
          <w:sz w:val="18"/>
          <w:szCs w:val="18"/>
        </w:rPr>
        <w:t>者</w:t>
      </w:r>
      <w:r>
        <w:rPr>
          <w:rFonts w:hAnsi="宋体"/>
          <w:color w:val="auto"/>
          <w:sz w:val="18"/>
          <w:szCs w:val="18"/>
        </w:rPr>
        <w:t>不记收益</w:t>
      </w:r>
      <w:r>
        <w:rPr>
          <w:rFonts w:hint="eastAsia" w:hAnsi="宋体"/>
          <w:color w:val="auto"/>
          <w:sz w:val="18"/>
          <w:szCs w:val="18"/>
        </w:rPr>
        <w:t>。</w:t>
      </w:r>
    </w:p>
    <w:p>
      <w:pPr>
        <w:pStyle w:val="34"/>
        <w:spacing w:line="360" w:lineRule="auto"/>
        <w:ind w:firstLine="360" w:firstLineChars="200"/>
        <w:rPr>
          <w:rFonts w:hAnsi="宋体"/>
          <w:color w:val="auto"/>
          <w:sz w:val="18"/>
          <w:szCs w:val="18"/>
        </w:rPr>
      </w:pPr>
      <w:r>
        <w:rPr>
          <w:rFonts w:hint="eastAsia" w:hAnsi="宋体"/>
          <w:color w:val="auto"/>
          <w:sz w:val="18"/>
          <w:szCs w:val="18"/>
        </w:rPr>
        <w:t>（5）</w:t>
      </w:r>
      <w:r>
        <w:rPr>
          <w:rFonts w:hAnsi="宋体"/>
          <w:color w:val="auto"/>
          <w:sz w:val="18"/>
          <w:szCs w:val="18"/>
        </w:rPr>
        <w:t>本产品每日进行收益计算并分配时，</w:t>
      </w:r>
      <w:r>
        <w:rPr>
          <w:rFonts w:hint="eastAsia" w:asciiTheme="majorEastAsia" w:hAnsiTheme="majorEastAsia" w:eastAsiaTheme="majorEastAsia"/>
          <w:bCs/>
          <w:color w:val="auto"/>
          <w:sz w:val="18"/>
          <w:szCs w:val="18"/>
        </w:rPr>
        <w:t>产品管理人</w:t>
      </w:r>
      <w:r>
        <w:rPr>
          <w:rFonts w:hint="eastAsia" w:hAnsi="宋体"/>
          <w:color w:val="auto"/>
          <w:sz w:val="18"/>
          <w:szCs w:val="18"/>
        </w:rPr>
        <w:t>根据每日理财收益情况，以每万份理财收益为基准，为投资人每日计算当日收益并分配，且每日进行支付，</w:t>
      </w:r>
      <w:r>
        <w:rPr>
          <w:rFonts w:hAnsi="宋体"/>
          <w:color w:val="auto"/>
          <w:sz w:val="18"/>
          <w:szCs w:val="18"/>
        </w:rPr>
        <w:t>支付方式只采用红利再投资</w:t>
      </w:r>
      <w:r>
        <w:rPr>
          <w:rFonts w:hint="eastAsia" w:hAnsi="宋体"/>
          <w:color w:val="auto"/>
          <w:sz w:val="18"/>
          <w:szCs w:val="18"/>
        </w:rPr>
        <w:t>（</w:t>
      </w:r>
      <w:r>
        <w:rPr>
          <w:rFonts w:hAnsi="宋体"/>
          <w:color w:val="auto"/>
          <w:sz w:val="18"/>
          <w:szCs w:val="18"/>
        </w:rPr>
        <w:t>即红利转产品份额</w:t>
      </w:r>
      <w:r>
        <w:rPr>
          <w:rFonts w:hint="eastAsia" w:hAnsi="宋体"/>
          <w:color w:val="auto"/>
          <w:sz w:val="18"/>
          <w:szCs w:val="18"/>
        </w:rPr>
        <w:t>）</w:t>
      </w:r>
      <w:r>
        <w:rPr>
          <w:rFonts w:hAnsi="宋体"/>
          <w:color w:val="auto"/>
          <w:sz w:val="18"/>
          <w:szCs w:val="18"/>
        </w:rPr>
        <w:t>方式，</w:t>
      </w:r>
      <w:r>
        <w:rPr>
          <w:rFonts w:hint="eastAsia" w:hAnsi="宋体"/>
          <w:color w:val="auto"/>
          <w:sz w:val="18"/>
          <w:szCs w:val="18"/>
        </w:rPr>
        <w:t>收益按日结转份额，</w:t>
      </w:r>
      <w:r>
        <w:rPr>
          <w:rFonts w:hAnsi="宋体"/>
          <w:color w:val="auto"/>
          <w:sz w:val="18"/>
          <w:szCs w:val="18"/>
        </w:rPr>
        <w:t>投资</w:t>
      </w:r>
      <w:r>
        <w:rPr>
          <w:rFonts w:hint="eastAsia" w:hAnsi="宋体"/>
          <w:color w:val="auto"/>
          <w:sz w:val="18"/>
          <w:szCs w:val="18"/>
        </w:rPr>
        <w:t>者</w:t>
      </w:r>
      <w:r>
        <w:rPr>
          <w:rFonts w:hAnsi="宋体"/>
          <w:color w:val="auto"/>
          <w:sz w:val="18"/>
          <w:szCs w:val="18"/>
        </w:rPr>
        <w:t>可通过赎回理财产品份额获得现金收益；在当日收益支付时，若</w:t>
      </w:r>
      <w:r>
        <w:rPr>
          <w:rFonts w:hint="eastAsia" w:hAnsi="宋体"/>
          <w:color w:val="auto"/>
          <w:sz w:val="18"/>
          <w:szCs w:val="18"/>
        </w:rPr>
        <w:t>当日净收益</w:t>
      </w:r>
      <w:r>
        <w:rPr>
          <w:rFonts w:hAnsi="宋体"/>
          <w:color w:val="auto"/>
          <w:sz w:val="18"/>
          <w:szCs w:val="18"/>
        </w:rPr>
        <w:t>大于零时，则增加投资</w:t>
      </w:r>
      <w:r>
        <w:rPr>
          <w:rFonts w:hint="eastAsia" w:hAnsi="宋体"/>
          <w:color w:val="auto"/>
          <w:sz w:val="18"/>
          <w:szCs w:val="18"/>
        </w:rPr>
        <w:t>者产品</w:t>
      </w:r>
      <w:r>
        <w:rPr>
          <w:rFonts w:hAnsi="宋体"/>
          <w:color w:val="auto"/>
          <w:sz w:val="18"/>
          <w:szCs w:val="18"/>
        </w:rPr>
        <w:t>份额；若当日净收益等于零时，则保持投资</w:t>
      </w:r>
      <w:r>
        <w:rPr>
          <w:rFonts w:hint="eastAsia" w:hAnsi="宋体"/>
          <w:color w:val="auto"/>
          <w:sz w:val="18"/>
          <w:szCs w:val="18"/>
        </w:rPr>
        <w:t>者产品</w:t>
      </w:r>
      <w:r>
        <w:rPr>
          <w:rFonts w:hAnsi="宋体"/>
          <w:color w:val="auto"/>
          <w:sz w:val="18"/>
          <w:szCs w:val="18"/>
        </w:rPr>
        <w:t>份额不变；</w:t>
      </w:r>
      <w:r>
        <w:rPr>
          <w:rFonts w:hint="eastAsia" w:hAnsi="宋体"/>
          <w:color w:val="auto"/>
          <w:sz w:val="18"/>
          <w:szCs w:val="18"/>
        </w:rPr>
        <w:t>产品管理人</w:t>
      </w:r>
      <w:r>
        <w:rPr>
          <w:rFonts w:hAnsi="宋体"/>
          <w:color w:val="auto"/>
          <w:sz w:val="18"/>
          <w:szCs w:val="18"/>
        </w:rPr>
        <w:t>将采取必要措施尽量避免产品净收益小于零，若当日净收益小于零时，</w:t>
      </w:r>
      <w:r>
        <w:rPr>
          <w:rFonts w:hint="eastAsia" w:hAnsi="宋体"/>
          <w:color w:val="auto"/>
          <w:sz w:val="18"/>
          <w:szCs w:val="18"/>
        </w:rPr>
        <w:t>则</w:t>
      </w:r>
      <w:r>
        <w:rPr>
          <w:rFonts w:hAnsi="宋体"/>
          <w:color w:val="auto"/>
          <w:sz w:val="18"/>
          <w:szCs w:val="18"/>
        </w:rPr>
        <w:t>缩减投资</w:t>
      </w:r>
      <w:r>
        <w:rPr>
          <w:rFonts w:hint="eastAsia" w:hAnsi="宋体"/>
          <w:color w:val="auto"/>
          <w:sz w:val="18"/>
          <w:szCs w:val="18"/>
        </w:rPr>
        <w:t>者</w:t>
      </w:r>
      <w:r>
        <w:rPr>
          <w:rFonts w:hAnsi="宋体"/>
          <w:color w:val="auto"/>
          <w:sz w:val="18"/>
          <w:szCs w:val="18"/>
        </w:rPr>
        <w:t>产品份额</w:t>
      </w:r>
      <w:r>
        <w:rPr>
          <w:rFonts w:hint="eastAsia" w:hAnsi="宋体"/>
          <w:color w:val="auto"/>
          <w:sz w:val="18"/>
          <w:szCs w:val="18"/>
        </w:rPr>
        <w:t>。</w:t>
      </w:r>
    </w:p>
    <w:p>
      <w:pPr>
        <w:autoSpaceDE w:val="0"/>
        <w:autoSpaceDN w:val="0"/>
        <w:adjustRightInd w:val="0"/>
        <w:spacing w:line="360" w:lineRule="auto"/>
        <w:ind w:firstLine="360" w:firstLineChars="200"/>
        <w:jc w:val="left"/>
        <w:rPr>
          <w:rFonts w:ascii="宋体" w:hAnsi="宋体"/>
          <w:sz w:val="18"/>
          <w:szCs w:val="18"/>
        </w:rPr>
      </w:pPr>
      <w:r>
        <w:rPr>
          <w:rFonts w:hint="eastAsia" w:ascii="宋体" w:hAnsi="宋体"/>
          <w:bCs/>
          <w:sz w:val="18"/>
          <w:szCs w:val="18"/>
        </w:rPr>
        <w:t>（6）</w:t>
      </w:r>
      <w:r>
        <w:rPr>
          <w:rFonts w:ascii="宋体" w:hAnsi="宋体"/>
          <w:bCs/>
          <w:sz w:val="18"/>
          <w:szCs w:val="18"/>
        </w:rPr>
        <w:t>申购的</w:t>
      </w:r>
      <w:r>
        <w:rPr>
          <w:rFonts w:hint="eastAsia" w:ascii="宋体" w:hAnsi="宋体"/>
          <w:bCs/>
          <w:sz w:val="18"/>
          <w:szCs w:val="18"/>
        </w:rPr>
        <w:t>理财产品</w:t>
      </w:r>
      <w:r>
        <w:rPr>
          <w:rFonts w:ascii="宋体" w:hAnsi="宋体"/>
          <w:bCs/>
          <w:sz w:val="18"/>
          <w:szCs w:val="18"/>
        </w:rPr>
        <w:t>份额自申购确认之日起，享有</w:t>
      </w:r>
      <w:r>
        <w:rPr>
          <w:rFonts w:hint="eastAsia" w:ascii="宋体" w:hAnsi="宋体"/>
          <w:bCs/>
          <w:sz w:val="18"/>
          <w:szCs w:val="18"/>
        </w:rPr>
        <w:t>产品</w:t>
      </w:r>
      <w:r>
        <w:rPr>
          <w:rFonts w:ascii="宋体" w:hAnsi="宋体"/>
          <w:bCs/>
          <w:sz w:val="18"/>
          <w:szCs w:val="18"/>
        </w:rPr>
        <w:t>的收益分配权益；赎回的</w:t>
      </w:r>
      <w:r>
        <w:rPr>
          <w:rFonts w:hint="eastAsia" w:ascii="宋体" w:hAnsi="宋体"/>
          <w:bCs/>
          <w:sz w:val="18"/>
          <w:szCs w:val="18"/>
        </w:rPr>
        <w:t>理财产品</w:t>
      </w:r>
      <w:r>
        <w:rPr>
          <w:rFonts w:ascii="宋体" w:hAnsi="宋体"/>
          <w:bCs/>
          <w:sz w:val="18"/>
          <w:szCs w:val="18"/>
        </w:rPr>
        <w:t>份额自赎回确认之日起，不享有</w:t>
      </w:r>
      <w:r>
        <w:rPr>
          <w:rFonts w:hint="eastAsia" w:ascii="宋体" w:hAnsi="宋体"/>
          <w:bCs/>
          <w:sz w:val="18"/>
          <w:szCs w:val="18"/>
        </w:rPr>
        <w:t>产品</w:t>
      </w:r>
      <w:r>
        <w:rPr>
          <w:rFonts w:ascii="宋体" w:hAnsi="宋体"/>
          <w:bCs/>
          <w:sz w:val="18"/>
          <w:szCs w:val="18"/>
        </w:rPr>
        <w:t>的收益分配权益</w:t>
      </w:r>
      <w:r>
        <w:rPr>
          <w:rFonts w:hint="eastAsia" w:ascii="宋体" w:hAnsi="宋体"/>
          <w:bCs/>
          <w:sz w:val="18"/>
          <w:szCs w:val="18"/>
        </w:rPr>
        <w:t>。</w:t>
      </w:r>
    </w:p>
    <w:p>
      <w:pPr>
        <w:pStyle w:val="34"/>
        <w:spacing w:line="360" w:lineRule="auto"/>
        <w:ind w:firstLine="270" w:firstLineChars="150"/>
        <w:rPr>
          <w:rFonts w:hAnsi="宋体"/>
          <w:color w:val="auto"/>
          <w:sz w:val="18"/>
          <w:szCs w:val="18"/>
        </w:rPr>
      </w:pPr>
      <w:r>
        <w:rPr>
          <w:rFonts w:hAnsi="宋体"/>
          <w:color w:val="auto"/>
          <w:sz w:val="18"/>
          <w:szCs w:val="18"/>
        </w:rPr>
        <w:t>2</w:t>
      </w:r>
      <w:r>
        <w:rPr>
          <w:rFonts w:hint="eastAsia" w:hAnsi="宋体"/>
          <w:color w:val="auto"/>
          <w:sz w:val="18"/>
          <w:szCs w:val="18"/>
        </w:rPr>
        <w:t>.</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本产品利益</w:t>
      </w:r>
      <w:r>
        <w:rPr>
          <w:rFonts w:hAnsi="宋体"/>
          <w:color w:val="auto"/>
          <w:sz w:val="18"/>
          <w:szCs w:val="18"/>
        </w:rPr>
        <w:t>的分配原则和支付方式</w:t>
      </w:r>
      <w:r>
        <w:rPr>
          <w:rFonts w:hint="eastAsia" w:hAnsi="宋体"/>
          <w:color w:val="auto"/>
          <w:sz w:val="18"/>
          <w:szCs w:val="18"/>
        </w:rPr>
        <w:t>。法律法规或监管机构另有规定的从其规定。</w:t>
      </w:r>
    </w:p>
    <w:p>
      <w:pPr>
        <w:pStyle w:val="3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pPr>
        <w:pStyle w:val="34"/>
        <w:spacing w:line="360" w:lineRule="auto"/>
        <w:ind w:firstLine="361" w:firstLineChars="200"/>
        <w:rPr>
          <w:rFonts w:hAnsi="宋体"/>
          <w:b/>
          <w:bCs/>
          <w:color w:val="auto"/>
          <w:sz w:val="18"/>
          <w:szCs w:val="18"/>
        </w:rPr>
      </w:pPr>
      <w:permStart w:id="22" w:edGrp="everyone"/>
      <w:r>
        <w:rPr>
          <w:rFonts w:hint="eastAsia" w:hAnsi="宋体"/>
          <w:b/>
          <w:bCs/>
          <w:color w:val="auto"/>
          <w:sz w:val="18"/>
          <w:szCs w:val="18"/>
        </w:rPr>
        <w:t>1.分配方案要点：</w:t>
      </w:r>
    </w:p>
    <w:p>
      <w:pPr>
        <w:pStyle w:val="34"/>
        <w:spacing w:line="360" w:lineRule="auto"/>
        <w:ind w:firstLine="360" w:firstLineChars="200"/>
        <w:rPr>
          <w:rFonts w:hAnsi="宋体"/>
          <w:color w:val="auto"/>
          <w:sz w:val="18"/>
          <w:szCs w:val="18"/>
        </w:rPr>
      </w:pPr>
      <w:r>
        <w:rPr>
          <w:rFonts w:hint="eastAsia" w:hAnsi="宋体"/>
          <w:color w:val="auto"/>
          <w:sz w:val="18"/>
          <w:szCs w:val="18"/>
        </w:rPr>
        <w:t>（1）本产品的分配时点采取“期间分配”和“终止分配”。</w:t>
      </w:r>
    </w:p>
    <w:p>
      <w:pPr>
        <w:pStyle w:val="34"/>
        <w:spacing w:line="360" w:lineRule="auto"/>
        <w:ind w:firstLine="360" w:firstLineChars="200"/>
        <w:rPr>
          <w:rFonts w:hAnsi="宋体"/>
          <w:color w:val="auto"/>
          <w:sz w:val="18"/>
          <w:szCs w:val="18"/>
        </w:rPr>
      </w:pPr>
      <w:r>
        <w:rPr>
          <w:rFonts w:hint="eastAsia" w:hAnsi="宋体"/>
          <w:color w:val="auto"/>
          <w:sz w:val="18"/>
          <w:szCs w:val="18"/>
        </w:rPr>
        <w:t>（2）本产品的分配方式采取“现金分配”和“非现金分配”。</w:t>
      </w:r>
    </w:p>
    <w:p>
      <w:pPr>
        <w:pStyle w:val="3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pPr>
        <w:pStyle w:val="3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ermEnd w:id="22"/>
    <w:p>
      <w:pPr>
        <w:spacing w:line="360" w:lineRule="auto"/>
        <w:ind w:firstLine="360"/>
        <w:rPr>
          <w:rFonts w:ascii="宋体" w:hAnsi="宋体"/>
          <w:b/>
          <w:sz w:val="18"/>
          <w:szCs w:val="18"/>
        </w:rPr>
      </w:pPr>
      <w:r>
        <w:rPr>
          <w:rFonts w:hint="eastAsia" w:ascii="宋体" w:hAnsi="宋体"/>
          <w:b/>
          <w:kern w:val="0"/>
          <w:sz w:val="18"/>
          <w:szCs w:val="18"/>
        </w:rPr>
        <w:t>（四）理财利益的分配</w:t>
      </w:r>
    </w:p>
    <w:p>
      <w:pPr>
        <w:pStyle w:val="34"/>
        <w:spacing w:line="360" w:lineRule="auto"/>
        <w:ind w:firstLine="360" w:firstLineChars="200"/>
        <w:rPr>
          <w:rFonts w:asciiTheme="minorEastAsia" w:hAnsiTheme="minorEastAsia" w:eastAsiaTheme="minorEastAsia"/>
          <w:color w:val="auto"/>
          <w:sz w:val="18"/>
          <w:szCs w:val="18"/>
        </w:rPr>
      </w:pPr>
      <w:permStart w:id="23" w:edGrp="everyone"/>
      <w:r>
        <w:rPr>
          <w:rFonts w:hint="eastAsia" w:asciiTheme="minorEastAsia" w:hAnsiTheme="minorEastAsia" w:eastAsiaTheme="minorEastAsia"/>
          <w:color w:val="auto"/>
          <w:sz w:val="18"/>
          <w:szCs w:val="18"/>
        </w:rPr>
        <w:t>1</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本产品每日进行收益分配。每个开放日公告前一个开放日每万份理财收益和</w:t>
      </w:r>
      <w:r>
        <w:rPr>
          <w:rFonts w:asciiTheme="minorEastAsia" w:hAnsiTheme="minorEastAsia" w:eastAsiaTheme="minorEastAsia"/>
          <w:color w:val="auto"/>
          <w:sz w:val="18"/>
          <w:szCs w:val="18"/>
        </w:rPr>
        <w:t>7</w:t>
      </w:r>
      <w:r>
        <w:rPr>
          <w:rFonts w:hint="eastAsia" w:asciiTheme="minorEastAsia" w:hAnsiTheme="minorEastAsia" w:eastAsiaTheme="minorEastAsia"/>
          <w:color w:val="auto"/>
          <w:sz w:val="18"/>
          <w:szCs w:val="18"/>
        </w:rPr>
        <w:t>日年化收益率。若遇法定节假日，应于节假日结束后第一个工作日，披露节假日期间的每万份理财收益和</w:t>
      </w:r>
      <w:r>
        <w:rPr>
          <w:rFonts w:asciiTheme="minorEastAsia" w:hAnsiTheme="minorEastAsia" w:eastAsiaTheme="minorEastAsia"/>
          <w:color w:val="auto"/>
          <w:sz w:val="18"/>
          <w:szCs w:val="18"/>
        </w:rPr>
        <w:t>7</w:t>
      </w:r>
      <w:r>
        <w:rPr>
          <w:rFonts w:hint="eastAsia" w:asciiTheme="minorEastAsia" w:hAnsiTheme="minorEastAsia" w:eastAsiaTheme="minorEastAsia"/>
          <w:color w:val="auto"/>
          <w:sz w:val="18"/>
          <w:szCs w:val="18"/>
        </w:rPr>
        <w:t>日年化收益率。法律法规另有规定的，从其规定。</w:t>
      </w:r>
    </w:p>
    <w:p>
      <w:pPr>
        <w:pStyle w:val="3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该收益仅供客户购买时决策参考，并不代表该理财产品未来的表现，也不构成产品管理人对本产品收益的任何承诺或保证。</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本产品根据每日收益情况，以产品实际收益为基准，每日为投资者计提当日理财收益，每日结转份额(如遇节假日顺延)，每日例行的份额结转不再另行公告。</w:t>
      </w:r>
    </w:p>
    <w:p>
      <w:pPr>
        <w:pStyle w:val="3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如发生需要</w:t>
      </w:r>
      <w:r>
        <w:rPr>
          <w:rFonts w:hint="eastAsia" w:hAnsi="宋体"/>
          <w:color w:val="auto"/>
          <w:sz w:val="18"/>
          <w:szCs w:val="18"/>
        </w:rPr>
        <w:t>延期</w:t>
      </w:r>
      <w:r>
        <w:rPr>
          <w:rFonts w:hAnsi="宋体"/>
          <w:color w:val="auto"/>
          <w:sz w:val="18"/>
          <w:szCs w:val="18"/>
        </w:rPr>
        <w:t>分配的特殊情况，产品管理人将对</w:t>
      </w:r>
      <w:r>
        <w:rPr>
          <w:rFonts w:hint="eastAsia" w:hAnsi="宋体"/>
          <w:color w:val="auto"/>
          <w:sz w:val="18"/>
          <w:szCs w:val="18"/>
        </w:rPr>
        <w:t>延期</w:t>
      </w:r>
      <w:r>
        <w:rPr>
          <w:rFonts w:hAnsi="宋体"/>
          <w:color w:val="auto"/>
          <w:sz w:val="18"/>
          <w:szCs w:val="18"/>
        </w:rPr>
        <w:t xml:space="preserve">分配的情况进行公告。 </w:t>
      </w:r>
    </w:p>
    <w:permEnd w:id="23"/>
    <w:p>
      <w:pPr>
        <w:pStyle w:val="34"/>
        <w:spacing w:line="360" w:lineRule="auto"/>
        <w:ind w:firstLine="360" w:firstLineChars="200"/>
        <w:rPr>
          <w:rFonts w:hAnsi="宋体"/>
          <w:color w:val="auto"/>
          <w:sz w:val="18"/>
          <w:szCs w:val="18"/>
        </w:rPr>
      </w:pPr>
    </w:p>
    <w:p>
      <w:pPr>
        <w:widowControl/>
        <w:spacing w:line="360" w:lineRule="auto"/>
        <w:jc w:val="left"/>
        <w:rPr>
          <w:rFonts w:ascii="宋体" w:hAnsi="宋体"/>
          <w:kern w:val="0"/>
          <w:sz w:val="18"/>
          <w:szCs w:val="18"/>
        </w:rPr>
      </w:pPr>
      <w:r>
        <w:rPr>
          <w:rFonts w:hAnsi="宋体"/>
          <w:sz w:val="18"/>
          <w:szCs w:val="18"/>
        </w:rPr>
        <w:br w:type="page"/>
      </w:r>
    </w:p>
    <w:bookmarkEnd w:id="93"/>
    <w:bookmarkEnd w:id="94"/>
    <w:bookmarkEnd w:id="95"/>
    <w:bookmarkEnd w:id="96"/>
    <w:p>
      <w:pPr>
        <w:pStyle w:val="2"/>
        <w:spacing w:before="0" w:after="0" w:line="360" w:lineRule="auto"/>
        <w:jc w:val="center"/>
        <w:rPr>
          <w:rFonts w:ascii="Times New Roman"/>
          <w:sz w:val="30"/>
        </w:rPr>
      </w:pPr>
      <w:bookmarkStart w:id="97" w:name="_Hlt88825574"/>
      <w:bookmarkEnd w:id="97"/>
      <w:bookmarkStart w:id="98" w:name="_Hlt88897298"/>
      <w:bookmarkEnd w:id="98"/>
      <w:bookmarkStart w:id="99" w:name="_Toc27112"/>
      <w:bookmarkStart w:id="100" w:name="_Toc7058"/>
      <w:bookmarkStart w:id="101" w:name="_Toc141703888"/>
      <w:bookmarkStart w:id="102" w:name="_Toc25783"/>
      <w:bookmarkStart w:id="103" w:name="_Toc11030"/>
      <w:bookmarkStart w:id="104" w:name="_Toc139991738"/>
      <w:bookmarkStart w:id="105" w:name="_Toc123102455"/>
      <w:bookmarkStart w:id="106" w:name="_Toc176189286"/>
      <w:bookmarkStart w:id="107" w:name="_Toc6447"/>
      <w:bookmarkStart w:id="108" w:name="_Toc79392583"/>
      <w:bookmarkStart w:id="109" w:name="_Toc74065745"/>
      <w:bookmarkStart w:id="110" w:name="_Toc9706"/>
      <w:bookmarkStart w:id="111" w:name="_Toc123051454"/>
      <w:bookmarkStart w:id="112" w:name="_Toc18567"/>
      <w:bookmarkStart w:id="113" w:name="_Toc123112236"/>
      <w:bookmarkStart w:id="114" w:name="_Toc3321"/>
      <w:bookmarkStart w:id="115" w:name="_Toc10650"/>
      <w:bookmarkStart w:id="116" w:name="_Toc79154672"/>
      <w:bookmarkStart w:id="117" w:name="_Toc4559"/>
      <w:bookmarkStart w:id="118" w:name="_Toc3771"/>
      <w:bookmarkStart w:id="119" w:name="_Toc98560354"/>
      <w:r>
        <w:rPr>
          <w:rFonts w:ascii="Times New Roman"/>
          <w:sz w:val="30"/>
        </w:rPr>
        <w:t>第</w:t>
      </w:r>
      <w:r>
        <w:rPr>
          <w:rFonts w:hint="eastAsia" w:ascii="Times New Roman"/>
          <w:sz w:val="30"/>
        </w:rPr>
        <w:t>九条</w:t>
      </w:r>
      <w:r>
        <w:rPr>
          <w:rFonts w:ascii="Times New Roman"/>
          <w:sz w:val="30"/>
        </w:rPr>
        <w:t xml:space="preserve">  </w:t>
      </w:r>
      <w:r>
        <w:rPr>
          <w:rFonts w:hint="eastAsia" w:ascii="Times New Roman"/>
          <w:sz w:val="30"/>
        </w:rPr>
        <w:t>理财产品的费用与税收</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（一）理财产品的费用</w:t>
      </w:r>
    </w:p>
    <w:p>
      <w:pPr>
        <w:widowControl/>
        <w:spacing w:line="360" w:lineRule="auto"/>
        <w:ind w:firstLine="360" w:firstLineChars="200"/>
        <w:jc w:val="left"/>
        <w:rPr>
          <w:rFonts w:hAnsi="宋体"/>
          <w:sz w:val="18"/>
          <w:szCs w:val="18"/>
        </w:rPr>
      </w:pPr>
      <w:r>
        <w:rPr>
          <w:rFonts w:ascii="宋体" w:hAnsi="宋体"/>
          <w:kern w:val="0"/>
          <w:sz w:val="18"/>
          <w:szCs w:val="18"/>
        </w:rPr>
        <w:t>1</w:t>
      </w:r>
      <w:r>
        <w:rPr>
          <w:rFonts w:hint="eastAsia" w:ascii="宋体" w:hAnsi="宋体"/>
          <w:kern w:val="0"/>
          <w:sz w:val="18"/>
          <w:szCs w:val="18"/>
        </w:rPr>
        <w:t>.</w:t>
      </w:r>
      <w:r>
        <w:rPr>
          <w:rFonts w:ascii="宋体" w:hAnsi="宋体"/>
          <w:kern w:val="0"/>
          <w:sz w:val="18"/>
          <w:szCs w:val="18"/>
        </w:rPr>
        <w:t>理财产品费用的种类</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1）理财产品的认购费、申购费、赎回费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2）理财产品的销售服务费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3）理财产品的投资管理费及超额业绩报酬；</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4</w:t>
      </w:r>
      <w:r>
        <w:rPr>
          <w:rFonts w:hint="eastAsia" w:ascii="宋体" w:hAnsi="宋体"/>
          <w:kern w:val="0"/>
          <w:sz w:val="18"/>
          <w:szCs w:val="18"/>
        </w:rPr>
        <w:t>）理财产品的产品托管费；</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）理财产品的交易费用（包括但不限于证券交易费用、经纪费用等）；</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）理财产品验资费、审计费、律师费、信息披露费、清算费、执行费用等相关费用；</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7</w:t>
      </w:r>
      <w:r>
        <w:rPr>
          <w:rFonts w:hint="eastAsia" w:ascii="宋体" w:hAnsi="宋体"/>
          <w:kern w:val="0"/>
          <w:sz w:val="18"/>
          <w:szCs w:val="18"/>
        </w:rPr>
        <w:t>）按照国家法律法规规定可以列入的其他费用。</w:t>
      </w:r>
    </w:p>
    <w:p>
      <w:pPr>
        <w:widowControl/>
        <w:spacing w:line="360" w:lineRule="auto"/>
        <w:ind w:firstLine="360" w:firstLineChars="200"/>
        <w:jc w:val="left"/>
        <w:rPr>
          <w:rFonts w:ascii="宋体" w:hAnsi="宋体"/>
          <w:sz w:val="18"/>
          <w:szCs w:val="18"/>
        </w:rPr>
      </w:pPr>
      <w:r>
        <w:rPr>
          <w:rFonts w:ascii="宋体" w:hAnsi="宋体"/>
          <w:kern w:val="0"/>
          <w:sz w:val="18"/>
          <w:szCs w:val="18"/>
        </w:rPr>
        <w:t>2.</w:t>
      </w:r>
      <w:r>
        <w:rPr>
          <w:rFonts w:hint="eastAsia" w:ascii="宋体" w:hAnsi="宋体"/>
          <w:kern w:val="0"/>
          <w:sz w:val="18"/>
          <w:szCs w:val="18"/>
        </w:rPr>
        <w:t>理财产品费用计提方法、计提标准和支付方式</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1</w:t>
      </w:r>
      <w:r>
        <w:rPr>
          <w:rFonts w:hint="eastAsia" w:ascii="宋体" w:hAnsi="宋体"/>
          <w:kern w:val="0"/>
          <w:sz w:val="18"/>
          <w:szCs w:val="18"/>
        </w:rPr>
        <w:t>）理财产品的认购费、申购费、赎回费</w:t>
      </w:r>
    </w:p>
    <w:p>
      <w:pPr>
        <w:widowControl/>
        <w:spacing w:line="360" w:lineRule="auto"/>
        <w:ind w:firstLine="360" w:firstLineChars="200"/>
        <w:jc w:val="left"/>
        <w:rPr>
          <w:rFonts w:ascii="宋体" w:hAnsi="宋体"/>
          <w:sz w:val="18"/>
          <w:szCs w:val="18"/>
        </w:rPr>
      </w:pPr>
      <w:r>
        <w:rPr>
          <w:rFonts w:ascii="宋体" w:hAnsi="宋体"/>
          <w:kern w:val="0"/>
          <w:sz w:val="18"/>
          <w:szCs w:val="18"/>
        </w:rPr>
        <w:t>1）认购费：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ascii="宋体" w:hAnsi="宋体"/>
          <w:kern w:val="0"/>
          <w:sz w:val="18"/>
          <w:szCs w:val="18"/>
        </w:rPr>
        <w:t>。</w:t>
      </w:r>
    </w:p>
    <w:p>
      <w:pPr>
        <w:widowControl/>
        <w:spacing w:line="360" w:lineRule="auto"/>
        <w:ind w:firstLine="360" w:firstLineChars="200"/>
        <w:jc w:val="left"/>
        <w:rPr>
          <w:rFonts w:ascii="宋体" w:hAnsi="宋体"/>
          <w:sz w:val="18"/>
          <w:szCs w:val="18"/>
        </w:rPr>
      </w:pPr>
      <w:r>
        <w:rPr>
          <w:rFonts w:ascii="宋体" w:hAnsi="宋体"/>
          <w:kern w:val="0"/>
          <w:sz w:val="18"/>
          <w:szCs w:val="18"/>
        </w:rPr>
        <w:t>2）申购费：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bCs/>
          <w:sz w:val="18"/>
          <w:szCs w:val="18"/>
        </w:rPr>
      </w:pPr>
      <w:r>
        <w:rPr>
          <w:rFonts w:ascii="宋体" w:hAnsi="宋体"/>
          <w:kern w:val="0"/>
          <w:sz w:val="18"/>
          <w:szCs w:val="18"/>
        </w:rPr>
        <w:t>3</w:t>
      </w:r>
      <w:r>
        <w:rPr>
          <w:rFonts w:hint="eastAsia" w:ascii="宋体" w:hAnsi="宋体"/>
          <w:kern w:val="0"/>
          <w:sz w:val="18"/>
          <w:szCs w:val="18"/>
        </w:rPr>
        <w:t>）赎回费：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bCs/>
          <w:sz w:val="18"/>
          <w:szCs w:val="18"/>
        </w:rPr>
      </w:pPr>
      <w:r>
        <w:rPr>
          <w:rFonts w:ascii="宋体" w:hAnsi="宋体"/>
          <w:kern w:val="0"/>
          <w:sz w:val="18"/>
          <w:szCs w:val="18"/>
        </w:rPr>
        <w:t>4）强制赎回费用</w:t>
      </w:r>
      <w:r>
        <w:rPr>
          <w:rFonts w:hint="eastAsia" w:ascii="宋体" w:hAnsi="宋体"/>
          <w:kern w:val="0"/>
          <w:sz w:val="18"/>
          <w:szCs w:val="18"/>
        </w:rPr>
        <w:t>：</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asciiTheme="majorEastAsia" w:hAnsiTheme="majorEastAsia" w:eastAsiaTheme="majorEastAsia"/>
          <w:bCs/>
          <w:sz w:val="18"/>
          <w:szCs w:val="18"/>
        </w:rPr>
        <w:t>为准</w:t>
      </w:r>
      <w:r>
        <w:rPr>
          <w:rFonts w:hint="eastAsia"/>
          <w:bCs/>
          <w:sz w:val="18"/>
          <w:szCs w:val="18"/>
        </w:rPr>
        <w:t>。</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2）</w:t>
      </w:r>
      <w:r>
        <w:rPr>
          <w:rFonts w:hint="eastAsia" w:ascii="宋体" w:hAnsi="宋体"/>
          <w:kern w:val="0"/>
          <w:sz w:val="18"/>
          <w:szCs w:val="18"/>
        </w:rPr>
        <w:t>理财产品的销售服务费</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本产品的销售服务费按前一日理财资产净值与销售服务费每日费率每日计提。销售服务费的计算方法如下：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H＝E×销售服务费年费率÷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H为每日应计提的销售服务费</w:t>
      </w:r>
    </w:p>
    <w:p>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pPr>
        <w:pStyle w:val="34"/>
        <w:spacing w:line="360" w:lineRule="auto"/>
        <w:ind w:firstLine="360" w:firstLineChars="200"/>
        <w:rPr>
          <w:rFonts w:asciiTheme="majorEastAsia" w:hAnsiTheme="majorEastAsia" w:eastAsiaTheme="majorEastAsia"/>
          <w:color w:val="auto"/>
          <w:kern w:val="2"/>
          <w:sz w:val="18"/>
          <w:szCs w:val="18"/>
        </w:rPr>
      </w:pPr>
      <w:r>
        <w:rPr>
          <w:rFonts w:hint="eastAsia" w:hAnsi="宋体"/>
          <w:color w:val="auto"/>
          <w:sz w:val="18"/>
          <w:szCs w:val="18"/>
        </w:rPr>
        <w:t>销售服务费依照上述约定，从理财财产中支付。</w:t>
      </w:r>
      <w:r>
        <w:rPr>
          <w:rFonts w:hint="eastAsia" w:asciiTheme="majorEastAsia" w:hAnsiTheme="majorEastAsia" w:eastAsiaTheme="majorEastAsia"/>
          <w:color w:val="auto"/>
          <w:kern w:val="2"/>
          <w:sz w:val="18"/>
          <w:szCs w:val="18"/>
        </w:rPr>
        <w:t>费率具体数值以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color w:val="auto"/>
          <w:kern w:val="2"/>
          <w:sz w:val="18"/>
          <w:szCs w:val="18"/>
        </w:rPr>
        <w:t>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3）</w:t>
      </w:r>
      <w:r>
        <w:rPr>
          <w:rFonts w:hint="eastAsia" w:ascii="宋体" w:hAnsi="宋体"/>
          <w:kern w:val="0"/>
          <w:sz w:val="18"/>
          <w:szCs w:val="18"/>
        </w:rPr>
        <w:t>理财产品</w:t>
      </w:r>
      <w:r>
        <w:rPr>
          <w:rFonts w:ascii="宋体" w:hAnsi="宋体"/>
          <w:kern w:val="0"/>
          <w:sz w:val="18"/>
          <w:szCs w:val="18"/>
        </w:rPr>
        <w:t>的投资管理费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本产品的投资管理费按前一日理财资产净值与投资管理费每日费率每日计提。</w:t>
      </w:r>
      <w:r>
        <w:rPr>
          <w:rFonts w:hint="eastAsia" w:ascii="宋体" w:hAnsi="宋体"/>
          <w:kern w:val="0"/>
          <w:sz w:val="18"/>
          <w:szCs w:val="18"/>
        </w:rPr>
        <w:t>投资管理费的计算方法如下：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投资管理费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投资管理费</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投资管理费依照上述约定，从理财财产中支付。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r>
        <w:rPr>
          <w:rFonts w:hint="eastAsia" w:ascii="宋体" w:hAnsi="宋体"/>
          <w:kern w:val="0"/>
          <w:sz w:val="18"/>
          <w:szCs w:val="18"/>
        </w:rPr>
        <w:t>。</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（4）超额业绩报酬</w:t>
      </w:r>
    </w:p>
    <w:p>
      <w:pPr>
        <w:widowControl/>
        <w:spacing w:line="360" w:lineRule="auto"/>
        <w:ind w:firstLine="360" w:firstLineChars="200"/>
        <w:jc w:val="left"/>
        <w:rPr>
          <w:rFonts w:ascii="宋体" w:hAnsi="宋体"/>
          <w:kern w:val="0"/>
          <w:sz w:val="18"/>
          <w:szCs w:val="18"/>
        </w:rPr>
      </w:pPr>
      <w:permStart w:id="24" w:edGrp="everyone"/>
      <w:r>
        <w:rPr>
          <w:rFonts w:hint="eastAsia" w:ascii="宋体" w:hAnsi="宋体"/>
          <w:kern w:val="0"/>
          <w:sz w:val="18"/>
          <w:szCs w:val="18"/>
        </w:rPr>
        <w:t>本产品</w:t>
      </w:r>
      <w:r>
        <w:rPr>
          <w:rFonts w:ascii="宋体" w:hAnsi="宋体"/>
          <w:kern w:val="0"/>
          <w:sz w:val="18"/>
          <w:szCs w:val="18"/>
        </w:rPr>
        <w:t>不收取超额业绩报酬。</w:t>
      </w:r>
    </w:p>
    <w:permEnd w:id="24"/>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w:t>
      </w:r>
      <w:r>
        <w:rPr>
          <w:rFonts w:ascii="宋体" w:hAnsi="宋体"/>
          <w:kern w:val="0"/>
          <w:sz w:val="18"/>
          <w:szCs w:val="18"/>
        </w:rPr>
        <w:t>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本产品的产品</w:t>
      </w:r>
      <w:r>
        <w:rPr>
          <w:rFonts w:ascii="宋体" w:hAnsi="宋体"/>
          <w:sz w:val="18"/>
          <w:szCs w:val="18"/>
        </w:rPr>
        <w:t>托管</w:t>
      </w:r>
      <w:r>
        <w:rPr>
          <w:rFonts w:hint="eastAsia" w:ascii="宋体" w:hAnsi="宋体"/>
          <w:sz w:val="18"/>
          <w:szCs w:val="18"/>
        </w:rPr>
        <w:t>费按前一日理财资产净值与产品</w:t>
      </w:r>
      <w:r>
        <w:rPr>
          <w:rFonts w:ascii="宋体" w:hAnsi="宋体"/>
          <w:sz w:val="18"/>
          <w:szCs w:val="18"/>
        </w:rPr>
        <w:t>托管</w:t>
      </w:r>
      <w:r>
        <w:rPr>
          <w:rFonts w:hint="eastAsia" w:ascii="宋体" w:hAnsi="宋体"/>
          <w:sz w:val="18"/>
          <w:szCs w:val="18"/>
        </w:rPr>
        <w:t>费每日费率每日计提。</w:t>
      </w:r>
      <w:r>
        <w:rPr>
          <w:rFonts w:hint="eastAsia" w:ascii="宋体" w:hAnsi="宋体"/>
          <w:kern w:val="0"/>
          <w:sz w:val="18"/>
          <w:szCs w:val="18"/>
        </w:rPr>
        <w:t>产品</w:t>
      </w:r>
      <w:r>
        <w:rPr>
          <w:rFonts w:ascii="宋体" w:hAnsi="宋体"/>
          <w:kern w:val="0"/>
          <w:sz w:val="18"/>
          <w:szCs w:val="18"/>
        </w:rPr>
        <w:t>托管费的计算方法如下：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产品托管费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产品托管费依照上述约定，从理财财产中支付。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w:t>
      </w:r>
      <w:r>
        <w:rPr>
          <w:rFonts w:ascii="宋体" w:hAnsi="宋体"/>
          <w:kern w:val="0"/>
          <w:sz w:val="18"/>
          <w:szCs w:val="18"/>
        </w:rPr>
        <w:t>上述</w:t>
      </w:r>
      <w:r>
        <w:rPr>
          <w:rFonts w:hint="eastAsia" w:ascii="宋体" w:hAnsi="宋体"/>
          <w:kern w:val="0"/>
          <w:sz w:val="18"/>
          <w:szCs w:val="18"/>
        </w:rPr>
        <w:t>理财产品的证券交易费用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7）上述</w:t>
      </w:r>
      <w:r>
        <w:rPr>
          <w:rFonts w:hint="eastAsia" w:ascii="宋体" w:hAnsi="宋体"/>
          <w:kern w:val="0"/>
          <w:sz w:val="18"/>
          <w:szCs w:val="18"/>
        </w:rPr>
        <w:t>理财产品</w:t>
      </w:r>
      <w:r>
        <w:rPr>
          <w:rFonts w:ascii="宋体" w:hAnsi="宋体"/>
          <w:kern w:val="0"/>
          <w:sz w:val="18"/>
          <w:szCs w:val="18"/>
        </w:rPr>
        <w:t>验资费、审计费、律师费、信息披露费、</w:t>
      </w:r>
      <w:r>
        <w:rPr>
          <w:rFonts w:hint="eastAsia" w:ascii="宋体" w:hAnsi="宋体"/>
          <w:kern w:val="0"/>
          <w:sz w:val="18"/>
          <w:szCs w:val="18"/>
        </w:rPr>
        <w:t>清算费、</w:t>
      </w:r>
      <w:r>
        <w:rPr>
          <w:rFonts w:ascii="宋体" w:hAnsi="宋体"/>
          <w:kern w:val="0"/>
          <w:sz w:val="18"/>
          <w:szCs w:val="18"/>
        </w:rPr>
        <w:t>执行费用等相关费用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按费用实际支出金额列入当期费用，从理财财产中支付。产品管理人因处理上述事务而先行垫付上述</w:t>
      </w:r>
      <w:r>
        <w:rPr>
          <w:rFonts w:ascii="宋体" w:hAnsi="宋体"/>
          <w:kern w:val="0"/>
          <w:sz w:val="18"/>
          <w:szCs w:val="18"/>
        </w:rPr>
        <w:t>费用</w:t>
      </w:r>
      <w:r>
        <w:rPr>
          <w:rFonts w:hint="eastAsia" w:ascii="宋体" w:hAnsi="宋体"/>
          <w:kern w:val="0"/>
          <w:sz w:val="18"/>
          <w:szCs w:val="18"/>
        </w:rPr>
        <w:t>的，管理人有权从理财产品资产中优先受偿。</w:t>
      </w:r>
    </w:p>
    <w:p>
      <w:pPr>
        <w:pStyle w:val="34"/>
        <w:spacing w:line="360" w:lineRule="auto"/>
        <w:ind w:firstLine="360" w:firstLineChars="200"/>
        <w:rPr>
          <w:rFonts w:ascii="黑体" w:hAnsi="黑体" w:eastAsia="黑体"/>
          <w:color w:val="auto"/>
          <w:sz w:val="18"/>
        </w:rPr>
      </w:pPr>
      <w:r>
        <w:rPr>
          <w:rFonts w:ascii="黑体" w:hAnsi="黑体" w:eastAsia="黑体"/>
          <w:color w:val="auto"/>
          <w:sz w:val="18"/>
        </w:rPr>
        <w:t>3.</w:t>
      </w:r>
      <w:r>
        <w:rPr>
          <w:rFonts w:hAnsi="宋体"/>
          <w:color w:val="auto"/>
          <w:sz w:val="18"/>
          <w:szCs w:val="18"/>
        </w:rPr>
        <w:t>★</w:t>
      </w:r>
      <w:r>
        <w:rPr>
          <w:rFonts w:hint="eastAsia" w:ascii="黑体" w:hAnsi="黑体" w:eastAsia="黑体"/>
          <w:color w:val="auto"/>
          <w:sz w:val="18"/>
          <w:szCs w:val="18"/>
        </w:rPr>
        <w:t>理财产品费用</w:t>
      </w:r>
      <w:r>
        <w:rPr>
          <w:rFonts w:hint="eastAsia" w:ascii="黑体" w:hAnsi="黑体" w:eastAsia="黑体"/>
          <w:color w:val="auto"/>
          <w:sz w:val="18"/>
        </w:rPr>
        <w:t>的调整</w:t>
      </w:r>
    </w:p>
    <w:p>
      <w:pPr>
        <w:pStyle w:val="34"/>
        <w:spacing w:line="360" w:lineRule="auto"/>
        <w:ind w:firstLine="360" w:firstLineChars="200"/>
        <w:rPr>
          <w:rFonts w:ascii="黑体" w:hAnsi="黑体" w:eastAsia="黑体"/>
          <w:color w:val="auto"/>
          <w:sz w:val="18"/>
        </w:rPr>
      </w:pPr>
      <w:r>
        <w:rPr>
          <w:rFonts w:hint="eastAsia" w:ascii="黑体" w:hAnsi="黑体" w:eastAsia="黑体"/>
          <w:color w:val="auto"/>
          <w:sz w:val="18"/>
        </w:rPr>
        <w:t>（1）发生巨额赎回时，为保护投资者利益，产品管理人有权对赎回日至赎回确认日之间的各项费用进行减免。</w:t>
      </w:r>
    </w:p>
    <w:p>
      <w:pPr>
        <w:pStyle w:val="34"/>
        <w:spacing w:line="360" w:lineRule="auto"/>
        <w:ind w:firstLine="360" w:firstLineChars="200"/>
        <w:rPr>
          <w:rFonts w:ascii="黑体" w:hAnsi="黑体" w:eastAsia="黑体"/>
          <w:b/>
          <w:color w:val="auto"/>
          <w:sz w:val="18"/>
        </w:rPr>
      </w:pPr>
      <w:r>
        <w:rPr>
          <w:rFonts w:hint="eastAsia" w:ascii="黑体" w:hAnsi="黑体" w:eastAsia="黑体"/>
          <w:color w:val="auto"/>
          <w:sz w:val="18"/>
        </w:rPr>
        <w:t>（2）产品管理人有权</w:t>
      </w:r>
      <w:r>
        <w:rPr>
          <w:rFonts w:hint="eastAsia" w:ascii="黑体" w:hAnsi="黑体" w:eastAsia="黑体"/>
          <w:color w:val="auto"/>
          <w:sz w:val="18"/>
          <w:szCs w:val="18"/>
        </w:rPr>
        <w:t>根据相关法律和国家政策规定，</w:t>
      </w:r>
      <w:r>
        <w:rPr>
          <w:rFonts w:hint="eastAsia" w:ascii="黑体" w:hAnsi="黑体" w:eastAsia="黑体"/>
          <w:color w:val="auto"/>
          <w:sz w:val="18"/>
        </w:rPr>
        <w:t>对理财产品费用的收费项目、收费条件、收费标准和收费方式等进行调整。产品管理人对费用的调整</w:t>
      </w:r>
      <w:r>
        <w:rPr>
          <w:rFonts w:hint="eastAsia" w:ascii="黑体" w:hAnsi="黑体" w:eastAsia="黑体"/>
          <w:bCs/>
          <w:color w:val="auto"/>
          <w:sz w:val="18"/>
        </w:rPr>
        <w:t>将依约定进行公告。</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pStyle w:val="2"/>
        <w:spacing w:line="360" w:lineRule="auto"/>
        <w:jc w:val="center"/>
      </w:pPr>
      <w:bookmarkStart w:id="120" w:name="_Toc3963"/>
      <w:bookmarkStart w:id="121" w:name="_Toc1745"/>
      <w:r>
        <w:br w:type="page"/>
      </w:r>
      <w:bookmarkStart w:id="122" w:name="_Toc18383"/>
      <w:bookmarkStart w:id="123" w:name="_Toc725"/>
      <w:bookmarkStart w:id="124" w:name="_Toc139991739"/>
      <w:bookmarkStart w:id="125" w:name="_Toc16164"/>
      <w:bookmarkStart w:id="126" w:name="_Toc10398"/>
      <w:bookmarkStart w:id="127" w:name="_Toc21735"/>
      <w:bookmarkStart w:id="128" w:name="_Toc3080"/>
      <w:bookmarkStart w:id="129" w:name="_Toc3572"/>
      <w:bookmarkStart w:id="130" w:name="_Toc176189287"/>
      <w:bookmarkStart w:id="131" w:name="_Toc141703889"/>
      <w:bookmarkStart w:id="132" w:name="_Toc79154673"/>
      <w:bookmarkStart w:id="133" w:name="_Toc74065746"/>
      <w:bookmarkStart w:id="134" w:name="_Toc98560355"/>
      <w:bookmarkStart w:id="135" w:name="_Toc31821"/>
      <w:bookmarkStart w:id="136" w:name="_Toc18206"/>
      <w:bookmarkStart w:id="137" w:name="_Toc123051455"/>
      <w:bookmarkStart w:id="138" w:name="_Toc123112237"/>
      <w:bookmarkStart w:id="139" w:name="_Toc123102456"/>
      <w:r>
        <w:rPr>
          <w:rFonts w:hint="eastAsia"/>
          <w:sz w:val="30"/>
        </w:rPr>
        <w:t>第十条</w:t>
      </w:r>
      <w:r>
        <w:rPr>
          <w:sz w:val="30"/>
        </w:rPr>
        <w:t xml:space="preserve">  </w:t>
      </w:r>
      <w:r>
        <w:rPr>
          <w:rFonts w:hint="eastAsia"/>
          <w:sz w:val="30"/>
        </w:rPr>
        <w:t>理财产品的终止与清算</w:t>
      </w:r>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pPr>
        <w:spacing w:line="360" w:lineRule="auto"/>
        <w:ind w:firstLine="361" w:firstLineChars="200"/>
        <w:rPr>
          <w:rFonts w:asciiTheme="majorEastAsia" w:hAnsiTheme="majorEastAsia" w:eastAsiaTheme="majorEastAsia"/>
          <w:b/>
          <w:bCs/>
          <w:sz w:val="18"/>
          <w:szCs w:val="18"/>
        </w:rPr>
      </w:pPr>
      <w:bookmarkStart w:id="140" w:name="_Toc15118245"/>
      <w:bookmarkStart w:id="141" w:name="_Toc79392593"/>
      <w:bookmarkStart w:id="142" w:name="_Toc57530252"/>
      <w:r>
        <w:rPr>
          <w:rFonts w:hint="eastAsia" w:asciiTheme="majorEastAsia" w:hAnsiTheme="majorEastAsia" w:eastAsiaTheme="majorEastAsia"/>
          <w:b/>
          <w:bCs/>
          <w:sz w:val="18"/>
          <w:szCs w:val="18"/>
        </w:rPr>
        <w:t>（一）理财产品的终止</w:t>
      </w:r>
    </w:p>
    <w:p>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bookmarkEnd w:id="140"/>
    <w:bookmarkEnd w:id="141"/>
    <w:bookmarkEnd w:id="142"/>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5】个工作日，清算期超过【5】个工作日的，将依约定进行公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部分终止的比例：理财产品将按比例（已变现资产/理财产品净资产）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部分终止的利益分配：产品管理人将依照销售文件公布部分终止日并指定利益分配日（一般为部分终止日之后的【5】个工作日以内）。产品管理人应将理财利益于指定的利益分配日（遇节假日顺延）向投资者分配。</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理财产品部分终止日（含当日）至理财利益实际到账日之间，理财资金不计算收益。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3.理财产品到期日产品管理人按照《产品说明书》“第十条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pStyle w:val="2"/>
        <w:spacing w:before="0" w:after="0" w:line="360" w:lineRule="auto"/>
        <w:jc w:val="center"/>
        <w:rPr>
          <w:rFonts w:ascii="Times New Roman"/>
          <w:sz w:val="30"/>
        </w:rPr>
      </w:pPr>
      <w:r>
        <w:rPr>
          <w:rFonts w:ascii="Times New Roman"/>
          <w:b w:val="0"/>
          <w:bCs w:val="0"/>
          <w:kern w:val="2"/>
        </w:rPr>
        <w:br w:type="page"/>
      </w:r>
      <w:bookmarkStart w:id="143" w:name="_Toc29408"/>
      <w:bookmarkStart w:id="144" w:name="_Toc48649708"/>
      <w:bookmarkStart w:id="145" w:name="_Toc5170"/>
      <w:bookmarkStart w:id="146" w:name="_Toc123102457"/>
      <w:bookmarkStart w:id="147" w:name="_Toc21237"/>
      <w:bookmarkStart w:id="148" w:name="_Toc739"/>
      <w:bookmarkStart w:id="149" w:name="_Toc3329"/>
      <w:bookmarkStart w:id="150" w:name="_Toc79154674"/>
      <w:bookmarkStart w:id="151" w:name="_Toc141703890"/>
      <w:bookmarkStart w:id="152" w:name="_Toc17920"/>
      <w:bookmarkStart w:id="153" w:name="_Toc32092"/>
      <w:bookmarkStart w:id="154" w:name="_Toc98560356"/>
      <w:bookmarkStart w:id="155" w:name="_Toc32584"/>
      <w:bookmarkStart w:id="156" w:name="_Toc17198"/>
      <w:bookmarkStart w:id="157" w:name="_Toc139991740"/>
      <w:bookmarkStart w:id="158" w:name="_Toc79392622"/>
      <w:bookmarkStart w:id="159" w:name="_Toc8791"/>
      <w:bookmarkStart w:id="160" w:name="_Toc74065747"/>
      <w:bookmarkStart w:id="161" w:name="_Toc26192"/>
      <w:bookmarkStart w:id="162" w:name="_Toc123112238"/>
      <w:bookmarkStart w:id="163" w:name="_Toc176189288"/>
      <w:bookmarkStart w:id="164" w:name="_Toc123051456"/>
      <w:r>
        <w:rPr>
          <w:rFonts w:ascii="Times New Roman"/>
          <w:sz w:val="30"/>
        </w:rPr>
        <w:t>第十</w:t>
      </w:r>
      <w:r>
        <w:rPr>
          <w:rFonts w:hint="eastAsia" w:ascii="Times New Roman"/>
          <w:sz w:val="30"/>
        </w:rPr>
        <w:t>一条</w:t>
      </w:r>
      <w:r>
        <w:rPr>
          <w:rFonts w:ascii="Times New Roman"/>
          <w:sz w:val="30"/>
        </w:rPr>
        <w:t xml:space="preserve">  </w:t>
      </w:r>
      <w:r>
        <w:rPr>
          <w:rFonts w:hint="eastAsia" w:ascii="Times New Roman"/>
          <w:sz w:val="30"/>
        </w:rPr>
        <w:t>理财产品的信息披露</w:t>
      </w:r>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pPr>
        <w:spacing w:line="360" w:lineRule="auto"/>
        <w:ind w:firstLine="361" w:firstLineChars="200"/>
        <w:rPr>
          <w:rFonts w:ascii="宋体" w:hAnsi="宋体"/>
          <w:b/>
          <w:bCs/>
          <w:sz w:val="18"/>
          <w:szCs w:val="18"/>
        </w:rPr>
      </w:pPr>
      <w:bookmarkStart w:id="165" w:name="_Toc85201647"/>
      <w:r>
        <w:rPr>
          <w:rFonts w:hint="eastAsia" w:ascii="宋体" w:hAnsi="宋体"/>
          <w:b/>
          <w:bCs/>
          <w:sz w:val="18"/>
          <w:szCs w:val="18"/>
        </w:rPr>
        <w:t>（一）信息</w:t>
      </w:r>
      <w:r>
        <w:rPr>
          <w:rFonts w:ascii="宋体" w:hAnsi="宋体"/>
          <w:b/>
          <w:bCs/>
          <w:sz w:val="18"/>
          <w:szCs w:val="18"/>
        </w:rPr>
        <w:t>披露的原则</w:t>
      </w:r>
    </w:p>
    <w:p>
      <w:pPr>
        <w:spacing w:line="360" w:lineRule="auto"/>
        <w:ind w:firstLine="360" w:firstLineChars="20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pPr>
        <w:spacing w:line="360" w:lineRule="auto"/>
        <w:ind w:firstLine="361" w:firstLineChars="200"/>
        <w:rPr>
          <w:rFonts w:ascii="宋体" w:hAnsi="宋体"/>
          <w:b/>
          <w:bCs/>
          <w:sz w:val="18"/>
          <w:szCs w:val="18"/>
        </w:rPr>
      </w:pPr>
      <w:r>
        <w:rPr>
          <w:rFonts w:hint="eastAsia" w:ascii="宋体" w:hAnsi="宋体"/>
          <w:b/>
          <w:bCs/>
          <w:sz w:val="18"/>
          <w:szCs w:val="18"/>
        </w:rPr>
        <w:t>（二）信息披露的渠道</w:t>
      </w:r>
    </w:p>
    <w:p>
      <w:pPr>
        <w:spacing w:line="360" w:lineRule="auto"/>
        <w:ind w:firstLine="360" w:firstLineChars="20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本理财产品认购期和存续期间，产品管理人将通过产品管理人或销售机构的信息披露渠道开展理财产品的信息披露工作。请</w:t>
      </w:r>
      <w:r>
        <w:rPr>
          <w:rFonts w:ascii="宋体" w:hAnsi="宋体"/>
          <w:bCs/>
          <w:sz w:val="18"/>
          <w:szCs w:val="18"/>
        </w:rPr>
        <w:t>投资者及时关注。</w:t>
      </w:r>
    </w:p>
    <w:p>
      <w:pPr>
        <w:spacing w:line="360" w:lineRule="auto"/>
        <w:ind w:firstLine="360" w:firstLineChars="20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pPr>
        <w:spacing w:line="360" w:lineRule="auto"/>
        <w:ind w:firstLine="360" w:firstLineChars="200"/>
        <w:rPr>
          <w:rFonts w:ascii="宋体" w:hAnsi="宋体"/>
          <w:bCs/>
          <w:sz w:val="18"/>
          <w:szCs w:val="18"/>
        </w:rPr>
      </w:pPr>
      <w:r>
        <w:rPr>
          <w:rFonts w:ascii="宋体" w:hAnsi="宋体"/>
          <w:bCs/>
          <w:sz w:val="18"/>
          <w:szCs w:val="18"/>
        </w:rPr>
        <w:t>3</w:t>
      </w:r>
      <w:r>
        <w:rPr>
          <w:rFonts w:hint="eastAsia" w:ascii="宋体" w:hAnsi="宋体"/>
          <w:bCs/>
          <w:sz w:val="18"/>
          <w:szCs w:val="18"/>
        </w:rPr>
        <w:t>.投资者应定期通过约定的信息披露渠道获知有关理财产品相关信息。以上相关信息自披露之日即视为已送达投资者，也视为产品管理人已适当披露理财产品相关信息。投资者承诺将及时接收、浏览和阅读该等信息。如投资者对本产品的运作状况有任何疑问，可向产品管理人或销售机构进行咨询。</w:t>
      </w:r>
    </w:p>
    <w:p>
      <w:pPr>
        <w:spacing w:line="360" w:lineRule="auto"/>
        <w:ind w:firstLine="360" w:firstLineChars="200"/>
        <w:rPr>
          <w:rFonts w:ascii="宋体" w:hAnsi="宋体"/>
          <w:bCs/>
          <w:sz w:val="18"/>
          <w:szCs w:val="18"/>
        </w:rPr>
      </w:pPr>
      <w:r>
        <w:rPr>
          <w:rFonts w:ascii="宋体" w:hAnsi="宋体"/>
          <w:bCs/>
          <w:sz w:val="18"/>
          <w:szCs w:val="18"/>
        </w:rPr>
        <w:t>4</w:t>
      </w:r>
      <w:r>
        <w:rPr>
          <w:rFonts w:hint="eastAsia" w:ascii="宋体" w:hAnsi="宋体"/>
          <w:bCs/>
          <w:sz w:val="18"/>
          <w:szCs w:val="18"/>
        </w:rPr>
        <w:t>.在保障投资者知情权的前提下，产品管理人保留变更信息披露渠道的权利。</w:t>
      </w:r>
    </w:p>
    <w:p>
      <w:pPr>
        <w:spacing w:line="360" w:lineRule="auto"/>
        <w:ind w:firstLine="361" w:firstLineChars="200"/>
        <w:rPr>
          <w:rFonts w:ascii="宋体" w:hAnsi="宋体"/>
          <w:b/>
          <w:bCs/>
          <w:sz w:val="18"/>
          <w:szCs w:val="18"/>
        </w:rPr>
      </w:pPr>
      <w:r>
        <w:rPr>
          <w:rFonts w:hint="eastAsia" w:ascii="宋体" w:hAnsi="宋体"/>
          <w:b/>
          <w:bCs/>
          <w:sz w:val="18"/>
          <w:szCs w:val="18"/>
        </w:rPr>
        <w:t>（三）信息披露的内容</w:t>
      </w:r>
    </w:p>
    <w:p>
      <w:pPr>
        <w:spacing w:line="360" w:lineRule="auto"/>
        <w:ind w:firstLine="360" w:firstLineChars="20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w:t>
      </w:r>
      <w:r>
        <w:rPr>
          <w:rFonts w:hint="eastAsia" w:asciiTheme="minorEastAsia" w:hAnsiTheme="minorEastAsia"/>
          <w:bCs/>
          <w:sz w:val="18"/>
          <w:szCs w:val="18"/>
        </w:rPr>
        <w:t>每万份理财产品份额收益及</w:t>
      </w:r>
      <w:r>
        <w:rPr>
          <w:rFonts w:asciiTheme="minorEastAsia" w:hAnsiTheme="minorEastAsia"/>
          <w:bCs/>
          <w:sz w:val="18"/>
          <w:szCs w:val="18"/>
        </w:rPr>
        <w:t>7日年化收益率</w:t>
      </w:r>
      <w:r>
        <w:rPr>
          <w:rFonts w:hint="eastAsia" w:asciiTheme="minorEastAsia" w:hAnsiTheme="minorEastAsia"/>
          <w:bCs/>
          <w:sz w:val="18"/>
          <w:szCs w:val="18"/>
        </w:rPr>
        <w:t>、</w:t>
      </w:r>
      <w:r>
        <w:rPr>
          <w:rFonts w:asciiTheme="minorEastAsia" w:hAnsiTheme="minorEastAsia"/>
          <w:bCs/>
          <w:sz w:val="18"/>
          <w:szCs w:val="18"/>
        </w:rPr>
        <w:t>前</w:t>
      </w:r>
      <w:r>
        <w:rPr>
          <w:rFonts w:hint="eastAsia" w:asciiTheme="minorEastAsia" w:hAnsiTheme="minorEastAsia"/>
          <w:bCs/>
          <w:sz w:val="18"/>
          <w:szCs w:val="18"/>
        </w:rPr>
        <w:t>1</w:t>
      </w:r>
      <w:r>
        <w:rPr>
          <w:rFonts w:asciiTheme="minorEastAsia" w:hAnsiTheme="minorEastAsia"/>
          <w:bCs/>
          <w:sz w:val="18"/>
          <w:szCs w:val="18"/>
        </w:rPr>
        <w:t>0名投资者类别</w:t>
      </w:r>
      <w:r>
        <w:rPr>
          <w:rFonts w:hint="eastAsia" w:asciiTheme="minorEastAsia" w:hAnsiTheme="minorEastAsia"/>
          <w:bCs/>
          <w:sz w:val="18"/>
          <w:szCs w:val="18"/>
        </w:rPr>
        <w:t>和</w:t>
      </w:r>
      <w:r>
        <w:rPr>
          <w:rFonts w:asciiTheme="minorEastAsia" w:hAnsiTheme="minorEastAsia"/>
          <w:bCs/>
          <w:sz w:val="18"/>
          <w:szCs w:val="18"/>
        </w:rPr>
        <w:t>持有份额及</w:t>
      </w:r>
      <w:r>
        <w:rPr>
          <w:rFonts w:hint="eastAsia" w:asciiTheme="minorEastAsia" w:hAnsiTheme="minorEastAsia"/>
          <w:bCs/>
          <w:sz w:val="18"/>
          <w:szCs w:val="18"/>
        </w:rPr>
        <w:t>占总份额比例</w:t>
      </w:r>
      <w:r>
        <w:rPr>
          <w:rFonts w:hint="eastAsia" w:ascii="宋体" w:hAnsi="宋体"/>
          <w:bCs/>
          <w:sz w:val="18"/>
          <w:szCs w:val="18"/>
        </w:rPr>
        <w:t>等信息。</w:t>
      </w:r>
    </w:p>
    <w:p>
      <w:pPr>
        <w:spacing w:line="360" w:lineRule="auto"/>
        <w:ind w:firstLine="361" w:firstLineChars="200"/>
        <w:rPr>
          <w:rFonts w:ascii="宋体" w:hAnsi="宋体"/>
          <w:b/>
          <w:bCs/>
          <w:sz w:val="18"/>
          <w:szCs w:val="18"/>
        </w:rPr>
      </w:pPr>
      <w:r>
        <w:rPr>
          <w:rFonts w:hint="eastAsia" w:ascii="宋体" w:hAnsi="宋体"/>
          <w:b/>
          <w:bCs/>
          <w:sz w:val="18"/>
          <w:szCs w:val="18"/>
        </w:rPr>
        <w:t>（四）信息披露的频率和时间</w:t>
      </w:r>
    </w:p>
    <w:p>
      <w:pPr>
        <w:spacing w:line="360" w:lineRule="auto"/>
        <w:ind w:firstLine="360" w:firstLineChars="200"/>
        <w:rPr>
          <w:rFonts w:ascii="宋体" w:hAnsi="宋体"/>
          <w:bCs/>
          <w:sz w:val="18"/>
          <w:szCs w:val="18"/>
        </w:rPr>
      </w:pPr>
      <w:r>
        <w:rPr>
          <w:rFonts w:ascii="宋体" w:hAnsi="宋体"/>
          <w:bCs/>
          <w:sz w:val="18"/>
          <w:szCs w:val="18"/>
        </w:rPr>
        <w:t>1</w:t>
      </w:r>
      <w:r>
        <w:rPr>
          <w:rFonts w:hint="eastAsia" w:ascii="宋体" w:hAnsi="宋体"/>
          <w:bCs/>
          <w:sz w:val="18"/>
          <w:szCs w:val="18"/>
        </w:rPr>
        <w:t>.</w:t>
      </w:r>
      <w:r>
        <w:rPr>
          <w:rFonts w:ascii="宋体" w:hAnsi="宋体"/>
          <w:bCs/>
          <w:sz w:val="18"/>
          <w:szCs w:val="18"/>
        </w:rPr>
        <w:t>产品成立公告</w:t>
      </w:r>
    </w:p>
    <w:p>
      <w:pPr>
        <w:spacing w:line="360" w:lineRule="auto"/>
        <w:ind w:firstLine="360" w:firstLineChars="200"/>
        <w:rPr>
          <w:rFonts w:ascii="宋体" w:hAnsi="宋体"/>
          <w:bCs/>
          <w:sz w:val="18"/>
          <w:szCs w:val="18"/>
        </w:rPr>
      </w:pPr>
      <w:r>
        <w:rPr>
          <w:rFonts w:hint="eastAsia" w:ascii="宋体" w:hAnsi="宋体"/>
          <w:bCs/>
          <w:sz w:val="18"/>
          <w:szCs w:val="18"/>
        </w:rPr>
        <w:t>本产品成立后5个工作日内，产品管理人将发布产品成立公告。</w:t>
      </w:r>
    </w:p>
    <w:p>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w:t>
      </w:r>
      <w:r>
        <w:rPr>
          <w:rFonts w:ascii="宋体" w:hAnsi="宋体"/>
          <w:bCs/>
          <w:sz w:val="18"/>
          <w:szCs w:val="18"/>
        </w:rPr>
        <w:t>重大事项公告</w:t>
      </w:r>
    </w:p>
    <w:p>
      <w:pPr>
        <w:spacing w:line="360" w:lineRule="auto"/>
        <w:ind w:firstLine="360" w:firstLineChars="20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pPr>
        <w:spacing w:line="360" w:lineRule="auto"/>
        <w:ind w:firstLine="360" w:firstLineChars="200"/>
        <w:rPr>
          <w:rFonts w:ascii="宋体" w:hAnsi="宋体"/>
          <w:bCs/>
          <w:sz w:val="18"/>
          <w:szCs w:val="18"/>
        </w:rPr>
      </w:pPr>
      <w:r>
        <w:rPr>
          <w:rFonts w:ascii="宋体" w:hAnsi="宋体"/>
          <w:bCs/>
          <w:sz w:val="18"/>
          <w:szCs w:val="18"/>
        </w:rPr>
        <w:t>3</w:t>
      </w:r>
      <w:r>
        <w:rPr>
          <w:rFonts w:hint="eastAsia" w:ascii="宋体" w:hAnsi="宋体"/>
          <w:bCs/>
          <w:sz w:val="18"/>
          <w:szCs w:val="18"/>
        </w:rPr>
        <w:t>.</w:t>
      </w:r>
      <w:r>
        <w:rPr>
          <w:rFonts w:ascii="宋体" w:hAnsi="宋体"/>
          <w:bCs/>
          <w:sz w:val="18"/>
          <w:szCs w:val="18"/>
        </w:rPr>
        <w:t>定期报告</w:t>
      </w:r>
    </w:p>
    <w:p>
      <w:pPr>
        <w:spacing w:line="360" w:lineRule="auto"/>
        <w:ind w:firstLine="360" w:firstLineChars="200"/>
        <w:rPr>
          <w:rFonts w:ascii="宋体" w:hAnsi="宋体"/>
          <w:bCs/>
          <w:sz w:val="18"/>
          <w:szCs w:val="18"/>
        </w:rPr>
      </w:pPr>
      <w:r>
        <w:rPr>
          <w:rFonts w:hint="eastAsia" w:ascii="宋体" w:hAnsi="宋体"/>
          <w:bCs/>
          <w:sz w:val="18"/>
          <w:szCs w:val="18"/>
        </w:rPr>
        <w:t>定期报告分为季度、半年度和年度定期报告。产品成立超过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firstLineChars="200"/>
        <w:rPr>
          <w:rFonts w:ascii="宋体" w:hAnsi="宋体"/>
          <w:bCs/>
          <w:sz w:val="18"/>
          <w:szCs w:val="18"/>
        </w:rPr>
      </w:pPr>
      <w:r>
        <w:rPr>
          <w:rFonts w:hint="eastAsia" w:ascii="宋体" w:hAnsi="宋体"/>
          <w:bCs/>
          <w:sz w:val="18"/>
          <w:szCs w:val="18"/>
        </w:rPr>
        <w:t>产品存续期间如出现单一投资者持有产品份额达到或者超过产品总份额20%的情形,为保障其他投资者的权益，管理人将在定期报告中披露该投资者的类别、持有份额及占比、持有份额变化情况及产品风险等信息，监管部门认定的特殊情形除外。</w:t>
      </w:r>
    </w:p>
    <w:p>
      <w:pPr>
        <w:spacing w:line="360" w:lineRule="auto"/>
        <w:ind w:firstLine="360" w:firstLineChars="200"/>
        <w:rPr>
          <w:rFonts w:ascii="宋体" w:hAnsi="宋体"/>
          <w:bCs/>
          <w:sz w:val="18"/>
          <w:szCs w:val="18"/>
        </w:rPr>
      </w:pPr>
      <w:r>
        <w:rPr>
          <w:rFonts w:ascii="宋体" w:hAnsi="宋体"/>
          <w:bCs/>
          <w:sz w:val="18"/>
          <w:szCs w:val="18"/>
        </w:rPr>
        <w:t>4</w:t>
      </w:r>
      <w:r>
        <w:rPr>
          <w:rFonts w:hint="eastAsia" w:ascii="宋体" w:hAnsi="宋体"/>
          <w:bCs/>
          <w:sz w:val="18"/>
          <w:szCs w:val="18"/>
        </w:rPr>
        <w:t>.</w:t>
      </w:r>
      <w:r>
        <w:rPr>
          <w:rFonts w:ascii="宋体" w:hAnsi="宋体"/>
          <w:bCs/>
          <w:sz w:val="18"/>
          <w:szCs w:val="18"/>
        </w:rPr>
        <w:t>到期公告</w:t>
      </w:r>
    </w:p>
    <w:p>
      <w:pPr>
        <w:spacing w:line="360" w:lineRule="auto"/>
        <w:ind w:firstLine="360" w:firstLineChars="200"/>
        <w:rPr>
          <w:rFonts w:ascii="宋体" w:hAnsi="宋体"/>
          <w:bCs/>
          <w:sz w:val="18"/>
          <w:szCs w:val="18"/>
        </w:rPr>
      </w:pPr>
      <w:r>
        <w:rPr>
          <w:rFonts w:hint="eastAsia" w:ascii="宋体" w:hAnsi="宋体"/>
          <w:bCs/>
          <w:sz w:val="18"/>
          <w:szCs w:val="18"/>
        </w:rPr>
        <w:t>如果产品管理人主动提前终止本产品，产品管理人将提前2个工作日进行公告。本产品终止后5个工作日内，产品管理人发布产品到期公告。</w:t>
      </w:r>
    </w:p>
    <w:p>
      <w:pPr>
        <w:spacing w:line="360" w:lineRule="auto"/>
        <w:ind w:firstLine="360" w:firstLineChars="200"/>
        <w:rPr>
          <w:rFonts w:ascii="宋体" w:hAnsi="宋体"/>
          <w:bCs/>
          <w:sz w:val="18"/>
          <w:szCs w:val="18"/>
        </w:rPr>
      </w:pPr>
      <w:r>
        <w:rPr>
          <w:rFonts w:ascii="宋体" w:hAnsi="宋体"/>
          <w:bCs/>
          <w:sz w:val="18"/>
          <w:szCs w:val="18"/>
        </w:rPr>
        <w:t>5</w:t>
      </w:r>
      <w:r>
        <w:rPr>
          <w:rFonts w:hint="eastAsia" w:ascii="宋体" w:hAnsi="宋体"/>
          <w:bCs/>
          <w:sz w:val="18"/>
          <w:szCs w:val="18"/>
        </w:rPr>
        <w:t>.</w:t>
      </w:r>
      <w:r>
        <w:rPr>
          <w:rFonts w:ascii="宋体" w:hAnsi="宋体"/>
          <w:bCs/>
          <w:sz w:val="18"/>
          <w:szCs w:val="18"/>
        </w:rPr>
        <w:t>开放日</w:t>
      </w:r>
      <w:r>
        <w:rPr>
          <w:rFonts w:hint="eastAsia" w:ascii="宋体" w:hAnsi="宋体"/>
          <w:bCs/>
          <w:sz w:val="18"/>
          <w:szCs w:val="18"/>
        </w:rPr>
        <w:t>/</w:t>
      </w:r>
      <w:r>
        <w:rPr>
          <w:rFonts w:ascii="宋体" w:hAnsi="宋体"/>
          <w:bCs/>
          <w:sz w:val="18"/>
          <w:szCs w:val="18"/>
        </w:rPr>
        <w:t>估值日公告</w:t>
      </w:r>
    </w:p>
    <w:p>
      <w:pPr>
        <w:spacing w:line="360" w:lineRule="auto"/>
        <w:ind w:firstLine="360" w:firstLineChars="200"/>
        <w:rPr>
          <w:rFonts w:ascii="宋体" w:hAnsi="宋体"/>
          <w:bCs/>
          <w:sz w:val="18"/>
          <w:szCs w:val="18"/>
        </w:rPr>
      </w:pPr>
      <w:permStart w:id="25" w:edGrp="everyone"/>
      <w:r>
        <w:rPr>
          <w:rFonts w:hint="eastAsia" w:ascii="宋体" w:hAnsi="宋体"/>
          <w:bCs/>
          <w:sz w:val="18"/>
          <w:szCs w:val="18"/>
        </w:rPr>
        <w:t>产品管理人在每个开放日公告前一个开放日每万份理财收益和</w:t>
      </w:r>
      <w:r>
        <w:rPr>
          <w:rFonts w:ascii="宋体" w:hAnsi="宋体"/>
          <w:bCs/>
          <w:sz w:val="18"/>
          <w:szCs w:val="18"/>
        </w:rPr>
        <w:t>7</w:t>
      </w:r>
      <w:r>
        <w:rPr>
          <w:rFonts w:hint="eastAsia" w:ascii="宋体" w:hAnsi="宋体"/>
          <w:bCs/>
          <w:sz w:val="18"/>
          <w:szCs w:val="18"/>
        </w:rPr>
        <w:t>日年化收益率。如遇法定节假日顺延。</w:t>
      </w:r>
    </w:p>
    <w:permEnd w:id="25"/>
    <w:p>
      <w:pPr>
        <w:spacing w:line="360" w:lineRule="auto"/>
        <w:ind w:firstLine="360" w:firstLineChars="200"/>
        <w:rPr>
          <w:rFonts w:ascii="宋体" w:hAnsi="宋体"/>
          <w:bCs/>
          <w:sz w:val="18"/>
          <w:szCs w:val="18"/>
        </w:rPr>
      </w:pPr>
      <w:r>
        <w:rPr>
          <w:rFonts w:ascii="宋体" w:hAnsi="宋体"/>
          <w:bCs/>
          <w:sz w:val="18"/>
          <w:szCs w:val="18"/>
        </w:rPr>
        <w:t>6.临时公告</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w:t>
      </w:r>
      <w:r>
        <w:rPr>
          <w:rFonts w:ascii="宋体" w:hAnsi="宋体"/>
          <w:bCs/>
          <w:sz w:val="18"/>
          <w:szCs w:val="18"/>
        </w:rPr>
        <w:t>/申购</w:t>
      </w:r>
      <w:r>
        <w:rPr>
          <w:rFonts w:hint="eastAsia" w:ascii="宋体" w:hAnsi="宋体"/>
          <w:bCs/>
          <w:sz w:val="18"/>
          <w:szCs w:val="18"/>
        </w:rPr>
        <w:t>申请、暂停接受</w:t>
      </w:r>
      <w:r>
        <w:rPr>
          <w:rFonts w:ascii="宋体" w:hAnsi="宋体"/>
          <w:bCs/>
          <w:sz w:val="18"/>
          <w:szCs w:val="18"/>
        </w:rPr>
        <w:t>投资者</w:t>
      </w:r>
      <w:r>
        <w:rPr>
          <w:rFonts w:hint="eastAsia" w:ascii="宋体" w:hAnsi="宋体"/>
          <w:bCs/>
          <w:sz w:val="18"/>
          <w:szCs w:val="18"/>
        </w:rPr>
        <w:t>赎回申请、延缓支付赎回款项、</w:t>
      </w:r>
      <w:r>
        <w:rPr>
          <w:rFonts w:ascii="宋体" w:hAnsi="宋体"/>
          <w:bCs/>
          <w:sz w:val="18"/>
          <w:szCs w:val="18"/>
        </w:rPr>
        <w:t>巨额赎回</w:t>
      </w:r>
      <w:r>
        <w:rPr>
          <w:rFonts w:hint="eastAsia" w:ascii="宋体" w:hAnsi="宋体"/>
          <w:bCs/>
          <w:sz w:val="18"/>
          <w:szCs w:val="18"/>
        </w:rPr>
        <w:t>、暂停理财产品估值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在发生涉及产品认购、申购或赎回事项调整或潜在影响投资者赎回等事项时，管理人将发布临时公告。</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pPr>
        <w:spacing w:line="360" w:lineRule="auto"/>
        <w:ind w:firstLine="360" w:firstLineChars="200"/>
        <w:rPr>
          <w:rFonts w:ascii="宋体" w:hAnsi="宋体"/>
          <w:bCs/>
          <w:sz w:val="18"/>
          <w:szCs w:val="18"/>
        </w:rPr>
      </w:pPr>
      <w:r>
        <w:rPr>
          <w:rFonts w:hint="eastAsia" w:ascii="宋体" w:hAnsi="宋体"/>
          <w:bCs/>
          <w:sz w:val="18"/>
          <w:szCs w:val="18"/>
        </w:rPr>
        <w:t>除前述事项外，如出现其他突发事件，需在事件发生后及时进行披露。</w:t>
      </w:r>
    </w:p>
    <w:bookmarkEnd w:id="165"/>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pPr>
        <w:widowControl/>
        <w:spacing w:line="360" w:lineRule="auto"/>
        <w:jc w:val="left"/>
        <w:rPr>
          <w:bCs/>
          <w:sz w:val="24"/>
        </w:rPr>
      </w:pPr>
      <w:r>
        <w:rPr>
          <w:bCs/>
          <w:sz w:val="24"/>
        </w:rPr>
        <w:br w:type="page"/>
      </w:r>
    </w:p>
    <w:p>
      <w:pPr>
        <w:pStyle w:val="2"/>
        <w:spacing w:before="0" w:after="0" w:line="360" w:lineRule="auto"/>
        <w:jc w:val="center"/>
        <w:rPr>
          <w:rFonts w:ascii="Times New Roman"/>
          <w:b w:val="0"/>
          <w:sz w:val="30"/>
        </w:rPr>
      </w:pPr>
      <w:bookmarkStart w:id="166" w:name="_Toc20251"/>
      <w:bookmarkStart w:id="167" w:name="_Toc176189289"/>
      <w:bookmarkStart w:id="168" w:name="_Toc79154675"/>
      <w:r>
        <w:rPr>
          <w:rFonts w:hint="eastAsia" w:ascii="Times New Roman"/>
          <w:sz w:val="30"/>
        </w:rPr>
        <w:t>第十二条</w:t>
      </w:r>
      <w:r>
        <w:rPr>
          <w:rFonts w:ascii="Times New Roman"/>
          <w:sz w:val="30"/>
        </w:rPr>
        <w:t xml:space="preserve">  </w:t>
      </w:r>
      <w:r>
        <w:rPr>
          <w:rFonts w:hint="eastAsia" w:ascii="Times New Roman"/>
          <w:sz w:val="30"/>
        </w:rPr>
        <w:t>理财产品</w:t>
      </w:r>
      <w:r>
        <w:rPr>
          <w:rFonts w:ascii="Times New Roman"/>
          <w:sz w:val="30"/>
        </w:rPr>
        <w:t>的风险揭示</w:t>
      </w:r>
      <w:bookmarkEnd w:id="166"/>
      <w:bookmarkEnd w:id="167"/>
      <w:bookmarkEnd w:id="168"/>
    </w:p>
    <w:p>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448" w:firstLineChars="249"/>
        <w:rPr>
          <w:rFonts w:cs="仿宋_GB2312" w:asciiTheme="minorEastAsia" w:hAnsiTheme="minorEastAsia"/>
          <w:kern w:val="0"/>
          <w:sz w:val="18"/>
          <w:szCs w:val="18"/>
        </w:rPr>
      </w:pPr>
      <w:permStart w:id="26" w:edGrp="everyone"/>
      <w:r>
        <w:rPr>
          <w:rFonts w:hint="eastAsia" w:ascii="宋体" w:hAnsi="宋体"/>
          <w:sz w:val="18"/>
          <w:szCs w:val="18"/>
        </w:rPr>
        <w:t>【</w:t>
      </w:r>
      <w:r>
        <w:rPr>
          <w:rFonts w:hint="eastAsia" w:cs="仿宋_GB2312" w:asciiTheme="minorEastAsia" w:hAnsiTheme="minorEastAsia"/>
          <w:kern w:val="0"/>
          <w:sz w:val="18"/>
          <w:szCs w:val="18"/>
        </w:rPr>
        <w:t>1.拟投资市场和资产的风险：</w:t>
      </w:r>
    </w:p>
    <w:p>
      <w:pPr>
        <w:spacing w:line="360" w:lineRule="auto"/>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（1）投资固定收益类资产的风险</w:t>
      </w:r>
    </w:p>
    <w:p>
      <w:pPr>
        <w:spacing w:line="360" w:lineRule="auto"/>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1）投资标准化债权类资产的风险</w:t>
      </w:r>
    </w:p>
    <w:p>
      <w:pPr>
        <w:spacing w:line="360" w:lineRule="auto"/>
        <w:ind w:firstLine="448" w:firstLineChars="249"/>
        <w:rPr>
          <w:rFonts w:ascii="宋体" w:hAnsi="宋体"/>
          <w:sz w:val="18"/>
          <w:szCs w:val="18"/>
        </w:rPr>
      </w:pPr>
      <w:r>
        <w:rPr>
          <w:rFonts w:hint="eastAsia" w:cs="仿宋_GB2312" w:asciiTheme="minorEastAsia" w:hAnsiTheme="minorEastAsia"/>
          <w:kern w:val="0"/>
          <w:sz w:val="18"/>
          <w:szCs w:val="18"/>
        </w:rPr>
        <w:t>本产品投资债券、资产支持证券等固定收益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r>
        <w:rPr>
          <w:rFonts w:hint="eastAsia" w:ascii="宋体" w:hAnsi="宋体"/>
          <w:sz w:val="18"/>
          <w:szCs w:val="18"/>
        </w:rPr>
        <w:t>】</w:t>
      </w:r>
    </w:p>
    <w:permEnd w:id="26"/>
    <w:p>
      <w:pPr>
        <w:pStyle w:val="38"/>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sz w:val="18"/>
          <w:szCs w:val="18"/>
        </w:rPr>
      </w:pPr>
      <w:r>
        <w:rPr>
          <w:rFonts w:hint="eastAsia" w:ascii="宋体" w:hAnsi="宋体"/>
          <w:sz w:val="18"/>
          <w:szCs w:val="18"/>
        </w:rPr>
        <w:t>4.流动性风险</w:t>
      </w:r>
    </w:p>
    <w:p>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宋体" w:hAnsi="宋体"/>
          <w:sz w:val="18"/>
          <w:szCs w:val="18"/>
        </w:rPr>
        <w:t>存在下跌的风险。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宋体" w:hAnsi="宋体"/>
          <w:sz w:val="18"/>
          <w:szCs w:val="18"/>
        </w:rPr>
        <w:t>。</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7</w:t>
      </w:r>
      <w:r>
        <w:rPr>
          <w:rFonts w:ascii="宋体" w:hAnsi="宋体"/>
          <w:sz w:val="18"/>
          <w:szCs w:val="18"/>
        </w:rPr>
        <w:t>.</w:t>
      </w:r>
      <w:r>
        <w:rPr>
          <w:rFonts w:hint="eastAsia" w:ascii="宋体" w:hAnsi="宋体"/>
          <w:sz w:val="18"/>
          <w:szCs w:val="18"/>
        </w:rPr>
        <w:t>关联交易风险</w:t>
      </w:r>
    </w:p>
    <w:p>
      <w:pPr>
        <w:spacing w:line="360" w:lineRule="auto"/>
        <w:ind w:firstLine="360" w:firstLineChars="20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sz w:val="18"/>
          <w:szCs w:val="18"/>
        </w:rPr>
        <w:t>关系</w:t>
      </w:r>
      <w:r>
        <w:rPr>
          <w:rFonts w:hint="eastAsia" w:ascii="宋体" w:hAnsi="宋体"/>
          <w:sz w:val="18"/>
          <w:szCs w:val="18"/>
        </w:rPr>
        <w:t>仍可能产生</w:t>
      </w:r>
      <w:r>
        <w:rPr>
          <w:rFonts w:ascii="宋体" w:hAnsi="宋体"/>
          <w:sz w:val="18"/>
          <w:szCs w:val="18"/>
        </w:rPr>
        <w:t>不利影响和投资</w:t>
      </w:r>
      <w:r>
        <w:rPr>
          <w:rFonts w:hint="eastAsia" w:ascii="宋体" w:hAnsi="宋体"/>
          <w:sz w:val="18"/>
          <w:szCs w:val="18"/>
        </w:rPr>
        <w:t>风险，进而可能影响投资者的利益。</w:t>
      </w:r>
    </w:p>
    <w:p>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rPr>
          <w:rFonts w:ascii="宋体" w:hAnsi="宋体"/>
          <w:sz w:val="18"/>
          <w:szCs w:val="18"/>
        </w:rPr>
      </w:pPr>
      <w:r>
        <w:rPr>
          <w:rFonts w:ascii="宋体" w:hAnsi="宋体"/>
          <w:sz w:val="18"/>
          <w:szCs w:val="18"/>
        </w:rPr>
        <w:br w:type="page"/>
      </w:r>
    </w:p>
    <w:tbl>
      <w:tblPr>
        <w:tblStyle w:val="25"/>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b/>
                <w:sz w:val="18"/>
                <w:szCs w:val="18"/>
              </w:rPr>
            </w:pPr>
            <w:r>
              <w:rPr>
                <w:rFonts w:hint="eastAsia"/>
                <w:b/>
                <w:sz w:val="18"/>
                <w:szCs w:val="18"/>
              </w:rPr>
              <w:t>个人投资者适用</w:t>
            </w:r>
          </w:p>
        </w:tc>
        <w:tc>
          <w:tcPr>
            <w:tcW w:w="7371" w:type="dxa"/>
          </w:tcPr>
          <w:p>
            <w:pPr>
              <w:spacing w:line="360" w:lineRule="auto"/>
              <w:ind w:firstLine="360"/>
              <w:jc w:val="left"/>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ind w:firstLine="361"/>
              <w:jc w:val="left"/>
              <w:rPr>
                <w:b/>
                <w:sz w:val="18"/>
                <w:szCs w:val="18"/>
              </w:rPr>
            </w:pPr>
          </w:p>
          <w:p>
            <w:pPr>
              <w:spacing w:line="360" w:lineRule="auto"/>
              <w:ind w:firstLine="360"/>
              <w:jc w:val="left"/>
              <w:rPr>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b/>
                <w:sz w:val="18"/>
                <w:szCs w:val="18"/>
              </w:rPr>
            </w:pPr>
            <w:r>
              <w:rPr>
                <w:rFonts w:hint="eastAsia"/>
                <w:b/>
                <w:sz w:val="18"/>
                <w:szCs w:val="18"/>
              </w:rPr>
              <w:t>机构投资者适用</w:t>
            </w:r>
          </w:p>
        </w:tc>
        <w:tc>
          <w:tcPr>
            <w:tcW w:w="7371" w:type="dxa"/>
          </w:tcPr>
          <w:p>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ind w:firstLine="360"/>
              <w:jc w:val="left"/>
              <w:rPr>
                <w:rFonts w:cs="Arial"/>
                <w:sz w:val="18"/>
                <w:szCs w:val="18"/>
              </w:rPr>
            </w:pPr>
          </w:p>
          <w:p>
            <w:pPr>
              <w:spacing w:line="360" w:lineRule="auto"/>
              <w:ind w:firstLine="360"/>
              <w:jc w:val="left"/>
              <w:rPr>
                <w:rFonts w:cs="Arial"/>
                <w:sz w:val="18"/>
                <w:szCs w:val="18"/>
              </w:rPr>
            </w:pPr>
            <w:r>
              <w:rPr>
                <w:rFonts w:hint="eastAsia" w:cs="Arial"/>
                <w:sz w:val="18"/>
                <w:szCs w:val="18"/>
              </w:rPr>
              <w:t>投资者法定代表人或授权代理人（签</w:t>
            </w:r>
            <w:r>
              <w:rPr>
                <w:rFonts w:hint="eastAsia"/>
                <w:sz w:val="18"/>
                <w:szCs w:val="18"/>
              </w:rPr>
              <w:t>名</w:t>
            </w:r>
            <w:r>
              <w:rPr>
                <w:sz w:val="18"/>
                <w:szCs w:val="18"/>
              </w:rPr>
              <w:t>/</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ind w:firstLine="360"/>
              <w:jc w:val="left"/>
              <w:rPr>
                <w:sz w:val="18"/>
                <w:szCs w:val="18"/>
              </w:rPr>
            </w:pPr>
            <w:r>
              <w:rPr>
                <w:rFonts w:hint="eastAsia"/>
                <w:sz w:val="18"/>
                <w:szCs w:val="18"/>
              </w:rPr>
              <w:t>日期：</w:t>
            </w:r>
          </w:p>
        </w:tc>
      </w:tr>
    </w:tbl>
    <w:p>
      <w:pPr>
        <w:spacing w:line="360" w:lineRule="auto"/>
        <w:jc w:val="left"/>
        <w:rPr>
          <w:bCs/>
        </w:rPr>
      </w:pPr>
      <w:r>
        <w:rPr>
          <w:rFonts w:hint="eastAsia" w:ascii="宋体" w:hAnsi="宋体"/>
          <w:b/>
          <w:sz w:val="18"/>
          <w:szCs w:val="18"/>
        </w:rPr>
        <w:t>（本《产品说明书》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pStyle w:val="34"/>
        <w:spacing w:line="360" w:lineRule="auto"/>
        <w:rPr>
          <w:rFonts w:hAnsi="宋体"/>
          <w:sz w:val="18"/>
          <w:szCs w:val="18"/>
        </w:rPr>
      </w:pPr>
    </w:p>
    <w:sectPr>
      <w:headerReference r:id="rId3" w:type="default"/>
      <w:footerReference r:id="rId4" w:type="default"/>
      <w:pgSz w:w="11906" w:h="16838"/>
      <w:pgMar w:top="1276" w:right="1800" w:bottom="1418" w:left="1800" w:header="567" w:footer="96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kern w:val="0"/>
        <w:szCs w:val="21"/>
      </w:rPr>
      <w:fldChar w:fldCharType="begin"/>
    </w:r>
    <w:r>
      <w:rPr>
        <w:kern w:val="0"/>
        <w:szCs w:val="21"/>
      </w:rPr>
      <w:instrText xml:space="preserve"> PAGE </w:instrText>
    </w:r>
    <w:r>
      <w:rPr>
        <w:kern w:val="0"/>
        <w:szCs w:val="21"/>
      </w:rPr>
      <w:fldChar w:fldCharType="separate"/>
    </w:r>
    <w:r>
      <w:rPr>
        <w:kern w:val="0"/>
        <w:szCs w:val="21"/>
      </w:rPr>
      <w:t>30</w:t>
    </w:r>
    <w:r>
      <w:rPr>
        <w:kern w:val="0"/>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rFonts w:ascii="Times New Roman" w:hAnsi="Times New Roman" w:cs="Times New Roman"/>
        <w:b/>
        <w:szCs w:val="20"/>
      </w:rPr>
    </w:pPr>
    <w:r>
      <w:rPr>
        <w:rFonts w:hint="eastAsia"/>
      </w:rPr>
      <w:t xml:space="preserve"> </w:t>
    </w:r>
    <w:r>
      <w:rPr>
        <w:rFonts w:hint="eastAsia" w:ascii="Times New Roman" w:hAnsi="Times New Roman" w:cs="Times New Roman"/>
        <w:b/>
        <w:szCs w:val="20"/>
      </w:rPr>
      <w:t>产品说明书</w:t>
    </w:r>
  </w:p>
  <w:p>
    <w:pPr>
      <w:pStyle w:val="15"/>
      <w:jc w:val="right"/>
    </w:pPr>
    <w:r>
      <w:rPr>
        <w:rFonts w:hint="eastAsia" w:ascii="Times New Roman" w:hAnsi="Times New Roman" w:cs="Times New Roman"/>
        <w:b/>
        <w:szCs w:val="20"/>
      </w:rPr>
      <w:t>注：本文件由兴银理财有限责任公司统一编制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0">
      <w:start w:val="1"/>
      <w:numFmt w:val="bullet"/>
      <w:pStyle w:val="72"/>
      <w:lvlText w:val=""/>
      <w:lvlJc w:val="left"/>
      <w:pPr>
        <w:tabs>
          <w:tab w:val="left" w:pos="360"/>
        </w:tabs>
        <w:ind w:left="360" w:hanging="360"/>
      </w:pPr>
      <w:rPr>
        <w:rFonts w:hint="default" w:ascii="Symbol" w:hAnsi="Symbol"/>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1" w:cryptProviderType="rsaAES" w:cryptAlgorithmClass="hash" w:cryptAlgorithmType="typeAny" w:cryptAlgorithmSid="14" w:cryptSpinCount="100000" w:hash="MOJfSDgmTzcb/iUkshjv3aNJydpQro35qwBZ858lswVLlF2zxMLEtJAT6aZidXE0WmKidk6fGN977mTAaOy7zQ==" w:salt="t2ZwqfEFEhQd5z3dlO1LVQ=="/>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6E7124"/>
    <w:rsid w:val="0000150F"/>
    <w:rsid w:val="0000208C"/>
    <w:rsid w:val="00002480"/>
    <w:rsid w:val="00002A1A"/>
    <w:rsid w:val="00002F59"/>
    <w:rsid w:val="0001086A"/>
    <w:rsid w:val="0001202B"/>
    <w:rsid w:val="000124BB"/>
    <w:rsid w:val="00014A51"/>
    <w:rsid w:val="000160F8"/>
    <w:rsid w:val="00020E26"/>
    <w:rsid w:val="00022093"/>
    <w:rsid w:val="000240C1"/>
    <w:rsid w:val="0002421F"/>
    <w:rsid w:val="00024B59"/>
    <w:rsid w:val="00024D52"/>
    <w:rsid w:val="000257FD"/>
    <w:rsid w:val="00026801"/>
    <w:rsid w:val="0002771C"/>
    <w:rsid w:val="000307FF"/>
    <w:rsid w:val="00030826"/>
    <w:rsid w:val="000310FD"/>
    <w:rsid w:val="00033D3E"/>
    <w:rsid w:val="000360AD"/>
    <w:rsid w:val="00036A3D"/>
    <w:rsid w:val="0004119D"/>
    <w:rsid w:val="0004124F"/>
    <w:rsid w:val="000412DF"/>
    <w:rsid w:val="00042C76"/>
    <w:rsid w:val="00042CE7"/>
    <w:rsid w:val="00044823"/>
    <w:rsid w:val="00045941"/>
    <w:rsid w:val="00050766"/>
    <w:rsid w:val="0005088E"/>
    <w:rsid w:val="00051DE2"/>
    <w:rsid w:val="00055773"/>
    <w:rsid w:val="000565A5"/>
    <w:rsid w:val="00056C76"/>
    <w:rsid w:val="0005743B"/>
    <w:rsid w:val="00057BC6"/>
    <w:rsid w:val="0006031B"/>
    <w:rsid w:val="00061810"/>
    <w:rsid w:val="00061C70"/>
    <w:rsid w:val="00062695"/>
    <w:rsid w:val="000629DD"/>
    <w:rsid w:val="00063B03"/>
    <w:rsid w:val="00066E7C"/>
    <w:rsid w:val="000705EE"/>
    <w:rsid w:val="00073A90"/>
    <w:rsid w:val="000747D8"/>
    <w:rsid w:val="0007760F"/>
    <w:rsid w:val="00077A54"/>
    <w:rsid w:val="00077C13"/>
    <w:rsid w:val="00080277"/>
    <w:rsid w:val="0008037A"/>
    <w:rsid w:val="00081DC7"/>
    <w:rsid w:val="000826C9"/>
    <w:rsid w:val="0008380B"/>
    <w:rsid w:val="00085DD5"/>
    <w:rsid w:val="0009086F"/>
    <w:rsid w:val="00091121"/>
    <w:rsid w:val="00092A5F"/>
    <w:rsid w:val="00094CA6"/>
    <w:rsid w:val="00095235"/>
    <w:rsid w:val="00095861"/>
    <w:rsid w:val="00097047"/>
    <w:rsid w:val="000A0882"/>
    <w:rsid w:val="000A0CC9"/>
    <w:rsid w:val="000A0DC8"/>
    <w:rsid w:val="000A1E0C"/>
    <w:rsid w:val="000A3063"/>
    <w:rsid w:val="000A45C6"/>
    <w:rsid w:val="000A5A4A"/>
    <w:rsid w:val="000A5AAB"/>
    <w:rsid w:val="000B378B"/>
    <w:rsid w:val="000B6819"/>
    <w:rsid w:val="000B7F67"/>
    <w:rsid w:val="000C31AC"/>
    <w:rsid w:val="000C3B81"/>
    <w:rsid w:val="000C44C2"/>
    <w:rsid w:val="000C69CB"/>
    <w:rsid w:val="000C6BF4"/>
    <w:rsid w:val="000C7C96"/>
    <w:rsid w:val="000D0C3A"/>
    <w:rsid w:val="000D10B1"/>
    <w:rsid w:val="000D1473"/>
    <w:rsid w:val="000D19CF"/>
    <w:rsid w:val="000D2623"/>
    <w:rsid w:val="000D3E2A"/>
    <w:rsid w:val="000D4DAE"/>
    <w:rsid w:val="000D548F"/>
    <w:rsid w:val="000D591B"/>
    <w:rsid w:val="000E008C"/>
    <w:rsid w:val="000E181B"/>
    <w:rsid w:val="000E18C8"/>
    <w:rsid w:val="000E5A74"/>
    <w:rsid w:val="000E798C"/>
    <w:rsid w:val="000E7BB9"/>
    <w:rsid w:val="000F09FA"/>
    <w:rsid w:val="000F2915"/>
    <w:rsid w:val="000F4322"/>
    <w:rsid w:val="000F556F"/>
    <w:rsid w:val="000F70EA"/>
    <w:rsid w:val="000F7FB5"/>
    <w:rsid w:val="00100295"/>
    <w:rsid w:val="00100789"/>
    <w:rsid w:val="00100A04"/>
    <w:rsid w:val="00100D6E"/>
    <w:rsid w:val="00103221"/>
    <w:rsid w:val="001048D9"/>
    <w:rsid w:val="00104FAF"/>
    <w:rsid w:val="0011092D"/>
    <w:rsid w:val="00111430"/>
    <w:rsid w:val="00112922"/>
    <w:rsid w:val="001139C8"/>
    <w:rsid w:val="001157E6"/>
    <w:rsid w:val="00115A4C"/>
    <w:rsid w:val="0012005A"/>
    <w:rsid w:val="00121A98"/>
    <w:rsid w:val="00122AA4"/>
    <w:rsid w:val="00122E28"/>
    <w:rsid w:val="001232D0"/>
    <w:rsid w:val="0012639A"/>
    <w:rsid w:val="00127FAE"/>
    <w:rsid w:val="00134EC8"/>
    <w:rsid w:val="00140FD0"/>
    <w:rsid w:val="00142E86"/>
    <w:rsid w:val="00143397"/>
    <w:rsid w:val="00144336"/>
    <w:rsid w:val="00144A06"/>
    <w:rsid w:val="00144E84"/>
    <w:rsid w:val="00146F91"/>
    <w:rsid w:val="001507DF"/>
    <w:rsid w:val="00153415"/>
    <w:rsid w:val="00153B5B"/>
    <w:rsid w:val="001547CA"/>
    <w:rsid w:val="00154F9C"/>
    <w:rsid w:val="001562FA"/>
    <w:rsid w:val="0016331D"/>
    <w:rsid w:val="00163655"/>
    <w:rsid w:val="00163854"/>
    <w:rsid w:val="00164C79"/>
    <w:rsid w:val="00165A9A"/>
    <w:rsid w:val="00167B0D"/>
    <w:rsid w:val="00171033"/>
    <w:rsid w:val="001715BB"/>
    <w:rsid w:val="00171A10"/>
    <w:rsid w:val="00172BBF"/>
    <w:rsid w:val="0017394A"/>
    <w:rsid w:val="0017488D"/>
    <w:rsid w:val="00175F68"/>
    <w:rsid w:val="00176589"/>
    <w:rsid w:val="00176C88"/>
    <w:rsid w:val="00180376"/>
    <w:rsid w:val="001822B0"/>
    <w:rsid w:val="0018230F"/>
    <w:rsid w:val="001844D6"/>
    <w:rsid w:val="0018459A"/>
    <w:rsid w:val="00186521"/>
    <w:rsid w:val="00187F37"/>
    <w:rsid w:val="0019010B"/>
    <w:rsid w:val="00190633"/>
    <w:rsid w:val="0019071D"/>
    <w:rsid w:val="00190B9A"/>
    <w:rsid w:val="0019134D"/>
    <w:rsid w:val="0019285E"/>
    <w:rsid w:val="00192C78"/>
    <w:rsid w:val="00194E1F"/>
    <w:rsid w:val="0019519C"/>
    <w:rsid w:val="0019545E"/>
    <w:rsid w:val="00196E62"/>
    <w:rsid w:val="001A0033"/>
    <w:rsid w:val="001A0B9C"/>
    <w:rsid w:val="001A141C"/>
    <w:rsid w:val="001A352E"/>
    <w:rsid w:val="001A36C8"/>
    <w:rsid w:val="001A434D"/>
    <w:rsid w:val="001B218F"/>
    <w:rsid w:val="001B21AE"/>
    <w:rsid w:val="001B5BBB"/>
    <w:rsid w:val="001C02F6"/>
    <w:rsid w:val="001C1C41"/>
    <w:rsid w:val="001C238A"/>
    <w:rsid w:val="001C31CB"/>
    <w:rsid w:val="001C4119"/>
    <w:rsid w:val="001C41C7"/>
    <w:rsid w:val="001C5E54"/>
    <w:rsid w:val="001C7184"/>
    <w:rsid w:val="001C730C"/>
    <w:rsid w:val="001C770D"/>
    <w:rsid w:val="001C7B1B"/>
    <w:rsid w:val="001D03C8"/>
    <w:rsid w:val="001D06D0"/>
    <w:rsid w:val="001D1C72"/>
    <w:rsid w:val="001D1D5B"/>
    <w:rsid w:val="001D2824"/>
    <w:rsid w:val="001D3E8B"/>
    <w:rsid w:val="001D4AC9"/>
    <w:rsid w:val="001D4BC1"/>
    <w:rsid w:val="001D570A"/>
    <w:rsid w:val="001D688E"/>
    <w:rsid w:val="001D7914"/>
    <w:rsid w:val="001E0873"/>
    <w:rsid w:val="001E14FD"/>
    <w:rsid w:val="001E291D"/>
    <w:rsid w:val="001E461E"/>
    <w:rsid w:val="001E54CE"/>
    <w:rsid w:val="001E61BD"/>
    <w:rsid w:val="001E6C14"/>
    <w:rsid w:val="001E70FE"/>
    <w:rsid w:val="001E77D6"/>
    <w:rsid w:val="001F00E4"/>
    <w:rsid w:val="001F4671"/>
    <w:rsid w:val="001F6BB0"/>
    <w:rsid w:val="001F7B81"/>
    <w:rsid w:val="001F7E0A"/>
    <w:rsid w:val="00201415"/>
    <w:rsid w:val="0020141D"/>
    <w:rsid w:val="00204063"/>
    <w:rsid w:val="0020563F"/>
    <w:rsid w:val="0020668E"/>
    <w:rsid w:val="00211510"/>
    <w:rsid w:val="002126B6"/>
    <w:rsid w:val="00214771"/>
    <w:rsid w:val="0021477B"/>
    <w:rsid w:val="002160B9"/>
    <w:rsid w:val="0021611E"/>
    <w:rsid w:val="00216882"/>
    <w:rsid w:val="002168CF"/>
    <w:rsid w:val="00217789"/>
    <w:rsid w:val="00220D74"/>
    <w:rsid w:val="002213EA"/>
    <w:rsid w:val="00223351"/>
    <w:rsid w:val="00223B5B"/>
    <w:rsid w:val="00224505"/>
    <w:rsid w:val="002263D8"/>
    <w:rsid w:val="002265AA"/>
    <w:rsid w:val="00226925"/>
    <w:rsid w:val="00226E60"/>
    <w:rsid w:val="00227359"/>
    <w:rsid w:val="00227C76"/>
    <w:rsid w:val="00231FC0"/>
    <w:rsid w:val="002366D2"/>
    <w:rsid w:val="00237908"/>
    <w:rsid w:val="00242CDB"/>
    <w:rsid w:val="0024456C"/>
    <w:rsid w:val="0024625D"/>
    <w:rsid w:val="00247F2A"/>
    <w:rsid w:val="002509C7"/>
    <w:rsid w:val="00251975"/>
    <w:rsid w:val="00252788"/>
    <w:rsid w:val="002533A3"/>
    <w:rsid w:val="00253B8C"/>
    <w:rsid w:val="00254D9A"/>
    <w:rsid w:val="00255373"/>
    <w:rsid w:val="002553DF"/>
    <w:rsid w:val="0025557C"/>
    <w:rsid w:val="002572BE"/>
    <w:rsid w:val="0025790B"/>
    <w:rsid w:val="00264630"/>
    <w:rsid w:val="002653AC"/>
    <w:rsid w:val="00265722"/>
    <w:rsid w:val="00265AAE"/>
    <w:rsid w:val="00266037"/>
    <w:rsid w:val="00266978"/>
    <w:rsid w:val="00266DAB"/>
    <w:rsid w:val="00272C40"/>
    <w:rsid w:val="00273055"/>
    <w:rsid w:val="002732EE"/>
    <w:rsid w:val="00273F65"/>
    <w:rsid w:val="00275526"/>
    <w:rsid w:val="00275757"/>
    <w:rsid w:val="00281B9A"/>
    <w:rsid w:val="002826EB"/>
    <w:rsid w:val="00283EA6"/>
    <w:rsid w:val="00290893"/>
    <w:rsid w:val="0029197D"/>
    <w:rsid w:val="00293329"/>
    <w:rsid w:val="00297FEB"/>
    <w:rsid w:val="002A1894"/>
    <w:rsid w:val="002A2964"/>
    <w:rsid w:val="002A3DA0"/>
    <w:rsid w:val="002A503F"/>
    <w:rsid w:val="002A59CE"/>
    <w:rsid w:val="002A6688"/>
    <w:rsid w:val="002B0A68"/>
    <w:rsid w:val="002B2349"/>
    <w:rsid w:val="002B389F"/>
    <w:rsid w:val="002B4AAF"/>
    <w:rsid w:val="002B5421"/>
    <w:rsid w:val="002B75A8"/>
    <w:rsid w:val="002C0CF5"/>
    <w:rsid w:val="002C3DA6"/>
    <w:rsid w:val="002C3DD6"/>
    <w:rsid w:val="002C446D"/>
    <w:rsid w:val="002C6117"/>
    <w:rsid w:val="002C6DB5"/>
    <w:rsid w:val="002C70BD"/>
    <w:rsid w:val="002D3AB7"/>
    <w:rsid w:val="002D3AEF"/>
    <w:rsid w:val="002D6AFD"/>
    <w:rsid w:val="002D7737"/>
    <w:rsid w:val="002E134B"/>
    <w:rsid w:val="002E25FC"/>
    <w:rsid w:val="002E393C"/>
    <w:rsid w:val="002E5F4C"/>
    <w:rsid w:val="002E6721"/>
    <w:rsid w:val="002E7C23"/>
    <w:rsid w:val="002F29C4"/>
    <w:rsid w:val="002F389F"/>
    <w:rsid w:val="002F45BC"/>
    <w:rsid w:val="002F4C49"/>
    <w:rsid w:val="00300FD3"/>
    <w:rsid w:val="00301106"/>
    <w:rsid w:val="003029FF"/>
    <w:rsid w:val="0030325C"/>
    <w:rsid w:val="00304D9D"/>
    <w:rsid w:val="00306DA6"/>
    <w:rsid w:val="00311144"/>
    <w:rsid w:val="0031156D"/>
    <w:rsid w:val="003122D5"/>
    <w:rsid w:val="00313E17"/>
    <w:rsid w:val="00314405"/>
    <w:rsid w:val="00320153"/>
    <w:rsid w:val="003224C7"/>
    <w:rsid w:val="00331380"/>
    <w:rsid w:val="00331423"/>
    <w:rsid w:val="00331A25"/>
    <w:rsid w:val="00331AA1"/>
    <w:rsid w:val="00332367"/>
    <w:rsid w:val="0033357B"/>
    <w:rsid w:val="003363E0"/>
    <w:rsid w:val="00336798"/>
    <w:rsid w:val="0033710A"/>
    <w:rsid w:val="00337172"/>
    <w:rsid w:val="00337AF2"/>
    <w:rsid w:val="00337EC3"/>
    <w:rsid w:val="003405D3"/>
    <w:rsid w:val="00341DFC"/>
    <w:rsid w:val="003444E9"/>
    <w:rsid w:val="00350B80"/>
    <w:rsid w:val="0035109F"/>
    <w:rsid w:val="0035299D"/>
    <w:rsid w:val="00356734"/>
    <w:rsid w:val="00356F2E"/>
    <w:rsid w:val="00357756"/>
    <w:rsid w:val="003601A7"/>
    <w:rsid w:val="00361109"/>
    <w:rsid w:val="00363191"/>
    <w:rsid w:val="00363504"/>
    <w:rsid w:val="0036433E"/>
    <w:rsid w:val="00370696"/>
    <w:rsid w:val="00371546"/>
    <w:rsid w:val="003727DA"/>
    <w:rsid w:val="00373305"/>
    <w:rsid w:val="003745A5"/>
    <w:rsid w:val="00375BC6"/>
    <w:rsid w:val="00380DB4"/>
    <w:rsid w:val="00381A67"/>
    <w:rsid w:val="003823A6"/>
    <w:rsid w:val="003838B9"/>
    <w:rsid w:val="00387806"/>
    <w:rsid w:val="00387E86"/>
    <w:rsid w:val="00391BBC"/>
    <w:rsid w:val="00392F32"/>
    <w:rsid w:val="00396E72"/>
    <w:rsid w:val="003A430B"/>
    <w:rsid w:val="003B00EC"/>
    <w:rsid w:val="003B1841"/>
    <w:rsid w:val="003B24F1"/>
    <w:rsid w:val="003B32A0"/>
    <w:rsid w:val="003B343A"/>
    <w:rsid w:val="003B600B"/>
    <w:rsid w:val="003B72A3"/>
    <w:rsid w:val="003C0390"/>
    <w:rsid w:val="003C2C6C"/>
    <w:rsid w:val="003C2FD0"/>
    <w:rsid w:val="003C37AB"/>
    <w:rsid w:val="003C4A62"/>
    <w:rsid w:val="003C4CEB"/>
    <w:rsid w:val="003C51FE"/>
    <w:rsid w:val="003C7EAF"/>
    <w:rsid w:val="003D26D0"/>
    <w:rsid w:val="003D2F9A"/>
    <w:rsid w:val="003D5ED1"/>
    <w:rsid w:val="003D63E6"/>
    <w:rsid w:val="003E29F6"/>
    <w:rsid w:val="003E2F07"/>
    <w:rsid w:val="003E31AA"/>
    <w:rsid w:val="003E31E6"/>
    <w:rsid w:val="003E3B0E"/>
    <w:rsid w:val="003E3D00"/>
    <w:rsid w:val="003F1335"/>
    <w:rsid w:val="003F4B74"/>
    <w:rsid w:val="00400144"/>
    <w:rsid w:val="00400D54"/>
    <w:rsid w:val="0040151D"/>
    <w:rsid w:val="00404112"/>
    <w:rsid w:val="004043E5"/>
    <w:rsid w:val="00404A76"/>
    <w:rsid w:val="00404C4F"/>
    <w:rsid w:val="00406C36"/>
    <w:rsid w:val="00407912"/>
    <w:rsid w:val="00410860"/>
    <w:rsid w:val="00411594"/>
    <w:rsid w:val="004134C2"/>
    <w:rsid w:val="00416AC9"/>
    <w:rsid w:val="00416CB0"/>
    <w:rsid w:val="00422893"/>
    <w:rsid w:val="0042292D"/>
    <w:rsid w:val="00422B14"/>
    <w:rsid w:val="004236F2"/>
    <w:rsid w:val="00424562"/>
    <w:rsid w:val="0042456A"/>
    <w:rsid w:val="004259CB"/>
    <w:rsid w:val="00426CB5"/>
    <w:rsid w:val="0042700C"/>
    <w:rsid w:val="00430DF1"/>
    <w:rsid w:val="00434DA3"/>
    <w:rsid w:val="004365C7"/>
    <w:rsid w:val="004369A7"/>
    <w:rsid w:val="0043725F"/>
    <w:rsid w:val="0044005B"/>
    <w:rsid w:val="00440E4C"/>
    <w:rsid w:val="00441309"/>
    <w:rsid w:val="00441A1F"/>
    <w:rsid w:val="00441C87"/>
    <w:rsid w:val="0044275F"/>
    <w:rsid w:val="004427E1"/>
    <w:rsid w:val="00444B08"/>
    <w:rsid w:val="00444C05"/>
    <w:rsid w:val="00444E95"/>
    <w:rsid w:val="004451F2"/>
    <w:rsid w:val="00446032"/>
    <w:rsid w:val="004465B1"/>
    <w:rsid w:val="00447A83"/>
    <w:rsid w:val="00450AE7"/>
    <w:rsid w:val="00452527"/>
    <w:rsid w:val="00453F94"/>
    <w:rsid w:val="0045405E"/>
    <w:rsid w:val="0045524D"/>
    <w:rsid w:val="00455720"/>
    <w:rsid w:val="00461B22"/>
    <w:rsid w:val="00461E0D"/>
    <w:rsid w:val="00462328"/>
    <w:rsid w:val="00462D9E"/>
    <w:rsid w:val="00466864"/>
    <w:rsid w:val="00466F57"/>
    <w:rsid w:val="00467C9D"/>
    <w:rsid w:val="00470261"/>
    <w:rsid w:val="004711A9"/>
    <w:rsid w:val="00471ABA"/>
    <w:rsid w:val="00477510"/>
    <w:rsid w:val="00480985"/>
    <w:rsid w:val="00480CC1"/>
    <w:rsid w:val="00480FF7"/>
    <w:rsid w:val="004811BA"/>
    <w:rsid w:val="0048253E"/>
    <w:rsid w:val="00482F37"/>
    <w:rsid w:val="00483507"/>
    <w:rsid w:val="004855FF"/>
    <w:rsid w:val="00485D45"/>
    <w:rsid w:val="00486A6C"/>
    <w:rsid w:val="00487444"/>
    <w:rsid w:val="00490E3D"/>
    <w:rsid w:val="004917FC"/>
    <w:rsid w:val="004922CC"/>
    <w:rsid w:val="004940D3"/>
    <w:rsid w:val="004960D3"/>
    <w:rsid w:val="00496162"/>
    <w:rsid w:val="004970DF"/>
    <w:rsid w:val="00497387"/>
    <w:rsid w:val="00497FEC"/>
    <w:rsid w:val="004A0C4A"/>
    <w:rsid w:val="004A0D93"/>
    <w:rsid w:val="004A12AC"/>
    <w:rsid w:val="004A2354"/>
    <w:rsid w:val="004B1194"/>
    <w:rsid w:val="004B1599"/>
    <w:rsid w:val="004B3136"/>
    <w:rsid w:val="004B35AD"/>
    <w:rsid w:val="004B5526"/>
    <w:rsid w:val="004C1BF8"/>
    <w:rsid w:val="004C2000"/>
    <w:rsid w:val="004C4C0A"/>
    <w:rsid w:val="004C4C12"/>
    <w:rsid w:val="004C75D9"/>
    <w:rsid w:val="004D0C41"/>
    <w:rsid w:val="004D1CFA"/>
    <w:rsid w:val="004D2141"/>
    <w:rsid w:val="004D36D3"/>
    <w:rsid w:val="004D3932"/>
    <w:rsid w:val="004D5055"/>
    <w:rsid w:val="004D5AAF"/>
    <w:rsid w:val="004D5BE2"/>
    <w:rsid w:val="004D5E18"/>
    <w:rsid w:val="004D6163"/>
    <w:rsid w:val="004D6C75"/>
    <w:rsid w:val="004E17EB"/>
    <w:rsid w:val="004E20E1"/>
    <w:rsid w:val="004E3BD3"/>
    <w:rsid w:val="004E605C"/>
    <w:rsid w:val="004E78A6"/>
    <w:rsid w:val="004F0C90"/>
    <w:rsid w:val="004F10F4"/>
    <w:rsid w:val="004F14E2"/>
    <w:rsid w:val="004F15A3"/>
    <w:rsid w:val="004F2F63"/>
    <w:rsid w:val="004F3355"/>
    <w:rsid w:val="004F45E5"/>
    <w:rsid w:val="004F483B"/>
    <w:rsid w:val="004F58A4"/>
    <w:rsid w:val="004F649E"/>
    <w:rsid w:val="00500B33"/>
    <w:rsid w:val="0050192C"/>
    <w:rsid w:val="00502068"/>
    <w:rsid w:val="005023E9"/>
    <w:rsid w:val="005030D1"/>
    <w:rsid w:val="00503239"/>
    <w:rsid w:val="005048A9"/>
    <w:rsid w:val="00504CD2"/>
    <w:rsid w:val="005058C6"/>
    <w:rsid w:val="00506FB3"/>
    <w:rsid w:val="0051102C"/>
    <w:rsid w:val="00512B61"/>
    <w:rsid w:val="00512E3B"/>
    <w:rsid w:val="00513143"/>
    <w:rsid w:val="005131E7"/>
    <w:rsid w:val="005143F6"/>
    <w:rsid w:val="00517C1B"/>
    <w:rsid w:val="00521905"/>
    <w:rsid w:val="00521A8A"/>
    <w:rsid w:val="00523FD8"/>
    <w:rsid w:val="0052537A"/>
    <w:rsid w:val="005261C6"/>
    <w:rsid w:val="00526A8B"/>
    <w:rsid w:val="005306F5"/>
    <w:rsid w:val="005312B4"/>
    <w:rsid w:val="0053145D"/>
    <w:rsid w:val="005314BB"/>
    <w:rsid w:val="0053265E"/>
    <w:rsid w:val="00534837"/>
    <w:rsid w:val="00534ED6"/>
    <w:rsid w:val="005356DD"/>
    <w:rsid w:val="0054383E"/>
    <w:rsid w:val="00544067"/>
    <w:rsid w:val="00544689"/>
    <w:rsid w:val="005448AE"/>
    <w:rsid w:val="00544EBF"/>
    <w:rsid w:val="00546CB7"/>
    <w:rsid w:val="0054752F"/>
    <w:rsid w:val="005477FF"/>
    <w:rsid w:val="005505D7"/>
    <w:rsid w:val="005514EA"/>
    <w:rsid w:val="00551E13"/>
    <w:rsid w:val="0055265D"/>
    <w:rsid w:val="00557F13"/>
    <w:rsid w:val="0056057A"/>
    <w:rsid w:val="00562837"/>
    <w:rsid w:val="005634A0"/>
    <w:rsid w:val="00564A34"/>
    <w:rsid w:val="00564BAA"/>
    <w:rsid w:val="005669ED"/>
    <w:rsid w:val="00567F70"/>
    <w:rsid w:val="00571676"/>
    <w:rsid w:val="0057386A"/>
    <w:rsid w:val="005745C2"/>
    <w:rsid w:val="00575575"/>
    <w:rsid w:val="005756EF"/>
    <w:rsid w:val="00580472"/>
    <w:rsid w:val="00583DB2"/>
    <w:rsid w:val="005845A7"/>
    <w:rsid w:val="0058644F"/>
    <w:rsid w:val="00586B5E"/>
    <w:rsid w:val="0058793F"/>
    <w:rsid w:val="00587E86"/>
    <w:rsid w:val="005905CC"/>
    <w:rsid w:val="0059345F"/>
    <w:rsid w:val="005942B5"/>
    <w:rsid w:val="005964FC"/>
    <w:rsid w:val="00596640"/>
    <w:rsid w:val="005A1243"/>
    <w:rsid w:val="005A1A2E"/>
    <w:rsid w:val="005A2814"/>
    <w:rsid w:val="005A52CE"/>
    <w:rsid w:val="005A5694"/>
    <w:rsid w:val="005A60A3"/>
    <w:rsid w:val="005B1513"/>
    <w:rsid w:val="005B1F01"/>
    <w:rsid w:val="005B2B7A"/>
    <w:rsid w:val="005B3D95"/>
    <w:rsid w:val="005B45B8"/>
    <w:rsid w:val="005B51DB"/>
    <w:rsid w:val="005B6567"/>
    <w:rsid w:val="005C1011"/>
    <w:rsid w:val="005C1A4B"/>
    <w:rsid w:val="005C2C22"/>
    <w:rsid w:val="005C3351"/>
    <w:rsid w:val="005C46BB"/>
    <w:rsid w:val="005C6C9D"/>
    <w:rsid w:val="005C770C"/>
    <w:rsid w:val="005D0EC6"/>
    <w:rsid w:val="005D3EBA"/>
    <w:rsid w:val="005D3F7B"/>
    <w:rsid w:val="005D3F83"/>
    <w:rsid w:val="005D5021"/>
    <w:rsid w:val="005D6B6D"/>
    <w:rsid w:val="005E0304"/>
    <w:rsid w:val="005E1F5B"/>
    <w:rsid w:val="005E2522"/>
    <w:rsid w:val="005E34A7"/>
    <w:rsid w:val="005E3ECC"/>
    <w:rsid w:val="005E6FB7"/>
    <w:rsid w:val="005F0064"/>
    <w:rsid w:val="005F2F17"/>
    <w:rsid w:val="005F30D3"/>
    <w:rsid w:val="005F379A"/>
    <w:rsid w:val="005F4287"/>
    <w:rsid w:val="005F469C"/>
    <w:rsid w:val="005F7FD5"/>
    <w:rsid w:val="00600FE7"/>
    <w:rsid w:val="006019D1"/>
    <w:rsid w:val="00605524"/>
    <w:rsid w:val="00605B31"/>
    <w:rsid w:val="00605C5D"/>
    <w:rsid w:val="00605F1E"/>
    <w:rsid w:val="006065FB"/>
    <w:rsid w:val="00607DDC"/>
    <w:rsid w:val="00612869"/>
    <w:rsid w:val="006146BA"/>
    <w:rsid w:val="00620063"/>
    <w:rsid w:val="00620D75"/>
    <w:rsid w:val="00621F2C"/>
    <w:rsid w:val="00624760"/>
    <w:rsid w:val="00624F2C"/>
    <w:rsid w:val="00626BC0"/>
    <w:rsid w:val="0063051C"/>
    <w:rsid w:val="00631736"/>
    <w:rsid w:val="006328AE"/>
    <w:rsid w:val="00635614"/>
    <w:rsid w:val="0064020E"/>
    <w:rsid w:val="0064087A"/>
    <w:rsid w:val="00644541"/>
    <w:rsid w:val="006451BF"/>
    <w:rsid w:val="006453CC"/>
    <w:rsid w:val="006468C6"/>
    <w:rsid w:val="00646E40"/>
    <w:rsid w:val="00647424"/>
    <w:rsid w:val="006476D3"/>
    <w:rsid w:val="00652FE7"/>
    <w:rsid w:val="0065431E"/>
    <w:rsid w:val="0065499A"/>
    <w:rsid w:val="00655124"/>
    <w:rsid w:val="00657909"/>
    <w:rsid w:val="006612EA"/>
    <w:rsid w:val="006617D1"/>
    <w:rsid w:val="00661C8C"/>
    <w:rsid w:val="006623D6"/>
    <w:rsid w:val="0066478A"/>
    <w:rsid w:val="0066625E"/>
    <w:rsid w:val="006676FD"/>
    <w:rsid w:val="0067005D"/>
    <w:rsid w:val="00672FF4"/>
    <w:rsid w:val="0067485A"/>
    <w:rsid w:val="00675B54"/>
    <w:rsid w:val="006809FB"/>
    <w:rsid w:val="00682623"/>
    <w:rsid w:val="00684401"/>
    <w:rsid w:val="00684ECC"/>
    <w:rsid w:val="006856C3"/>
    <w:rsid w:val="006863E0"/>
    <w:rsid w:val="006877C1"/>
    <w:rsid w:val="006904D3"/>
    <w:rsid w:val="0069132D"/>
    <w:rsid w:val="006929EA"/>
    <w:rsid w:val="00692BC9"/>
    <w:rsid w:val="0069501F"/>
    <w:rsid w:val="006961A8"/>
    <w:rsid w:val="00697C87"/>
    <w:rsid w:val="00697D22"/>
    <w:rsid w:val="006A1579"/>
    <w:rsid w:val="006A2FDF"/>
    <w:rsid w:val="006A4A8A"/>
    <w:rsid w:val="006A4B96"/>
    <w:rsid w:val="006A5309"/>
    <w:rsid w:val="006A5968"/>
    <w:rsid w:val="006A68DA"/>
    <w:rsid w:val="006A6C9E"/>
    <w:rsid w:val="006B3727"/>
    <w:rsid w:val="006B3BD1"/>
    <w:rsid w:val="006B4BAA"/>
    <w:rsid w:val="006B5EEE"/>
    <w:rsid w:val="006B7BA8"/>
    <w:rsid w:val="006B7E76"/>
    <w:rsid w:val="006C19CF"/>
    <w:rsid w:val="006C3458"/>
    <w:rsid w:val="006C3815"/>
    <w:rsid w:val="006C4170"/>
    <w:rsid w:val="006C4A05"/>
    <w:rsid w:val="006C50B5"/>
    <w:rsid w:val="006C5ACD"/>
    <w:rsid w:val="006C7218"/>
    <w:rsid w:val="006C75F7"/>
    <w:rsid w:val="006C7E9B"/>
    <w:rsid w:val="006D0BDE"/>
    <w:rsid w:val="006D160E"/>
    <w:rsid w:val="006D3D10"/>
    <w:rsid w:val="006D4093"/>
    <w:rsid w:val="006D4430"/>
    <w:rsid w:val="006D586E"/>
    <w:rsid w:val="006D6C20"/>
    <w:rsid w:val="006D7C06"/>
    <w:rsid w:val="006D7D05"/>
    <w:rsid w:val="006E1A9B"/>
    <w:rsid w:val="006E2E1A"/>
    <w:rsid w:val="006E2E41"/>
    <w:rsid w:val="006E51DB"/>
    <w:rsid w:val="006E5D67"/>
    <w:rsid w:val="006E638F"/>
    <w:rsid w:val="006E6ED0"/>
    <w:rsid w:val="006E7124"/>
    <w:rsid w:val="006E7FC7"/>
    <w:rsid w:val="006F2488"/>
    <w:rsid w:val="006F356A"/>
    <w:rsid w:val="006F4C1D"/>
    <w:rsid w:val="006F5923"/>
    <w:rsid w:val="006F6174"/>
    <w:rsid w:val="006F7D4D"/>
    <w:rsid w:val="0070045F"/>
    <w:rsid w:val="007048B2"/>
    <w:rsid w:val="00706DCA"/>
    <w:rsid w:val="00707A7B"/>
    <w:rsid w:val="007123F2"/>
    <w:rsid w:val="00712AD6"/>
    <w:rsid w:val="0071321B"/>
    <w:rsid w:val="007143E3"/>
    <w:rsid w:val="0071446F"/>
    <w:rsid w:val="00715B94"/>
    <w:rsid w:val="007166B2"/>
    <w:rsid w:val="00717330"/>
    <w:rsid w:val="00720D3D"/>
    <w:rsid w:val="00720E8F"/>
    <w:rsid w:val="007210F9"/>
    <w:rsid w:val="00724416"/>
    <w:rsid w:val="0072773A"/>
    <w:rsid w:val="00727C00"/>
    <w:rsid w:val="007305B6"/>
    <w:rsid w:val="007319DA"/>
    <w:rsid w:val="00734990"/>
    <w:rsid w:val="00741F90"/>
    <w:rsid w:val="007425D7"/>
    <w:rsid w:val="00742D00"/>
    <w:rsid w:val="00743AB2"/>
    <w:rsid w:val="00746AF7"/>
    <w:rsid w:val="00746FAD"/>
    <w:rsid w:val="00747719"/>
    <w:rsid w:val="00752FA6"/>
    <w:rsid w:val="007530BD"/>
    <w:rsid w:val="00754168"/>
    <w:rsid w:val="00755570"/>
    <w:rsid w:val="00755F45"/>
    <w:rsid w:val="00757357"/>
    <w:rsid w:val="00760BF7"/>
    <w:rsid w:val="00762022"/>
    <w:rsid w:val="007630BD"/>
    <w:rsid w:val="0076459F"/>
    <w:rsid w:val="00764E0B"/>
    <w:rsid w:val="00764FD2"/>
    <w:rsid w:val="00765862"/>
    <w:rsid w:val="0077078F"/>
    <w:rsid w:val="007710A4"/>
    <w:rsid w:val="0077274B"/>
    <w:rsid w:val="00775691"/>
    <w:rsid w:val="00775E75"/>
    <w:rsid w:val="00780770"/>
    <w:rsid w:val="00782C16"/>
    <w:rsid w:val="00784BFC"/>
    <w:rsid w:val="0078739B"/>
    <w:rsid w:val="00793D9D"/>
    <w:rsid w:val="00794CF9"/>
    <w:rsid w:val="0079594A"/>
    <w:rsid w:val="00796A3A"/>
    <w:rsid w:val="007A104C"/>
    <w:rsid w:val="007A2250"/>
    <w:rsid w:val="007A2C91"/>
    <w:rsid w:val="007A2E91"/>
    <w:rsid w:val="007A3563"/>
    <w:rsid w:val="007A38EA"/>
    <w:rsid w:val="007A56C3"/>
    <w:rsid w:val="007A610A"/>
    <w:rsid w:val="007B095E"/>
    <w:rsid w:val="007B256F"/>
    <w:rsid w:val="007B2905"/>
    <w:rsid w:val="007B335E"/>
    <w:rsid w:val="007B3CAC"/>
    <w:rsid w:val="007B435B"/>
    <w:rsid w:val="007B6404"/>
    <w:rsid w:val="007B77C7"/>
    <w:rsid w:val="007B7E70"/>
    <w:rsid w:val="007C0392"/>
    <w:rsid w:val="007C0495"/>
    <w:rsid w:val="007C67CB"/>
    <w:rsid w:val="007D115D"/>
    <w:rsid w:val="007D37FB"/>
    <w:rsid w:val="007D3AB0"/>
    <w:rsid w:val="007D3C57"/>
    <w:rsid w:val="007D5615"/>
    <w:rsid w:val="007D6324"/>
    <w:rsid w:val="007D68C9"/>
    <w:rsid w:val="007D6F94"/>
    <w:rsid w:val="007D7B84"/>
    <w:rsid w:val="007E0794"/>
    <w:rsid w:val="007E0FFD"/>
    <w:rsid w:val="007E1F76"/>
    <w:rsid w:val="007E3453"/>
    <w:rsid w:val="007E3563"/>
    <w:rsid w:val="007E3857"/>
    <w:rsid w:val="007E4180"/>
    <w:rsid w:val="007E4A3F"/>
    <w:rsid w:val="007E6E94"/>
    <w:rsid w:val="007E775F"/>
    <w:rsid w:val="007F19E2"/>
    <w:rsid w:val="007F2369"/>
    <w:rsid w:val="007F2A00"/>
    <w:rsid w:val="007F2DEA"/>
    <w:rsid w:val="007F353C"/>
    <w:rsid w:val="007F42B0"/>
    <w:rsid w:val="007F557D"/>
    <w:rsid w:val="007F5D9C"/>
    <w:rsid w:val="008002FC"/>
    <w:rsid w:val="00801142"/>
    <w:rsid w:val="008016A7"/>
    <w:rsid w:val="00801ED9"/>
    <w:rsid w:val="00802399"/>
    <w:rsid w:val="008027C8"/>
    <w:rsid w:val="00803922"/>
    <w:rsid w:val="00804D31"/>
    <w:rsid w:val="0080586D"/>
    <w:rsid w:val="00805A3D"/>
    <w:rsid w:val="00806DDF"/>
    <w:rsid w:val="00807174"/>
    <w:rsid w:val="00807C0F"/>
    <w:rsid w:val="00807F91"/>
    <w:rsid w:val="0081012C"/>
    <w:rsid w:val="0081039A"/>
    <w:rsid w:val="008103FD"/>
    <w:rsid w:val="00810BBC"/>
    <w:rsid w:val="0081517F"/>
    <w:rsid w:val="0081549F"/>
    <w:rsid w:val="008176FD"/>
    <w:rsid w:val="00820221"/>
    <w:rsid w:val="00820966"/>
    <w:rsid w:val="008216F7"/>
    <w:rsid w:val="00822153"/>
    <w:rsid w:val="00822FBD"/>
    <w:rsid w:val="00823AB7"/>
    <w:rsid w:val="00825841"/>
    <w:rsid w:val="00827169"/>
    <w:rsid w:val="00827DAF"/>
    <w:rsid w:val="00830866"/>
    <w:rsid w:val="00830FAF"/>
    <w:rsid w:val="00831F70"/>
    <w:rsid w:val="008324E9"/>
    <w:rsid w:val="00833134"/>
    <w:rsid w:val="00833713"/>
    <w:rsid w:val="00833D9B"/>
    <w:rsid w:val="008340FE"/>
    <w:rsid w:val="00835A40"/>
    <w:rsid w:val="00835AA0"/>
    <w:rsid w:val="00835FBF"/>
    <w:rsid w:val="00836DA8"/>
    <w:rsid w:val="00836ECE"/>
    <w:rsid w:val="0083791F"/>
    <w:rsid w:val="008414B9"/>
    <w:rsid w:val="0084380A"/>
    <w:rsid w:val="00844E66"/>
    <w:rsid w:val="00847CD5"/>
    <w:rsid w:val="00850B2A"/>
    <w:rsid w:val="00850F7C"/>
    <w:rsid w:val="008516E4"/>
    <w:rsid w:val="0085322F"/>
    <w:rsid w:val="00853D80"/>
    <w:rsid w:val="0085408C"/>
    <w:rsid w:val="0085557B"/>
    <w:rsid w:val="00856A09"/>
    <w:rsid w:val="00856B4C"/>
    <w:rsid w:val="00856BBC"/>
    <w:rsid w:val="00857149"/>
    <w:rsid w:val="00857ED7"/>
    <w:rsid w:val="00860A39"/>
    <w:rsid w:val="00861B3E"/>
    <w:rsid w:val="00862A70"/>
    <w:rsid w:val="008655A1"/>
    <w:rsid w:val="00865DD0"/>
    <w:rsid w:val="008666DD"/>
    <w:rsid w:val="00866CCD"/>
    <w:rsid w:val="00870018"/>
    <w:rsid w:val="00871411"/>
    <w:rsid w:val="00871A7B"/>
    <w:rsid w:val="00872192"/>
    <w:rsid w:val="008726D9"/>
    <w:rsid w:val="008740D8"/>
    <w:rsid w:val="0087506B"/>
    <w:rsid w:val="0087693A"/>
    <w:rsid w:val="00876C63"/>
    <w:rsid w:val="00876D94"/>
    <w:rsid w:val="00880767"/>
    <w:rsid w:val="0088222F"/>
    <w:rsid w:val="0088375A"/>
    <w:rsid w:val="00885105"/>
    <w:rsid w:val="00885433"/>
    <w:rsid w:val="00885F76"/>
    <w:rsid w:val="0089069E"/>
    <w:rsid w:val="008912D3"/>
    <w:rsid w:val="008914CB"/>
    <w:rsid w:val="008937B1"/>
    <w:rsid w:val="00893C32"/>
    <w:rsid w:val="00894A43"/>
    <w:rsid w:val="00894D08"/>
    <w:rsid w:val="00895477"/>
    <w:rsid w:val="00896E1C"/>
    <w:rsid w:val="0089746B"/>
    <w:rsid w:val="008A15AE"/>
    <w:rsid w:val="008A1DBB"/>
    <w:rsid w:val="008A2A18"/>
    <w:rsid w:val="008A460C"/>
    <w:rsid w:val="008A6A39"/>
    <w:rsid w:val="008B185F"/>
    <w:rsid w:val="008B3113"/>
    <w:rsid w:val="008B336B"/>
    <w:rsid w:val="008B45F2"/>
    <w:rsid w:val="008B4E65"/>
    <w:rsid w:val="008B5744"/>
    <w:rsid w:val="008B7818"/>
    <w:rsid w:val="008C04C6"/>
    <w:rsid w:val="008C1D87"/>
    <w:rsid w:val="008C2047"/>
    <w:rsid w:val="008C2490"/>
    <w:rsid w:val="008C2FED"/>
    <w:rsid w:val="008C4AC0"/>
    <w:rsid w:val="008C5304"/>
    <w:rsid w:val="008C6459"/>
    <w:rsid w:val="008C7CC2"/>
    <w:rsid w:val="008D01F8"/>
    <w:rsid w:val="008D0325"/>
    <w:rsid w:val="008D0AD4"/>
    <w:rsid w:val="008D2BA4"/>
    <w:rsid w:val="008D3574"/>
    <w:rsid w:val="008D4CB3"/>
    <w:rsid w:val="008D5CDB"/>
    <w:rsid w:val="008D643C"/>
    <w:rsid w:val="008D6554"/>
    <w:rsid w:val="008D7E71"/>
    <w:rsid w:val="008E6072"/>
    <w:rsid w:val="008E6640"/>
    <w:rsid w:val="008F2669"/>
    <w:rsid w:val="008F2710"/>
    <w:rsid w:val="008F432E"/>
    <w:rsid w:val="008F7450"/>
    <w:rsid w:val="008F784B"/>
    <w:rsid w:val="008F7A01"/>
    <w:rsid w:val="00900AF7"/>
    <w:rsid w:val="00901909"/>
    <w:rsid w:val="00901ACE"/>
    <w:rsid w:val="00901B37"/>
    <w:rsid w:val="009043D1"/>
    <w:rsid w:val="0090500B"/>
    <w:rsid w:val="0090746E"/>
    <w:rsid w:val="0090771A"/>
    <w:rsid w:val="00907D44"/>
    <w:rsid w:val="009106C1"/>
    <w:rsid w:val="00910BA4"/>
    <w:rsid w:val="00912C9D"/>
    <w:rsid w:val="00915499"/>
    <w:rsid w:val="00916595"/>
    <w:rsid w:val="009169DE"/>
    <w:rsid w:val="00922E94"/>
    <w:rsid w:val="00924CB1"/>
    <w:rsid w:val="00925905"/>
    <w:rsid w:val="00926039"/>
    <w:rsid w:val="009275C5"/>
    <w:rsid w:val="00927772"/>
    <w:rsid w:val="00931E88"/>
    <w:rsid w:val="00933939"/>
    <w:rsid w:val="00934162"/>
    <w:rsid w:val="009342D4"/>
    <w:rsid w:val="00936818"/>
    <w:rsid w:val="009369EF"/>
    <w:rsid w:val="00936A52"/>
    <w:rsid w:val="00940B15"/>
    <w:rsid w:val="0094391C"/>
    <w:rsid w:val="00946996"/>
    <w:rsid w:val="0095322B"/>
    <w:rsid w:val="0095360A"/>
    <w:rsid w:val="009604D5"/>
    <w:rsid w:val="00960EB1"/>
    <w:rsid w:val="009626CA"/>
    <w:rsid w:val="00962D06"/>
    <w:rsid w:val="00963402"/>
    <w:rsid w:val="00964835"/>
    <w:rsid w:val="00966917"/>
    <w:rsid w:val="00967387"/>
    <w:rsid w:val="009709AB"/>
    <w:rsid w:val="00971FD5"/>
    <w:rsid w:val="0097223A"/>
    <w:rsid w:val="009729E3"/>
    <w:rsid w:val="00972B66"/>
    <w:rsid w:val="00974167"/>
    <w:rsid w:val="00974BED"/>
    <w:rsid w:val="00976143"/>
    <w:rsid w:val="00980073"/>
    <w:rsid w:val="00982041"/>
    <w:rsid w:val="00983099"/>
    <w:rsid w:val="009832E7"/>
    <w:rsid w:val="009836DB"/>
    <w:rsid w:val="00984A57"/>
    <w:rsid w:val="00984EF3"/>
    <w:rsid w:val="009911A1"/>
    <w:rsid w:val="00992322"/>
    <w:rsid w:val="00993261"/>
    <w:rsid w:val="00993578"/>
    <w:rsid w:val="009937FF"/>
    <w:rsid w:val="00997E03"/>
    <w:rsid w:val="009A0770"/>
    <w:rsid w:val="009A0BA3"/>
    <w:rsid w:val="009A1A8B"/>
    <w:rsid w:val="009A2A56"/>
    <w:rsid w:val="009A3C8D"/>
    <w:rsid w:val="009A418D"/>
    <w:rsid w:val="009A4400"/>
    <w:rsid w:val="009A454E"/>
    <w:rsid w:val="009A520C"/>
    <w:rsid w:val="009A6779"/>
    <w:rsid w:val="009A75FE"/>
    <w:rsid w:val="009B137E"/>
    <w:rsid w:val="009B2144"/>
    <w:rsid w:val="009B56EF"/>
    <w:rsid w:val="009B6315"/>
    <w:rsid w:val="009B6C73"/>
    <w:rsid w:val="009C4645"/>
    <w:rsid w:val="009C59F9"/>
    <w:rsid w:val="009C63B1"/>
    <w:rsid w:val="009C6C6F"/>
    <w:rsid w:val="009D0173"/>
    <w:rsid w:val="009D0895"/>
    <w:rsid w:val="009D2C62"/>
    <w:rsid w:val="009D3644"/>
    <w:rsid w:val="009D3EAE"/>
    <w:rsid w:val="009D4BEF"/>
    <w:rsid w:val="009D4D73"/>
    <w:rsid w:val="009D5DD3"/>
    <w:rsid w:val="009D6DC4"/>
    <w:rsid w:val="009D7295"/>
    <w:rsid w:val="009D761B"/>
    <w:rsid w:val="009D7AAE"/>
    <w:rsid w:val="009E0D4A"/>
    <w:rsid w:val="009E246D"/>
    <w:rsid w:val="009E2A07"/>
    <w:rsid w:val="009E3AA4"/>
    <w:rsid w:val="009E3C63"/>
    <w:rsid w:val="009E6590"/>
    <w:rsid w:val="009F01CF"/>
    <w:rsid w:val="009F06C5"/>
    <w:rsid w:val="009F0C46"/>
    <w:rsid w:val="009F3C8B"/>
    <w:rsid w:val="009F599E"/>
    <w:rsid w:val="009F5B9C"/>
    <w:rsid w:val="009F7D3B"/>
    <w:rsid w:val="00A00126"/>
    <w:rsid w:val="00A003C1"/>
    <w:rsid w:val="00A00655"/>
    <w:rsid w:val="00A00C58"/>
    <w:rsid w:val="00A010F0"/>
    <w:rsid w:val="00A02290"/>
    <w:rsid w:val="00A04535"/>
    <w:rsid w:val="00A070EE"/>
    <w:rsid w:val="00A07282"/>
    <w:rsid w:val="00A07363"/>
    <w:rsid w:val="00A0739C"/>
    <w:rsid w:val="00A13043"/>
    <w:rsid w:val="00A13616"/>
    <w:rsid w:val="00A1363C"/>
    <w:rsid w:val="00A13BD0"/>
    <w:rsid w:val="00A14DE4"/>
    <w:rsid w:val="00A151FA"/>
    <w:rsid w:val="00A179D3"/>
    <w:rsid w:val="00A23587"/>
    <w:rsid w:val="00A23EE3"/>
    <w:rsid w:val="00A25C59"/>
    <w:rsid w:val="00A3012B"/>
    <w:rsid w:val="00A30F3D"/>
    <w:rsid w:val="00A3146F"/>
    <w:rsid w:val="00A31F82"/>
    <w:rsid w:val="00A32B7A"/>
    <w:rsid w:val="00A32FEE"/>
    <w:rsid w:val="00A350E9"/>
    <w:rsid w:val="00A3538E"/>
    <w:rsid w:val="00A364A2"/>
    <w:rsid w:val="00A3720D"/>
    <w:rsid w:val="00A37505"/>
    <w:rsid w:val="00A40594"/>
    <w:rsid w:val="00A41A0B"/>
    <w:rsid w:val="00A44C46"/>
    <w:rsid w:val="00A455E5"/>
    <w:rsid w:val="00A455F7"/>
    <w:rsid w:val="00A456F5"/>
    <w:rsid w:val="00A45853"/>
    <w:rsid w:val="00A46E22"/>
    <w:rsid w:val="00A51055"/>
    <w:rsid w:val="00A513D2"/>
    <w:rsid w:val="00A51406"/>
    <w:rsid w:val="00A530A2"/>
    <w:rsid w:val="00A54A51"/>
    <w:rsid w:val="00A54AD0"/>
    <w:rsid w:val="00A56887"/>
    <w:rsid w:val="00A60B29"/>
    <w:rsid w:val="00A60B80"/>
    <w:rsid w:val="00A61197"/>
    <w:rsid w:val="00A63267"/>
    <w:rsid w:val="00A64046"/>
    <w:rsid w:val="00A64535"/>
    <w:rsid w:val="00A71411"/>
    <w:rsid w:val="00A71C30"/>
    <w:rsid w:val="00A71EF1"/>
    <w:rsid w:val="00A72235"/>
    <w:rsid w:val="00A72A25"/>
    <w:rsid w:val="00A740D7"/>
    <w:rsid w:val="00A75555"/>
    <w:rsid w:val="00A759CD"/>
    <w:rsid w:val="00A776D2"/>
    <w:rsid w:val="00A836BF"/>
    <w:rsid w:val="00A83C4D"/>
    <w:rsid w:val="00A83D4C"/>
    <w:rsid w:val="00A84317"/>
    <w:rsid w:val="00A84597"/>
    <w:rsid w:val="00A85490"/>
    <w:rsid w:val="00A85845"/>
    <w:rsid w:val="00A86794"/>
    <w:rsid w:val="00A86A3E"/>
    <w:rsid w:val="00A914E9"/>
    <w:rsid w:val="00A9216C"/>
    <w:rsid w:val="00A93438"/>
    <w:rsid w:val="00A9361C"/>
    <w:rsid w:val="00A94D6E"/>
    <w:rsid w:val="00A94EEF"/>
    <w:rsid w:val="00A94F28"/>
    <w:rsid w:val="00A9587C"/>
    <w:rsid w:val="00A9619D"/>
    <w:rsid w:val="00A967E5"/>
    <w:rsid w:val="00A9697A"/>
    <w:rsid w:val="00A96CB3"/>
    <w:rsid w:val="00A97AA9"/>
    <w:rsid w:val="00AA054E"/>
    <w:rsid w:val="00AA17E3"/>
    <w:rsid w:val="00AA1C72"/>
    <w:rsid w:val="00AA2A5E"/>
    <w:rsid w:val="00AA2BF1"/>
    <w:rsid w:val="00AA3558"/>
    <w:rsid w:val="00AA5D0C"/>
    <w:rsid w:val="00AA6B2C"/>
    <w:rsid w:val="00AA7224"/>
    <w:rsid w:val="00AB15E6"/>
    <w:rsid w:val="00AB1EE0"/>
    <w:rsid w:val="00AB2014"/>
    <w:rsid w:val="00AB234B"/>
    <w:rsid w:val="00AB23FC"/>
    <w:rsid w:val="00AB2493"/>
    <w:rsid w:val="00AB24B3"/>
    <w:rsid w:val="00AB3C03"/>
    <w:rsid w:val="00AB50AF"/>
    <w:rsid w:val="00AB52EA"/>
    <w:rsid w:val="00AB7BAC"/>
    <w:rsid w:val="00AC0EF8"/>
    <w:rsid w:val="00AC263A"/>
    <w:rsid w:val="00AC2A27"/>
    <w:rsid w:val="00AC2E64"/>
    <w:rsid w:val="00AC3DBE"/>
    <w:rsid w:val="00AC4959"/>
    <w:rsid w:val="00AC67EB"/>
    <w:rsid w:val="00AC7995"/>
    <w:rsid w:val="00AD039B"/>
    <w:rsid w:val="00AD0565"/>
    <w:rsid w:val="00AD0A0A"/>
    <w:rsid w:val="00AD32D9"/>
    <w:rsid w:val="00AD3352"/>
    <w:rsid w:val="00AD47E3"/>
    <w:rsid w:val="00AD4A59"/>
    <w:rsid w:val="00AD5746"/>
    <w:rsid w:val="00AD60A8"/>
    <w:rsid w:val="00AD64B8"/>
    <w:rsid w:val="00AE089F"/>
    <w:rsid w:val="00AE0999"/>
    <w:rsid w:val="00AE1B71"/>
    <w:rsid w:val="00AE36AF"/>
    <w:rsid w:val="00AE3F46"/>
    <w:rsid w:val="00AE4061"/>
    <w:rsid w:val="00AE68F6"/>
    <w:rsid w:val="00AF17F6"/>
    <w:rsid w:val="00AF4901"/>
    <w:rsid w:val="00AF670F"/>
    <w:rsid w:val="00AF6FF0"/>
    <w:rsid w:val="00AF75AC"/>
    <w:rsid w:val="00AF766A"/>
    <w:rsid w:val="00B014BB"/>
    <w:rsid w:val="00B045EC"/>
    <w:rsid w:val="00B058FF"/>
    <w:rsid w:val="00B074D0"/>
    <w:rsid w:val="00B10CFD"/>
    <w:rsid w:val="00B13718"/>
    <w:rsid w:val="00B158C3"/>
    <w:rsid w:val="00B22517"/>
    <w:rsid w:val="00B2293D"/>
    <w:rsid w:val="00B2353C"/>
    <w:rsid w:val="00B272BE"/>
    <w:rsid w:val="00B27A14"/>
    <w:rsid w:val="00B32C84"/>
    <w:rsid w:val="00B33E5E"/>
    <w:rsid w:val="00B34D85"/>
    <w:rsid w:val="00B3567F"/>
    <w:rsid w:val="00B3710C"/>
    <w:rsid w:val="00B37FE3"/>
    <w:rsid w:val="00B413CC"/>
    <w:rsid w:val="00B41521"/>
    <w:rsid w:val="00B415FE"/>
    <w:rsid w:val="00B42205"/>
    <w:rsid w:val="00B43502"/>
    <w:rsid w:val="00B445B9"/>
    <w:rsid w:val="00B468D4"/>
    <w:rsid w:val="00B46A08"/>
    <w:rsid w:val="00B46C4E"/>
    <w:rsid w:val="00B47DAA"/>
    <w:rsid w:val="00B504BE"/>
    <w:rsid w:val="00B506B0"/>
    <w:rsid w:val="00B52A04"/>
    <w:rsid w:val="00B53238"/>
    <w:rsid w:val="00B5343C"/>
    <w:rsid w:val="00B53EA7"/>
    <w:rsid w:val="00B561E7"/>
    <w:rsid w:val="00B568BF"/>
    <w:rsid w:val="00B61B12"/>
    <w:rsid w:val="00B621F6"/>
    <w:rsid w:val="00B664E9"/>
    <w:rsid w:val="00B67A2A"/>
    <w:rsid w:val="00B70610"/>
    <w:rsid w:val="00B70A32"/>
    <w:rsid w:val="00B71FAC"/>
    <w:rsid w:val="00B72DDC"/>
    <w:rsid w:val="00B7347F"/>
    <w:rsid w:val="00B74AB7"/>
    <w:rsid w:val="00B75565"/>
    <w:rsid w:val="00B76017"/>
    <w:rsid w:val="00B7689E"/>
    <w:rsid w:val="00B81053"/>
    <w:rsid w:val="00B82164"/>
    <w:rsid w:val="00B84CFF"/>
    <w:rsid w:val="00B870C8"/>
    <w:rsid w:val="00B87B00"/>
    <w:rsid w:val="00B90513"/>
    <w:rsid w:val="00B90A5B"/>
    <w:rsid w:val="00B916FF"/>
    <w:rsid w:val="00B92345"/>
    <w:rsid w:val="00B92C4F"/>
    <w:rsid w:val="00B9530E"/>
    <w:rsid w:val="00B95B12"/>
    <w:rsid w:val="00BA02A3"/>
    <w:rsid w:val="00BA14BA"/>
    <w:rsid w:val="00BA17A9"/>
    <w:rsid w:val="00BA30F2"/>
    <w:rsid w:val="00BA4EAC"/>
    <w:rsid w:val="00BA617C"/>
    <w:rsid w:val="00BA68B2"/>
    <w:rsid w:val="00BA7C51"/>
    <w:rsid w:val="00BA7E1E"/>
    <w:rsid w:val="00BA7E21"/>
    <w:rsid w:val="00BB18C4"/>
    <w:rsid w:val="00BB505E"/>
    <w:rsid w:val="00BB7324"/>
    <w:rsid w:val="00BB78A6"/>
    <w:rsid w:val="00BC0543"/>
    <w:rsid w:val="00BC11E8"/>
    <w:rsid w:val="00BC15FB"/>
    <w:rsid w:val="00BC16FF"/>
    <w:rsid w:val="00BC22CF"/>
    <w:rsid w:val="00BC3AA6"/>
    <w:rsid w:val="00BC3D6F"/>
    <w:rsid w:val="00BC4C6A"/>
    <w:rsid w:val="00BC57F5"/>
    <w:rsid w:val="00BC782B"/>
    <w:rsid w:val="00BD498B"/>
    <w:rsid w:val="00BD604B"/>
    <w:rsid w:val="00BD65CD"/>
    <w:rsid w:val="00BD6A7C"/>
    <w:rsid w:val="00BD768A"/>
    <w:rsid w:val="00BD7AFF"/>
    <w:rsid w:val="00BD7CA7"/>
    <w:rsid w:val="00BE13B9"/>
    <w:rsid w:val="00BE2707"/>
    <w:rsid w:val="00BE369D"/>
    <w:rsid w:val="00BE4FCF"/>
    <w:rsid w:val="00BE5DA9"/>
    <w:rsid w:val="00BE69FF"/>
    <w:rsid w:val="00BF0872"/>
    <w:rsid w:val="00BF1745"/>
    <w:rsid w:val="00BF19FA"/>
    <w:rsid w:val="00BF4C3E"/>
    <w:rsid w:val="00BF757A"/>
    <w:rsid w:val="00C017FF"/>
    <w:rsid w:val="00C01FBD"/>
    <w:rsid w:val="00C02090"/>
    <w:rsid w:val="00C02459"/>
    <w:rsid w:val="00C03970"/>
    <w:rsid w:val="00C04975"/>
    <w:rsid w:val="00C04AA0"/>
    <w:rsid w:val="00C060B9"/>
    <w:rsid w:val="00C06806"/>
    <w:rsid w:val="00C0746C"/>
    <w:rsid w:val="00C07D7D"/>
    <w:rsid w:val="00C07ED9"/>
    <w:rsid w:val="00C11341"/>
    <w:rsid w:val="00C17352"/>
    <w:rsid w:val="00C17507"/>
    <w:rsid w:val="00C17BFA"/>
    <w:rsid w:val="00C22767"/>
    <w:rsid w:val="00C22C2F"/>
    <w:rsid w:val="00C25992"/>
    <w:rsid w:val="00C267E3"/>
    <w:rsid w:val="00C2764F"/>
    <w:rsid w:val="00C27B64"/>
    <w:rsid w:val="00C30167"/>
    <w:rsid w:val="00C308DC"/>
    <w:rsid w:val="00C31AC5"/>
    <w:rsid w:val="00C31CE3"/>
    <w:rsid w:val="00C3206E"/>
    <w:rsid w:val="00C37F27"/>
    <w:rsid w:val="00C40CC6"/>
    <w:rsid w:val="00C4179A"/>
    <w:rsid w:val="00C41E59"/>
    <w:rsid w:val="00C449B4"/>
    <w:rsid w:val="00C4510D"/>
    <w:rsid w:val="00C471D2"/>
    <w:rsid w:val="00C4754D"/>
    <w:rsid w:val="00C52677"/>
    <w:rsid w:val="00C5311E"/>
    <w:rsid w:val="00C5343D"/>
    <w:rsid w:val="00C54A52"/>
    <w:rsid w:val="00C60A5E"/>
    <w:rsid w:val="00C61028"/>
    <w:rsid w:val="00C62B36"/>
    <w:rsid w:val="00C63219"/>
    <w:rsid w:val="00C64182"/>
    <w:rsid w:val="00C70604"/>
    <w:rsid w:val="00C71F93"/>
    <w:rsid w:val="00C7392F"/>
    <w:rsid w:val="00C74920"/>
    <w:rsid w:val="00C7610F"/>
    <w:rsid w:val="00C773F9"/>
    <w:rsid w:val="00C775A1"/>
    <w:rsid w:val="00C77B0A"/>
    <w:rsid w:val="00C8091E"/>
    <w:rsid w:val="00C80EE0"/>
    <w:rsid w:val="00C8162B"/>
    <w:rsid w:val="00C816BA"/>
    <w:rsid w:val="00C81CA2"/>
    <w:rsid w:val="00C8291D"/>
    <w:rsid w:val="00C82C35"/>
    <w:rsid w:val="00C833B1"/>
    <w:rsid w:val="00C91C9D"/>
    <w:rsid w:val="00C93A2E"/>
    <w:rsid w:val="00C96BF3"/>
    <w:rsid w:val="00C97AFD"/>
    <w:rsid w:val="00CA17E1"/>
    <w:rsid w:val="00CA2484"/>
    <w:rsid w:val="00CA2910"/>
    <w:rsid w:val="00CA296D"/>
    <w:rsid w:val="00CA32BF"/>
    <w:rsid w:val="00CA32DC"/>
    <w:rsid w:val="00CA5D88"/>
    <w:rsid w:val="00CA5EA6"/>
    <w:rsid w:val="00CA6433"/>
    <w:rsid w:val="00CA647F"/>
    <w:rsid w:val="00CA69D7"/>
    <w:rsid w:val="00CA70D9"/>
    <w:rsid w:val="00CA79F7"/>
    <w:rsid w:val="00CB00DA"/>
    <w:rsid w:val="00CB41D8"/>
    <w:rsid w:val="00CB5291"/>
    <w:rsid w:val="00CB644D"/>
    <w:rsid w:val="00CB679C"/>
    <w:rsid w:val="00CB6E96"/>
    <w:rsid w:val="00CB7517"/>
    <w:rsid w:val="00CC016D"/>
    <w:rsid w:val="00CC01F2"/>
    <w:rsid w:val="00CC07FA"/>
    <w:rsid w:val="00CC0B97"/>
    <w:rsid w:val="00CC2B30"/>
    <w:rsid w:val="00CC3532"/>
    <w:rsid w:val="00CC5AC0"/>
    <w:rsid w:val="00CC6554"/>
    <w:rsid w:val="00CD00BC"/>
    <w:rsid w:val="00CD040C"/>
    <w:rsid w:val="00CD1954"/>
    <w:rsid w:val="00CD1E5A"/>
    <w:rsid w:val="00CD1F12"/>
    <w:rsid w:val="00CD34FF"/>
    <w:rsid w:val="00CD37B5"/>
    <w:rsid w:val="00CD3B65"/>
    <w:rsid w:val="00CD3CB1"/>
    <w:rsid w:val="00CD3E44"/>
    <w:rsid w:val="00CD43FA"/>
    <w:rsid w:val="00CD608D"/>
    <w:rsid w:val="00CD7616"/>
    <w:rsid w:val="00CD795A"/>
    <w:rsid w:val="00CE11DD"/>
    <w:rsid w:val="00CE2258"/>
    <w:rsid w:val="00CE3283"/>
    <w:rsid w:val="00CE3378"/>
    <w:rsid w:val="00CE4D95"/>
    <w:rsid w:val="00CE52D7"/>
    <w:rsid w:val="00CE629D"/>
    <w:rsid w:val="00CF07E6"/>
    <w:rsid w:val="00CF226E"/>
    <w:rsid w:val="00CF2562"/>
    <w:rsid w:val="00CF33B6"/>
    <w:rsid w:val="00CF406F"/>
    <w:rsid w:val="00CF5521"/>
    <w:rsid w:val="00CF631A"/>
    <w:rsid w:val="00CF684B"/>
    <w:rsid w:val="00CF7D29"/>
    <w:rsid w:val="00D01FB8"/>
    <w:rsid w:val="00D021C2"/>
    <w:rsid w:val="00D02A81"/>
    <w:rsid w:val="00D04A48"/>
    <w:rsid w:val="00D04C65"/>
    <w:rsid w:val="00D04C90"/>
    <w:rsid w:val="00D062BE"/>
    <w:rsid w:val="00D06457"/>
    <w:rsid w:val="00D06776"/>
    <w:rsid w:val="00D07E73"/>
    <w:rsid w:val="00D115E6"/>
    <w:rsid w:val="00D130B3"/>
    <w:rsid w:val="00D13FEF"/>
    <w:rsid w:val="00D151E7"/>
    <w:rsid w:val="00D15AC5"/>
    <w:rsid w:val="00D1666F"/>
    <w:rsid w:val="00D1730F"/>
    <w:rsid w:val="00D17B1C"/>
    <w:rsid w:val="00D22406"/>
    <w:rsid w:val="00D2384D"/>
    <w:rsid w:val="00D25869"/>
    <w:rsid w:val="00D25C0A"/>
    <w:rsid w:val="00D25D86"/>
    <w:rsid w:val="00D263F1"/>
    <w:rsid w:val="00D26487"/>
    <w:rsid w:val="00D265C8"/>
    <w:rsid w:val="00D27DE7"/>
    <w:rsid w:val="00D323C4"/>
    <w:rsid w:val="00D33F2B"/>
    <w:rsid w:val="00D34189"/>
    <w:rsid w:val="00D34CE8"/>
    <w:rsid w:val="00D3593A"/>
    <w:rsid w:val="00D375D6"/>
    <w:rsid w:val="00D4001C"/>
    <w:rsid w:val="00D438F0"/>
    <w:rsid w:val="00D4403F"/>
    <w:rsid w:val="00D44372"/>
    <w:rsid w:val="00D443D4"/>
    <w:rsid w:val="00D4603C"/>
    <w:rsid w:val="00D5206B"/>
    <w:rsid w:val="00D52ADB"/>
    <w:rsid w:val="00D53161"/>
    <w:rsid w:val="00D5508F"/>
    <w:rsid w:val="00D550B6"/>
    <w:rsid w:val="00D55786"/>
    <w:rsid w:val="00D55EC2"/>
    <w:rsid w:val="00D55F02"/>
    <w:rsid w:val="00D57130"/>
    <w:rsid w:val="00D60812"/>
    <w:rsid w:val="00D60A30"/>
    <w:rsid w:val="00D611F3"/>
    <w:rsid w:val="00D623DD"/>
    <w:rsid w:val="00D629D8"/>
    <w:rsid w:val="00D62D39"/>
    <w:rsid w:val="00D632DB"/>
    <w:rsid w:val="00D63708"/>
    <w:rsid w:val="00D6481B"/>
    <w:rsid w:val="00D66900"/>
    <w:rsid w:val="00D67371"/>
    <w:rsid w:val="00D67BF8"/>
    <w:rsid w:val="00D70935"/>
    <w:rsid w:val="00D724FE"/>
    <w:rsid w:val="00D759E5"/>
    <w:rsid w:val="00D77706"/>
    <w:rsid w:val="00D778A1"/>
    <w:rsid w:val="00D77A2F"/>
    <w:rsid w:val="00D80219"/>
    <w:rsid w:val="00D8128F"/>
    <w:rsid w:val="00D82717"/>
    <w:rsid w:val="00D82D31"/>
    <w:rsid w:val="00D82E17"/>
    <w:rsid w:val="00D83AD9"/>
    <w:rsid w:val="00D84645"/>
    <w:rsid w:val="00D853FA"/>
    <w:rsid w:val="00D859AC"/>
    <w:rsid w:val="00D86198"/>
    <w:rsid w:val="00D874EA"/>
    <w:rsid w:val="00D87704"/>
    <w:rsid w:val="00D878BD"/>
    <w:rsid w:val="00D90EDE"/>
    <w:rsid w:val="00D9165A"/>
    <w:rsid w:val="00D91EAA"/>
    <w:rsid w:val="00D92AC0"/>
    <w:rsid w:val="00D94DD8"/>
    <w:rsid w:val="00D95AAD"/>
    <w:rsid w:val="00D96028"/>
    <w:rsid w:val="00D97D1D"/>
    <w:rsid w:val="00DA1892"/>
    <w:rsid w:val="00DA22EF"/>
    <w:rsid w:val="00DA34B6"/>
    <w:rsid w:val="00DA36CA"/>
    <w:rsid w:val="00DA4870"/>
    <w:rsid w:val="00DA48A7"/>
    <w:rsid w:val="00DA4FDB"/>
    <w:rsid w:val="00DA5907"/>
    <w:rsid w:val="00DA6E7B"/>
    <w:rsid w:val="00DB0AED"/>
    <w:rsid w:val="00DB10AB"/>
    <w:rsid w:val="00DB1F0A"/>
    <w:rsid w:val="00DB39EB"/>
    <w:rsid w:val="00DB3CCC"/>
    <w:rsid w:val="00DB53CB"/>
    <w:rsid w:val="00DB67F3"/>
    <w:rsid w:val="00DC11F9"/>
    <w:rsid w:val="00DC2867"/>
    <w:rsid w:val="00DC343A"/>
    <w:rsid w:val="00DD130F"/>
    <w:rsid w:val="00DD1DB8"/>
    <w:rsid w:val="00DD4131"/>
    <w:rsid w:val="00DD4387"/>
    <w:rsid w:val="00DD5B36"/>
    <w:rsid w:val="00DD7ED3"/>
    <w:rsid w:val="00DE1553"/>
    <w:rsid w:val="00DE295D"/>
    <w:rsid w:val="00DE29E5"/>
    <w:rsid w:val="00DE2B95"/>
    <w:rsid w:val="00DE45E9"/>
    <w:rsid w:val="00DE51F9"/>
    <w:rsid w:val="00DE56BC"/>
    <w:rsid w:val="00DE7F8F"/>
    <w:rsid w:val="00DE7FAA"/>
    <w:rsid w:val="00DF03B9"/>
    <w:rsid w:val="00DF0C4B"/>
    <w:rsid w:val="00DF0F34"/>
    <w:rsid w:val="00DF1657"/>
    <w:rsid w:val="00DF36FD"/>
    <w:rsid w:val="00DF38F5"/>
    <w:rsid w:val="00DF6462"/>
    <w:rsid w:val="00DF6D4A"/>
    <w:rsid w:val="00E01A48"/>
    <w:rsid w:val="00E01C2C"/>
    <w:rsid w:val="00E020B4"/>
    <w:rsid w:val="00E023F7"/>
    <w:rsid w:val="00E035A1"/>
    <w:rsid w:val="00E03911"/>
    <w:rsid w:val="00E049CB"/>
    <w:rsid w:val="00E04D19"/>
    <w:rsid w:val="00E05B4C"/>
    <w:rsid w:val="00E10691"/>
    <w:rsid w:val="00E1143F"/>
    <w:rsid w:val="00E1160F"/>
    <w:rsid w:val="00E116BC"/>
    <w:rsid w:val="00E11A5D"/>
    <w:rsid w:val="00E12377"/>
    <w:rsid w:val="00E12D42"/>
    <w:rsid w:val="00E12E5C"/>
    <w:rsid w:val="00E13986"/>
    <w:rsid w:val="00E14FF2"/>
    <w:rsid w:val="00E17322"/>
    <w:rsid w:val="00E2059A"/>
    <w:rsid w:val="00E20BCD"/>
    <w:rsid w:val="00E228D3"/>
    <w:rsid w:val="00E234C8"/>
    <w:rsid w:val="00E23FD9"/>
    <w:rsid w:val="00E24034"/>
    <w:rsid w:val="00E241D9"/>
    <w:rsid w:val="00E24E21"/>
    <w:rsid w:val="00E26111"/>
    <w:rsid w:val="00E27F54"/>
    <w:rsid w:val="00E30277"/>
    <w:rsid w:val="00E308BB"/>
    <w:rsid w:val="00E313CE"/>
    <w:rsid w:val="00E3244D"/>
    <w:rsid w:val="00E32751"/>
    <w:rsid w:val="00E33895"/>
    <w:rsid w:val="00E3398B"/>
    <w:rsid w:val="00E367DC"/>
    <w:rsid w:val="00E36D70"/>
    <w:rsid w:val="00E377C9"/>
    <w:rsid w:val="00E37B82"/>
    <w:rsid w:val="00E37D59"/>
    <w:rsid w:val="00E42E68"/>
    <w:rsid w:val="00E453B2"/>
    <w:rsid w:val="00E46571"/>
    <w:rsid w:val="00E501E2"/>
    <w:rsid w:val="00E51CE2"/>
    <w:rsid w:val="00E550CC"/>
    <w:rsid w:val="00E55672"/>
    <w:rsid w:val="00E56FEA"/>
    <w:rsid w:val="00E60196"/>
    <w:rsid w:val="00E61F8D"/>
    <w:rsid w:val="00E63C2D"/>
    <w:rsid w:val="00E67590"/>
    <w:rsid w:val="00E67F1D"/>
    <w:rsid w:val="00E70939"/>
    <w:rsid w:val="00E709FC"/>
    <w:rsid w:val="00E7155B"/>
    <w:rsid w:val="00E71ADD"/>
    <w:rsid w:val="00E73876"/>
    <w:rsid w:val="00E74575"/>
    <w:rsid w:val="00E74AD8"/>
    <w:rsid w:val="00E76CEE"/>
    <w:rsid w:val="00E77286"/>
    <w:rsid w:val="00E77455"/>
    <w:rsid w:val="00E77A51"/>
    <w:rsid w:val="00E804D3"/>
    <w:rsid w:val="00E80AC4"/>
    <w:rsid w:val="00E816A6"/>
    <w:rsid w:val="00E81DB4"/>
    <w:rsid w:val="00E82C77"/>
    <w:rsid w:val="00E84A30"/>
    <w:rsid w:val="00E857F8"/>
    <w:rsid w:val="00E86ECC"/>
    <w:rsid w:val="00E87CB3"/>
    <w:rsid w:val="00E91141"/>
    <w:rsid w:val="00E925A6"/>
    <w:rsid w:val="00E945AC"/>
    <w:rsid w:val="00E94859"/>
    <w:rsid w:val="00E94C30"/>
    <w:rsid w:val="00E95C4B"/>
    <w:rsid w:val="00E965EE"/>
    <w:rsid w:val="00E9683E"/>
    <w:rsid w:val="00E96ECC"/>
    <w:rsid w:val="00E9744A"/>
    <w:rsid w:val="00E97657"/>
    <w:rsid w:val="00EA09FE"/>
    <w:rsid w:val="00EA2A51"/>
    <w:rsid w:val="00EA3F51"/>
    <w:rsid w:val="00EA536C"/>
    <w:rsid w:val="00EB0052"/>
    <w:rsid w:val="00EB0FBB"/>
    <w:rsid w:val="00EB215C"/>
    <w:rsid w:val="00EB3768"/>
    <w:rsid w:val="00EB3A44"/>
    <w:rsid w:val="00EB5817"/>
    <w:rsid w:val="00EB5D26"/>
    <w:rsid w:val="00EB7522"/>
    <w:rsid w:val="00EB7D69"/>
    <w:rsid w:val="00EC2870"/>
    <w:rsid w:val="00EC2AC1"/>
    <w:rsid w:val="00EC4184"/>
    <w:rsid w:val="00EC7BA7"/>
    <w:rsid w:val="00ED0CB1"/>
    <w:rsid w:val="00ED230B"/>
    <w:rsid w:val="00ED3570"/>
    <w:rsid w:val="00ED368F"/>
    <w:rsid w:val="00ED3B71"/>
    <w:rsid w:val="00ED4A3F"/>
    <w:rsid w:val="00ED4FDE"/>
    <w:rsid w:val="00ED6D87"/>
    <w:rsid w:val="00EE1DB5"/>
    <w:rsid w:val="00EE3357"/>
    <w:rsid w:val="00EE4551"/>
    <w:rsid w:val="00EF0C29"/>
    <w:rsid w:val="00EF30E2"/>
    <w:rsid w:val="00EF3119"/>
    <w:rsid w:val="00EF3282"/>
    <w:rsid w:val="00EF5C87"/>
    <w:rsid w:val="00EF6620"/>
    <w:rsid w:val="00EF6C64"/>
    <w:rsid w:val="00F016BB"/>
    <w:rsid w:val="00F039CF"/>
    <w:rsid w:val="00F05335"/>
    <w:rsid w:val="00F0536E"/>
    <w:rsid w:val="00F05D39"/>
    <w:rsid w:val="00F06333"/>
    <w:rsid w:val="00F10E47"/>
    <w:rsid w:val="00F12F6E"/>
    <w:rsid w:val="00F13CBC"/>
    <w:rsid w:val="00F14855"/>
    <w:rsid w:val="00F150E9"/>
    <w:rsid w:val="00F21417"/>
    <w:rsid w:val="00F21E4B"/>
    <w:rsid w:val="00F22A72"/>
    <w:rsid w:val="00F231CE"/>
    <w:rsid w:val="00F247C8"/>
    <w:rsid w:val="00F25BF4"/>
    <w:rsid w:val="00F2635E"/>
    <w:rsid w:val="00F278B9"/>
    <w:rsid w:val="00F30AFD"/>
    <w:rsid w:val="00F316A1"/>
    <w:rsid w:val="00F318C5"/>
    <w:rsid w:val="00F3199A"/>
    <w:rsid w:val="00F319A5"/>
    <w:rsid w:val="00F33B1D"/>
    <w:rsid w:val="00F343E0"/>
    <w:rsid w:val="00F360B3"/>
    <w:rsid w:val="00F37594"/>
    <w:rsid w:val="00F40A28"/>
    <w:rsid w:val="00F41232"/>
    <w:rsid w:val="00F41319"/>
    <w:rsid w:val="00F421E6"/>
    <w:rsid w:val="00F4303A"/>
    <w:rsid w:val="00F475D0"/>
    <w:rsid w:val="00F5118A"/>
    <w:rsid w:val="00F511EC"/>
    <w:rsid w:val="00F555B0"/>
    <w:rsid w:val="00F571CF"/>
    <w:rsid w:val="00F6162A"/>
    <w:rsid w:val="00F66759"/>
    <w:rsid w:val="00F66AF5"/>
    <w:rsid w:val="00F67967"/>
    <w:rsid w:val="00F67CF6"/>
    <w:rsid w:val="00F72651"/>
    <w:rsid w:val="00F8175E"/>
    <w:rsid w:val="00F81B05"/>
    <w:rsid w:val="00F81F15"/>
    <w:rsid w:val="00F82049"/>
    <w:rsid w:val="00F82C9F"/>
    <w:rsid w:val="00F8388A"/>
    <w:rsid w:val="00F84E80"/>
    <w:rsid w:val="00F87537"/>
    <w:rsid w:val="00F878EC"/>
    <w:rsid w:val="00F947DC"/>
    <w:rsid w:val="00F9781A"/>
    <w:rsid w:val="00FA057C"/>
    <w:rsid w:val="00FA086F"/>
    <w:rsid w:val="00FA0D16"/>
    <w:rsid w:val="00FA185B"/>
    <w:rsid w:val="00FA60BF"/>
    <w:rsid w:val="00FA6883"/>
    <w:rsid w:val="00FA7405"/>
    <w:rsid w:val="00FB0D12"/>
    <w:rsid w:val="00FB1CB4"/>
    <w:rsid w:val="00FB3D40"/>
    <w:rsid w:val="00FB44EB"/>
    <w:rsid w:val="00FB675F"/>
    <w:rsid w:val="00FC1300"/>
    <w:rsid w:val="00FC1C93"/>
    <w:rsid w:val="00FC1E29"/>
    <w:rsid w:val="00FC347D"/>
    <w:rsid w:val="00FC42A3"/>
    <w:rsid w:val="00FC55F9"/>
    <w:rsid w:val="00FC60D4"/>
    <w:rsid w:val="00FC77AE"/>
    <w:rsid w:val="00FC7D9F"/>
    <w:rsid w:val="00FD2BAD"/>
    <w:rsid w:val="00FD2F51"/>
    <w:rsid w:val="00FD330C"/>
    <w:rsid w:val="00FD3660"/>
    <w:rsid w:val="00FD484C"/>
    <w:rsid w:val="00FD49D6"/>
    <w:rsid w:val="00FD55FB"/>
    <w:rsid w:val="00FD569D"/>
    <w:rsid w:val="00FD678B"/>
    <w:rsid w:val="00FD6903"/>
    <w:rsid w:val="00FE225D"/>
    <w:rsid w:val="00FE5C3E"/>
    <w:rsid w:val="00FF0A2F"/>
    <w:rsid w:val="00FF1B04"/>
    <w:rsid w:val="00FF22F8"/>
    <w:rsid w:val="00FF4311"/>
    <w:rsid w:val="00FF5C5F"/>
    <w:rsid w:val="020A6A96"/>
    <w:rsid w:val="0356786B"/>
    <w:rsid w:val="046E31C1"/>
    <w:rsid w:val="056C4F65"/>
    <w:rsid w:val="059B5B16"/>
    <w:rsid w:val="06D005C3"/>
    <w:rsid w:val="06F4696E"/>
    <w:rsid w:val="07245E56"/>
    <w:rsid w:val="08B908B3"/>
    <w:rsid w:val="0B0D7FCB"/>
    <w:rsid w:val="0C023D8C"/>
    <w:rsid w:val="0D4E746C"/>
    <w:rsid w:val="0E94232E"/>
    <w:rsid w:val="0F1306D5"/>
    <w:rsid w:val="11295396"/>
    <w:rsid w:val="114F245A"/>
    <w:rsid w:val="13007E31"/>
    <w:rsid w:val="149F3F7C"/>
    <w:rsid w:val="163E2FB7"/>
    <w:rsid w:val="16C75509"/>
    <w:rsid w:val="1A48157B"/>
    <w:rsid w:val="1BD70953"/>
    <w:rsid w:val="1BF87698"/>
    <w:rsid w:val="1C876DFD"/>
    <w:rsid w:val="1D523F38"/>
    <w:rsid w:val="1E585AB7"/>
    <w:rsid w:val="1EA53FAF"/>
    <w:rsid w:val="1EB160C2"/>
    <w:rsid w:val="1F0038DF"/>
    <w:rsid w:val="1FF145B9"/>
    <w:rsid w:val="20A975CA"/>
    <w:rsid w:val="20BA3746"/>
    <w:rsid w:val="20D9273D"/>
    <w:rsid w:val="2193546F"/>
    <w:rsid w:val="26F50BA9"/>
    <w:rsid w:val="270566AD"/>
    <w:rsid w:val="29026D00"/>
    <w:rsid w:val="2A751F33"/>
    <w:rsid w:val="2A8773CD"/>
    <w:rsid w:val="2ACF2C35"/>
    <w:rsid w:val="2B6B1ECB"/>
    <w:rsid w:val="2EA644DF"/>
    <w:rsid w:val="2FB532A0"/>
    <w:rsid w:val="319C4BEA"/>
    <w:rsid w:val="32991351"/>
    <w:rsid w:val="32FC508C"/>
    <w:rsid w:val="34C829B2"/>
    <w:rsid w:val="35381804"/>
    <w:rsid w:val="36846F77"/>
    <w:rsid w:val="374E455A"/>
    <w:rsid w:val="386A3F56"/>
    <w:rsid w:val="38984605"/>
    <w:rsid w:val="38C15DD4"/>
    <w:rsid w:val="39DF3CFF"/>
    <w:rsid w:val="3A810EF7"/>
    <w:rsid w:val="3C0F3437"/>
    <w:rsid w:val="3C3802E9"/>
    <w:rsid w:val="3CDC0F3A"/>
    <w:rsid w:val="3E586AB8"/>
    <w:rsid w:val="3E5C1B1D"/>
    <w:rsid w:val="3EAE14E9"/>
    <w:rsid w:val="3FD261A6"/>
    <w:rsid w:val="42EB2F9C"/>
    <w:rsid w:val="433D7BAD"/>
    <w:rsid w:val="449C405F"/>
    <w:rsid w:val="45226963"/>
    <w:rsid w:val="456D59E8"/>
    <w:rsid w:val="49315ADF"/>
    <w:rsid w:val="4AEC1BFA"/>
    <w:rsid w:val="4D39606F"/>
    <w:rsid w:val="4D8D2B43"/>
    <w:rsid w:val="4DD74FC1"/>
    <w:rsid w:val="4F8E3D4D"/>
    <w:rsid w:val="503653FA"/>
    <w:rsid w:val="50D161F3"/>
    <w:rsid w:val="53B3493A"/>
    <w:rsid w:val="544A2143"/>
    <w:rsid w:val="54555DBB"/>
    <w:rsid w:val="54CF5A1B"/>
    <w:rsid w:val="5537323C"/>
    <w:rsid w:val="55855837"/>
    <w:rsid w:val="55856513"/>
    <w:rsid w:val="559D66E9"/>
    <w:rsid w:val="55ED7631"/>
    <w:rsid w:val="56503211"/>
    <w:rsid w:val="569C39CC"/>
    <w:rsid w:val="598B567E"/>
    <w:rsid w:val="5A7B0934"/>
    <w:rsid w:val="5C33376E"/>
    <w:rsid w:val="5C624734"/>
    <w:rsid w:val="5FE91ABC"/>
    <w:rsid w:val="60275465"/>
    <w:rsid w:val="628E734C"/>
    <w:rsid w:val="6580603B"/>
    <w:rsid w:val="663131FA"/>
    <w:rsid w:val="66DC45CE"/>
    <w:rsid w:val="68B92D20"/>
    <w:rsid w:val="68C7223A"/>
    <w:rsid w:val="68EF6886"/>
    <w:rsid w:val="6C5D4809"/>
    <w:rsid w:val="6FDD1093"/>
    <w:rsid w:val="701A15D9"/>
    <w:rsid w:val="709C0126"/>
    <w:rsid w:val="7559386A"/>
    <w:rsid w:val="76022652"/>
    <w:rsid w:val="768501BE"/>
    <w:rsid w:val="76C8601E"/>
    <w:rsid w:val="77D173EC"/>
    <w:rsid w:val="7A882DE1"/>
    <w:rsid w:val="7C0A60FB"/>
    <w:rsid w:val="7D70546E"/>
    <w:rsid w:val="7D80556D"/>
    <w:rsid w:val="7E1A45ED"/>
    <w:rsid w:val="7ED86E63"/>
    <w:rsid w:val="7F466B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9"/>
    <w:qFormat/>
    <w:uiPriority w:val="0"/>
    <w:pPr>
      <w:keepNext/>
      <w:keepLines/>
      <w:spacing w:before="260" w:after="260" w:line="413" w:lineRule="auto"/>
      <w:outlineLvl w:val="1"/>
    </w:pPr>
    <w:rPr>
      <w:rFonts w:ascii="Arial" w:hAnsi="Arial" w:eastAsia="黑体" w:cs="Times New Roman"/>
      <w:b/>
      <w:sz w:val="32"/>
      <w:szCs w:val="20"/>
    </w:rPr>
  </w:style>
  <w:style w:type="paragraph" w:styleId="4">
    <w:name w:val="heading 3"/>
    <w:basedOn w:val="1"/>
    <w:next w:val="1"/>
    <w:link w:val="50"/>
    <w:qFormat/>
    <w:uiPriority w:val="0"/>
    <w:pPr>
      <w:keepNext/>
      <w:keepLines/>
      <w:spacing w:before="260" w:after="260" w:line="413" w:lineRule="auto"/>
      <w:outlineLvl w:val="2"/>
    </w:pPr>
    <w:rPr>
      <w:rFonts w:ascii="Times New Roman" w:hAnsi="Times New Roman" w:cs="Times New Roman"/>
      <w:b/>
      <w:sz w:val="32"/>
      <w:szCs w:val="20"/>
    </w:rPr>
  </w:style>
  <w:style w:type="paragraph" w:styleId="5">
    <w:name w:val="heading 4"/>
    <w:basedOn w:val="1"/>
    <w:next w:val="1"/>
    <w:link w:val="5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rFonts w:ascii="Times New Roman" w:hAnsi="Times New Roman" w:cs="Times New Roman"/>
      <w:szCs w:val="20"/>
    </w:rPr>
  </w:style>
  <w:style w:type="paragraph" w:styleId="7">
    <w:name w:val="Document Map"/>
    <w:basedOn w:val="1"/>
    <w:link w:val="62"/>
    <w:qFormat/>
    <w:uiPriority w:val="0"/>
    <w:pPr>
      <w:shd w:val="clear" w:color="auto" w:fill="000080"/>
    </w:pPr>
    <w:rPr>
      <w:rFonts w:ascii="Times New Roman" w:hAnsi="Times New Roman" w:cs="Times New Roman"/>
      <w:szCs w:val="20"/>
    </w:rPr>
  </w:style>
  <w:style w:type="paragraph" w:styleId="8">
    <w:name w:val="annotation text"/>
    <w:basedOn w:val="1"/>
    <w:link w:val="36"/>
    <w:qFormat/>
    <w:uiPriority w:val="99"/>
    <w:pPr>
      <w:widowControl/>
      <w:jc w:val="left"/>
    </w:pPr>
    <w:rPr>
      <w:rFonts w:ascii="宋体" w:hAnsi="宋体"/>
      <w:kern w:val="0"/>
      <w:sz w:val="24"/>
      <w:szCs w:val="24"/>
    </w:rPr>
  </w:style>
  <w:style w:type="paragraph" w:styleId="9">
    <w:name w:val="Body Text"/>
    <w:basedOn w:val="1"/>
    <w:link w:val="55"/>
    <w:qFormat/>
    <w:uiPriority w:val="0"/>
    <w:pPr>
      <w:autoSpaceDE w:val="0"/>
      <w:autoSpaceDN w:val="0"/>
      <w:adjustRightInd w:val="0"/>
      <w:spacing w:line="360" w:lineRule="auto"/>
      <w:jc w:val="left"/>
    </w:pPr>
    <w:rPr>
      <w:rFonts w:ascii="宋体"/>
      <w:kern w:val="0"/>
      <w:sz w:val="20"/>
      <w:szCs w:val="20"/>
    </w:rPr>
  </w:style>
  <w:style w:type="paragraph" w:styleId="10">
    <w:name w:val="toc 3"/>
    <w:basedOn w:val="1"/>
    <w:next w:val="1"/>
    <w:qFormat/>
    <w:uiPriority w:val="39"/>
    <w:pPr>
      <w:widowControl/>
      <w:spacing w:after="100" w:line="276" w:lineRule="auto"/>
      <w:ind w:left="440"/>
      <w:jc w:val="left"/>
    </w:pPr>
    <w:rPr>
      <w:kern w:val="0"/>
      <w:sz w:val="22"/>
    </w:rPr>
  </w:style>
  <w:style w:type="paragraph" w:styleId="11">
    <w:name w:val="Plain Text"/>
    <w:basedOn w:val="1"/>
    <w:link w:val="63"/>
    <w:qFormat/>
    <w:uiPriority w:val="0"/>
    <w:pPr>
      <w:adjustRightInd w:val="0"/>
      <w:spacing w:line="312" w:lineRule="atLeast"/>
      <w:textAlignment w:val="baseline"/>
    </w:pPr>
    <w:rPr>
      <w:rFonts w:ascii="宋体" w:hAnsi="Courier New" w:cs="Times New Roman"/>
      <w:kern w:val="0"/>
      <w:szCs w:val="20"/>
    </w:rPr>
  </w:style>
  <w:style w:type="paragraph" w:styleId="12">
    <w:name w:val="Body Text Indent 2"/>
    <w:basedOn w:val="1"/>
    <w:link w:val="70"/>
    <w:qFormat/>
    <w:uiPriority w:val="0"/>
    <w:pPr>
      <w:spacing w:line="360" w:lineRule="auto"/>
      <w:ind w:firstLine="425"/>
    </w:pPr>
    <w:rPr>
      <w:rFonts w:ascii="仿宋_GB2312" w:hAnsi="Times New Roman" w:eastAsia="仿宋_GB2312" w:cs="Times New Roman"/>
      <w:sz w:val="28"/>
      <w:szCs w:val="20"/>
    </w:rPr>
  </w:style>
  <w:style w:type="paragraph" w:styleId="13">
    <w:name w:val="Balloon Text"/>
    <w:basedOn w:val="1"/>
    <w:link w:val="37"/>
    <w:qFormat/>
    <w:uiPriority w:val="99"/>
    <w:rPr>
      <w:sz w:val="18"/>
      <w:szCs w:val="18"/>
    </w:rPr>
  </w:style>
  <w:style w:type="paragraph" w:styleId="14">
    <w:name w:val="footer"/>
    <w:basedOn w:val="1"/>
    <w:link w:val="33"/>
    <w:qFormat/>
    <w:uiPriority w:val="99"/>
    <w:pPr>
      <w:tabs>
        <w:tab w:val="center" w:pos="4153"/>
        <w:tab w:val="right" w:pos="8306"/>
      </w:tabs>
      <w:snapToGrid w:val="0"/>
      <w:jc w:val="left"/>
    </w:pPr>
    <w:rPr>
      <w:sz w:val="18"/>
      <w:szCs w:val="18"/>
    </w:rPr>
  </w:style>
  <w:style w:type="paragraph" w:styleId="15">
    <w:name w:val="header"/>
    <w:basedOn w:val="1"/>
    <w:link w:val="32"/>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pPr>
      <w:widowControl/>
      <w:spacing w:after="100" w:line="276" w:lineRule="auto"/>
      <w:jc w:val="left"/>
    </w:pPr>
    <w:rPr>
      <w:kern w:val="0"/>
      <w:sz w:val="22"/>
    </w:rPr>
  </w:style>
  <w:style w:type="paragraph" w:styleId="17">
    <w:name w:val="footnote text"/>
    <w:basedOn w:val="1"/>
    <w:link w:val="71"/>
    <w:qFormat/>
    <w:uiPriority w:val="0"/>
    <w:pPr>
      <w:snapToGrid w:val="0"/>
      <w:jc w:val="left"/>
    </w:pPr>
    <w:rPr>
      <w:rFonts w:ascii="Times New Roman" w:hAnsi="Times New Roman" w:cs="Times New Roman"/>
      <w:sz w:val="18"/>
      <w:szCs w:val="20"/>
    </w:rPr>
  </w:style>
  <w:style w:type="paragraph" w:styleId="18">
    <w:name w:val="Body Text Indent 3"/>
    <w:basedOn w:val="1"/>
    <w:link w:val="69"/>
    <w:qFormat/>
    <w:uiPriority w:val="0"/>
    <w:pPr>
      <w:autoSpaceDE w:val="0"/>
      <w:autoSpaceDN w:val="0"/>
      <w:adjustRightInd w:val="0"/>
      <w:spacing w:line="360" w:lineRule="auto"/>
      <w:ind w:left="420" w:firstLine="435"/>
    </w:pPr>
    <w:rPr>
      <w:rFonts w:ascii="Times New Roman" w:hAnsi="Times New Roman" w:cs="Times New Roman"/>
      <w:color w:val="0000FF"/>
      <w:szCs w:val="20"/>
    </w:rPr>
  </w:style>
  <w:style w:type="paragraph" w:styleId="19">
    <w:name w:val="toc 2"/>
    <w:basedOn w:val="1"/>
    <w:next w:val="1"/>
    <w:qFormat/>
    <w:uiPriority w:val="39"/>
    <w:pPr>
      <w:widowControl/>
      <w:spacing w:after="100" w:line="276" w:lineRule="auto"/>
      <w:ind w:left="220"/>
      <w:jc w:val="left"/>
    </w:pPr>
    <w:rPr>
      <w:kern w:val="0"/>
      <w:sz w:val="22"/>
    </w:rPr>
  </w:style>
  <w:style w:type="paragraph" w:styleId="20">
    <w:name w:val="HTML Preformatted"/>
    <w:basedOn w:val="1"/>
    <w:link w:val="43"/>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21">
    <w:name w:val="Normal (Web)"/>
    <w:basedOn w:val="1"/>
    <w:qFormat/>
    <w:uiPriority w:val="0"/>
    <w:pPr>
      <w:widowControl/>
      <w:spacing w:before="100" w:beforeAutospacing="1" w:after="100" w:afterAutospacing="1"/>
      <w:jc w:val="left"/>
    </w:pPr>
    <w:rPr>
      <w:rFonts w:ascii="宋体" w:hAnsi="宋体"/>
      <w:kern w:val="0"/>
      <w:sz w:val="24"/>
      <w:szCs w:val="24"/>
    </w:rPr>
  </w:style>
  <w:style w:type="paragraph" w:styleId="22">
    <w:name w:val="Title"/>
    <w:basedOn w:val="1"/>
    <w:next w:val="1"/>
    <w:link w:val="54"/>
    <w:qFormat/>
    <w:uiPriority w:val="0"/>
    <w:pPr>
      <w:spacing w:before="240" w:after="60"/>
      <w:jc w:val="center"/>
      <w:outlineLvl w:val="0"/>
    </w:pPr>
    <w:rPr>
      <w:rFonts w:ascii="Cambria" w:hAnsi="Cambria"/>
      <w:b/>
      <w:sz w:val="32"/>
      <w:szCs w:val="20"/>
    </w:rPr>
  </w:style>
  <w:style w:type="paragraph" w:styleId="23">
    <w:name w:val="annotation subject"/>
    <w:basedOn w:val="8"/>
    <w:next w:val="8"/>
    <w:link w:val="42"/>
    <w:qFormat/>
    <w:uiPriority w:val="0"/>
    <w:pPr>
      <w:widowControl w:val="0"/>
    </w:pPr>
    <w:rPr>
      <w:rFonts w:ascii="Calibri" w:hAnsi="Calibri"/>
      <w:b/>
      <w:bCs/>
      <w:kern w:val="2"/>
      <w:sz w:val="21"/>
      <w:szCs w:val="22"/>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page number"/>
    <w:basedOn w:val="26"/>
    <w:qFormat/>
    <w:uiPriority w:val="0"/>
  </w:style>
  <w:style w:type="character" w:styleId="29">
    <w:name w:val="Hyperlink"/>
    <w:basedOn w:val="26"/>
    <w:unhideWhenUsed/>
    <w:qFormat/>
    <w:uiPriority w:val="99"/>
    <w:rPr>
      <w:color w:val="0000FF" w:themeColor="hyperlink"/>
      <w:u w:val="single"/>
      <w14:textFill>
        <w14:solidFill>
          <w14:schemeClr w14:val="hlink"/>
        </w14:solidFill>
      </w14:textFill>
    </w:rPr>
  </w:style>
  <w:style w:type="character" w:styleId="30">
    <w:name w:val="annotation reference"/>
    <w:qFormat/>
    <w:uiPriority w:val="0"/>
    <w:rPr>
      <w:sz w:val="21"/>
      <w:szCs w:val="21"/>
    </w:rPr>
  </w:style>
  <w:style w:type="character" w:styleId="31">
    <w:name w:val="footnote reference"/>
    <w:qFormat/>
    <w:uiPriority w:val="0"/>
    <w:rPr>
      <w:vertAlign w:val="superscript"/>
    </w:rPr>
  </w:style>
  <w:style w:type="character" w:customStyle="1" w:styleId="32">
    <w:name w:val="页眉 Char"/>
    <w:basedOn w:val="26"/>
    <w:link w:val="15"/>
    <w:qFormat/>
    <w:uiPriority w:val="99"/>
    <w:rPr>
      <w:sz w:val="18"/>
      <w:szCs w:val="18"/>
    </w:rPr>
  </w:style>
  <w:style w:type="character" w:customStyle="1" w:styleId="33">
    <w:name w:val="页脚 Char"/>
    <w:basedOn w:val="26"/>
    <w:link w:val="14"/>
    <w:qFormat/>
    <w:uiPriority w:val="99"/>
    <w:rPr>
      <w:sz w:val="18"/>
      <w:szCs w:val="18"/>
    </w:rPr>
  </w:style>
  <w:style w:type="paragraph" w:customStyle="1" w:styleId="3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
    <w:name w:val="a"/>
    <w:basedOn w:val="1"/>
    <w:qFormat/>
    <w:uiPriority w:val="99"/>
    <w:pPr>
      <w:widowControl/>
      <w:spacing w:before="100" w:beforeAutospacing="1" w:after="100" w:afterAutospacing="1"/>
      <w:jc w:val="left"/>
    </w:pPr>
    <w:rPr>
      <w:rFonts w:ascii="宋体" w:hAnsi="宋体"/>
      <w:kern w:val="0"/>
      <w:sz w:val="24"/>
      <w:szCs w:val="24"/>
    </w:rPr>
  </w:style>
  <w:style w:type="character" w:customStyle="1" w:styleId="36">
    <w:name w:val="批注文字 Char"/>
    <w:basedOn w:val="26"/>
    <w:link w:val="8"/>
    <w:qFormat/>
    <w:uiPriority w:val="99"/>
    <w:rPr>
      <w:rFonts w:ascii="宋体" w:hAnsi="宋体" w:eastAsia="宋体" w:cs="宋体"/>
      <w:kern w:val="0"/>
      <w:sz w:val="24"/>
      <w:szCs w:val="24"/>
    </w:rPr>
  </w:style>
  <w:style w:type="character" w:customStyle="1" w:styleId="37">
    <w:name w:val="批注框文本 Char"/>
    <w:basedOn w:val="26"/>
    <w:link w:val="13"/>
    <w:qFormat/>
    <w:uiPriority w:val="99"/>
    <w:rPr>
      <w:sz w:val="18"/>
      <w:szCs w:val="18"/>
    </w:rPr>
  </w:style>
  <w:style w:type="paragraph" w:styleId="38">
    <w:name w:val="List Paragraph"/>
    <w:basedOn w:val="1"/>
    <w:qFormat/>
    <w:uiPriority w:val="0"/>
    <w:pPr>
      <w:ind w:firstLine="420" w:firstLineChars="200"/>
    </w:pPr>
  </w:style>
  <w:style w:type="character" w:customStyle="1" w:styleId="39">
    <w:name w:val="标题 1 Char"/>
    <w:basedOn w:val="26"/>
    <w:link w:val="2"/>
    <w:qFormat/>
    <w:uiPriority w:val="0"/>
    <w:rPr>
      <w:b/>
      <w:bCs/>
      <w:kern w:val="44"/>
      <w:sz w:val="44"/>
      <w:szCs w:val="44"/>
    </w:rPr>
  </w:style>
  <w:style w:type="paragraph" w:customStyle="1" w:styleId="40">
    <w:name w:val="TOC 标题1"/>
    <w:basedOn w:val="2"/>
    <w:next w:val="1"/>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41">
    <w:name w:val="修订1"/>
    <w:qFormat/>
    <w:uiPriority w:val="99"/>
    <w:rPr>
      <w:rFonts w:ascii="Calibri" w:hAnsi="Calibri" w:eastAsia="宋体" w:cs="宋体"/>
      <w:kern w:val="2"/>
      <w:sz w:val="21"/>
      <w:szCs w:val="22"/>
      <w:lang w:val="en-US" w:eastAsia="zh-CN" w:bidi="ar-SA"/>
    </w:rPr>
  </w:style>
  <w:style w:type="character" w:customStyle="1" w:styleId="42">
    <w:name w:val="批注主题 Char"/>
    <w:basedOn w:val="36"/>
    <w:link w:val="23"/>
    <w:qFormat/>
    <w:uiPriority w:val="99"/>
    <w:rPr>
      <w:rFonts w:ascii="宋体" w:hAnsi="宋体" w:eastAsia="宋体" w:cs="宋体"/>
      <w:b/>
      <w:bCs/>
      <w:kern w:val="0"/>
      <w:sz w:val="24"/>
      <w:szCs w:val="24"/>
    </w:rPr>
  </w:style>
  <w:style w:type="character" w:customStyle="1" w:styleId="43">
    <w:name w:val="HTML 预设格式 Char"/>
    <w:basedOn w:val="26"/>
    <w:link w:val="20"/>
    <w:qFormat/>
    <w:uiPriority w:val="99"/>
    <w:rPr>
      <w:rFonts w:ascii="宋体" w:hAnsi="宋体" w:eastAsia="宋体" w:cs="宋体"/>
      <w:kern w:val="0"/>
      <w:sz w:val="24"/>
      <w:szCs w:val="24"/>
    </w:rPr>
  </w:style>
  <w:style w:type="paragraph" w:customStyle="1" w:styleId="44">
    <w:name w:val="p0"/>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45">
    <w:name w:val="修订2"/>
    <w:hidden/>
    <w:semiHidden/>
    <w:qFormat/>
    <w:uiPriority w:val="99"/>
    <w:rPr>
      <w:rFonts w:ascii="Calibri" w:hAnsi="Calibri" w:eastAsia="宋体" w:cs="宋体"/>
      <w:kern w:val="2"/>
      <w:sz w:val="21"/>
      <w:szCs w:val="22"/>
      <w:lang w:val="en-US" w:eastAsia="zh-CN" w:bidi="ar-SA"/>
    </w:rPr>
  </w:style>
  <w:style w:type="character" w:customStyle="1" w:styleId="46">
    <w:name w:val="批注文字 Char1"/>
    <w:basedOn w:val="26"/>
    <w:qFormat/>
    <w:uiPriority w:val="0"/>
    <w:rPr>
      <w:kern w:val="2"/>
      <w:sz w:val="21"/>
    </w:rPr>
  </w:style>
  <w:style w:type="paragraph" w:customStyle="1" w:styleId="47">
    <w:name w:val="修订3"/>
    <w:hidden/>
    <w:semiHidden/>
    <w:qFormat/>
    <w:uiPriority w:val="99"/>
    <w:rPr>
      <w:rFonts w:ascii="Calibri" w:hAnsi="Calibri" w:eastAsia="宋体" w:cs="宋体"/>
      <w:kern w:val="2"/>
      <w:sz w:val="21"/>
      <w:szCs w:val="22"/>
      <w:lang w:val="en-US" w:eastAsia="zh-CN" w:bidi="ar-SA"/>
    </w:rPr>
  </w:style>
  <w:style w:type="paragraph" w:customStyle="1" w:styleId="48">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9">
    <w:name w:val="标题 2 Char"/>
    <w:basedOn w:val="26"/>
    <w:link w:val="3"/>
    <w:qFormat/>
    <w:uiPriority w:val="0"/>
    <w:rPr>
      <w:rFonts w:ascii="Arial" w:hAnsi="Arial" w:eastAsia="黑体" w:cs="Times New Roman"/>
      <w:b/>
      <w:kern w:val="2"/>
      <w:sz w:val="32"/>
    </w:rPr>
  </w:style>
  <w:style w:type="character" w:customStyle="1" w:styleId="50">
    <w:name w:val="标题 3 Char"/>
    <w:basedOn w:val="26"/>
    <w:link w:val="4"/>
    <w:qFormat/>
    <w:uiPriority w:val="0"/>
    <w:rPr>
      <w:rFonts w:ascii="Times New Roman" w:hAnsi="Times New Roman" w:cs="Times New Roman"/>
      <w:b/>
      <w:kern w:val="2"/>
      <w:sz w:val="32"/>
    </w:rPr>
  </w:style>
  <w:style w:type="character" w:customStyle="1" w:styleId="51">
    <w:name w:val="标题 4 Char"/>
    <w:basedOn w:val="26"/>
    <w:link w:val="5"/>
    <w:semiHidden/>
    <w:qFormat/>
    <w:uiPriority w:val="9"/>
    <w:rPr>
      <w:rFonts w:asciiTheme="majorHAnsi" w:hAnsiTheme="majorHAnsi" w:eastAsiaTheme="majorEastAsia" w:cstheme="majorBidi"/>
      <w:b/>
      <w:bCs/>
      <w:kern w:val="2"/>
      <w:sz w:val="28"/>
      <w:szCs w:val="28"/>
    </w:rPr>
  </w:style>
  <w:style w:type="character" w:customStyle="1" w:styleId="52">
    <w:name w:val="unnamed11"/>
    <w:qFormat/>
    <w:uiPriority w:val="0"/>
    <w:rPr>
      <w:rFonts w:hint="eastAsia" w:ascii="宋体" w:hAnsi="宋体" w:eastAsia="宋体"/>
      <w:sz w:val="18"/>
    </w:rPr>
  </w:style>
  <w:style w:type="character" w:customStyle="1" w:styleId="53">
    <w:name w:val="read"/>
    <w:basedOn w:val="26"/>
    <w:qFormat/>
    <w:uiPriority w:val="0"/>
  </w:style>
  <w:style w:type="character" w:customStyle="1" w:styleId="54">
    <w:name w:val="标题 Char"/>
    <w:link w:val="22"/>
    <w:qFormat/>
    <w:uiPriority w:val="0"/>
    <w:rPr>
      <w:rFonts w:ascii="Cambria" w:hAnsi="Cambria"/>
      <w:b/>
      <w:kern w:val="2"/>
      <w:sz w:val="32"/>
    </w:rPr>
  </w:style>
  <w:style w:type="character" w:customStyle="1" w:styleId="55">
    <w:name w:val="正文文本 Char"/>
    <w:link w:val="9"/>
    <w:qFormat/>
    <w:uiPriority w:val="0"/>
    <w:rPr>
      <w:rFonts w:ascii="宋体"/>
    </w:rPr>
  </w:style>
  <w:style w:type="paragraph" w:customStyle="1" w:styleId="56">
    <w:name w:val="Char"/>
    <w:basedOn w:val="1"/>
    <w:qFormat/>
    <w:uiPriority w:val="0"/>
    <w:rPr>
      <w:rFonts w:ascii="Times New Roman" w:hAnsi="Times New Roman" w:cs="Times New Roman"/>
      <w:szCs w:val="20"/>
    </w:rPr>
  </w:style>
  <w:style w:type="paragraph" w:customStyle="1" w:styleId="57">
    <w:name w:val="Char Char Char Char"/>
    <w:basedOn w:val="1"/>
    <w:qFormat/>
    <w:uiPriority w:val="0"/>
    <w:pPr>
      <w:tabs>
        <w:tab w:val="left" w:pos="360"/>
      </w:tabs>
    </w:pPr>
    <w:rPr>
      <w:rFonts w:ascii="Times New Roman" w:hAnsi="Times New Roman" w:cs="Times New Roman"/>
      <w:szCs w:val="20"/>
    </w:rPr>
  </w:style>
  <w:style w:type="paragraph" w:customStyle="1" w:styleId="58">
    <w:name w:val="Char Char1"/>
    <w:basedOn w:val="1"/>
    <w:qFormat/>
    <w:uiPriority w:val="0"/>
    <w:rPr>
      <w:rFonts w:ascii="Times New Roman" w:hAnsi="Times New Roman" w:cs="Times New Roman"/>
      <w:szCs w:val="20"/>
    </w:rPr>
  </w:style>
  <w:style w:type="paragraph" w:customStyle="1" w:styleId="59">
    <w:name w:val="unnamed1"/>
    <w:basedOn w:val="1"/>
    <w:qFormat/>
    <w:uiPriority w:val="0"/>
    <w:pPr>
      <w:spacing w:before="60" w:after="60"/>
      <w:ind w:left="15" w:right="15"/>
    </w:pPr>
    <w:rPr>
      <w:rFonts w:hint="eastAsia" w:ascii="宋体" w:hAnsi="宋体" w:cs="Times New Roman"/>
      <w:color w:val="000000"/>
      <w:sz w:val="18"/>
      <w:szCs w:val="18"/>
    </w:rPr>
  </w:style>
  <w:style w:type="paragraph" w:customStyle="1" w:styleId="60">
    <w:name w:val="正文正文"/>
    <w:basedOn w:val="1"/>
    <w:qFormat/>
    <w:uiPriority w:val="0"/>
    <w:pPr>
      <w:spacing w:afterLines="25" w:line="360" w:lineRule="auto"/>
      <w:ind w:firstLine="200" w:firstLineChars="200"/>
    </w:pPr>
    <w:rPr>
      <w:rFonts w:ascii="Times New Roman" w:hAnsi="Times New Roman" w:cs="Times New Roman"/>
      <w:sz w:val="24"/>
      <w:szCs w:val="20"/>
    </w:rPr>
  </w:style>
  <w:style w:type="paragraph" w:customStyle="1" w:styleId="61">
    <w:name w:val="Char2"/>
    <w:basedOn w:val="1"/>
    <w:qFormat/>
    <w:uiPriority w:val="0"/>
    <w:rPr>
      <w:rFonts w:ascii="Times New Roman" w:hAnsi="Times New Roman" w:cs="Times New Roman"/>
      <w:szCs w:val="20"/>
    </w:rPr>
  </w:style>
  <w:style w:type="character" w:customStyle="1" w:styleId="62">
    <w:name w:val="文档结构图 Char"/>
    <w:basedOn w:val="26"/>
    <w:link w:val="7"/>
    <w:qFormat/>
    <w:uiPriority w:val="0"/>
    <w:rPr>
      <w:rFonts w:ascii="Times New Roman" w:hAnsi="Times New Roman" w:cs="Times New Roman"/>
      <w:kern w:val="2"/>
      <w:sz w:val="21"/>
      <w:shd w:val="clear" w:color="auto" w:fill="000080"/>
    </w:rPr>
  </w:style>
  <w:style w:type="character" w:customStyle="1" w:styleId="63">
    <w:name w:val="纯文本 Char"/>
    <w:basedOn w:val="26"/>
    <w:link w:val="11"/>
    <w:qFormat/>
    <w:uiPriority w:val="0"/>
    <w:rPr>
      <w:rFonts w:ascii="宋体" w:hAnsi="Courier New" w:cs="Times New Roman"/>
      <w:sz w:val="21"/>
    </w:rPr>
  </w:style>
  <w:style w:type="paragraph" w:customStyle="1" w:styleId="64">
    <w:name w:val="Char Char"/>
    <w:basedOn w:val="1"/>
    <w:qFormat/>
    <w:uiPriority w:val="0"/>
    <w:rPr>
      <w:rFonts w:ascii="Times New Roman" w:hAnsi="Times New Roman" w:cs="Times New Roman"/>
      <w:szCs w:val="20"/>
    </w:rPr>
  </w:style>
  <w:style w:type="character" w:customStyle="1" w:styleId="65">
    <w:name w:val="正文文本 Char1"/>
    <w:basedOn w:val="26"/>
    <w:semiHidden/>
    <w:qFormat/>
    <w:uiPriority w:val="99"/>
    <w:rPr>
      <w:kern w:val="2"/>
      <w:sz w:val="21"/>
      <w:szCs w:val="22"/>
    </w:rPr>
  </w:style>
  <w:style w:type="character" w:customStyle="1" w:styleId="66">
    <w:name w:val="标题 Char1"/>
    <w:basedOn w:val="26"/>
    <w:qFormat/>
    <w:uiPriority w:val="10"/>
    <w:rPr>
      <w:rFonts w:asciiTheme="majorHAnsi" w:hAnsiTheme="majorHAnsi" w:cstheme="majorBidi"/>
      <w:b/>
      <w:bCs/>
      <w:kern w:val="2"/>
      <w:sz w:val="32"/>
      <w:szCs w:val="32"/>
    </w:rPr>
  </w:style>
  <w:style w:type="paragraph" w:customStyle="1" w:styleId="67">
    <w:name w:val="Char Char Char"/>
    <w:basedOn w:val="1"/>
    <w:qFormat/>
    <w:uiPriority w:val="0"/>
    <w:rPr>
      <w:rFonts w:ascii="Times New Roman" w:hAnsi="Times New Roman" w:cs="Times New Roman"/>
      <w:szCs w:val="20"/>
    </w:rPr>
  </w:style>
  <w:style w:type="paragraph" w:customStyle="1" w:styleId="68">
    <w:name w:val="msonormal1"/>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69">
    <w:name w:val="正文文本缩进 3 Char"/>
    <w:basedOn w:val="26"/>
    <w:link w:val="18"/>
    <w:qFormat/>
    <w:uiPriority w:val="0"/>
    <w:rPr>
      <w:rFonts w:ascii="Times New Roman" w:hAnsi="Times New Roman" w:cs="Times New Roman"/>
      <w:color w:val="0000FF"/>
      <w:kern w:val="2"/>
      <w:sz w:val="21"/>
    </w:rPr>
  </w:style>
  <w:style w:type="character" w:customStyle="1" w:styleId="70">
    <w:name w:val="正文文本缩进 2 Char"/>
    <w:basedOn w:val="26"/>
    <w:link w:val="12"/>
    <w:qFormat/>
    <w:uiPriority w:val="0"/>
    <w:rPr>
      <w:rFonts w:ascii="仿宋_GB2312" w:hAnsi="Times New Roman" w:eastAsia="仿宋_GB2312" w:cs="Times New Roman"/>
      <w:kern w:val="2"/>
      <w:sz w:val="28"/>
    </w:rPr>
  </w:style>
  <w:style w:type="character" w:customStyle="1" w:styleId="71">
    <w:name w:val="脚注文本 Char"/>
    <w:basedOn w:val="26"/>
    <w:link w:val="17"/>
    <w:qFormat/>
    <w:uiPriority w:val="0"/>
    <w:rPr>
      <w:rFonts w:ascii="Times New Roman" w:hAnsi="Times New Roman" w:cs="Times New Roman"/>
      <w:kern w:val="2"/>
      <w:sz w:val="18"/>
    </w:rPr>
  </w:style>
  <w:style w:type="paragraph" w:customStyle="1" w:styleId="72">
    <w:name w:val="List_bullet"/>
    <w:basedOn w:val="1"/>
    <w:qFormat/>
    <w:uiPriority w:val="0"/>
    <w:pPr>
      <w:widowControl/>
      <w:numPr>
        <w:ilvl w:val="0"/>
        <w:numId w:val="1"/>
      </w:numPr>
      <w:jc w:val="left"/>
    </w:pPr>
    <w:rPr>
      <w:rFonts w:ascii="Times New Roman" w:hAnsi="Times New Roman" w:cs="Times New Roman"/>
      <w:kern w:val="0"/>
      <w:sz w:val="24"/>
      <w:szCs w:val="20"/>
    </w:rPr>
  </w:style>
  <w:style w:type="paragraph" w:customStyle="1" w:styleId="73">
    <w:name w:val="InfoBlue"/>
    <w:basedOn w:val="1"/>
    <w:next w:val="9"/>
    <w:qFormat/>
    <w:uiPriority w:val="0"/>
    <w:pPr>
      <w:tabs>
        <w:tab w:val="left" w:pos="420"/>
      </w:tabs>
      <w:spacing w:after="120" w:line="240" w:lineRule="atLeast"/>
      <w:ind w:left="420" w:hanging="420"/>
      <w:jc w:val="left"/>
    </w:pPr>
    <w:rPr>
      <w:rFonts w:ascii="宋体" w:hAnsi="宋体" w:cs="Times New Roman"/>
      <w:szCs w:val="20"/>
    </w:rPr>
  </w:style>
  <w:style w:type="paragraph" w:customStyle="1" w:styleId="74">
    <w:name w:val="正文所"/>
    <w:basedOn w:val="1"/>
    <w:qFormat/>
    <w:uiPriority w:val="0"/>
    <w:pPr>
      <w:spacing w:line="360" w:lineRule="auto"/>
      <w:ind w:firstLine="420" w:firstLineChars="200"/>
    </w:pPr>
    <w:rPr>
      <w:rFonts w:ascii="宋体" w:hAnsi="Times New Roman" w:cs="Times New Roman"/>
      <w:szCs w:val="20"/>
    </w:rPr>
  </w:style>
  <w:style w:type="paragraph" w:customStyle="1" w:styleId="75">
    <w:name w:val="Char Char6"/>
    <w:basedOn w:val="1"/>
    <w:qFormat/>
    <w:uiPriority w:val="0"/>
    <w:rPr>
      <w:rFonts w:ascii="Times New Roman" w:hAnsi="Times New Roman" w:cs="Times New Roman"/>
      <w:szCs w:val="20"/>
    </w:rPr>
  </w:style>
  <w:style w:type="paragraph" w:customStyle="1" w:styleId="76">
    <w:name w:val="Char Char Char Char1"/>
    <w:basedOn w:val="1"/>
    <w:qFormat/>
    <w:uiPriority w:val="0"/>
    <w:pPr>
      <w:tabs>
        <w:tab w:val="left" w:pos="360"/>
      </w:tabs>
    </w:pPr>
    <w:rPr>
      <w:rFonts w:ascii="Times New Roman" w:hAnsi="Times New Roman" w:cs="Times New Roman"/>
      <w:szCs w:val="20"/>
    </w:rPr>
  </w:style>
  <w:style w:type="paragraph" w:customStyle="1" w:styleId="77">
    <w:name w:val="Char Char11"/>
    <w:basedOn w:val="1"/>
    <w:qFormat/>
    <w:uiPriority w:val="0"/>
    <w:rPr>
      <w:rFonts w:ascii="Times New Roman" w:hAnsi="Times New Roman" w:cs="Times New Roman"/>
      <w:szCs w:val="20"/>
    </w:rPr>
  </w:style>
  <w:style w:type="paragraph" w:customStyle="1" w:styleId="78">
    <w:name w:val="Char1"/>
    <w:basedOn w:val="1"/>
    <w:qFormat/>
    <w:uiPriority w:val="0"/>
    <w:rPr>
      <w:rFonts w:ascii="Times New Roman" w:hAnsi="Times New Roman" w:cs="Times New Roman"/>
      <w:szCs w:val="20"/>
    </w:rPr>
  </w:style>
  <w:style w:type="paragraph" w:customStyle="1" w:styleId="79">
    <w:name w:val="Char Char5"/>
    <w:basedOn w:val="1"/>
    <w:qFormat/>
    <w:uiPriority w:val="0"/>
    <w:rPr>
      <w:rFonts w:ascii="Times New Roman" w:hAnsi="Times New Roman" w:cs="Times New Roman"/>
      <w:szCs w:val="20"/>
    </w:rPr>
  </w:style>
  <w:style w:type="paragraph" w:customStyle="1" w:styleId="80">
    <w:name w:val="Char Char Char1"/>
    <w:basedOn w:val="1"/>
    <w:qFormat/>
    <w:uiPriority w:val="0"/>
    <w:rPr>
      <w:rFonts w:ascii="Times New Roman" w:hAnsi="Times New Roman" w:cs="Times New Roman"/>
      <w:szCs w:val="20"/>
    </w:rPr>
  </w:style>
  <w:style w:type="paragraph" w:customStyle="1" w:styleId="81">
    <w:name w:val="Char Char4"/>
    <w:basedOn w:val="1"/>
    <w:qFormat/>
    <w:uiPriority w:val="0"/>
    <w:rPr>
      <w:rFonts w:ascii="Times New Roman" w:hAnsi="Times New Roman" w:cs="Times New Roman"/>
      <w:szCs w:val="20"/>
    </w:rPr>
  </w:style>
  <w:style w:type="paragraph" w:customStyle="1" w:styleId="82">
    <w:name w:val="Char Char3"/>
    <w:basedOn w:val="1"/>
    <w:qFormat/>
    <w:uiPriority w:val="0"/>
    <w:rPr>
      <w:rFonts w:ascii="Times New Roman" w:hAnsi="Times New Roman" w:cs="Times New Roman"/>
      <w:szCs w:val="20"/>
    </w:rPr>
  </w:style>
  <w:style w:type="paragraph" w:customStyle="1" w:styleId="83">
    <w:name w:val="Char Char2"/>
    <w:basedOn w:val="1"/>
    <w:qFormat/>
    <w:uiPriority w:val="0"/>
    <w:rPr>
      <w:rFonts w:ascii="Times New Roman" w:hAnsi="Times New Roman" w:cs="Times New Roman"/>
      <w:szCs w:val="20"/>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修订4"/>
    <w:hidden/>
    <w:semiHidden/>
    <w:qFormat/>
    <w:uiPriority w:val="99"/>
    <w:rPr>
      <w:rFonts w:ascii="Calibri" w:hAnsi="Calibri" w:eastAsia="宋体" w:cs="宋体"/>
      <w:kern w:val="2"/>
      <w:sz w:val="21"/>
      <w:szCs w:val="22"/>
      <w:lang w:val="en-US" w:eastAsia="zh-CN" w:bidi="ar-SA"/>
    </w:rPr>
  </w:style>
  <w:style w:type="paragraph" w:customStyle="1" w:styleId="86">
    <w:name w:val="修订5"/>
    <w:hidden/>
    <w:unhideWhenUsed/>
    <w:qFormat/>
    <w:uiPriority w:val="99"/>
    <w:rPr>
      <w:rFonts w:ascii="Calibri" w:hAnsi="Calibri" w:eastAsia="宋体" w:cs="宋体"/>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wmf"/><Relationship Id="rId7" Type="http://schemas.openxmlformats.org/officeDocument/2006/relationships/oleObject" Target="embeddings/oleObject1.bin"/><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customXml" Target="../customXml/item18.xml"/><Relationship Id="rId26" Type="http://schemas.openxmlformats.org/officeDocument/2006/relationships/customXml" Target="../customXml/item17.xml"/><Relationship Id="rId25" Type="http://schemas.openxmlformats.org/officeDocument/2006/relationships/customXml" Target="../customXml/item16.xml"/><Relationship Id="rId24" Type="http://schemas.openxmlformats.org/officeDocument/2006/relationships/customXml" Target="../customXml/item15.xml"/><Relationship Id="rId23" Type="http://schemas.openxmlformats.org/officeDocument/2006/relationships/customXml" Target="../customXml/item14.xml"/><Relationship Id="rId22" Type="http://schemas.openxmlformats.org/officeDocument/2006/relationships/customXml" Target="../customXml/item13.xml"/><Relationship Id="rId21" Type="http://schemas.openxmlformats.org/officeDocument/2006/relationships/customXml" Target="../customXml/item12.xml"/><Relationship Id="rId20" Type="http://schemas.openxmlformats.org/officeDocument/2006/relationships/customXml" Target="../customXml/item11.xml"/><Relationship Id="rId2" Type="http://schemas.openxmlformats.org/officeDocument/2006/relationships/settings" Target="settings.xml"/><Relationship Id="rId19" Type="http://schemas.openxmlformats.org/officeDocument/2006/relationships/customXml" Target="../customXml/item10.xml"/><Relationship Id="rId18" Type="http://schemas.openxmlformats.org/officeDocument/2006/relationships/customXml" Target="../customXml/item9.xml"/><Relationship Id="rId17" Type="http://schemas.openxmlformats.org/officeDocument/2006/relationships/customXml" Target="../customXml/item8.xml"/><Relationship Id="rId16" Type="http://schemas.openxmlformats.org/officeDocument/2006/relationships/customXml" Target="../customXml/item7.xml"/><Relationship Id="rId15" Type="http://schemas.openxmlformats.org/officeDocument/2006/relationships/customXml" Target="../customXml/item6.xml"/><Relationship Id="rId14" Type="http://schemas.openxmlformats.org/officeDocument/2006/relationships/customXml" Target="../customXml/item5.xml"/><Relationship Id="rId13" Type="http://schemas.openxmlformats.org/officeDocument/2006/relationships/customXml" Target="../customXml/item4.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mcd:customData xmlns="http://www.wps.cn/android/officeDocument/2013/mofficeCustomData" xmlns:mcd="http://www.wps.cn/android/officeDocument/2013/mofficeCustomData" version="2">
  <mcd:comments/>
</mcd:customData>
</file>

<file path=customXml/item10.xml><?xml version="1.0" encoding="utf-8"?>
<b:Sources xmlns:b="http://schemas.openxmlformats.org/officeDocument/2006/bibliography" xmlns="http://schemas.openxmlformats.org/officeDocument/2006/bibliography" SelectedStyle="\APASixthEditionOfficeOnline.xsl" StyleName="APA" Version="6"/>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18.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D3D55C-3DD8-4C31-8069-E5508DD844FB}">
  <ds:schemaRefs/>
</ds:datastoreItem>
</file>

<file path=customXml/itemProps3.xml><?xml version="1.0" encoding="utf-8"?>
<ds:datastoreItem xmlns:ds="http://schemas.openxmlformats.org/officeDocument/2006/customXml" ds:itemID="{1A3BDF38-4832-4575-A8AB-7A1679738229}">
  <ds:schemaRefs/>
</ds:datastoreItem>
</file>

<file path=customXml/itemProps4.xml><?xml version="1.0" encoding="utf-8"?>
<ds:datastoreItem xmlns:ds="http://schemas.openxmlformats.org/officeDocument/2006/customXml" ds:itemID="{0A7AA9EF-3B8C-4BAA-9155-A6E3E5337D3C}">
  <ds:schemaRefs/>
</ds:datastoreItem>
</file>

<file path=customXml/itemProps5.xml><?xml version="1.0" encoding="utf-8"?>
<ds:datastoreItem xmlns:ds="http://schemas.openxmlformats.org/officeDocument/2006/customXml" ds:itemID="{9114D43D-ED98-4C7B-A3AE-26D78B80CA82}">
  <ds:schemaRefs/>
</ds:datastoreItem>
</file>

<file path=customXml/itemProps6.xml><?xml version="1.0" encoding="utf-8"?>
<ds:datastoreItem xmlns:ds="http://schemas.openxmlformats.org/officeDocument/2006/customXml" ds:itemID="{2108FF18-8EC8-4170-A536-1AA8E39CC797}">
  <ds:schemaRefs/>
</ds:datastoreItem>
</file>

<file path=customXml/itemProps7.xml><?xml version="1.0" encoding="utf-8"?>
<ds:datastoreItem xmlns:ds="http://schemas.openxmlformats.org/officeDocument/2006/customXml" ds:itemID="{AC86F3EB-DB57-4B60-8A7E-BBB67A22EE0B}">
  <ds:schemaRefs/>
</ds:datastoreItem>
</file>

<file path=customXml/itemProps8.xml><?xml version="1.0" encoding="utf-8"?>
<ds:datastoreItem xmlns:ds="http://schemas.openxmlformats.org/officeDocument/2006/customXml" ds:itemID="{509BA638-9D3A-4AA3-A169-FF78BC0E4BE9}">
  <ds:schemaRefs/>
</ds:datastoreItem>
</file>

<file path=customXml/itemProps9.xml><?xml version="1.0" encoding="utf-8"?>
<ds:datastoreItem xmlns:ds="http://schemas.openxmlformats.org/officeDocument/2006/customXml" ds:itemID="{CF487381-D648-48A1-B1E4-A4540B0D3650}">
  <ds:schemaRefs/>
</ds:datastoreItem>
</file>

<file path=customXml/itemProps10.xml><?xml version="1.0" encoding="utf-8"?>
<ds:datastoreItem xmlns:ds="http://schemas.openxmlformats.org/officeDocument/2006/customXml" ds:itemID="{08497625-4018-4222-8AE9-DB8ACB729B57}">
  <ds:schemaRefs/>
</ds:datastoreItem>
</file>

<file path=customXml/itemProps11.xml><?xml version="1.0" encoding="utf-8"?>
<ds:datastoreItem xmlns:ds="http://schemas.openxmlformats.org/officeDocument/2006/customXml" ds:itemID="{BEEE0313-55EB-45FA-BBBD-C0232D367255}">
  <ds:schemaRefs/>
</ds:datastoreItem>
</file>

<file path=customXml/itemProps12.xml><?xml version="1.0" encoding="utf-8"?>
<ds:datastoreItem xmlns:ds="http://schemas.openxmlformats.org/officeDocument/2006/customXml" ds:itemID="{A06CD169-7F5C-4082-81B2-6ECAA9AF6149}">
  <ds:schemaRefs/>
</ds:datastoreItem>
</file>

<file path=customXml/itemProps13.xml><?xml version="1.0" encoding="utf-8"?>
<ds:datastoreItem xmlns:ds="http://schemas.openxmlformats.org/officeDocument/2006/customXml" ds:itemID="{1990A2D8-324F-45D5-B9CD-07245ED2860B}">
  <ds:schemaRefs/>
</ds:datastoreItem>
</file>

<file path=customXml/itemProps14.xml><?xml version="1.0" encoding="utf-8"?>
<ds:datastoreItem xmlns:ds="http://schemas.openxmlformats.org/officeDocument/2006/customXml" ds:itemID="{D902962D-C8CC-43BF-804A-CD60AE6D7475}">
  <ds:schemaRefs/>
</ds:datastoreItem>
</file>

<file path=customXml/itemProps15.xml><?xml version="1.0" encoding="utf-8"?>
<ds:datastoreItem xmlns:ds="http://schemas.openxmlformats.org/officeDocument/2006/customXml" ds:itemID="{79B37214-9E52-4241-8DD2-9E9CD9442006}">
  <ds:schemaRefs/>
</ds:datastoreItem>
</file>

<file path=customXml/itemProps16.xml><?xml version="1.0" encoding="utf-8"?>
<ds:datastoreItem xmlns:ds="http://schemas.openxmlformats.org/officeDocument/2006/customXml" ds:itemID="{3A3C3A8D-C5E4-45AF-8B48-C3BF528808AD}">
  <ds:schemaRefs/>
</ds:datastoreItem>
</file>

<file path=customXml/itemProps17.xml><?xml version="1.0" encoding="utf-8"?>
<ds:datastoreItem xmlns:ds="http://schemas.openxmlformats.org/officeDocument/2006/customXml" ds:itemID="{7E5C9D84-6DB6-48FB-8632-D5279FC233C8}">
  <ds:schemaRefs/>
</ds:datastoreItem>
</file>

<file path=customXml/itemProps18.xml><?xml version="1.0" encoding="utf-8"?>
<ds:datastoreItem xmlns:ds="http://schemas.openxmlformats.org/officeDocument/2006/customXml" ds:itemID="{EC45DDBE-A426-47CA-BC62-D025DE29F1B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4406</Words>
  <Characters>25118</Characters>
  <Lines>209</Lines>
  <Paragraphs>58</Paragraphs>
  <TotalTime>0</TotalTime>
  <ScaleCrop>false</ScaleCrop>
  <LinksUpToDate>false</LinksUpToDate>
  <CharactersWithSpaces>29466</CharactersWithSpaces>
  <Application>WPS Office_11.8.2.8959_F1E327BC-269C-435d-A152-05C5408002CA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2024-03-04T03:16:00Z</dcterms:created>
  <dc:creator>张淼雯</dc:creator>
  <cp:lastModifiedBy>cib</cp:lastModifiedBy>
  <cp:lastPrinted>2020-09-21T06:35:00Z</cp:lastPrinted>
  <dcterms:modified xsi:type="dcterms:W3CDTF">2025-03-24T06:07:54Z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900F04764CD64EDDA971068C54A5D50A</vt:lpwstr>
  </property>
</Properties>
</file>