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AF4949">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14:paraId="2C88D8C4">
      <w:pPr>
        <w:adjustRightInd w:val="0"/>
        <w:spacing w:line="360" w:lineRule="auto"/>
        <w:jc w:val="center"/>
        <w:rPr>
          <w:rStyle w:val="27"/>
          <w:rFonts w:ascii="宋体" w:hAnsi="宋体"/>
          <w:sz w:val="32"/>
          <w:szCs w:val="32"/>
        </w:rPr>
      </w:pPr>
    </w:p>
    <w:p w14:paraId="6DD52EE1">
      <w:pPr>
        <w:adjustRightInd w:val="0"/>
        <w:spacing w:line="360" w:lineRule="auto"/>
        <w:jc w:val="center"/>
        <w:rPr>
          <w:rStyle w:val="27"/>
          <w:rFonts w:ascii="宋体" w:hAnsi="宋体"/>
          <w:sz w:val="32"/>
          <w:szCs w:val="32"/>
        </w:rPr>
      </w:pPr>
    </w:p>
    <w:p w14:paraId="19CA3399">
      <w:pPr>
        <w:adjustRightInd w:val="0"/>
        <w:spacing w:line="360" w:lineRule="auto"/>
        <w:jc w:val="center"/>
        <w:rPr>
          <w:rStyle w:val="27"/>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3DEC5AA">
      <w:pPr>
        <w:adjustRightInd w:val="0"/>
        <w:spacing w:line="360" w:lineRule="auto"/>
        <w:jc w:val="center"/>
        <w:rPr>
          <w:rStyle w:val="27"/>
          <w:rFonts w:ascii="宋体" w:hAnsi="宋体"/>
          <w:sz w:val="32"/>
          <w:szCs w:val="32"/>
        </w:rPr>
      </w:pPr>
    </w:p>
    <w:p w14:paraId="098CC495">
      <w:pPr>
        <w:adjustRightInd w:val="0"/>
        <w:spacing w:line="360" w:lineRule="auto"/>
        <w:jc w:val="center"/>
        <w:rPr>
          <w:rStyle w:val="27"/>
          <w:rFonts w:ascii="黑体" w:hAnsi="黑体" w:eastAsia="黑体"/>
          <w:sz w:val="32"/>
          <w:szCs w:val="32"/>
        </w:rPr>
      </w:pPr>
      <w:r>
        <w:rPr>
          <w:rStyle w:val="27"/>
          <w:rFonts w:hint="eastAsia" w:ascii="黑体" w:hAnsi="黑体" w:eastAsia="黑体"/>
          <w:sz w:val="32"/>
          <w:szCs w:val="32"/>
        </w:rPr>
        <w:t>兴银理财稳添利日盈日开固收类理财产品</w:t>
      </w:r>
    </w:p>
    <w:p w14:paraId="6912EA1B">
      <w:pPr>
        <w:adjustRightInd w:val="0"/>
        <w:spacing w:line="360" w:lineRule="auto"/>
        <w:jc w:val="center"/>
        <w:rPr>
          <w:rStyle w:val="27"/>
          <w:rFonts w:ascii="黑体" w:hAnsi="黑体" w:eastAsia="黑体"/>
          <w:sz w:val="32"/>
          <w:szCs w:val="32"/>
        </w:rPr>
      </w:pPr>
      <w:r>
        <w:rPr>
          <w:rStyle w:val="27"/>
          <w:rFonts w:hint="eastAsia" w:ascii="黑体" w:hAnsi="黑体" w:eastAsia="黑体"/>
          <w:sz w:val="32"/>
          <w:szCs w:val="32"/>
        </w:rPr>
        <w:t>产品说明书</w:t>
      </w:r>
    </w:p>
    <w:p w14:paraId="6B6449AC">
      <w:pPr>
        <w:adjustRightInd w:val="0"/>
        <w:spacing w:line="360" w:lineRule="auto"/>
        <w:jc w:val="center"/>
        <w:rPr>
          <w:rStyle w:val="27"/>
          <w:rFonts w:ascii="宋体" w:hAnsi="宋体"/>
          <w:sz w:val="32"/>
          <w:szCs w:val="32"/>
        </w:rPr>
      </w:pPr>
    </w:p>
    <w:p w14:paraId="71D2C755">
      <w:pPr>
        <w:adjustRightInd w:val="0"/>
        <w:spacing w:line="360" w:lineRule="auto"/>
        <w:rPr>
          <w:rStyle w:val="27"/>
          <w:rFonts w:ascii="黑体" w:hAnsi="黑体" w:eastAsia="黑体"/>
          <w:bCs w:val="0"/>
          <w:sz w:val="28"/>
          <w:szCs w:val="28"/>
        </w:rPr>
      </w:pPr>
    </w:p>
    <w:p w14:paraId="296C6B60">
      <w:pPr>
        <w:adjustRightInd w:val="0"/>
        <w:spacing w:line="360" w:lineRule="auto"/>
        <w:jc w:val="center"/>
        <w:rPr>
          <w:rStyle w:val="27"/>
          <w:rFonts w:ascii="黑体" w:hAnsi="黑体" w:eastAsia="黑体"/>
          <w:bCs w:val="0"/>
          <w:sz w:val="28"/>
          <w:szCs w:val="28"/>
        </w:rPr>
      </w:pPr>
    </w:p>
    <w:p w14:paraId="3E4609E2">
      <w:pPr>
        <w:adjustRightInd w:val="0"/>
        <w:spacing w:line="360" w:lineRule="auto"/>
        <w:jc w:val="center"/>
        <w:rPr>
          <w:rStyle w:val="27"/>
          <w:rFonts w:ascii="黑体" w:hAnsi="黑体" w:eastAsia="黑体"/>
          <w:bCs w:val="0"/>
          <w:sz w:val="28"/>
          <w:szCs w:val="28"/>
        </w:rPr>
      </w:pPr>
    </w:p>
    <w:p w14:paraId="61FD1837">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理财产品管理人：兴银理财有限责任公司</w:t>
      </w:r>
    </w:p>
    <w:p w14:paraId="1C383532">
      <w:pPr>
        <w:adjustRightInd w:val="0"/>
        <w:spacing w:line="360" w:lineRule="auto"/>
        <w:jc w:val="center"/>
        <w:rPr>
          <w:rStyle w:val="27"/>
          <w:rFonts w:ascii="宋体" w:hAnsi="宋体"/>
          <w:sz w:val="32"/>
          <w:szCs w:val="32"/>
        </w:rPr>
      </w:pPr>
    </w:p>
    <w:p w14:paraId="19BA926F">
      <w:pPr>
        <w:adjustRightInd w:val="0"/>
        <w:spacing w:line="360" w:lineRule="auto"/>
        <w:jc w:val="center"/>
        <w:rPr>
          <w:rStyle w:val="27"/>
          <w:rFonts w:ascii="宋体" w:hAnsi="宋体"/>
          <w:sz w:val="32"/>
          <w:szCs w:val="32"/>
        </w:rPr>
      </w:pPr>
    </w:p>
    <w:p w14:paraId="3AEF8B08">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日期</w:t>
      </w:r>
      <w:r>
        <w:rPr>
          <w:rStyle w:val="27"/>
          <w:rFonts w:ascii="宋体" w:hAnsi="宋体" w:cs="Times New Roman"/>
          <w:sz w:val="32"/>
          <w:szCs w:val="32"/>
        </w:rPr>
        <w:t>：</w:t>
      </w:r>
      <w:r>
        <w:rPr>
          <w:rStyle w:val="27"/>
          <w:rFonts w:hint="eastAsia" w:ascii="宋体" w:hAnsi="宋体" w:cs="Times New Roman"/>
          <w:sz w:val="32"/>
          <w:szCs w:val="32"/>
        </w:rPr>
        <w:t>【202</w:t>
      </w:r>
      <w:r>
        <w:rPr>
          <w:rStyle w:val="27"/>
          <w:rFonts w:hint="eastAsia" w:ascii="宋体" w:hAnsi="宋体" w:cs="Times New Roman"/>
          <w:sz w:val="32"/>
          <w:szCs w:val="32"/>
          <w:lang w:val="en-US" w:eastAsia="zh-CN"/>
        </w:rPr>
        <w:t>6</w:t>
      </w:r>
      <w:r>
        <w:rPr>
          <w:rStyle w:val="27"/>
          <w:rFonts w:hint="eastAsia" w:ascii="宋体" w:hAnsi="宋体" w:cs="Times New Roman"/>
          <w:sz w:val="32"/>
          <w:szCs w:val="32"/>
        </w:rPr>
        <w:t>】年【</w:t>
      </w:r>
      <w:r>
        <w:rPr>
          <w:rStyle w:val="27"/>
          <w:rFonts w:hint="eastAsia" w:ascii="宋体" w:hAnsi="宋体" w:cs="Times New Roman"/>
          <w:sz w:val="32"/>
          <w:szCs w:val="32"/>
          <w:lang w:val="en-US" w:eastAsia="zh-CN"/>
        </w:rPr>
        <w:t>2</w:t>
      </w:r>
      <w:r>
        <w:rPr>
          <w:rStyle w:val="27"/>
          <w:rFonts w:hint="eastAsia" w:ascii="宋体" w:hAnsi="宋体" w:cs="Times New Roman"/>
          <w:sz w:val="32"/>
          <w:szCs w:val="32"/>
        </w:rPr>
        <w:t>】月</w:t>
      </w:r>
    </w:p>
    <w:p w14:paraId="599BCDC5">
      <w:pPr>
        <w:adjustRightInd w:val="0"/>
        <w:spacing w:line="360" w:lineRule="auto"/>
        <w:jc w:val="center"/>
        <w:rPr>
          <w:rStyle w:val="27"/>
          <w:rFonts w:ascii="宋体" w:hAnsi="宋体"/>
          <w:sz w:val="32"/>
          <w:szCs w:val="32"/>
        </w:rPr>
      </w:pPr>
    </w:p>
    <w:p w14:paraId="0200DFA8">
      <w:pPr>
        <w:pStyle w:val="34"/>
        <w:spacing w:line="360" w:lineRule="auto"/>
        <w:rPr>
          <w:rFonts w:hAnsi="宋体"/>
          <w:sz w:val="28"/>
          <w:szCs w:val="28"/>
        </w:rPr>
        <w:sectPr>
          <w:footerReference r:id="rId5" w:type="first"/>
          <w:headerReference r:id="rId3" w:type="default"/>
          <w:footerReference r:id="rId4" w:type="default"/>
          <w:pgSz w:w="11906" w:h="16838"/>
          <w:pgMar w:top="1276" w:right="1800" w:bottom="1418" w:left="1800" w:header="567" w:footer="850" w:gutter="0"/>
          <w:pgNumType w:start="1"/>
          <w:cols w:space="425" w:num="1"/>
          <w:titlePg/>
          <w:docGrid w:type="lines" w:linePitch="312" w:charSpace="0"/>
        </w:sectPr>
      </w:pP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1E6DC447">
          <w:pPr>
            <w:pStyle w:val="48"/>
            <w:spacing w:line="360" w:lineRule="auto"/>
            <w:jc w:val="center"/>
          </w:pPr>
          <w:r>
            <w:rPr>
              <w:lang w:val="zh-CN"/>
            </w:rPr>
            <w:t>目录</w:t>
          </w:r>
        </w:p>
        <w:p w14:paraId="141B2498">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"_Toc103260528" </w:instrText>
          </w:r>
          <w:r>
            <w:fldChar w:fldCharType="separate"/>
          </w:r>
          <w:r>
            <w:rPr>
              <w:rStyle w:val="29"/>
              <w:rFonts w:hint="eastAsia" w:ascii="Times New Roman"/>
            </w:rPr>
            <w:t>第一条</w:t>
          </w:r>
          <w:r>
            <w:rPr>
              <w:rStyle w:val="29"/>
              <w:rFonts w:ascii="Times New Roman"/>
            </w:rPr>
            <w:t xml:space="preserve">  </w:t>
          </w:r>
          <w:r>
            <w:rPr>
              <w:rStyle w:val="29"/>
              <w:rFonts w:hint="eastAsia" w:ascii="Times New Roman"/>
            </w:rPr>
            <w:t>释义</w:t>
          </w:r>
          <w:r>
            <w:tab/>
          </w:r>
          <w:r>
            <w:fldChar w:fldCharType="begin"/>
          </w:r>
          <w:r>
            <w:instrText xml:space="preserve"> PAGEREF _Toc103260528 \h </w:instrText>
          </w:r>
          <w:r>
            <w:fldChar w:fldCharType="separate"/>
          </w:r>
          <w:r>
            <w:t>1</w:t>
          </w:r>
          <w:r>
            <w:fldChar w:fldCharType="end"/>
          </w:r>
          <w:r>
            <w:fldChar w:fldCharType="end"/>
          </w:r>
        </w:p>
        <w:p w14:paraId="5488EEFA">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"_Toc103260529" </w:instrText>
          </w:r>
          <w:r>
            <w:fldChar w:fldCharType="separate"/>
          </w:r>
          <w:r>
            <w:rPr>
              <w:rStyle w:val="29"/>
              <w:rFonts w:hint="eastAsia" w:hAnsi="宋体"/>
            </w:rPr>
            <w:t>第二条</w:t>
          </w:r>
          <w:r>
            <w:rPr>
              <w:rStyle w:val="29"/>
              <w:rFonts w:hAnsi="宋体"/>
            </w:rPr>
            <w:t xml:space="preserve">  </w:t>
          </w:r>
          <w:r>
            <w:rPr>
              <w:rStyle w:val="29"/>
              <w:rFonts w:hint="eastAsia" w:hAnsi="宋体"/>
            </w:rPr>
            <w:t>理财产品基本情况</w:t>
          </w:r>
          <w:r>
            <w:tab/>
          </w:r>
          <w:r>
            <w:fldChar w:fldCharType="begin"/>
          </w:r>
          <w:r>
            <w:instrText xml:space="preserve"> PAGEREF _Toc103260529 \h </w:instrText>
          </w:r>
          <w:r>
            <w:fldChar w:fldCharType="separate"/>
          </w:r>
          <w:r>
            <w:t>6</w:t>
          </w:r>
          <w:r>
            <w:fldChar w:fldCharType="end"/>
          </w:r>
          <w:r>
            <w:fldChar w:fldCharType="end"/>
          </w:r>
        </w:p>
        <w:p w14:paraId="55C55F26">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"_Toc103260530" </w:instrText>
          </w:r>
          <w:r>
            <w:fldChar w:fldCharType="separate"/>
          </w:r>
          <w:r>
            <w:rPr>
              <w:rStyle w:val="29"/>
              <w:rFonts w:hint="eastAsia" w:ascii="Times New Roman"/>
            </w:rPr>
            <w:t>第三条</w:t>
          </w:r>
          <w:r>
            <w:rPr>
              <w:rStyle w:val="29"/>
              <w:rFonts w:ascii="Times New Roman"/>
            </w:rPr>
            <w:t xml:space="preserve">  </w:t>
          </w:r>
          <w:r>
            <w:rPr>
              <w:rStyle w:val="29"/>
              <w:rFonts w:hint="eastAsia" w:ascii="Times New Roman"/>
            </w:rPr>
            <w:t>理财产品的认购</w:t>
          </w:r>
          <w:r>
            <w:tab/>
          </w:r>
          <w:r>
            <w:fldChar w:fldCharType="begin"/>
          </w:r>
          <w:r>
            <w:instrText xml:space="preserve"> PAGEREF _Toc103260530 \h </w:instrText>
          </w:r>
          <w:r>
            <w:fldChar w:fldCharType="separate"/>
          </w:r>
          <w:r>
            <w:t>12</w:t>
          </w:r>
          <w:r>
            <w:fldChar w:fldCharType="end"/>
          </w:r>
          <w:r>
            <w:fldChar w:fldCharType="end"/>
          </w:r>
        </w:p>
        <w:p w14:paraId="6B2630B6">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"_Toc103260531" </w:instrText>
          </w:r>
          <w:r>
            <w:fldChar w:fldCharType="separate"/>
          </w:r>
          <w:r>
            <w:rPr>
              <w:rStyle w:val="29"/>
              <w:rFonts w:hint="eastAsia" w:ascii="Times New Roman"/>
            </w:rPr>
            <w:t>第四条</w:t>
          </w:r>
          <w:r>
            <w:rPr>
              <w:rStyle w:val="29"/>
              <w:rFonts w:ascii="Times New Roman"/>
            </w:rPr>
            <w:t xml:space="preserve">  </w:t>
          </w:r>
          <w:r>
            <w:rPr>
              <w:rStyle w:val="29"/>
              <w:rFonts w:hint="eastAsia" w:ascii="Times New Roman"/>
            </w:rPr>
            <w:t>理财产品的申购与赎回</w:t>
          </w:r>
          <w:r>
            <w:tab/>
          </w:r>
          <w:r>
            <w:fldChar w:fldCharType="begin"/>
          </w:r>
          <w:r>
            <w:instrText xml:space="preserve"> PAGEREF _Toc103260531 \h </w:instrText>
          </w:r>
          <w:r>
            <w:fldChar w:fldCharType="separate"/>
          </w:r>
          <w:r>
            <w:t>14</w:t>
          </w:r>
          <w:r>
            <w:fldChar w:fldCharType="end"/>
          </w:r>
          <w:r>
            <w:fldChar w:fldCharType="end"/>
          </w:r>
        </w:p>
        <w:p w14:paraId="5198272F">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"_Toc103260532" </w:instrText>
          </w:r>
          <w:r>
            <w:fldChar w:fldCharType="separate"/>
          </w:r>
          <w:r>
            <w:rPr>
              <w:rStyle w:val="29"/>
              <w:rFonts w:hint="eastAsia" w:ascii="Times New Roman"/>
            </w:rPr>
            <w:t>第五条</w:t>
          </w:r>
          <w:r>
            <w:rPr>
              <w:rStyle w:val="29"/>
              <w:rFonts w:ascii="Times New Roman"/>
            </w:rPr>
            <w:t xml:space="preserve">  </w:t>
          </w:r>
          <w:r>
            <w:rPr>
              <w:rStyle w:val="29"/>
              <w:rFonts w:hint="eastAsia" w:ascii="Times New Roman"/>
            </w:rPr>
            <w:t>理财产品的投资</w:t>
          </w:r>
          <w:r>
            <w:tab/>
          </w:r>
          <w:r>
            <w:fldChar w:fldCharType="begin"/>
          </w:r>
          <w:r>
            <w:instrText xml:space="preserve"> PAGEREF _Toc103260532 \h </w:instrText>
          </w:r>
          <w:r>
            <w:fldChar w:fldCharType="separate"/>
          </w:r>
          <w:r>
            <w:t>18</w:t>
          </w:r>
          <w:r>
            <w:fldChar w:fldCharType="end"/>
          </w:r>
          <w:r>
            <w:fldChar w:fldCharType="end"/>
          </w:r>
        </w:p>
        <w:p w14:paraId="69453D54">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"_Toc103260533" </w:instrText>
          </w:r>
          <w:r>
            <w:fldChar w:fldCharType="separate"/>
          </w:r>
          <w:r>
            <w:rPr>
              <w:rStyle w:val="29"/>
              <w:rFonts w:hint="eastAsia" w:ascii="Times New Roman"/>
            </w:rPr>
            <w:t>第六条</w:t>
          </w:r>
          <w:r>
            <w:rPr>
              <w:rStyle w:val="29"/>
              <w:rFonts w:ascii="Times New Roman"/>
            </w:rPr>
            <w:t xml:space="preserve">  </w:t>
          </w:r>
          <w:r>
            <w:rPr>
              <w:rStyle w:val="29"/>
              <w:rFonts w:hint="eastAsia" w:ascii="Times New Roman"/>
            </w:rPr>
            <w:t>理财产品的资产</w:t>
          </w:r>
          <w:r>
            <w:tab/>
          </w:r>
          <w:r>
            <w:fldChar w:fldCharType="begin"/>
          </w:r>
          <w:r>
            <w:instrText xml:space="preserve"> PAGEREF _Toc103260533 \h </w:instrText>
          </w:r>
          <w:r>
            <w:fldChar w:fldCharType="separate"/>
          </w:r>
          <w:r>
            <w:t>22</w:t>
          </w:r>
          <w:r>
            <w:fldChar w:fldCharType="end"/>
          </w:r>
          <w:r>
            <w:fldChar w:fldCharType="end"/>
          </w:r>
        </w:p>
        <w:p w14:paraId="05B7F355">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"_Toc103260534" </w:instrText>
          </w:r>
          <w:r>
            <w:fldChar w:fldCharType="separate"/>
          </w:r>
          <w:r>
            <w:rPr>
              <w:rStyle w:val="29"/>
              <w:rFonts w:hint="eastAsia" w:ascii="Times New Roman"/>
            </w:rPr>
            <w:t>第七条</w:t>
          </w:r>
          <w:r>
            <w:rPr>
              <w:rStyle w:val="29"/>
              <w:rFonts w:ascii="Times New Roman"/>
            </w:rPr>
            <w:t xml:space="preserve">  </w:t>
          </w:r>
          <w:r>
            <w:rPr>
              <w:rStyle w:val="29"/>
              <w:rFonts w:hint="eastAsia" w:ascii="Times New Roman"/>
            </w:rPr>
            <w:t>理财产品项下资产的估值</w:t>
          </w:r>
          <w:r>
            <w:tab/>
          </w:r>
          <w:r>
            <w:fldChar w:fldCharType="begin"/>
          </w:r>
          <w:r>
            <w:instrText xml:space="preserve"> PAGEREF _Toc103260534 \h </w:instrText>
          </w:r>
          <w:r>
            <w:fldChar w:fldCharType="separate"/>
          </w:r>
          <w:r>
            <w:t>23</w:t>
          </w:r>
          <w:r>
            <w:fldChar w:fldCharType="end"/>
          </w:r>
          <w:r>
            <w:fldChar w:fldCharType="end"/>
          </w:r>
        </w:p>
        <w:p w14:paraId="39E29AF0">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"_Toc103260535" </w:instrText>
          </w:r>
          <w:r>
            <w:fldChar w:fldCharType="separate"/>
          </w:r>
          <w:r>
            <w:rPr>
              <w:rStyle w:val="29"/>
              <w:rFonts w:hint="eastAsia" w:ascii="Times New Roman"/>
            </w:rPr>
            <w:t>第八条</w:t>
          </w:r>
          <w:r>
            <w:rPr>
              <w:rStyle w:val="29"/>
              <w:rFonts w:ascii="Times New Roman"/>
            </w:rPr>
            <w:t xml:space="preserve">  </w:t>
          </w:r>
          <w:r>
            <w:rPr>
              <w:rStyle w:val="29"/>
              <w:rFonts w:hint="eastAsia" w:ascii="Times New Roman"/>
            </w:rPr>
            <w:t>理财产品的利益分配</w:t>
          </w:r>
          <w:r>
            <w:tab/>
          </w:r>
          <w:r>
            <w:fldChar w:fldCharType="begin"/>
          </w:r>
          <w:r>
            <w:instrText xml:space="preserve"> PAGEREF _Toc103260535 \h </w:instrText>
          </w:r>
          <w:r>
            <w:fldChar w:fldCharType="separate"/>
          </w:r>
          <w:r>
            <w:t>27</w:t>
          </w:r>
          <w:r>
            <w:fldChar w:fldCharType="end"/>
          </w:r>
          <w:r>
            <w:fldChar w:fldCharType="end"/>
          </w:r>
        </w:p>
        <w:p w14:paraId="693E23DE">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"_Toc103260536" </w:instrText>
          </w:r>
          <w:r>
            <w:fldChar w:fldCharType="separate"/>
          </w:r>
          <w:r>
            <w:rPr>
              <w:rStyle w:val="29"/>
              <w:rFonts w:hint="eastAsia" w:ascii="Times New Roman"/>
            </w:rPr>
            <w:t>第九条</w:t>
          </w:r>
          <w:r>
            <w:rPr>
              <w:rStyle w:val="29"/>
              <w:rFonts w:ascii="Times New Roman"/>
            </w:rPr>
            <w:t xml:space="preserve">  </w:t>
          </w:r>
          <w:r>
            <w:rPr>
              <w:rStyle w:val="29"/>
              <w:rFonts w:hint="eastAsia" w:ascii="Times New Roman"/>
            </w:rPr>
            <w:t>理财产品的费用与税收</w:t>
          </w:r>
          <w:r>
            <w:tab/>
          </w:r>
          <w:r>
            <w:fldChar w:fldCharType="begin"/>
          </w:r>
          <w:r>
            <w:instrText xml:space="preserve"> PAGEREF _Toc103260536 \h </w:instrText>
          </w:r>
          <w:r>
            <w:fldChar w:fldCharType="separate"/>
          </w:r>
          <w:r>
            <w:t>28</w:t>
          </w:r>
          <w:r>
            <w:fldChar w:fldCharType="end"/>
          </w:r>
          <w:r>
            <w:fldChar w:fldCharType="end"/>
          </w:r>
        </w:p>
        <w:p w14:paraId="37A1D2F2">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"_Toc103260537" </w:instrText>
          </w:r>
          <w:r>
            <w:fldChar w:fldCharType="separate"/>
          </w:r>
          <w:r>
            <w:rPr>
              <w:rStyle w:val="29"/>
              <w:rFonts w:hint="eastAsia"/>
            </w:rPr>
            <w:t>第十条</w:t>
          </w:r>
          <w:r>
            <w:rPr>
              <w:rStyle w:val="29"/>
            </w:rPr>
            <w:t xml:space="preserve">  </w:t>
          </w:r>
          <w:r>
            <w:rPr>
              <w:rStyle w:val="29"/>
              <w:rFonts w:hint="eastAsia"/>
            </w:rPr>
            <w:t>理财产品的终止与清算</w:t>
          </w:r>
          <w:r>
            <w:tab/>
          </w:r>
          <w:r>
            <w:fldChar w:fldCharType="begin"/>
          </w:r>
          <w:r>
            <w:instrText xml:space="preserve"> PAGEREF _Toc103260537 \h </w:instrText>
          </w:r>
          <w:r>
            <w:fldChar w:fldCharType="separate"/>
          </w:r>
          <w:r>
            <w:t>30</w:t>
          </w:r>
          <w:r>
            <w:fldChar w:fldCharType="end"/>
          </w:r>
          <w:r>
            <w:fldChar w:fldCharType="end"/>
          </w:r>
        </w:p>
        <w:p w14:paraId="617768C5">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"_Toc103260538" </w:instrText>
          </w:r>
          <w:r>
            <w:fldChar w:fldCharType="separate"/>
          </w:r>
          <w:r>
            <w:rPr>
              <w:rStyle w:val="29"/>
              <w:rFonts w:hint="eastAsia" w:ascii="Times New Roman"/>
            </w:rPr>
            <w:t>第十一条</w:t>
          </w:r>
          <w:r>
            <w:rPr>
              <w:rStyle w:val="29"/>
              <w:rFonts w:ascii="Times New Roman"/>
            </w:rPr>
            <w:t xml:space="preserve">  </w:t>
          </w:r>
          <w:r>
            <w:rPr>
              <w:rStyle w:val="29"/>
              <w:rFonts w:hint="eastAsia" w:ascii="Times New Roman"/>
            </w:rPr>
            <w:t>理财产品的信息披露</w:t>
          </w:r>
          <w:r>
            <w:tab/>
          </w:r>
          <w:r>
            <w:fldChar w:fldCharType="begin"/>
          </w:r>
          <w:r>
            <w:instrText xml:space="preserve"> PAGEREF _Toc103260538 \h </w:instrText>
          </w:r>
          <w:r>
            <w:fldChar w:fldCharType="separate"/>
          </w:r>
          <w:r>
            <w:t>32</w:t>
          </w:r>
          <w:r>
            <w:fldChar w:fldCharType="end"/>
          </w:r>
          <w:r>
            <w:fldChar w:fldCharType="end"/>
          </w:r>
        </w:p>
        <w:p w14:paraId="4A9112BC">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"_Toc103260539" </w:instrText>
          </w:r>
          <w:r>
            <w:fldChar w:fldCharType="separate"/>
          </w:r>
          <w:r>
            <w:rPr>
              <w:rStyle w:val="29"/>
              <w:rFonts w:hint="eastAsia" w:ascii="Times New Roman"/>
            </w:rPr>
            <w:t>第十二条</w:t>
          </w:r>
          <w:r>
            <w:rPr>
              <w:rStyle w:val="29"/>
              <w:rFonts w:ascii="Times New Roman"/>
            </w:rPr>
            <w:t xml:space="preserve">  </w:t>
          </w:r>
          <w:r>
            <w:rPr>
              <w:rStyle w:val="29"/>
              <w:rFonts w:hint="eastAsia" w:ascii="Times New Roman"/>
            </w:rPr>
            <w:t>理财产品的风险揭示</w:t>
          </w:r>
          <w:r>
            <w:tab/>
          </w:r>
          <w:r>
            <w:fldChar w:fldCharType="begin"/>
          </w:r>
          <w:r>
            <w:instrText xml:space="preserve"> PAGEREF _Toc103260539 \h </w:instrText>
          </w:r>
          <w:r>
            <w:fldChar w:fldCharType="separate"/>
          </w:r>
          <w:r>
            <w:t>34</w:t>
          </w:r>
          <w:r>
            <w:fldChar w:fldCharType="end"/>
          </w:r>
          <w:r>
            <w:fldChar w:fldCharType="end"/>
          </w:r>
        </w:p>
        <w:p w14:paraId="0CD2AA7F">
          <w:pPr>
            <w:spacing w:line="360" w:lineRule="auto"/>
          </w:pPr>
        </w:p>
      </w:sdtContent>
    </w:sdt>
    <w:p w14:paraId="5F4F29D1">
      <w:pPr>
        <w:widowControl/>
        <w:spacing w:line="360" w:lineRule="auto"/>
        <w:jc w:val="left"/>
        <w:rPr>
          <w:rFonts w:ascii="Times New Roman"/>
          <w:sz w:val="30"/>
        </w:rPr>
      </w:pPr>
    </w:p>
    <w:p w14:paraId="4C4C95D2">
      <w:pPr>
        <w:widowControl/>
        <w:spacing w:line="360" w:lineRule="auto"/>
        <w:jc w:val="left"/>
        <w:rPr>
          <w:rFonts w:ascii="Times New Roman"/>
          <w:sz w:val="30"/>
        </w:rPr>
        <w:sectPr>
          <w:footerReference r:id="rId6" w:type="default"/>
          <w:pgSz w:w="11906" w:h="16838"/>
          <w:pgMar w:top="1276" w:right="1800" w:bottom="1418" w:left="1800" w:header="567" w:footer="850" w:gutter="0"/>
          <w:cols w:space="425" w:num="1"/>
          <w:docGrid w:type="lines" w:linePitch="312" w:charSpace="0"/>
        </w:sectPr>
      </w:pPr>
    </w:p>
    <w:p w14:paraId="5174B31F">
      <w:pPr>
        <w:pStyle w:val="2"/>
        <w:spacing w:before="0" w:after="0" w:line="360" w:lineRule="auto"/>
        <w:jc w:val="center"/>
        <w:rPr>
          <w:rFonts w:ascii="Times New Roman"/>
          <w:sz w:val="30"/>
        </w:rPr>
      </w:pPr>
      <w:r>
        <w:rPr>
          <w:rFonts w:ascii="Times New Roman"/>
          <w:sz w:val="30"/>
        </w:rPr>
        <w:t>第</w:t>
      </w:r>
      <w:r>
        <w:rPr>
          <w:rFonts w:hint="eastAsia" w:ascii="Times New Roman"/>
          <w:sz w:val="30"/>
        </w:rPr>
        <w:t xml:space="preserve">一条 </w:t>
      </w:r>
      <w:r>
        <w:rPr>
          <w:rFonts w:ascii="Times New Roman"/>
          <w:sz w:val="30"/>
        </w:rPr>
        <w:t xml:space="preserve"> 释义</w:t>
      </w:r>
    </w:p>
    <w:p w14:paraId="1642791F">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（一）在本产品投资协议书中，除非上下文另有明确约定，下列用词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1FB39BC4">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7F14C153">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4B20AEBA">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）。兴业银行成立于</w:t>
      </w:r>
      <w:r>
        <w:rPr>
          <w:rFonts w:asciiTheme="majorEastAsia" w:hAnsiTheme="majorEastAsia" w:eastAsiaTheme="majorEastAsia"/>
          <w:bCs/>
          <w:color w:val="auto"/>
          <w:sz w:val="18"/>
          <w:szCs w:val="18"/>
        </w:rPr>
        <w:t>1988年，于2005年开展资产托管业务，具备理财产品托管资格。</w:t>
      </w:r>
      <w:r>
        <w:rPr>
          <w:rFonts w:hint="eastAsia" w:asciiTheme="majorEastAsia" w:hAnsiTheme="majorEastAsia" w:eastAsiaTheme="majorEastAsia"/>
          <w:bCs/>
          <w:color w:val="auto"/>
          <w:sz w:val="18"/>
          <w:szCs w:val="18"/>
        </w:rPr>
        <w:t>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14:paraId="7A096D87">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发行理财产品的代理销售机构。销售机构在其渠道开展向投资者宣传推介、销售产品管理人依法发行的资产管理产品的活动。</w:t>
      </w:r>
    </w:p>
    <w:p w14:paraId="58AA130C">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2）提供单只或多只理财产品投资建议；3）为投资者办理理财产品认购、申购和赎回；4）银保监会认定的其他业务活动。各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41C4F6DF">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投资者：指符合相关法律法规、监管规定要求的，可以购买理财产品份额的自然人和法人。</w:t>
      </w:r>
      <w:r>
        <w:rPr>
          <w:rFonts w:asciiTheme="majorEastAsia" w:hAnsiTheme="majorEastAsia" w:eastAsiaTheme="majorEastAsia"/>
          <w:bCs/>
          <w:sz w:val="18"/>
          <w:szCs w:val="18"/>
        </w:rPr>
        <w:t xml:space="preserve"> </w:t>
      </w:r>
    </w:p>
    <w:p w14:paraId="7084AC42">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4F3BA0FD">
      <w:pPr>
        <w:pStyle w:val="3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47B93C7E">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750F91D5">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19ADDD8F">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14:paraId="1A165187">
      <w:pPr>
        <w:pStyle w:val="3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6DBB572F">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：指产品管理人向投资者提供的，用于描述产品特征，约定权利义务的文件。具体指《兴银理财稳添利日盈日开固收类理财产品销售文件》，包括《投资协议书》、《产品说明书》、《（代理）销售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5C0D1DB2">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《投资协议书》：指管理人统一编制的《兴银理财稳添利日盈日开固收类理财产品投资协议书》，以及对该文件的有效修改或补充。</w:t>
      </w:r>
    </w:p>
    <w:p w14:paraId="59634498">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）《产品说明书》：指管理人统一编制的《兴银理财稳添利日盈日开固收类理财产品产品说明书》，以及对该文件的有效修改或补充。</w:t>
      </w:r>
    </w:p>
    <w:p w14:paraId="35AF16CD">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（4）《（代理）销售协议书》：指管理人统一编制的《兴银理财稳添利日盈日开固收类理财产品（代理）销售协议书》或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的《兴银理财稳添利日盈日开固收类理财产品（代理）销售协议书》（文件名称以代理销售机构实际编制为准），以及对该文件的有效修改或补充。</w:t>
      </w:r>
    </w:p>
    <w:p w14:paraId="32A80A4A">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）《风险揭示书》：指管理人统一编制的《兴银理财稳添利日盈日开固收类理财产品风险揭示书》或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的《兴银理财稳添利日盈日开固收类理财产品风险揭示书》（文件名称以代理销售机构实际编制为准），以及对该文件的有效修改或补充。</w:t>
      </w:r>
    </w:p>
    <w:p w14:paraId="7F9E4037">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）《投资者权益须知》：指管理人统一编制的《兴银理财稳添利日盈日开固收类理财产品投资者权益须知》或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《兴银理财稳添利日盈日开固收类理财产品投资者权益须知》（文件名称以代理销售机构实际编制为准），以及对该文件的有效修改或补充。</w:t>
      </w:r>
    </w:p>
    <w:p w14:paraId="2FBC1997">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58B6DD20">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16457F8F">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3D8DC39F">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，为在理财产品销售管理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，为每类份额类别</w:t>
      </w:r>
      <w:r>
        <w:rPr>
          <w:rFonts w:asciiTheme="majorEastAsia" w:hAnsiTheme="majorEastAsia" w:eastAsiaTheme="majorEastAsia"/>
          <w:bCs/>
          <w:color w:val="auto"/>
          <w:sz w:val="18"/>
          <w:szCs w:val="18"/>
        </w:rPr>
        <w:t>设置</w:t>
      </w:r>
      <w:r>
        <w:rPr>
          <w:rFonts w:hint="eastAsia" w:asciiTheme="majorEastAsia" w:hAnsiTheme="majorEastAsia" w:eastAsiaTheme="majorEastAsia"/>
          <w:bCs/>
          <w:color w:val="auto"/>
          <w:sz w:val="18"/>
          <w:szCs w:val="18"/>
        </w:rPr>
        <w:t>的唯一性内部识别码。</w:t>
      </w:r>
    </w:p>
    <w:p w14:paraId="063A3705">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46015388">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0B8DC5E9">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）适合投资者：指适合购买本产品的投资者类型。</w:t>
      </w:r>
    </w:p>
    <w:p w14:paraId="17253958">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09829916">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75FA9DE3">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69D4C07B">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理财产品负债总值是指理财产品运作及融资时形成的负债价值总和，包括融资资金本息、应付各项费用（包括托管费、认购费、固定管理费、业绩报酬、其他费用等）、应付税金及其他应付款项等。</w:t>
      </w:r>
    </w:p>
    <w:p w14:paraId="7F989289">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。投资者按该份额净值进行理财产品申购、赎回和终止时分配。理财</w:t>
      </w:r>
      <w:r>
        <w:rPr>
          <w:rFonts w:asciiTheme="majorEastAsia" w:hAnsiTheme="majorEastAsia" w:eastAsiaTheme="majorEastAsia"/>
          <w:bCs/>
          <w:color w:val="auto"/>
          <w:sz w:val="18"/>
          <w:szCs w:val="18"/>
        </w:rPr>
        <w:t>产品份额净值四舍五入保留5位小数。</w:t>
      </w:r>
    </w:p>
    <w:p w14:paraId="52CD46F0">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6E13077A">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0CC76EEF">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4DBE7525">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102ED5E0">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10</w:t>
      </w:r>
      <w:r>
        <w:rPr>
          <w:rFonts w:hint="eastAsia" w:asciiTheme="majorEastAsia" w:hAnsiTheme="majorEastAsia" w:eastAsiaTheme="majorEastAsia"/>
          <w:bCs/>
          <w:color w:val="auto"/>
          <w:sz w:val="18"/>
          <w:szCs w:val="18"/>
        </w:rPr>
        <w:t>）理财产品估值：指计算评估理财产品资产和理财产品负债的价值，以确定理财产品份额净值的过程。</w:t>
      </w:r>
    </w:p>
    <w:p w14:paraId="2547AF90">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11</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指管理人基于过往投资经验及对产品存续期投资市场波动的预判而对本产品所设定的投资目标。</w:t>
      </w:r>
      <w:r>
        <w:rPr>
          <w:rFonts w:hint="eastAsia" w:ascii="黑体" w:hAnsi="黑体" w:eastAsia="黑体"/>
          <w:bCs/>
          <w:color w:val="auto"/>
          <w:sz w:val="18"/>
          <w:szCs w:val="18"/>
        </w:rPr>
        <w:t>业绩比较基准不代表理财产品未来表现，不等于理财产品实际收益，不作为产品收益的业绩保证，投资须谨慎。</w:t>
      </w:r>
    </w:p>
    <w:p w14:paraId="6C3B69F2">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12</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指管理人收取超额业绩报酬的参照相关</w:t>
      </w:r>
      <w:r>
        <w:rPr>
          <w:rFonts w:asciiTheme="majorEastAsia" w:hAnsiTheme="majorEastAsia" w:eastAsiaTheme="majorEastAsia"/>
          <w:bCs/>
          <w:color w:val="auto"/>
          <w:sz w:val="18"/>
          <w:szCs w:val="18"/>
        </w:rPr>
        <w:t>数值标准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业绩报酬计提基准不代表理财产品未来表现，不等于理财产品实际收益，不作为产品收益的业绩保证，投资须谨慎。</w:t>
      </w:r>
    </w:p>
    <w:p w14:paraId="26678571">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13</w:t>
      </w:r>
      <w:r>
        <w:rPr>
          <w:rFonts w:hint="eastAsia" w:asciiTheme="majorEastAsia" w:hAnsiTheme="majorEastAsia" w:eastAsiaTheme="majorEastAsia"/>
          <w:bCs/>
          <w:color w:val="auto"/>
          <w:sz w:val="18"/>
          <w:szCs w:val="18"/>
        </w:rPr>
        <w:t>）</w:t>
      </w:r>
      <w:r>
        <w:rPr>
          <w:rFonts w:hint="eastAsia" w:ascii="黑体" w:hAnsi="黑体" w:eastAsia="黑体" w:cs="仿宋_GB2312"/>
          <w:bCs/>
          <w:color w:val="auto"/>
          <w:sz w:val="18"/>
          <w:szCs w:val="18"/>
        </w:rPr>
        <w:t>★</w:t>
      </w:r>
      <w:r>
        <w:rPr>
          <w:rFonts w:hint="eastAsia" w:asciiTheme="majorEastAsia" w:hAnsiTheme="majorEastAsia" w:eastAsiaTheme="majorEastAsia"/>
          <w:bCs/>
          <w:color w:val="auto"/>
          <w:sz w:val="18"/>
          <w:szCs w:val="18"/>
        </w:rPr>
        <w:t>理财产品利益/理财利益：指投资者因持有理财产品份额，按照销售文件约定取得或有权取得的理财产品管理人分配的理财产品资产。</w:t>
      </w:r>
    </w:p>
    <w:p w14:paraId="40F96E54">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 xml:space="preserve">14）利益分配：指产品管理人向投资者进行理财产品利益分配。 </w:t>
      </w:r>
    </w:p>
    <w:p w14:paraId="1BC7AD3D">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 xml:space="preserve">15）期间分配：指在理财产品终止日（不含当日）前的理财产品利益分配。 </w:t>
      </w:r>
    </w:p>
    <w:p w14:paraId="5F17AF7F">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16）终止分配：指在理财产品终止日当日及之后的理财产品利益分配。</w:t>
      </w:r>
    </w:p>
    <w:p w14:paraId="4B194423">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17</w:t>
      </w:r>
      <w:r>
        <w:rPr>
          <w:rFonts w:hint="eastAsia" w:asciiTheme="majorEastAsia" w:hAnsiTheme="majorEastAsia" w:eastAsiaTheme="majorEastAsia"/>
          <w:bCs/>
          <w:color w:val="auto"/>
          <w:sz w:val="18"/>
          <w:szCs w:val="18"/>
        </w:rPr>
        <w:t>）认购：指投资者根据本协议约定在认购期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募集期内申请购买本产品理财产品份额的行为。</w:t>
      </w:r>
      <w:r>
        <w:rPr>
          <w:rFonts w:asciiTheme="majorEastAsia" w:hAnsiTheme="majorEastAsia" w:eastAsiaTheme="majorEastAsia"/>
          <w:bCs/>
          <w:color w:val="auto"/>
          <w:sz w:val="18"/>
          <w:szCs w:val="18"/>
        </w:rPr>
        <w:t xml:space="preserve"> </w:t>
      </w:r>
    </w:p>
    <w:p w14:paraId="0FB56529">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指理财产品成立后，投资者申请购买理财产品份额的行为。</w:t>
      </w:r>
    </w:p>
    <w:p w14:paraId="15CE3773">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3CD3F1E3">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43D50BBC">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指理财产品成立后，投资者申请赎回理财产品份额的行为，即投资者申请将理财产品份额兑换为现金。</w:t>
      </w:r>
    </w:p>
    <w:p w14:paraId="57A8006D">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（20）巨额赎回：</w:t>
      </w:r>
      <w:r>
        <w:rPr>
          <w:rFonts w:hint="eastAsia" w:asciiTheme="minorEastAsia" w:hAnsiTheme="minorEastAsia"/>
          <w:bCs/>
          <w:color w:val="auto"/>
          <w:sz w:val="18"/>
          <w:szCs w:val="18"/>
        </w:rPr>
        <w:t>单个开放日中，本产品的产品份额净赎回申请（赎回申请总份额扣除申购总份额后的余额</w:t>
      </w:r>
      <w:r>
        <w:rPr>
          <w:rFonts w:asciiTheme="minorEastAsia" w:hAnsiTheme="minorEastAsia"/>
          <w:bCs/>
          <w:color w:val="auto"/>
          <w:sz w:val="18"/>
          <w:szCs w:val="18"/>
        </w:rPr>
        <w:t>,</w:t>
      </w:r>
      <w:r>
        <w:rPr>
          <w:rFonts w:hint="eastAsia" w:asciiTheme="minorEastAsia" w:hAnsiTheme="minorEastAsia"/>
          <w:bCs/>
          <w:color w:val="auto"/>
          <w:sz w:val="18"/>
          <w:szCs w:val="18"/>
        </w:rPr>
        <w:t>下同）之和达到上一日产品总份额的</w:t>
      </w:r>
      <w:r>
        <w:rPr>
          <w:rFonts w:asciiTheme="minorEastAsia" w:hAnsiTheme="minorEastAsia"/>
          <w:bCs/>
          <w:color w:val="auto"/>
          <w:sz w:val="18"/>
          <w:szCs w:val="18"/>
        </w:rPr>
        <w:t>约定百分比</w:t>
      </w:r>
      <w:r>
        <w:rPr>
          <w:rFonts w:hint="eastAsia" w:asciiTheme="minorEastAsia" w:hAnsiTheme="minorEastAsia"/>
          <w:bCs/>
          <w:color w:val="auto"/>
          <w:sz w:val="18"/>
          <w:szCs w:val="18"/>
        </w:rPr>
        <w:t>，为巨额赎回。</w:t>
      </w:r>
    </w:p>
    <w:p w14:paraId="443FA403">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21）摆动定价机制：是指当开放式公募理财产品（现金管理类理财产品除外）遭遇大额申购或赎回时，通过调整理财产品份额净值的方式，将理财产品调整投资组合的市场冲击成本分配给实际申购、赎回的投资者，从而减少对存量理财产品份额持有人利益的不利影响。</w:t>
      </w:r>
    </w:p>
    <w:p w14:paraId="272C98D4">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22）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14:paraId="78BF5962">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23）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14:paraId="67925148">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7AA02BD4">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6C94042A">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793CEA07">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工作日：指国家法定工作日。</w:t>
      </w:r>
      <w:r>
        <w:rPr>
          <w:rFonts w:asciiTheme="majorEastAsia" w:hAnsiTheme="majorEastAsia" w:eastAsiaTheme="majorEastAsia"/>
          <w:bCs/>
          <w:color w:val="auto"/>
          <w:sz w:val="18"/>
          <w:szCs w:val="18"/>
        </w:rPr>
        <w:t xml:space="preserve"> </w:t>
      </w:r>
    </w:p>
    <w:p w14:paraId="0412F2C1">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）成立日：指本产品开始运作的日期。</w:t>
      </w:r>
    </w:p>
    <w:p w14:paraId="2B9FC66D">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）终止日：指本产品终止的日期。</w:t>
      </w:r>
    </w:p>
    <w:p w14:paraId="280617F6">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58270C29">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161AC1B0">
      <w:pPr>
        <w:pStyle w:val="3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0F8EA787">
      <w:pPr>
        <w:pStyle w:val="34"/>
        <w:spacing w:line="360" w:lineRule="auto"/>
        <w:ind w:firstLine="360" w:firstLineChars="200"/>
        <w:rPr>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4C761B8F">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2D3FB856">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764A6019">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49178436">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1D4F89CC">
      <w:pPr>
        <w:pStyle w:val="3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5673905F">
      <w:pPr>
        <w:widowControl/>
        <w:spacing w:line="360" w:lineRule="auto"/>
        <w:ind w:firstLine="360" w:firstLineChars="200"/>
        <w:jc w:val="left"/>
        <w:rPr>
          <w:rFonts w:ascii="宋体" w:hAnsi="宋体"/>
          <w:sz w:val="18"/>
          <w:szCs w:val="18"/>
        </w:rPr>
      </w:pPr>
      <w:r>
        <w:rPr>
          <w:rFonts w:hint="eastAsia" w:ascii="宋体" w:hAnsi="宋体"/>
          <w:kern w:val="0"/>
          <w:sz w:val="18"/>
          <w:szCs w:val="18"/>
        </w:rPr>
        <w:t>（2）</w:t>
      </w:r>
      <w:r>
        <w:rPr>
          <w:rFonts w:hint="eastAsia" w:ascii="黑体" w:hAnsi="黑体" w:eastAsia="黑体" w:cs="仿宋_GB2312"/>
          <w:bCs/>
          <w:sz w:val="18"/>
          <w:szCs w:val="18"/>
        </w:rPr>
        <w:t>★</w:t>
      </w:r>
      <w:r>
        <w:rPr>
          <w:rFonts w:ascii="宋体" w:hAnsi="宋体"/>
          <w:kern w:val="0"/>
          <w:sz w:val="18"/>
          <w:szCs w:val="18"/>
        </w:rPr>
        <w:t>申购费：</w:t>
      </w:r>
      <w:r>
        <w:rPr>
          <w:rFonts w:hint="eastAsia" w:ascii="宋体" w:hAnsi="宋体"/>
          <w:kern w:val="0"/>
          <w:sz w:val="18"/>
          <w:szCs w:val="18"/>
        </w:rPr>
        <w:t>指</w:t>
      </w:r>
      <w:r>
        <w:rPr>
          <w:rFonts w:ascii="宋体" w:hAnsi="宋体"/>
          <w:kern w:val="0"/>
          <w:sz w:val="18"/>
          <w:szCs w:val="18"/>
        </w:rPr>
        <w:t>投资者申购产品时</w:t>
      </w:r>
      <w:r>
        <w:rPr>
          <w:rFonts w:hint="eastAsia" w:ascii="宋体" w:hAnsi="宋体"/>
          <w:kern w:val="0"/>
          <w:sz w:val="18"/>
          <w:szCs w:val="18"/>
        </w:rPr>
        <w:t>需缴纳的费用。</w:t>
      </w:r>
    </w:p>
    <w:p w14:paraId="0FF7DBE6">
      <w:pPr>
        <w:pStyle w:val="3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赎回费：指投资者赎回产品时需缴纳的费用。</w:t>
      </w:r>
    </w:p>
    <w:p w14:paraId="11A6D5CD">
      <w:pPr>
        <w:pStyle w:val="3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销售服务费：指因理财产品销售行为产生的费用。</w:t>
      </w:r>
    </w:p>
    <w:p w14:paraId="7868AABC">
      <w:pPr>
        <w:pStyle w:val="34"/>
        <w:spacing w:line="360" w:lineRule="auto"/>
        <w:ind w:firstLine="360" w:firstLineChars="200"/>
        <w:rPr>
          <w:rFonts w:hAnsi="宋体"/>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3F2BDDBA">
      <w:pPr>
        <w:pStyle w:val="34"/>
        <w:spacing w:line="360" w:lineRule="auto"/>
        <w:ind w:firstLine="360" w:firstLineChars="200"/>
        <w:rPr>
          <w:rFonts w:hAnsi="宋体"/>
          <w:sz w:val="18"/>
          <w:szCs w:val="18"/>
        </w:rPr>
      </w:pPr>
      <w:r>
        <w:rPr>
          <w:rFonts w:hint="eastAsia" w:hAnsi="宋体"/>
          <w:sz w:val="18"/>
          <w:szCs w:val="18"/>
        </w:rPr>
        <w:t>（6）</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2FBA2DA8">
      <w:pPr>
        <w:pStyle w:val="3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（7）</w:t>
      </w:r>
      <w:r>
        <w:rPr>
          <w:rFonts w:hint="eastAsia" w:ascii="黑体" w:hAnsi="黑体" w:eastAsia="黑体" w:cs="仿宋_GB2312"/>
          <w:bCs/>
          <w:color w:val="auto"/>
          <w:sz w:val="18"/>
          <w:szCs w:val="18"/>
        </w:rPr>
        <w:t>★</w:t>
      </w:r>
      <w:r>
        <w:rPr>
          <w:rFonts w:hint="eastAsia" w:hAnsi="宋体"/>
          <w:sz w:val="18"/>
          <w:szCs w:val="18"/>
        </w:rPr>
        <w:t>超额业绩报酬：指产品管理人依照理财产品销售</w:t>
      </w:r>
      <w:r>
        <w:rPr>
          <w:rFonts w:hAnsi="宋体"/>
          <w:sz w:val="18"/>
          <w:szCs w:val="18"/>
        </w:rPr>
        <w:t>文件</w:t>
      </w:r>
      <w:r>
        <w:rPr>
          <w:rFonts w:hint="eastAsia" w:hAnsi="宋体"/>
          <w:sz w:val="18"/>
          <w:szCs w:val="18"/>
        </w:rPr>
        <w:t>约定规则收取的浮动性质的管理费用。</w:t>
      </w:r>
    </w:p>
    <w:p w14:paraId="7D3DCEAD">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7F63C7D4">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2ED7344D">
      <w:pPr>
        <w:spacing w:line="360" w:lineRule="auto"/>
        <w:ind w:firstLine="360" w:firstLineChars="200"/>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）适用法律：指在理财销售文件签署日和履行过程中，适用中华人民共和国法律（为本协议之目的，在此不包括香港、澳门特别行政区和台湾地区的法律），包括中国任何立法机构、政府部门、银行业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p>
    <w:p w14:paraId="0C94CFEB">
      <w:pPr>
        <w:widowControl/>
        <w:spacing w:line="360" w:lineRule="auto"/>
        <w:jc w:val="left"/>
        <w:rPr>
          <w:rFonts w:ascii="宋体" w:hAnsi="宋体"/>
          <w:color w:val="000000"/>
          <w:kern w:val="0"/>
          <w:sz w:val="28"/>
          <w:szCs w:val="28"/>
        </w:rPr>
      </w:pPr>
      <w:r>
        <w:rPr>
          <w:rFonts w:hAnsi="宋体"/>
          <w:sz w:val="28"/>
          <w:szCs w:val="28"/>
        </w:rPr>
        <w:br w:type="page"/>
      </w:r>
    </w:p>
    <w:p w14:paraId="2792BFDC">
      <w:pPr>
        <w:pStyle w:val="2"/>
        <w:spacing w:before="0" w:after="0" w:line="360" w:lineRule="auto"/>
        <w:jc w:val="center"/>
        <w:rPr>
          <w:rFonts w:hAnsi="宋体"/>
          <w:sz w:val="28"/>
          <w:szCs w:val="28"/>
        </w:rPr>
      </w:pPr>
      <w:r>
        <w:rPr>
          <w:rFonts w:hint="eastAsia" w:hAnsi="宋体"/>
          <w:sz w:val="28"/>
          <w:szCs w:val="28"/>
        </w:rPr>
        <w:t xml:space="preserve">第二条  理财产品基本情况 </w:t>
      </w:r>
    </w:p>
    <w:tbl>
      <w:tblPr>
        <w:tblStyle w:val="24"/>
        <w:tblW w:w="9649"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45"/>
        <w:gridCol w:w="7704"/>
      </w:tblGrid>
      <w:tr w14:paraId="14457A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20" w:hRule="atLeast"/>
          <w:jc w:val="center"/>
        </w:trPr>
        <w:tc>
          <w:tcPr>
            <w:tcW w:w="1945" w:type="dxa"/>
            <w:shd w:val="solid" w:color="FFFFFF" w:fill="FFFFFF"/>
          </w:tcPr>
          <w:p w14:paraId="20A0139D">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704" w:type="dxa"/>
            <w:shd w:val="solid" w:color="FFFFFF" w:fill="FFFFFF"/>
            <w:vAlign w:val="center"/>
          </w:tcPr>
          <w:p w14:paraId="7A4AAA72">
            <w:pPr>
              <w:spacing w:line="360" w:lineRule="auto"/>
              <w:jc w:val="left"/>
              <w:rPr>
                <w:rFonts w:ascii="宋体" w:hAnsi="宋体"/>
                <w:bCs/>
                <w:sz w:val="18"/>
                <w:szCs w:val="18"/>
              </w:rPr>
            </w:pPr>
            <w:r>
              <w:rPr>
                <w:rFonts w:hint="eastAsia" w:ascii="宋体" w:hAnsi="宋体"/>
                <w:bCs/>
                <w:sz w:val="18"/>
                <w:szCs w:val="18"/>
              </w:rPr>
              <w:t>兴银理财稳添利日盈增利6号日开固收类理财产品</w:t>
            </w:r>
          </w:p>
        </w:tc>
      </w:tr>
      <w:tr w14:paraId="474986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45" w:type="dxa"/>
            <w:shd w:val="solid" w:color="FFFFFF" w:fill="FFFFFF"/>
          </w:tcPr>
          <w:p w14:paraId="6AE896B1">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704" w:type="dxa"/>
            <w:shd w:val="solid" w:color="FFFFFF" w:fill="FFFFFF"/>
            <w:vAlign w:val="center"/>
          </w:tcPr>
          <w:p w14:paraId="4A84162F">
            <w:pPr>
              <w:spacing w:line="360" w:lineRule="auto"/>
              <w:jc w:val="left"/>
              <w:rPr>
                <w:rFonts w:ascii="宋体" w:hAnsi="宋体"/>
                <w:kern w:val="0"/>
                <w:sz w:val="22"/>
              </w:rPr>
            </w:pPr>
            <w:r>
              <w:rPr>
                <w:rFonts w:hint="eastAsia" w:ascii="宋体" w:hAnsi="宋体"/>
                <w:bCs/>
                <w:sz w:val="18"/>
                <w:szCs w:val="18"/>
              </w:rPr>
              <w:t>【稳添利日盈增利6号D】</w:t>
            </w:r>
            <w:r>
              <w:rPr>
                <w:rFonts w:hint="eastAsia" w:hAnsi="宋体"/>
                <w:sz w:val="18"/>
                <w:szCs w:val="18"/>
              </w:rPr>
              <w:t>（适用</w:t>
            </w:r>
            <w:r>
              <w:rPr>
                <w:rFonts w:hint="eastAsia" w:asciiTheme="minorEastAsia" w:hAnsiTheme="minorEastAsia"/>
                <w:sz w:val="18"/>
                <w:szCs w:val="18"/>
              </w:rPr>
              <w:t>【</w:t>
            </w:r>
            <w:r>
              <w:rPr>
                <w:rFonts w:asciiTheme="minorEastAsia" w:hAnsiTheme="minorEastAsia"/>
                <w:sz w:val="18"/>
                <w:szCs w:val="18"/>
              </w:rPr>
              <w:t>D</w:t>
            </w:r>
            <w:r>
              <w:rPr>
                <w:rFonts w:hint="eastAsia" w:asciiTheme="minorEastAsia" w:hAnsiTheme="minorEastAsia"/>
                <w:sz w:val="18"/>
                <w:szCs w:val="18"/>
              </w:rPr>
              <w:t>】类</w:t>
            </w:r>
            <w:r>
              <w:rPr>
                <w:rFonts w:hint="eastAsia" w:hAnsi="宋体"/>
                <w:sz w:val="18"/>
                <w:szCs w:val="18"/>
              </w:rPr>
              <w:t>份额）</w:t>
            </w:r>
          </w:p>
        </w:tc>
      </w:tr>
      <w:tr w14:paraId="5504A4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14:paraId="3B4A71A7">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704" w:type="dxa"/>
            <w:shd w:val="solid" w:color="FFFFFF" w:fill="FFFFFF"/>
            <w:vAlign w:val="center"/>
          </w:tcPr>
          <w:p w14:paraId="492FA9D2">
            <w:pPr>
              <w:rPr>
                <w:rFonts w:ascii="宋体" w:hAnsi="宋体"/>
                <w:b/>
                <w:sz w:val="18"/>
                <w:szCs w:val="18"/>
              </w:rPr>
            </w:pPr>
            <w:r>
              <w:rPr>
                <w:rFonts w:hint="eastAsia" w:hAnsi="宋体"/>
                <w:sz w:val="18"/>
                <w:szCs w:val="18"/>
              </w:rPr>
              <w:t>【</w:t>
            </w:r>
            <w:r>
              <w:rPr>
                <w:rFonts w:hAnsi="宋体"/>
                <w:sz w:val="18"/>
                <w:szCs w:val="18"/>
              </w:rPr>
              <w:t>Z7002023000167</w:t>
            </w:r>
            <w:r>
              <w:rPr>
                <w:rFonts w:hint="eastAsia" w:ascii="宋体" w:hAnsi="宋体"/>
                <w:bCs/>
                <w:sz w:val="18"/>
                <w:szCs w:val="18"/>
              </w:rPr>
              <w:t>】注</w:t>
            </w:r>
            <w:r>
              <w:rPr>
                <w:rFonts w:hint="eastAsia" w:hAnsi="宋体"/>
                <w:sz w:val="18"/>
                <w:szCs w:val="18"/>
              </w:rPr>
              <w:t>：投资者可依</w:t>
            </w:r>
            <w:r>
              <w:rPr>
                <w:rFonts w:hint="eastAsia" w:ascii="宋体" w:hAnsi="宋体"/>
                <w:sz w:val="18"/>
                <w:szCs w:val="18"/>
              </w:rPr>
              <w:t>据理财产品登记编码在中国理财网(</w:t>
            </w:r>
            <w:r>
              <w:fldChar w:fldCharType="begin"/>
            </w:r>
            <w:r>
              <w:instrText xml:space="preserve"> HYPERLINK "http://www.chinawealth.com.cn" </w:instrText>
            </w:r>
            <w:r>
              <w:fldChar w:fldCharType="separate"/>
            </w:r>
            <w:r>
              <w:rPr>
                <w:rStyle w:val="29"/>
                <w:rFonts w:hint="eastAsia" w:ascii="宋体" w:hAnsi="宋体"/>
                <w:sz w:val="18"/>
                <w:szCs w:val="18"/>
              </w:rPr>
              <w:t>www.chinawealth.com.cn</w:t>
            </w:r>
            <w:r>
              <w:rPr>
                <w:rStyle w:val="29"/>
                <w:rFonts w:hint="eastAsia" w:ascii="宋体" w:hAnsi="宋体"/>
                <w:sz w:val="18"/>
                <w:szCs w:val="18"/>
              </w:rPr>
              <w:fldChar w:fldCharType="end"/>
            </w:r>
            <w:r>
              <w:rPr>
                <w:rFonts w:hint="eastAsia" w:ascii="宋体" w:hAnsi="宋体"/>
                <w:sz w:val="18"/>
                <w:szCs w:val="18"/>
              </w:rPr>
              <w:t>）查询产品信息</w:t>
            </w:r>
          </w:p>
        </w:tc>
      </w:tr>
      <w:tr w14:paraId="4C4C63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14:paraId="6D70819C">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704" w:type="dxa"/>
            <w:shd w:val="solid" w:color="FFFFFF" w:fill="FFFFFF"/>
            <w:vAlign w:val="center"/>
          </w:tcPr>
          <w:p w14:paraId="0AB32477">
            <w:pPr>
              <w:spacing w:line="360" w:lineRule="auto"/>
              <w:jc w:val="left"/>
              <w:rPr>
                <w:rFonts w:ascii="宋体" w:hAnsi="宋体"/>
                <w:bCs/>
                <w:sz w:val="18"/>
                <w:szCs w:val="18"/>
              </w:rPr>
            </w:pPr>
            <w:r>
              <w:rPr>
                <w:rFonts w:ascii="宋体" w:hAnsi="宋体"/>
                <w:bCs/>
                <w:color w:val="000000" w:themeColor="text1"/>
                <w:sz w:val="18"/>
                <w:szCs w:val="18"/>
              </w:rPr>
              <w:t>【9K921060】</w:t>
            </w:r>
          </w:p>
        </w:tc>
      </w:tr>
      <w:tr w14:paraId="1C1C42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14:paraId="6198BE0D">
            <w:pPr>
              <w:spacing w:line="360" w:lineRule="auto"/>
              <w:jc w:val="left"/>
              <w:rPr>
                <w:rFonts w:hAnsi="宋体"/>
                <w:b/>
                <w:sz w:val="18"/>
                <w:szCs w:val="18"/>
              </w:rPr>
            </w:pPr>
            <w:r>
              <w:rPr>
                <w:rFonts w:hint="eastAsia" w:hAnsi="宋体"/>
                <w:b/>
                <w:sz w:val="18"/>
                <w:szCs w:val="18"/>
              </w:rPr>
              <w:t>★销售代码</w:t>
            </w:r>
          </w:p>
        </w:tc>
        <w:tc>
          <w:tcPr>
            <w:tcW w:w="7704" w:type="dxa"/>
            <w:shd w:val="solid" w:color="FFFFFF" w:fill="FFFFFF"/>
            <w:vAlign w:val="center"/>
          </w:tcPr>
          <w:p w14:paraId="6995C508">
            <w:pPr>
              <w:spacing w:line="360" w:lineRule="auto"/>
              <w:jc w:val="left"/>
              <w:rPr>
                <w:rFonts w:hAnsi="宋体"/>
                <w:sz w:val="18"/>
                <w:szCs w:val="18"/>
              </w:rPr>
            </w:pPr>
            <w:r>
              <w:rPr>
                <w:rFonts w:hint="eastAsia" w:ascii="宋体" w:hAnsi="宋体"/>
                <w:bCs/>
                <w:sz w:val="18"/>
                <w:szCs w:val="18"/>
              </w:rPr>
              <w:t>【</w:t>
            </w:r>
            <w:r>
              <w:rPr>
                <w:rFonts w:ascii="宋体" w:hAnsi="宋体"/>
                <w:bCs/>
                <w:sz w:val="18"/>
                <w:szCs w:val="18"/>
              </w:rPr>
              <w:t>9K92106D</w:t>
            </w:r>
            <w:r>
              <w:rPr>
                <w:rFonts w:hint="eastAsia" w:ascii="宋体" w:hAnsi="宋体"/>
                <w:bCs/>
                <w:sz w:val="18"/>
                <w:szCs w:val="18"/>
              </w:rPr>
              <w:t>】</w:t>
            </w:r>
            <w:r>
              <w:rPr>
                <w:rFonts w:hint="eastAsia" w:hAnsi="宋体"/>
                <w:sz w:val="18"/>
                <w:szCs w:val="18"/>
              </w:rPr>
              <w:t>（适用</w:t>
            </w:r>
            <w:r>
              <w:rPr>
                <w:rFonts w:hint="eastAsia" w:asciiTheme="minorEastAsia" w:hAnsiTheme="minorEastAsia"/>
                <w:sz w:val="18"/>
                <w:szCs w:val="18"/>
              </w:rPr>
              <w:t>【</w:t>
            </w:r>
            <w:r>
              <w:rPr>
                <w:rFonts w:asciiTheme="minorEastAsia" w:hAnsiTheme="minorEastAsia"/>
                <w:sz w:val="18"/>
                <w:szCs w:val="18"/>
              </w:rPr>
              <w:t>D</w:t>
            </w:r>
            <w:r>
              <w:rPr>
                <w:rFonts w:hint="eastAsia" w:asciiTheme="minorEastAsia" w:hAnsiTheme="minorEastAsia"/>
                <w:sz w:val="18"/>
                <w:szCs w:val="18"/>
              </w:rPr>
              <w:t>】类</w:t>
            </w:r>
            <w:r>
              <w:rPr>
                <w:rFonts w:hint="eastAsia" w:hAnsi="宋体"/>
                <w:sz w:val="18"/>
                <w:szCs w:val="18"/>
              </w:rPr>
              <w:t>份额）</w:t>
            </w:r>
          </w:p>
        </w:tc>
      </w:tr>
      <w:tr w14:paraId="582649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14:paraId="561E1E3A">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704" w:type="dxa"/>
            <w:shd w:val="solid" w:color="FFFFFF" w:fill="FFFFFF"/>
            <w:vAlign w:val="center"/>
          </w:tcPr>
          <w:p w14:paraId="3E367435">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0D2503E4">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.本产品设置不同的理财产品份额，每类理财产品份额以下内容将单独设置：</w:t>
            </w:r>
          </w:p>
          <w:p w14:paraId="2CAB98E7">
            <w:pPr>
              <w:spacing w:line="360" w:lineRule="auto"/>
              <w:rPr>
                <w:rFonts w:ascii="宋体" w:hAnsi="宋体"/>
                <w:bCs/>
                <w:sz w:val="18"/>
                <w:szCs w:val="18"/>
              </w:rPr>
            </w:pPr>
            <w:r>
              <w:rPr>
                <w:rFonts w:hint="eastAsia" w:ascii="宋体" w:hAnsi="宋体"/>
                <w:bCs/>
                <w:sz w:val="18"/>
                <w:szCs w:val="18"/>
              </w:rPr>
              <w:t>（1）销售名称</w:t>
            </w:r>
          </w:p>
          <w:p w14:paraId="483F2F00">
            <w:pPr>
              <w:spacing w:line="360" w:lineRule="auto"/>
              <w:rPr>
                <w:rFonts w:ascii="宋体" w:hAnsi="宋体"/>
                <w:bCs/>
                <w:sz w:val="18"/>
                <w:szCs w:val="18"/>
              </w:rPr>
            </w:pPr>
            <w:r>
              <w:rPr>
                <w:rFonts w:hint="eastAsia" w:ascii="宋体" w:hAnsi="宋体"/>
                <w:bCs/>
                <w:sz w:val="18"/>
                <w:szCs w:val="18"/>
              </w:rPr>
              <w:t>（2）收费方式</w:t>
            </w:r>
          </w:p>
          <w:p w14:paraId="0BFEC73E">
            <w:pPr>
              <w:spacing w:line="360" w:lineRule="auto"/>
              <w:rPr>
                <w:rFonts w:ascii="宋体" w:hAnsi="宋体"/>
                <w:bCs/>
                <w:sz w:val="18"/>
                <w:szCs w:val="18"/>
              </w:rPr>
            </w:pPr>
            <w:r>
              <w:rPr>
                <w:rFonts w:hint="eastAsia" w:ascii="宋体" w:hAnsi="宋体"/>
                <w:bCs/>
                <w:sz w:val="18"/>
                <w:szCs w:val="18"/>
              </w:rPr>
              <w:t>（3）销售服务费</w:t>
            </w:r>
          </w:p>
          <w:p w14:paraId="3AFD47D3">
            <w:pPr>
              <w:spacing w:line="360" w:lineRule="auto"/>
              <w:rPr>
                <w:rFonts w:ascii="宋体" w:hAnsi="宋体"/>
                <w:bCs/>
                <w:sz w:val="18"/>
                <w:szCs w:val="18"/>
              </w:rPr>
            </w:pPr>
            <w:r>
              <w:rPr>
                <w:rFonts w:hint="eastAsia" w:ascii="宋体" w:hAnsi="宋体"/>
                <w:bCs/>
                <w:sz w:val="18"/>
                <w:szCs w:val="18"/>
              </w:rPr>
              <w:t>（4）销售代码</w:t>
            </w:r>
          </w:p>
          <w:p w14:paraId="2D8F47B5">
            <w:pPr>
              <w:spacing w:line="360" w:lineRule="auto"/>
              <w:rPr>
                <w:rFonts w:ascii="宋体" w:hAnsi="宋体"/>
                <w:bCs/>
                <w:sz w:val="18"/>
                <w:szCs w:val="18"/>
              </w:rPr>
            </w:pPr>
            <w:r>
              <w:rPr>
                <w:rFonts w:hint="eastAsia" w:ascii="宋体" w:hAnsi="宋体"/>
                <w:bCs/>
                <w:sz w:val="18"/>
                <w:szCs w:val="18"/>
              </w:rPr>
              <w:t>（5）销售对象</w:t>
            </w:r>
          </w:p>
          <w:p w14:paraId="1790B342">
            <w:pPr>
              <w:spacing w:line="360" w:lineRule="auto"/>
              <w:rPr>
                <w:rFonts w:ascii="宋体" w:hAnsi="宋体"/>
                <w:bCs/>
                <w:sz w:val="18"/>
                <w:szCs w:val="18"/>
              </w:rPr>
            </w:pPr>
            <w:r>
              <w:rPr>
                <w:rFonts w:hint="eastAsia" w:ascii="宋体" w:hAnsi="宋体"/>
                <w:bCs/>
                <w:sz w:val="18"/>
                <w:szCs w:val="18"/>
              </w:rPr>
              <w:t>（6）销售起点金额（认购、申购的起点金额）</w:t>
            </w:r>
          </w:p>
          <w:p w14:paraId="236BDA52">
            <w:pPr>
              <w:spacing w:line="360" w:lineRule="auto"/>
              <w:rPr>
                <w:rFonts w:ascii="宋体" w:hAnsi="宋体"/>
                <w:bCs/>
                <w:sz w:val="18"/>
                <w:szCs w:val="18"/>
              </w:rPr>
            </w:pPr>
            <w:r>
              <w:rPr>
                <w:rFonts w:hint="eastAsia" w:ascii="宋体" w:hAnsi="宋体"/>
                <w:bCs/>
                <w:sz w:val="18"/>
                <w:szCs w:val="18"/>
              </w:rPr>
              <w:t>（7）投资者认购、申购和赎回的数量限制</w:t>
            </w:r>
          </w:p>
          <w:p w14:paraId="3E4DE35D">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1C0396A5">
            <w:pPr>
              <w:spacing w:line="360" w:lineRule="auto"/>
              <w:rPr>
                <w:rFonts w:ascii="宋体" w:hAnsi="宋体"/>
                <w:bCs/>
                <w:sz w:val="18"/>
                <w:szCs w:val="18"/>
              </w:rPr>
            </w:pPr>
            <w:r>
              <w:rPr>
                <w:rFonts w:hint="eastAsia" w:ascii="宋体" w:hAnsi="宋体"/>
                <w:bCs/>
                <w:sz w:val="18"/>
                <w:szCs w:val="18"/>
              </w:rPr>
              <w:t>（9）分别计算和公告产品份额净值</w:t>
            </w:r>
          </w:p>
          <w:p w14:paraId="30F56992">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751A2865">
            <w:pPr>
              <w:spacing w:line="360" w:lineRule="auto"/>
              <w:rPr>
                <w:rFonts w:ascii="宋体" w:hAnsi="宋体"/>
                <w:bCs/>
                <w:sz w:val="18"/>
                <w:szCs w:val="18"/>
              </w:rPr>
            </w:pPr>
            <w:r>
              <w:rPr>
                <w:rFonts w:hint="eastAsia" w:ascii="黑体" w:hAnsi="黑体" w:eastAsia="黑体"/>
                <w:bCs/>
                <w:sz w:val="18"/>
                <w:szCs w:val="18"/>
              </w:rPr>
              <w:t>注：本产品说明书所列示产品份额类别仅为本产品项下某一类产品份额。其他类别的产品份额情况以产品管理人披露为准。</w:t>
            </w:r>
          </w:p>
        </w:tc>
      </w:tr>
      <w:tr w14:paraId="17A13A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7CCD24A0">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704" w:type="dxa"/>
            <w:shd w:val="solid" w:color="FFFFFF" w:fill="FFFFFF"/>
            <w:vAlign w:val="center"/>
          </w:tcPr>
          <w:p w14:paraId="2C912E46">
            <w:pPr>
              <w:adjustRightInd w:val="0"/>
              <w:snapToGrid w:val="0"/>
              <w:spacing w:line="276" w:lineRule="auto"/>
              <w:rPr>
                <w:rFonts w:ascii="宋体" w:hAnsi="宋体"/>
                <w:bCs/>
                <w:sz w:val="18"/>
                <w:szCs w:val="18"/>
              </w:rPr>
            </w:pPr>
            <w:r>
              <w:rPr>
                <w:rFonts w:hint="eastAsia" w:asciiTheme="majorEastAsia" w:hAnsiTheme="majorEastAsia" w:eastAsiaTheme="majorEastAsia"/>
                <w:sz w:val="18"/>
                <w:szCs w:val="18"/>
              </w:rPr>
              <w:t>公募</w:t>
            </w:r>
            <w:r>
              <w:rPr>
                <w:rFonts w:hint="eastAsia" w:ascii="宋体" w:hAnsi="宋体"/>
                <w:bCs/>
                <w:sz w:val="18"/>
                <w:szCs w:val="18"/>
              </w:rPr>
              <w:t>、开放式、固定收益类、非保本浮动</w:t>
            </w:r>
            <w:r>
              <w:rPr>
                <w:rFonts w:ascii="宋体" w:hAnsi="宋体"/>
                <w:bCs/>
                <w:sz w:val="18"/>
                <w:szCs w:val="18"/>
              </w:rPr>
              <w:t>收益</w:t>
            </w:r>
            <w:r>
              <w:rPr>
                <w:rFonts w:hint="eastAsia" w:ascii="宋体" w:hAnsi="宋体"/>
                <w:bCs/>
                <w:sz w:val="18"/>
                <w:szCs w:val="18"/>
              </w:rPr>
              <w:t>、净值型</w:t>
            </w:r>
          </w:p>
        </w:tc>
      </w:tr>
      <w:tr w14:paraId="086F99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0CE4EF15">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704" w:type="dxa"/>
            <w:shd w:val="solid" w:color="FFFFFF" w:fill="FFFFFF"/>
            <w:vAlign w:val="center"/>
          </w:tcPr>
          <w:p w14:paraId="0D101406">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6E3A1B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68C7CD78">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704" w:type="dxa"/>
            <w:shd w:val="solid" w:color="FFFFFF" w:fill="FFFFFF"/>
            <w:vAlign w:val="center"/>
          </w:tcPr>
          <w:p w14:paraId="2D46B79D">
            <w:pPr>
              <w:spacing w:line="360" w:lineRule="auto"/>
              <w:rPr>
                <w:rFonts w:ascii="宋体" w:hAnsi="宋体"/>
                <w:bCs/>
                <w:sz w:val="18"/>
                <w:szCs w:val="18"/>
              </w:rPr>
            </w:pPr>
            <w:r>
              <w:rPr>
                <w:rFonts w:hint="eastAsia" w:ascii="宋体" w:hAnsi="宋体"/>
                <w:bCs/>
                <w:sz w:val="18"/>
                <w:szCs w:val="18"/>
              </w:rPr>
              <w:t>开放式</w:t>
            </w:r>
          </w:p>
        </w:tc>
      </w:tr>
      <w:tr w14:paraId="42837A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FD0AC83">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产品投资性质</w:t>
            </w:r>
          </w:p>
        </w:tc>
        <w:tc>
          <w:tcPr>
            <w:tcW w:w="7704" w:type="dxa"/>
            <w:shd w:val="solid" w:color="FFFFFF" w:fill="FFFFFF"/>
            <w:vAlign w:val="center"/>
          </w:tcPr>
          <w:p w14:paraId="717E12D9">
            <w:pPr>
              <w:adjustRightInd w:val="0"/>
              <w:snapToGrid w:val="0"/>
              <w:spacing w:line="276" w:lineRule="auto"/>
              <w:rPr>
                <w:rFonts w:asciiTheme="majorEastAsia" w:hAnsiTheme="majorEastAsia" w:eastAsiaTheme="majorEastAsia"/>
                <w:b/>
                <w:color w:val="000000" w:themeColor="text1"/>
                <w:sz w:val="18"/>
                <w:szCs w:val="18"/>
              </w:rPr>
            </w:pPr>
            <w:r>
              <w:rPr>
                <w:rFonts w:hint="eastAsia" w:asciiTheme="majorEastAsia" w:hAnsiTheme="majorEastAsia" w:eastAsiaTheme="majorEastAsia"/>
                <w:b/>
                <w:color w:val="000000" w:themeColor="text1"/>
                <w:sz w:val="18"/>
                <w:szCs w:val="18"/>
              </w:rPr>
              <w:t>固定收益类</w:t>
            </w:r>
          </w:p>
          <w:p w14:paraId="112F24E5">
            <w:pPr>
              <w:adjustRightInd w:val="0"/>
              <w:snapToGrid w:val="0"/>
              <w:spacing w:line="360" w:lineRule="auto"/>
              <w:rPr>
                <w:rFonts w:ascii="宋体" w:hAnsi="宋体"/>
                <w:bCs/>
                <w:sz w:val="18"/>
                <w:szCs w:val="18"/>
              </w:rPr>
            </w:pPr>
            <w:r>
              <w:rPr>
                <w:rFonts w:hint="eastAsia" w:asciiTheme="majorEastAsia" w:hAnsiTheme="majorEastAsia" w:eastAsiaTheme="majorEastAsia"/>
                <w:sz w:val="18"/>
                <w:szCs w:val="18"/>
              </w:rPr>
              <w:t>固定</w:t>
            </w:r>
            <w:r>
              <w:rPr>
                <w:rFonts w:asciiTheme="majorEastAsia" w:hAnsiTheme="majorEastAsia" w:eastAsiaTheme="majorEastAsia"/>
                <w:sz w:val="18"/>
                <w:szCs w:val="18"/>
              </w:rPr>
              <w:t>收益</w:t>
            </w:r>
            <w:r>
              <w:rPr>
                <w:rFonts w:hint="eastAsia" w:asciiTheme="majorEastAsia" w:hAnsiTheme="majorEastAsia" w:eastAsiaTheme="majorEastAsia"/>
                <w:sz w:val="18"/>
                <w:szCs w:val="18"/>
              </w:rPr>
              <w:t>类</w:t>
            </w:r>
            <w:r>
              <w:rPr>
                <w:rFonts w:asciiTheme="majorEastAsia" w:hAnsiTheme="majorEastAsia" w:eastAsiaTheme="majorEastAsia"/>
                <w:sz w:val="18"/>
                <w:szCs w:val="18"/>
              </w:rPr>
              <w:t>产品是指根据监管</w:t>
            </w:r>
            <w:r>
              <w:rPr>
                <w:rFonts w:hint="eastAsia" w:asciiTheme="majorEastAsia" w:hAnsiTheme="majorEastAsia" w:eastAsiaTheme="majorEastAsia"/>
                <w:sz w:val="18"/>
                <w:szCs w:val="18"/>
              </w:rPr>
              <w:t>相关规定</w:t>
            </w:r>
            <w:r>
              <w:rPr>
                <w:rFonts w:asciiTheme="majorEastAsia" w:hAnsiTheme="majorEastAsia" w:eastAsiaTheme="majorEastAsia"/>
                <w:sz w:val="18"/>
                <w:szCs w:val="18"/>
              </w:rPr>
              <w:t>，投资于</w:t>
            </w:r>
            <w:r>
              <w:rPr>
                <w:rFonts w:hint="eastAsia" w:asciiTheme="majorEastAsia" w:hAnsiTheme="majorEastAsia" w:eastAsiaTheme="majorEastAsia"/>
                <w:sz w:val="18"/>
                <w:szCs w:val="18"/>
              </w:rPr>
              <w:t>存款</w:t>
            </w:r>
            <w:r>
              <w:rPr>
                <w:rFonts w:asciiTheme="majorEastAsia" w:hAnsiTheme="majorEastAsia" w:eastAsiaTheme="majorEastAsia"/>
                <w:sz w:val="18"/>
                <w:szCs w:val="18"/>
              </w:rPr>
              <w:t>、债券等债权类资产的</w:t>
            </w:r>
            <w:r>
              <w:rPr>
                <w:rFonts w:hint="eastAsia" w:asciiTheme="majorEastAsia" w:hAnsiTheme="majorEastAsia" w:eastAsiaTheme="majorEastAsia"/>
                <w:sz w:val="18"/>
                <w:szCs w:val="18"/>
              </w:rPr>
              <w:t>比例</w:t>
            </w:r>
            <w:r>
              <w:rPr>
                <w:rFonts w:asciiTheme="majorEastAsia" w:hAnsiTheme="majorEastAsia" w:eastAsiaTheme="majorEastAsia"/>
                <w:sz w:val="18"/>
                <w:szCs w:val="18"/>
              </w:rPr>
              <w:t>不低于80%的产品</w:t>
            </w:r>
            <w:r>
              <w:rPr>
                <w:rFonts w:hint="eastAsia" w:ascii="宋体" w:hAnsi="宋体"/>
                <w:bCs/>
                <w:sz w:val="18"/>
                <w:szCs w:val="18"/>
              </w:rPr>
              <w:t>。</w:t>
            </w:r>
          </w:p>
        </w:tc>
      </w:tr>
      <w:tr w14:paraId="6CA69F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5CB440DE">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704" w:type="dxa"/>
            <w:shd w:val="solid" w:color="FFFFFF" w:fill="FFFFFF"/>
            <w:vAlign w:val="center"/>
          </w:tcPr>
          <w:p w14:paraId="41F3442D">
            <w:pPr>
              <w:adjustRightInd w:val="0"/>
              <w:snapToGrid w:val="0"/>
              <w:spacing w:line="360" w:lineRule="auto"/>
              <w:rPr>
                <w:rFonts w:asciiTheme="majorEastAsia" w:hAnsiTheme="majorEastAsia" w:eastAsiaTheme="majorEastAsia"/>
                <w:b/>
                <w:sz w:val="18"/>
                <w:szCs w:val="18"/>
              </w:rPr>
            </w:pPr>
            <w:r>
              <w:rPr>
                <w:rFonts w:hint="eastAsia" w:asciiTheme="majorEastAsia" w:hAnsiTheme="majorEastAsia" w:eastAsiaTheme="majorEastAsia"/>
                <w:b/>
                <w:sz w:val="18"/>
                <w:szCs w:val="18"/>
              </w:rPr>
              <w:t>非保本浮动收益</w:t>
            </w:r>
          </w:p>
          <w:p w14:paraId="333A32AD">
            <w:pPr>
              <w:adjustRightInd w:val="0"/>
              <w:snapToGrid w:val="0"/>
              <w:spacing w:line="360" w:lineRule="auto"/>
              <w:rPr>
                <w:rFonts w:asciiTheme="majorEastAsia" w:hAnsiTheme="majorEastAsia" w:eastAsiaTheme="majorEastAsia"/>
                <w:sz w:val="18"/>
                <w:szCs w:val="18"/>
              </w:rPr>
            </w:pPr>
            <w:r>
              <w:rPr>
                <w:rFonts w:hint="eastAsia" w:asciiTheme="majorEastAsia" w:hAnsiTheme="majorEastAsia" w:eastAsiaTheme="majorEastAsia"/>
                <w:sz w:val="18"/>
                <w:szCs w:val="18"/>
              </w:rPr>
              <w:t>本产品不保证本金且不保证收益。本产品的收益随投资收益浮动，投资者可能会因市场变动而蒙受损失。</w:t>
            </w:r>
          </w:p>
          <w:p w14:paraId="3DFA7824">
            <w:pPr>
              <w:adjustRightInd w:val="0"/>
              <w:snapToGrid w:val="0"/>
              <w:spacing w:line="360" w:lineRule="auto"/>
              <w:rPr>
                <w:rFonts w:asciiTheme="majorEastAsia" w:hAnsiTheme="majorEastAsia" w:eastAsiaTheme="majorEastAsia"/>
                <w:b/>
                <w:color w:val="000000" w:themeColor="text1"/>
                <w:sz w:val="18"/>
                <w:szCs w:val="18"/>
              </w:rPr>
            </w:pPr>
            <w:r>
              <w:rPr>
                <w:rFonts w:hint="eastAsia" w:ascii="宋体" w:hAnsi="宋体"/>
                <w:b/>
                <w:sz w:val="18"/>
                <w:szCs w:val="18"/>
              </w:rPr>
              <w:t>产品管理人对本产品的本金并不提供保证，也不承诺任何固定收益。</w:t>
            </w:r>
          </w:p>
        </w:tc>
      </w:tr>
      <w:tr w14:paraId="3749F4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7D12918">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704" w:type="dxa"/>
            <w:shd w:val="solid" w:color="FFFFFF" w:fill="FFFFFF"/>
            <w:vAlign w:val="center"/>
          </w:tcPr>
          <w:p w14:paraId="5AB085DA">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6A93BB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2A98C9A">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704" w:type="dxa"/>
            <w:shd w:val="solid" w:color="FFFFFF" w:fill="FFFFFF"/>
          </w:tcPr>
          <w:p w14:paraId="3A26D27C">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本产品属于【 ■R1、□R2、□ R3、□ R4、□ R5】</w:t>
            </w:r>
            <w:r>
              <w:rPr>
                <w:rFonts w:asciiTheme="majorEastAsia" w:hAnsiTheme="majorEastAsia" w:eastAsiaTheme="majorEastAsia"/>
                <w:bCs/>
                <w:sz w:val="18"/>
                <w:szCs w:val="18"/>
              </w:rPr>
              <w:t>理财产品</w:t>
            </w:r>
            <w:r>
              <w:rPr>
                <w:rFonts w:hint="eastAsia" w:asciiTheme="majorEastAsia" w:hAnsiTheme="majorEastAsia" w:eastAsiaTheme="majorEastAsia"/>
                <w:bCs/>
                <w:sz w:val="18"/>
                <w:szCs w:val="18"/>
              </w:rPr>
              <w:t>。</w:t>
            </w:r>
          </w:p>
          <w:p w14:paraId="42048AD0">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0230BD75">
            <w:pPr>
              <w:spacing w:line="360" w:lineRule="auto"/>
              <w:rPr>
                <w:rFonts w:ascii="宋体" w:hAnsi="宋体"/>
                <w:bCs/>
                <w:sz w:val="18"/>
                <w:szCs w:val="18"/>
              </w:rPr>
            </w:pPr>
            <w:r>
              <w:rPr>
                <w:rFonts w:hint="eastAsia" w:ascii="黑体" w:hAnsi="黑体" w:eastAsia="黑体"/>
                <w:sz w:val="18"/>
                <w:szCs w:val="18"/>
              </w:rPr>
              <w:t>注</w:t>
            </w:r>
            <w:r>
              <w:rPr>
                <w:rFonts w:ascii="黑体" w:hAnsi="黑体" w:eastAsia="黑体"/>
                <w:sz w:val="18"/>
                <w:szCs w:val="18"/>
              </w:rPr>
              <w:t>：</w:t>
            </w:r>
            <w:r>
              <w:rPr>
                <w:rFonts w:hint="eastAsia" w:ascii="黑体" w:hAnsi="黑体" w:eastAsia="黑体"/>
                <w:sz w:val="18"/>
                <w:szCs w:val="18"/>
              </w:rPr>
              <w:t>若本</w:t>
            </w:r>
            <w:r>
              <w:rPr>
                <w:rFonts w:ascii="黑体" w:hAnsi="黑体" w:eastAsia="黑体"/>
                <w:sz w:val="18"/>
                <w:szCs w:val="18"/>
              </w:rPr>
              <w:t>产品通过代理销售机构销售的，</w:t>
            </w:r>
            <w:r>
              <w:rPr>
                <w:rFonts w:hint="eastAsia" w:ascii="黑体" w:hAnsi="黑体" w:eastAsia="黑体"/>
                <w:sz w:val="18"/>
                <w:szCs w:val="18"/>
              </w:rPr>
              <w:t>理财产品</w:t>
            </w:r>
            <w:r>
              <w:rPr>
                <w:rFonts w:ascii="黑体" w:hAnsi="黑体" w:eastAsia="黑体"/>
                <w:sz w:val="18"/>
                <w:szCs w:val="18"/>
              </w:rPr>
              <w:t>评级</w:t>
            </w:r>
            <w:r>
              <w:rPr>
                <w:rFonts w:hint="eastAsia" w:ascii="黑体" w:hAnsi="黑体" w:eastAsia="黑体"/>
                <w:sz w:val="18"/>
                <w:szCs w:val="18"/>
              </w:rPr>
              <w:t>以</w:t>
            </w:r>
            <w:r>
              <w:rPr>
                <w:rFonts w:ascii="黑体" w:hAnsi="黑体" w:eastAsia="黑体"/>
                <w:sz w:val="18"/>
                <w:szCs w:val="18"/>
              </w:rPr>
              <w:t>代理销售机构最终披露的评级结果为准。</w:t>
            </w:r>
          </w:p>
        </w:tc>
      </w:tr>
      <w:tr w14:paraId="3543D0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4B13FA0F">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704" w:type="dxa"/>
            <w:shd w:val="solid" w:color="FFFFFF" w:fill="FFFFFF"/>
            <w:vAlign w:val="bottom"/>
          </w:tcPr>
          <w:p w14:paraId="6278A9F2">
            <w:pPr>
              <w:spacing w:line="360" w:lineRule="auto"/>
              <w:rPr>
                <w:rFonts w:asciiTheme="majorEastAsia" w:hAnsiTheme="majorEastAsia" w:eastAsiaTheme="majorEastAsia"/>
                <w:bCs/>
                <w:color w:val="000000" w:themeColor="text1"/>
                <w:sz w:val="18"/>
                <w:szCs w:val="18"/>
              </w:rPr>
            </w:pPr>
            <w:r>
              <w:rPr>
                <w:rFonts w:hint="eastAsia" w:asciiTheme="majorEastAsia" w:hAnsiTheme="majorEastAsia" w:eastAsiaTheme="majorEastAsia"/>
                <w:bCs/>
                <w:color w:val="000000" w:themeColor="text1"/>
                <w:sz w:val="18"/>
                <w:szCs w:val="18"/>
              </w:rPr>
              <w:t>本产品</w:t>
            </w:r>
            <w:r>
              <w:rPr>
                <w:rFonts w:asciiTheme="majorEastAsia" w:hAnsiTheme="majorEastAsia" w:eastAsiaTheme="majorEastAsia"/>
                <w:bCs/>
                <w:color w:val="000000" w:themeColor="text1"/>
                <w:sz w:val="18"/>
                <w:szCs w:val="18"/>
              </w:rPr>
              <w:t>适合以下类型投资者：</w:t>
            </w:r>
          </w:p>
          <w:p w14:paraId="4381C267">
            <w:pPr>
              <w:spacing w:line="360" w:lineRule="auto"/>
              <w:rPr>
                <w:rFonts w:asciiTheme="majorEastAsia" w:hAnsiTheme="majorEastAsia" w:eastAsiaTheme="majorEastAsia"/>
                <w:bCs/>
                <w:color w:val="000000" w:themeColor="text1"/>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rPr>
              <w:t>个人投资者</w:t>
            </w:r>
          </w:p>
          <w:p w14:paraId="4B00F387">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lang w:eastAsia="zh-CN"/>
              </w:rPr>
              <w:t>■</w:t>
            </w:r>
            <w:r>
              <w:rPr>
                <w:rFonts w:hint="eastAsia" w:asciiTheme="majorEastAsia" w:hAnsiTheme="majorEastAsia" w:eastAsiaTheme="majorEastAsia"/>
                <w:bCs/>
                <w:color w:val="000000" w:themeColor="text1"/>
                <w:sz w:val="18"/>
                <w:szCs w:val="18"/>
              </w:rPr>
              <w:t>机构投资者：■一般</w:t>
            </w:r>
            <w:r>
              <w:rPr>
                <w:rFonts w:asciiTheme="majorEastAsia" w:hAnsiTheme="majorEastAsia" w:eastAsiaTheme="majorEastAsia"/>
                <w:bCs/>
                <w:color w:val="000000" w:themeColor="text1"/>
                <w:sz w:val="18"/>
                <w:szCs w:val="18"/>
              </w:rPr>
              <w:t>机构</w:t>
            </w:r>
            <w:r>
              <w:rPr>
                <w:rFonts w:hint="eastAsia" w:asciiTheme="majorEastAsia" w:hAnsiTheme="majorEastAsia" w:eastAsiaTheme="majorEastAsia"/>
                <w:bCs/>
                <w:color w:val="000000" w:themeColor="text1"/>
                <w:sz w:val="18"/>
                <w:szCs w:val="18"/>
              </w:rPr>
              <w:t xml:space="preserve">客户 </w:t>
            </w:r>
            <w:r>
              <w:rPr>
                <w:rFonts w:asciiTheme="majorEastAsia" w:hAnsiTheme="majorEastAsia" w:eastAsiaTheme="majorEastAsia"/>
                <w:bCs/>
                <w:color w:val="000000" w:themeColor="text1"/>
                <w:sz w:val="18"/>
                <w:szCs w:val="18"/>
              </w:rPr>
              <w:t xml:space="preserve">  </w:t>
            </w:r>
            <w:r>
              <w:rPr>
                <w:rFonts w:hint="eastAsia" w:asciiTheme="majorEastAsia" w:hAnsiTheme="majorEastAsia" w:eastAsiaTheme="majorEastAsia"/>
                <w:bCs/>
                <w:color w:val="000000" w:themeColor="text1"/>
                <w:sz w:val="18"/>
                <w:szCs w:val="18"/>
              </w:rPr>
              <w:t>■</w:t>
            </w:r>
            <w:bookmarkStart w:id="0" w:name="_GoBack"/>
            <w:bookmarkEnd w:id="0"/>
            <w:r>
              <w:rPr>
                <w:rFonts w:hint="eastAsia" w:asciiTheme="majorEastAsia" w:hAnsiTheme="majorEastAsia" w:eastAsiaTheme="majorEastAsia"/>
                <w:bCs/>
                <w:color w:val="000000" w:themeColor="text1"/>
                <w:sz w:val="18"/>
                <w:szCs w:val="18"/>
              </w:rPr>
              <w:t>金融同业客户</w:t>
            </w:r>
          </w:p>
        </w:tc>
      </w:tr>
      <w:tr w14:paraId="52CE9E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5DDAEDDD">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704" w:type="dxa"/>
            <w:shd w:val="solid" w:color="FFFFFF" w:fill="FFFFFF"/>
            <w:vAlign w:val="center"/>
          </w:tcPr>
          <w:p w14:paraId="036B1F91">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3B2A86CC">
            <w:pPr>
              <w:spacing w:line="360" w:lineRule="auto"/>
              <w:rPr>
                <w:rFonts w:asciiTheme="majorEastAsia" w:hAnsiTheme="majorEastAsia" w:eastAsiaTheme="majorEastAsia"/>
                <w:bCs/>
                <w:color w:val="000000" w:themeColor="text1"/>
                <w:sz w:val="18"/>
                <w:szCs w:val="18"/>
              </w:rPr>
            </w:pPr>
            <w:r>
              <w:rPr>
                <w:rFonts w:hint="eastAsia" w:ascii="黑体" w:hAnsi="黑体" w:eastAsia="黑体"/>
                <w:bCs/>
                <w:sz w:val="18"/>
                <w:szCs w:val="18"/>
              </w:rPr>
              <w:t>特别提示：当销售机构销售产品风险评级为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的理财产品时，可在销售机构的营业网点进行，也可依据销售机构的政策在营业网点之外的其他场景进行（具体政策以销售机构公布执行的为准）。</w:t>
            </w:r>
          </w:p>
        </w:tc>
      </w:tr>
      <w:tr w14:paraId="33E45C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0976E97E">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704" w:type="dxa"/>
            <w:shd w:val="solid" w:color="FFFFFF" w:fill="FFFFFF"/>
            <w:vAlign w:val="center"/>
          </w:tcPr>
          <w:p w14:paraId="0C032524">
            <w:pPr>
              <w:spacing w:line="360" w:lineRule="auto"/>
              <w:jc w:val="left"/>
              <w:rPr>
                <w:rFonts w:ascii="宋体" w:hAnsi="宋体"/>
                <w:sz w:val="18"/>
                <w:szCs w:val="18"/>
              </w:rPr>
            </w:pPr>
            <w:r>
              <w:rPr>
                <w:rFonts w:hint="eastAsia" w:ascii="宋体" w:hAnsi="宋体"/>
                <w:sz w:val="18"/>
                <w:szCs w:val="18"/>
              </w:rPr>
              <w:t>□ 直销适用</w:t>
            </w:r>
          </w:p>
          <w:p w14:paraId="1A69C99E">
            <w:pPr>
              <w:spacing w:line="360" w:lineRule="auto"/>
              <w:jc w:val="left"/>
              <w:rPr>
                <w:rFonts w:ascii="宋体" w:hAnsi="宋体"/>
                <w:sz w:val="18"/>
                <w:szCs w:val="18"/>
              </w:rPr>
            </w:pPr>
            <w:r>
              <w:rPr>
                <w:rFonts w:hint="eastAsia" w:ascii="宋体" w:hAnsi="宋体"/>
                <w:sz w:val="18"/>
                <w:szCs w:val="18"/>
              </w:rPr>
              <w:t>本产品由产品管理人销售。</w:t>
            </w:r>
          </w:p>
          <w:p w14:paraId="1D4B52F0">
            <w:pPr>
              <w:spacing w:line="360" w:lineRule="auto"/>
              <w:jc w:val="left"/>
              <w:rPr>
                <w:rFonts w:ascii="宋体" w:hAnsi="宋体"/>
                <w:sz w:val="18"/>
                <w:szCs w:val="18"/>
              </w:rPr>
            </w:pPr>
            <w:r>
              <w:rPr>
                <w:rFonts w:hint="eastAsia" w:asciiTheme="majorEastAsia" w:hAnsiTheme="majorEastAsia" w:eastAsiaTheme="majorEastAsia"/>
                <w:bCs/>
                <w:sz w:val="18"/>
                <w:szCs w:val="18"/>
              </w:rPr>
              <w:t>■</w:t>
            </w:r>
            <w:r>
              <w:rPr>
                <w:rFonts w:hint="eastAsia" w:ascii="宋体" w:hAnsi="宋体"/>
                <w:sz w:val="18"/>
                <w:szCs w:val="18"/>
              </w:rPr>
              <w:t xml:space="preserve"> 代销适用</w:t>
            </w:r>
          </w:p>
          <w:p w14:paraId="694C975E">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6E54160F">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25EEA5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254B93A6">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704" w:type="dxa"/>
            <w:shd w:val="solid" w:color="FFFFFF" w:fill="FFFFFF"/>
            <w:vAlign w:val="center"/>
          </w:tcPr>
          <w:p w14:paraId="63365EA3">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兴银理财有限责任公司</w:t>
            </w:r>
          </w:p>
        </w:tc>
      </w:tr>
      <w:tr w14:paraId="4608EF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3CF09F62">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704" w:type="dxa"/>
            <w:shd w:val="solid" w:color="FFFFFF" w:fill="FFFFFF"/>
            <w:vAlign w:val="center"/>
          </w:tcPr>
          <w:p w14:paraId="14843292">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14:paraId="73B3F9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0746C13E">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704" w:type="dxa"/>
            <w:shd w:val="solid" w:color="FFFFFF" w:fill="FFFFFF"/>
            <w:vAlign w:val="center"/>
          </w:tcPr>
          <w:p w14:paraId="7FEF81F0">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】亿元，最小成立规模为【/】亿元。</w:t>
            </w:r>
          </w:p>
          <w:p w14:paraId="7446F0C5">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14:paraId="3F518C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630110D5">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704" w:type="dxa"/>
            <w:shd w:val="solid" w:color="FFFFFF" w:fill="FFFFFF"/>
            <w:vAlign w:val="center"/>
          </w:tcPr>
          <w:p w14:paraId="4962C5A0">
            <w:pPr>
              <w:spacing w:line="360" w:lineRule="auto"/>
              <w:rPr>
                <w:rFonts w:asciiTheme="majorEastAsia" w:hAnsiTheme="majorEastAsia" w:eastAsiaTheme="majorEastAsia"/>
                <w:bCs/>
                <w:sz w:val="18"/>
                <w:szCs w:val="18"/>
              </w:rPr>
            </w:pPr>
            <w:r>
              <w:rPr>
                <w:rFonts w:hint="eastAsia" w:cs="仿宋_GB2312" w:asciiTheme="majorEastAsia" w:hAnsiTheme="majorEastAsia" w:eastAsiaTheme="majorEastAsia"/>
                <w:kern w:val="0"/>
                <w:sz w:val="18"/>
                <w:szCs w:val="18"/>
              </w:rPr>
              <w:t>无固定期限</w:t>
            </w:r>
          </w:p>
        </w:tc>
      </w:tr>
      <w:tr w14:paraId="2D4931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5B222C71">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704" w:type="dxa"/>
            <w:shd w:val="solid" w:color="FFFFFF" w:fill="FFFFFF"/>
            <w:vAlign w:val="center"/>
          </w:tcPr>
          <w:p w14:paraId="06728BF9">
            <w:pPr>
              <w:spacing w:line="360" w:lineRule="auto"/>
              <w:rPr>
                <w:rFonts w:asciiTheme="minorEastAsia" w:hAnsiTheme="minorEastAsia"/>
                <w:bCs/>
                <w:sz w:val="18"/>
                <w:szCs w:val="18"/>
              </w:rPr>
            </w:pPr>
            <w:r>
              <w:rPr>
                <w:rFonts w:asciiTheme="minorEastAsia" w:hAnsiTheme="minorEastAsia"/>
                <w:bCs/>
                <w:sz w:val="18"/>
                <w:szCs w:val="18"/>
              </w:rPr>
              <w:t>1.本产品认购期/募集期为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rPr>
              <w:t>【2023年3月21日9:00至2023年3月27日17:00】</w:t>
            </w:r>
            <w:r>
              <w:rPr>
                <w:rFonts w:asciiTheme="majorEastAsia" w:hAnsiTheme="majorEastAsia" w:eastAsiaTheme="majorEastAsia"/>
                <w:sz w:val="18"/>
                <w:szCs w:val="18"/>
              </w:rPr>
              <w:t>。</w:t>
            </w:r>
          </w:p>
          <w:p w14:paraId="16423708">
            <w:pPr>
              <w:spacing w:line="360" w:lineRule="auto"/>
              <w:rPr>
                <w:rFonts w:ascii="宋体" w:hAnsi="宋体"/>
                <w:bCs/>
                <w:sz w:val="18"/>
                <w:szCs w:val="18"/>
              </w:rPr>
            </w:pPr>
            <w:r>
              <w:rPr>
                <w:rFonts w:ascii="宋体" w:hAnsi="宋体"/>
                <w:bCs/>
                <w:sz w:val="18"/>
                <w:szCs w:val="18"/>
              </w:rPr>
              <w:t>2</w:t>
            </w:r>
            <w:r>
              <w:rPr>
                <w:rFonts w:asciiTheme="minorEastAsia" w:hAnsiTheme="minorEastAsia"/>
                <w:bCs/>
                <w:sz w:val="18"/>
                <w:szCs w:val="18"/>
              </w:rPr>
              <w:t>.</w:t>
            </w:r>
            <w:r>
              <w:rPr>
                <w:rFonts w:hint="eastAsia" w:ascii="宋体" w:hAnsi="宋体"/>
                <w:bCs/>
                <w:sz w:val="18"/>
                <w:szCs w:val="18"/>
              </w:rPr>
              <w:t>投资者在认购期</w:t>
            </w:r>
            <w:r>
              <w:rPr>
                <w:rFonts w:ascii="宋体" w:hAnsi="宋体"/>
                <w:bCs/>
                <w:sz w:val="18"/>
                <w:szCs w:val="18"/>
              </w:rPr>
              <w:t>/募集</w:t>
            </w:r>
            <w:r>
              <w:rPr>
                <w:rFonts w:hint="eastAsia" w:ascii="宋体" w:hAnsi="宋体"/>
                <w:sz w:val="18"/>
                <w:szCs w:val="18"/>
              </w:rPr>
              <w:t>期内认购</w:t>
            </w:r>
            <w:r>
              <w:rPr>
                <w:rFonts w:hint="eastAsia" w:ascii="宋体" w:hAnsi="宋体"/>
                <w:bCs/>
                <w:sz w:val="18"/>
                <w:szCs w:val="18"/>
              </w:rPr>
              <w:t>本</w:t>
            </w:r>
            <w:r>
              <w:rPr>
                <w:rFonts w:hint="eastAsia" w:ascii="宋体" w:hAnsi="宋体"/>
                <w:sz w:val="18"/>
                <w:szCs w:val="18"/>
              </w:rPr>
              <w:t>理财</w:t>
            </w:r>
            <w:r>
              <w:rPr>
                <w:rFonts w:hint="eastAsia" w:ascii="宋体" w:hAnsi="宋体"/>
                <w:bCs/>
                <w:sz w:val="18"/>
                <w:szCs w:val="18"/>
              </w:rPr>
              <w:t>产品后，</w:t>
            </w:r>
            <w:r>
              <w:rPr>
                <w:rFonts w:hint="eastAsia" w:ascii="宋体" w:hAnsi="宋体"/>
                <w:sz w:val="18"/>
                <w:szCs w:val="18"/>
              </w:rPr>
              <w:t>理财</w:t>
            </w:r>
            <w:r>
              <w:rPr>
                <w:rFonts w:hint="eastAsia" w:ascii="宋体" w:hAnsi="宋体"/>
                <w:bCs/>
                <w:sz w:val="18"/>
                <w:szCs w:val="18"/>
              </w:rPr>
              <w:t>资金将在成立日开始进行投资。</w:t>
            </w:r>
          </w:p>
          <w:p w14:paraId="47B5AAEE">
            <w:pPr>
              <w:spacing w:line="360" w:lineRule="auto"/>
              <w:rPr>
                <w:rFonts w:ascii="宋体" w:hAnsi="宋体"/>
                <w:sz w:val="18"/>
              </w:rPr>
            </w:pPr>
            <w:r>
              <w:rPr>
                <w:rFonts w:ascii="宋体" w:hAnsi="宋体"/>
                <w:bCs/>
                <w:sz w:val="18"/>
                <w:szCs w:val="18"/>
              </w:rPr>
              <w:t>3</w:t>
            </w:r>
            <w:r>
              <w:rPr>
                <w:rFonts w:asciiTheme="minorEastAsia" w:hAnsiTheme="minorEastAsia"/>
                <w:bCs/>
                <w:sz w:val="18"/>
                <w:szCs w:val="18"/>
              </w:rPr>
              <w:t>.认购期/</w:t>
            </w:r>
            <w:r>
              <w:rPr>
                <w:rFonts w:hint="eastAsia" w:ascii="宋体" w:hAnsi="宋体"/>
                <w:bCs/>
                <w:sz w:val="18"/>
                <w:szCs w:val="18"/>
              </w:rPr>
              <w:t>募集期内资金按照活期存款利息计息，认购期</w:t>
            </w:r>
            <w:r>
              <w:rPr>
                <w:rFonts w:ascii="宋体" w:hAnsi="宋体"/>
                <w:bCs/>
                <w:sz w:val="18"/>
                <w:szCs w:val="18"/>
              </w:rPr>
              <w:t>/募集期内的利息不计入认购</w:t>
            </w:r>
            <w:r>
              <w:rPr>
                <w:rFonts w:hint="eastAsia" w:ascii="宋体" w:hAnsi="宋体"/>
                <w:bCs/>
                <w:sz w:val="18"/>
                <w:szCs w:val="18"/>
              </w:rPr>
              <w:t>资金</w:t>
            </w:r>
            <w:r>
              <w:rPr>
                <w:rFonts w:hint="eastAsia" w:ascii="宋体" w:hAnsi="宋体"/>
                <w:sz w:val="18"/>
                <w:szCs w:val="18"/>
              </w:rPr>
              <w:t>。</w:t>
            </w:r>
          </w:p>
        </w:tc>
      </w:tr>
      <w:tr w14:paraId="690AA2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3A705FE1">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704" w:type="dxa"/>
            <w:shd w:val="solid" w:color="FFFFFF" w:fill="FFFFFF"/>
            <w:vAlign w:val="center"/>
          </w:tcPr>
          <w:p w14:paraId="60AF26AE">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056871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626BE38B">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704" w:type="dxa"/>
            <w:shd w:val="solid" w:color="FFFFFF" w:fill="FFFFFF"/>
            <w:vAlign w:val="center"/>
          </w:tcPr>
          <w:p w14:paraId="46629FFA">
            <w:pPr>
              <w:spacing w:line="360" w:lineRule="auto"/>
              <w:rPr>
                <w:rFonts w:asciiTheme="minorEastAsia" w:hAnsiTheme="minorEastAsia"/>
                <w:bCs/>
                <w:sz w:val="18"/>
                <w:szCs w:val="18"/>
              </w:rPr>
            </w:pPr>
            <w:r>
              <w:rPr>
                <w:rFonts w:asciiTheme="minorEastAsia" w:hAnsiTheme="minorEastAsia"/>
                <w:bCs/>
                <w:sz w:val="18"/>
                <w:szCs w:val="18"/>
              </w:rPr>
              <w:t>1.本产品的</w:t>
            </w:r>
            <w:r>
              <w:rPr>
                <w:rFonts w:hint="eastAsia" w:asciiTheme="minorEastAsia" w:hAnsiTheme="minorEastAsia"/>
                <w:bCs/>
                <w:sz w:val="18"/>
                <w:szCs w:val="18"/>
              </w:rPr>
              <w:t>计划成立日为</w:t>
            </w:r>
            <w:r>
              <w:rPr>
                <w:rFonts w:asciiTheme="minorEastAsia" w:hAnsiTheme="minorEastAsia"/>
                <w:bCs/>
                <w:sz w:val="18"/>
                <w:szCs w:val="18"/>
              </w:rPr>
              <w:t>：</w:t>
            </w:r>
            <w:r>
              <w:rPr>
                <w:rFonts w:hint="eastAsia" w:cs="Times New Roman" w:asciiTheme="minorEastAsia" w:hAnsiTheme="minorEastAsia"/>
                <w:sz w:val="18"/>
                <w:szCs w:val="18"/>
              </w:rPr>
              <w:t>【2023年3月28日】（遇节假日顺延）</w:t>
            </w:r>
            <w:r>
              <w:rPr>
                <w:rFonts w:hint="eastAsia" w:asciiTheme="minorEastAsia" w:hAnsiTheme="minorEastAsia"/>
                <w:bCs/>
                <w:sz w:val="18"/>
                <w:szCs w:val="18"/>
              </w:rPr>
              <w:t>。</w:t>
            </w:r>
          </w:p>
          <w:p w14:paraId="09A36B84">
            <w:pPr>
              <w:spacing w:line="360" w:lineRule="auto"/>
              <w:rPr>
                <w:rFonts w:asciiTheme="majorEastAsia" w:hAnsiTheme="majorEastAsia" w:eastAsiaTheme="majorEastAsia"/>
                <w:bCs/>
                <w:sz w:val="18"/>
                <w:szCs w:val="18"/>
              </w:rPr>
            </w:pPr>
            <w:r>
              <w:rPr>
                <w:rFonts w:asciiTheme="minorEastAsia" w:hAnsiTheme="minorEastAsia"/>
                <w:bCs/>
                <w:sz w:val="18"/>
                <w:szCs w:val="18"/>
              </w:rPr>
              <w:t>2.产品管理人有权根据实际募集情况提前或延后产品成立日期，并相应调整其他产品要素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14:paraId="5C516B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14:paraId="2F0B38BA">
            <w:pPr>
              <w:spacing w:line="360" w:lineRule="auto"/>
              <w:jc w:val="left"/>
              <w:rPr>
                <w:rFonts w:asciiTheme="minorEastAsia" w:hAnsiTheme="minorEastAsia"/>
                <w:b/>
                <w:bCs/>
                <w:sz w:val="18"/>
                <w:szCs w:val="18"/>
              </w:rPr>
            </w:pPr>
            <w:r>
              <w:rPr>
                <w:rFonts w:hint="eastAsia" w:hAnsi="宋体"/>
                <w:sz w:val="18"/>
                <w:szCs w:val="18"/>
              </w:rPr>
              <w:t>★</w:t>
            </w:r>
            <w:r>
              <w:rPr>
                <w:rFonts w:hint="eastAsia" w:asciiTheme="minorEastAsia" w:hAnsiTheme="minorEastAsia"/>
                <w:b/>
                <w:sz w:val="18"/>
                <w:szCs w:val="18"/>
              </w:rPr>
              <w:t>封闭期</w:t>
            </w:r>
          </w:p>
        </w:tc>
        <w:tc>
          <w:tcPr>
            <w:tcW w:w="7704" w:type="dxa"/>
            <w:shd w:val="solid" w:color="FFFFFF" w:fill="FFFFFF"/>
          </w:tcPr>
          <w:p w14:paraId="1A9F6C19">
            <w:pPr>
              <w:spacing w:line="360" w:lineRule="auto"/>
              <w:rPr>
                <w:rFonts w:asciiTheme="minorEastAsia" w:hAnsiTheme="minorEastAsia" w:eastAsiaTheme="majorEastAsia" w:cstheme="majorBidi"/>
                <w:b/>
                <w:bCs/>
                <w:sz w:val="18"/>
                <w:szCs w:val="18"/>
              </w:rPr>
            </w:pPr>
            <w:r>
              <w:rPr>
                <w:rFonts w:cs="Times New Roman" w:asciiTheme="minorEastAsia" w:hAnsiTheme="minorEastAsia"/>
                <w:sz w:val="18"/>
                <w:szCs w:val="18"/>
              </w:rPr>
              <w:t>1.</w:t>
            </w:r>
            <w:r>
              <w:rPr>
                <w:rFonts w:hint="eastAsia" w:ascii="宋体" w:hAnsi="宋体"/>
                <w:bCs/>
                <w:sz w:val="18"/>
                <w:szCs w:val="18"/>
              </w:rPr>
              <w:t>本产品封闭期为：</w:t>
            </w:r>
            <w:r>
              <w:rPr>
                <w:rFonts w:hint="eastAsia" w:cs="Times New Roman" w:asciiTheme="minorEastAsia" w:hAnsiTheme="minorEastAsia"/>
                <w:sz w:val="18"/>
                <w:szCs w:val="18"/>
              </w:rPr>
              <w:t>【2023年3月28日至2023年4月10日】</w:t>
            </w:r>
            <w:r>
              <w:rPr>
                <w:rFonts w:hint="eastAsia" w:asciiTheme="majorEastAsia" w:hAnsiTheme="majorEastAsia" w:eastAsiaTheme="majorEastAsia"/>
                <w:sz w:val="18"/>
                <w:szCs w:val="18"/>
              </w:rPr>
              <w:t>。</w:t>
            </w:r>
          </w:p>
          <w:p w14:paraId="2C467149">
            <w:pPr>
              <w:spacing w:line="360" w:lineRule="auto"/>
              <w:rPr>
                <w:rFonts w:asciiTheme="minorEastAsia" w:hAnsiTheme="minorEastAsia"/>
                <w:bCs/>
                <w:sz w:val="18"/>
                <w:szCs w:val="18"/>
              </w:rPr>
            </w:pPr>
            <w:r>
              <w:rPr>
                <w:rFonts w:asciiTheme="minorEastAsia" w:hAnsiTheme="minorEastAsia"/>
                <w:sz w:val="18"/>
                <w:szCs w:val="18"/>
              </w:rPr>
              <w:t>2.</w:t>
            </w:r>
            <w:r>
              <w:rPr>
                <w:rFonts w:hint="eastAsia" w:asciiTheme="minorEastAsia" w:hAnsiTheme="minorEastAsia"/>
                <w:sz w:val="18"/>
                <w:szCs w:val="18"/>
              </w:rPr>
              <w:t>封闭期内不接受申购或赎回申请。</w:t>
            </w:r>
          </w:p>
        </w:tc>
      </w:tr>
      <w:tr w14:paraId="1BA7B3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5EF0B8C8">
            <w:pPr>
              <w:spacing w:line="360" w:lineRule="auto"/>
              <w:jc w:val="left"/>
              <w:rPr>
                <w:rFonts w:hAnsi="宋体"/>
                <w:sz w:val="18"/>
                <w:szCs w:val="18"/>
              </w:rPr>
            </w:pPr>
            <w:r>
              <w:rPr>
                <w:rFonts w:hint="eastAsia" w:hAnsi="宋体"/>
                <w:sz w:val="18"/>
                <w:szCs w:val="18"/>
              </w:rPr>
              <w:t>★</w:t>
            </w:r>
            <w:r>
              <w:rPr>
                <w:rFonts w:hint="eastAsia" w:ascii="宋体" w:hAnsi="宋体"/>
                <w:b/>
                <w:bCs/>
                <w:kern w:val="0"/>
                <w:sz w:val="18"/>
                <w:szCs w:val="18"/>
              </w:rPr>
              <w:t>申购/赎回安排</w:t>
            </w:r>
          </w:p>
        </w:tc>
        <w:tc>
          <w:tcPr>
            <w:tcW w:w="7704" w:type="dxa"/>
            <w:shd w:val="solid" w:color="FFFFFF" w:fill="FFFFFF"/>
          </w:tcPr>
          <w:p w14:paraId="3B8E8634">
            <w:pPr>
              <w:spacing w:line="360" w:lineRule="auto"/>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w:t>
            </w:r>
            <w:r>
              <w:rPr>
                <w:rFonts w:hint="eastAsia" w:asciiTheme="minorEastAsia" w:hAnsiTheme="minorEastAsia"/>
                <w:sz w:val="18"/>
                <w:szCs w:val="18"/>
              </w:rPr>
              <w:t>本产品在封闭期后，产品按以下规则设置开放期：</w:t>
            </w:r>
          </w:p>
          <w:p w14:paraId="6EE8D896">
            <w:pPr>
              <w:spacing w:line="360" w:lineRule="auto"/>
              <w:rPr>
                <w:rFonts w:asciiTheme="minorEastAsia" w:hAnsiTheme="minorEastAsia"/>
                <w:sz w:val="18"/>
                <w:szCs w:val="18"/>
              </w:rPr>
            </w:pPr>
            <w:r>
              <w:rPr>
                <w:rFonts w:hint="eastAsia" w:asciiTheme="minorEastAsia" w:hAnsiTheme="minorEastAsia"/>
                <w:sz w:val="18"/>
                <w:szCs w:val="18"/>
              </w:rPr>
              <w:t>（1）本</w:t>
            </w:r>
            <w:r>
              <w:rPr>
                <w:rFonts w:asciiTheme="minorEastAsia" w:hAnsiTheme="minorEastAsia"/>
                <w:sz w:val="18"/>
                <w:szCs w:val="18"/>
              </w:rPr>
              <w:t>产品成立后</w:t>
            </w:r>
            <w:r>
              <w:rPr>
                <w:rFonts w:hint="eastAsia" w:asciiTheme="minorEastAsia" w:hAnsiTheme="minorEastAsia"/>
                <w:sz w:val="18"/>
                <w:szCs w:val="18"/>
              </w:rPr>
              <w:t>，</w:t>
            </w:r>
            <w:r>
              <w:rPr>
                <w:rFonts w:asciiTheme="minorEastAsia" w:hAnsiTheme="minorEastAsia"/>
                <w:sz w:val="18"/>
                <w:szCs w:val="18"/>
              </w:rPr>
              <w:t>在封闭期之</w:t>
            </w:r>
            <w:r>
              <w:rPr>
                <w:rFonts w:hint="eastAsia" w:asciiTheme="minorEastAsia" w:hAnsiTheme="minorEastAsia"/>
                <w:sz w:val="18"/>
                <w:szCs w:val="18"/>
              </w:rPr>
              <w:t>后的每个【工作日】为开放日，开放日开放投资者的申购与赎回；</w:t>
            </w:r>
          </w:p>
          <w:p w14:paraId="6AAC1EB9">
            <w:pPr>
              <w:spacing w:line="360" w:lineRule="auto"/>
              <w:rPr>
                <w:rFonts w:asciiTheme="minorEastAsia" w:hAnsiTheme="minorEastAsia"/>
                <w:sz w:val="18"/>
                <w:szCs w:val="18"/>
              </w:rPr>
            </w:pPr>
            <w:r>
              <w:rPr>
                <w:rFonts w:hint="eastAsia" w:asciiTheme="minorEastAsia" w:hAnsiTheme="minorEastAsia"/>
                <w:sz w:val="18"/>
                <w:szCs w:val="18"/>
              </w:rPr>
              <w:t>（2）产品管理人公告暂停开放的日期除外。</w:t>
            </w:r>
          </w:p>
          <w:p w14:paraId="72DBCAE9">
            <w:pPr>
              <w:spacing w:line="360" w:lineRule="auto"/>
              <w:rPr>
                <w:rFonts w:eastAsia="黑体" w:asciiTheme="minorEastAsia" w:hAnsiTheme="minorEastAsia"/>
                <w:b/>
                <w:sz w:val="18"/>
                <w:szCs w:val="18"/>
              </w:rPr>
            </w:pPr>
            <w:r>
              <w:rPr>
                <w:rFonts w:hint="eastAsia" w:asciiTheme="minorEastAsia" w:hAnsiTheme="minorEastAsia"/>
                <w:sz w:val="18"/>
                <w:szCs w:val="18"/>
              </w:rPr>
              <w:t>2</w:t>
            </w:r>
            <w:r>
              <w:rPr>
                <w:rFonts w:asciiTheme="minorEastAsia" w:hAnsiTheme="minorEastAsia"/>
                <w:sz w:val="18"/>
                <w:szCs w:val="18"/>
              </w:rPr>
              <w:t>.</w:t>
            </w:r>
            <w:r>
              <w:rPr>
                <w:rFonts w:hint="eastAsia" w:asciiTheme="minorEastAsia" w:hAnsiTheme="minorEastAsia"/>
                <w:sz w:val="18"/>
                <w:szCs w:val="18"/>
              </w:rPr>
              <w:t>申购安排</w:t>
            </w:r>
          </w:p>
          <w:p w14:paraId="4FD619D7">
            <w:pPr>
              <w:spacing w:line="360" w:lineRule="auto"/>
              <w:rPr>
                <w:rFonts w:eastAsia="黑体" w:asciiTheme="minorEastAsia" w:hAnsiTheme="minorEastAsia"/>
                <w:b/>
                <w:sz w:val="18"/>
                <w:szCs w:val="18"/>
              </w:rPr>
            </w:pPr>
            <w:r>
              <w:rPr>
                <w:rFonts w:hint="eastAsia" w:asciiTheme="minorEastAsia" w:hAnsiTheme="minorEastAsia"/>
                <w:sz w:val="18"/>
                <w:szCs w:val="18"/>
              </w:rPr>
              <w:t>（1）申购的时间</w:t>
            </w:r>
          </w:p>
          <w:p w14:paraId="54145FE5">
            <w:pPr>
              <w:spacing w:line="360" w:lineRule="auto"/>
              <w:rPr>
                <w:rFonts w:eastAsia="黑体" w:asciiTheme="minorEastAsia" w:hAnsiTheme="minorEastAsia"/>
                <w:b/>
                <w:sz w:val="18"/>
                <w:szCs w:val="18"/>
              </w:rPr>
            </w:pPr>
            <w:r>
              <w:rPr>
                <w:rFonts w:hint="eastAsia" w:asciiTheme="minorEastAsia" w:hAnsiTheme="minorEastAsia"/>
                <w:sz w:val="18"/>
                <w:szCs w:val="18"/>
              </w:rPr>
              <w:t>本产品封闭期后的每个开放日开放申购。投资者可于开放日内提交申购申请，产品管理人公告暂停开放的日期除外。</w:t>
            </w:r>
          </w:p>
          <w:p w14:paraId="571F13C0">
            <w:pPr>
              <w:spacing w:line="360" w:lineRule="auto"/>
              <w:rPr>
                <w:rFonts w:eastAsia="黑体" w:asciiTheme="minorEastAsia" w:hAnsiTheme="minorEastAsia"/>
                <w:b/>
                <w:sz w:val="18"/>
                <w:szCs w:val="18"/>
              </w:rPr>
            </w:pPr>
            <w:r>
              <w:rPr>
                <w:rFonts w:hint="eastAsia" w:asciiTheme="minorEastAsia" w:hAnsiTheme="minorEastAsia"/>
                <w:sz w:val="18"/>
                <w:szCs w:val="18"/>
              </w:rPr>
              <w:t>（2）申购的确认</w:t>
            </w:r>
          </w:p>
          <w:tbl>
            <w:tblPr>
              <w:tblStyle w:val="25"/>
              <w:tblW w:w="750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7"/>
              <w:gridCol w:w="1701"/>
              <w:gridCol w:w="1984"/>
              <w:gridCol w:w="1985"/>
            </w:tblGrid>
            <w:tr w14:paraId="4CAFFF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9" w:hRule="atLeast"/>
              </w:trPr>
              <w:tc>
                <w:tcPr>
                  <w:tcW w:w="1837" w:type="dxa"/>
                  <w:vAlign w:val="center"/>
                </w:tcPr>
                <w:p w14:paraId="7E96EE40">
                  <w:pPr>
                    <w:spacing w:line="360" w:lineRule="auto"/>
                    <w:jc w:val="center"/>
                    <w:rPr>
                      <w:rFonts w:asciiTheme="minorEastAsia" w:hAnsiTheme="minorEastAsia"/>
                      <w:b/>
                      <w:bCs/>
                      <w:sz w:val="18"/>
                      <w:szCs w:val="18"/>
                    </w:rPr>
                  </w:pPr>
                  <w:r>
                    <w:rPr>
                      <w:rFonts w:hint="eastAsia" w:asciiTheme="majorEastAsia" w:hAnsiTheme="majorEastAsia" w:eastAsiaTheme="majorEastAsia"/>
                      <w:b/>
                      <w:bCs/>
                      <w:sz w:val="18"/>
                      <w:szCs w:val="18"/>
                    </w:rPr>
                    <w:t>申购申请日</w:t>
                  </w:r>
                </w:p>
              </w:tc>
              <w:tc>
                <w:tcPr>
                  <w:tcW w:w="1701" w:type="dxa"/>
                  <w:vAlign w:val="center"/>
                </w:tcPr>
                <w:p w14:paraId="05634601">
                  <w:pPr>
                    <w:spacing w:line="360" w:lineRule="auto"/>
                    <w:jc w:val="center"/>
                    <w:rPr>
                      <w:rFonts w:cs="Times New Roman" w:asciiTheme="minorEastAsia" w:hAnsiTheme="minorEastAsia"/>
                      <w:b/>
                      <w:bCs/>
                      <w:sz w:val="18"/>
                      <w:szCs w:val="18"/>
                    </w:rPr>
                  </w:pPr>
                  <w:r>
                    <w:rPr>
                      <w:rFonts w:hint="eastAsia" w:cs="Times New Roman" w:asciiTheme="minorEastAsia" w:hAnsiTheme="minorEastAsia"/>
                      <w:b/>
                      <w:bCs/>
                      <w:sz w:val="18"/>
                      <w:szCs w:val="18"/>
                    </w:rPr>
                    <w:t>申购日</w:t>
                  </w:r>
                </w:p>
              </w:tc>
              <w:tc>
                <w:tcPr>
                  <w:tcW w:w="1984" w:type="dxa"/>
                  <w:vAlign w:val="center"/>
                </w:tcPr>
                <w:p w14:paraId="191FD95A">
                  <w:pPr>
                    <w:spacing w:line="360" w:lineRule="auto"/>
                    <w:jc w:val="center"/>
                    <w:rPr>
                      <w:rFonts w:asciiTheme="minorEastAsia" w:hAnsiTheme="minorEastAsia"/>
                      <w:b/>
                      <w:bCs/>
                      <w:sz w:val="18"/>
                      <w:szCs w:val="18"/>
                    </w:rPr>
                  </w:pPr>
                  <w:r>
                    <w:rPr>
                      <w:rFonts w:hint="eastAsia" w:cs="Times New Roman" w:asciiTheme="minorEastAsia" w:hAnsiTheme="minorEastAsia"/>
                      <w:b/>
                      <w:bCs/>
                      <w:sz w:val="18"/>
                      <w:szCs w:val="18"/>
                    </w:rPr>
                    <w:t>申购确认日</w:t>
                  </w:r>
                </w:p>
              </w:tc>
              <w:tc>
                <w:tcPr>
                  <w:tcW w:w="1985" w:type="dxa"/>
                  <w:vAlign w:val="center"/>
                </w:tcPr>
                <w:p w14:paraId="11331895">
                  <w:pPr>
                    <w:spacing w:line="360" w:lineRule="auto"/>
                    <w:jc w:val="center"/>
                    <w:rPr>
                      <w:rFonts w:cs="Times New Roman" w:asciiTheme="minorEastAsia" w:hAnsiTheme="minorEastAsia"/>
                      <w:b/>
                      <w:bCs/>
                      <w:sz w:val="18"/>
                      <w:szCs w:val="18"/>
                    </w:rPr>
                  </w:pPr>
                  <w:r>
                    <w:rPr>
                      <w:rFonts w:hint="eastAsia" w:cs="Times New Roman" w:asciiTheme="minorEastAsia" w:hAnsiTheme="minorEastAsia"/>
                      <w:b/>
                      <w:bCs/>
                      <w:sz w:val="18"/>
                      <w:szCs w:val="18"/>
                    </w:rPr>
                    <w:t>申购确认方式</w:t>
                  </w:r>
                </w:p>
              </w:tc>
            </w:tr>
            <w:tr w14:paraId="013FA8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14:paraId="6957A5A4">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开放日内交易时间：</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0：00</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 xml:space="preserve">-【17：00】 </w:t>
                  </w:r>
                </w:p>
              </w:tc>
              <w:tc>
                <w:tcPr>
                  <w:tcW w:w="1701" w:type="dxa"/>
                  <w:vAlign w:val="center"/>
                </w:tcPr>
                <w:p w14:paraId="0C4C3ACB">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申购申请日当日</w:t>
                  </w:r>
                </w:p>
              </w:tc>
              <w:tc>
                <w:tcPr>
                  <w:tcW w:w="1984" w:type="dxa"/>
                  <w:vAlign w:val="center"/>
                </w:tcPr>
                <w:p w14:paraId="1F8F8840">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申购日后的下一个开放日</w:t>
                  </w:r>
                </w:p>
              </w:tc>
              <w:tc>
                <w:tcPr>
                  <w:tcW w:w="1985" w:type="dxa"/>
                  <w:vMerge w:val="restart"/>
                </w:tcPr>
                <w:p w14:paraId="3DCCBA66">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产品管理人在申购确认日对投资者的申购申请的有效性进行确认，并登记理财份额。</w:t>
                  </w:r>
                </w:p>
              </w:tc>
            </w:tr>
            <w:tr w14:paraId="4AD955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14:paraId="4BCC4DAD">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开放日内非交易时间：</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17：00</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 xml:space="preserve">-【24：00】 </w:t>
                  </w:r>
                </w:p>
              </w:tc>
              <w:tc>
                <w:tcPr>
                  <w:tcW w:w="1701" w:type="dxa"/>
                  <w:vAlign w:val="center"/>
                </w:tcPr>
                <w:p w14:paraId="3F5A48C0">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申购申请日后的下一个开放日</w:t>
                  </w:r>
                </w:p>
              </w:tc>
              <w:tc>
                <w:tcPr>
                  <w:tcW w:w="1984" w:type="dxa"/>
                  <w:vAlign w:val="center"/>
                </w:tcPr>
                <w:p w14:paraId="5818ABCA">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申购日后的下一个开放日</w:t>
                  </w:r>
                </w:p>
              </w:tc>
              <w:tc>
                <w:tcPr>
                  <w:tcW w:w="1985" w:type="dxa"/>
                  <w:vMerge w:val="continue"/>
                </w:tcPr>
                <w:p w14:paraId="67C11C02">
                  <w:pPr>
                    <w:spacing w:line="360" w:lineRule="auto"/>
                    <w:jc w:val="left"/>
                    <w:rPr>
                      <w:rFonts w:asciiTheme="majorEastAsia" w:hAnsiTheme="majorEastAsia" w:eastAsiaTheme="majorEastAsia"/>
                      <w:bCs/>
                      <w:sz w:val="18"/>
                      <w:szCs w:val="18"/>
                    </w:rPr>
                  </w:pPr>
                </w:p>
              </w:tc>
            </w:tr>
            <w:tr w14:paraId="274D54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14:paraId="6E192FE0">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非开放日 </w:t>
                  </w:r>
                </w:p>
              </w:tc>
              <w:tc>
                <w:tcPr>
                  <w:tcW w:w="1701" w:type="dxa"/>
                  <w:vAlign w:val="center"/>
                </w:tcPr>
                <w:p w14:paraId="02203AFE">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申购申请日后的下一个开放日</w:t>
                  </w:r>
                </w:p>
              </w:tc>
              <w:tc>
                <w:tcPr>
                  <w:tcW w:w="1984" w:type="dxa"/>
                  <w:vAlign w:val="center"/>
                </w:tcPr>
                <w:p w14:paraId="1A793E07">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申购日后的下一个开放日</w:t>
                  </w:r>
                </w:p>
              </w:tc>
              <w:tc>
                <w:tcPr>
                  <w:tcW w:w="1985" w:type="dxa"/>
                  <w:vMerge w:val="continue"/>
                </w:tcPr>
                <w:p w14:paraId="0F6975F1">
                  <w:pPr>
                    <w:spacing w:line="360" w:lineRule="auto"/>
                    <w:jc w:val="left"/>
                    <w:rPr>
                      <w:rFonts w:asciiTheme="majorEastAsia" w:hAnsiTheme="majorEastAsia" w:eastAsiaTheme="majorEastAsia"/>
                      <w:bCs/>
                      <w:sz w:val="18"/>
                      <w:szCs w:val="18"/>
                    </w:rPr>
                  </w:pPr>
                </w:p>
              </w:tc>
            </w:tr>
          </w:tbl>
          <w:p w14:paraId="2FA17226">
            <w:pPr>
              <w:spacing w:line="360" w:lineRule="auto"/>
              <w:rPr>
                <w:rFonts w:asciiTheme="minorEastAsia" w:hAnsiTheme="minorEastAsia"/>
                <w:sz w:val="18"/>
                <w:szCs w:val="18"/>
              </w:rPr>
            </w:pPr>
            <w:r>
              <w:rPr>
                <w:rFonts w:asciiTheme="minorEastAsia" w:hAnsiTheme="minorEastAsia"/>
                <w:sz w:val="18"/>
                <w:szCs w:val="18"/>
              </w:rPr>
              <w:t>3.赎回</w:t>
            </w:r>
            <w:r>
              <w:rPr>
                <w:rFonts w:hint="eastAsia" w:asciiTheme="minorEastAsia" w:hAnsiTheme="minorEastAsia"/>
                <w:sz w:val="18"/>
                <w:szCs w:val="18"/>
              </w:rPr>
              <w:t>安排</w:t>
            </w:r>
          </w:p>
          <w:p w14:paraId="0E961E5E">
            <w:pPr>
              <w:spacing w:line="360" w:lineRule="auto"/>
              <w:rPr>
                <w:rFonts w:asciiTheme="minorEastAsia" w:hAnsiTheme="minorEastAsia"/>
                <w:sz w:val="18"/>
                <w:szCs w:val="18"/>
              </w:rPr>
            </w:pPr>
            <w:r>
              <w:rPr>
                <w:rFonts w:hint="eastAsia" w:asciiTheme="minorEastAsia" w:hAnsiTheme="minorEastAsia"/>
                <w:sz w:val="18"/>
                <w:szCs w:val="18"/>
              </w:rPr>
              <w:t>（1）赎回的时间</w:t>
            </w:r>
          </w:p>
          <w:p w14:paraId="4C82EF3D">
            <w:pPr>
              <w:spacing w:line="360" w:lineRule="auto"/>
              <w:rPr>
                <w:rFonts w:asciiTheme="minorEastAsia" w:hAnsiTheme="minorEastAsia"/>
                <w:sz w:val="18"/>
                <w:szCs w:val="18"/>
              </w:rPr>
            </w:pPr>
            <w:r>
              <w:rPr>
                <w:rFonts w:hint="eastAsia" w:asciiTheme="minorEastAsia" w:hAnsiTheme="minorEastAsia"/>
                <w:sz w:val="18"/>
                <w:szCs w:val="18"/>
              </w:rPr>
              <w:t>本产品</w:t>
            </w:r>
            <w:r>
              <w:rPr>
                <w:rFonts w:asciiTheme="minorEastAsia" w:hAnsiTheme="minorEastAsia"/>
                <w:sz w:val="18"/>
                <w:szCs w:val="18"/>
              </w:rPr>
              <w:t>封闭期</w:t>
            </w:r>
            <w:r>
              <w:rPr>
                <w:rFonts w:hint="eastAsia" w:asciiTheme="minorEastAsia" w:hAnsiTheme="minorEastAsia"/>
                <w:sz w:val="18"/>
                <w:szCs w:val="18"/>
              </w:rPr>
              <w:t>后</w:t>
            </w:r>
            <w:r>
              <w:rPr>
                <w:rFonts w:hint="eastAsia" w:cs="Times New Roman" w:asciiTheme="minorEastAsia" w:hAnsiTheme="minorEastAsia"/>
                <w:sz w:val="18"/>
                <w:szCs w:val="18"/>
              </w:rPr>
              <w:t>的</w:t>
            </w:r>
            <w:r>
              <w:rPr>
                <w:rFonts w:hint="eastAsia" w:asciiTheme="minorEastAsia" w:hAnsiTheme="minorEastAsia"/>
                <w:sz w:val="18"/>
                <w:szCs w:val="18"/>
              </w:rPr>
              <w:t>每个开放日开放</w:t>
            </w:r>
            <w:r>
              <w:rPr>
                <w:rFonts w:hint="eastAsia" w:asciiTheme="minorEastAsia" w:hAnsiTheme="minorEastAsia"/>
                <w:bCs/>
                <w:sz w:val="18"/>
                <w:szCs w:val="18"/>
              </w:rPr>
              <w:t>赎回</w:t>
            </w:r>
            <w:r>
              <w:rPr>
                <w:rFonts w:asciiTheme="minorEastAsia" w:hAnsiTheme="minorEastAsia"/>
                <w:sz w:val="18"/>
                <w:szCs w:val="18"/>
              </w:rPr>
              <w:t>。</w:t>
            </w:r>
            <w:r>
              <w:rPr>
                <w:rFonts w:hint="eastAsia" w:asciiTheme="minorEastAsia" w:hAnsiTheme="minorEastAsia"/>
                <w:sz w:val="18"/>
                <w:szCs w:val="18"/>
              </w:rPr>
              <w:t>投资者可于开放日内提交赎回申请，产品管理人公告暂停开放的日期除外</w:t>
            </w:r>
            <w:r>
              <w:rPr>
                <w:rFonts w:hint="eastAsia" w:asciiTheme="majorEastAsia" w:hAnsiTheme="majorEastAsia" w:eastAsiaTheme="majorEastAsia"/>
                <w:bCs/>
                <w:sz w:val="18"/>
                <w:szCs w:val="18"/>
              </w:rPr>
              <w:t>。</w:t>
            </w:r>
          </w:p>
          <w:p w14:paraId="6668E38E">
            <w:pPr>
              <w:spacing w:line="360" w:lineRule="auto"/>
              <w:rPr>
                <w:rFonts w:asciiTheme="minorEastAsia" w:hAnsiTheme="minorEastAsia"/>
                <w:sz w:val="18"/>
                <w:szCs w:val="18"/>
              </w:rPr>
            </w:pPr>
            <w:r>
              <w:rPr>
                <w:rFonts w:hint="eastAsia" w:asciiTheme="minorEastAsia" w:hAnsiTheme="minorEastAsia"/>
                <w:sz w:val="18"/>
                <w:szCs w:val="18"/>
              </w:rPr>
              <w:t>（2）赎回的确认</w:t>
            </w:r>
          </w:p>
          <w:tbl>
            <w:tblPr>
              <w:tblStyle w:val="25"/>
              <w:tblW w:w="75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3"/>
              <w:gridCol w:w="1701"/>
              <w:gridCol w:w="1984"/>
              <w:gridCol w:w="2043"/>
            </w:tblGrid>
            <w:tr w14:paraId="22E085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4" w:hRule="atLeast"/>
                <w:jc w:val="center"/>
              </w:trPr>
              <w:tc>
                <w:tcPr>
                  <w:tcW w:w="1833" w:type="dxa"/>
                  <w:vAlign w:val="center"/>
                </w:tcPr>
                <w:p w14:paraId="364B25B4">
                  <w:pPr>
                    <w:spacing w:line="360" w:lineRule="auto"/>
                    <w:jc w:val="left"/>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赎回申请日</w:t>
                  </w:r>
                </w:p>
              </w:tc>
              <w:tc>
                <w:tcPr>
                  <w:tcW w:w="1701" w:type="dxa"/>
                </w:tcPr>
                <w:p w14:paraId="4F88D5BE">
                  <w:pPr>
                    <w:spacing w:line="360" w:lineRule="auto"/>
                    <w:jc w:val="left"/>
                    <w:rPr>
                      <w:rFonts w:cs="Times New Roman" w:asciiTheme="minorEastAsia" w:hAnsiTheme="minorEastAsia" w:eastAsiaTheme="minorEastAsia"/>
                      <w:b/>
                      <w:bCs/>
                      <w:kern w:val="0"/>
                      <w:sz w:val="18"/>
                      <w:szCs w:val="18"/>
                    </w:rPr>
                  </w:pPr>
                  <w:r>
                    <w:rPr>
                      <w:rFonts w:hint="eastAsia" w:cs="Times New Roman" w:asciiTheme="minorEastAsia" w:hAnsiTheme="minorEastAsia" w:eastAsiaTheme="minorEastAsia"/>
                      <w:b/>
                      <w:bCs/>
                      <w:kern w:val="0"/>
                      <w:sz w:val="18"/>
                      <w:szCs w:val="18"/>
                    </w:rPr>
                    <w:t>赎回</w:t>
                  </w:r>
                  <w:r>
                    <w:rPr>
                      <w:rFonts w:cs="Times New Roman" w:asciiTheme="minorEastAsia" w:hAnsiTheme="minorEastAsia" w:eastAsiaTheme="minorEastAsia"/>
                      <w:b/>
                      <w:bCs/>
                      <w:kern w:val="0"/>
                      <w:sz w:val="18"/>
                      <w:szCs w:val="18"/>
                    </w:rPr>
                    <w:t>日</w:t>
                  </w:r>
                </w:p>
              </w:tc>
              <w:tc>
                <w:tcPr>
                  <w:tcW w:w="1984" w:type="dxa"/>
                  <w:vAlign w:val="center"/>
                </w:tcPr>
                <w:p w14:paraId="09013F5B">
                  <w:pPr>
                    <w:spacing w:line="360" w:lineRule="auto"/>
                    <w:jc w:val="left"/>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赎回确认日</w:t>
                  </w:r>
                </w:p>
              </w:tc>
              <w:tc>
                <w:tcPr>
                  <w:tcW w:w="2043" w:type="dxa"/>
                  <w:vAlign w:val="center"/>
                </w:tcPr>
                <w:p w14:paraId="0822E84B">
                  <w:pPr>
                    <w:spacing w:line="360" w:lineRule="auto"/>
                    <w:jc w:val="left"/>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赎回确认方式</w:t>
                  </w:r>
                </w:p>
              </w:tc>
            </w:tr>
            <w:tr w14:paraId="3E9B48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9" w:hRule="atLeast"/>
                <w:jc w:val="center"/>
              </w:trPr>
              <w:tc>
                <w:tcPr>
                  <w:tcW w:w="1833" w:type="dxa"/>
                  <w:tcBorders>
                    <w:bottom w:val="single" w:color="auto" w:sz="12" w:space="0"/>
                  </w:tcBorders>
                  <w:vAlign w:val="center"/>
                </w:tcPr>
                <w:p w14:paraId="0D789481">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开放日内交易时间：</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0：00</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-【17：00】</w:t>
                  </w:r>
                </w:p>
              </w:tc>
              <w:tc>
                <w:tcPr>
                  <w:tcW w:w="1701" w:type="dxa"/>
                  <w:tcBorders>
                    <w:bottom w:val="single" w:color="auto" w:sz="12" w:space="0"/>
                  </w:tcBorders>
                  <w:vAlign w:val="center"/>
                </w:tcPr>
                <w:p w14:paraId="49C6B7B1">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赎回申请日当日</w:t>
                  </w:r>
                </w:p>
              </w:tc>
              <w:tc>
                <w:tcPr>
                  <w:tcW w:w="1984" w:type="dxa"/>
                  <w:tcBorders>
                    <w:bottom w:val="single" w:color="auto" w:sz="12" w:space="0"/>
                  </w:tcBorders>
                  <w:vAlign w:val="center"/>
                </w:tcPr>
                <w:p w14:paraId="75D0E6CB">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restart"/>
                  <w:vAlign w:val="center"/>
                </w:tcPr>
                <w:p w14:paraId="700FCCE9">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产品管理人在赎回</w:t>
                  </w:r>
                  <w:r>
                    <w:rPr>
                      <w:rFonts w:cs="Times New Roman" w:asciiTheme="minorEastAsia" w:hAnsiTheme="minorEastAsia" w:eastAsiaTheme="minorEastAsia"/>
                      <w:bCs/>
                      <w:kern w:val="0"/>
                      <w:sz w:val="18"/>
                      <w:szCs w:val="18"/>
                    </w:rPr>
                    <w:t>确认日</w:t>
                  </w:r>
                  <w:r>
                    <w:rPr>
                      <w:rFonts w:hint="eastAsia" w:cs="Times New Roman" w:asciiTheme="minorEastAsia" w:hAnsiTheme="minorEastAsia" w:eastAsiaTheme="minorEastAsia"/>
                      <w:bCs/>
                      <w:kern w:val="0"/>
                      <w:sz w:val="18"/>
                      <w:szCs w:val="18"/>
                    </w:rPr>
                    <w:t>对赎回申请的有效性进行确认，并注销理财份额。</w:t>
                  </w:r>
                </w:p>
              </w:tc>
            </w:tr>
            <w:tr w14:paraId="2BC5AC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bottom w:val="single" w:color="auto" w:sz="12" w:space="0"/>
                  </w:tcBorders>
                  <w:vAlign w:val="center"/>
                </w:tcPr>
                <w:p w14:paraId="50A81511">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开放日内非交易时间：</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17：00</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-【24：00】</w:t>
                  </w:r>
                </w:p>
              </w:tc>
              <w:tc>
                <w:tcPr>
                  <w:tcW w:w="1701" w:type="dxa"/>
                  <w:tcBorders>
                    <w:top w:val="single" w:color="auto" w:sz="12" w:space="0"/>
                    <w:bottom w:val="single" w:color="auto" w:sz="12" w:space="0"/>
                  </w:tcBorders>
                  <w:vAlign w:val="center"/>
                </w:tcPr>
                <w:p w14:paraId="55F8BE5B">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bottom w:val="single" w:color="auto" w:sz="12" w:space="0"/>
                  </w:tcBorders>
                  <w:vAlign w:val="center"/>
                </w:tcPr>
                <w:p w14:paraId="371D562C">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vAlign w:val="center"/>
                </w:tcPr>
                <w:p w14:paraId="2C75F201">
                  <w:pPr>
                    <w:spacing w:line="360" w:lineRule="auto"/>
                    <w:rPr>
                      <w:rFonts w:cs="Times New Roman" w:asciiTheme="minorEastAsia" w:hAnsiTheme="minorEastAsia" w:eastAsiaTheme="minorEastAsia"/>
                      <w:bCs/>
                      <w:kern w:val="0"/>
                      <w:sz w:val="18"/>
                      <w:szCs w:val="18"/>
                    </w:rPr>
                  </w:pPr>
                </w:p>
              </w:tc>
            </w:tr>
            <w:tr w14:paraId="36CF97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tcBorders>
                  <w:vAlign w:val="center"/>
                </w:tcPr>
                <w:p w14:paraId="0D1DE1C7">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非</w:t>
                  </w:r>
                  <w:r>
                    <w:rPr>
                      <w:rFonts w:asciiTheme="majorEastAsia" w:hAnsiTheme="majorEastAsia" w:eastAsiaTheme="majorEastAsia"/>
                      <w:bCs/>
                      <w:sz w:val="18"/>
                      <w:szCs w:val="18"/>
                    </w:rPr>
                    <w:t>开放</w:t>
                  </w:r>
                  <w:r>
                    <w:rPr>
                      <w:rFonts w:hint="eastAsia" w:asciiTheme="majorEastAsia" w:hAnsiTheme="majorEastAsia" w:eastAsiaTheme="majorEastAsia"/>
                      <w:bCs/>
                      <w:sz w:val="18"/>
                      <w:szCs w:val="18"/>
                    </w:rPr>
                    <w:t>日</w:t>
                  </w:r>
                </w:p>
              </w:tc>
              <w:tc>
                <w:tcPr>
                  <w:tcW w:w="1701" w:type="dxa"/>
                  <w:tcBorders>
                    <w:top w:val="single" w:color="auto" w:sz="12" w:space="0"/>
                  </w:tcBorders>
                  <w:vAlign w:val="center"/>
                </w:tcPr>
                <w:p w14:paraId="023538A2">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tcBorders>
                </w:tcPr>
                <w:p w14:paraId="5EFB86CC">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tcPr>
                <w:p w14:paraId="2B3FFCFC">
                  <w:pPr>
                    <w:spacing w:line="360" w:lineRule="auto"/>
                    <w:rPr>
                      <w:rFonts w:cs="Times New Roman" w:asciiTheme="minorEastAsia" w:hAnsiTheme="minorEastAsia" w:eastAsiaTheme="minorEastAsia"/>
                      <w:bCs/>
                      <w:kern w:val="0"/>
                      <w:sz w:val="18"/>
                      <w:szCs w:val="18"/>
                    </w:rPr>
                  </w:pPr>
                </w:p>
              </w:tc>
            </w:tr>
          </w:tbl>
          <w:p w14:paraId="3D5B98F8">
            <w:pPr>
              <w:spacing w:line="360" w:lineRule="auto"/>
              <w:rPr>
                <w:rFonts w:asciiTheme="majorEastAsia" w:hAnsiTheme="majorEastAsia" w:eastAsiaTheme="majorEastAsia"/>
                <w:bCs/>
                <w:color w:val="000000" w:themeColor="text1"/>
                <w:sz w:val="18"/>
                <w:szCs w:val="18"/>
              </w:rPr>
            </w:pPr>
            <w:r>
              <w:rPr>
                <w:rFonts w:hint="eastAsia" w:asciiTheme="majorEastAsia" w:hAnsiTheme="majorEastAsia" w:eastAsiaTheme="majorEastAsia"/>
                <w:bCs/>
                <w:color w:val="000000" w:themeColor="text1"/>
                <w:sz w:val="18"/>
                <w:szCs w:val="18"/>
              </w:rPr>
              <w:t>注：</w:t>
            </w:r>
            <w:r>
              <w:rPr>
                <w:rFonts w:hint="eastAsia" w:asciiTheme="majorEastAsia" w:hAnsiTheme="majorEastAsia"/>
                <w:color w:val="000000" w:themeColor="text1"/>
                <w:sz w:val="18"/>
              </w:rPr>
              <w:t>赎回</w:t>
            </w:r>
            <w:r>
              <w:rPr>
                <w:rFonts w:hint="eastAsia" w:asciiTheme="majorEastAsia" w:hAnsiTheme="majorEastAsia" w:eastAsiaTheme="majorEastAsia"/>
                <w:bCs/>
                <w:color w:val="000000" w:themeColor="text1"/>
                <w:sz w:val="18"/>
                <w:szCs w:val="18"/>
              </w:rPr>
              <w:t>款项于</w:t>
            </w:r>
            <w:r>
              <w:rPr>
                <w:rFonts w:hint="eastAsia" w:cs="Times New Roman" w:asciiTheme="minorEastAsia" w:hAnsiTheme="minorEastAsia" w:eastAsiaTheme="minorEastAsia"/>
                <w:bCs/>
                <w:kern w:val="0"/>
                <w:sz w:val="18"/>
                <w:szCs w:val="18"/>
              </w:rPr>
              <w:t>赎回</w:t>
            </w:r>
            <w:r>
              <w:rPr>
                <w:rFonts w:hint="eastAsia" w:asciiTheme="minorEastAsia" w:hAnsiTheme="minorEastAsia"/>
                <w:kern w:val="0"/>
                <w:sz w:val="18"/>
              </w:rPr>
              <w:t>日后【1】个开放日</w:t>
            </w:r>
            <w:r>
              <w:rPr>
                <w:rFonts w:hint="eastAsia" w:cs="Times New Roman" w:asciiTheme="minorEastAsia" w:hAnsiTheme="minorEastAsia" w:eastAsiaTheme="minorEastAsia"/>
                <w:bCs/>
                <w:kern w:val="0"/>
                <w:sz w:val="18"/>
                <w:szCs w:val="18"/>
              </w:rPr>
              <w:t>内支付给</w:t>
            </w:r>
            <w:r>
              <w:rPr>
                <w:rFonts w:hint="eastAsia" w:asciiTheme="minorEastAsia" w:hAnsiTheme="minorEastAsia"/>
                <w:kern w:val="0"/>
                <w:sz w:val="18"/>
              </w:rPr>
              <w:t>投资者</w:t>
            </w:r>
            <w:r>
              <w:rPr>
                <w:rFonts w:hint="eastAsia" w:cs="Times New Roman" w:asciiTheme="minorEastAsia" w:hAnsiTheme="minorEastAsia" w:eastAsiaTheme="minorEastAsia"/>
                <w:bCs/>
                <w:kern w:val="0"/>
                <w:sz w:val="18"/>
                <w:szCs w:val="18"/>
              </w:rPr>
              <w:t>。</w:t>
            </w:r>
          </w:p>
          <w:p w14:paraId="38A783AC">
            <w:pPr>
              <w:spacing w:line="360" w:lineRule="auto"/>
              <w:rPr>
                <w:rFonts w:asciiTheme="minorEastAsia" w:hAnsiTheme="minorEastAsia" w:eastAsiaTheme="minorEastAsia"/>
                <w:sz w:val="18"/>
                <w:szCs w:val="18"/>
              </w:rPr>
            </w:pPr>
            <w:r>
              <w:rPr>
                <w:rFonts w:asciiTheme="majorEastAsia" w:hAnsiTheme="majorEastAsia" w:eastAsiaTheme="majorEastAsia"/>
                <w:bCs/>
                <w:color w:val="000000" w:themeColor="text1"/>
                <w:sz w:val="18"/>
                <w:szCs w:val="18"/>
              </w:rPr>
              <w:t>4.申购/</w:t>
            </w:r>
            <w:r>
              <w:rPr>
                <w:rFonts w:hint="eastAsia" w:asciiTheme="majorEastAsia" w:hAnsiTheme="majorEastAsia" w:eastAsiaTheme="majorEastAsia"/>
                <w:bCs/>
                <w:color w:val="000000" w:themeColor="text1"/>
                <w:sz w:val="18"/>
                <w:szCs w:val="18"/>
              </w:rPr>
              <w:t>赎回申请时间如遇非工作日，则产品管理人做相应调整。</w:t>
            </w:r>
          </w:p>
          <w:p w14:paraId="4525DCAD">
            <w:pPr>
              <w:spacing w:line="360" w:lineRule="auto"/>
              <w:rPr>
                <w:rFonts w:ascii="黑体" w:hAnsi="黑体" w:eastAsia="黑体"/>
                <w:bCs/>
                <w:color w:val="000000" w:themeColor="text1"/>
                <w:sz w:val="18"/>
                <w:szCs w:val="18"/>
              </w:rPr>
            </w:pPr>
            <w:r>
              <w:rPr>
                <w:rFonts w:hint="eastAsia" w:hAnsi="宋体"/>
                <w:sz w:val="18"/>
                <w:szCs w:val="18"/>
              </w:rPr>
              <w:t>★</w:t>
            </w:r>
            <w:r>
              <w:rPr>
                <w:rFonts w:hint="eastAsia" w:ascii="黑体" w:hAnsi="黑体" w:eastAsia="黑体"/>
                <w:bCs/>
                <w:color w:val="000000" w:themeColor="text1"/>
                <w:sz w:val="18"/>
                <w:szCs w:val="18"/>
              </w:rPr>
              <w:t>注：关于代理销售机构的实际工作服务时段的提示</w:t>
            </w:r>
          </w:p>
          <w:p w14:paraId="1542FFBA">
            <w:pPr>
              <w:spacing w:line="360" w:lineRule="auto"/>
              <w:rPr>
                <w:rFonts w:ascii="黑体" w:hAnsi="黑体" w:eastAsia="黑体"/>
                <w:sz w:val="18"/>
                <w:szCs w:val="18"/>
              </w:rPr>
            </w:pPr>
            <w:r>
              <w:rPr>
                <w:rFonts w:hint="eastAsia" w:ascii="黑体" w:hAnsi="黑体" w:eastAsia="黑体"/>
                <w:sz w:val="18"/>
                <w:szCs w:val="18"/>
              </w:rPr>
              <w:t>①为本产品办理相关交易的实际工作服务时段，因代理销售机构的不同可能存在差异（可能晚于销售文件约定的起始时点开始或早于销售文件约定的终止时点结束），投资者应当</w:t>
            </w:r>
            <w:r>
              <w:rPr>
                <w:rFonts w:ascii="黑体" w:hAnsi="黑体" w:eastAsia="黑体"/>
                <w:sz w:val="18"/>
                <w:szCs w:val="18"/>
              </w:rPr>
              <w:t>以</w:t>
            </w:r>
            <w:r>
              <w:rPr>
                <w:rFonts w:hint="eastAsia" w:ascii="黑体" w:hAnsi="黑体" w:eastAsia="黑体"/>
                <w:sz w:val="18"/>
                <w:szCs w:val="18"/>
              </w:rPr>
              <w:t>代理销售机构的展示</w:t>
            </w:r>
            <w:r>
              <w:rPr>
                <w:rFonts w:ascii="黑体" w:hAnsi="黑体" w:eastAsia="黑体"/>
                <w:sz w:val="18"/>
                <w:szCs w:val="18"/>
              </w:rPr>
              <w:t>为准</w:t>
            </w:r>
            <w:r>
              <w:rPr>
                <w:rFonts w:hint="eastAsia" w:ascii="黑体" w:hAnsi="黑体" w:eastAsia="黑体"/>
                <w:sz w:val="18"/>
                <w:szCs w:val="18"/>
              </w:rPr>
              <w:t>。</w:t>
            </w:r>
          </w:p>
          <w:p w14:paraId="00B57060">
            <w:pPr>
              <w:spacing w:line="360" w:lineRule="auto"/>
              <w:rPr>
                <w:rFonts w:ascii="黑体" w:hAnsi="黑体" w:eastAsia="黑体"/>
                <w:sz w:val="18"/>
                <w:szCs w:val="18"/>
              </w:rPr>
            </w:pPr>
            <w:r>
              <w:rPr>
                <w:rFonts w:hint="eastAsia" w:ascii="黑体" w:hAnsi="黑体" w:eastAsia="黑体"/>
                <w:sz w:val="18"/>
                <w:szCs w:val="18"/>
              </w:rPr>
              <w:t>②代理销售机构的实际工作服务时段，最早不得早于销售文件约定</w:t>
            </w:r>
            <w:r>
              <w:rPr>
                <w:rFonts w:ascii="黑体" w:hAnsi="黑体" w:eastAsia="黑体"/>
                <w:sz w:val="18"/>
                <w:szCs w:val="18"/>
              </w:rPr>
              <w:t>的</w:t>
            </w:r>
            <w:r>
              <w:rPr>
                <w:rFonts w:hint="eastAsia" w:ascii="黑体" w:hAnsi="黑体" w:eastAsia="黑体"/>
                <w:sz w:val="18"/>
                <w:szCs w:val="18"/>
              </w:rPr>
              <w:t>起始时点、最晚不得晚于销售文件</w:t>
            </w:r>
            <w:r>
              <w:rPr>
                <w:rFonts w:ascii="黑体" w:hAnsi="黑体" w:eastAsia="黑体"/>
                <w:sz w:val="18"/>
                <w:szCs w:val="18"/>
              </w:rPr>
              <w:t>约定的</w:t>
            </w:r>
            <w:r>
              <w:rPr>
                <w:rFonts w:hint="eastAsia" w:ascii="黑体" w:hAnsi="黑体" w:eastAsia="黑体"/>
                <w:sz w:val="18"/>
                <w:szCs w:val="18"/>
              </w:rPr>
              <w:t>终止时点</w:t>
            </w:r>
            <w:r>
              <w:rPr>
                <w:rFonts w:ascii="黑体" w:hAnsi="黑体" w:eastAsia="黑体"/>
                <w:sz w:val="18"/>
                <w:szCs w:val="18"/>
              </w:rPr>
              <w:t>。</w:t>
            </w:r>
          </w:p>
        </w:tc>
      </w:tr>
      <w:tr w14:paraId="581177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C05FC12">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704" w:type="dxa"/>
            <w:shd w:val="solid" w:color="FFFFFF" w:fill="FFFFFF"/>
            <w:vAlign w:val="center"/>
          </w:tcPr>
          <w:p w14:paraId="7FEC436F">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w:t>
            </w:r>
            <w:r>
              <w:rPr>
                <w:rFonts w:asciiTheme="majorEastAsia" w:hAnsiTheme="majorEastAsia" w:eastAsiaTheme="majorEastAsia"/>
                <w:bCs/>
                <w:sz w:val="18"/>
                <w:szCs w:val="18"/>
              </w:rPr>
              <w:t>1.00】元；超出起点金额的部分以【0.01】元的整数</w:t>
            </w:r>
            <w:r>
              <w:rPr>
                <w:rFonts w:hint="eastAsia" w:asciiTheme="majorEastAsia" w:hAnsiTheme="majorEastAsia" w:eastAsiaTheme="majorEastAsia"/>
                <w:bCs/>
                <w:sz w:val="18"/>
                <w:szCs w:val="18"/>
              </w:rPr>
              <w:t>倍递增。</w:t>
            </w:r>
            <w:r>
              <w:rPr>
                <w:rFonts w:hint="eastAsia" w:hAnsi="宋体"/>
                <w:bCs/>
                <w:sz w:val="18"/>
                <w:szCs w:val="18"/>
              </w:rPr>
              <w:t>（适用【</w:t>
            </w:r>
            <w:r>
              <w:rPr>
                <w:rFonts w:hAnsi="宋体"/>
                <w:bCs/>
                <w:sz w:val="18"/>
                <w:szCs w:val="18"/>
              </w:rPr>
              <w:t>D</w:t>
            </w:r>
            <w:r>
              <w:rPr>
                <w:rFonts w:hint="eastAsia" w:hAnsi="宋体"/>
                <w:bCs/>
                <w:sz w:val="18"/>
                <w:szCs w:val="18"/>
              </w:rPr>
              <w:t>】类</w:t>
            </w:r>
            <w:r>
              <w:rPr>
                <w:rFonts w:hAnsi="宋体"/>
                <w:bCs/>
                <w:sz w:val="18"/>
                <w:szCs w:val="18"/>
              </w:rPr>
              <w:t>份额</w:t>
            </w:r>
            <w:r>
              <w:rPr>
                <w:rFonts w:hint="eastAsia" w:asciiTheme="majorEastAsia" w:hAnsiTheme="majorEastAsia" w:eastAsiaTheme="majorEastAsia"/>
                <w:bCs/>
                <w:color w:val="000000" w:themeColor="text1"/>
                <w:sz w:val="18"/>
                <w:szCs w:val="18"/>
              </w:rPr>
              <w:t>）</w:t>
            </w:r>
          </w:p>
          <w:p w14:paraId="14367504">
            <w:pPr>
              <w:spacing w:line="360" w:lineRule="auto"/>
              <w:jc w:val="left"/>
              <w:rPr>
                <w:rFonts w:ascii="黑体" w:hAnsi="黑体" w:eastAsia="黑体"/>
                <w:bCs/>
                <w:color w:val="000000" w:themeColor="text1"/>
                <w:sz w:val="18"/>
                <w:szCs w:val="18"/>
              </w:rPr>
            </w:pPr>
            <w:r>
              <w:rPr>
                <w:rFonts w:hint="eastAsia" w:hAnsi="宋体"/>
                <w:sz w:val="18"/>
                <w:szCs w:val="18"/>
              </w:rPr>
              <w:t>★</w:t>
            </w:r>
            <w:r>
              <w:rPr>
                <w:rFonts w:hint="eastAsia" w:ascii="黑体" w:hAnsi="黑体" w:eastAsia="黑体"/>
                <w:bCs/>
                <w:color w:val="000000" w:themeColor="text1"/>
                <w:sz w:val="18"/>
                <w:szCs w:val="18"/>
              </w:rPr>
              <w:t>注</w:t>
            </w:r>
            <w:r>
              <w:rPr>
                <w:rFonts w:ascii="黑体" w:hAnsi="黑体" w:eastAsia="黑体"/>
                <w:bCs/>
                <w:color w:val="000000" w:themeColor="text1"/>
                <w:sz w:val="18"/>
                <w:szCs w:val="18"/>
              </w:rPr>
              <w:t>：</w:t>
            </w:r>
            <w:r>
              <w:rPr>
                <w:rFonts w:hint="eastAsia" w:ascii="黑体" w:hAnsi="黑体" w:eastAsia="黑体"/>
                <w:bCs/>
                <w:color w:val="000000" w:themeColor="text1"/>
                <w:sz w:val="18"/>
                <w:szCs w:val="18"/>
              </w:rPr>
              <w:t>关于代理销售机构的实际销售</w:t>
            </w:r>
            <w:r>
              <w:rPr>
                <w:rFonts w:ascii="黑体" w:hAnsi="黑体" w:eastAsia="黑体"/>
                <w:bCs/>
                <w:color w:val="000000" w:themeColor="text1"/>
                <w:sz w:val="18"/>
                <w:szCs w:val="18"/>
              </w:rPr>
              <w:t>起点金额</w:t>
            </w:r>
            <w:r>
              <w:rPr>
                <w:rFonts w:hint="eastAsia" w:ascii="黑体" w:hAnsi="黑体" w:eastAsia="黑体"/>
                <w:bCs/>
                <w:color w:val="000000" w:themeColor="text1"/>
                <w:sz w:val="18"/>
                <w:szCs w:val="18"/>
              </w:rPr>
              <w:t>的提示</w:t>
            </w:r>
          </w:p>
          <w:p w14:paraId="47C83ED6">
            <w:pPr>
              <w:spacing w:line="360" w:lineRule="auto"/>
              <w:jc w:val="left"/>
              <w:rPr>
                <w:rFonts w:ascii="黑体" w:hAnsi="黑体" w:eastAsia="黑体"/>
                <w:bCs/>
                <w:color w:val="000000" w:themeColor="text1"/>
                <w:sz w:val="18"/>
                <w:szCs w:val="18"/>
              </w:rPr>
            </w:pPr>
            <w:r>
              <w:rPr>
                <w:rFonts w:hint="eastAsia" w:ascii="黑体" w:hAnsi="黑体" w:eastAsia="黑体"/>
                <w:bCs/>
                <w:color w:val="000000" w:themeColor="text1"/>
                <w:sz w:val="18"/>
                <w:szCs w:val="18"/>
              </w:rPr>
              <w:t>①本产品在代理销售机构的实际销售起点金额，因代理销售机构的不同可能存在差异（可能高于销售文件约定的销售起点金额），应当</w:t>
            </w:r>
            <w:r>
              <w:rPr>
                <w:rFonts w:ascii="黑体" w:hAnsi="黑体" w:eastAsia="黑体"/>
                <w:bCs/>
                <w:color w:val="000000" w:themeColor="text1"/>
                <w:sz w:val="18"/>
                <w:szCs w:val="18"/>
              </w:rPr>
              <w:t>以</w:t>
            </w:r>
            <w:r>
              <w:rPr>
                <w:rFonts w:hint="eastAsia" w:ascii="黑体" w:hAnsi="黑体" w:eastAsia="黑体"/>
                <w:bCs/>
                <w:color w:val="000000" w:themeColor="text1"/>
                <w:sz w:val="18"/>
                <w:szCs w:val="18"/>
              </w:rPr>
              <w:t>代理销售机构展示</w:t>
            </w:r>
            <w:r>
              <w:rPr>
                <w:rFonts w:ascii="黑体" w:hAnsi="黑体" w:eastAsia="黑体"/>
                <w:bCs/>
                <w:color w:val="000000" w:themeColor="text1"/>
                <w:sz w:val="18"/>
                <w:szCs w:val="18"/>
              </w:rPr>
              <w:t>为准</w:t>
            </w:r>
            <w:r>
              <w:rPr>
                <w:rFonts w:hint="eastAsia" w:ascii="黑体" w:hAnsi="黑体" w:eastAsia="黑体"/>
                <w:bCs/>
                <w:color w:val="000000" w:themeColor="text1"/>
                <w:sz w:val="18"/>
                <w:szCs w:val="18"/>
              </w:rPr>
              <w:t>。</w:t>
            </w:r>
          </w:p>
          <w:p w14:paraId="1BA2AA4B">
            <w:pPr>
              <w:spacing w:line="360" w:lineRule="auto"/>
              <w:jc w:val="left"/>
              <w:rPr>
                <w:rFonts w:ascii="黑体" w:hAnsi="黑体" w:eastAsia="黑体"/>
                <w:bCs/>
                <w:color w:val="000000" w:themeColor="text1"/>
                <w:sz w:val="18"/>
                <w:szCs w:val="18"/>
              </w:rPr>
            </w:pPr>
            <w:r>
              <w:rPr>
                <w:rFonts w:hint="eastAsia" w:ascii="黑体" w:hAnsi="黑体" w:eastAsia="黑体"/>
                <w:bCs/>
                <w:color w:val="000000" w:themeColor="text1"/>
                <w:sz w:val="18"/>
                <w:szCs w:val="18"/>
              </w:rPr>
              <w:t>②代理销售机构的实际销售起点金额，</w:t>
            </w:r>
            <w:r>
              <w:rPr>
                <w:rFonts w:ascii="黑体" w:hAnsi="黑体" w:eastAsia="黑体"/>
                <w:bCs/>
                <w:color w:val="000000" w:themeColor="text1"/>
                <w:sz w:val="18"/>
                <w:szCs w:val="18"/>
              </w:rPr>
              <w:t>不得低于</w:t>
            </w:r>
            <w:r>
              <w:rPr>
                <w:rFonts w:hint="eastAsia" w:ascii="黑体" w:hAnsi="黑体" w:eastAsia="黑体"/>
                <w:bCs/>
                <w:color w:val="000000" w:themeColor="text1"/>
                <w:sz w:val="18"/>
                <w:szCs w:val="18"/>
              </w:rPr>
              <w:t>销售</w:t>
            </w:r>
            <w:r>
              <w:rPr>
                <w:rFonts w:ascii="黑体" w:hAnsi="黑体" w:eastAsia="黑体"/>
                <w:bCs/>
                <w:color w:val="000000" w:themeColor="text1"/>
                <w:sz w:val="18"/>
                <w:szCs w:val="18"/>
              </w:rPr>
              <w:t>文件约定的</w:t>
            </w:r>
            <w:r>
              <w:rPr>
                <w:rFonts w:hint="eastAsia" w:ascii="黑体" w:hAnsi="黑体" w:eastAsia="黑体"/>
                <w:bCs/>
                <w:color w:val="000000" w:themeColor="text1"/>
                <w:sz w:val="18"/>
                <w:szCs w:val="18"/>
              </w:rPr>
              <w:t>销售</w:t>
            </w:r>
            <w:r>
              <w:rPr>
                <w:rFonts w:ascii="黑体" w:hAnsi="黑体" w:eastAsia="黑体"/>
                <w:bCs/>
                <w:color w:val="000000" w:themeColor="text1"/>
                <w:sz w:val="18"/>
                <w:szCs w:val="18"/>
              </w:rPr>
              <w:t>起点金额</w:t>
            </w:r>
            <w:r>
              <w:rPr>
                <w:rFonts w:hint="eastAsia" w:ascii="黑体" w:hAnsi="黑体" w:eastAsia="黑体"/>
                <w:bCs/>
                <w:color w:val="000000" w:themeColor="text1"/>
                <w:sz w:val="18"/>
                <w:szCs w:val="18"/>
              </w:rPr>
              <w:t>。</w:t>
            </w:r>
          </w:p>
        </w:tc>
      </w:tr>
      <w:tr w14:paraId="0ECE45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66B0FEB6">
            <w:pPr>
              <w:autoSpaceDE w:val="0"/>
              <w:autoSpaceDN w:val="0"/>
              <w:adjustRightInd w:val="0"/>
              <w:spacing w:line="360" w:lineRule="auto"/>
              <w:jc w:val="left"/>
              <w:rPr>
                <w:rFonts w:hAnsi="宋体"/>
                <w:b/>
                <w:sz w:val="18"/>
                <w:szCs w:val="18"/>
              </w:rPr>
            </w:pPr>
            <w:r>
              <w:rPr>
                <w:rFonts w:hint="eastAsia" w:hAnsi="宋体"/>
                <w:b/>
                <w:sz w:val="18"/>
                <w:szCs w:val="18"/>
              </w:rPr>
              <w:t>★认购、申购与赎回的数量限制</w:t>
            </w:r>
          </w:p>
        </w:tc>
        <w:tc>
          <w:tcPr>
            <w:tcW w:w="7704" w:type="dxa"/>
            <w:shd w:val="solid" w:color="FFFFFF" w:fill="FFFFFF"/>
            <w:vAlign w:val="center"/>
          </w:tcPr>
          <w:p w14:paraId="1519AE04">
            <w:pPr>
              <w:pStyle w:val="34"/>
              <w:spacing w:line="360" w:lineRule="auto"/>
              <w:rPr>
                <w:rFonts w:asciiTheme="minorEastAsia" w:hAnsiTheme="minorEastAsia" w:eastAsiaTheme="minorEastAsia"/>
                <w:color w:val="auto"/>
                <w:sz w:val="18"/>
                <w:szCs w:val="18"/>
              </w:rPr>
            </w:pPr>
            <w:r>
              <w:rPr>
                <w:rFonts w:hint="eastAsia" w:hAnsi="宋体"/>
                <w:bCs/>
                <w:sz w:val="18"/>
                <w:szCs w:val="18"/>
              </w:rPr>
              <w:t>（适用【</w:t>
            </w:r>
            <w:r>
              <w:rPr>
                <w:rFonts w:hAnsi="宋体"/>
                <w:bCs/>
                <w:sz w:val="18"/>
                <w:szCs w:val="18"/>
              </w:rPr>
              <w:t>D</w:t>
            </w:r>
            <w:r>
              <w:rPr>
                <w:rFonts w:hint="eastAsia" w:hAnsi="宋体"/>
                <w:bCs/>
                <w:sz w:val="18"/>
                <w:szCs w:val="18"/>
              </w:rPr>
              <w:t>】类</w:t>
            </w:r>
            <w:r>
              <w:rPr>
                <w:rFonts w:hAnsi="宋体"/>
                <w:bCs/>
                <w:sz w:val="18"/>
                <w:szCs w:val="18"/>
              </w:rPr>
              <w:t>份额</w:t>
            </w:r>
            <w:r>
              <w:rPr>
                <w:rFonts w:hint="eastAsia" w:hAnsi="宋体"/>
                <w:bCs/>
                <w:sz w:val="18"/>
                <w:szCs w:val="18"/>
              </w:rPr>
              <w:t>）</w:t>
            </w:r>
          </w:p>
          <w:p w14:paraId="56C91D4D">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1.认购的数量限制</w:t>
            </w:r>
          </w:p>
          <w:p w14:paraId="6208C826">
            <w:pPr>
              <w:pStyle w:val="34"/>
              <w:spacing w:line="360" w:lineRule="auto"/>
              <w:rPr>
                <w:rFonts w:hAnsi="宋体"/>
                <w:bCs/>
                <w:sz w:val="18"/>
                <w:szCs w:val="18"/>
              </w:rPr>
            </w:pPr>
            <w:r>
              <w:rPr>
                <w:rFonts w:hint="eastAsia" w:asciiTheme="minorEastAsia" w:hAnsiTheme="minorEastAsia" w:eastAsiaTheme="minorEastAsia"/>
                <w:color w:val="auto"/>
                <w:sz w:val="18"/>
                <w:szCs w:val="18"/>
              </w:rPr>
              <w:t>单一投资者认购上限为【</w:t>
            </w:r>
            <w:r>
              <w:rPr>
                <w:rFonts w:asciiTheme="minorEastAsia" w:hAnsiTheme="minorEastAsia" w:eastAsiaTheme="minorEastAsia"/>
                <w:sz w:val="18"/>
                <w:szCs w:val="18"/>
              </w:rPr>
              <w:t>10,000,000.00</w:t>
            </w:r>
            <w:r>
              <w:rPr>
                <w:rFonts w:hint="eastAsia" w:asciiTheme="minorEastAsia" w:hAnsiTheme="minorEastAsia" w:eastAsiaTheme="minorEastAsia"/>
                <w:color w:val="auto"/>
                <w:sz w:val="18"/>
                <w:szCs w:val="18"/>
              </w:rPr>
              <w:t>】元。如需突破上限，请与产品管理人或销售机构客户经理联系。</w:t>
            </w:r>
          </w:p>
          <w:p w14:paraId="69B52D4E">
            <w:pPr>
              <w:pStyle w:val="34"/>
              <w:spacing w:line="360" w:lineRule="auto"/>
              <w:rPr>
                <w:rFonts w:asciiTheme="minorEastAsia" w:hAnsiTheme="minorEastAsia" w:eastAsiaTheme="minorEastAsia"/>
                <w:color w:val="auto"/>
                <w:sz w:val="18"/>
                <w:szCs w:val="18"/>
              </w:rPr>
            </w:pPr>
            <w:r>
              <w:rPr>
                <w:rFonts w:hint="eastAsia" w:hAnsi="宋体"/>
                <w:bCs/>
                <w:sz w:val="18"/>
                <w:szCs w:val="18"/>
              </w:rPr>
              <w:t>2.</w:t>
            </w:r>
            <w:r>
              <w:rPr>
                <w:rFonts w:hint="eastAsia" w:asciiTheme="minorEastAsia" w:hAnsiTheme="minorEastAsia" w:eastAsiaTheme="minorEastAsia"/>
                <w:color w:val="auto"/>
                <w:sz w:val="18"/>
                <w:szCs w:val="18"/>
              </w:rPr>
              <w:t>申购的数量限制</w:t>
            </w:r>
          </w:p>
          <w:p w14:paraId="03425439">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（1）单一投资者申购上限为【</w:t>
            </w:r>
            <w:r>
              <w:rPr>
                <w:rFonts w:asciiTheme="minorEastAsia" w:hAnsiTheme="minorEastAsia" w:eastAsiaTheme="minorEastAsia"/>
                <w:sz w:val="18"/>
                <w:szCs w:val="18"/>
              </w:rPr>
              <w:t>10,000,000.00</w:t>
            </w:r>
            <w:r>
              <w:rPr>
                <w:rFonts w:hint="eastAsia" w:asciiTheme="minorEastAsia" w:hAnsiTheme="minorEastAsia" w:eastAsiaTheme="minorEastAsia"/>
                <w:color w:val="auto"/>
                <w:sz w:val="18"/>
                <w:szCs w:val="18"/>
              </w:rPr>
              <w:t>】元。</w:t>
            </w:r>
          </w:p>
          <w:p w14:paraId="0FB5FF29">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w:t>
            </w:r>
            <w:r>
              <w:rPr>
                <w:rFonts w:asciiTheme="minorEastAsia" w:hAnsiTheme="minorEastAsia" w:eastAsiaTheme="minorEastAsia"/>
                <w:sz w:val="18"/>
                <w:szCs w:val="18"/>
              </w:rPr>
              <w:t>10,000,000.00</w:t>
            </w:r>
            <w:r>
              <w:rPr>
                <w:rFonts w:hint="eastAsia" w:asciiTheme="minorEastAsia" w:hAnsiTheme="minorEastAsia" w:eastAsiaTheme="minorEastAsia"/>
                <w:color w:val="auto"/>
                <w:sz w:val="18"/>
                <w:szCs w:val="18"/>
              </w:rPr>
              <w:t>】份，符合产品管理人流动性管理的稳定资金除外。</w:t>
            </w:r>
          </w:p>
          <w:p w14:paraId="1EA006CF">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14:paraId="450EBD47">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3.赎回的数量限制</w:t>
            </w:r>
          </w:p>
          <w:p w14:paraId="59C58193">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（1）单一投资者赎回上限为【</w:t>
            </w:r>
            <w:r>
              <w:rPr>
                <w:rFonts w:asciiTheme="minorEastAsia" w:hAnsiTheme="minorEastAsia" w:eastAsiaTheme="minorEastAsia"/>
                <w:sz w:val="18"/>
                <w:szCs w:val="18"/>
              </w:rPr>
              <w:t>/</w:t>
            </w:r>
            <w:r>
              <w:rPr>
                <w:rFonts w:hint="eastAsia" w:asciiTheme="minorEastAsia" w:hAnsiTheme="minorEastAsia" w:eastAsiaTheme="minorEastAsia"/>
                <w:color w:val="auto"/>
                <w:sz w:val="18"/>
                <w:szCs w:val="18"/>
              </w:rPr>
              <w:t>】份。</w:t>
            </w:r>
          </w:p>
          <w:p w14:paraId="67D6C8A1">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投资者可全部或部分赎回其理财份额，但是部分赎回后单一投资者持有产品份额不得低于【0.01】份。受理财利益分配去尾规则的影响，投资者持有产品份额较低时可能无法取得利益。巨额赎回情景发生时，投资者的可赎回份额需要根据巨额赎回规则确定。</w:t>
            </w:r>
          </w:p>
          <w:p w14:paraId="01689577">
            <w:pPr>
              <w:pStyle w:val="34"/>
              <w:spacing w:line="360" w:lineRule="auto"/>
              <w:rPr>
                <w:rFonts w:ascii="黑体" w:hAnsi="黑体" w:eastAsia="黑体"/>
                <w:bCs/>
                <w:color w:val="000000" w:themeColor="text1"/>
                <w:sz w:val="18"/>
                <w:szCs w:val="18"/>
              </w:rPr>
            </w:pPr>
            <w:r>
              <w:rPr>
                <w:rFonts w:hint="eastAsia" w:hAnsi="宋体"/>
                <w:sz w:val="18"/>
                <w:szCs w:val="18"/>
              </w:rPr>
              <w:t>★</w:t>
            </w:r>
            <w:r>
              <w:rPr>
                <w:rFonts w:hint="eastAsia" w:ascii="黑体" w:hAnsi="黑体" w:eastAsia="黑体"/>
                <w:bCs/>
                <w:color w:val="000000" w:themeColor="text1"/>
                <w:sz w:val="18"/>
                <w:szCs w:val="18"/>
              </w:rPr>
              <w:t>注</w:t>
            </w:r>
            <w:r>
              <w:rPr>
                <w:rFonts w:ascii="黑体" w:hAnsi="黑体" w:eastAsia="黑体"/>
                <w:bCs/>
                <w:color w:val="000000" w:themeColor="text1"/>
                <w:sz w:val="18"/>
                <w:szCs w:val="18"/>
              </w:rPr>
              <w:t>：</w:t>
            </w:r>
            <w:r>
              <w:rPr>
                <w:rFonts w:hint="eastAsia" w:ascii="黑体" w:hAnsi="黑体" w:eastAsia="黑体"/>
                <w:bCs/>
                <w:color w:val="000000" w:themeColor="text1"/>
                <w:sz w:val="18"/>
                <w:szCs w:val="18"/>
              </w:rPr>
              <w:t>本产品单一投资者持有份额不得超过产品总份额50%。</w:t>
            </w:r>
          </w:p>
          <w:p w14:paraId="5CA67E5F">
            <w:pPr>
              <w:pStyle w:val="34"/>
              <w:spacing w:line="360" w:lineRule="auto"/>
              <w:rPr>
                <w:rFonts w:ascii="黑体" w:hAnsi="黑体" w:eastAsia="黑体"/>
                <w:bCs/>
                <w:color w:val="000000" w:themeColor="text1"/>
                <w:sz w:val="18"/>
                <w:szCs w:val="18"/>
              </w:rPr>
            </w:pPr>
            <w:r>
              <w:rPr>
                <w:rFonts w:hint="eastAsia" w:ascii="黑体" w:hAnsi="黑体" w:eastAsia="黑体"/>
                <w:bCs/>
                <w:color w:val="000000" w:themeColor="text1"/>
                <w:sz w:val="18"/>
                <w:szCs w:val="18"/>
              </w:rPr>
              <w:t>（1）投资者认购或申购确认后可能导致其持有份额超过产品总份额50%的，管理人有权拒绝或暂停认购、申购。</w:t>
            </w:r>
          </w:p>
          <w:p w14:paraId="3916184E">
            <w:pPr>
              <w:pStyle w:val="34"/>
              <w:spacing w:line="360" w:lineRule="auto"/>
              <w:rPr>
                <w:rFonts w:ascii="黑体" w:hAnsi="黑体" w:eastAsia="黑体"/>
                <w:bCs/>
                <w:color w:val="000000" w:themeColor="text1"/>
                <w:sz w:val="18"/>
                <w:szCs w:val="18"/>
              </w:rPr>
            </w:pPr>
            <w:r>
              <w:rPr>
                <w:rFonts w:hint="eastAsia" w:ascii="黑体" w:hAnsi="黑体" w:eastAsia="黑体"/>
                <w:bCs/>
                <w:color w:val="000000" w:themeColor="text1"/>
                <w:sz w:val="18"/>
                <w:szCs w:val="18"/>
              </w:rPr>
              <w:t>（2）非因管理人主观因素导致突破该比例限制的，在单一投资者持有比例降至50%以下之前，管理人不再接受该投资者对本产品的认购、申购申请。</w:t>
            </w:r>
          </w:p>
        </w:tc>
      </w:tr>
      <w:tr w14:paraId="1E7621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14:paraId="53F9FEAB">
            <w:pPr>
              <w:spacing w:line="360" w:lineRule="auto"/>
              <w:jc w:val="left"/>
              <w:rPr>
                <w:rFonts w:hAnsi="宋体"/>
                <w:b/>
                <w:sz w:val="18"/>
                <w:szCs w:val="18"/>
              </w:rPr>
            </w:pPr>
            <w:r>
              <w:rPr>
                <w:rFonts w:hint="eastAsia"/>
                <w:sz w:val="18"/>
                <w:szCs w:val="18"/>
              </w:rPr>
              <w:t>★</w:t>
            </w:r>
            <w:r>
              <w:rPr>
                <w:rFonts w:hint="eastAsia" w:hAnsi="宋体"/>
                <w:b/>
                <w:sz w:val="18"/>
                <w:szCs w:val="18"/>
              </w:rPr>
              <w:t>巨额赎回的认定</w:t>
            </w:r>
          </w:p>
        </w:tc>
        <w:tc>
          <w:tcPr>
            <w:tcW w:w="7704" w:type="dxa"/>
            <w:shd w:val="solid" w:color="FFFFFF" w:fill="FFFFFF"/>
          </w:tcPr>
          <w:p w14:paraId="32B96788">
            <w:pPr>
              <w:pStyle w:val="34"/>
              <w:spacing w:line="360" w:lineRule="auto"/>
              <w:rPr>
                <w:rFonts w:asciiTheme="majorEastAsia" w:hAnsiTheme="majorEastAsia" w:eastAsiaTheme="majorEastAsia"/>
                <w:bCs/>
                <w:sz w:val="18"/>
                <w:szCs w:val="18"/>
              </w:rPr>
            </w:pPr>
            <w:r>
              <w:rPr>
                <w:rFonts w:hint="eastAsia" w:asciiTheme="minorEastAsia" w:hAnsiTheme="minorEastAsia"/>
                <w:b/>
                <w:sz w:val="18"/>
                <w:szCs w:val="18"/>
              </w:rPr>
              <w:t>单个开放日中</w:t>
            </w:r>
            <w:r>
              <w:rPr>
                <w:rFonts w:hint="eastAsia" w:asciiTheme="majorEastAsia" w:hAnsiTheme="majorEastAsia" w:eastAsiaTheme="majorEastAsia"/>
                <w:b/>
                <w:sz w:val="18"/>
                <w:szCs w:val="18"/>
              </w:rPr>
              <w:t>，本产品的累计产品份额净赎回申请（赎回申请总份额扣除申购总份额后的余额</w:t>
            </w:r>
            <w:r>
              <w:rPr>
                <w:rFonts w:asciiTheme="majorEastAsia" w:hAnsiTheme="majorEastAsia" w:eastAsiaTheme="majorEastAsia"/>
                <w:b/>
                <w:sz w:val="18"/>
                <w:szCs w:val="18"/>
              </w:rPr>
              <w:t>,</w:t>
            </w:r>
            <w:r>
              <w:rPr>
                <w:rFonts w:hint="eastAsia" w:asciiTheme="majorEastAsia" w:hAnsiTheme="majorEastAsia" w:eastAsiaTheme="majorEastAsia"/>
                <w:b/>
                <w:sz w:val="18"/>
                <w:szCs w:val="18"/>
              </w:rPr>
              <w:t>下同）之和达到上一日产品总份额的1</w:t>
            </w:r>
            <w:r>
              <w:rPr>
                <w:rFonts w:asciiTheme="majorEastAsia" w:hAnsiTheme="majorEastAsia" w:eastAsiaTheme="majorEastAsia"/>
                <w:b/>
                <w:sz w:val="18"/>
                <w:szCs w:val="18"/>
              </w:rPr>
              <w:t>0%</w:t>
            </w:r>
            <w:r>
              <w:rPr>
                <w:rFonts w:hint="eastAsia" w:asciiTheme="majorEastAsia" w:hAnsiTheme="majorEastAsia" w:eastAsiaTheme="majorEastAsia"/>
                <w:b/>
                <w:sz w:val="18"/>
                <w:szCs w:val="18"/>
              </w:rPr>
              <w:t>，为巨额赎回。</w:t>
            </w:r>
          </w:p>
        </w:tc>
      </w:tr>
      <w:tr w14:paraId="7E390DD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39995F6">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704" w:type="dxa"/>
            <w:shd w:val="solid" w:color="FFFFFF" w:fill="FFFFFF"/>
            <w:vAlign w:val="center"/>
          </w:tcPr>
          <w:p w14:paraId="2AFD50A4">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44184E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4A1281E0">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704" w:type="dxa"/>
            <w:shd w:val="solid" w:color="FFFFFF" w:fill="FFFFFF"/>
            <w:vAlign w:val="center"/>
          </w:tcPr>
          <w:p w14:paraId="2F217B04">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2B12226C">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日之前的估值日公布的产品份额净值已扣除交易手续费、销售服务费、产品托管费、投资管理费。</w:t>
            </w:r>
          </w:p>
          <w:p w14:paraId="28B02285">
            <w:pPr>
              <w:spacing w:line="360" w:lineRule="auto"/>
              <w:jc w:val="left"/>
              <w:rPr>
                <w:rFonts w:cs="Times New Roman" w:asciiTheme="minorEastAsia" w:hAnsiTheme="minorEastAsia"/>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赎回日</w:t>
            </w:r>
            <w:r>
              <w:rPr>
                <w:rFonts w:asciiTheme="majorEastAsia" w:hAnsiTheme="majorEastAsia" w:eastAsiaTheme="majorEastAsia"/>
                <w:bCs/>
                <w:sz w:val="18"/>
                <w:szCs w:val="18"/>
              </w:rPr>
              <w:t>产品份额净值为基础进行利益分配。</w:t>
            </w:r>
          </w:p>
        </w:tc>
      </w:tr>
      <w:tr w14:paraId="0B44E4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14:paraId="383CF3E4">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704" w:type="dxa"/>
            <w:shd w:val="solid" w:color="FFFFFF" w:fill="FFFFFF"/>
            <w:vAlign w:val="center"/>
          </w:tcPr>
          <w:p w14:paraId="5AD36F6F">
            <w:pPr>
              <w:spacing w:line="360" w:lineRule="auto"/>
              <w:jc w:val="left"/>
              <w:rPr>
                <w:rFonts w:hAnsi="宋体"/>
                <w:bCs/>
                <w:sz w:val="18"/>
                <w:szCs w:val="18"/>
              </w:rPr>
            </w:pPr>
            <w:r>
              <w:rPr>
                <w:rFonts w:hint="eastAsia" w:hAnsi="宋体"/>
                <w:bCs/>
                <w:sz w:val="18"/>
                <w:szCs w:val="18"/>
              </w:rPr>
              <w:t>（适用【</w:t>
            </w:r>
            <w:r>
              <w:rPr>
                <w:rFonts w:hAnsi="宋体"/>
                <w:bCs/>
                <w:sz w:val="18"/>
                <w:szCs w:val="18"/>
              </w:rPr>
              <w:t>D</w:t>
            </w:r>
            <w:r>
              <w:rPr>
                <w:rFonts w:hint="eastAsia" w:hAnsi="宋体"/>
                <w:bCs/>
                <w:sz w:val="18"/>
                <w:szCs w:val="18"/>
              </w:rPr>
              <w:t>】类</w:t>
            </w:r>
            <w:r>
              <w:rPr>
                <w:rFonts w:hAnsi="宋体"/>
                <w:bCs/>
                <w:sz w:val="18"/>
                <w:szCs w:val="18"/>
              </w:rPr>
              <w:t>份额</w:t>
            </w:r>
            <w:r>
              <w:rPr>
                <w:rFonts w:hint="eastAsia" w:hAnsi="宋体"/>
                <w:bCs/>
                <w:sz w:val="18"/>
                <w:szCs w:val="18"/>
              </w:rPr>
              <w:t>）</w:t>
            </w:r>
          </w:p>
          <w:p w14:paraId="765BD614">
            <w:pPr>
              <w:spacing w:line="360" w:lineRule="auto"/>
              <w:rPr>
                <w:rFonts w:asciiTheme="majorEastAsia" w:hAnsiTheme="majorEastAsia"/>
                <w:bCs/>
                <w:sz w:val="18"/>
                <w:szCs w:val="18"/>
              </w:rPr>
            </w:pPr>
            <w:r>
              <w:rPr>
                <w:rFonts w:hint="eastAsia" w:ascii="宋体" w:hAnsi="宋体"/>
                <w:b/>
                <w:bCs/>
                <w:sz w:val="18"/>
                <w:szCs w:val="18"/>
              </w:rPr>
              <w:t>1.业绩比较基准的说明：【</w:t>
            </w:r>
            <w:r>
              <w:rPr>
                <w:rFonts w:hint="eastAsia" w:asciiTheme="majorEastAsia" w:hAnsiTheme="majorEastAsia" w:eastAsiaTheme="majorEastAsia"/>
                <w:bCs/>
                <w:sz w:val="18"/>
                <w:szCs w:val="18"/>
              </w:rPr>
              <w:t>基于当前对未来市场的判断，根据拟投资债权类资产的信用利差、久期敞口以及流动性溢价，预判组合的波动幅度</w:t>
            </w:r>
            <w:r>
              <w:rPr>
                <w:rFonts w:ascii="宋体" w:hAnsi="宋体"/>
                <w:b/>
                <w:bCs/>
                <w:sz w:val="18"/>
                <w:szCs w:val="18"/>
              </w:rPr>
              <w:t>】</w:t>
            </w:r>
            <w:r>
              <w:rPr>
                <w:rFonts w:hint="eastAsia" w:ascii="宋体" w:hAnsi="宋体"/>
                <w:b/>
                <w:bCs/>
                <w:sz w:val="18"/>
                <w:szCs w:val="18"/>
              </w:rPr>
              <w:t>。</w:t>
            </w:r>
          </w:p>
          <w:p w14:paraId="10921D6B">
            <w:pPr>
              <w:spacing w:line="360" w:lineRule="auto"/>
              <w:jc w:val="left"/>
              <w:rPr>
                <w:rFonts w:asciiTheme="majorEastAsia" w:hAnsiTheme="majorEastAsia" w:eastAsiaTheme="majorEastAsia"/>
                <w:b/>
                <w:bCs/>
                <w:sz w:val="18"/>
                <w:szCs w:val="18"/>
              </w:rPr>
            </w:pPr>
            <w:r>
              <w:rPr>
                <w:rFonts w:asciiTheme="majorEastAsia" w:hAnsiTheme="majorEastAsia" w:eastAsiaTheme="majorEastAsia"/>
                <w:b/>
                <w:bCs/>
                <w:sz w:val="18"/>
                <w:szCs w:val="18"/>
              </w:rPr>
              <w:t>2.业绩比较基准的设定</w:t>
            </w:r>
            <w:r>
              <w:rPr>
                <w:rFonts w:hint="eastAsia" w:asciiTheme="majorEastAsia" w:hAnsiTheme="majorEastAsia" w:eastAsiaTheme="majorEastAsia"/>
                <w:bCs/>
                <w:sz w:val="18"/>
                <w:szCs w:val="18"/>
              </w:rPr>
              <w:t>：</w:t>
            </w:r>
            <w:r>
              <w:rPr>
                <w:rFonts w:hint="eastAsia" w:asciiTheme="majorEastAsia" w:hAnsiTheme="majorEastAsia"/>
                <w:b/>
                <w:sz w:val="18"/>
              </w:rPr>
              <w:t>管理人对</w:t>
            </w:r>
            <w:r>
              <w:rPr>
                <w:rFonts w:asciiTheme="majorEastAsia" w:hAnsiTheme="majorEastAsia"/>
                <w:b/>
                <w:sz w:val="18"/>
              </w:rPr>
              <w:t>本产品设定</w:t>
            </w:r>
            <w:r>
              <w:rPr>
                <w:rFonts w:hint="eastAsia" w:asciiTheme="majorEastAsia" w:hAnsiTheme="majorEastAsia"/>
                <w:b/>
                <w:sz w:val="18"/>
              </w:rPr>
              <w:t>业绩比较基准：</w:t>
            </w:r>
            <w:r>
              <w:rPr>
                <w:rFonts w:hint="eastAsia" w:ascii="宋体" w:hAnsi="宋体"/>
                <w:b/>
                <w:bCs/>
                <w:sz w:val="18"/>
                <w:szCs w:val="18"/>
              </w:rPr>
              <w:t>【人民银行7天通知存款利率</w:t>
            </w:r>
            <w:r>
              <w:rPr>
                <w:rFonts w:ascii="宋体" w:hAnsi="宋体"/>
                <w:b/>
                <w:bCs/>
                <w:sz w:val="18"/>
                <w:szCs w:val="18"/>
              </w:rPr>
              <w:t>】</w:t>
            </w:r>
            <w:r>
              <w:rPr>
                <w:rFonts w:hint="eastAsia" w:ascii="宋体" w:hAnsi="宋体"/>
                <w:b/>
                <w:bCs/>
                <w:sz w:val="18"/>
                <w:szCs w:val="18"/>
              </w:rPr>
              <w:t>。</w:t>
            </w:r>
          </w:p>
          <w:p w14:paraId="69C1FF90">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3.业绩比较基准的提示：</w:t>
            </w:r>
          </w:p>
          <w:p w14:paraId="474B8E08">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（1）业绩比较基准不代表理财产品未来表现，不等于理财产品实际收益，不作为产品收益的业绩保证，投资须谨慎。</w:t>
            </w:r>
          </w:p>
          <w:p w14:paraId="08B88533">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Theme="majorEastAsia" w:hAnsiTheme="majorEastAsia" w:eastAsiaTheme="majorEastAsia"/>
                <w:bCs/>
                <w:sz w:val="18"/>
                <w:szCs w:val="18"/>
              </w:rPr>
              <w:t>。</w:t>
            </w:r>
          </w:p>
        </w:tc>
      </w:tr>
      <w:tr w14:paraId="7DAB89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14:paraId="534E4315">
            <w:pPr>
              <w:spacing w:line="360" w:lineRule="auto"/>
              <w:jc w:val="left"/>
              <w:rPr>
                <w:sz w:val="18"/>
                <w:szCs w:val="18"/>
              </w:rPr>
            </w:pPr>
            <w:r>
              <w:rPr>
                <w:rFonts w:hint="eastAsia"/>
                <w:sz w:val="18"/>
                <w:szCs w:val="18"/>
              </w:rPr>
              <w:t>★</w:t>
            </w:r>
            <w:r>
              <w:rPr>
                <w:rFonts w:hint="eastAsia"/>
                <w:b/>
                <w:sz w:val="18"/>
                <w:szCs w:val="18"/>
              </w:rPr>
              <w:t>业绩报酬计提基准</w:t>
            </w:r>
          </w:p>
        </w:tc>
        <w:tc>
          <w:tcPr>
            <w:tcW w:w="7704" w:type="dxa"/>
            <w:shd w:val="solid" w:color="FFFFFF" w:fill="FFFFFF"/>
            <w:vAlign w:val="center"/>
          </w:tcPr>
          <w:p w14:paraId="28A3A0E2">
            <w:pPr>
              <w:spacing w:line="360" w:lineRule="auto"/>
              <w:jc w:val="left"/>
              <w:rPr>
                <w:rFonts w:ascii="宋体" w:hAnsi="宋体"/>
                <w:sz w:val="18"/>
                <w:szCs w:val="18"/>
              </w:rPr>
            </w:pPr>
            <w:r>
              <w:rPr>
                <w:rFonts w:hint="eastAsia" w:ascii="宋体" w:hAnsi="宋体"/>
                <w:sz w:val="18"/>
                <w:szCs w:val="18"/>
              </w:rPr>
              <w:t>本产品不设置业绩报酬计提基准。</w:t>
            </w:r>
          </w:p>
        </w:tc>
      </w:tr>
      <w:tr w14:paraId="5156A0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47D98B98">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704" w:type="dxa"/>
            <w:shd w:val="solid" w:color="FFFFFF" w:fill="FFFFFF"/>
            <w:vAlign w:val="center"/>
          </w:tcPr>
          <w:p w14:paraId="4DA0DE79">
            <w:pPr>
              <w:spacing w:line="360" w:lineRule="auto"/>
              <w:jc w:val="left"/>
              <w:rPr>
                <w:rFonts w:ascii="宋体" w:hAnsi="宋体"/>
                <w:sz w:val="18"/>
                <w:szCs w:val="18"/>
              </w:rPr>
            </w:pPr>
            <w:r>
              <w:rPr>
                <w:rFonts w:hint="eastAsia" w:hAnsi="宋体"/>
                <w:bCs/>
                <w:sz w:val="18"/>
                <w:szCs w:val="18"/>
              </w:rPr>
              <w:t>（适用【</w:t>
            </w:r>
            <w:r>
              <w:rPr>
                <w:rFonts w:hAnsi="宋体"/>
                <w:bCs/>
                <w:sz w:val="18"/>
                <w:szCs w:val="18"/>
              </w:rPr>
              <w:t>D</w:t>
            </w:r>
            <w:r>
              <w:rPr>
                <w:rFonts w:hint="eastAsia" w:hAnsi="宋体"/>
                <w:bCs/>
                <w:sz w:val="18"/>
                <w:szCs w:val="18"/>
              </w:rPr>
              <w:t>】类</w:t>
            </w:r>
            <w:r>
              <w:rPr>
                <w:rFonts w:hAnsi="宋体"/>
                <w:bCs/>
                <w:sz w:val="18"/>
                <w:szCs w:val="18"/>
              </w:rPr>
              <w:t>份额</w:t>
            </w:r>
            <w:r>
              <w:rPr>
                <w:rFonts w:hint="eastAsia" w:hAnsi="宋体"/>
                <w:bCs/>
                <w:sz w:val="18"/>
                <w:szCs w:val="18"/>
              </w:rPr>
              <w:t>）</w:t>
            </w:r>
          </w:p>
          <w:p w14:paraId="746FECE1">
            <w:pPr>
              <w:spacing w:line="360" w:lineRule="auto"/>
              <w:jc w:val="left"/>
              <w:rPr>
                <w:rFonts w:ascii="宋体" w:hAnsi="宋体"/>
                <w:sz w:val="18"/>
                <w:szCs w:val="18"/>
              </w:rPr>
            </w:pPr>
            <w:r>
              <w:rPr>
                <w:rFonts w:ascii="宋体" w:hAnsi="宋体"/>
                <w:b/>
                <w:bCs/>
                <w:sz w:val="18"/>
                <w:szCs w:val="18"/>
              </w:rPr>
              <w:t>1.</w:t>
            </w:r>
            <w:r>
              <w:rPr>
                <w:rFonts w:hint="eastAsia" w:ascii="宋体" w:hAnsi="宋体"/>
                <w:b/>
                <w:bCs/>
                <w:sz w:val="18"/>
                <w:szCs w:val="18"/>
              </w:rPr>
              <w:t>认购费：</w:t>
            </w:r>
            <w:r>
              <w:rPr>
                <w:rFonts w:hint="eastAsia" w:ascii="宋体" w:hAnsi="宋体"/>
                <w:sz w:val="18"/>
                <w:szCs w:val="18"/>
              </w:rPr>
              <w:t>【</w:t>
            </w:r>
            <w:r>
              <w:rPr>
                <w:rFonts w:ascii="宋体" w:hAnsi="宋体"/>
                <w:sz w:val="18"/>
                <w:szCs w:val="18"/>
              </w:rPr>
              <w:t>/</w:t>
            </w:r>
            <w:r>
              <w:rPr>
                <w:rFonts w:hint="eastAsia" w:ascii="宋体" w:hAnsi="宋体"/>
                <w:sz w:val="18"/>
                <w:szCs w:val="18"/>
              </w:rPr>
              <w:t>】。</w:t>
            </w:r>
          </w:p>
          <w:p w14:paraId="6FAC1FF4">
            <w:pPr>
              <w:spacing w:line="360" w:lineRule="auto"/>
              <w:jc w:val="left"/>
              <w:rPr>
                <w:rFonts w:ascii="宋体" w:hAnsi="宋体"/>
                <w:sz w:val="18"/>
                <w:szCs w:val="18"/>
              </w:rPr>
            </w:pPr>
            <w:r>
              <w:rPr>
                <w:rFonts w:ascii="宋体" w:hAnsi="宋体"/>
                <w:b/>
                <w:bCs/>
                <w:sz w:val="18"/>
                <w:szCs w:val="18"/>
              </w:rPr>
              <w:t>2.申购费：</w:t>
            </w:r>
            <w:r>
              <w:rPr>
                <w:rFonts w:hint="eastAsia" w:ascii="宋体" w:hAnsi="宋体"/>
                <w:sz w:val="18"/>
                <w:szCs w:val="18"/>
              </w:rPr>
              <w:t>【</w:t>
            </w:r>
            <w:r>
              <w:rPr>
                <w:rFonts w:ascii="宋体" w:hAnsi="宋体"/>
                <w:sz w:val="18"/>
                <w:szCs w:val="18"/>
              </w:rPr>
              <w:t>/</w:t>
            </w:r>
            <w:r>
              <w:rPr>
                <w:rFonts w:hint="eastAsia" w:ascii="宋体" w:hAnsi="宋体"/>
                <w:sz w:val="18"/>
                <w:szCs w:val="18"/>
              </w:rPr>
              <w:t>】。</w:t>
            </w:r>
          </w:p>
          <w:p w14:paraId="2381891F">
            <w:pPr>
              <w:spacing w:line="360" w:lineRule="auto"/>
              <w:jc w:val="left"/>
              <w:rPr>
                <w:rFonts w:ascii="宋体" w:hAnsi="宋体"/>
                <w:sz w:val="18"/>
                <w:szCs w:val="18"/>
              </w:rPr>
            </w:pPr>
            <w:r>
              <w:rPr>
                <w:rFonts w:ascii="宋体" w:hAnsi="宋体"/>
                <w:b/>
                <w:bCs/>
                <w:sz w:val="18"/>
                <w:szCs w:val="18"/>
              </w:rPr>
              <w:t>3.</w:t>
            </w:r>
            <w:r>
              <w:rPr>
                <w:rFonts w:hint="eastAsia" w:ascii="宋体" w:hAnsi="宋体"/>
                <w:b/>
                <w:bCs/>
                <w:sz w:val="18"/>
                <w:szCs w:val="18"/>
              </w:rPr>
              <w:t>赎回费：</w:t>
            </w:r>
            <w:r>
              <w:rPr>
                <w:rFonts w:hint="eastAsia" w:ascii="宋体" w:hAnsi="宋体"/>
                <w:sz w:val="18"/>
                <w:szCs w:val="18"/>
              </w:rPr>
              <w:t>【</w:t>
            </w:r>
            <w:r>
              <w:rPr>
                <w:rFonts w:ascii="宋体" w:hAnsi="宋体"/>
                <w:sz w:val="18"/>
                <w:szCs w:val="18"/>
              </w:rPr>
              <w:t>/</w:t>
            </w:r>
            <w:r>
              <w:rPr>
                <w:rFonts w:hint="eastAsia" w:ascii="宋体" w:hAnsi="宋体"/>
                <w:sz w:val="18"/>
                <w:szCs w:val="18"/>
              </w:rPr>
              <w:t>】。</w:t>
            </w:r>
          </w:p>
          <w:p w14:paraId="613BCCEF">
            <w:pPr>
              <w:spacing w:line="360" w:lineRule="auto"/>
              <w:jc w:val="left"/>
              <w:rPr>
                <w:rFonts w:ascii="宋体" w:hAnsi="宋体"/>
                <w:sz w:val="18"/>
                <w:szCs w:val="18"/>
              </w:rPr>
            </w:pPr>
            <w:r>
              <w:rPr>
                <w:rFonts w:ascii="宋体" w:hAnsi="宋体"/>
                <w:b/>
                <w:bCs/>
                <w:sz w:val="18"/>
                <w:szCs w:val="18"/>
              </w:rPr>
              <w:t>4.销售服</w:t>
            </w:r>
            <w:r>
              <w:rPr>
                <w:rFonts w:hint="eastAsia" w:ascii="宋体" w:hAnsi="宋体"/>
                <w:b/>
                <w:bCs/>
                <w:sz w:val="18"/>
                <w:szCs w:val="18"/>
              </w:rPr>
              <w:t>务费：</w:t>
            </w:r>
            <w:r>
              <w:rPr>
                <w:rFonts w:ascii="宋体" w:hAnsi="宋体"/>
                <w:sz w:val="18"/>
                <w:szCs w:val="18"/>
              </w:rPr>
              <w:t>年化费率</w:t>
            </w:r>
            <w:r>
              <w:rPr>
                <w:rFonts w:hint="eastAsia" w:ascii="宋体" w:hAnsi="宋体"/>
                <w:sz w:val="18"/>
                <w:szCs w:val="18"/>
              </w:rPr>
              <w:t>【</w:t>
            </w:r>
            <w:r>
              <w:rPr>
                <w:rFonts w:ascii="宋体" w:hAnsi="宋体"/>
                <w:sz w:val="18"/>
                <w:szCs w:val="18"/>
              </w:rPr>
              <w:t>0.20%</w:t>
            </w:r>
            <w:r>
              <w:rPr>
                <w:rFonts w:hint="eastAsia" w:ascii="宋体" w:hAnsi="宋体"/>
                <w:sz w:val="18"/>
                <w:szCs w:val="18"/>
              </w:rPr>
              <w:t>】。</w:t>
            </w:r>
          </w:p>
          <w:p w14:paraId="5634DDE9">
            <w:pPr>
              <w:spacing w:line="360" w:lineRule="auto"/>
              <w:jc w:val="left"/>
              <w:rPr>
                <w:rFonts w:ascii="宋体" w:hAnsi="宋体"/>
                <w:sz w:val="18"/>
                <w:szCs w:val="18"/>
              </w:rPr>
            </w:pPr>
            <w:r>
              <w:rPr>
                <w:rFonts w:ascii="宋体" w:hAnsi="宋体"/>
                <w:b/>
                <w:bCs/>
                <w:sz w:val="18"/>
                <w:szCs w:val="18"/>
              </w:rPr>
              <w:t>5.</w:t>
            </w:r>
            <w:r>
              <w:rPr>
                <w:rFonts w:hint="eastAsia" w:ascii="宋体" w:hAnsi="宋体"/>
                <w:b/>
                <w:bCs/>
                <w:sz w:val="18"/>
                <w:szCs w:val="18"/>
              </w:rPr>
              <w:t>投资管理费：</w:t>
            </w:r>
            <w:r>
              <w:rPr>
                <w:rFonts w:hint="eastAsia" w:ascii="宋体" w:hAnsi="宋体"/>
                <w:sz w:val="18"/>
                <w:szCs w:val="18"/>
              </w:rPr>
              <w:t>年化</w:t>
            </w:r>
            <w:r>
              <w:rPr>
                <w:rFonts w:ascii="宋体" w:hAnsi="宋体"/>
                <w:sz w:val="18"/>
                <w:szCs w:val="18"/>
              </w:rPr>
              <w:t>费率</w:t>
            </w:r>
            <w:r>
              <w:rPr>
                <w:rFonts w:hint="eastAsia" w:ascii="宋体" w:hAnsi="宋体"/>
                <w:sz w:val="18"/>
                <w:szCs w:val="18"/>
              </w:rPr>
              <w:t>【0.30%</w:t>
            </w:r>
            <w:r>
              <w:rPr>
                <w:rFonts w:ascii="宋体" w:hAnsi="宋体"/>
                <w:sz w:val="18"/>
                <w:szCs w:val="18"/>
              </w:rPr>
              <w:t>】</w:t>
            </w:r>
            <w:r>
              <w:rPr>
                <w:rFonts w:hint="eastAsia" w:ascii="宋体" w:hAnsi="宋体"/>
                <w:sz w:val="18"/>
                <w:szCs w:val="18"/>
              </w:rPr>
              <w:t>。</w:t>
            </w:r>
          </w:p>
          <w:p w14:paraId="72D37345">
            <w:pPr>
              <w:spacing w:line="360" w:lineRule="auto"/>
              <w:jc w:val="left"/>
              <w:rPr>
                <w:rFonts w:ascii="宋体" w:hAnsi="宋体"/>
                <w:sz w:val="18"/>
                <w:szCs w:val="18"/>
              </w:rPr>
            </w:pPr>
            <w:r>
              <w:rPr>
                <w:rFonts w:ascii="宋体" w:hAnsi="宋体"/>
                <w:b/>
                <w:bCs/>
                <w:sz w:val="18"/>
                <w:szCs w:val="18"/>
              </w:rPr>
              <w:t>6.</w:t>
            </w:r>
            <w:r>
              <w:rPr>
                <w:rFonts w:hint="eastAsia" w:ascii="宋体" w:hAnsi="宋体"/>
                <w:b/>
                <w:bCs/>
                <w:sz w:val="18"/>
                <w:szCs w:val="18"/>
              </w:rPr>
              <w:t>产品托管费：</w:t>
            </w:r>
            <w:r>
              <w:rPr>
                <w:rFonts w:hint="eastAsia" w:ascii="宋体" w:hAnsi="宋体"/>
                <w:sz w:val="18"/>
                <w:szCs w:val="18"/>
              </w:rPr>
              <w:t>年化</w:t>
            </w:r>
            <w:r>
              <w:rPr>
                <w:rFonts w:ascii="宋体" w:hAnsi="宋体"/>
                <w:sz w:val="18"/>
                <w:szCs w:val="18"/>
              </w:rPr>
              <w:t>费率</w:t>
            </w:r>
            <w:r>
              <w:rPr>
                <w:rFonts w:hint="eastAsia" w:ascii="宋体" w:hAnsi="宋体"/>
                <w:sz w:val="18"/>
                <w:szCs w:val="18"/>
              </w:rPr>
              <w:t>【0.03%】。</w:t>
            </w:r>
          </w:p>
          <w:p w14:paraId="48A94594">
            <w:pPr>
              <w:widowControl/>
              <w:spacing w:line="360" w:lineRule="auto"/>
              <w:jc w:val="left"/>
              <w:rPr>
                <w:rFonts w:ascii="宋体" w:hAnsi="宋体"/>
                <w:sz w:val="18"/>
                <w:szCs w:val="18"/>
              </w:rPr>
            </w:pPr>
            <w:r>
              <w:rPr>
                <w:rFonts w:ascii="宋体" w:hAnsi="宋体"/>
                <w:b/>
                <w:bCs/>
                <w:sz w:val="18"/>
                <w:szCs w:val="18"/>
              </w:rPr>
              <w:t>7.超额业绩报酬：</w:t>
            </w:r>
            <w:r>
              <w:rPr>
                <w:rFonts w:ascii="宋体" w:hAnsi="宋体"/>
                <w:sz w:val="18"/>
                <w:szCs w:val="18"/>
              </w:rPr>
              <w:t>本产品不收取超额业绩报酬</w:t>
            </w:r>
            <w:r>
              <w:rPr>
                <w:rFonts w:hint="eastAsia" w:ascii="宋体" w:hAnsi="宋体"/>
                <w:sz w:val="18"/>
                <w:szCs w:val="18"/>
              </w:rPr>
              <w:t>。</w:t>
            </w:r>
          </w:p>
          <w:p w14:paraId="29EFA8E6">
            <w:pPr>
              <w:spacing w:line="360" w:lineRule="auto"/>
              <w:rPr>
                <w:rFonts w:ascii="黑体" w:hAnsi="黑体" w:eastAsia="黑体"/>
                <w:bCs/>
                <w:sz w:val="18"/>
                <w:szCs w:val="18"/>
              </w:rPr>
            </w:pPr>
            <w:r>
              <w:rPr>
                <w:rFonts w:ascii="宋体" w:hAnsi="宋体"/>
                <w:bCs/>
                <w:sz w:val="18"/>
                <w:szCs w:val="18"/>
              </w:rPr>
              <w:t>8</w:t>
            </w:r>
            <w:r>
              <w:rPr>
                <w:rFonts w:hint="eastAsia" w:asciiTheme="majorEastAsia" w:hAnsiTheme="majorEastAsia" w:eastAsiaTheme="majorEastAsia"/>
                <w:bCs/>
                <w:sz w:val="18"/>
                <w:szCs w:val="18"/>
              </w:rPr>
              <w:t>.</w:t>
            </w:r>
            <w:r>
              <w:rPr>
                <w:rFonts w:hint="eastAsia" w:ascii="黑体" w:hAnsi="黑体" w:eastAsia="黑体"/>
                <w:bCs/>
                <w:sz w:val="18"/>
                <w:szCs w:val="18"/>
              </w:rPr>
              <w:t>产品管理人</w:t>
            </w:r>
            <w:r>
              <w:rPr>
                <w:rFonts w:ascii="黑体" w:hAnsi="黑体" w:eastAsia="黑体"/>
                <w:bCs/>
                <w:sz w:val="18"/>
                <w:szCs w:val="18"/>
              </w:rPr>
              <w:t>保留变更</w:t>
            </w:r>
            <w:r>
              <w:rPr>
                <w:rFonts w:hint="eastAsia" w:ascii="黑体" w:hAnsi="黑体" w:eastAsia="黑体"/>
                <w:bCs/>
                <w:sz w:val="18"/>
                <w:szCs w:val="18"/>
              </w:rPr>
              <w:t>上述</w:t>
            </w:r>
            <w:r>
              <w:rPr>
                <w:rFonts w:ascii="黑体" w:hAnsi="黑体" w:eastAsia="黑体"/>
                <w:bCs/>
                <w:sz w:val="18"/>
                <w:szCs w:val="18"/>
              </w:rPr>
              <w:t>理财产品</w:t>
            </w:r>
            <w:r>
              <w:rPr>
                <w:rFonts w:hint="eastAsia" w:ascii="黑体" w:hAnsi="黑体" w:eastAsia="黑体"/>
                <w:bCs/>
                <w:sz w:val="18"/>
                <w:szCs w:val="18"/>
              </w:rPr>
              <w:t>收取</w:t>
            </w:r>
            <w:r>
              <w:rPr>
                <w:rFonts w:ascii="黑体" w:hAnsi="黑体" w:eastAsia="黑体"/>
                <w:bCs/>
                <w:sz w:val="18"/>
                <w:szCs w:val="18"/>
              </w:rPr>
              <w:t>费率</w:t>
            </w:r>
            <w:r>
              <w:rPr>
                <w:rFonts w:hint="eastAsia" w:ascii="黑体" w:hAnsi="黑体" w:eastAsia="黑体"/>
                <w:bCs/>
                <w:sz w:val="18"/>
                <w:szCs w:val="18"/>
              </w:rPr>
              <w:t>标准</w:t>
            </w:r>
            <w:r>
              <w:rPr>
                <w:rFonts w:ascii="黑体" w:hAnsi="黑体" w:eastAsia="黑体"/>
                <w:bCs/>
                <w:sz w:val="18"/>
                <w:szCs w:val="18"/>
              </w:rPr>
              <w:t>的权利</w:t>
            </w:r>
            <w:r>
              <w:rPr>
                <w:rFonts w:hint="eastAsia" w:ascii="黑体" w:hAnsi="黑体" w:eastAsia="黑体"/>
                <w:bCs/>
                <w:sz w:val="18"/>
                <w:szCs w:val="18"/>
              </w:rPr>
              <w:t>。</w:t>
            </w:r>
          </w:p>
        </w:tc>
      </w:tr>
      <w:tr w14:paraId="42E868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2193E9EC">
            <w:pPr>
              <w:spacing w:line="360" w:lineRule="auto"/>
              <w:jc w:val="left"/>
              <w:rPr>
                <w:rFonts w:hAnsi="宋体"/>
                <w:sz w:val="18"/>
                <w:szCs w:val="18"/>
              </w:rPr>
            </w:pPr>
            <w:r>
              <w:rPr>
                <w:rFonts w:hint="eastAsia" w:ascii="宋体" w:hAnsi="宋体"/>
                <w:b/>
                <w:bCs/>
                <w:kern w:val="0"/>
                <w:sz w:val="18"/>
                <w:szCs w:val="18"/>
              </w:rPr>
              <w:t>税收</w:t>
            </w:r>
          </w:p>
        </w:tc>
        <w:tc>
          <w:tcPr>
            <w:tcW w:w="7704" w:type="dxa"/>
            <w:shd w:val="solid" w:color="FFFFFF" w:fill="FFFFFF"/>
            <w:vAlign w:val="center"/>
          </w:tcPr>
          <w:p w14:paraId="091EB4B3">
            <w:pPr>
              <w:spacing w:line="360" w:lineRule="auto"/>
              <w:rPr>
                <w:rFonts w:ascii="宋体" w:hAnsi="宋体"/>
                <w:bCs/>
                <w:color w:val="000000" w:themeColor="text1"/>
                <w:sz w:val="18"/>
                <w:szCs w:val="18"/>
              </w:rPr>
            </w:pPr>
            <w:r>
              <w:rPr>
                <w:rFonts w:hint="eastAsia" w:hAnsi="宋体" w:cs="仿宋_GB2312"/>
                <w:sz w:val="18"/>
                <w:szCs w:val="18"/>
              </w:rPr>
              <w:t>本理财产品运作过程中涉及的各纳税主体，其纳税义务按国家税收法律、法规执行。</w:t>
            </w:r>
          </w:p>
        </w:tc>
      </w:tr>
      <w:tr w14:paraId="4B01FA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2D0FD319">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704" w:type="dxa"/>
            <w:shd w:val="solid" w:color="FFFFFF" w:fill="FFFFFF"/>
            <w:vAlign w:val="center"/>
          </w:tcPr>
          <w:p w14:paraId="43CAEFC6">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0C38BD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3C1DA277">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704" w:type="dxa"/>
            <w:shd w:val="solid" w:color="FFFFFF" w:fill="FFFFFF"/>
            <w:vAlign w:val="center"/>
          </w:tcPr>
          <w:p w14:paraId="39A96DBE">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7BB380F4">
      <w:pPr>
        <w:pStyle w:val="34"/>
        <w:spacing w:line="360" w:lineRule="auto"/>
        <w:rPr>
          <w:rFonts w:hAnsi="宋体"/>
          <w:sz w:val="18"/>
          <w:szCs w:val="18"/>
        </w:rPr>
      </w:pPr>
    </w:p>
    <w:p w14:paraId="26DB91B3">
      <w:pPr>
        <w:widowControl/>
        <w:spacing w:line="360" w:lineRule="auto"/>
        <w:jc w:val="left"/>
        <w:rPr>
          <w:rFonts w:ascii="宋体" w:hAnsi="宋体"/>
          <w:color w:val="000000"/>
          <w:kern w:val="0"/>
          <w:sz w:val="18"/>
          <w:szCs w:val="18"/>
        </w:rPr>
      </w:pPr>
      <w:r>
        <w:rPr>
          <w:rFonts w:hAnsi="宋体"/>
          <w:sz w:val="18"/>
          <w:szCs w:val="18"/>
        </w:rPr>
        <w:br w:type="page"/>
      </w:r>
    </w:p>
    <w:p w14:paraId="50E0D238">
      <w:pPr>
        <w:pStyle w:val="2"/>
        <w:spacing w:before="0" w:after="0" w:line="360" w:lineRule="auto"/>
        <w:jc w:val="center"/>
        <w:rPr>
          <w:rFonts w:ascii="Times New Roman"/>
          <w:sz w:val="30"/>
        </w:rPr>
      </w:pPr>
      <w:r>
        <w:rPr>
          <w:rFonts w:ascii="Times New Roman"/>
          <w:sz w:val="30"/>
        </w:rPr>
        <w:t>第</w:t>
      </w:r>
      <w:r>
        <w:rPr>
          <w:rFonts w:hint="eastAsia" w:ascii="Times New Roman"/>
          <w:sz w:val="30"/>
        </w:rPr>
        <w:t>三条</w:t>
      </w:r>
      <w:r>
        <w:rPr>
          <w:rFonts w:ascii="Times New Roman"/>
          <w:sz w:val="30"/>
        </w:rPr>
        <w:t xml:space="preserve">  </w:t>
      </w:r>
      <w:r>
        <w:rPr>
          <w:rFonts w:hint="eastAsia" w:ascii="Times New Roman"/>
          <w:sz w:val="30"/>
        </w:rPr>
        <w:t>理财产品的认购</w:t>
      </w:r>
    </w:p>
    <w:p w14:paraId="34368A08">
      <w:pPr>
        <w:spacing w:line="360" w:lineRule="auto"/>
        <w:ind w:firstLine="361" w:firstLineChars="200"/>
        <w:rPr>
          <w:rFonts w:asciiTheme="minorEastAsia" w:hAnsiTheme="minorEastAsia"/>
          <w:b/>
          <w:bCs/>
          <w:sz w:val="18"/>
          <w:szCs w:val="18"/>
        </w:rPr>
      </w:pPr>
      <w:r>
        <w:rPr>
          <w:rFonts w:hint="eastAsia" w:asciiTheme="minorEastAsia" w:hAnsiTheme="minorEastAsia"/>
          <w:b/>
          <w:bCs/>
          <w:sz w:val="18"/>
          <w:szCs w:val="18"/>
        </w:rPr>
        <w:t>（一）理财产品的认购</w:t>
      </w:r>
    </w:p>
    <w:p w14:paraId="31D43404">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4982180F">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0D78F2E0">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25C8D542">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2346B453">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05A47C86">
      <w:pPr>
        <w:pStyle w:val="3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71B1D659">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25"/>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984"/>
        <w:gridCol w:w="4267"/>
        <w:gridCol w:w="1610"/>
      </w:tblGrid>
      <w:tr w14:paraId="70BE23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32059AFC">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75FD4419">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5509393B">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113FC5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128DCE2A">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12FBD70E">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w:t>
            </w:r>
            <w:r>
              <w:rPr>
                <w:rFonts w:hint="eastAsia" w:cs="Times New Roman" w:asciiTheme="minorEastAsia" w:hAnsiTheme="minorEastAsia" w:eastAsiaTheme="minorEastAsia"/>
                <w:bCs/>
                <w:sz w:val="18"/>
                <w:szCs w:val="18"/>
              </w:rPr>
              <w:t>，并登记理财份额</w:t>
            </w:r>
            <w:r>
              <w:rPr>
                <w:rFonts w:hint="eastAsia" w:cs="Times New Roman" w:asciiTheme="minorEastAsia" w:hAnsiTheme="minorEastAsia"/>
                <w:bCs/>
                <w:kern w:val="0"/>
                <w:sz w:val="18"/>
                <w:szCs w:val="18"/>
              </w:rPr>
              <w:t>。</w:t>
            </w:r>
          </w:p>
        </w:tc>
        <w:tc>
          <w:tcPr>
            <w:tcW w:w="1610" w:type="dxa"/>
            <w:vAlign w:val="center"/>
          </w:tcPr>
          <w:p w14:paraId="476B275F">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2F6CE5EA">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认购期/募集期内</w:t>
      </w:r>
      <w:r>
        <w:rPr>
          <w:rFonts w:asciiTheme="minorEastAsia" w:hAnsiTheme="minorEastAsia"/>
          <w:bCs/>
          <w:color w:val="auto"/>
          <w:sz w:val="18"/>
          <w:szCs w:val="18"/>
        </w:rPr>
        <w:t>产品管理人</w:t>
      </w:r>
      <w:r>
        <w:rPr>
          <w:rFonts w:hint="eastAsia" w:asciiTheme="minorEastAsia" w:hAnsiTheme="minorEastAsia"/>
          <w:bCs/>
          <w:color w:val="auto"/>
          <w:sz w:val="18"/>
          <w:szCs w:val="18"/>
        </w:rPr>
        <w:t>可受理投资者提交的认购申请。</w:t>
      </w:r>
      <w:r>
        <w:rPr>
          <w:rFonts w:hint="eastAsia" w:asciiTheme="majorEastAsia" w:hAnsiTheme="majorEastAsia" w:eastAsiaTheme="majorEastAsia"/>
          <w:sz w:val="18"/>
          <w:szCs w:val="18"/>
        </w:rPr>
        <w:t>提交</w:t>
      </w:r>
      <w:r>
        <w:rPr>
          <w:rFonts w:asciiTheme="majorEastAsia" w:hAnsiTheme="majorEastAsia" w:eastAsiaTheme="majorEastAsia"/>
          <w:sz w:val="18"/>
          <w:szCs w:val="18"/>
        </w:rPr>
        <w:t>认购</w:t>
      </w:r>
      <w:r>
        <w:rPr>
          <w:rFonts w:hint="eastAsia" w:asciiTheme="majorEastAsia" w:hAnsiTheme="majorEastAsia" w:eastAsiaTheme="majorEastAsia"/>
          <w:sz w:val="18"/>
          <w:szCs w:val="18"/>
        </w:rPr>
        <w:t>申请并不代表认购成功，产品管理人将在认购确认日确认投资者是否认购成功。</w:t>
      </w:r>
      <w:r>
        <w:rPr>
          <w:rFonts w:hint="eastAsia" w:asciiTheme="minorEastAsia" w:hAnsiTheme="minorEastAsia" w:eastAsiaTheme="minorEastAsia"/>
          <w:sz w:val="18"/>
          <w:szCs w:val="18"/>
        </w:rPr>
        <w:t>认购</w:t>
      </w:r>
      <w:r>
        <w:rPr>
          <w:rFonts w:hint="eastAsia" w:asciiTheme="majorEastAsia" w:hAnsiTheme="majorEastAsia" w:eastAsiaTheme="majorEastAsia"/>
          <w:sz w:val="18"/>
          <w:szCs w:val="18"/>
        </w:rPr>
        <w:t>是否成功以管理人的确认结果为准</w:t>
      </w:r>
      <w:r>
        <w:rPr>
          <w:rFonts w:hint="eastAsia" w:asciiTheme="minorEastAsia" w:hAnsiTheme="minorEastAsia" w:eastAsiaTheme="minorEastAsia"/>
          <w:sz w:val="18"/>
          <w:szCs w:val="18"/>
        </w:rPr>
        <w:t>。</w:t>
      </w:r>
      <w:r>
        <w:rPr>
          <w:rFonts w:hint="eastAsia" w:asciiTheme="minorEastAsia" w:hAnsiTheme="minorEastAsia" w:eastAsiaTheme="minorEastAsia"/>
          <w:bCs/>
          <w:sz w:val="18"/>
          <w:szCs w:val="18"/>
        </w:rPr>
        <w:t>投资者可以在认购确认日系统完成处理后，查询产品份额。</w:t>
      </w:r>
    </w:p>
    <w:p w14:paraId="75C9DBC5">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7221AC0C">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6BA1045E">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2FBEF9C5">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46A3F87A">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p>
    <w:p w14:paraId="08DAA417">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40FBE533">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466F9124">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0799C199">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3D113B3B">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55DD5823">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.认购的起点和追加金额</w:t>
      </w:r>
    </w:p>
    <w:p w14:paraId="33DCCE96">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2BD61112">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3EB1FFA4">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496E8A9D">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26729940">
      <w:pPr>
        <w:spacing w:line="360" w:lineRule="auto"/>
        <w:ind w:firstLine="360" w:firstLineChars="200"/>
        <w:rPr>
          <w:rFonts w:asciiTheme="minorEastAsia" w:hAnsiTheme="minorEastAsia"/>
          <w:bCs/>
          <w:sz w:val="18"/>
          <w:szCs w:val="18"/>
        </w:rPr>
      </w:pPr>
      <w:r>
        <w:rPr>
          <w:rFonts w:hint="eastAsia" w:asciiTheme="minorEastAsia" w:hAnsiTheme="minorEastAsia"/>
          <w:bCs/>
          <w:sz w:val="18"/>
          <w:szCs w:val="18"/>
        </w:rPr>
        <w:t>投资者认购资金在产品认购期内按照活期存款利率计息，但在产品认购期所产生的利息不作为理财</w:t>
      </w:r>
      <w:r>
        <w:rPr>
          <w:rFonts w:asciiTheme="minorEastAsia" w:hAnsiTheme="minorEastAsia"/>
          <w:bCs/>
          <w:sz w:val="18"/>
          <w:szCs w:val="18"/>
        </w:rPr>
        <w:t>资金</w:t>
      </w:r>
      <w:r>
        <w:rPr>
          <w:rFonts w:hint="eastAsia" w:asciiTheme="minorEastAsia" w:hAnsiTheme="minorEastAsia"/>
          <w:bCs/>
          <w:sz w:val="18"/>
          <w:szCs w:val="18"/>
        </w:rPr>
        <w:t>进入理财运作，不计算理财利益。</w:t>
      </w:r>
    </w:p>
    <w:p w14:paraId="75E97F5E">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553E489A">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2EC6EE60">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31F9F930">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7D3D8ED1">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74A42048">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6CBAFA5E">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0E1BC37E">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5675756E">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4BD3F1E9">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15D98B97">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17886B6F">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43517BB8">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265DFB57">
      <w:pPr>
        <w:spacing w:line="360" w:lineRule="auto"/>
        <w:ind w:firstLine="360" w:firstLineChars="200"/>
        <w:rPr>
          <w:rFonts w:asciiTheme="minorEastAsia" w:hAnsiTheme="minorEastAsia"/>
          <w:bCs/>
          <w:sz w:val="18"/>
          <w:szCs w:val="18"/>
        </w:rPr>
      </w:pPr>
    </w:p>
    <w:p w14:paraId="5285C41E">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14:paraId="346046C9">
      <w:pPr>
        <w:pStyle w:val="2"/>
        <w:spacing w:before="0" w:after="0" w:line="360" w:lineRule="auto"/>
        <w:jc w:val="center"/>
        <w:rPr>
          <w:rFonts w:ascii="Times New Roman"/>
          <w:sz w:val="30"/>
        </w:rPr>
      </w:pPr>
      <w:r>
        <w:rPr>
          <w:rFonts w:hint="eastAsia" w:ascii="Times New Roman"/>
          <w:sz w:val="30"/>
        </w:rPr>
        <w:t xml:space="preserve">第四条 </w:t>
      </w:r>
      <w:r>
        <w:rPr>
          <w:rFonts w:ascii="Times New Roman"/>
          <w:sz w:val="30"/>
        </w:rPr>
        <w:t xml:space="preserve"> </w:t>
      </w:r>
      <w:r>
        <w:rPr>
          <w:rFonts w:hint="eastAsia" w:ascii="Times New Roman"/>
          <w:sz w:val="30"/>
        </w:rPr>
        <w:t>理财产品的申购与赎回</w:t>
      </w:r>
    </w:p>
    <w:p w14:paraId="42973175">
      <w:pPr>
        <w:spacing w:line="360" w:lineRule="auto"/>
        <w:ind w:firstLine="420" w:firstLineChars="200"/>
      </w:pPr>
    </w:p>
    <w:p w14:paraId="25890FAA">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（一）理财产品的申购</w:t>
      </w:r>
    </w:p>
    <w:p w14:paraId="2D894AB4">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申购的时间</w:t>
      </w:r>
    </w:p>
    <w:p w14:paraId="05D1145A">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具体的申购时间以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投资者可于开放日内申购，产品管理人公告暂停开放的日期除外</w:t>
      </w:r>
      <w:r>
        <w:rPr>
          <w:rFonts w:hint="eastAsia" w:asciiTheme="majorEastAsia" w:hAnsiTheme="majorEastAsia" w:eastAsiaTheme="majorEastAsia"/>
          <w:bCs/>
          <w:sz w:val="18"/>
          <w:szCs w:val="18"/>
        </w:rPr>
        <w:t>。</w:t>
      </w:r>
    </w:p>
    <w:p w14:paraId="3733AB81">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2.申购的方式</w:t>
      </w:r>
    </w:p>
    <w:p w14:paraId="6B37256F">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投资者可通过</w:t>
      </w:r>
      <w:r>
        <w:rPr>
          <w:rFonts w:hint="eastAsia" w:asciiTheme="minorEastAsia" w:hAnsiTheme="minorEastAsia"/>
          <w:bCs/>
          <w:color w:val="auto"/>
          <w:sz w:val="18"/>
          <w:szCs w:val="18"/>
        </w:rPr>
        <w:t>销售机构的销售</w:t>
      </w:r>
      <w:r>
        <w:rPr>
          <w:rFonts w:asciiTheme="minorEastAsia" w:hAnsiTheme="minorEastAsia"/>
          <w:bCs/>
          <w:color w:val="auto"/>
          <w:sz w:val="18"/>
          <w:szCs w:val="18"/>
        </w:rPr>
        <w:t>渠道</w:t>
      </w:r>
      <w:r>
        <w:rPr>
          <w:rFonts w:hint="eastAsia" w:asciiTheme="minorEastAsia" w:hAnsiTheme="minorEastAsia"/>
          <w:bCs/>
          <w:color w:val="auto"/>
          <w:sz w:val="18"/>
          <w:szCs w:val="18"/>
        </w:rPr>
        <w:t>申购。不同销售机构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渠道，申购确认时效可能存在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14:paraId="1A676F3C">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投资者通过</w:t>
      </w:r>
      <w:r>
        <w:rPr>
          <w:rFonts w:hint="eastAsia" w:asciiTheme="minorEastAsia" w:hAnsiTheme="minorEastAsia"/>
          <w:bCs/>
          <w:color w:val="auto"/>
          <w:sz w:val="18"/>
          <w:szCs w:val="18"/>
        </w:rPr>
        <w:t>销售机构线下</w:t>
      </w:r>
      <w:r>
        <w:rPr>
          <w:rFonts w:asciiTheme="minorEastAsia" w:hAnsiTheme="minorEastAsia"/>
          <w:bCs/>
          <w:color w:val="auto"/>
          <w:sz w:val="18"/>
          <w:szCs w:val="18"/>
        </w:rPr>
        <w:t>渠道申购</w:t>
      </w:r>
      <w:r>
        <w:rPr>
          <w:rFonts w:hint="eastAsia" w:asciiTheme="minorEastAsia" w:hAnsiTheme="minorEastAsia"/>
          <w:bCs/>
          <w:color w:val="auto"/>
          <w:sz w:val="18"/>
          <w:szCs w:val="18"/>
        </w:rPr>
        <w:t>的，应签署有关理财产品销售文件。</w:t>
      </w:r>
    </w:p>
    <w:p w14:paraId="361201AD">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投资者通过销售机构线上渠道申购的，应根据销售机构线上渠道的具体要求执行。</w:t>
      </w:r>
    </w:p>
    <w:p w14:paraId="6BAA9EDA">
      <w:pPr>
        <w:pStyle w:val="34"/>
        <w:spacing w:line="360" w:lineRule="auto"/>
        <w:ind w:firstLine="361" w:firstLineChars="200"/>
        <w:rPr>
          <w:rFonts w:asciiTheme="minorEastAsia" w:hAnsiTheme="minorEastAsia" w:eastAsiaTheme="minorEastAsia"/>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申购的确认</w:t>
      </w:r>
    </w:p>
    <w:p w14:paraId="2A3CA4CE">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14:paraId="730F56E5">
      <w:pPr>
        <w:pStyle w:val="34"/>
        <w:spacing w:line="360" w:lineRule="auto"/>
        <w:ind w:firstLine="360" w:firstLineChars="200"/>
        <w:rPr>
          <w:rFonts w:asciiTheme="minorEastAsia" w:hAnsiTheme="minorEastAsia" w:eastAsiaTheme="minorEastAsia"/>
          <w:bCs/>
          <w:color w:val="auto"/>
          <w:sz w:val="18"/>
          <w:szCs w:val="18"/>
        </w:rPr>
      </w:pPr>
      <w:r>
        <w:rPr>
          <w:rFonts w:hint="eastAsia" w:asciiTheme="minorEastAsia" w:hAnsiTheme="minorEastAsia"/>
          <w:bCs/>
          <w:color w:val="auto"/>
          <w:sz w:val="18"/>
          <w:szCs w:val="18"/>
        </w:rPr>
        <w:t>开放日内产品管理人可受理投资者提交的申购申请。</w:t>
      </w:r>
      <w:r>
        <w:rPr>
          <w:rFonts w:hint="eastAsia" w:asciiTheme="majorEastAsia" w:hAnsiTheme="majorEastAsia" w:eastAsiaTheme="majorEastAsia"/>
          <w:bCs/>
          <w:color w:val="auto"/>
          <w:sz w:val="18"/>
          <w:szCs w:val="18"/>
        </w:rPr>
        <w:t>投资者在开放日交易时间内提交申购申请的，产品管理人在当天受理该申购申请。客户在非交易时间内提交申购申请的，产品</w:t>
      </w:r>
      <w:r>
        <w:rPr>
          <w:rFonts w:asciiTheme="majorEastAsia" w:hAnsiTheme="majorEastAsia" w:eastAsiaTheme="majorEastAsia"/>
          <w:bCs/>
          <w:color w:val="auto"/>
          <w:sz w:val="18"/>
          <w:szCs w:val="18"/>
        </w:rPr>
        <w:t>管理人</w:t>
      </w:r>
      <w:r>
        <w:rPr>
          <w:rFonts w:hint="eastAsia" w:asciiTheme="majorEastAsia" w:hAnsiTheme="majorEastAsia" w:eastAsiaTheme="majorEastAsia"/>
          <w:bCs/>
          <w:color w:val="auto"/>
          <w:sz w:val="18"/>
          <w:szCs w:val="18"/>
        </w:rPr>
        <w:t>视同下一个开放日的交易时间内受理该申购申请。</w:t>
      </w:r>
      <w:r>
        <w:rPr>
          <w:rFonts w:hint="eastAsia" w:asciiTheme="majorEastAsia" w:hAnsiTheme="majorEastAsia" w:eastAsiaTheme="majorEastAsia"/>
          <w:color w:val="auto"/>
          <w:sz w:val="18"/>
          <w:szCs w:val="18"/>
        </w:rPr>
        <w:t>提交申购申请并不代表申购成功，产品管理人将在申购确认日确认投资者是否申购成功。申购是否成功以管理人的确认结果为准</w:t>
      </w:r>
      <w:r>
        <w:rPr>
          <w:rFonts w:hint="eastAsia" w:asciiTheme="minorEastAsia" w:hAnsiTheme="minorEastAsia" w:eastAsiaTheme="minorEastAsia"/>
          <w:color w:val="auto"/>
          <w:sz w:val="18"/>
          <w:szCs w:val="18"/>
        </w:rPr>
        <w:t>。</w:t>
      </w:r>
      <w:r>
        <w:rPr>
          <w:rFonts w:hint="eastAsia" w:asciiTheme="minorEastAsia" w:hAnsiTheme="minorEastAsia" w:eastAsiaTheme="minorEastAsia"/>
          <w:bCs/>
          <w:color w:val="auto"/>
          <w:sz w:val="18"/>
          <w:szCs w:val="18"/>
        </w:rPr>
        <w:t>投资者可以在申购确认日系统完成处理后，查询产品份额。</w:t>
      </w:r>
    </w:p>
    <w:p w14:paraId="415C44B1">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.申购</w:t>
      </w:r>
      <w:r>
        <w:rPr>
          <w:rFonts w:asciiTheme="minorEastAsia" w:hAnsiTheme="minorEastAsia"/>
          <w:b/>
          <w:bCs/>
          <w:sz w:val="18"/>
          <w:szCs w:val="18"/>
        </w:rPr>
        <w:t>的价格</w:t>
      </w:r>
    </w:p>
    <w:p w14:paraId="2D28456A">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申购价格为申购日的产品份额净值。</w:t>
      </w:r>
    </w:p>
    <w:p w14:paraId="7E6782D3">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申购的</w:t>
      </w:r>
      <w:r>
        <w:rPr>
          <w:rFonts w:asciiTheme="minorEastAsia" w:hAnsiTheme="minorEastAsia"/>
          <w:b/>
          <w:bCs/>
          <w:sz w:val="18"/>
          <w:szCs w:val="18"/>
        </w:rPr>
        <w:t>费用</w:t>
      </w:r>
    </w:p>
    <w:p w14:paraId="42E29EFC">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bCs/>
          <w:sz w:val="18"/>
          <w:szCs w:val="18"/>
        </w:rPr>
        <w:t>。</w:t>
      </w:r>
    </w:p>
    <w:p w14:paraId="4F92BF0F">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sz w:val="18"/>
          <w:szCs w:val="18"/>
        </w:rPr>
        <w:t>申购份额计算</w:t>
      </w:r>
    </w:p>
    <w:p w14:paraId="30BF4450">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本产品的申购金额包括申购费用和净申购金额。申购份额的计算公式为：</w:t>
      </w:r>
    </w:p>
    <w:p w14:paraId="604A693E">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净申购金额</w:t>
      </w:r>
      <w:r>
        <w:rPr>
          <w:rFonts w:asciiTheme="minorEastAsia" w:hAnsiTheme="minorEastAsia"/>
          <w:bCs/>
          <w:color w:val="auto"/>
          <w:sz w:val="18"/>
          <w:szCs w:val="18"/>
        </w:rPr>
        <w:t>=申购金额/（1+申购费率）</w:t>
      </w:r>
    </w:p>
    <w:p w14:paraId="302C6E2A">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申购费用</w:t>
      </w:r>
      <w:r>
        <w:rPr>
          <w:rFonts w:asciiTheme="minorEastAsia" w:hAnsiTheme="minorEastAsia"/>
          <w:bCs/>
          <w:color w:val="auto"/>
          <w:sz w:val="18"/>
          <w:szCs w:val="18"/>
        </w:rPr>
        <w:t>=申购金额－净申购金额</w:t>
      </w:r>
    </w:p>
    <w:p w14:paraId="5BEA0FBB">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申购份额</w:t>
      </w:r>
      <w:r>
        <w:rPr>
          <w:rFonts w:asciiTheme="minorEastAsia" w:hAnsiTheme="minorEastAsia"/>
          <w:bCs/>
          <w:color w:val="auto"/>
          <w:sz w:val="18"/>
          <w:szCs w:val="18"/>
        </w:rPr>
        <w:t>=净申购金额/申购日产品份额净值</w:t>
      </w:r>
    </w:p>
    <w:p w14:paraId="0345F945">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2位，由此产生的收益或损失由理财产品承担。</w:t>
      </w:r>
    </w:p>
    <w:p w14:paraId="4758A81A">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申购的起点和追加金额</w:t>
      </w:r>
    </w:p>
    <w:p w14:paraId="2C0322B8">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14:paraId="72B3F8AE">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申购</w:t>
      </w:r>
      <w:r>
        <w:rPr>
          <w:rFonts w:asciiTheme="minorEastAsia" w:hAnsiTheme="minorEastAsia" w:eastAsiaTheme="minorEastAsia"/>
          <w:b/>
          <w:color w:val="auto"/>
          <w:sz w:val="18"/>
          <w:szCs w:val="18"/>
        </w:rPr>
        <w:t>的数量限制</w:t>
      </w:r>
    </w:p>
    <w:p w14:paraId="22DDBFD5">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14:paraId="2530FFF3">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（二）理财产品的赎回</w:t>
      </w:r>
    </w:p>
    <w:p w14:paraId="6496286C">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赎回的时间</w:t>
      </w:r>
    </w:p>
    <w:p w14:paraId="1CA4BB5F">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具体的赎回时间以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投资者可于开放日内赎回，产品管理人公告暂停开放的日期除外</w:t>
      </w:r>
      <w:r>
        <w:rPr>
          <w:rFonts w:hint="eastAsia" w:asciiTheme="majorEastAsia" w:hAnsiTheme="majorEastAsia" w:eastAsiaTheme="majorEastAsia"/>
          <w:bCs/>
          <w:sz w:val="18"/>
          <w:szCs w:val="18"/>
        </w:rPr>
        <w:t>。</w:t>
      </w:r>
    </w:p>
    <w:p w14:paraId="2ECC4F18">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2.赎回的方式</w:t>
      </w:r>
    </w:p>
    <w:p w14:paraId="042E9CF5">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投资者可通过</w:t>
      </w:r>
      <w:r>
        <w:rPr>
          <w:rFonts w:hint="eastAsia" w:asciiTheme="majorEastAsia" w:hAnsiTheme="majorEastAsia" w:eastAsiaTheme="majorEastAsia"/>
          <w:color w:val="auto"/>
          <w:sz w:val="18"/>
          <w:szCs w:val="18"/>
        </w:rPr>
        <w:t>销售机构的销售</w:t>
      </w:r>
      <w:r>
        <w:rPr>
          <w:rFonts w:asciiTheme="majorEastAsia" w:hAnsiTheme="majorEastAsia" w:eastAsiaTheme="majorEastAsia"/>
          <w:color w:val="auto"/>
          <w:sz w:val="18"/>
          <w:szCs w:val="18"/>
        </w:rPr>
        <w:t>渠道</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w:t>
      </w:r>
      <w:r>
        <w:rPr>
          <w:rFonts w:hint="eastAsia" w:asciiTheme="minorEastAsia" w:hAnsiTheme="minorEastAsia"/>
          <w:bCs/>
          <w:color w:val="auto"/>
          <w:sz w:val="18"/>
          <w:szCs w:val="18"/>
        </w:rPr>
        <w:t>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渠道，赎回确认时效可能存在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14:paraId="46C6BABC">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w:t>
      </w:r>
      <w:r>
        <w:rPr>
          <w:rFonts w:asciiTheme="minorEastAsia" w:hAnsiTheme="minorEastAsia" w:eastAsiaTheme="minorEastAsia"/>
          <w:color w:val="auto"/>
          <w:sz w:val="18"/>
          <w:szCs w:val="18"/>
        </w:rPr>
        <w:t>渠道赎回的</w:t>
      </w:r>
      <w:r>
        <w:rPr>
          <w:rFonts w:hint="eastAsia" w:asciiTheme="majorEastAsia" w:hAnsiTheme="majorEastAsia" w:eastAsiaTheme="majorEastAsia"/>
          <w:color w:val="auto"/>
          <w:sz w:val="18"/>
          <w:szCs w:val="18"/>
        </w:rPr>
        <w:t>，应签署</w:t>
      </w:r>
      <w:r>
        <w:rPr>
          <w:rFonts w:hint="eastAsia" w:asciiTheme="minorEastAsia" w:hAnsiTheme="minorEastAsia"/>
          <w:bCs/>
          <w:color w:val="auto"/>
          <w:sz w:val="18"/>
          <w:szCs w:val="18"/>
        </w:rPr>
        <w:t>有关理财产品销售文件</w:t>
      </w:r>
      <w:r>
        <w:rPr>
          <w:rFonts w:hint="eastAsia" w:asciiTheme="majorEastAsia" w:hAnsiTheme="majorEastAsia" w:eastAsiaTheme="majorEastAsia"/>
          <w:color w:val="auto"/>
          <w:sz w:val="18"/>
          <w:szCs w:val="18"/>
        </w:rPr>
        <w:t>。</w:t>
      </w:r>
    </w:p>
    <w:p w14:paraId="6FD59B33">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投资者通过销售机构线上渠道</w:t>
      </w:r>
      <w:r>
        <w:rPr>
          <w:rFonts w:hint="eastAsia" w:asciiTheme="minorEastAsia" w:hAnsiTheme="minorEastAsia" w:eastAsiaTheme="minorEastAsia"/>
          <w:color w:val="auto"/>
          <w:sz w:val="18"/>
          <w:szCs w:val="18"/>
        </w:rPr>
        <w:t>赎回的，</w:t>
      </w:r>
      <w:r>
        <w:rPr>
          <w:rFonts w:hint="eastAsia" w:asciiTheme="minorEastAsia" w:hAnsiTheme="minorEastAsia"/>
          <w:bCs/>
          <w:color w:val="auto"/>
          <w:sz w:val="18"/>
          <w:szCs w:val="18"/>
        </w:rPr>
        <w:t>应根据销售机构线上渠道的具体要求执行。</w:t>
      </w:r>
    </w:p>
    <w:p w14:paraId="4D4D6BD3">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赎回的确认</w:t>
      </w:r>
    </w:p>
    <w:p w14:paraId="0ED142B4">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14:paraId="2CEB98A1">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bCs/>
          <w:color w:val="auto"/>
          <w:sz w:val="18"/>
          <w:szCs w:val="18"/>
        </w:rPr>
        <w:t>开放日内产品管理人可受理投资者提交的赎回申请。</w:t>
      </w:r>
      <w:r>
        <w:rPr>
          <w:rFonts w:hint="eastAsia" w:asciiTheme="minorEastAsia" w:hAnsiTheme="minorEastAsia" w:eastAsiaTheme="minorEastAsia"/>
          <w:color w:val="auto"/>
          <w:sz w:val="18"/>
          <w:szCs w:val="18"/>
        </w:rPr>
        <w:t>投资者在开放日交易时间内提交赎回申请的，在当天受理该赎回申请。投资者在非交易时间内提交赎回申请的，视同下一个开放日的交易时间内受理该赎回申请。</w:t>
      </w:r>
      <w:r>
        <w:rPr>
          <w:rFonts w:hint="eastAsia" w:asciiTheme="majorEastAsia" w:hAnsiTheme="majorEastAsia" w:eastAsiaTheme="majorEastAsia"/>
          <w:color w:val="auto"/>
          <w:sz w:val="18"/>
          <w:szCs w:val="18"/>
        </w:rPr>
        <w:t>提交赎回申请并不代表赎回成功，产品管理人将在赎回确认日确认投资者是否赎回成功。赎回是否成功以管理人的确认结果为准</w:t>
      </w:r>
      <w:r>
        <w:rPr>
          <w:rFonts w:hint="eastAsia" w:asciiTheme="minorEastAsia" w:hAnsiTheme="minorEastAsia" w:eastAsiaTheme="minorEastAsia"/>
          <w:color w:val="auto"/>
          <w:sz w:val="18"/>
          <w:szCs w:val="18"/>
        </w:rPr>
        <w:t>。</w:t>
      </w:r>
    </w:p>
    <w:p w14:paraId="77739A18">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.赎回</w:t>
      </w:r>
      <w:r>
        <w:rPr>
          <w:rFonts w:asciiTheme="minorEastAsia" w:hAnsiTheme="minorEastAsia"/>
          <w:b/>
          <w:bCs/>
          <w:sz w:val="18"/>
          <w:szCs w:val="18"/>
        </w:rPr>
        <w:t>的价格</w:t>
      </w:r>
    </w:p>
    <w:p w14:paraId="69EE339A">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bCs/>
          <w:color w:val="auto"/>
          <w:sz w:val="18"/>
          <w:szCs w:val="18"/>
        </w:rPr>
        <w:t>赎回</w:t>
      </w:r>
      <w:r>
        <w:rPr>
          <w:rFonts w:asciiTheme="majorEastAsia" w:hAnsiTheme="majorEastAsia" w:eastAsiaTheme="majorEastAsia"/>
          <w:bCs/>
          <w:color w:val="auto"/>
          <w:sz w:val="18"/>
          <w:szCs w:val="18"/>
        </w:rPr>
        <w:t>价格为赎回日</w:t>
      </w:r>
      <w:r>
        <w:rPr>
          <w:rFonts w:hint="eastAsia" w:asciiTheme="majorEastAsia" w:hAnsiTheme="majorEastAsia" w:eastAsiaTheme="majorEastAsia"/>
          <w:bCs/>
          <w:color w:val="auto"/>
          <w:sz w:val="18"/>
          <w:szCs w:val="18"/>
        </w:rPr>
        <w:t>的</w:t>
      </w:r>
      <w:r>
        <w:rPr>
          <w:rFonts w:asciiTheme="majorEastAsia" w:hAnsiTheme="majorEastAsia" w:eastAsiaTheme="majorEastAsia"/>
          <w:bCs/>
          <w:color w:val="auto"/>
          <w:sz w:val="18"/>
          <w:szCs w:val="18"/>
        </w:rPr>
        <w:t>产品份额净值</w:t>
      </w:r>
      <w:r>
        <w:rPr>
          <w:rFonts w:hint="eastAsia" w:asciiTheme="majorEastAsia" w:hAnsiTheme="majorEastAsia" w:eastAsiaTheme="majorEastAsia"/>
          <w:bCs/>
          <w:color w:val="auto"/>
          <w:sz w:val="18"/>
          <w:szCs w:val="18"/>
        </w:rPr>
        <w:t>。</w:t>
      </w:r>
    </w:p>
    <w:p w14:paraId="4EAE0654">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赎回的</w:t>
      </w:r>
      <w:r>
        <w:rPr>
          <w:rFonts w:asciiTheme="minorEastAsia" w:hAnsiTheme="minorEastAsia"/>
          <w:b/>
          <w:bCs/>
          <w:sz w:val="18"/>
          <w:szCs w:val="18"/>
        </w:rPr>
        <w:t>费用</w:t>
      </w:r>
    </w:p>
    <w:p w14:paraId="2765C20A">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bCs/>
          <w:sz w:val="18"/>
          <w:szCs w:val="18"/>
        </w:rPr>
        <w:t>。</w:t>
      </w:r>
    </w:p>
    <w:p w14:paraId="35F3F39B">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color w:val="auto"/>
          <w:sz w:val="18"/>
          <w:szCs w:val="18"/>
        </w:rPr>
        <w:t>赎回</w:t>
      </w:r>
      <w:r>
        <w:rPr>
          <w:rFonts w:hint="eastAsia" w:asciiTheme="minorEastAsia" w:hAnsiTheme="minorEastAsia"/>
          <w:b/>
          <w:bCs/>
          <w:sz w:val="18"/>
          <w:szCs w:val="18"/>
        </w:rPr>
        <w:t>金额计算</w:t>
      </w:r>
    </w:p>
    <w:p w14:paraId="39A0DF70">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本产品赎回</w:t>
      </w:r>
      <w:r>
        <w:rPr>
          <w:rFonts w:asciiTheme="minorEastAsia" w:hAnsiTheme="minorEastAsia"/>
          <w:bCs/>
          <w:color w:val="auto"/>
          <w:sz w:val="18"/>
          <w:szCs w:val="18"/>
        </w:rPr>
        <w:t>金额</w:t>
      </w:r>
      <w:r>
        <w:rPr>
          <w:rFonts w:hint="eastAsia" w:asciiTheme="minorEastAsia" w:hAnsiTheme="minorEastAsia"/>
          <w:bCs/>
          <w:color w:val="auto"/>
          <w:sz w:val="18"/>
          <w:szCs w:val="18"/>
        </w:rPr>
        <w:t>的计算公式如下：</w:t>
      </w:r>
    </w:p>
    <w:p w14:paraId="29C67252">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赎回总金额</w:t>
      </w:r>
      <w:r>
        <w:rPr>
          <w:rFonts w:asciiTheme="majorEastAsia" w:hAnsiTheme="majorEastAsia" w:eastAsiaTheme="majorEastAsia"/>
          <w:color w:val="auto"/>
          <w:sz w:val="18"/>
          <w:szCs w:val="18"/>
        </w:rPr>
        <w:t>=赎回份额×赎回日该产品份额净值</w:t>
      </w:r>
    </w:p>
    <w:p w14:paraId="7EFC13C2">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赎回费用</w:t>
      </w:r>
      <w:r>
        <w:rPr>
          <w:rFonts w:asciiTheme="majorEastAsia" w:hAnsiTheme="majorEastAsia" w:eastAsiaTheme="majorEastAsia"/>
          <w:color w:val="auto"/>
          <w:sz w:val="18"/>
          <w:szCs w:val="18"/>
        </w:rPr>
        <w:t>=赎回总金额×赎回费率</w:t>
      </w:r>
    </w:p>
    <w:p w14:paraId="6C9F128D">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净赎回金额</w:t>
      </w:r>
      <w:r>
        <w:rPr>
          <w:rFonts w:asciiTheme="majorEastAsia" w:hAnsiTheme="majorEastAsia" w:eastAsiaTheme="majorEastAsia"/>
          <w:color w:val="auto"/>
          <w:sz w:val="18"/>
          <w:szCs w:val="18"/>
        </w:rPr>
        <w:t>=赎回总金额-赎回费用</w:t>
      </w:r>
    </w:p>
    <w:p w14:paraId="77311D8E">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上述计算结果均按四舍五入方法，保留到小数点后</w:t>
      </w: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位，由此产生的收益或损失由理财产品承担。</w:t>
      </w:r>
    </w:p>
    <w:p w14:paraId="1FD93E7B">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b/>
          <w:bCs/>
          <w:color w:val="auto"/>
          <w:sz w:val="18"/>
          <w:szCs w:val="18"/>
        </w:rPr>
        <w:t>赎回</w:t>
      </w:r>
      <w:r>
        <w:rPr>
          <w:rFonts w:asciiTheme="minorEastAsia" w:hAnsiTheme="minorEastAsia" w:eastAsiaTheme="minorEastAsia"/>
          <w:b/>
          <w:color w:val="auto"/>
          <w:sz w:val="18"/>
          <w:szCs w:val="18"/>
        </w:rPr>
        <w:t>的数量限制</w:t>
      </w:r>
    </w:p>
    <w:p w14:paraId="510C21D6">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14:paraId="06271178">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（三）</w:t>
      </w:r>
      <w:r>
        <w:rPr>
          <w:rFonts w:hint="eastAsia" w:asciiTheme="majorEastAsia" w:hAnsiTheme="majorEastAsia" w:eastAsiaTheme="majorEastAsia"/>
          <w:b/>
          <w:color w:val="auto"/>
          <w:sz w:val="18"/>
          <w:szCs w:val="18"/>
        </w:rPr>
        <w:t>申购与赎回的原则</w:t>
      </w:r>
    </w:p>
    <w:p w14:paraId="45FE1BE7">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金额申购、份额赎回</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原则，即申购以金额申请，赎回以份额申请。</w:t>
      </w:r>
    </w:p>
    <w:p w14:paraId="3EB3B428">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asciiTheme="majorEastAsia" w:hAnsiTheme="majorEastAsia" w:eastAsiaTheme="majorEastAsia"/>
          <w:bCs/>
          <w:color w:val="auto"/>
          <w:sz w:val="18"/>
          <w:szCs w:val="18"/>
        </w:rPr>
        <w:t>申购和赎回采用“</w:t>
      </w:r>
      <w:r>
        <w:rPr>
          <w:rFonts w:hint="eastAsia" w:asciiTheme="majorEastAsia" w:hAnsiTheme="majorEastAsia" w:eastAsiaTheme="majorEastAsia"/>
          <w:bCs/>
          <w:color w:val="auto"/>
          <w:sz w:val="18"/>
          <w:szCs w:val="18"/>
        </w:rPr>
        <w:t>未知价</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原则，即本产品申购申请和赎回申请提交时，适用的产品份额净值都是未知的。</w:t>
      </w:r>
    </w:p>
    <w:p w14:paraId="7A2CB03A">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3.申购、</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申请可以在对应申购</w:t>
      </w:r>
      <w:r>
        <w:rPr>
          <w:rFonts w:hint="eastAsia" w:asciiTheme="majorEastAsia" w:hAnsiTheme="majorEastAsia" w:eastAsiaTheme="majorEastAsia"/>
          <w:color w:val="auto"/>
          <w:sz w:val="18"/>
          <w:szCs w:val="18"/>
        </w:rPr>
        <w:t>日、</w:t>
      </w:r>
      <w:r>
        <w:rPr>
          <w:rFonts w:asciiTheme="majorEastAsia" w:hAnsiTheme="majorEastAsia" w:eastAsiaTheme="majorEastAsia"/>
          <w:color w:val="auto"/>
          <w:sz w:val="18"/>
          <w:szCs w:val="18"/>
        </w:rPr>
        <w:t>赎回</w:t>
      </w:r>
      <w:r>
        <w:rPr>
          <w:rFonts w:hint="eastAsia" w:asciiTheme="majorEastAsia" w:hAnsiTheme="majorEastAsia" w:eastAsiaTheme="majorEastAsia"/>
          <w:color w:val="auto"/>
          <w:sz w:val="18"/>
          <w:szCs w:val="18"/>
        </w:rPr>
        <w:t>日截止</w:t>
      </w:r>
      <w:r>
        <w:rPr>
          <w:rFonts w:asciiTheme="majorEastAsia" w:hAnsiTheme="majorEastAsia" w:eastAsiaTheme="majorEastAsia"/>
          <w:color w:val="auto"/>
          <w:sz w:val="18"/>
          <w:szCs w:val="18"/>
        </w:rPr>
        <w:t>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1798D832">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赎回遵循“先进先出”原则，即按照投资者认购、申购的先后次序进行顺序赎回。</w:t>
      </w:r>
    </w:p>
    <w:p w14:paraId="60566792">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（四）拒绝或暂停申购的情形</w:t>
      </w:r>
    </w:p>
    <w:p w14:paraId="50941173">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w:t>
      </w:r>
      <w:r>
        <w:rPr>
          <w:rFonts w:asciiTheme="majorEastAsia" w:hAnsiTheme="majorEastAsia" w:eastAsiaTheme="majorEastAsia"/>
          <w:color w:val="auto"/>
          <w:sz w:val="18"/>
          <w:szCs w:val="18"/>
        </w:rPr>
        <w:t>申购申请：</w:t>
      </w:r>
    </w:p>
    <w:p w14:paraId="54B4C50A">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4A89D8BF">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.发生暂停理财资产估值情况时，产品管理人可暂停接受投资者的申购申请。</w:t>
      </w:r>
    </w:p>
    <w:p w14:paraId="102E3E0C">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14:paraId="077D2888">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.本产品出现当日净收益小于零的情形，为保护持有人的权益，产品管理人可暂停本产品的申购。</w:t>
      </w:r>
    </w:p>
    <w:p w14:paraId="6B85A2D3">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.产品管理人认为接受某笔或某些申购申请可能会影响或损害现有理财份额持有人权益时。</w:t>
      </w:r>
    </w:p>
    <w:p w14:paraId="559D7328">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.理财产品规模过大，产品管理人无法找到合适的投资品种，或其他可能对理财业绩产生负面影响，从而损害现有理财份额持有人权益的情形。</w:t>
      </w:r>
    </w:p>
    <w:p w14:paraId="34965218">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7</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6A499C05">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8</w:t>
      </w:r>
      <w:r>
        <w:rPr>
          <w:rFonts w:hint="eastAsia" w:asciiTheme="majorEastAsia" w:hAnsiTheme="majorEastAsia" w:eastAsiaTheme="majorEastAsia"/>
          <w:color w:val="auto"/>
          <w:sz w:val="18"/>
          <w:szCs w:val="18"/>
        </w:rPr>
        <w:t>.法律法规规定或监管机构认定的其他情形。</w:t>
      </w:r>
    </w:p>
    <w:p w14:paraId="21659CAF">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如果投资者的申购申请被拒绝，被拒绝的申购款项将退还给投资者。在暂停申购的情况消除时，产品管理人应及时恢复申购业务的办理。</w:t>
      </w:r>
    </w:p>
    <w:p w14:paraId="15FFC772">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（五）暂停赎回或延缓支付赎回款项的情形</w:t>
      </w:r>
    </w:p>
    <w:p w14:paraId="64F32305">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发生下列情形时，产品管理人可暂停接受投资者的赎回申请或延缓支付赎回款项：</w:t>
      </w:r>
    </w:p>
    <w:p w14:paraId="3F3E2996">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.因不可抗力导致产品管理人不能支付赎回款项。</w:t>
      </w:r>
    </w:p>
    <w:p w14:paraId="24A4F4F6">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.发生暂停理财资产估值情况时，产品管理人可暂停接受投资者的赎回申请或延缓支付赎回款项。</w:t>
      </w:r>
    </w:p>
    <w:p w14:paraId="61FC7AD1">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14:paraId="143DFECB">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证券交易所或银行间市场出现异常市场情况，管理人无法</w:t>
      </w:r>
      <w:r>
        <w:rPr>
          <w:rFonts w:hint="eastAsia" w:asciiTheme="majorEastAsia" w:hAnsiTheme="majorEastAsia" w:eastAsiaTheme="majorEastAsia"/>
          <w:color w:val="auto"/>
          <w:sz w:val="18"/>
          <w:szCs w:val="18"/>
        </w:rPr>
        <w:t>开展产品的</w:t>
      </w:r>
      <w:r>
        <w:rPr>
          <w:rFonts w:asciiTheme="majorEastAsia" w:hAnsiTheme="majorEastAsia" w:eastAsiaTheme="majorEastAsia"/>
          <w:color w:val="auto"/>
          <w:sz w:val="18"/>
          <w:szCs w:val="18"/>
        </w:rPr>
        <w:t>流动性</w:t>
      </w:r>
      <w:r>
        <w:rPr>
          <w:rFonts w:hint="eastAsia" w:asciiTheme="majorEastAsia" w:hAnsiTheme="majorEastAsia" w:eastAsiaTheme="majorEastAsia"/>
          <w:color w:val="auto"/>
          <w:sz w:val="18"/>
          <w:szCs w:val="18"/>
        </w:rPr>
        <w:t>管理</w:t>
      </w:r>
      <w:r>
        <w:rPr>
          <w:rFonts w:asciiTheme="majorEastAsia" w:hAnsiTheme="majorEastAsia" w:eastAsiaTheme="majorEastAsia"/>
          <w:color w:val="auto"/>
          <w:sz w:val="18"/>
          <w:szCs w:val="18"/>
        </w:rPr>
        <w:t>。</w:t>
      </w:r>
    </w:p>
    <w:p w14:paraId="33955ED6">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.本产品出现当日净收益小于零的情形，为保护持有人的权益，产品管理人可暂停本产品的赎回。</w:t>
      </w:r>
    </w:p>
    <w:p w14:paraId="510E39BA">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.发生单个投资者在赎回日申请赎回的理财产品份额超过限额的。</w:t>
      </w:r>
    </w:p>
    <w:p w14:paraId="7791D2C8">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7.发生巨额赎回。</w:t>
      </w:r>
    </w:p>
    <w:p w14:paraId="5BB3C6C5">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8.产品管理人和产品托管人的技术保障等异常情况导致理财销售系统或会计系统无法正常运行。</w:t>
      </w:r>
    </w:p>
    <w:p w14:paraId="25A31E3F">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9.证券交易所或银行间市场数据传输延迟、通讯系统故障、银行系统故障或其他非产品管理人及产品托管人所能控制的因素影响了产品运作流程。</w:t>
      </w:r>
    </w:p>
    <w:p w14:paraId="1A9F09B3">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10.法律法规规定或监管机构认定的其他情形。</w:t>
      </w:r>
    </w:p>
    <w:p w14:paraId="47C004AD">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bCs/>
          <w:sz w:val="18"/>
          <w:szCs w:val="18"/>
        </w:rPr>
        <w:t>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ajorEastAsia" w:hAnsiTheme="majorEastAsia" w:eastAsiaTheme="majorEastAsia"/>
          <w:color w:val="auto"/>
          <w:sz w:val="18"/>
          <w:szCs w:val="18"/>
        </w:rPr>
        <w:t>在暂停赎回或延缓支付赎回款项的情况消除时，产品管理人应及时恢复赎回或支付业务赎回款项的办理。</w:t>
      </w:r>
    </w:p>
    <w:p w14:paraId="054BD8EB">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（六）巨额赎回的情形及</w:t>
      </w:r>
      <w:r>
        <w:rPr>
          <w:rFonts w:asciiTheme="majorEastAsia" w:hAnsiTheme="majorEastAsia" w:eastAsiaTheme="majorEastAsia"/>
          <w:b/>
          <w:color w:val="auto"/>
          <w:sz w:val="18"/>
          <w:szCs w:val="18"/>
        </w:rPr>
        <w:t>处理方式</w:t>
      </w:r>
    </w:p>
    <w:p w14:paraId="3D229AE0">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巨额赎回的认定</w:t>
      </w:r>
    </w:p>
    <w:p w14:paraId="5F68C0E2">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77FF67B6">
      <w:pPr>
        <w:widowControl/>
        <w:spacing w:line="360" w:lineRule="auto"/>
        <w:ind w:firstLine="361" w:firstLineChars="200"/>
        <w:jc w:val="left"/>
        <w:rPr>
          <w:rFonts w:asciiTheme="majorEastAsia" w:hAnsiTheme="majorEastAsia" w:eastAsiaTheme="majorEastAsia"/>
          <w:b/>
          <w:sz w:val="18"/>
          <w:szCs w:val="18"/>
        </w:rPr>
      </w:pPr>
      <w:r>
        <w:rPr>
          <w:rFonts w:asciiTheme="majorEastAsia" w:hAnsiTheme="majorEastAsia" w:eastAsiaTheme="majorEastAsia"/>
          <w:b/>
          <w:sz w:val="18"/>
          <w:szCs w:val="18"/>
        </w:rPr>
        <w:t>2</w:t>
      </w:r>
      <w:r>
        <w:rPr>
          <w:rFonts w:hint="eastAsia" w:asciiTheme="majorEastAsia" w:hAnsiTheme="majorEastAsia" w:eastAsiaTheme="majorEastAsia"/>
          <w:b/>
          <w:sz w:val="18"/>
          <w:szCs w:val="18"/>
        </w:rPr>
        <w:t>.</w:t>
      </w:r>
      <w:r>
        <w:rPr>
          <w:rFonts w:asciiTheme="majorEastAsia" w:hAnsiTheme="majorEastAsia" w:eastAsiaTheme="majorEastAsia"/>
          <w:b/>
          <w:sz w:val="18"/>
          <w:szCs w:val="18"/>
        </w:rPr>
        <w:t>巨额赎回的处理方式</w:t>
      </w:r>
    </w:p>
    <w:p w14:paraId="3BB8BDB9">
      <w:pPr>
        <w:widowControl/>
        <w:spacing w:line="360" w:lineRule="auto"/>
        <w:ind w:firstLine="361" w:firstLineChars="200"/>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出现巨额赎回时，产品管理人有权决定：（1）</w:t>
      </w:r>
      <w:r>
        <w:rPr>
          <w:rFonts w:asciiTheme="majorEastAsia" w:hAnsiTheme="majorEastAsia" w:eastAsiaTheme="majorEastAsia"/>
          <w:b/>
          <w:sz w:val="18"/>
          <w:szCs w:val="18"/>
        </w:rPr>
        <w:t>不接受</w:t>
      </w:r>
      <w:r>
        <w:rPr>
          <w:rFonts w:hint="eastAsia" w:asciiTheme="majorEastAsia" w:hAnsiTheme="majorEastAsia" w:eastAsiaTheme="majorEastAsia"/>
          <w:b/>
          <w:sz w:val="18"/>
          <w:szCs w:val="18"/>
        </w:rPr>
        <w:t>超出部分的净赎回申请，但投资者可于下一开放日重新进行赎回申请；（</w:t>
      </w:r>
      <w:r>
        <w:rPr>
          <w:rFonts w:asciiTheme="majorEastAsia" w:hAnsiTheme="majorEastAsia" w:eastAsiaTheme="majorEastAsia"/>
          <w:b/>
          <w:sz w:val="18"/>
          <w:szCs w:val="18"/>
        </w:rPr>
        <w:t>2）延缓支付赎回款项</w:t>
      </w:r>
      <w:r>
        <w:rPr>
          <w:rFonts w:hint="eastAsia" w:asciiTheme="majorEastAsia" w:hAnsiTheme="majorEastAsia" w:eastAsiaTheme="majorEastAsia"/>
          <w:b/>
          <w:sz w:val="18"/>
          <w:szCs w:val="18"/>
        </w:rPr>
        <w:t>。</w:t>
      </w:r>
      <w:r>
        <w:rPr>
          <w:rFonts w:asciiTheme="majorEastAsia" w:hAnsiTheme="majorEastAsia" w:eastAsiaTheme="majorEastAsia"/>
          <w:b/>
          <w:sz w:val="18"/>
          <w:szCs w:val="18"/>
        </w:rPr>
        <w:t>如产品管理人认为有必要，</w:t>
      </w:r>
      <w:r>
        <w:rPr>
          <w:rFonts w:hint="eastAsia" w:asciiTheme="majorEastAsia" w:hAnsiTheme="majorEastAsia" w:eastAsiaTheme="majorEastAsia"/>
          <w:b/>
          <w:sz w:val="18"/>
          <w:szCs w:val="18"/>
        </w:rPr>
        <w:t>针对</w:t>
      </w:r>
      <w:r>
        <w:rPr>
          <w:rFonts w:asciiTheme="majorEastAsia" w:hAnsiTheme="majorEastAsia" w:eastAsiaTheme="majorEastAsia"/>
          <w:b/>
          <w:sz w:val="18"/>
          <w:szCs w:val="18"/>
        </w:rPr>
        <w:t>已经</w:t>
      </w:r>
      <w:r>
        <w:rPr>
          <w:rFonts w:hint="eastAsia" w:asciiTheme="majorEastAsia" w:hAnsiTheme="majorEastAsia" w:eastAsiaTheme="majorEastAsia"/>
          <w:b/>
          <w:sz w:val="18"/>
          <w:szCs w:val="18"/>
        </w:rPr>
        <w:t>确认</w:t>
      </w:r>
      <w:r>
        <w:rPr>
          <w:rFonts w:asciiTheme="majorEastAsia" w:hAnsiTheme="majorEastAsia" w:eastAsiaTheme="majorEastAsia"/>
          <w:b/>
          <w:sz w:val="18"/>
          <w:szCs w:val="18"/>
        </w:rPr>
        <w:t>的赎回申请</w:t>
      </w:r>
      <w:r>
        <w:rPr>
          <w:rFonts w:hint="eastAsia" w:asciiTheme="majorEastAsia" w:hAnsiTheme="majorEastAsia" w:eastAsiaTheme="majorEastAsia"/>
          <w:b/>
          <w:sz w:val="18"/>
          <w:szCs w:val="18"/>
        </w:rPr>
        <w:t>，</w:t>
      </w:r>
      <w:r>
        <w:rPr>
          <w:rFonts w:asciiTheme="majorEastAsia" w:hAnsiTheme="majorEastAsia" w:eastAsiaTheme="majorEastAsia"/>
          <w:b/>
          <w:sz w:val="18"/>
          <w:szCs w:val="18"/>
        </w:rPr>
        <w:t>可以延缓支付赎回款项。延缓支付赎回款项</w:t>
      </w:r>
      <w:r>
        <w:rPr>
          <w:rFonts w:hint="eastAsia" w:asciiTheme="majorEastAsia" w:hAnsiTheme="majorEastAsia" w:eastAsiaTheme="majorEastAsia"/>
          <w:b/>
          <w:sz w:val="18"/>
          <w:szCs w:val="18"/>
        </w:rPr>
        <w:t>的</w:t>
      </w:r>
      <w:r>
        <w:rPr>
          <w:rFonts w:asciiTheme="majorEastAsia" w:hAnsiTheme="majorEastAsia" w:eastAsiaTheme="majorEastAsia"/>
          <w:b/>
          <w:sz w:val="18"/>
          <w:szCs w:val="18"/>
        </w:rPr>
        <w:t>，</w:t>
      </w:r>
      <w:r>
        <w:rPr>
          <w:rFonts w:hint="eastAsia" w:asciiTheme="majorEastAsia" w:hAnsiTheme="majorEastAsia" w:eastAsiaTheme="majorEastAsia"/>
          <w:b/>
          <w:sz w:val="18"/>
          <w:szCs w:val="18"/>
        </w:rPr>
        <w:t>已经确认</w:t>
      </w:r>
      <w:r>
        <w:rPr>
          <w:rFonts w:asciiTheme="majorEastAsia" w:hAnsiTheme="majorEastAsia" w:eastAsiaTheme="majorEastAsia"/>
          <w:b/>
          <w:sz w:val="18"/>
          <w:szCs w:val="18"/>
        </w:rPr>
        <w:t>的赎回申请的</w:t>
      </w:r>
      <w:r>
        <w:rPr>
          <w:rFonts w:hint="eastAsia" w:asciiTheme="majorEastAsia" w:hAnsiTheme="majorEastAsia" w:eastAsiaTheme="majorEastAsia"/>
          <w:b/>
          <w:sz w:val="18"/>
          <w:szCs w:val="18"/>
        </w:rPr>
        <w:t>相应赎回</w:t>
      </w:r>
      <w:r>
        <w:rPr>
          <w:rFonts w:asciiTheme="majorEastAsia" w:hAnsiTheme="majorEastAsia" w:eastAsiaTheme="majorEastAsia"/>
          <w:b/>
          <w:sz w:val="18"/>
          <w:szCs w:val="18"/>
        </w:rPr>
        <w:t>款项将会在不超过20个工作日内支付</w:t>
      </w:r>
      <w:r>
        <w:rPr>
          <w:rFonts w:hint="eastAsia" w:asciiTheme="majorEastAsia" w:hAnsiTheme="majorEastAsia" w:eastAsiaTheme="majorEastAsia"/>
          <w:b/>
          <w:sz w:val="18"/>
          <w:szCs w:val="18"/>
        </w:rPr>
        <w:t>至</w:t>
      </w:r>
      <w:r>
        <w:rPr>
          <w:rFonts w:asciiTheme="majorEastAsia" w:hAnsiTheme="majorEastAsia" w:eastAsiaTheme="majorEastAsia"/>
          <w:b/>
          <w:sz w:val="18"/>
          <w:szCs w:val="18"/>
        </w:rPr>
        <w:t>投资者</w:t>
      </w:r>
      <w:r>
        <w:rPr>
          <w:rFonts w:hint="eastAsia" w:asciiTheme="majorEastAsia" w:hAnsiTheme="majorEastAsia" w:eastAsiaTheme="majorEastAsia"/>
          <w:b/>
          <w:sz w:val="18"/>
          <w:szCs w:val="18"/>
        </w:rPr>
        <w:t>。</w:t>
      </w:r>
      <w:r>
        <w:rPr>
          <w:rFonts w:hint="eastAsia" w:asciiTheme="minorEastAsia" w:hAnsiTheme="minorEastAsia"/>
          <w:b/>
          <w:sz w:val="18"/>
          <w:szCs w:val="18"/>
        </w:rPr>
        <w:t>（4）理财产品连续两个开放日（含）发生因巨额赎回导致拒绝赎回情况的，产品管理人可暂停接受投资者的赎回申请。投资者根据产品管理人披露的开放日可重新进行申购和赎回。</w:t>
      </w:r>
      <w:r>
        <w:rPr>
          <w:rFonts w:hint="eastAsia" w:asciiTheme="majorEastAsia" w:hAnsiTheme="majorEastAsia" w:eastAsiaTheme="majorEastAsia"/>
          <w:b/>
          <w:sz w:val="18"/>
          <w:szCs w:val="18"/>
        </w:rPr>
        <w:t>（5）法律法规规定或监管机构规定的其他措施。</w:t>
      </w:r>
    </w:p>
    <w:p w14:paraId="1713810D">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巨额赎回的公告</w:t>
      </w:r>
    </w:p>
    <w:p w14:paraId="5773B4FB">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在发生巨额赎回产品管理人暂停接受投资者赎回申请时，产品管理人将依约定发布相关公告信息。</w:t>
      </w:r>
    </w:p>
    <w:p w14:paraId="4A0BC29B">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（七）日期遇非工作日的调整</w:t>
      </w:r>
    </w:p>
    <w:p w14:paraId="5085C1DA">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14:paraId="3B0638AD">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（八）投资者持有理财份额的限额和理财产品总规模限额</w:t>
      </w:r>
    </w:p>
    <w:p w14:paraId="26C0004F">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4DC3D10C">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p w14:paraId="46FBD0A6">
      <w:pPr>
        <w:pStyle w:val="2"/>
        <w:spacing w:before="0" w:after="0" w:line="360" w:lineRule="auto"/>
        <w:jc w:val="center"/>
        <w:rPr>
          <w:rFonts w:ascii="Times New Roman"/>
          <w:sz w:val="30"/>
        </w:rPr>
      </w:pPr>
      <w:r>
        <w:rPr>
          <w:rFonts w:ascii="Times New Roman"/>
          <w:sz w:val="30"/>
        </w:rPr>
        <w:t>第</w:t>
      </w:r>
      <w:r>
        <w:rPr>
          <w:rFonts w:hint="eastAsia" w:ascii="Times New Roman"/>
          <w:sz w:val="30"/>
        </w:rPr>
        <w:t>五条</w:t>
      </w:r>
      <w:r>
        <w:rPr>
          <w:rFonts w:ascii="Times New Roman"/>
          <w:sz w:val="30"/>
        </w:rPr>
        <w:t xml:space="preserve">  </w:t>
      </w:r>
      <w:r>
        <w:rPr>
          <w:rFonts w:hint="eastAsia" w:ascii="Times New Roman"/>
          <w:sz w:val="30"/>
        </w:rPr>
        <w:t>理财产品的投资</w:t>
      </w:r>
    </w:p>
    <w:p w14:paraId="4C9A4EFF">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49D5AF5C">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w:t>
      </w:r>
      <w:r>
        <w:rPr>
          <w:rFonts w:asciiTheme="majorEastAsia" w:hAnsiTheme="majorEastAsia" w:eastAsiaTheme="majorEastAsia"/>
          <w:color w:val="auto"/>
          <w:sz w:val="18"/>
          <w:szCs w:val="18"/>
        </w:rPr>
        <w:t>固定收益类产品</w:t>
      </w:r>
      <w:r>
        <w:rPr>
          <w:rFonts w:hint="eastAsia" w:asciiTheme="majorEastAsia" w:hAnsiTheme="majorEastAsia" w:eastAsiaTheme="majorEastAsia"/>
          <w:color w:val="auto"/>
          <w:sz w:val="18"/>
          <w:szCs w:val="18"/>
        </w:rPr>
        <w:t>，在</w:t>
      </w:r>
      <w:r>
        <w:rPr>
          <w:rFonts w:hint="eastAsia" w:asciiTheme="minorEastAsia" w:hAnsiTheme="minorEastAsia" w:eastAsiaTheme="minorEastAsia"/>
          <w:color w:val="auto"/>
          <w:sz w:val="18"/>
          <w:szCs w:val="18"/>
        </w:rPr>
        <w:t>保持理财资产的低风险和高流动性的前提下，力争实现超越业绩比较基准的投资回报。</w:t>
      </w:r>
    </w:p>
    <w:p w14:paraId="78EDDD4B">
      <w:pPr>
        <w:pStyle w:val="3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6655172F">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29D1D096">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w:t>
      </w:r>
      <w:r>
        <w:rPr>
          <w:rFonts w:asciiTheme="majorEastAsia" w:hAnsiTheme="majorEastAsia" w:eastAsiaTheme="majorEastAsia"/>
          <w:bCs/>
          <w:sz w:val="18"/>
          <w:szCs w:val="18"/>
        </w:rPr>
        <w:t>主要投资范围包括但不限于</w:t>
      </w:r>
      <w:r>
        <w:rPr>
          <w:rFonts w:hint="eastAsia" w:asciiTheme="majorEastAsia" w:hAnsiTheme="majorEastAsia" w:eastAsiaTheme="majorEastAsia"/>
          <w:bCs/>
          <w:sz w:val="18"/>
          <w:szCs w:val="18"/>
        </w:rPr>
        <w:t>（实际投资范围可根据法律法规及监管规定进行调整）</w:t>
      </w:r>
      <w:r>
        <w:rPr>
          <w:rFonts w:asciiTheme="majorEastAsia" w:hAnsiTheme="majorEastAsia" w:eastAsiaTheme="majorEastAsia"/>
          <w:bCs/>
          <w:sz w:val="18"/>
          <w:szCs w:val="18"/>
        </w:rPr>
        <w:t>：</w:t>
      </w:r>
    </w:p>
    <w:p w14:paraId="7FAA7D81">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（1）银行存款、债券逆回购、货币基金等货币市场工具及其它银行间和交易所资金融通工具。</w:t>
      </w:r>
    </w:p>
    <w:p w14:paraId="6FC811CD">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国债、金融债、地方政府债、央行票据、同业存单、短期融资券、超短期融资券、中期票据、企业债、公司债、非公开定向债务融资工具、项目收益债、项目收益票据、资产支持证券、次级债等银行间和交易所市场债券及债务融资工具，以及其他固定收益类投资工具等。</w:t>
      </w:r>
    </w:p>
    <w:p w14:paraId="4C3FD7A4">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（3）投资于上述资产的符合监管要求的公募基金、基金公司或子公司资产管理计划、证券公司资产管理计划、保险资产管理计划及信托计划等。</w:t>
      </w:r>
    </w:p>
    <w:p w14:paraId="62AA43B4">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（4）本产品不投资于非标准化债权类资产、不投资于权益类资产、不投资于</w:t>
      </w:r>
      <w:r>
        <w:rPr>
          <w:rFonts w:hint="eastAsia" w:ascii="宋体" w:hAnsi="宋体"/>
          <w:sz w:val="18"/>
          <w:szCs w:val="18"/>
        </w:rPr>
        <w:t>商品和金融衍生品类资产。</w:t>
      </w:r>
    </w:p>
    <w:p w14:paraId="343421DB">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784F7538">
      <w:pPr>
        <w:autoSpaceDE w:val="0"/>
        <w:autoSpaceDN w:val="0"/>
        <w:adjustRightInd w:val="0"/>
        <w:spacing w:line="360" w:lineRule="auto"/>
        <w:ind w:firstLine="360" w:firstLineChars="200"/>
        <w:jc w:val="left"/>
        <w:rPr>
          <w:rFonts w:asciiTheme="majorEastAsia" w:hAnsiTheme="majorEastAsia" w:eastAsiaTheme="majorEastAsia"/>
          <w:b/>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.投资组合比例：本产品100%投资于债权类资产。</w:t>
      </w:r>
      <w:r>
        <w:rPr>
          <w:rFonts w:asciiTheme="majorEastAsia" w:hAnsiTheme="majorEastAsia" w:eastAsiaTheme="majorEastAsia"/>
          <w:bCs/>
          <w:sz w:val="18"/>
          <w:szCs w:val="18"/>
        </w:rPr>
        <w:t xml:space="preserve"> </w:t>
      </w:r>
    </w:p>
    <w:p w14:paraId="75F9024C">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6060B9F8">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.如果法律法规对本说明书约定投资组合比例限制进行变更的，以变更后的规定为准。</w:t>
      </w:r>
    </w:p>
    <w:p w14:paraId="3C294D14">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3255378C">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使产品的投资组合比例符合本协议的有关约定，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应当符合本协议</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599F94A3">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3DA9BD33">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hAnsi="黑体" w:eastAsia="黑体"/>
          <w:bCs/>
          <w:sz w:val="18"/>
          <w:szCs w:val="18"/>
        </w:rPr>
        <w:t>投资者有权不接受变更</w:t>
      </w:r>
      <w:r>
        <w:rPr>
          <w:rFonts w:hint="eastAsia" w:ascii="黑体" w:hAnsi="黑体" w:eastAsia="黑体"/>
          <w:bCs/>
          <w:sz w:val="18"/>
          <w:szCs w:val="18"/>
        </w:rPr>
        <w:t>，并通过赎回退出本产品。</w:t>
      </w:r>
    </w:p>
    <w:p w14:paraId="17A076F5">
      <w:pPr>
        <w:pStyle w:val="3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w:t>
      </w:r>
      <w:r>
        <w:rPr>
          <w:rFonts w:hint="eastAsia" w:ascii="黑体" w:hAnsi="黑体" w:eastAsia="黑体"/>
          <w:bCs/>
          <w:sz w:val="18"/>
          <w:szCs w:val="18"/>
        </w:rPr>
        <w:t>协议</w:t>
      </w:r>
      <w:r>
        <w:rPr>
          <w:rFonts w:ascii="黑体" w:hAnsi="黑体" w:eastAsia="黑体"/>
          <w:bCs/>
          <w:sz w:val="18"/>
          <w:szCs w:val="18"/>
        </w:rPr>
        <w:t>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065B6223">
      <w:pPr>
        <w:pStyle w:val="34"/>
        <w:spacing w:line="360" w:lineRule="auto"/>
        <w:ind w:firstLine="271" w:firstLineChars="150"/>
      </w:pPr>
      <w:r>
        <w:rPr>
          <w:rFonts w:hint="eastAsia" w:asciiTheme="majorEastAsia" w:hAnsiTheme="majorEastAsia" w:eastAsiaTheme="majorEastAsia"/>
          <w:b/>
          <w:color w:val="auto"/>
          <w:sz w:val="18"/>
          <w:szCs w:val="18"/>
        </w:rPr>
        <w:t>（三）投资限制</w:t>
      </w:r>
    </w:p>
    <w:p w14:paraId="2C1CBF54">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6CD69ADE">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每只公募理财产品投资单只证券或者单只公募证券投资基金的市值不得超过该理财产品净资产的10%。</w:t>
      </w:r>
    </w:p>
    <w:p w14:paraId="5FE428F3">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（2）全部公募理财产品持有单只证券或单只公募证券投资基金的市值，不得超过该证券市值或该公募证券投资基金市值的30%。</w:t>
      </w:r>
    </w:p>
    <w:p w14:paraId="45BC714B">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（3）每只开放式公募理财产品直接投资于流动性受限资产的市值在开放日不得超过该产品资产净值的15%。</w:t>
      </w:r>
    </w:p>
    <w:p w14:paraId="0F3902CC">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因证券市场波动、上市公司股票停牌、理财产品规模变动等因素导致理财产品不符合本款规定比例限制的，该理财产品不得主动新增投资流动性受限资产。</w:t>
      </w:r>
    </w:p>
    <w:p w14:paraId="4A9A5398">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开放式公募理财产品定期开放周期不低于90天的，在开放日及开放日前7个工作日内持有不低于该产品资产净值5%的现金或者到期日在一年以内的国债、中央银行票据和政策性金融债券。其他开放式公募理财产品均应当持续符合前款比例要求。</w:t>
      </w:r>
    </w:p>
    <w:p w14:paraId="650225EB">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 xml:space="preserve">（5）每只开放式理财产品每日确认且需当日支付的净赎回申请不超过前一工作日产品7个工作日可变现资产的可变现价值，银保监会另有规定的除外。在开放日前一工作日内，每只开放式理财产品7个工作日可变现资产的可变现价值应当不低于该产品资产净值的10%。 </w:t>
      </w:r>
    </w:p>
    <w:p w14:paraId="4841490D">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（6）本产品因为流动性需要可开展存单质押、债券正回购等融资业务，本产品总资产不超过净资产的140%。</w:t>
      </w:r>
    </w:p>
    <w:p w14:paraId="7CE3E702">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（7）本产品投资不存在活跃交易市场，并且需要采用估值技术确定公允价值的资产占理财产品净资产的比例低于50%。</w:t>
      </w:r>
    </w:p>
    <w:p w14:paraId="707ECE77">
      <w:pPr>
        <w:spacing w:line="360" w:lineRule="auto"/>
        <w:ind w:firstLine="360" w:firstLineChars="200"/>
        <w:rPr>
          <w:rFonts w:asciiTheme="majorEastAsia" w:hAnsiTheme="majorEastAsia" w:eastAsiaTheme="majorEastAsia"/>
          <w:bCs/>
          <w:color w:val="000000" w:themeColor="text1"/>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w:t>
      </w:r>
      <w:r>
        <w:rPr>
          <w:rFonts w:asciiTheme="majorEastAsia" w:hAnsiTheme="majorEastAsia" w:eastAsiaTheme="majorEastAsia"/>
          <w:bCs/>
          <w:sz w:val="18"/>
          <w:szCs w:val="18"/>
        </w:rPr>
        <w:t>10个交易日内调整至符合要求，监管机构规定的特殊情形除外。本</w:t>
      </w:r>
      <w:r>
        <w:rPr>
          <w:rFonts w:hint="eastAsia" w:asciiTheme="majorEastAsia" w:hAnsiTheme="majorEastAsia" w:eastAsiaTheme="majorEastAsia"/>
          <w:bCs/>
          <w:kern w:val="0"/>
          <w:sz w:val="18"/>
          <w:szCs w:val="18"/>
        </w:rPr>
        <w:t>产品投资于国债、地方政府债券、中央银行票据、政府机构债券、政策性金融债券以及完全按照有关指数的构成比例进行投资的除外。</w:t>
      </w:r>
    </w:p>
    <w:p w14:paraId="56EA265B">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55EF2DAF">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092DBF63">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3CBF8C81">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69DB875F">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1D14002A">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319C5A17">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w:t>
      </w:r>
      <w:r>
        <w:rPr>
          <w:rFonts w:hint="eastAsia" w:asciiTheme="majorEastAsia" w:hAnsiTheme="majorEastAsia" w:eastAsiaTheme="majorEastAsia"/>
          <w:bCs/>
          <w:sz w:val="18"/>
          <w:szCs w:val="18"/>
        </w:rPr>
        <w:t>协议</w:t>
      </w:r>
      <w:r>
        <w:rPr>
          <w:rFonts w:asciiTheme="majorEastAsia" w:hAnsiTheme="majorEastAsia" w:eastAsiaTheme="majorEastAsia"/>
          <w:bCs/>
          <w:sz w:val="18"/>
          <w:szCs w:val="18"/>
        </w:rPr>
        <w:t>约定的投资限制进行变更的，以变更后的规定为准。</w:t>
      </w:r>
    </w:p>
    <w:p w14:paraId="0244CA61">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3BBBF8D3">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 xml:space="preserve">本产品根据对短期利率变动的预测，采用投资组合平均剩余期限控制下的主动性投资策略，利用定性分析和定量分析方法，通过对短期金融工具的积极投资，在控制风险和保证流动性的基础上，力争获得稳定的当期收益。 </w:t>
      </w:r>
      <w:r>
        <w:rPr>
          <w:rFonts w:asciiTheme="majorEastAsia" w:hAnsiTheme="majorEastAsia" w:eastAsiaTheme="majorEastAsia"/>
          <w:bCs/>
          <w:color w:val="auto"/>
          <w:sz w:val="18"/>
          <w:szCs w:val="18"/>
        </w:rPr>
        <w:t xml:space="preserve"> </w:t>
      </w:r>
    </w:p>
    <w:p w14:paraId="214939A3">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 xml:space="preserve">（五）业绩比较基准 </w:t>
      </w:r>
    </w:p>
    <w:p w14:paraId="40CDFEC1">
      <w:pPr>
        <w:pStyle w:val="20"/>
        <w:shd w:val="clear" w:color="auto" w:fill="FFFFFF"/>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bCs/>
          <w:sz w:val="18"/>
          <w:szCs w:val="18"/>
        </w:rPr>
        <w:t>■ 产品管理人</w:t>
      </w:r>
      <w:r>
        <w:rPr>
          <w:rFonts w:hint="eastAsia" w:asciiTheme="majorEastAsia" w:hAnsiTheme="majorEastAsia" w:eastAsiaTheme="majorEastAsia"/>
          <w:sz w:val="18"/>
          <w:szCs w:val="18"/>
        </w:rPr>
        <w:t>设置</w:t>
      </w:r>
      <w:r>
        <w:rPr>
          <w:rFonts w:asciiTheme="majorEastAsia" w:hAnsiTheme="majorEastAsia" w:eastAsiaTheme="majorEastAsia"/>
          <w:sz w:val="18"/>
          <w:szCs w:val="18"/>
        </w:rPr>
        <w:t>业绩比较基准</w:t>
      </w:r>
      <w:r>
        <w:rPr>
          <w:rFonts w:hint="eastAsia" w:asciiTheme="majorEastAsia" w:hAnsiTheme="majorEastAsia" w:eastAsiaTheme="majorEastAsia"/>
          <w:sz w:val="18"/>
          <w:szCs w:val="18"/>
        </w:rPr>
        <w:t>。</w:t>
      </w:r>
    </w:p>
    <w:p w14:paraId="482F2FDF">
      <w:pPr>
        <w:pStyle w:val="20"/>
        <w:shd w:val="clear" w:color="auto" w:fill="FFFFFF"/>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1.产品管理人设置业绩比较基准</w:t>
      </w:r>
      <w:r>
        <w:rPr>
          <w:rFonts w:asciiTheme="majorEastAsia" w:hAnsiTheme="majorEastAsia" w:eastAsiaTheme="majorEastAsia"/>
          <w:sz w:val="18"/>
          <w:szCs w:val="18"/>
        </w:rPr>
        <w:t>并</w:t>
      </w:r>
      <w:r>
        <w:rPr>
          <w:rFonts w:hint="eastAsia" w:asciiTheme="majorEastAsia" w:hAnsiTheme="majorEastAsia" w:eastAsiaTheme="majorEastAsia"/>
          <w:sz w:val="18"/>
          <w:szCs w:val="18"/>
        </w:rPr>
        <w:t>进行</w:t>
      </w:r>
      <w:r>
        <w:rPr>
          <w:rFonts w:asciiTheme="majorEastAsia" w:hAnsiTheme="majorEastAsia" w:eastAsiaTheme="majorEastAsia"/>
          <w:sz w:val="18"/>
          <w:szCs w:val="18"/>
        </w:rPr>
        <w:t>公告，</w:t>
      </w:r>
      <w:r>
        <w:rPr>
          <w:rFonts w:hint="eastAsia" w:asciiTheme="majorEastAsia" w:hAnsiTheme="majorEastAsia" w:eastAsiaTheme="majorEastAsia"/>
          <w:sz w:val="18"/>
          <w:szCs w:val="18"/>
        </w:rPr>
        <w:t>具体以当期《产品说明书》</w:t>
      </w:r>
      <w:r>
        <w:rPr>
          <w:rFonts w:hint="eastAsia" w:asciiTheme="minorEastAsia" w:hAnsiTheme="minorEastAsia" w:eastAsiaTheme="minorEastAsia"/>
          <w:sz w:val="18"/>
          <w:szCs w:val="18"/>
        </w:rPr>
        <w:t xml:space="preserve"> “第二条 理财产品基本情况”</w:t>
      </w:r>
      <w:r>
        <w:rPr>
          <w:rFonts w:hint="eastAsia" w:asciiTheme="majorEastAsia" w:hAnsiTheme="majorEastAsia" w:eastAsiaTheme="majorEastAsia"/>
          <w:sz w:val="18"/>
          <w:szCs w:val="18"/>
        </w:rPr>
        <w:t>为准。</w:t>
      </w:r>
    </w:p>
    <w:p w14:paraId="3E5C0687">
      <w:pPr>
        <w:pStyle w:val="20"/>
        <w:shd w:val="clear" w:color="auto" w:fill="FFFFFF"/>
        <w:spacing w:line="360" w:lineRule="auto"/>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w:t>
      </w:r>
      <w:r>
        <w:rPr>
          <w:rFonts w:hint="eastAsia" w:ascii="黑体" w:hAnsi="黑体" w:eastAsia="黑体" w:cs="仿宋_GB2312"/>
          <w:bCs/>
          <w:sz w:val="18"/>
          <w:szCs w:val="18"/>
        </w:rPr>
        <w:t>★</w:t>
      </w:r>
      <w:r>
        <w:rPr>
          <w:rFonts w:hint="eastAsia" w:ascii="黑体" w:hAnsi="黑体" w:eastAsia="黑体"/>
          <w:sz w:val="18"/>
          <w:szCs w:val="18"/>
        </w:rPr>
        <w:t>业绩比较基准</w:t>
      </w:r>
      <w:r>
        <w:rPr>
          <w:rFonts w:hint="eastAsia" w:ascii="黑体" w:hAnsi="黑体" w:eastAsia="黑体"/>
          <w:bCs/>
          <w:sz w:val="18"/>
          <w:szCs w:val="18"/>
        </w:rPr>
        <w:t>不代表理财产品未来表现，不等于理财产品实际收益，不作为产品收益的业绩保证，投资须谨慎。</w:t>
      </w:r>
    </w:p>
    <w:p w14:paraId="495B0A6F">
      <w:pPr>
        <w:autoSpaceDE w:val="0"/>
        <w:autoSpaceDN w:val="0"/>
        <w:adjustRightInd w:val="0"/>
        <w:spacing w:line="360" w:lineRule="auto"/>
        <w:ind w:firstLine="360" w:firstLineChars="200"/>
        <w:jc w:val="left"/>
        <w:rPr>
          <w:rFonts w:asciiTheme="majorEastAsia" w:hAnsiTheme="majorEastAsia" w:eastAsiaTheme="majorEastAsia"/>
          <w:kern w:val="0"/>
          <w:sz w:val="18"/>
          <w:szCs w:val="18"/>
        </w:rPr>
      </w:pPr>
      <w:r>
        <w:rPr>
          <w:rFonts w:asciiTheme="majorEastAsia" w:hAnsiTheme="majorEastAsia" w:eastAsiaTheme="majorEastAsia"/>
          <w:sz w:val="18"/>
          <w:szCs w:val="18"/>
        </w:rPr>
        <w:t>3.</w:t>
      </w:r>
      <w:r>
        <w:rPr>
          <w:rFonts w:hint="eastAsia" w:asciiTheme="majorEastAsia" w:hAnsiTheme="majorEastAsia" w:eastAsiaTheme="major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p>
    <w:p w14:paraId="23F8A936">
      <w:pPr>
        <w:autoSpaceDE w:val="0"/>
        <w:autoSpaceDN w:val="0"/>
        <w:adjustRightInd w:val="0"/>
        <w:spacing w:line="360" w:lineRule="auto"/>
        <w:ind w:firstLine="360" w:firstLineChars="200"/>
        <w:jc w:val="left"/>
        <w:rPr>
          <w:rFonts w:asciiTheme="majorEastAsia" w:hAnsiTheme="majorEastAsia" w:eastAsiaTheme="majorEastAsia"/>
          <w:kern w:val="0"/>
          <w:sz w:val="18"/>
          <w:szCs w:val="18"/>
        </w:rPr>
      </w:pPr>
      <w:r>
        <w:rPr>
          <w:rFonts w:hint="eastAsia" w:asciiTheme="majorEastAsia" w:hAnsiTheme="majorEastAsia" w:eastAsiaTheme="majorEastAsia"/>
          <w:kern w:val="0"/>
          <w:sz w:val="18"/>
          <w:szCs w:val="18"/>
        </w:rPr>
        <w:t>□</w:t>
      </w:r>
      <w:r>
        <w:rPr>
          <w:rFonts w:hint="eastAsia" w:asciiTheme="majorEastAsia" w:hAnsiTheme="majorEastAsia" w:eastAsiaTheme="majorEastAsia"/>
          <w:bCs/>
          <w:sz w:val="18"/>
          <w:szCs w:val="18"/>
        </w:rPr>
        <w:t xml:space="preserve"> </w:t>
      </w:r>
      <w:r>
        <w:rPr>
          <w:rFonts w:hint="eastAsia" w:asciiTheme="majorEastAsia" w:hAnsiTheme="majorEastAsia" w:eastAsiaTheme="majorEastAsia"/>
          <w:kern w:val="0"/>
          <w:sz w:val="18"/>
          <w:szCs w:val="18"/>
        </w:rPr>
        <w:t>产品管理人不设置业绩比较基准。</w:t>
      </w:r>
    </w:p>
    <w:p w14:paraId="373D3652">
      <w:pPr>
        <w:autoSpaceDE w:val="0"/>
        <w:autoSpaceDN w:val="0"/>
        <w:adjustRightInd w:val="0"/>
        <w:spacing w:line="360" w:lineRule="auto"/>
        <w:ind w:firstLine="361" w:firstLineChars="200"/>
        <w:jc w:val="left"/>
        <w:rPr>
          <w:rFonts w:asciiTheme="majorEastAsia" w:hAnsiTheme="majorEastAsia" w:eastAsiaTheme="majorEastAsia"/>
          <w:b/>
          <w:kern w:val="0"/>
          <w:sz w:val="18"/>
          <w:szCs w:val="18"/>
        </w:rPr>
      </w:pPr>
      <w:r>
        <w:rPr>
          <w:rFonts w:hint="eastAsia" w:asciiTheme="majorEastAsia" w:hAnsiTheme="majorEastAsia" w:eastAsiaTheme="majorEastAsia"/>
          <w:b/>
          <w:kern w:val="0"/>
          <w:sz w:val="18"/>
          <w:szCs w:val="18"/>
        </w:rPr>
        <w:t>（六）业绩报酬计提基准</w:t>
      </w:r>
    </w:p>
    <w:p w14:paraId="0B73679A">
      <w:pPr>
        <w:autoSpaceDE w:val="0"/>
        <w:autoSpaceDN w:val="0"/>
        <w:adjustRightInd w:val="0"/>
        <w:spacing w:line="360" w:lineRule="auto"/>
        <w:ind w:firstLine="360" w:firstLineChars="200"/>
        <w:jc w:val="left"/>
        <w:rPr>
          <w:rFonts w:asciiTheme="majorEastAsia" w:hAnsiTheme="majorEastAsia" w:eastAsiaTheme="majorEastAsia"/>
          <w:kern w:val="0"/>
          <w:sz w:val="18"/>
          <w:szCs w:val="18"/>
        </w:rPr>
      </w:pPr>
      <w:r>
        <w:rPr>
          <w:rFonts w:hint="eastAsia" w:asciiTheme="majorEastAsia" w:hAnsiTheme="majorEastAsia" w:eastAsiaTheme="majorEastAsia"/>
          <w:kern w:val="0"/>
          <w:sz w:val="18"/>
          <w:szCs w:val="18"/>
        </w:rPr>
        <w:t>□ 产品管理人设置业绩报酬计提基准。</w:t>
      </w:r>
    </w:p>
    <w:p w14:paraId="49888BA9">
      <w:pPr>
        <w:pStyle w:val="20"/>
        <w:shd w:val="clear" w:color="auto" w:fill="FFFFFF"/>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1.产品管理人设置业绩报酬计提基准并进行公告，具体以当期《产品说明书》</w:t>
      </w:r>
      <w:r>
        <w:rPr>
          <w:rFonts w:hint="eastAsia" w:asciiTheme="minorEastAsia" w:hAnsiTheme="minorEastAsia" w:eastAsiaTheme="minorEastAsia"/>
          <w:sz w:val="18"/>
          <w:szCs w:val="18"/>
        </w:rPr>
        <w:t>“第二条 理财产品基本情况”</w:t>
      </w:r>
      <w:r>
        <w:rPr>
          <w:rFonts w:hint="eastAsia" w:asciiTheme="majorEastAsia" w:hAnsiTheme="majorEastAsia" w:eastAsiaTheme="majorEastAsia"/>
          <w:sz w:val="18"/>
          <w:szCs w:val="18"/>
        </w:rPr>
        <w:t>为准。</w:t>
      </w:r>
    </w:p>
    <w:p w14:paraId="5B7CAF1C">
      <w:pPr>
        <w:pStyle w:val="20"/>
        <w:shd w:val="clear" w:color="auto" w:fill="FFFFFF"/>
        <w:spacing w:line="360" w:lineRule="auto"/>
        <w:ind w:firstLine="360" w:firstLineChars="200"/>
        <w:rPr>
          <w:rFonts w:ascii="黑体" w:hAnsi="黑体" w:eastAsia="黑体"/>
          <w:sz w:val="18"/>
          <w:szCs w:val="18"/>
        </w:rPr>
      </w:pPr>
      <w:r>
        <w:rPr>
          <w:rFonts w:hint="eastAsia" w:ascii="黑体" w:hAnsi="黑体" w:eastAsia="黑体"/>
          <w:sz w:val="18"/>
          <w:szCs w:val="18"/>
        </w:rPr>
        <w:t>2.★业绩报酬计提基准仅作为管理人收取超额业绩报酬的参照，不代表理财产品未来表现，不等于理财产品实际收益，不作为产品收益的业绩保证，投资须谨慎。</w:t>
      </w:r>
    </w:p>
    <w:p w14:paraId="70157B63">
      <w:pPr>
        <w:autoSpaceDE w:val="0"/>
        <w:autoSpaceDN w:val="0"/>
        <w:adjustRightInd w:val="0"/>
        <w:spacing w:line="360" w:lineRule="auto"/>
        <w:ind w:firstLine="360" w:firstLineChars="200"/>
        <w:jc w:val="left"/>
        <w:rPr>
          <w:rFonts w:asciiTheme="majorEastAsia" w:hAnsiTheme="majorEastAsia" w:eastAsiaTheme="majorEastAsia"/>
          <w:kern w:val="0"/>
          <w:sz w:val="18"/>
          <w:szCs w:val="18"/>
        </w:rPr>
      </w:pPr>
      <w:r>
        <w:rPr>
          <w:rFonts w:hint="eastAsia" w:asciiTheme="majorEastAsia" w:hAnsiTheme="majorEastAsia" w:eastAsiaTheme="majorEastAsia"/>
          <w:kern w:val="0"/>
          <w:sz w:val="18"/>
          <w:szCs w:val="18"/>
        </w:rPr>
        <w:t>3.如果今后法律法规发生变化，或者有其他代表性更强、更科学客观的业绩报酬计提基准适用于本产品时，经产品管理人和产品托管人协商一致后，本产品可以变更业绩报酬计提基准并及时公告。</w:t>
      </w:r>
    </w:p>
    <w:p w14:paraId="36F51FC5">
      <w:pPr>
        <w:autoSpaceDE w:val="0"/>
        <w:autoSpaceDN w:val="0"/>
        <w:adjustRightInd w:val="0"/>
        <w:spacing w:line="360" w:lineRule="auto"/>
        <w:ind w:firstLine="360" w:firstLineChars="200"/>
        <w:jc w:val="left"/>
        <w:rPr>
          <w:rFonts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kern w:val="0"/>
          <w:sz w:val="18"/>
          <w:szCs w:val="18"/>
        </w:rPr>
        <w:t xml:space="preserve"> 产品管理人不设置业绩报酬计提基准。</w:t>
      </w:r>
    </w:p>
    <w:p w14:paraId="6286A1C9">
      <w:pPr>
        <w:pStyle w:val="20"/>
        <w:spacing w:line="360" w:lineRule="auto"/>
        <w:ind w:firstLine="360" w:firstLineChars="200"/>
        <w:rPr>
          <w:rFonts w:asciiTheme="majorEastAsia" w:hAnsiTheme="majorEastAsia" w:eastAsiaTheme="majorEastAsia"/>
          <w:sz w:val="18"/>
          <w:szCs w:val="18"/>
        </w:rPr>
      </w:pPr>
      <w:r>
        <w:rPr>
          <w:rFonts w:asciiTheme="majorEastAsia" w:hAnsiTheme="majorEastAsia" w:eastAsiaTheme="majorEastAsia"/>
          <w:sz w:val="18"/>
          <w:szCs w:val="18"/>
        </w:rPr>
        <w:br w:type="page"/>
      </w:r>
    </w:p>
    <w:p w14:paraId="07EE3671">
      <w:pPr>
        <w:pStyle w:val="2"/>
        <w:spacing w:before="0" w:after="0" w:line="360" w:lineRule="auto"/>
        <w:jc w:val="center"/>
        <w:rPr>
          <w:rFonts w:ascii="Times New Roman"/>
          <w:sz w:val="30"/>
        </w:rPr>
      </w:pPr>
      <w:r>
        <w:rPr>
          <w:rFonts w:ascii="Times New Roman"/>
          <w:sz w:val="30"/>
        </w:rPr>
        <w:t>第</w:t>
      </w:r>
      <w:r>
        <w:rPr>
          <w:rFonts w:hint="eastAsia" w:ascii="Times New Roman"/>
          <w:sz w:val="30"/>
        </w:rPr>
        <w:t>六条</w:t>
      </w:r>
      <w:r>
        <w:rPr>
          <w:rFonts w:ascii="Times New Roman"/>
          <w:sz w:val="30"/>
        </w:rPr>
        <w:t xml:space="preserve">  </w:t>
      </w:r>
      <w:r>
        <w:rPr>
          <w:rFonts w:hint="eastAsia" w:ascii="Times New Roman"/>
          <w:sz w:val="30"/>
        </w:rPr>
        <w:t>理财产品的资产</w:t>
      </w:r>
    </w:p>
    <w:p w14:paraId="2446EE60">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（一）理财产品的资产的保管和处分</w:t>
      </w:r>
    </w:p>
    <w:p w14:paraId="0706EDAE">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0EB2C5D1">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64A157CA">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4630367A">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5A6601CE">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778FB9AF">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17D6899B">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6F3EC55C">
      <w:pPr>
        <w:pStyle w:val="2"/>
        <w:spacing w:before="0" w:after="0" w:line="360" w:lineRule="auto"/>
        <w:jc w:val="center"/>
        <w:rPr>
          <w:rFonts w:ascii="Times New Roman"/>
          <w:sz w:val="28"/>
          <w:szCs w:val="28"/>
        </w:rPr>
      </w:pPr>
      <w:r>
        <w:rPr>
          <w:rFonts w:hint="eastAsia" w:ascii="Times New Roman"/>
          <w:sz w:val="28"/>
          <w:szCs w:val="28"/>
        </w:rPr>
        <w:t>第七条</w:t>
      </w:r>
      <w:r>
        <w:rPr>
          <w:rFonts w:ascii="Times New Roman"/>
          <w:sz w:val="28"/>
          <w:szCs w:val="28"/>
        </w:rPr>
        <w:t xml:space="preserve">  </w:t>
      </w:r>
      <w:r>
        <w:rPr>
          <w:rFonts w:hint="eastAsia" w:ascii="Times New Roman"/>
          <w:sz w:val="28"/>
          <w:szCs w:val="28"/>
        </w:rPr>
        <w:t>理财产品项下资产的估值</w:t>
      </w:r>
    </w:p>
    <w:p w14:paraId="26C31389">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（一）估值目的</w:t>
      </w:r>
    </w:p>
    <w:p w14:paraId="781ADD50">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理财资产估值的目的是客观、准确地反映理财资产是否保值、增值。</w:t>
      </w:r>
    </w:p>
    <w:p w14:paraId="3F767B32">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（二）估值频率</w:t>
      </w:r>
    </w:p>
    <w:p w14:paraId="79856AC2">
      <w:pPr>
        <w:pStyle w:val="20"/>
        <w:spacing w:line="360" w:lineRule="auto"/>
        <w:ind w:firstLine="360" w:firstLineChars="200"/>
        <w:rPr>
          <w:rFonts w:asciiTheme="minorEastAsia" w:hAnsiTheme="minorEastAsia" w:eastAsiaTheme="minorEastAsia"/>
          <w:color w:val="2E3033"/>
          <w:sz w:val="18"/>
          <w:szCs w:val="18"/>
        </w:rPr>
      </w:pPr>
      <w:r>
        <w:rPr>
          <w:rFonts w:hint="eastAsia"/>
          <w:sz w:val="18"/>
          <w:szCs w:val="18"/>
        </w:rPr>
        <w:t>本产品存续期间，每周进行一次估值。如遇产品申购日/赎回日、季度、半年度、年度末等时间节点管理人将增加估值日。</w:t>
      </w:r>
    </w:p>
    <w:p w14:paraId="03764639">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（三）估值对象</w:t>
      </w:r>
    </w:p>
    <w:p w14:paraId="53F33E71">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本产品所拥有的各类证券、资产管理产品、银行存款、应收款项、其它投资等资产及负债。</w:t>
      </w:r>
    </w:p>
    <w:p w14:paraId="3663B1E9">
      <w:pPr>
        <w:pStyle w:val="34"/>
        <w:spacing w:line="360" w:lineRule="auto"/>
        <w:ind w:firstLine="361" w:firstLineChars="200"/>
        <w:rPr>
          <w:rFonts w:asciiTheme="minorEastAsia" w:hAnsiTheme="minorEastAsia" w:eastAsiaTheme="minorEastAsia"/>
          <w:b/>
          <w:sz w:val="18"/>
          <w:szCs w:val="18"/>
        </w:rPr>
      </w:pPr>
      <w:r>
        <w:rPr>
          <w:rFonts w:hint="eastAsia" w:asciiTheme="minorEastAsia" w:hAnsiTheme="minorEastAsia" w:eastAsiaTheme="minorEastAsia"/>
          <w:b/>
          <w:sz w:val="18"/>
          <w:szCs w:val="18"/>
        </w:rPr>
        <w:t>（四）估值方法</w:t>
      </w:r>
    </w:p>
    <w:p w14:paraId="3A6A6971">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1.</w:t>
      </w:r>
      <w:r>
        <w:rPr>
          <w:rFonts w:hint="eastAsia" w:asciiTheme="minorEastAsia" w:hAnsiTheme="minorEastAsia" w:eastAsiaTheme="minorEastAsia"/>
          <w:b/>
          <w:color w:val="auto"/>
          <w:sz w:val="18"/>
          <w:szCs w:val="18"/>
        </w:rPr>
        <w:t>标准化债权类资产估值</w:t>
      </w:r>
    </w:p>
    <w:p w14:paraId="3C279FD8">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06B2E8E2">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1）债券类资产以公允价值计量，主要依据为第三方估值机构提供的价格数据。</w:t>
      </w:r>
      <w:r>
        <w:rPr>
          <w:rFonts w:hint="eastAsia" w:asciiTheme="majorEastAsia" w:hAnsiTheme="majorEastAsia" w:eastAsiaTheme="majorEastAsia"/>
          <w:bCs/>
          <w:color w:val="auto"/>
          <w:sz w:val="18"/>
          <w:szCs w:val="18"/>
        </w:rPr>
        <w:t>第三方估值机构包括：中央国债登记结算公司和中证指数有限公司。</w:t>
      </w:r>
    </w:p>
    <w:p w14:paraId="674440C1">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2）在证券交易所上市的债券，如第三方估值机构提供的估值价格与市场收盘价存在差异，且管理人认为收盘价更能体现其公允价值，可与托管人协商一致后采用收盘价进行估值。</w:t>
      </w:r>
    </w:p>
    <w:p w14:paraId="4D490F8A">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对在交易所上市的资产支持证券和私募债，鉴于其不存在活跃市场，或未来现金流难以确定，导致第三方估值数据和市场收盘价均无法准确反映其公允价值的，可采用估值技术对其进行估值，管理人会对估值模型的有效性进行持续有效评估，并尽可能地予以修正。</w:t>
      </w:r>
      <w:r>
        <w:rPr>
          <w:rFonts w:asciiTheme="majorEastAsia" w:hAnsiTheme="majorEastAsia" w:eastAsiaTheme="majorEastAsia"/>
          <w:bCs/>
          <w:color w:val="auto"/>
          <w:sz w:val="18"/>
          <w:szCs w:val="18"/>
        </w:rPr>
        <w:t xml:space="preserve"> </w:t>
      </w:r>
    </w:p>
    <w:p w14:paraId="4E3D6B74">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(4)</w:t>
      </w:r>
      <w:r>
        <w:rPr>
          <w:rFonts w:hint="eastAsia" w:asciiTheme="majorEastAsia" w:hAnsiTheme="majorEastAsia" w:eastAsiaTheme="majorEastAsia"/>
          <w:bCs/>
          <w:color w:val="auto"/>
          <w:sz w:val="18"/>
          <w:szCs w:val="18"/>
        </w:rPr>
        <w:t>对在银行间市场或交易所市场已发行未上市流通的债券，且第三方估值机构未提供估值数据，采用估值技术确定其公允价值。</w:t>
      </w:r>
    </w:p>
    <w:p w14:paraId="12F3DAF6">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5）同一债券同时在两个或两个以上市场交易的，按债券所处的市场及相应的估值标准，分别进行估值。</w:t>
      </w:r>
    </w:p>
    <w:p w14:paraId="7D3CBE8D">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b/>
          <w:color w:val="auto"/>
          <w:sz w:val="18"/>
        </w:rPr>
        <w:t>2.</w:t>
      </w:r>
      <w:r>
        <w:rPr>
          <w:rFonts w:hint="eastAsia" w:asciiTheme="majorEastAsia" w:hAnsiTheme="majorEastAsia" w:eastAsiaTheme="majorEastAsia"/>
          <w:b/>
          <w:bCs/>
          <w:color w:val="auto"/>
          <w:sz w:val="18"/>
          <w:szCs w:val="18"/>
        </w:rPr>
        <w:t>境外债券</w:t>
      </w:r>
    </w:p>
    <w:p w14:paraId="6B145A3B">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175B0EF9">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3.非标准化债权类资产</w:t>
      </w:r>
    </w:p>
    <w:p w14:paraId="4D746B5F">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非标准化债权类资产，是指不满足中国人民银行制定的标准化债权类资产认定标准的债权类资产。可选取第三方估值机构的价格数据或采用估值技术进行估值。</w:t>
      </w:r>
    </w:p>
    <w:p w14:paraId="34B82F1D">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4.上市公司股票</w:t>
      </w:r>
      <w:r>
        <w:rPr>
          <w:rFonts w:hint="eastAsia" w:asciiTheme="majorEastAsia" w:hAnsiTheme="majorEastAsia" w:eastAsiaTheme="majorEastAsia"/>
          <w:b/>
          <w:bCs/>
          <w:color w:val="auto"/>
          <w:sz w:val="18"/>
          <w:szCs w:val="18"/>
        </w:rPr>
        <w:t>估值</w:t>
      </w:r>
    </w:p>
    <w:p w14:paraId="197C2943">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上市公司股票包括正常流通普通股、流通受限股票、长期停牌股票和新发行未上市股票。具体估值方法如下：</w:t>
      </w:r>
    </w:p>
    <w:p w14:paraId="3B10D40A">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3053323B">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2）送股、转增股、配股和公开增发新股等发行未上市的股票，按估值日在证券交易所上市的同一股票的收盘价或最近交易日的收盘价确定公允价值。</w:t>
      </w:r>
    </w:p>
    <w:p w14:paraId="51A33DB2">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3）通过公开、非公开等方式取得且有明确限售期的股票，在限售期内，应以证券交易所上市交易的同一股票的公允价值为基础，引入流动性折扣进行估值。</w:t>
      </w:r>
      <w:r>
        <w:rPr>
          <w:rFonts w:hint="eastAsia" w:asciiTheme="minorEastAsia" w:hAnsiTheme="minorEastAsia" w:eastAsiaTheme="minorEastAsia"/>
          <w:color w:val="auto"/>
          <w:sz w:val="18"/>
          <w:szCs w:val="18"/>
        </w:rPr>
        <w:t>流动性折扣可依据第三方估值机构提供的数据，或采用看跌期权法以及其他合理的估值方法分析确定。</w:t>
      </w:r>
    </w:p>
    <w:p w14:paraId="5A804DC2">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4）长期停牌股票，</w:t>
      </w:r>
      <w:r>
        <w:rPr>
          <w:rFonts w:hint="eastAsia" w:asciiTheme="minorEastAsia" w:hAnsiTheme="minorEastAsia" w:eastAsiaTheme="minorEastAsia"/>
          <w:color w:val="auto"/>
          <w:sz w:val="18"/>
          <w:szCs w:val="18"/>
        </w:rPr>
        <w:t>根据停牌原因、停牌时间及停牌公司公告等信息，采用估值技术确定公允价值。</w:t>
      </w:r>
    </w:p>
    <w:p w14:paraId="47B70C1F">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5）</w:t>
      </w:r>
      <w:r>
        <w:rPr>
          <w:rFonts w:hint="eastAsia" w:asciiTheme="minorEastAsia" w:hAnsiTheme="minorEastAsia" w:eastAsiaTheme="minorEastAsia"/>
          <w:color w:val="auto"/>
          <w:sz w:val="18"/>
          <w:szCs w:val="18"/>
        </w:rPr>
        <w:t>新发行未上市股票，如果发行日后未发生影响公允价值计量的重大事件的，应采用发行价作为公允价值的最佳估计，已发生影响公允价值计量重大事件的应采用估值技术确定公允价值。</w:t>
      </w:r>
    </w:p>
    <w:p w14:paraId="6EC5524A">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5.未上市公司股权</w:t>
      </w:r>
    </w:p>
    <w:p w14:paraId="0B0BD3C7">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以公允价值计量，应综合考虑被评估企业实际情况、市场交易情况及其他可获得的信息，采用市场法、收益法、重置成本法等估值技术，结合流动性折扣等因素评估公允价值。</w:t>
      </w:r>
    </w:p>
    <w:p w14:paraId="2E63AFEB">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6.</w:t>
      </w:r>
      <w:r>
        <w:rPr>
          <w:rFonts w:hint="eastAsia" w:asciiTheme="minorEastAsia" w:hAnsiTheme="minorEastAsia" w:eastAsiaTheme="minorEastAsia"/>
          <w:b/>
          <w:color w:val="auto"/>
          <w:sz w:val="18"/>
          <w:szCs w:val="18"/>
        </w:rPr>
        <w:t>优先股</w:t>
      </w:r>
    </w:p>
    <w:p w14:paraId="6B0D1875">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07042D1B">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eastAsiaTheme="minorEastAsia"/>
          <w:b/>
          <w:color w:val="auto"/>
          <w:sz w:val="18"/>
          <w:szCs w:val="18"/>
        </w:rPr>
        <w:t>证券投资基金估值</w:t>
      </w:r>
    </w:p>
    <w:p w14:paraId="587825FA">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1）非上市基金估值</w:t>
      </w:r>
    </w:p>
    <w:p w14:paraId="1C83D3EF">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1)本产品投资的境内非货币市场基金，按所投资基金估值日的基金份额净值估值；估值日基金净值未公布的，以基金管理人公布的最近一个工作日基金份额净值计算。</w:t>
      </w:r>
    </w:p>
    <w:p w14:paraId="56E8FC03">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2)本产品投资的境内货币市场基金，按所投资基金前一估值日后至估值日期间（含节假日）的万份收益计提估值日基金收益。</w:t>
      </w:r>
    </w:p>
    <w:p w14:paraId="305C3E33">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2）上市基金估值</w:t>
      </w:r>
    </w:p>
    <w:p w14:paraId="6EB1F029">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1)本产品投资的ETF基金、境内上市定期开放式基金、封闭式基金，按照所投资基金估值日的收盘价估</w:t>
      </w:r>
      <w:r>
        <w:rPr>
          <w:rFonts w:hint="eastAsia" w:asciiTheme="minorEastAsia" w:hAnsiTheme="minorEastAsia" w:eastAsiaTheme="minorEastAsia"/>
          <w:color w:val="auto"/>
          <w:sz w:val="18"/>
          <w:szCs w:val="18"/>
        </w:rPr>
        <w:t>值；估值日无交易的，以最近交易日的收盘价估值。</w:t>
      </w:r>
    </w:p>
    <w:p w14:paraId="049D48CB">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2)本产品投资的境内上市开放式基金（LOF），按所投资基金估值日的基金份额净值估值；估值日基金净值未公布的，以基金管理人公布的最近一个工作日基金份额净值计算。</w:t>
      </w:r>
    </w:p>
    <w:p w14:paraId="7DDDC7CF">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3)本产品投资的境内上市交易型货币市场基金，如所投资基金披露份额净值，则按所投资基金估值日的份额净值估值；如所投资基金披露万份（百份）收益，则按所投资基金前一估值日后至估值日期间（含节假日）的万份（百份）收益计提估值日基金收益。</w:t>
      </w:r>
    </w:p>
    <w:p w14:paraId="486AB175">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其他资产管理产品的估值</w:t>
      </w:r>
    </w:p>
    <w:p w14:paraId="1CF8C56F">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sz w:val="18"/>
          <w:szCs w:val="18"/>
        </w:rPr>
        <w:t>其他资产管理产品，指理财产品投资的除证券投资基金以外的其他资产管理产品，主要包括：</w:t>
      </w:r>
      <w:r>
        <w:rPr>
          <w:rFonts w:hint="eastAsia" w:asciiTheme="minorEastAsia" w:hAnsiTheme="minorEastAsia" w:eastAsiaTheme="minorEastAsia"/>
          <w:bCs/>
          <w:sz w:val="18"/>
          <w:szCs w:val="18"/>
        </w:rPr>
        <w:t>资金信托，证券公司、证券公司子公司、基金管理公司、基金管理子公司、期货公司、期货公司子公司、保险资产管理机构、金融资产投资公司发行的资产管理产品。其他资产管理产品以估值日资产管理人提供的单位净值进行估值，估值日产品单位净值未提供的，可参考最近可获取的净值确定公允价值。</w:t>
      </w:r>
    </w:p>
    <w:p w14:paraId="5F8A9356">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9.衍生金融工具估值</w:t>
      </w:r>
    </w:p>
    <w:p w14:paraId="3CBF5047">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期货、互换、期权、远期、权证等衍生金融工具场内交易的，按估值日交易所公布的当日结算价估值；如估值日无交易，且最近交易日后未发生影响公允价值计量的重大事件的，按交易所最近交易日结算价进行估值。上述衍生金融工具场外交易的，按照第三方机构提供的估值数据或采取相应的衍生金融工具估值模型进行估值。</w:t>
      </w:r>
      <w:r>
        <w:rPr>
          <w:rFonts w:asciiTheme="minorEastAsia" w:hAnsiTheme="minorEastAsia" w:eastAsiaTheme="minorEastAsia"/>
          <w:color w:val="auto"/>
          <w:sz w:val="18"/>
          <w:szCs w:val="18"/>
        </w:rPr>
        <w:t xml:space="preserve"> </w:t>
      </w:r>
    </w:p>
    <w:p w14:paraId="21C07E3A">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10.</w:t>
      </w:r>
      <w:r>
        <w:rPr>
          <w:rFonts w:hint="eastAsia" w:asciiTheme="minorEastAsia" w:hAnsiTheme="minorEastAsia" w:eastAsiaTheme="minorEastAsia"/>
          <w:b/>
          <w:color w:val="auto"/>
          <w:sz w:val="18"/>
          <w:szCs w:val="18"/>
        </w:rPr>
        <w:t>存款、拆借、回购等货币市场工具的估值</w:t>
      </w:r>
    </w:p>
    <w:p w14:paraId="5CB03E29">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sz w:val="18"/>
          <w:szCs w:val="18"/>
        </w:rPr>
        <w:t>以本金列示，按商定利率在实际持有期间内逐日计提利息。如有估值技术能更准确反映其公允价值的，采用估值技术进行估值。</w:t>
      </w:r>
    </w:p>
    <w:p w14:paraId="3CF80EAA">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11.</w:t>
      </w:r>
      <w:r>
        <w:rPr>
          <w:rFonts w:hint="eastAsia" w:asciiTheme="minorEastAsia" w:hAnsiTheme="minorEastAsia" w:eastAsiaTheme="minorEastAsia"/>
          <w:color w:val="auto"/>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015F44E7">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12.当开放式公募理财产品（现金管理类理财产品除外）遭遇大额申购或赎回时，管理人可以采用摆动定价机制，以确保估值的公平性。具体操作按照相关法律法规、监管规定和自律规则执行。</w:t>
      </w:r>
    </w:p>
    <w:p w14:paraId="2F047348">
      <w:pPr>
        <w:pStyle w:val="34"/>
        <w:spacing w:line="360" w:lineRule="auto"/>
        <w:ind w:firstLine="360" w:firstLineChars="200"/>
        <w:rPr>
          <w:rFonts w:ascii="黑体" w:hAnsi="黑体" w:eastAsia="黑体"/>
          <w:color w:val="auto"/>
          <w:sz w:val="18"/>
          <w:szCs w:val="18"/>
        </w:rPr>
      </w:pPr>
      <w:r>
        <w:rPr>
          <w:rFonts w:ascii="黑体" w:hAnsi="黑体" w:eastAsia="黑体"/>
          <w:color w:val="auto"/>
          <w:sz w:val="18"/>
          <w:szCs w:val="18"/>
        </w:rPr>
        <w:t>1</w:t>
      </w:r>
      <w:r>
        <w:rPr>
          <w:rFonts w:hint="eastAsia" w:ascii="黑体" w:hAnsi="黑体" w:eastAsia="黑体"/>
          <w:color w:val="auto"/>
          <w:sz w:val="18"/>
          <w:szCs w:val="18"/>
        </w:rPr>
        <w:t>3</w:t>
      </w:r>
      <w:r>
        <w:rPr>
          <w:rFonts w:ascii="黑体" w:hAnsi="黑体" w:eastAsia="黑体"/>
          <w:color w:val="auto"/>
          <w:sz w:val="18"/>
          <w:szCs w:val="18"/>
        </w:rPr>
        <w:t>.</w:t>
      </w:r>
      <w:r>
        <w:rPr>
          <w:rFonts w:hint="eastAsia" w:ascii="黑体" w:hAnsi="黑体" w:eastAsia="黑体"/>
          <w:color w:val="auto"/>
          <w:sz w:val="18"/>
          <w:szCs w:val="18"/>
        </w:rPr>
        <w:t>★估值方法的调整</w:t>
      </w:r>
    </w:p>
    <w:p w14:paraId="0E719662">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若因相关法律法规以及监管部门有规定，需要调整估值方法的，管理人应按相关规定要求使用调整后的估值方法进行估值。</w:t>
      </w:r>
    </w:p>
    <w:p w14:paraId="5A267AFF">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（五）估值程序</w:t>
      </w:r>
    </w:p>
    <w:p w14:paraId="47642E97">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color w:val="auto"/>
          <w:sz w:val="18"/>
          <w:szCs w:val="18"/>
        </w:rPr>
        <w:t>1.</w:t>
      </w:r>
      <w:r>
        <w:rPr>
          <w:rFonts w:hint="eastAsia" w:asciiTheme="minorEastAsia" w:hAnsiTheme="minorEastAsia" w:eastAsiaTheme="minorEastAsia"/>
          <w:color w:val="auto"/>
          <w:sz w:val="18"/>
          <w:szCs w:val="18"/>
        </w:rPr>
        <w:t>产品份额净值是按照估值日产品资产净值除以当日产品总份额计算，</w:t>
      </w:r>
      <w:r>
        <w:rPr>
          <w:rFonts w:asciiTheme="minorEastAsia" w:hAnsiTheme="minorEastAsia" w:eastAsiaTheme="minorEastAsia"/>
          <w:bCs/>
          <w:color w:val="auto"/>
          <w:sz w:val="18"/>
          <w:szCs w:val="18"/>
        </w:rPr>
        <w:t>四舍五入保留5位小数</w:t>
      </w:r>
      <w:r>
        <w:rPr>
          <w:rFonts w:hint="eastAsia" w:asciiTheme="minorEastAsia" w:hAnsiTheme="minorEastAsia" w:eastAsiaTheme="minorEastAsia"/>
          <w:color w:val="auto"/>
          <w:sz w:val="18"/>
          <w:szCs w:val="18"/>
        </w:rPr>
        <w:t>。国家另有规定的，从其规定。</w:t>
      </w:r>
      <w:r>
        <w:rPr>
          <w:rFonts w:hint="eastAsia" w:asciiTheme="minorEastAsia" w:hAnsiTheme="minorEastAsia" w:eastAsiaTheme="minorEastAsia"/>
          <w:bCs/>
          <w:color w:val="auto"/>
          <w:sz w:val="18"/>
          <w:szCs w:val="18"/>
        </w:rPr>
        <w:t>发生巨额赎回时，为保护投资者利益，产品管理人可提高单位产品净值的精度。</w:t>
      </w:r>
    </w:p>
    <w:p w14:paraId="5160E157">
      <w:pPr>
        <w:pStyle w:val="34"/>
        <w:spacing w:line="360" w:lineRule="auto"/>
        <w:ind w:firstLine="360" w:firstLineChars="200"/>
        <w:rPr>
          <w:rFonts w:asciiTheme="minorEastAsia" w:hAnsiTheme="minorEastAsia" w:eastAsiaTheme="minorEastAsia"/>
          <w:sz w:val="18"/>
          <w:szCs w:val="18"/>
        </w:rPr>
      </w:pPr>
      <w:r>
        <w:rPr>
          <w:rFonts w:asciiTheme="minorEastAsia" w:hAnsiTheme="minorEastAsia" w:eastAsiaTheme="minorEastAsia"/>
          <w:sz w:val="18"/>
          <w:szCs w:val="18"/>
        </w:rPr>
        <w:t xml:space="preserve">2.产品管理人对理财资产估值后，将产品份额净值发送产品托管人，经产品托管人复核无误后，由产品管理人按规定对外公布。 </w:t>
      </w:r>
    </w:p>
    <w:p w14:paraId="2725BC90">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 xml:space="preserve">3. </w:t>
      </w:r>
      <w:r>
        <w:rPr>
          <w:rFonts w:hint="eastAsia" w:asciiTheme="minorEastAsia" w:hAnsiTheme="minorEastAsia" w:eastAsiaTheme="minorEastAsia"/>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14:paraId="300A4A48">
      <w:pPr>
        <w:pStyle w:val="34"/>
        <w:spacing w:line="360" w:lineRule="auto"/>
        <w:ind w:firstLine="361" w:firstLineChars="200"/>
        <w:rPr>
          <w:rFonts w:cs="Times New Roman" w:asciiTheme="minorEastAsia" w:hAnsiTheme="minorEastAsia" w:eastAsiaTheme="minorEastAsia"/>
          <w:b/>
          <w:color w:val="auto"/>
          <w:sz w:val="18"/>
          <w:szCs w:val="18"/>
        </w:rPr>
      </w:pPr>
      <w:r>
        <w:rPr>
          <w:rFonts w:hint="eastAsia" w:cs="Times New Roman" w:asciiTheme="minorEastAsia" w:hAnsiTheme="minorEastAsia" w:eastAsiaTheme="minorEastAsia"/>
          <w:b/>
          <w:color w:val="auto"/>
          <w:sz w:val="18"/>
          <w:szCs w:val="18"/>
        </w:rPr>
        <w:t>（六）估值主体</w:t>
      </w:r>
    </w:p>
    <w:p w14:paraId="0E812DC8">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0C47B412">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4B93B2AA">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0A80A38A">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5FDDA699">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72EABB07">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5CEC2A80">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43F5B212">
      <w:pPr>
        <w:widowControl/>
        <w:spacing w:line="360" w:lineRule="auto"/>
        <w:jc w:val="left"/>
        <w:rPr>
          <w:rFonts w:ascii="宋体" w:hAnsi="宋体"/>
          <w:kern w:val="0"/>
          <w:sz w:val="18"/>
          <w:szCs w:val="18"/>
        </w:rPr>
      </w:pPr>
      <w:r>
        <w:rPr>
          <w:rFonts w:hAnsi="宋体"/>
          <w:sz w:val="18"/>
          <w:szCs w:val="18"/>
        </w:rPr>
        <w:br w:type="page"/>
      </w:r>
    </w:p>
    <w:p w14:paraId="76D75061">
      <w:pPr>
        <w:pStyle w:val="2"/>
        <w:spacing w:before="0" w:after="0" w:line="360" w:lineRule="auto"/>
        <w:ind w:left="60" w:firstLine="10"/>
        <w:jc w:val="center"/>
        <w:rPr>
          <w:rFonts w:ascii="Times New Roman"/>
          <w:sz w:val="30"/>
        </w:rPr>
      </w:pPr>
      <w:r>
        <w:rPr>
          <w:rFonts w:ascii="Times New Roman"/>
          <w:sz w:val="30"/>
        </w:rPr>
        <w:t>第</w:t>
      </w:r>
      <w:r>
        <w:rPr>
          <w:rFonts w:hint="eastAsia" w:ascii="Times New Roman"/>
          <w:sz w:val="30"/>
        </w:rPr>
        <w:t>八条</w:t>
      </w:r>
      <w:r>
        <w:rPr>
          <w:rFonts w:ascii="Times New Roman"/>
          <w:sz w:val="30"/>
        </w:rPr>
        <w:t xml:space="preserve">  </w:t>
      </w:r>
      <w:r>
        <w:rPr>
          <w:rFonts w:hint="eastAsia" w:ascii="Times New Roman"/>
          <w:sz w:val="30"/>
        </w:rPr>
        <w:t>理财产品的利益分配</w:t>
      </w:r>
    </w:p>
    <w:p w14:paraId="552B2792">
      <w:pPr>
        <w:pStyle w:val="3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5DF88037">
      <w:pPr>
        <w:pStyle w:val="34"/>
        <w:spacing w:line="360" w:lineRule="auto"/>
        <w:ind w:firstLine="360" w:firstLineChars="200"/>
        <w:rPr>
          <w:rFonts w:hAnsi="宋体"/>
          <w:color w:val="auto"/>
          <w:sz w:val="18"/>
          <w:szCs w:val="18"/>
        </w:rPr>
      </w:pPr>
      <w:r>
        <w:rPr>
          <w:rFonts w:hint="eastAsia" w:hAnsi="宋体"/>
          <w:color w:val="auto"/>
          <w:sz w:val="18"/>
          <w:szCs w:val="18"/>
        </w:rPr>
        <w:t>1. 依据分配时点，理财利益的分配可分为“期间分配”与“终止分配”。</w:t>
      </w:r>
    </w:p>
    <w:p w14:paraId="0E303C74">
      <w:pPr>
        <w:pStyle w:val="34"/>
        <w:spacing w:line="360" w:lineRule="auto"/>
        <w:ind w:firstLine="360" w:firstLineChars="200"/>
        <w:rPr>
          <w:rFonts w:hAnsi="宋体"/>
          <w:color w:val="auto"/>
          <w:sz w:val="18"/>
          <w:szCs w:val="18"/>
        </w:rPr>
      </w:pPr>
      <w:r>
        <w:rPr>
          <w:rFonts w:hint="eastAsia" w:hAnsi="宋体"/>
          <w:color w:val="auto"/>
          <w:sz w:val="18"/>
          <w:szCs w:val="18"/>
        </w:rPr>
        <w:t>2. 依据分配方式，理财利益的分配可分为“现金分配”与“非现金分配”。</w:t>
      </w:r>
    </w:p>
    <w:p w14:paraId="0B597D0F">
      <w:pPr>
        <w:pStyle w:val="3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668ED09A">
      <w:pPr>
        <w:pStyle w:val="3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0F74658C">
      <w:pPr>
        <w:pStyle w:val="3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6A8862E1">
      <w:pPr>
        <w:pStyle w:val="3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07ECF057">
      <w:pPr>
        <w:pStyle w:val="3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714761F2">
      <w:pPr>
        <w:pStyle w:val="34"/>
        <w:spacing w:line="360" w:lineRule="auto"/>
        <w:ind w:firstLine="361" w:firstLineChars="200"/>
        <w:rPr>
          <w:rFonts w:hAnsi="宋体"/>
          <w:b/>
          <w:bCs/>
          <w:color w:val="auto"/>
          <w:sz w:val="18"/>
          <w:szCs w:val="18"/>
        </w:rPr>
      </w:pPr>
      <w:r>
        <w:rPr>
          <w:rFonts w:hint="eastAsia" w:hAnsi="宋体"/>
          <w:b/>
          <w:bCs/>
          <w:color w:val="auto"/>
          <w:sz w:val="18"/>
          <w:szCs w:val="18"/>
        </w:rPr>
        <w:t>1.分配方案要点：</w:t>
      </w:r>
    </w:p>
    <w:p w14:paraId="1A12F453">
      <w:pPr>
        <w:pStyle w:val="3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5D2584C1">
      <w:pPr>
        <w:pStyle w:val="3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74450712">
      <w:pPr>
        <w:pStyle w:val="3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72BFBE57">
      <w:pPr>
        <w:pStyle w:val="34"/>
        <w:spacing w:line="360" w:lineRule="auto"/>
        <w:ind w:firstLine="360" w:firstLineChars="200"/>
        <w:rPr>
          <w:rFonts w:hAnsi="宋体"/>
          <w:color w:val="auto"/>
          <w:sz w:val="18"/>
          <w:szCs w:val="18"/>
        </w:rPr>
      </w:pPr>
      <w:r>
        <w:rPr>
          <w:rFonts w:hint="eastAsia" w:hAnsi="宋体"/>
          <w:color w:val="auto"/>
          <w:sz w:val="18"/>
          <w:szCs w:val="18"/>
        </w:rPr>
        <w:t>3.产品管理人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0B9EDE97">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119E65EE">
      <w:pPr>
        <w:pStyle w:val="3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21D062A8">
      <w:pPr>
        <w:pStyle w:val="3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63504E62">
      <w:pPr>
        <w:pStyle w:val="3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08D7A0A7">
      <w:pPr>
        <w:pStyle w:val="3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w:t>
      </w:r>
      <w:r>
        <w:rPr>
          <w:rFonts w:hint="eastAsia" w:hAnsi="宋体"/>
          <w:color w:val="auto"/>
          <w:sz w:val="18"/>
          <w:szCs w:val="18"/>
        </w:rPr>
        <w:t>具体的理财利益分配以实际情况为准。</w:t>
      </w:r>
    </w:p>
    <w:p w14:paraId="584F5B68">
      <w:pPr>
        <w:widowControl/>
        <w:spacing w:line="360" w:lineRule="auto"/>
        <w:jc w:val="left"/>
        <w:rPr>
          <w:rFonts w:ascii="宋体" w:hAnsi="宋体"/>
          <w:kern w:val="0"/>
          <w:sz w:val="18"/>
          <w:szCs w:val="18"/>
        </w:rPr>
      </w:pPr>
      <w:r>
        <w:rPr>
          <w:rFonts w:hAnsi="宋体"/>
          <w:sz w:val="18"/>
          <w:szCs w:val="18"/>
        </w:rPr>
        <w:br w:type="page"/>
      </w:r>
    </w:p>
    <w:p w14:paraId="192FA278">
      <w:pPr>
        <w:pStyle w:val="2"/>
        <w:spacing w:before="0" w:after="0" w:line="360" w:lineRule="auto"/>
        <w:jc w:val="center"/>
        <w:rPr>
          <w:rFonts w:ascii="Times New Roman"/>
          <w:sz w:val="30"/>
        </w:rPr>
      </w:pPr>
      <w:r>
        <w:rPr>
          <w:rFonts w:ascii="Times New Roman"/>
          <w:sz w:val="30"/>
        </w:rPr>
        <w:t>第</w:t>
      </w:r>
      <w:r>
        <w:rPr>
          <w:rFonts w:hint="eastAsia" w:ascii="Times New Roman"/>
          <w:sz w:val="30"/>
        </w:rPr>
        <w:t>九条</w:t>
      </w:r>
      <w:r>
        <w:rPr>
          <w:rFonts w:ascii="Times New Roman"/>
          <w:sz w:val="30"/>
        </w:rPr>
        <w:t xml:space="preserve">  </w:t>
      </w:r>
      <w:r>
        <w:rPr>
          <w:rFonts w:hint="eastAsia" w:ascii="Times New Roman"/>
          <w:sz w:val="30"/>
        </w:rPr>
        <w:t>理财产品的费用与税收</w:t>
      </w:r>
    </w:p>
    <w:p w14:paraId="56C6FA28">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（一）理财产品的费用</w:t>
      </w:r>
    </w:p>
    <w:p w14:paraId="63010699">
      <w:pPr>
        <w:widowControl/>
        <w:spacing w:line="360" w:lineRule="auto"/>
        <w:ind w:firstLine="360" w:firstLineChars="200"/>
        <w:jc w:val="left"/>
        <w:rPr>
          <w:rFonts w:hAnsi="宋体"/>
          <w:sz w:val="18"/>
          <w:szCs w:val="18"/>
        </w:rPr>
      </w:pPr>
      <w:r>
        <w:rPr>
          <w:rFonts w:ascii="宋体" w:hAnsi="宋体"/>
          <w:kern w:val="0"/>
          <w:sz w:val="18"/>
          <w:szCs w:val="18"/>
        </w:rPr>
        <w:t>1</w:t>
      </w:r>
      <w:r>
        <w:rPr>
          <w:rFonts w:hint="eastAsia" w:ascii="宋体" w:hAnsi="宋体"/>
          <w:kern w:val="0"/>
          <w:sz w:val="18"/>
          <w:szCs w:val="18"/>
        </w:rPr>
        <w:t>.</w:t>
      </w:r>
      <w:r>
        <w:rPr>
          <w:rFonts w:ascii="宋体" w:hAnsi="宋体"/>
          <w:kern w:val="0"/>
          <w:sz w:val="18"/>
          <w:szCs w:val="18"/>
        </w:rPr>
        <w:t>理财产品费用的种类</w:t>
      </w:r>
    </w:p>
    <w:p w14:paraId="78C85C86">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1）理财产品的认购费、申购费、赎回费</w:t>
      </w:r>
      <w:r>
        <w:rPr>
          <w:rFonts w:hint="eastAsia" w:ascii="宋体" w:hAnsi="宋体"/>
          <w:kern w:val="0"/>
          <w:sz w:val="18"/>
          <w:szCs w:val="18"/>
        </w:rPr>
        <w:t>；</w:t>
      </w:r>
    </w:p>
    <w:p w14:paraId="1515127D">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2）理财产品的销售服务费</w:t>
      </w:r>
      <w:r>
        <w:rPr>
          <w:rFonts w:hint="eastAsia" w:ascii="宋体" w:hAnsi="宋体"/>
          <w:kern w:val="0"/>
          <w:sz w:val="18"/>
          <w:szCs w:val="18"/>
        </w:rPr>
        <w:t>；</w:t>
      </w:r>
    </w:p>
    <w:p w14:paraId="3CC7C198">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3）理财产品的投资管理费及超额业绩报酬；</w:t>
      </w:r>
    </w:p>
    <w:p w14:paraId="6F7FAEC5">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4</w:t>
      </w:r>
      <w:r>
        <w:rPr>
          <w:rFonts w:hint="eastAsia" w:ascii="宋体" w:hAnsi="宋体"/>
          <w:kern w:val="0"/>
          <w:sz w:val="18"/>
          <w:szCs w:val="18"/>
        </w:rPr>
        <w:t>）理财产品的产品托管费；</w:t>
      </w:r>
    </w:p>
    <w:p w14:paraId="18A72A01">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）理财产品的证券交易费用；</w:t>
      </w:r>
    </w:p>
    <w:p w14:paraId="721A62D0">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）理财产品验资费、审计费、律师费、信息披露费、清算费、执行费用等相关费用；</w:t>
      </w:r>
    </w:p>
    <w:p w14:paraId="57039A10">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7</w:t>
      </w:r>
      <w:r>
        <w:rPr>
          <w:rFonts w:hint="eastAsia" w:ascii="宋体" w:hAnsi="宋体"/>
          <w:kern w:val="0"/>
          <w:sz w:val="18"/>
          <w:szCs w:val="18"/>
        </w:rPr>
        <w:t>）按照国家法律法规规定可以列入的其他费用。</w:t>
      </w:r>
    </w:p>
    <w:p w14:paraId="1B71B3CD">
      <w:pPr>
        <w:widowControl/>
        <w:spacing w:line="360" w:lineRule="auto"/>
        <w:ind w:firstLine="360" w:firstLineChars="200"/>
        <w:jc w:val="left"/>
        <w:rPr>
          <w:rFonts w:ascii="宋体" w:hAnsi="宋体"/>
          <w:sz w:val="18"/>
          <w:szCs w:val="18"/>
        </w:rPr>
      </w:pPr>
      <w:r>
        <w:rPr>
          <w:rFonts w:ascii="宋体" w:hAnsi="宋体"/>
          <w:kern w:val="0"/>
          <w:sz w:val="18"/>
          <w:szCs w:val="18"/>
        </w:rPr>
        <w:t>2.</w:t>
      </w:r>
      <w:r>
        <w:rPr>
          <w:rFonts w:hint="eastAsia" w:ascii="宋体" w:hAnsi="宋体"/>
          <w:kern w:val="0"/>
          <w:sz w:val="18"/>
          <w:szCs w:val="18"/>
        </w:rPr>
        <w:t>理财产品费用计提方法、计提标准和支付方式</w:t>
      </w:r>
    </w:p>
    <w:p w14:paraId="06252697">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1</w:t>
      </w:r>
      <w:r>
        <w:rPr>
          <w:rFonts w:hint="eastAsia" w:ascii="宋体" w:hAnsi="宋体"/>
          <w:kern w:val="0"/>
          <w:sz w:val="18"/>
          <w:szCs w:val="18"/>
        </w:rPr>
        <w:t>）理财产品的认购费、申购费、赎回费</w:t>
      </w:r>
    </w:p>
    <w:p w14:paraId="3625EB8F">
      <w:pPr>
        <w:widowControl/>
        <w:spacing w:line="360" w:lineRule="auto"/>
        <w:ind w:firstLine="360" w:firstLineChars="200"/>
        <w:jc w:val="left"/>
        <w:rPr>
          <w:rFonts w:ascii="宋体" w:hAnsi="宋体"/>
          <w:sz w:val="18"/>
          <w:szCs w:val="18"/>
        </w:rPr>
      </w:pPr>
      <w:r>
        <w:rPr>
          <w:rFonts w:ascii="宋体" w:hAnsi="宋体"/>
          <w:kern w:val="0"/>
          <w:sz w:val="18"/>
          <w:szCs w:val="18"/>
        </w:rPr>
        <w:t>1）认购费：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ascii="宋体" w:hAnsi="宋体"/>
          <w:kern w:val="0"/>
          <w:sz w:val="18"/>
          <w:szCs w:val="18"/>
        </w:rPr>
        <w:t>。</w:t>
      </w:r>
    </w:p>
    <w:p w14:paraId="65311DCD">
      <w:pPr>
        <w:widowControl/>
        <w:spacing w:line="360" w:lineRule="auto"/>
        <w:ind w:firstLine="360" w:firstLineChars="200"/>
        <w:jc w:val="left"/>
        <w:rPr>
          <w:rFonts w:ascii="宋体" w:hAnsi="宋体"/>
          <w:sz w:val="18"/>
          <w:szCs w:val="18"/>
        </w:rPr>
      </w:pPr>
      <w:r>
        <w:rPr>
          <w:rFonts w:ascii="宋体" w:hAnsi="宋体"/>
          <w:kern w:val="0"/>
          <w:sz w:val="18"/>
          <w:szCs w:val="18"/>
        </w:rPr>
        <w:t>2）申购费：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14:paraId="2120A42A">
      <w:pPr>
        <w:widowControl/>
        <w:spacing w:line="360" w:lineRule="auto"/>
        <w:ind w:firstLine="360" w:firstLineChars="200"/>
        <w:jc w:val="left"/>
        <w:rPr>
          <w:rStyle w:val="30"/>
          <w:rFonts w:ascii="宋体" w:hAnsi="宋体"/>
          <w:kern w:val="0"/>
        </w:rPr>
      </w:pPr>
      <w:r>
        <w:rPr>
          <w:rFonts w:ascii="宋体" w:hAnsi="宋体"/>
          <w:kern w:val="0"/>
          <w:sz w:val="18"/>
          <w:szCs w:val="18"/>
        </w:rPr>
        <w:t>3</w:t>
      </w:r>
      <w:r>
        <w:rPr>
          <w:rFonts w:hint="eastAsia" w:ascii="宋体" w:hAnsi="宋体"/>
          <w:kern w:val="0"/>
          <w:sz w:val="18"/>
          <w:szCs w:val="18"/>
        </w:rPr>
        <w:t>）赎回费：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14:paraId="34DA4B35">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2）</w:t>
      </w:r>
      <w:r>
        <w:rPr>
          <w:rFonts w:hint="eastAsia" w:ascii="宋体" w:hAnsi="宋体"/>
          <w:kern w:val="0"/>
          <w:sz w:val="18"/>
          <w:szCs w:val="18"/>
        </w:rPr>
        <w:t>理财产品的销售服务费</w:t>
      </w:r>
    </w:p>
    <w:p w14:paraId="11FD0B0B">
      <w:pPr>
        <w:widowControl/>
        <w:spacing w:line="360" w:lineRule="auto"/>
        <w:ind w:firstLine="360" w:firstLineChars="200"/>
        <w:jc w:val="left"/>
        <w:rPr>
          <w:rFonts w:ascii="宋体" w:hAnsi="宋体"/>
          <w:sz w:val="18"/>
          <w:szCs w:val="18"/>
        </w:rPr>
      </w:pPr>
      <w:r>
        <w:rPr>
          <w:rFonts w:hint="eastAsia" w:ascii="宋体" w:hAnsi="宋体"/>
          <w:kern w:val="0"/>
          <w:sz w:val="18"/>
          <w:szCs w:val="18"/>
        </w:rPr>
        <w:t>本产品的销售服务费按前一日理财资产净值与销售服务费每日费率每日计提。销售服务费的计算方法如下：</w:t>
      </w:r>
    </w:p>
    <w:p w14:paraId="0DD6FF5A">
      <w:pPr>
        <w:widowControl/>
        <w:spacing w:line="360" w:lineRule="auto"/>
        <w:ind w:firstLine="360" w:firstLineChars="200"/>
        <w:jc w:val="left"/>
        <w:rPr>
          <w:rFonts w:ascii="宋体" w:hAnsi="宋体"/>
          <w:sz w:val="18"/>
          <w:szCs w:val="18"/>
        </w:rPr>
      </w:pPr>
      <w:r>
        <w:rPr>
          <w:rFonts w:ascii="宋体" w:hAnsi="宋体"/>
          <w:kern w:val="0"/>
          <w:sz w:val="18"/>
          <w:szCs w:val="18"/>
        </w:rPr>
        <w:t>H＝E×销售服务费年费率÷</w:t>
      </w:r>
      <w:r>
        <w:rPr>
          <w:rFonts w:hint="eastAsia" w:ascii="宋体" w:hAnsi="宋体"/>
          <w:kern w:val="0"/>
          <w:sz w:val="18"/>
          <w:szCs w:val="18"/>
        </w:rPr>
        <w:t>3</w:t>
      </w:r>
      <w:r>
        <w:rPr>
          <w:rFonts w:ascii="宋体" w:hAnsi="宋体"/>
          <w:kern w:val="0"/>
          <w:sz w:val="18"/>
          <w:szCs w:val="18"/>
        </w:rPr>
        <w:t>65</w:t>
      </w:r>
    </w:p>
    <w:p w14:paraId="09C711B8">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H为每日应计提的销售服务费</w:t>
      </w:r>
    </w:p>
    <w:p w14:paraId="1675F2A7">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14:paraId="50450A72">
      <w:pPr>
        <w:pStyle w:val="34"/>
        <w:spacing w:line="360" w:lineRule="auto"/>
        <w:ind w:firstLine="360" w:firstLineChars="200"/>
        <w:rPr>
          <w:rFonts w:asciiTheme="majorEastAsia" w:hAnsiTheme="majorEastAsia" w:eastAsiaTheme="majorEastAsia"/>
          <w:color w:val="auto"/>
          <w:kern w:val="2"/>
          <w:sz w:val="18"/>
          <w:szCs w:val="18"/>
        </w:rPr>
      </w:pPr>
      <w:r>
        <w:rPr>
          <w:rFonts w:hint="eastAsia" w:hAnsi="宋体"/>
          <w:color w:val="auto"/>
          <w:sz w:val="18"/>
          <w:szCs w:val="18"/>
        </w:rPr>
        <w:t>销售服务费依照上述约定，从理财财产中支付。</w:t>
      </w:r>
      <w:r>
        <w:rPr>
          <w:rFonts w:hint="eastAsia" w:asciiTheme="majorEastAsia" w:hAnsiTheme="majorEastAsia" w:eastAsiaTheme="majorEastAsia"/>
          <w:color w:val="auto"/>
          <w:kern w:val="2"/>
          <w:sz w:val="18"/>
          <w:szCs w:val="18"/>
        </w:rPr>
        <w:t>费率具体数值以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color w:val="auto"/>
          <w:kern w:val="2"/>
          <w:sz w:val="18"/>
          <w:szCs w:val="18"/>
        </w:rPr>
        <w:t>为准。</w:t>
      </w:r>
    </w:p>
    <w:p w14:paraId="54163E02">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3）</w:t>
      </w:r>
      <w:r>
        <w:rPr>
          <w:rFonts w:hint="eastAsia" w:ascii="宋体" w:hAnsi="宋体"/>
          <w:kern w:val="0"/>
          <w:sz w:val="18"/>
          <w:szCs w:val="18"/>
        </w:rPr>
        <w:t>理财产品</w:t>
      </w:r>
      <w:r>
        <w:rPr>
          <w:rFonts w:ascii="宋体" w:hAnsi="宋体"/>
          <w:kern w:val="0"/>
          <w:sz w:val="18"/>
          <w:szCs w:val="18"/>
        </w:rPr>
        <w:t>的投资管理费</w:t>
      </w:r>
    </w:p>
    <w:p w14:paraId="04CF7EB4">
      <w:pPr>
        <w:widowControl/>
        <w:spacing w:line="360" w:lineRule="auto"/>
        <w:ind w:firstLine="360" w:firstLineChars="200"/>
        <w:jc w:val="left"/>
        <w:rPr>
          <w:rFonts w:ascii="宋体" w:hAnsi="宋体"/>
          <w:sz w:val="18"/>
          <w:szCs w:val="18"/>
        </w:rPr>
      </w:pPr>
      <w:r>
        <w:rPr>
          <w:rFonts w:hint="eastAsia" w:ascii="宋体" w:hAnsi="宋体"/>
          <w:sz w:val="18"/>
          <w:szCs w:val="18"/>
        </w:rPr>
        <w:t>本产品的投资管理费按前一日理财资产净值与投资管理费每日费率每日计提。</w:t>
      </w:r>
      <w:r>
        <w:rPr>
          <w:rFonts w:hint="eastAsia" w:ascii="宋体" w:hAnsi="宋体"/>
          <w:kern w:val="0"/>
          <w:sz w:val="18"/>
          <w:szCs w:val="18"/>
        </w:rPr>
        <w:t>投资管理费的计算方法如下：</w:t>
      </w:r>
    </w:p>
    <w:p w14:paraId="4371DF95">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投资管理费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14:paraId="087224E0">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投资管理费</w:t>
      </w:r>
    </w:p>
    <w:p w14:paraId="6ECE5AA3">
      <w:pPr>
        <w:widowControl/>
        <w:spacing w:line="360" w:lineRule="auto"/>
        <w:ind w:firstLine="360" w:firstLineChars="200"/>
        <w:jc w:val="left"/>
        <w:rPr>
          <w:rFonts w:ascii="宋体" w:hAnsi="宋体"/>
          <w:kern w:val="0"/>
          <w:sz w:val="18"/>
          <w:szCs w:val="18"/>
        </w:rPr>
      </w:pPr>
      <w:r>
        <w:rPr>
          <w:rFonts w:ascii="宋体" w:hAnsi="宋体"/>
          <w:kern w:val="0"/>
          <w:sz w:val="18"/>
          <w:szCs w:val="18"/>
        </w:rPr>
        <w:t>E为前一日的理财资产净值</w:t>
      </w:r>
    </w:p>
    <w:p w14:paraId="513DBAF9">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投资管理费依照上述约定，从理财财产中支付。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r>
        <w:rPr>
          <w:rFonts w:hint="eastAsia" w:ascii="宋体" w:hAnsi="宋体"/>
          <w:kern w:val="0"/>
          <w:sz w:val="18"/>
          <w:szCs w:val="18"/>
        </w:rPr>
        <w:t>。</w:t>
      </w:r>
    </w:p>
    <w:p w14:paraId="7A4A7DF0">
      <w:pPr>
        <w:widowControl/>
        <w:spacing w:line="360" w:lineRule="auto"/>
        <w:ind w:firstLine="360" w:firstLineChars="200"/>
        <w:jc w:val="left"/>
        <w:rPr>
          <w:rFonts w:ascii="宋体" w:hAnsi="宋体"/>
          <w:kern w:val="0"/>
          <w:sz w:val="18"/>
          <w:szCs w:val="18"/>
        </w:rPr>
      </w:pPr>
      <w:r>
        <w:rPr>
          <w:rFonts w:ascii="宋体" w:hAnsi="宋体"/>
          <w:kern w:val="0"/>
          <w:sz w:val="18"/>
          <w:szCs w:val="18"/>
        </w:rPr>
        <w:t>（4）超额业绩报酬</w:t>
      </w:r>
    </w:p>
    <w:p w14:paraId="7672614D">
      <w:pPr>
        <w:widowControl/>
        <w:spacing w:line="360" w:lineRule="auto"/>
        <w:ind w:firstLine="360" w:firstLineChars="200"/>
        <w:jc w:val="left"/>
        <w:rPr>
          <w:rFonts w:asciiTheme="majorEastAsia" w:hAnsiTheme="majorEastAsia" w:eastAsiaTheme="majorEastAsia"/>
          <w:sz w:val="18"/>
          <w:szCs w:val="18"/>
        </w:rPr>
      </w:pPr>
      <w:r>
        <w:rPr>
          <w:rFonts w:hint="eastAsia" w:ascii="宋体" w:hAnsi="宋体"/>
          <w:kern w:val="0"/>
          <w:sz w:val="18"/>
          <w:szCs w:val="18"/>
        </w:rPr>
        <w:t>本产品</w:t>
      </w:r>
      <w:r>
        <w:rPr>
          <w:rFonts w:ascii="宋体" w:hAnsi="宋体"/>
          <w:kern w:val="0"/>
          <w:sz w:val="18"/>
          <w:szCs w:val="18"/>
        </w:rPr>
        <w:t>不收取超额业绩报酬。</w:t>
      </w:r>
    </w:p>
    <w:p w14:paraId="12E57952">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w:t>
      </w:r>
      <w:r>
        <w:rPr>
          <w:rFonts w:ascii="宋体" w:hAnsi="宋体"/>
          <w:kern w:val="0"/>
          <w:sz w:val="18"/>
          <w:szCs w:val="18"/>
        </w:rPr>
        <w:t>的</w:t>
      </w:r>
      <w:r>
        <w:rPr>
          <w:rFonts w:hint="eastAsia" w:ascii="宋体" w:hAnsi="宋体"/>
          <w:kern w:val="0"/>
          <w:sz w:val="18"/>
          <w:szCs w:val="18"/>
        </w:rPr>
        <w:t>产品</w:t>
      </w:r>
      <w:r>
        <w:rPr>
          <w:rFonts w:ascii="宋体" w:hAnsi="宋体"/>
          <w:kern w:val="0"/>
          <w:sz w:val="18"/>
          <w:szCs w:val="18"/>
        </w:rPr>
        <w:t>托管费</w:t>
      </w:r>
    </w:p>
    <w:p w14:paraId="5CE186B3">
      <w:pPr>
        <w:widowControl/>
        <w:spacing w:line="360" w:lineRule="auto"/>
        <w:ind w:firstLine="360" w:firstLineChars="200"/>
        <w:jc w:val="left"/>
        <w:rPr>
          <w:rFonts w:ascii="宋体" w:hAnsi="宋体"/>
          <w:sz w:val="18"/>
          <w:szCs w:val="18"/>
        </w:rPr>
      </w:pPr>
      <w:r>
        <w:rPr>
          <w:rFonts w:hint="eastAsia" w:ascii="宋体" w:hAnsi="宋体"/>
          <w:sz w:val="18"/>
          <w:szCs w:val="18"/>
        </w:rPr>
        <w:t>本产品的产品</w:t>
      </w:r>
      <w:r>
        <w:rPr>
          <w:rFonts w:ascii="宋体" w:hAnsi="宋体"/>
          <w:sz w:val="18"/>
          <w:szCs w:val="18"/>
        </w:rPr>
        <w:t>托管</w:t>
      </w:r>
      <w:r>
        <w:rPr>
          <w:rFonts w:hint="eastAsia" w:ascii="宋体" w:hAnsi="宋体"/>
          <w:sz w:val="18"/>
          <w:szCs w:val="18"/>
        </w:rPr>
        <w:t>费按前一日理财资产净值与产品</w:t>
      </w:r>
      <w:r>
        <w:rPr>
          <w:rFonts w:ascii="宋体" w:hAnsi="宋体"/>
          <w:sz w:val="18"/>
          <w:szCs w:val="18"/>
        </w:rPr>
        <w:t>托管</w:t>
      </w:r>
      <w:r>
        <w:rPr>
          <w:rFonts w:hint="eastAsia" w:ascii="宋体" w:hAnsi="宋体"/>
          <w:sz w:val="18"/>
          <w:szCs w:val="18"/>
        </w:rPr>
        <w:t>费每日费率每日计提。</w:t>
      </w:r>
      <w:r>
        <w:rPr>
          <w:rFonts w:hint="eastAsia" w:ascii="宋体" w:hAnsi="宋体"/>
          <w:kern w:val="0"/>
          <w:sz w:val="18"/>
          <w:szCs w:val="18"/>
        </w:rPr>
        <w:t>产品</w:t>
      </w:r>
      <w:r>
        <w:rPr>
          <w:rFonts w:ascii="宋体" w:hAnsi="宋体"/>
          <w:kern w:val="0"/>
          <w:sz w:val="18"/>
          <w:szCs w:val="18"/>
        </w:rPr>
        <w:t>托管费的计算方法如下：</w:t>
      </w:r>
    </w:p>
    <w:p w14:paraId="20B7295F">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产品托管费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14:paraId="6EBDE7F9">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托管费</w:t>
      </w:r>
    </w:p>
    <w:p w14:paraId="2E635B3B">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14:paraId="529F86D7">
      <w:pPr>
        <w:widowControl/>
        <w:spacing w:line="360" w:lineRule="auto"/>
        <w:ind w:firstLine="360" w:firstLineChars="200"/>
        <w:jc w:val="left"/>
        <w:rPr>
          <w:rFonts w:ascii="宋体" w:hAnsi="宋体"/>
          <w:sz w:val="18"/>
          <w:szCs w:val="18"/>
        </w:rPr>
      </w:pPr>
      <w:r>
        <w:rPr>
          <w:rFonts w:hint="eastAsia" w:ascii="宋体" w:hAnsi="宋体"/>
          <w:kern w:val="0"/>
          <w:sz w:val="18"/>
          <w:szCs w:val="18"/>
        </w:rPr>
        <w:t>产品托管费依照上述约定，从理财财产中支付。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p>
    <w:p w14:paraId="544200A8">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w:t>
      </w:r>
      <w:r>
        <w:rPr>
          <w:rFonts w:ascii="宋体" w:hAnsi="宋体"/>
          <w:kern w:val="0"/>
          <w:sz w:val="18"/>
          <w:szCs w:val="18"/>
        </w:rPr>
        <w:t>上述</w:t>
      </w:r>
      <w:r>
        <w:rPr>
          <w:rFonts w:hint="eastAsia" w:ascii="宋体" w:hAnsi="宋体"/>
          <w:kern w:val="0"/>
          <w:sz w:val="18"/>
          <w:szCs w:val="18"/>
        </w:rPr>
        <w:t>理财产品的证券交易费用</w:t>
      </w:r>
    </w:p>
    <w:p w14:paraId="5B02B6F2">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w:t>
      </w:r>
    </w:p>
    <w:p w14:paraId="57415A84">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7）上述</w:t>
      </w:r>
      <w:r>
        <w:rPr>
          <w:rFonts w:hint="eastAsia" w:ascii="宋体" w:hAnsi="宋体"/>
          <w:kern w:val="0"/>
          <w:sz w:val="18"/>
          <w:szCs w:val="18"/>
        </w:rPr>
        <w:t>理财产品</w:t>
      </w:r>
      <w:r>
        <w:rPr>
          <w:rFonts w:ascii="宋体" w:hAnsi="宋体"/>
          <w:kern w:val="0"/>
          <w:sz w:val="18"/>
          <w:szCs w:val="18"/>
        </w:rPr>
        <w:t>验资费、审计费、律师费、信息披露费、</w:t>
      </w:r>
      <w:r>
        <w:rPr>
          <w:rFonts w:hint="eastAsia" w:ascii="宋体" w:hAnsi="宋体"/>
          <w:kern w:val="0"/>
          <w:sz w:val="18"/>
          <w:szCs w:val="18"/>
        </w:rPr>
        <w:t>清算费、</w:t>
      </w:r>
      <w:r>
        <w:rPr>
          <w:rFonts w:ascii="宋体" w:hAnsi="宋体"/>
          <w:kern w:val="0"/>
          <w:sz w:val="18"/>
          <w:szCs w:val="18"/>
        </w:rPr>
        <w:t>执行费用等相关费用</w:t>
      </w:r>
    </w:p>
    <w:p w14:paraId="719FE2F3">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hint="eastAsia" w:ascii="宋体" w:hAnsi="宋体"/>
          <w:kern w:val="0"/>
          <w:sz w:val="18"/>
          <w:szCs w:val="18"/>
        </w:rPr>
        <w:t>的，管理人有权从理财产品资产中优先受偿。</w:t>
      </w:r>
    </w:p>
    <w:p w14:paraId="4FC7DB69">
      <w:pPr>
        <w:pStyle w:val="34"/>
        <w:spacing w:line="360" w:lineRule="auto"/>
        <w:ind w:firstLine="360" w:firstLineChars="200"/>
        <w:rPr>
          <w:rFonts w:ascii="黑体" w:hAnsi="黑体" w:eastAsia="黑体"/>
          <w:color w:val="auto"/>
          <w:sz w:val="18"/>
        </w:rPr>
      </w:pPr>
      <w:r>
        <w:rPr>
          <w:rFonts w:ascii="黑体" w:hAnsi="黑体" w:eastAsia="黑体"/>
          <w:color w:val="auto"/>
          <w:sz w:val="18"/>
        </w:rPr>
        <w:t>3.</w:t>
      </w:r>
      <w:r>
        <w:rPr>
          <w:rFonts w:hAnsi="宋体"/>
          <w:color w:val="auto"/>
          <w:sz w:val="18"/>
          <w:szCs w:val="18"/>
        </w:rPr>
        <w:t>★</w:t>
      </w:r>
      <w:r>
        <w:rPr>
          <w:rFonts w:hint="eastAsia" w:ascii="黑体" w:hAnsi="黑体" w:eastAsia="黑体"/>
          <w:color w:val="auto"/>
          <w:sz w:val="18"/>
          <w:szCs w:val="18"/>
        </w:rPr>
        <w:t>理财产品费用</w:t>
      </w:r>
      <w:r>
        <w:rPr>
          <w:rFonts w:hint="eastAsia" w:ascii="黑体" w:hAnsi="黑体" w:eastAsia="黑体"/>
          <w:color w:val="auto"/>
          <w:sz w:val="18"/>
        </w:rPr>
        <w:t>的调整</w:t>
      </w:r>
    </w:p>
    <w:p w14:paraId="30D669A9">
      <w:pPr>
        <w:pStyle w:val="34"/>
        <w:spacing w:line="360" w:lineRule="auto"/>
        <w:ind w:firstLine="360" w:firstLineChars="200"/>
        <w:rPr>
          <w:rFonts w:ascii="黑体" w:hAnsi="黑体" w:eastAsia="黑体"/>
          <w:color w:val="auto"/>
          <w:sz w:val="18"/>
        </w:rPr>
      </w:pPr>
      <w:r>
        <w:rPr>
          <w:rFonts w:hint="eastAsia" w:ascii="黑体" w:hAnsi="黑体" w:eastAsia="黑体"/>
          <w:color w:val="auto"/>
          <w:sz w:val="18"/>
        </w:rPr>
        <w:t>（1）发生巨额赎回时，为保护投资者利益，产品管理人有权对赎回日至赎回确认日之间的各项费用进行减免。</w:t>
      </w:r>
    </w:p>
    <w:p w14:paraId="5151EEE0">
      <w:pPr>
        <w:pStyle w:val="34"/>
        <w:spacing w:line="360" w:lineRule="auto"/>
        <w:ind w:firstLine="360" w:firstLineChars="200"/>
        <w:rPr>
          <w:rFonts w:ascii="黑体" w:hAnsi="黑体" w:eastAsia="黑体"/>
          <w:b/>
          <w:color w:val="auto"/>
          <w:sz w:val="18"/>
        </w:rPr>
      </w:pPr>
      <w:r>
        <w:rPr>
          <w:rFonts w:hint="eastAsia" w:ascii="黑体" w:hAnsi="黑体" w:eastAsia="黑体"/>
          <w:color w:val="auto"/>
          <w:sz w:val="18"/>
        </w:rPr>
        <w:t>（2）产品管理人有权</w:t>
      </w:r>
      <w:r>
        <w:rPr>
          <w:rFonts w:hint="eastAsia" w:ascii="黑体" w:hAnsi="黑体" w:eastAsia="黑体"/>
          <w:color w:val="auto"/>
          <w:sz w:val="18"/>
          <w:szCs w:val="18"/>
        </w:rPr>
        <w:t>根据相关法律和国家政策规定，</w:t>
      </w:r>
      <w:r>
        <w:rPr>
          <w:rFonts w:hint="eastAsia" w:ascii="黑体" w:hAnsi="黑体" w:eastAsia="黑体"/>
          <w:color w:val="auto"/>
          <w:sz w:val="18"/>
        </w:rPr>
        <w:t>对理财产品费用的收费项目、收费条件、收费标准和收费方式等进行调整。产品管理人对费用的调整</w:t>
      </w:r>
      <w:r>
        <w:rPr>
          <w:rFonts w:hint="eastAsia" w:ascii="黑体" w:hAnsi="黑体" w:eastAsia="黑体"/>
          <w:bCs/>
          <w:color w:val="auto"/>
          <w:sz w:val="18"/>
        </w:rPr>
        <w:t>将依约定进行公告。</w:t>
      </w:r>
    </w:p>
    <w:p w14:paraId="50C8C1BF">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4A9A12F2">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443D675A">
      <w:pPr>
        <w:pStyle w:val="2"/>
        <w:spacing w:line="360" w:lineRule="auto"/>
        <w:jc w:val="center"/>
      </w:pPr>
      <w:r>
        <w:br w:type="page"/>
      </w:r>
      <w:r>
        <w:rPr>
          <w:rFonts w:hint="eastAsia"/>
          <w:sz w:val="30"/>
        </w:rPr>
        <w:t>第十条</w:t>
      </w:r>
      <w:r>
        <w:rPr>
          <w:sz w:val="30"/>
        </w:rPr>
        <w:t xml:space="preserve">  </w:t>
      </w:r>
      <w:r>
        <w:rPr>
          <w:rFonts w:hint="eastAsia"/>
          <w:sz w:val="30"/>
        </w:rPr>
        <w:t>理财产品的终止与清算</w:t>
      </w:r>
    </w:p>
    <w:p w14:paraId="470D5211">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（一）理财产品的终止</w:t>
      </w:r>
    </w:p>
    <w:p w14:paraId="0761004A">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7D985055">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10152F4C">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25B56DA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2B8EAC7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7949CE5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0AC068B4">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4957986C">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因法律法规变化或国家金融政策调整、紧急措施出台影响产品继续正常运作。</w:t>
      </w:r>
    </w:p>
    <w:p w14:paraId="1CA783E8">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4DBE2F0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7C05382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法律法规规定或监管部门认定的其他情形。</w:t>
      </w:r>
    </w:p>
    <w:p w14:paraId="69ACBB09">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6B061AFF">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16E2609B">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因市场成交量不足、资产限制赎回、暂停交易、缺乏意愿交易对手等原因，导致产品项下对应的投资标的无法及时变现；</w:t>
      </w:r>
      <w:r>
        <w:rPr>
          <w:rFonts w:ascii="黑体" w:hAnsi="黑体" w:eastAsia="黑体"/>
          <w:bCs/>
          <w:sz w:val="18"/>
          <w:szCs w:val="18"/>
        </w:rPr>
        <w:t xml:space="preserve"> </w:t>
      </w:r>
    </w:p>
    <w:p w14:paraId="6A5D60F1">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07829A8C">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因不可抗力等原因，导致产品管理人接受赎回申请后无法分配；</w:t>
      </w:r>
      <w:r>
        <w:rPr>
          <w:rFonts w:ascii="黑体" w:hAnsi="黑体" w:eastAsia="黑体"/>
          <w:bCs/>
          <w:sz w:val="18"/>
          <w:szCs w:val="18"/>
        </w:rPr>
        <w:t xml:space="preserve"> </w:t>
      </w:r>
    </w:p>
    <w:p w14:paraId="732240B3">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1EB2905F">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598620FC">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5DE35694">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产品到期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r>
        <w:rPr>
          <w:rFonts w:asciiTheme="majorEastAsia" w:hAnsiTheme="majorEastAsia" w:eastAsiaTheme="majorEastAsia"/>
          <w:bCs/>
          <w:sz w:val="18"/>
          <w:szCs w:val="18"/>
        </w:rPr>
        <w:t xml:space="preserve"> </w:t>
      </w:r>
    </w:p>
    <w:p w14:paraId="66977395">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产品管理人决定部分提前终止理财产品的，按以下约定处理：</w:t>
      </w:r>
    </w:p>
    <w:p w14:paraId="027D2A48">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部分提前终止的比例：理财产品将按比例（已变现资产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部分提前终止，同时根据产品最新的理财产品份额净值和份额计算并支付投资者相应的理财利益，投资者所持有的理财份额则按比例注销。</w:t>
      </w:r>
    </w:p>
    <w:p w14:paraId="696AD0B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部分提前终止的利益分配：产品管理人将依照协议约定公布部分提前终止日并指定利益分配日（一般为部分提前终止日之后的【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31E2381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理财产品部分提前终止日（含当日）至理财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实际到账日之间，理财资金不计算</w:t>
      </w:r>
      <w:r>
        <w:rPr>
          <w:rFonts w:asciiTheme="majorEastAsia" w:hAnsiTheme="majorEastAsia" w:eastAsiaTheme="majorEastAsia"/>
          <w:bCs/>
          <w:sz w:val="18"/>
          <w:szCs w:val="18"/>
        </w:rPr>
        <w:t>收益</w:t>
      </w:r>
      <w:r>
        <w:rPr>
          <w:rFonts w:hint="eastAsia" w:asciiTheme="majorEastAsia" w:hAnsiTheme="majorEastAsia" w:eastAsiaTheme="majorEastAsia"/>
          <w:bCs/>
          <w:sz w:val="18"/>
          <w:szCs w:val="18"/>
        </w:rPr>
        <w:t>。</w:t>
      </w:r>
    </w:p>
    <w:p w14:paraId="5AAB3A90">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变现之日。待全部资产变现后，产品管理人依照清算条款分配理财利益至投资者账户。</w:t>
      </w:r>
    </w:p>
    <w:p w14:paraId="288E160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此外，在投资者与管理人另行协商一致延期终止本产品的情况下，相应延期期间理财产品的投资运作，费用等事宜由双方另行约定。</w:t>
      </w:r>
    </w:p>
    <w:p w14:paraId="0270AAF0">
      <w:pPr>
        <w:pStyle w:val="2"/>
        <w:spacing w:before="0" w:after="0" w:line="360" w:lineRule="auto"/>
        <w:jc w:val="center"/>
        <w:rPr>
          <w:rFonts w:ascii="Times New Roman"/>
          <w:sz w:val="18"/>
          <w:szCs w:val="18"/>
        </w:rPr>
      </w:pPr>
      <w:r>
        <w:rPr>
          <w:rFonts w:ascii="Times New Roman"/>
          <w:b w:val="0"/>
          <w:bCs w:val="0"/>
          <w:kern w:val="2"/>
        </w:rPr>
        <w:br w:type="page"/>
      </w:r>
      <w:r>
        <w:rPr>
          <w:rFonts w:hint="eastAsia" w:ascii="Times New Roman"/>
          <w:sz w:val="28"/>
          <w:szCs w:val="28"/>
        </w:rPr>
        <w:t>第十一条</w:t>
      </w:r>
      <w:r>
        <w:rPr>
          <w:rFonts w:ascii="Times New Roman"/>
          <w:sz w:val="28"/>
          <w:szCs w:val="28"/>
        </w:rPr>
        <w:t xml:space="preserve">  </w:t>
      </w:r>
      <w:r>
        <w:rPr>
          <w:rFonts w:hint="eastAsia" w:ascii="Times New Roman"/>
          <w:sz w:val="28"/>
          <w:szCs w:val="28"/>
        </w:rPr>
        <w:t>理财产品的信息披露</w:t>
      </w:r>
    </w:p>
    <w:p w14:paraId="6CB61283">
      <w:pPr>
        <w:spacing w:line="360" w:lineRule="auto"/>
        <w:ind w:firstLine="361" w:firstLineChars="200"/>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34D37CC9">
      <w:pPr>
        <w:spacing w:line="360" w:lineRule="auto"/>
        <w:ind w:firstLine="360" w:firstLineChars="20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7FD057A8">
      <w:pPr>
        <w:spacing w:line="360" w:lineRule="auto"/>
        <w:ind w:firstLine="361" w:firstLineChars="200"/>
        <w:rPr>
          <w:rFonts w:ascii="宋体" w:hAnsi="宋体"/>
          <w:b/>
          <w:bCs/>
          <w:sz w:val="18"/>
          <w:szCs w:val="18"/>
        </w:rPr>
      </w:pPr>
      <w:r>
        <w:rPr>
          <w:rFonts w:hint="eastAsia" w:ascii="宋体" w:hAnsi="宋体"/>
          <w:b/>
          <w:bCs/>
          <w:sz w:val="18"/>
          <w:szCs w:val="18"/>
        </w:rPr>
        <w:t>（二）信息披露的渠道</w:t>
      </w:r>
    </w:p>
    <w:p w14:paraId="6D51527D">
      <w:pPr>
        <w:spacing w:line="360" w:lineRule="auto"/>
        <w:ind w:firstLine="360" w:firstLineChars="200"/>
        <w:rPr>
          <w:rFonts w:ascii="宋体" w:hAnsi="宋体"/>
          <w:bCs/>
          <w:sz w:val="18"/>
          <w:szCs w:val="18"/>
        </w:rPr>
      </w:pPr>
      <w:r>
        <w:rPr>
          <w:rFonts w:ascii="宋体" w:hAnsi="宋体"/>
          <w:bCs/>
          <w:sz w:val="18"/>
          <w:szCs w:val="18"/>
        </w:rPr>
        <w:t>1.产品管理人将以兴业银行或销售机构的信息披露渠道（包括但不限于兴业银行或销售机构的营业网点、门户网站、电子销售渠道等）作为本理财产品的信息披露渠道。本理财产品认购期和存续期间，产品管理人将通过兴业银行或销售机构的信息披露渠道开展理财产品的信息披露工作。请投资者及时关注。</w:t>
      </w:r>
    </w:p>
    <w:p w14:paraId="7C044398">
      <w:pPr>
        <w:spacing w:line="360" w:lineRule="auto"/>
        <w:ind w:firstLine="360" w:firstLineChars="20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通过兴业银行或销售机构的信息披露渠道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0DDABB34">
      <w:pPr>
        <w:spacing w:line="360" w:lineRule="auto"/>
        <w:ind w:firstLine="360" w:firstLineChars="20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390F70BE">
      <w:pPr>
        <w:spacing w:line="360" w:lineRule="auto"/>
        <w:ind w:firstLine="360" w:firstLineChars="20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25D65360">
      <w:pPr>
        <w:spacing w:line="360" w:lineRule="auto"/>
        <w:ind w:firstLine="361" w:firstLineChars="200"/>
        <w:rPr>
          <w:rFonts w:ascii="宋体" w:hAnsi="宋体"/>
          <w:b/>
          <w:bCs/>
          <w:sz w:val="18"/>
          <w:szCs w:val="18"/>
        </w:rPr>
      </w:pPr>
      <w:r>
        <w:rPr>
          <w:rFonts w:hint="eastAsia" w:ascii="宋体" w:hAnsi="宋体"/>
          <w:b/>
          <w:bCs/>
          <w:sz w:val="18"/>
          <w:szCs w:val="18"/>
        </w:rPr>
        <w:t>（三）信息披露的内容</w:t>
      </w:r>
    </w:p>
    <w:p w14:paraId="25A43450">
      <w:pPr>
        <w:spacing w:line="360" w:lineRule="auto"/>
        <w:ind w:firstLine="360" w:firstLineChars="20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募集信息、产品份额净值、暂停申购或赎回、投资对象和比例、产品组合资产情况及其流动性风险分析、杠杆水平、利益分配、托管安排、投资账户信息、主要投资风险、估值方法变更、收费标准变更等信息。</w:t>
      </w:r>
    </w:p>
    <w:p w14:paraId="298E5C89">
      <w:pPr>
        <w:spacing w:line="360" w:lineRule="auto"/>
        <w:ind w:firstLine="361" w:firstLineChars="200"/>
        <w:rPr>
          <w:rFonts w:ascii="宋体" w:hAnsi="宋体"/>
          <w:b/>
          <w:bCs/>
          <w:sz w:val="18"/>
          <w:szCs w:val="18"/>
        </w:rPr>
      </w:pPr>
      <w:r>
        <w:rPr>
          <w:rFonts w:hint="eastAsia" w:ascii="宋体" w:hAnsi="宋体"/>
          <w:b/>
          <w:bCs/>
          <w:sz w:val="18"/>
          <w:szCs w:val="18"/>
        </w:rPr>
        <w:t>（四）信息披露的频率和时间</w:t>
      </w:r>
    </w:p>
    <w:p w14:paraId="48E75116">
      <w:pPr>
        <w:spacing w:line="360" w:lineRule="auto"/>
        <w:ind w:firstLine="360" w:firstLineChars="200"/>
        <w:rPr>
          <w:rFonts w:ascii="宋体" w:hAnsi="宋体"/>
          <w:bCs/>
          <w:sz w:val="18"/>
          <w:szCs w:val="18"/>
        </w:rPr>
      </w:pPr>
      <w:r>
        <w:rPr>
          <w:rFonts w:ascii="宋体" w:hAnsi="宋体"/>
          <w:bCs/>
          <w:sz w:val="18"/>
          <w:szCs w:val="18"/>
        </w:rPr>
        <w:t>1.产品成立公告</w:t>
      </w:r>
    </w:p>
    <w:p w14:paraId="124447D2">
      <w:pPr>
        <w:spacing w:line="360" w:lineRule="auto"/>
        <w:ind w:firstLine="360" w:firstLineChars="20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233ABF04">
      <w:pPr>
        <w:spacing w:line="360" w:lineRule="auto"/>
        <w:ind w:firstLine="360" w:firstLineChars="20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59EE8D4D">
      <w:pPr>
        <w:spacing w:line="360" w:lineRule="auto"/>
        <w:ind w:firstLine="360" w:firstLineChars="20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0070707E">
      <w:pPr>
        <w:spacing w:line="360" w:lineRule="auto"/>
        <w:ind w:firstLine="360" w:firstLineChars="200"/>
        <w:rPr>
          <w:rFonts w:ascii="宋体" w:hAnsi="宋体"/>
          <w:bCs/>
          <w:sz w:val="18"/>
          <w:szCs w:val="18"/>
        </w:rPr>
      </w:pPr>
      <w:r>
        <w:rPr>
          <w:rFonts w:ascii="宋体" w:hAnsi="宋体"/>
          <w:bCs/>
          <w:sz w:val="18"/>
          <w:szCs w:val="18"/>
        </w:rPr>
        <w:t>3.定期报告</w:t>
      </w:r>
    </w:p>
    <w:p w14:paraId="4EAE29A3">
      <w:pPr>
        <w:spacing w:line="360" w:lineRule="auto"/>
        <w:ind w:firstLine="360" w:firstLineChars="20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284FD69A">
      <w:pPr>
        <w:spacing w:line="360" w:lineRule="auto"/>
        <w:ind w:firstLine="360" w:firstLineChars="200"/>
        <w:rPr>
          <w:rFonts w:ascii="宋体" w:hAnsi="宋体"/>
          <w:bCs/>
          <w:sz w:val="18"/>
          <w:szCs w:val="18"/>
        </w:rPr>
      </w:pPr>
      <w:r>
        <w:rPr>
          <w:rFonts w:ascii="宋体" w:hAnsi="宋体"/>
          <w:bCs/>
          <w:sz w:val="18"/>
          <w:szCs w:val="18"/>
        </w:rPr>
        <w:t>4.到期公告</w:t>
      </w:r>
    </w:p>
    <w:p w14:paraId="17C84144">
      <w:pPr>
        <w:spacing w:line="360" w:lineRule="auto"/>
        <w:ind w:firstLine="360" w:firstLineChars="20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21153E97">
      <w:pPr>
        <w:spacing w:line="360" w:lineRule="auto"/>
        <w:ind w:firstLine="360" w:firstLineChars="200"/>
        <w:rPr>
          <w:rFonts w:ascii="宋体" w:hAnsi="宋体"/>
          <w:bCs/>
          <w:sz w:val="18"/>
          <w:szCs w:val="18"/>
        </w:rPr>
      </w:pPr>
      <w:r>
        <w:rPr>
          <w:rFonts w:ascii="宋体" w:hAnsi="宋体"/>
          <w:bCs/>
          <w:sz w:val="18"/>
          <w:szCs w:val="18"/>
        </w:rPr>
        <w:t>5.开放日公告</w:t>
      </w:r>
    </w:p>
    <w:p w14:paraId="5C6C4B5B">
      <w:pPr>
        <w:spacing w:line="360" w:lineRule="auto"/>
        <w:ind w:firstLine="360" w:firstLineChars="200"/>
        <w:rPr>
          <w:rFonts w:ascii="宋体" w:hAnsi="宋体"/>
          <w:bCs/>
          <w:sz w:val="18"/>
          <w:szCs w:val="18"/>
        </w:rPr>
      </w:pPr>
      <w:r>
        <w:rPr>
          <w:rFonts w:hint="eastAsia" w:ascii="宋体" w:hAnsi="宋体"/>
          <w:sz w:val="18"/>
          <w:szCs w:val="18"/>
        </w:rPr>
        <w:t>产品管理人</w:t>
      </w:r>
      <w:r>
        <w:rPr>
          <w:rFonts w:hint="eastAsia" w:ascii="宋体" w:hAnsi="宋体"/>
          <w:bCs/>
          <w:sz w:val="18"/>
          <w:szCs w:val="18"/>
        </w:rPr>
        <w:t>在申购日</w:t>
      </w:r>
      <w:r>
        <w:rPr>
          <w:rFonts w:ascii="宋体" w:hAnsi="宋体"/>
          <w:bCs/>
          <w:sz w:val="18"/>
          <w:szCs w:val="18"/>
        </w:rPr>
        <w:t>/赎回日结束后2个工作日内披露开放日公告，公告内容包括申购日/赎回日</w:t>
      </w:r>
      <w:r>
        <w:rPr>
          <w:rFonts w:hint="eastAsia" w:ascii="宋体" w:hAnsi="宋体"/>
          <w:bCs/>
          <w:sz w:val="18"/>
          <w:szCs w:val="18"/>
        </w:rPr>
        <w:t>的产品份额净值、产品份额累计净值、业绩比较基准（如有）、业绩报酬计提基准（如有）等。</w:t>
      </w:r>
    </w:p>
    <w:p w14:paraId="1CF63FE2">
      <w:pPr>
        <w:spacing w:line="360" w:lineRule="auto"/>
        <w:ind w:firstLine="360" w:firstLineChars="200"/>
        <w:rPr>
          <w:rFonts w:ascii="宋体" w:hAnsi="宋体"/>
          <w:bCs/>
          <w:sz w:val="18"/>
          <w:szCs w:val="18"/>
        </w:rPr>
      </w:pPr>
      <w:r>
        <w:rPr>
          <w:rFonts w:hint="eastAsia" w:ascii="宋体" w:hAnsi="宋体"/>
          <w:bCs/>
          <w:sz w:val="18"/>
          <w:szCs w:val="18"/>
        </w:rPr>
        <w:t>6</w:t>
      </w:r>
      <w:r>
        <w:rPr>
          <w:rFonts w:ascii="宋体" w:hAnsi="宋体"/>
          <w:bCs/>
          <w:sz w:val="18"/>
          <w:szCs w:val="18"/>
        </w:rPr>
        <w:t>.估值日公告</w:t>
      </w:r>
    </w:p>
    <w:p w14:paraId="27E7D8F6">
      <w:pPr>
        <w:spacing w:line="360" w:lineRule="auto"/>
        <w:ind w:firstLine="360" w:firstLineChars="20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期间，每周向投资者披露一次估值日公告，估值日公告披露的内容包括估值日的产品份额净值、产品份额累计净值、业绩比较基准（如有）、</w:t>
      </w:r>
      <w:r>
        <w:rPr>
          <w:rFonts w:ascii="宋体" w:hAnsi="宋体"/>
          <w:bCs/>
          <w:sz w:val="18"/>
          <w:szCs w:val="18"/>
        </w:rPr>
        <w:t>业绩报酬计提</w:t>
      </w:r>
      <w:r>
        <w:rPr>
          <w:rFonts w:hint="eastAsia" w:ascii="宋体" w:hAnsi="宋体"/>
          <w:bCs/>
          <w:sz w:val="18"/>
          <w:szCs w:val="18"/>
        </w:rPr>
        <w:t>基准</w:t>
      </w:r>
      <w:r>
        <w:rPr>
          <w:rFonts w:ascii="宋体" w:hAnsi="宋体"/>
          <w:bCs/>
          <w:sz w:val="18"/>
          <w:szCs w:val="18"/>
        </w:rPr>
        <w:t>（</w:t>
      </w:r>
      <w:r>
        <w:rPr>
          <w:rFonts w:hint="eastAsia" w:ascii="宋体" w:hAnsi="宋体"/>
          <w:bCs/>
          <w:sz w:val="18"/>
          <w:szCs w:val="18"/>
        </w:rPr>
        <w:t>如有</w:t>
      </w:r>
      <w:r>
        <w:rPr>
          <w:rFonts w:ascii="宋体" w:hAnsi="宋体"/>
          <w:bCs/>
          <w:sz w:val="18"/>
          <w:szCs w:val="18"/>
        </w:rPr>
        <w:t>）</w:t>
      </w:r>
      <w:r>
        <w:rPr>
          <w:rFonts w:hint="eastAsia" w:ascii="宋体" w:hAnsi="宋体"/>
          <w:bCs/>
          <w:sz w:val="18"/>
          <w:szCs w:val="18"/>
        </w:rPr>
        <w:t>等。如遇法定节假日顺延。此外，如遇其他特殊情况，以产品管理人信息披露为准。</w:t>
      </w:r>
      <w:r>
        <w:rPr>
          <w:rFonts w:ascii="宋体" w:hAnsi="宋体"/>
          <w:bCs/>
          <w:sz w:val="18"/>
          <w:szCs w:val="18"/>
        </w:rPr>
        <w:t xml:space="preserve"> </w:t>
      </w:r>
    </w:p>
    <w:p w14:paraId="662F56B7">
      <w:pPr>
        <w:spacing w:line="360" w:lineRule="auto"/>
        <w:ind w:firstLine="360" w:firstLineChars="200"/>
        <w:rPr>
          <w:rFonts w:ascii="宋体" w:hAnsi="宋体"/>
          <w:bCs/>
          <w:sz w:val="18"/>
          <w:szCs w:val="18"/>
        </w:rPr>
      </w:pPr>
      <w:r>
        <w:rPr>
          <w:rFonts w:ascii="宋体" w:hAnsi="宋体"/>
          <w:bCs/>
          <w:sz w:val="18"/>
          <w:szCs w:val="18"/>
        </w:rPr>
        <w:t>7.临时公告</w:t>
      </w:r>
    </w:p>
    <w:p w14:paraId="24D81A28">
      <w:pPr>
        <w:spacing w:line="360" w:lineRule="auto"/>
        <w:ind w:firstLine="361" w:firstLineChars="200"/>
        <w:rPr>
          <w:rFonts w:ascii="黑体" w:hAnsi="黑体" w:eastAsia="黑体"/>
          <w:b/>
          <w:bCs/>
          <w:sz w:val="18"/>
          <w:szCs w:val="18"/>
        </w:rPr>
      </w:pPr>
      <w:r>
        <w:rPr>
          <w:rFonts w:hint="eastAsia" w:ascii="黑体" w:hAnsi="黑体" w:eastAsia="黑体"/>
          <w:b/>
          <w:bCs/>
          <w:sz w:val="18"/>
          <w:szCs w:val="18"/>
        </w:rPr>
        <w:t>（</w:t>
      </w:r>
      <w:r>
        <w:rPr>
          <w:rFonts w:ascii="黑体" w:hAnsi="黑体" w:eastAsia="黑体"/>
          <w:b/>
          <w:bCs/>
          <w:sz w:val="18"/>
          <w:szCs w:val="18"/>
        </w:rPr>
        <w:t>1）</w:t>
      </w:r>
      <w:r>
        <w:rPr>
          <w:rFonts w:hint="eastAsia" w:ascii="黑体" w:hAnsi="黑体" w:eastAsia="黑体"/>
          <w:b/>
          <w:bCs/>
          <w:sz w:val="18"/>
          <w:szCs w:val="18"/>
        </w:rPr>
        <w:t>★产品管理人</w:t>
      </w:r>
      <w:r>
        <w:rPr>
          <w:rFonts w:ascii="黑体" w:hAnsi="黑体" w:eastAsia="黑体"/>
          <w:b/>
          <w:bCs/>
          <w:sz w:val="18"/>
          <w:szCs w:val="18"/>
        </w:rPr>
        <w:t>对</w:t>
      </w:r>
      <w:r>
        <w:rPr>
          <w:rFonts w:hint="eastAsia" w:ascii="黑体" w:hAnsi="黑体" w:eastAsia="黑体"/>
          <w:b/>
          <w:bCs/>
          <w:sz w:val="18"/>
          <w:szCs w:val="18"/>
        </w:rPr>
        <w:t>投资范围、投资资产种类、</w:t>
      </w:r>
      <w:r>
        <w:rPr>
          <w:rFonts w:ascii="黑体" w:hAnsi="黑体" w:eastAsia="黑体"/>
          <w:b/>
          <w:bCs/>
          <w:sz w:val="18"/>
          <w:szCs w:val="18"/>
        </w:rPr>
        <w:t>投资</w:t>
      </w:r>
      <w:r>
        <w:rPr>
          <w:rFonts w:hint="eastAsia" w:ascii="黑体" w:hAnsi="黑体" w:eastAsia="黑体"/>
          <w:b/>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
          <w:bCs/>
          <w:sz w:val="18"/>
          <w:szCs w:val="18"/>
        </w:rPr>
        <w:t>2个工作日发布变更公告</w:t>
      </w:r>
      <w:r>
        <w:rPr>
          <w:rFonts w:hint="eastAsia" w:ascii="黑体" w:hAnsi="黑体" w:eastAsia="黑体"/>
          <w:b/>
          <w:bCs/>
          <w:sz w:val="18"/>
          <w:szCs w:val="18"/>
        </w:rPr>
        <w:t>。</w:t>
      </w:r>
    </w:p>
    <w:p w14:paraId="7306B5D7">
      <w:pPr>
        <w:spacing w:line="360" w:lineRule="auto"/>
        <w:ind w:firstLine="361" w:firstLineChars="200"/>
        <w:rPr>
          <w:rFonts w:ascii="黑体" w:hAnsi="黑体" w:eastAsia="黑体"/>
          <w:b/>
          <w:bCs/>
          <w:sz w:val="18"/>
          <w:szCs w:val="18"/>
        </w:rPr>
      </w:pPr>
      <w:r>
        <w:rPr>
          <w:rFonts w:hint="eastAsia" w:ascii="黑体" w:hAnsi="黑体" w:eastAsia="黑体"/>
          <w:b/>
          <w:bCs/>
          <w:sz w:val="18"/>
          <w:szCs w:val="18"/>
        </w:rPr>
        <w:t>特别提示：在一个完整投资周期结束前，管理人有权通过更新产品说明书中的业绩比较基准（如有）、业绩报酬计提基准（如有），以明确列示下一个完整投资周期对应的业绩比较基准（如有）、业绩报酬计提基准（如有），若相关基准数值发生变更的，不再另行发布公告。</w:t>
      </w:r>
    </w:p>
    <w:p w14:paraId="51090F12">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w:t>
      </w:r>
      <w:r>
        <w:rPr>
          <w:rFonts w:ascii="宋体" w:hAnsi="宋体"/>
          <w:bCs/>
          <w:sz w:val="18"/>
          <w:szCs w:val="18"/>
        </w:rPr>
        <w:t>/申购</w:t>
      </w:r>
      <w:r>
        <w:rPr>
          <w:rFonts w:hint="eastAsia" w:ascii="宋体" w:hAnsi="宋体"/>
          <w:bCs/>
          <w:sz w:val="18"/>
          <w:szCs w:val="18"/>
        </w:rPr>
        <w:t>申请、暂停接受</w:t>
      </w:r>
      <w:r>
        <w:rPr>
          <w:rFonts w:ascii="宋体" w:hAnsi="宋体"/>
          <w:bCs/>
          <w:sz w:val="18"/>
          <w:szCs w:val="18"/>
        </w:rPr>
        <w:t>投资者</w:t>
      </w:r>
      <w:r>
        <w:rPr>
          <w:rFonts w:hint="eastAsia" w:ascii="宋体" w:hAnsi="宋体"/>
          <w:bCs/>
          <w:sz w:val="18"/>
          <w:szCs w:val="18"/>
        </w:rPr>
        <w:t>赎回申请、延缓支付赎回款项、</w:t>
      </w:r>
      <w:r>
        <w:rPr>
          <w:rFonts w:ascii="宋体" w:hAnsi="宋体"/>
          <w:bCs/>
          <w:sz w:val="18"/>
          <w:szCs w:val="18"/>
        </w:rPr>
        <w:t>巨额赎回</w:t>
      </w:r>
      <w:r>
        <w:rPr>
          <w:rFonts w:hint="eastAsia" w:ascii="宋体" w:hAnsi="宋体"/>
          <w:bCs/>
          <w:sz w:val="18"/>
          <w:szCs w:val="18"/>
        </w:rPr>
        <w:t>、暂停理财产品估值、采用摆动定价</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在发生涉及产品认购、申购或赎回事项调整或潜在影响投资者赎回等事项时，管理人将发布临时公告。</w:t>
      </w:r>
    </w:p>
    <w:p w14:paraId="45D1F6D3">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3C21B23C">
      <w:pPr>
        <w:spacing w:line="360" w:lineRule="auto"/>
        <w:ind w:firstLine="361" w:firstLineChars="200"/>
        <w:rPr>
          <w:rFonts w:ascii="黑体" w:hAnsi="黑体" w:eastAsia="黑体"/>
          <w:b/>
          <w:bCs/>
          <w:sz w:val="18"/>
          <w:szCs w:val="18"/>
        </w:rPr>
      </w:pPr>
      <w:r>
        <w:rPr>
          <w:rFonts w:hint="eastAsia" w:ascii="黑体" w:hAnsi="黑体" w:eastAsia="黑体"/>
          <w:b/>
          <w:bCs/>
          <w:sz w:val="18"/>
          <w:szCs w:val="18"/>
        </w:rPr>
        <w:t>（</w:t>
      </w:r>
      <w:r>
        <w:rPr>
          <w:rFonts w:ascii="黑体" w:hAnsi="黑体" w:eastAsia="黑体"/>
          <w:b/>
          <w:bCs/>
          <w:sz w:val="18"/>
          <w:szCs w:val="18"/>
        </w:rPr>
        <w:t>4）★在本产品存续期内，如因国家法律法规、监管规定发生变化，或是出于维护本产品正常运营的需要，在不损害投资者</w:t>
      </w:r>
      <w:r>
        <w:rPr>
          <w:rFonts w:hint="eastAsia" w:ascii="黑体" w:hAnsi="黑体" w:eastAsia="黑体"/>
          <w:b/>
          <w:bCs/>
          <w:sz w:val="18"/>
          <w:szCs w:val="18"/>
        </w:rPr>
        <w:t>权益</w:t>
      </w:r>
      <w:r>
        <w:rPr>
          <w:rFonts w:ascii="黑体" w:hAnsi="黑体" w:eastAsia="黑体"/>
          <w:b/>
          <w:bCs/>
          <w:sz w:val="18"/>
          <w:szCs w:val="18"/>
        </w:rPr>
        <w:t>的前提下，</w:t>
      </w:r>
      <w:r>
        <w:rPr>
          <w:rFonts w:hint="eastAsia" w:ascii="黑体" w:hAnsi="黑体" w:eastAsia="黑体"/>
          <w:b/>
          <w:bCs/>
          <w:sz w:val="18"/>
          <w:szCs w:val="18"/>
        </w:rPr>
        <w:t>产品管理人</w:t>
      </w:r>
      <w:r>
        <w:rPr>
          <w:rFonts w:ascii="黑体" w:hAnsi="黑体" w:eastAsia="黑体"/>
          <w:b/>
          <w:bCs/>
          <w:sz w:val="18"/>
          <w:szCs w:val="18"/>
        </w:rPr>
        <w:t>有权对</w:t>
      </w:r>
      <w:r>
        <w:rPr>
          <w:rFonts w:hint="eastAsia" w:ascii="黑体" w:hAnsi="黑体" w:eastAsia="黑体"/>
          <w:b/>
          <w:bCs/>
          <w:sz w:val="18"/>
          <w:szCs w:val="18"/>
        </w:rPr>
        <w:t>理财产品销售文件</w:t>
      </w:r>
      <w:r>
        <w:rPr>
          <w:rFonts w:ascii="黑体" w:hAnsi="黑体" w:eastAsia="黑体"/>
          <w:b/>
          <w:bCs/>
          <w:sz w:val="18"/>
          <w:szCs w:val="18"/>
        </w:rPr>
        <w:t>进行修订，并提前2个工作日进行</w:t>
      </w:r>
      <w:r>
        <w:rPr>
          <w:rFonts w:hint="eastAsia" w:ascii="黑体" w:hAnsi="黑体" w:eastAsia="黑体"/>
          <w:b/>
          <w:bCs/>
          <w:sz w:val="18"/>
          <w:szCs w:val="18"/>
        </w:rPr>
        <w:t>公告</w:t>
      </w:r>
      <w:r>
        <w:rPr>
          <w:rFonts w:ascii="黑体" w:hAnsi="黑体" w:eastAsia="黑体"/>
          <w:b/>
          <w:bCs/>
          <w:sz w:val="18"/>
          <w:szCs w:val="18"/>
        </w:rPr>
        <w:t>。</w:t>
      </w:r>
    </w:p>
    <w:p w14:paraId="3A06A10B">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5C41E2D2">
      <w:pPr>
        <w:spacing w:line="360" w:lineRule="auto"/>
        <w:ind w:firstLine="360" w:firstLineChars="200"/>
        <w:rPr>
          <w:rFonts w:ascii="宋体" w:hAnsi="宋体"/>
          <w:bCs/>
          <w:sz w:val="18"/>
          <w:szCs w:val="18"/>
        </w:rPr>
      </w:pPr>
      <w:r>
        <w:rPr>
          <w:rFonts w:hint="eastAsia" w:ascii="宋体" w:hAnsi="宋体"/>
          <w:bCs/>
          <w:sz w:val="18"/>
          <w:szCs w:val="18"/>
        </w:rPr>
        <w:t>除前述事项外，如出现其他突发事件，需在事件发生后及时进行披露。</w:t>
      </w:r>
    </w:p>
    <w:p w14:paraId="269C866D">
      <w:pPr>
        <w:spacing w:line="360" w:lineRule="auto"/>
        <w:ind w:firstLine="361" w:firstLineChars="200"/>
        <w:rPr>
          <w:bCs/>
          <w:sz w:val="24"/>
        </w:rPr>
      </w:pPr>
      <w:r>
        <w:rPr>
          <w:rFonts w:hint="eastAsia" w:ascii="黑体" w:hAnsi="黑体" w:eastAsia="黑体"/>
          <w:b/>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并可按照理财产品销售文件约定的方式退出（若为封闭式理财产品的，在符合法律法规及监管政策的前提下，可由管理人另行决定投资者的退出方式）。若投资者未选择退出本产品的，则视为已理解并接受管理人的相应变更。</w:t>
      </w:r>
      <w:r>
        <w:rPr>
          <w:sz w:val="24"/>
        </w:rPr>
        <w:br w:type="page"/>
      </w:r>
    </w:p>
    <w:p w14:paraId="3C28AC0D">
      <w:pPr>
        <w:pStyle w:val="2"/>
        <w:spacing w:before="0" w:after="0" w:line="360" w:lineRule="auto"/>
        <w:jc w:val="center"/>
        <w:rPr>
          <w:rFonts w:ascii="Times New Roman"/>
          <w:b w:val="0"/>
          <w:sz w:val="30"/>
        </w:rPr>
      </w:pPr>
      <w:r>
        <w:rPr>
          <w:rFonts w:hint="eastAsia" w:ascii="Times New Roman"/>
          <w:sz w:val="30"/>
        </w:rPr>
        <w:t>第十二条</w:t>
      </w:r>
      <w:r>
        <w:rPr>
          <w:rFonts w:ascii="Times New Roman"/>
          <w:sz w:val="30"/>
        </w:rPr>
        <w:t xml:space="preserve">  </w:t>
      </w:r>
      <w:r>
        <w:rPr>
          <w:rFonts w:hint="eastAsia" w:ascii="Times New Roman"/>
          <w:sz w:val="30"/>
        </w:rPr>
        <w:t>理财产品</w:t>
      </w:r>
      <w:r>
        <w:rPr>
          <w:rFonts w:ascii="Times New Roman"/>
          <w:sz w:val="30"/>
        </w:rPr>
        <w:t>的风险揭示</w:t>
      </w:r>
    </w:p>
    <w:p w14:paraId="555453DD">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12B05068">
      <w:pPr>
        <w:spacing w:line="360" w:lineRule="auto"/>
        <w:ind w:firstLine="360" w:firstLineChars="200"/>
        <w:rPr>
          <w:rFonts w:ascii="宋体" w:hAnsi="宋体"/>
          <w:sz w:val="18"/>
          <w:szCs w:val="18"/>
        </w:rPr>
      </w:pPr>
      <w:r>
        <w:rPr>
          <w:rFonts w:hint="eastAsia" w:ascii="宋体" w:hAnsi="宋体"/>
          <w:sz w:val="18"/>
          <w:szCs w:val="18"/>
        </w:rPr>
        <w:t>1.拟投资市场和资产的风险：</w:t>
      </w:r>
    </w:p>
    <w:p w14:paraId="147065CB">
      <w:pPr>
        <w:spacing w:line="360" w:lineRule="auto"/>
        <w:ind w:firstLine="360" w:firstLineChars="200"/>
        <w:rPr>
          <w:rFonts w:ascii="宋体" w:hAnsi="宋体"/>
          <w:sz w:val="18"/>
          <w:szCs w:val="18"/>
        </w:rPr>
      </w:pPr>
      <w:r>
        <w:rPr>
          <w:rFonts w:hint="eastAsia" w:ascii="宋体" w:hAnsi="宋体"/>
          <w:sz w:val="18"/>
          <w:szCs w:val="18"/>
        </w:rPr>
        <w:t>（1）投资债权类资产的风险</w:t>
      </w:r>
    </w:p>
    <w:p w14:paraId="5FDF22CF">
      <w:pPr>
        <w:spacing w:line="360" w:lineRule="auto"/>
        <w:ind w:firstLine="360" w:firstLineChars="200"/>
        <w:rPr>
          <w:rFonts w:ascii="宋体" w:hAnsi="宋体"/>
          <w:sz w:val="18"/>
          <w:szCs w:val="18"/>
        </w:rPr>
      </w:pPr>
      <w:r>
        <w:rPr>
          <w:rFonts w:hint="eastAsia" w:ascii="宋体" w:hAnsi="宋体"/>
          <w:sz w:val="18"/>
          <w:szCs w:val="18"/>
        </w:rPr>
        <w:t>1）投资标准化债权类资产的风险</w:t>
      </w:r>
    </w:p>
    <w:p w14:paraId="1667FB81">
      <w:pPr>
        <w:spacing w:line="360" w:lineRule="auto"/>
        <w:ind w:firstLine="360" w:firstLineChars="20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3A85CAF4">
      <w:pPr>
        <w:spacing w:line="360" w:lineRule="auto"/>
        <w:ind w:firstLine="361" w:firstLineChars="200"/>
        <w:rPr>
          <w:rFonts w:ascii="宋体" w:hAnsi="宋体"/>
          <w:b/>
          <w:bCs/>
          <w:sz w:val="18"/>
          <w:szCs w:val="18"/>
        </w:rPr>
      </w:pPr>
      <w:r>
        <w:rPr>
          <w:rFonts w:hint="eastAsia" w:ascii="宋体" w:hAnsi="宋体"/>
          <w:b/>
          <w:bCs/>
          <w:sz w:val="18"/>
          <w:szCs w:val="18"/>
        </w:rPr>
        <w:t>★注：以上特定风险仅为列举性质，未能详尽列明投资本产品可能面临的全部风险和可能导致投资者投资本金及收益损失的所有因素。</w:t>
      </w:r>
    </w:p>
    <w:p w14:paraId="181CE88A">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4A1CC4E4">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704E9CFB">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383C8B2B">
      <w:pPr>
        <w:spacing w:line="360" w:lineRule="auto"/>
        <w:ind w:firstLine="360" w:firstLineChars="200"/>
        <w:rPr>
          <w:rFonts w:ascii="宋体" w:hAnsi="宋体"/>
          <w:sz w:val="18"/>
          <w:szCs w:val="18"/>
        </w:rPr>
      </w:pPr>
      <w:r>
        <w:rPr>
          <w:rFonts w:ascii="宋体" w:hAnsi="宋体"/>
          <w:sz w:val="18"/>
          <w:szCs w:val="18"/>
        </w:rPr>
        <w:t>3</w:t>
      </w:r>
      <w:r>
        <w:rPr>
          <w:rFonts w:hint="eastAsia" w:ascii="宋体" w:hAnsi="宋体"/>
          <w:sz w:val="18"/>
          <w:szCs w:val="18"/>
        </w:rPr>
        <w:t>.市场</w:t>
      </w:r>
      <w:r>
        <w:rPr>
          <w:rFonts w:ascii="宋体" w:hAnsi="宋体"/>
          <w:sz w:val="18"/>
          <w:szCs w:val="18"/>
        </w:rPr>
        <w:t>风险：</w:t>
      </w: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17867040">
      <w:pPr>
        <w:spacing w:line="360" w:lineRule="auto"/>
        <w:ind w:firstLine="361" w:firstLineChars="200"/>
        <w:rPr>
          <w:rFonts w:ascii="宋体" w:hAnsi="宋体"/>
          <w:b/>
          <w:bCs/>
          <w:sz w:val="18"/>
          <w:szCs w:val="18"/>
        </w:rPr>
      </w:pPr>
      <w:r>
        <w:rPr>
          <w:rFonts w:hint="eastAsia" w:ascii="宋体" w:hAnsi="宋体"/>
          <w:b/>
          <w:bCs/>
          <w:sz w:val="18"/>
          <w:szCs w:val="18"/>
        </w:rPr>
        <w:t>4.流动性风险：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3837FDDE">
      <w:pPr>
        <w:spacing w:line="360" w:lineRule="auto"/>
        <w:ind w:firstLine="360" w:firstLineChars="200"/>
        <w:rPr>
          <w:rFonts w:ascii="宋体" w:hAnsi="宋体"/>
          <w:sz w:val="18"/>
          <w:szCs w:val="18"/>
        </w:rPr>
      </w:pPr>
      <w:r>
        <w:rPr>
          <w:rFonts w:ascii="宋体" w:hAnsi="宋体"/>
          <w:sz w:val="18"/>
          <w:szCs w:val="18"/>
        </w:rPr>
        <w:t>5</w:t>
      </w:r>
      <w:r>
        <w:rPr>
          <w:rFonts w:hint="eastAsia" w:ascii="宋体" w:hAnsi="宋体"/>
          <w:sz w:val="18"/>
          <w:szCs w:val="18"/>
        </w:rPr>
        <w:t>.</w:t>
      </w:r>
      <w:r>
        <w:rPr>
          <w:rFonts w:ascii="宋体" w:hAnsi="宋体"/>
          <w:sz w:val="18"/>
          <w:szCs w:val="18"/>
        </w:rPr>
        <w:t>法律与政策风险：</w:t>
      </w: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510055B3">
      <w:pPr>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w:t>
      </w:r>
      <w:r>
        <w:rPr>
          <w:rFonts w:ascii="宋体" w:hAnsi="宋体"/>
          <w:sz w:val="18"/>
          <w:szCs w:val="18"/>
        </w:rPr>
        <w:t>延期</w:t>
      </w:r>
      <w:r>
        <w:rPr>
          <w:rFonts w:hint="eastAsia" w:ascii="宋体" w:hAnsi="宋体"/>
          <w:sz w:val="18"/>
          <w:szCs w:val="18"/>
        </w:rPr>
        <w:t>分配</w:t>
      </w:r>
      <w:r>
        <w:rPr>
          <w:rFonts w:ascii="宋体" w:hAnsi="宋体"/>
          <w:sz w:val="18"/>
          <w:szCs w:val="18"/>
        </w:rPr>
        <w:t>风险：</w:t>
      </w: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23864262">
      <w:pPr>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w:t>
      </w:r>
      <w:r>
        <w:rPr>
          <w:rFonts w:ascii="宋体" w:hAnsi="宋体"/>
          <w:sz w:val="18"/>
          <w:szCs w:val="18"/>
        </w:rPr>
        <w:t>早偿风险：</w:t>
      </w:r>
      <w:r>
        <w:rPr>
          <w:rFonts w:hint="eastAsia" w:ascii="宋体" w:hAnsi="宋体"/>
          <w:sz w:val="18"/>
          <w:szCs w:val="18"/>
        </w:rPr>
        <w:t>如遇国家金融政策重大调整影响产品正常运作时、本产品的投资资产等不能成立或者提前终止、或者司法机关要求、或发生其他产品管理人认为需要提前终止本产品等情况，产品管理人有权部分或全部提前终止本产品，投资者将面临再投资机会风险。</w:t>
      </w:r>
    </w:p>
    <w:p w14:paraId="355C9B24">
      <w:pPr>
        <w:spacing w:line="360" w:lineRule="auto"/>
        <w:ind w:firstLine="360" w:firstLineChars="200"/>
        <w:rPr>
          <w:rFonts w:ascii="黑体" w:hAnsi="黑体" w:eastAsia="黑体"/>
          <w:sz w:val="18"/>
          <w:szCs w:val="18"/>
        </w:rPr>
      </w:pPr>
      <w:r>
        <w:rPr>
          <w:rFonts w:ascii="黑体" w:hAnsi="黑体" w:eastAsia="黑体"/>
          <w:sz w:val="18"/>
          <w:szCs w:val="18"/>
        </w:rPr>
        <w:t>8. ★信息传递风险：</w:t>
      </w:r>
      <w:r>
        <w:rPr>
          <w:rFonts w:hint="eastAsia" w:ascii="黑体" w:hAnsi="黑体" w:eastAsia="黑体"/>
          <w:sz w:val="18"/>
          <w:szCs w:val="18"/>
        </w:rPr>
        <w:t>投资者需要通过约定的信息披露渠道了解产品相关信息公告。具体公告方式以理财产品合同所载明的公告方式为准。投资者应根据本产品说明书所载明的公告方式及时查询本理财产品的相关信息。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39682024">
      <w:pPr>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w:t>
      </w:r>
      <w:r>
        <w:rPr>
          <w:rFonts w:ascii="宋体" w:hAnsi="宋体"/>
          <w:sz w:val="18"/>
          <w:szCs w:val="18"/>
        </w:rPr>
        <w:t>不可抗力及意外事件风险：</w:t>
      </w:r>
      <w:r>
        <w:rPr>
          <w:rFonts w:hint="eastAsia" w:ascii="宋体" w:hAnsi="宋体"/>
          <w:sz w:val="18"/>
          <w:szCs w:val="18"/>
        </w:rPr>
        <w:t>因战争、自然灾害、重大政治事件等不可抗力以及其他不可预见的意外事件可能致使理财产品面临损失的风险。</w:t>
      </w:r>
    </w:p>
    <w:p w14:paraId="6E573D53">
      <w:pPr>
        <w:spacing w:line="360" w:lineRule="auto"/>
        <w:ind w:firstLine="360" w:firstLineChars="200"/>
        <w:rPr>
          <w:rFonts w:ascii="宋体" w:hAnsi="宋体"/>
          <w:bCs/>
          <w:sz w:val="18"/>
          <w:szCs w:val="18"/>
        </w:rPr>
      </w:pPr>
      <w:r>
        <w:rPr>
          <w:rFonts w:ascii="宋体" w:hAnsi="宋体"/>
          <w:sz w:val="18"/>
          <w:szCs w:val="18"/>
        </w:rPr>
        <w:t>10</w:t>
      </w:r>
      <w:r>
        <w:rPr>
          <w:rFonts w:hint="eastAsia" w:ascii="宋体" w:hAnsi="宋体"/>
          <w:sz w:val="18"/>
          <w:szCs w:val="18"/>
        </w:rPr>
        <w:t>.</w:t>
      </w:r>
      <w:r>
        <w:rPr>
          <w:rFonts w:ascii="宋体" w:hAnsi="宋体"/>
          <w:sz w:val="18"/>
          <w:szCs w:val="18"/>
        </w:rPr>
        <w:t>管理人风险：</w:t>
      </w:r>
      <w:r>
        <w:rPr>
          <w:rFonts w:hint="eastAsia" w:ascii="宋体" w:hAnsi="宋体"/>
          <w:sz w:val="18"/>
          <w:szCs w:val="18"/>
        </w:rPr>
        <w:t>理财产品管理人或理财投资资产相关服务机构受经验、技能等因素的限制，或者上述主体处理事务不当等，可能导致投资者遭受损失。</w:t>
      </w:r>
      <w:r>
        <w:rPr>
          <w:rFonts w:ascii="宋体" w:hAnsi="宋体"/>
          <w:bCs/>
          <w:sz w:val="18"/>
          <w:szCs w:val="18"/>
        </w:rPr>
        <w:t xml:space="preserve"> </w:t>
      </w:r>
    </w:p>
    <w:p w14:paraId="3E347A3F">
      <w:pPr>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.理财产品不成立风险：如自本产品开始募集至认购期结束认购总金额未达到产品最小成立规模（如有约定），或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6C0B2C7F">
      <w:pPr>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w:t>
      </w:r>
      <w:r>
        <w:rPr>
          <w:rFonts w:ascii="宋体" w:hAnsi="宋体"/>
          <w:sz w:val="18"/>
          <w:szCs w:val="18"/>
        </w:rPr>
        <w:t>操作风险：</w:t>
      </w: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4961211B">
      <w:pPr>
        <w:spacing w:line="360" w:lineRule="auto"/>
        <w:ind w:firstLine="360" w:firstLineChars="200"/>
        <w:rPr>
          <w:rFonts w:ascii="宋体" w:hAnsi="宋体"/>
          <w:sz w:val="18"/>
          <w:szCs w:val="18"/>
        </w:rPr>
      </w:pPr>
      <w:r>
        <w:rPr>
          <w:rFonts w:ascii="宋体" w:hAnsi="宋体"/>
          <w:sz w:val="18"/>
          <w:szCs w:val="18"/>
        </w:rPr>
        <w:t>13.估值</w:t>
      </w:r>
      <w:r>
        <w:rPr>
          <w:rFonts w:hint="eastAsia" w:ascii="宋体" w:hAnsi="宋体"/>
          <w:sz w:val="18"/>
          <w:szCs w:val="18"/>
        </w:rPr>
        <w:t>波动</w:t>
      </w:r>
      <w:r>
        <w:rPr>
          <w:rFonts w:ascii="宋体" w:hAnsi="宋体"/>
          <w:sz w:val="18"/>
          <w:szCs w:val="18"/>
        </w:rPr>
        <w:t>风险：</w:t>
      </w: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01A394ED">
      <w:pPr>
        <w:spacing w:line="360" w:lineRule="auto"/>
        <w:ind w:firstLine="360" w:firstLineChars="200"/>
        <w:rPr>
          <w:rFonts w:ascii="宋体" w:hAnsi="宋体"/>
          <w:sz w:val="18"/>
          <w:szCs w:val="18"/>
        </w:rPr>
      </w:pPr>
      <w:r>
        <w:rPr>
          <w:rFonts w:ascii="宋体" w:hAnsi="宋体"/>
          <w:sz w:val="18"/>
          <w:szCs w:val="18"/>
        </w:rPr>
        <w:t>14</w:t>
      </w:r>
      <w:r>
        <w:rPr>
          <w:rFonts w:hint="eastAsia" w:ascii="宋体" w:hAnsi="宋体"/>
          <w:sz w:val="18"/>
          <w:szCs w:val="18"/>
        </w:rPr>
        <w:t>.</w:t>
      </w:r>
      <w:r>
        <w:rPr>
          <w:rFonts w:ascii="宋体" w:hAnsi="宋体"/>
          <w:sz w:val="18"/>
          <w:szCs w:val="18"/>
        </w:rPr>
        <w:t>估值差错风险：</w:t>
      </w: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5FF5F51F">
      <w:pPr>
        <w:spacing w:line="360" w:lineRule="auto"/>
        <w:ind w:firstLine="360" w:firstLineChars="200"/>
        <w:rPr>
          <w:rFonts w:ascii="宋体" w:hAnsi="宋体"/>
          <w:sz w:val="18"/>
          <w:szCs w:val="18"/>
        </w:rPr>
      </w:pPr>
      <w:r>
        <w:rPr>
          <w:rFonts w:ascii="宋体" w:hAnsi="宋体"/>
          <w:sz w:val="18"/>
          <w:szCs w:val="18"/>
        </w:rPr>
        <w:t>15</w:t>
      </w:r>
      <w:r>
        <w:rPr>
          <w:rFonts w:hint="eastAsia" w:ascii="宋体" w:hAnsi="宋体"/>
          <w:sz w:val="18"/>
          <w:szCs w:val="18"/>
        </w:rPr>
        <w:t>.★</w:t>
      </w:r>
      <w:r>
        <w:rPr>
          <w:rFonts w:hint="eastAsia" w:ascii="黑体" w:hAnsi="黑体" w:eastAsia="黑体"/>
          <w:sz w:val="18"/>
          <w:szCs w:val="18"/>
        </w:rPr>
        <w:t>代销风险：本理财产品若通过非产品管理人自有渠道进行销售的属于代理销售，认购</w:t>
      </w:r>
      <w:r>
        <w:rPr>
          <w:rFonts w:ascii="黑体" w:hAnsi="黑体" w:eastAsia="黑体"/>
          <w:sz w:val="18"/>
          <w:szCs w:val="18"/>
        </w:rPr>
        <w:t>/</w:t>
      </w:r>
      <w:r>
        <w:rPr>
          <w:rFonts w:hint="eastAsia" w:ascii="黑体" w:hAnsi="黑体" w:eastAsia="黑体"/>
          <w:sz w:val="18"/>
          <w:szCs w:val="18"/>
        </w:rPr>
        <w:t>申购时投资者购买理财产品的资金由代理销售机构从投资者清算账户扣收并划付管理人，赎回理财产品份额时相应款项由管理人按约定划付至代理销售机构，并由代理销售机构向投资者支付投资者应得理财利益。不同代理销售机构的销售渠道，其</w:t>
      </w:r>
      <w:r>
        <w:rPr>
          <w:rFonts w:ascii="黑体" w:hAnsi="黑体" w:eastAsia="黑体"/>
          <w:sz w:val="18"/>
          <w:szCs w:val="18"/>
        </w:rPr>
        <w:t>申购/赎回确认时效可能存在差异。如因投资者清算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w:t>
      </w:r>
      <w:r>
        <w:rPr>
          <w:rFonts w:hint="eastAsia" w:ascii="黑体" w:hAnsi="黑体" w:eastAsia="黑体"/>
          <w:sz w:val="18"/>
          <w:szCs w:val="18"/>
        </w:rPr>
        <w:t>不免除因代理销售机构过错依法应由代理销售机构承担的责任。</w:t>
      </w:r>
    </w:p>
    <w:p w14:paraId="4F36C4A2">
      <w:pPr>
        <w:spacing w:line="360" w:lineRule="auto"/>
        <w:ind w:firstLine="360" w:firstLineChars="200"/>
        <w:rPr>
          <w:rFonts w:ascii="黑体" w:hAnsi="黑体" w:eastAsia="黑体"/>
          <w:sz w:val="18"/>
          <w:szCs w:val="18"/>
        </w:rPr>
      </w:pPr>
      <w:r>
        <w:rPr>
          <w:rFonts w:ascii="黑体" w:hAnsi="黑体" w:eastAsia="黑体"/>
          <w:sz w:val="18"/>
          <w:szCs w:val="18"/>
        </w:rPr>
        <w:t>16.</w:t>
      </w:r>
      <w:r>
        <w:rPr>
          <w:rFonts w:hint="eastAsia" w:ascii="黑体" w:hAnsi="黑体" w:eastAsia="黑体"/>
          <w:sz w:val="18"/>
          <w:szCs w:val="18"/>
        </w:rPr>
        <w:t>★不同理财产品份额类别存在差异的风险：理财产品管理人可根据投资者购买理财产品的金额、销售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2AB00309">
      <w:pPr>
        <w:spacing w:line="360" w:lineRule="auto"/>
        <w:ind w:firstLine="360" w:firstLineChars="200"/>
        <w:rPr>
          <w:rFonts w:ascii="宋体" w:hAnsi="宋体"/>
          <w:sz w:val="18"/>
          <w:szCs w:val="18"/>
        </w:rPr>
      </w:pPr>
      <w:r>
        <w:rPr>
          <w:rFonts w:ascii="宋体" w:hAnsi="宋体"/>
          <w:sz w:val="18"/>
          <w:szCs w:val="18"/>
        </w:rPr>
        <w:t>17.</w:t>
      </w:r>
      <w:r>
        <w:rPr>
          <w:rFonts w:hint="eastAsia" w:ascii="黑体" w:hAnsi="黑体" w:eastAsia="黑体"/>
          <w:sz w:val="18"/>
          <w:szCs w:val="18"/>
        </w:rPr>
        <w:t xml:space="preserve"> 关联交易风险</w:t>
      </w: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hint="eastAsia" w:ascii="宋体" w:hAnsi="宋体"/>
          <w:sz w:val="18"/>
          <w:szCs w:val="18"/>
        </w:rPr>
        <w:t>仍可能产生</w:t>
      </w:r>
      <w:r>
        <w:rPr>
          <w:rFonts w:ascii="宋体" w:hAnsi="宋体"/>
          <w:sz w:val="18"/>
          <w:szCs w:val="18"/>
        </w:rPr>
        <w:t>不利影响和投资</w:t>
      </w:r>
      <w:r>
        <w:rPr>
          <w:rFonts w:hint="eastAsia" w:ascii="宋体" w:hAnsi="宋体"/>
          <w:sz w:val="18"/>
          <w:szCs w:val="18"/>
        </w:rPr>
        <w:t>风险，进而可能影响投资者的利益。</w:t>
      </w:r>
    </w:p>
    <w:p w14:paraId="27AA60B4">
      <w:pPr>
        <w:spacing w:line="360" w:lineRule="auto"/>
        <w:ind w:firstLine="361" w:firstLineChars="200"/>
        <w:rPr>
          <w:rFonts w:ascii="黑体" w:hAnsi="黑体" w:eastAsia="黑体"/>
          <w:b/>
          <w:sz w:val="18"/>
          <w:szCs w:val="18"/>
        </w:rPr>
      </w:pPr>
      <w:r>
        <w:rPr>
          <w:rFonts w:hint="eastAsia" w:ascii="黑体" w:hAnsi="黑体" w:eastAsia="黑体"/>
          <w:b/>
          <w:sz w:val="18"/>
          <w:szCs w:val="18"/>
        </w:rPr>
        <w:t>（</w:t>
      </w:r>
      <w:r>
        <w:rPr>
          <w:rFonts w:ascii="黑体" w:hAnsi="黑体" w:eastAsia="黑体"/>
          <w:b/>
          <w:sz w:val="18"/>
          <w:szCs w:val="18"/>
        </w:rPr>
        <w:t>三</w:t>
      </w:r>
      <w:r>
        <w:rPr>
          <w:rFonts w:hint="eastAsia" w:ascii="黑体" w:hAnsi="黑体" w:eastAsia="黑体"/>
          <w:b/>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b/>
          <w:sz w:val="18"/>
          <w:szCs w:val="18"/>
        </w:rPr>
        <w:t>，甚至投资者的投资本金将遭受损失，在最不利的极端情况下，投资者可能损失全部本金。</w:t>
      </w:r>
    </w:p>
    <w:p w14:paraId="18A51B1A">
      <w:pPr>
        <w:spacing w:line="360" w:lineRule="auto"/>
        <w:ind w:firstLine="360" w:firstLineChars="200"/>
        <w:rPr>
          <w:rFonts w:ascii="宋体" w:hAnsi="宋体"/>
          <w:sz w:val="18"/>
          <w:szCs w:val="18"/>
        </w:rPr>
      </w:pPr>
    </w:p>
    <w:p w14:paraId="7802FFF8">
      <w:pPr>
        <w:pStyle w:val="34"/>
        <w:spacing w:line="360" w:lineRule="auto"/>
        <w:rPr>
          <w:rFonts w:hAnsi="宋体"/>
          <w:sz w:val="18"/>
          <w:szCs w:val="18"/>
        </w:rPr>
      </w:pPr>
    </w:p>
    <w:sectPr>
      <w:footerReference r:id="rId7" w:type="default"/>
      <w:type w:val="continuous"/>
      <w:pgSz w:w="11906" w:h="16838"/>
      <w:pgMar w:top="1276" w:right="1800" w:bottom="1418" w:left="1800" w:header="567" w:footer="85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D2363">
    <w:pPr>
      <w:pStyle w:val="8"/>
      <w:jc w:val="both"/>
      <w:rPr>
        <w:rFonts w:ascii="黑体" w:hAnsi="黑体" w:eastAsia="黑体"/>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DAA6C">
    <w:pPr>
      <w:pStyle w:val="8"/>
      <w:jc w:val="both"/>
      <w:rPr>
        <w:rFonts w:ascii="黑体" w:hAnsi="黑体" w:eastAsia="黑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62F83">
    <w:pPr>
      <w:pStyle w:val="8"/>
      <w:jc w:val="both"/>
      <w:rPr>
        <w:rFonts w:ascii="黑体" w:hAnsi="黑体" w:eastAsia="黑体"/>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715647"/>
    </w:sdtPr>
    <w:sdtContent>
      <w:p w14:paraId="328AB026">
        <w:pPr>
          <w:pStyle w:val="14"/>
          <w:jc w:val="center"/>
        </w:pPr>
        <w:r>
          <w:fldChar w:fldCharType="begin"/>
        </w:r>
        <w:r>
          <w:instrText xml:space="preserve"> PAGE   \* MERGEFORMAT </w:instrText>
        </w:r>
        <w:r>
          <w:fldChar w:fldCharType="separate"/>
        </w:r>
        <w:r>
          <w:rPr>
            <w:lang w:val="zh-CN"/>
          </w:rPr>
          <w:t>1</w:t>
        </w:r>
        <w:r>
          <w:fldChar w:fldCharType="end"/>
        </w:r>
      </w:p>
    </w:sdtContent>
  </w:sdt>
  <w:p w14:paraId="30C1985C">
    <w:pPr>
      <w:pStyle w:val="8"/>
      <w:jc w:val="both"/>
      <w:rPr>
        <w:rFonts w:ascii="黑体" w:hAnsi="黑体" w:eastAsia="黑体"/>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97D4E">
    <w:pPr>
      <w:pStyle w:val="15"/>
      <w:pBdr>
        <w:bottom w:val="thickThinLargeGap" w:color="auto" w:sz="24" w:space="0"/>
      </w:pBdr>
      <w:tabs>
        <w:tab w:val="right" w:pos="8280"/>
      </w:tabs>
      <w:wordWrap w:val="0"/>
      <w:adjustRightInd w:val="0"/>
      <w:jc w:val="right"/>
      <w:rPr>
        <w:b/>
      </w:rPr>
    </w:pPr>
    <w:r>
      <w:rPr>
        <w:rFonts w:hint="eastAsia"/>
      </w:rPr>
      <w:t xml:space="preserve"> </w:t>
    </w:r>
    <w:r>
      <w:rPr>
        <w:rFonts w:hint="eastAsia"/>
        <w:b/>
      </w:rPr>
      <w:t>产品说明书</w:t>
    </w:r>
  </w:p>
  <w:p w14:paraId="77FBEE67">
    <w:pPr>
      <w:pStyle w:val="15"/>
      <w:pBdr>
        <w:bottom w:val="thickThinLargeGap" w:color="auto" w:sz="24" w:space="0"/>
      </w:pBdr>
      <w:tabs>
        <w:tab w:val="right" w:pos="8280"/>
      </w:tabs>
      <w:adjustRightInd w:val="0"/>
      <w:jc w:val="right"/>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bullet"/>
      <w:pStyle w:val="72"/>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mIwNTljODZlNmMxN2IxODkyNGQ0MzYwYjkyOGU4YWIifQ=="/>
  </w:docVars>
  <w:rsids>
    <w:rsidRoot w:val="00172A27"/>
    <w:rsid w:val="0000208C"/>
    <w:rsid w:val="00002480"/>
    <w:rsid w:val="00007765"/>
    <w:rsid w:val="0001202B"/>
    <w:rsid w:val="000124BB"/>
    <w:rsid w:val="00014A51"/>
    <w:rsid w:val="000160F8"/>
    <w:rsid w:val="00020E26"/>
    <w:rsid w:val="00022093"/>
    <w:rsid w:val="000240C1"/>
    <w:rsid w:val="0002421F"/>
    <w:rsid w:val="00024B59"/>
    <w:rsid w:val="00024D52"/>
    <w:rsid w:val="000257FD"/>
    <w:rsid w:val="00026801"/>
    <w:rsid w:val="0002771C"/>
    <w:rsid w:val="00027CAD"/>
    <w:rsid w:val="000307FF"/>
    <w:rsid w:val="00030826"/>
    <w:rsid w:val="000308D2"/>
    <w:rsid w:val="000310FD"/>
    <w:rsid w:val="00033D3E"/>
    <w:rsid w:val="000360AD"/>
    <w:rsid w:val="00036724"/>
    <w:rsid w:val="0004119D"/>
    <w:rsid w:val="0004124F"/>
    <w:rsid w:val="00042C76"/>
    <w:rsid w:val="00042CE7"/>
    <w:rsid w:val="000438E6"/>
    <w:rsid w:val="00044823"/>
    <w:rsid w:val="00045941"/>
    <w:rsid w:val="00050766"/>
    <w:rsid w:val="0005088E"/>
    <w:rsid w:val="00051DE2"/>
    <w:rsid w:val="00055773"/>
    <w:rsid w:val="000565A5"/>
    <w:rsid w:val="0005743B"/>
    <w:rsid w:val="00057BC6"/>
    <w:rsid w:val="0006031B"/>
    <w:rsid w:val="00061C70"/>
    <w:rsid w:val="00062695"/>
    <w:rsid w:val="000629DD"/>
    <w:rsid w:val="00063B03"/>
    <w:rsid w:val="000705EE"/>
    <w:rsid w:val="00073A90"/>
    <w:rsid w:val="000747D8"/>
    <w:rsid w:val="0007672E"/>
    <w:rsid w:val="0007760F"/>
    <w:rsid w:val="000776F7"/>
    <w:rsid w:val="00077A54"/>
    <w:rsid w:val="00077C13"/>
    <w:rsid w:val="00080277"/>
    <w:rsid w:val="0008037A"/>
    <w:rsid w:val="00080815"/>
    <w:rsid w:val="00081DC7"/>
    <w:rsid w:val="000826C9"/>
    <w:rsid w:val="00082E45"/>
    <w:rsid w:val="00085DD5"/>
    <w:rsid w:val="0009086F"/>
    <w:rsid w:val="00091121"/>
    <w:rsid w:val="00092A5F"/>
    <w:rsid w:val="00094CA6"/>
    <w:rsid w:val="00094DDA"/>
    <w:rsid w:val="00095235"/>
    <w:rsid w:val="00097047"/>
    <w:rsid w:val="000A0882"/>
    <w:rsid w:val="000A0CC9"/>
    <w:rsid w:val="000A0DC8"/>
    <w:rsid w:val="000A1E0C"/>
    <w:rsid w:val="000A3063"/>
    <w:rsid w:val="000A35E5"/>
    <w:rsid w:val="000A45C6"/>
    <w:rsid w:val="000A57AC"/>
    <w:rsid w:val="000A5A4A"/>
    <w:rsid w:val="000A5AAB"/>
    <w:rsid w:val="000B00D8"/>
    <w:rsid w:val="000B378B"/>
    <w:rsid w:val="000B6819"/>
    <w:rsid w:val="000B7F67"/>
    <w:rsid w:val="000C31AC"/>
    <w:rsid w:val="000C3B81"/>
    <w:rsid w:val="000C69CB"/>
    <w:rsid w:val="000C6BF4"/>
    <w:rsid w:val="000C7C96"/>
    <w:rsid w:val="000D0C3A"/>
    <w:rsid w:val="000D10B1"/>
    <w:rsid w:val="000D1473"/>
    <w:rsid w:val="000D19CF"/>
    <w:rsid w:val="000D2623"/>
    <w:rsid w:val="000D3E2A"/>
    <w:rsid w:val="000D4DAE"/>
    <w:rsid w:val="000D548F"/>
    <w:rsid w:val="000D591B"/>
    <w:rsid w:val="000E008C"/>
    <w:rsid w:val="000E10C7"/>
    <w:rsid w:val="000E181B"/>
    <w:rsid w:val="000E18C8"/>
    <w:rsid w:val="000E2054"/>
    <w:rsid w:val="000E5A74"/>
    <w:rsid w:val="000E7029"/>
    <w:rsid w:val="000E798C"/>
    <w:rsid w:val="000E7BB9"/>
    <w:rsid w:val="000F09FA"/>
    <w:rsid w:val="000F4322"/>
    <w:rsid w:val="000F556F"/>
    <w:rsid w:val="000F7FB5"/>
    <w:rsid w:val="00100295"/>
    <w:rsid w:val="00100789"/>
    <w:rsid w:val="00100D6E"/>
    <w:rsid w:val="00103221"/>
    <w:rsid w:val="001048D9"/>
    <w:rsid w:val="00104FAF"/>
    <w:rsid w:val="0010605A"/>
    <w:rsid w:val="0011092D"/>
    <w:rsid w:val="00111430"/>
    <w:rsid w:val="00112922"/>
    <w:rsid w:val="001139C8"/>
    <w:rsid w:val="001157E6"/>
    <w:rsid w:val="00115A4C"/>
    <w:rsid w:val="00116240"/>
    <w:rsid w:val="00117B00"/>
    <w:rsid w:val="00121A98"/>
    <w:rsid w:val="00122AA4"/>
    <w:rsid w:val="00122E28"/>
    <w:rsid w:val="001232D0"/>
    <w:rsid w:val="0012639A"/>
    <w:rsid w:val="00127FAE"/>
    <w:rsid w:val="00134EC8"/>
    <w:rsid w:val="00140FD0"/>
    <w:rsid w:val="00142E86"/>
    <w:rsid w:val="00144336"/>
    <w:rsid w:val="00144A06"/>
    <w:rsid w:val="00144E84"/>
    <w:rsid w:val="00146F91"/>
    <w:rsid w:val="001507DF"/>
    <w:rsid w:val="00153415"/>
    <w:rsid w:val="001547CA"/>
    <w:rsid w:val="00154F9C"/>
    <w:rsid w:val="001562FA"/>
    <w:rsid w:val="0016331D"/>
    <w:rsid w:val="00163655"/>
    <w:rsid w:val="00163854"/>
    <w:rsid w:val="00165A9A"/>
    <w:rsid w:val="001679EE"/>
    <w:rsid w:val="00167B0D"/>
    <w:rsid w:val="00171033"/>
    <w:rsid w:val="001715BB"/>
    <w:rsid w:val="00172A27"/>
    <w:rsid w:val="00172BBF"/>
    <w:rsid w:val="0017394A"/>
    <w:rsid w:val="0017488D"/>
    <w:rsid w:val="00175F68"/>
    <w:rsid w:val="00176589"/>
    <w:rsid w:val="00176C88"/>
    <w:rsid w:val="00180376"/>
    <w:rsid w:val="001822B0"/>
    <w:rsid w:val="0018230F"/>
    <w:rsid w:val="001844D6"/>
    <w:rsid w:val="0018459A"/>
    <w:rsid w:val="001852D8"/>
    <w:rsid w:val="001864AE"/>
    <w:rsid w:val="00186521"/>
    <w:rsid w:val="00187F37"/>
    <w:rsid w:val="0019010B"/>
    <w:rsid w:val="00190633"/>
    <w:rsid w:val="0019071D"/>
    <w:rsid w:val="00190B9A"/>
    <w:rsid w:val="0019134D"/>
    <w:rsid w:val="00191C98"/>
    <w:rsid w:val="0019285E"/>
    <w:rsid w:val="00192C78"/>
    <w:rsid w:val="00194E1F"/>
    <w:rsid w:val="0019519C"/>
    <w:rsid w:val="0019545E"/>
    <w:rsid w:val="00196469"/>
    <w:rsid w:val="00196E62"/>
    <w:rsid w:val="001A0033"/>
    <w:rsid w:val="001A141C"/>
    <w:rsid w:val="001A352E"/>
    <w:rsid w:val="001A434D"/>
    <w:rsid w:val="001B218F"/>
    <w:rsid w:val="001B21AE"/>
    <w:rsid w:val="001B5BBB"/>
    <w:rsid w:val="001C31CB"/>
    <w:rsid w:val="001C3B80"/>
    <w:rsid w:val="001C41C7"/>
    <w:rsid w:val="001C5E54"/>
    <w:rsid w:val="001C7184"/>
    <w:rsid w:val="001C730C"/>
    <w:rsid w:val="001C770D"/>
    <w:rsid w:val="001C7B1B"/>
    <w:rsid w:val="001D03C8"/>
    <w:rsid w:val="001D06D0"/>
    <w:rsid w:val="001D0990"/>
    <w:rsid w:val="001D1C72"/>
    <w:rsid w:val="001D1D5B"/>
    <w:rsid w:val="001D2824"/>
    <w:rsid w:val="001D3E8B"/>
    <w:rsid w:val="001D4AC9"/>
    <w:rsid w:val="001D4BC1"/>
    <w:rsid w:val="001D570A"/>
    <w:rsid w:val="001D688E"/>
    <w:rsid w:val="001E14FD"/>
    <w:rsid w:val="001E291D"/>
    <w:rsid w:val="001E461E"/>
    <w:rsid w:val="001E54CE"/>
    <w:rsid w:val="001E61BD"/>
    <w:rsid w:val="001E6BA6"/>
    <w:rsid w:val="001E6C14"/>
    <w:rsid w:val="001E70FE"/>
    <w:rsid w:val="001E77D6"/>
    <w:rsid w:val="001E794F"/>
    <w:rsid w:val="001F00E4"/>
    <w:rsid w:val="001F08F9"/>
    <w:rsid w:val="001F4671"/>
    <w:rsid w:val="001F6BB0"/>
    <w:rsid w:val="001F7B81"/>
    <w:rsid w:val="001F7E0A"/>
    <w:rsid w:val="00201415"/>
    <w:rsid w:val="0020141D"/>
    <w:rsid w:val="00204063"/>
    <w:rsid w:val="0020563F"/>
    <w:rsid w:val="0020668E"/>
    <w:rsid w:val="00211510"/>
    <w:rsid w:val="002126B6"/>
    <w:rsid w:val="00214771"/>
    <w:rsid w:val="0021477B"/>
    <w:rsid w:val="002160B9"/>
    <w:rsid w:val="0021611E"/>
    <w:rsid w:val="00216882"/>
    <w:rsid w:val="002168CF"/>
    <w:rsid w:val="002173E9"/>
    <w:rsid w:val="00217789"/>
    <w:rsid w:val="00220D74"/>
    <w:rsid w:val="002213EA"/>
    <w:rsid w:val="00223351"/>
    <w:rsid w:val="002237A8"/>
    <w:rsid w:val="00223B5B"/>
    <w:rsid w:val="00224505"/>
    <w:rsid w:val="002265AA"/>
    <w:rsid w:val="00226925"/>
    <w:rsid w:val="00226E60"/>
    <w:rsid w:val="00227359"/>
    <w:rsid w:val="00231FC0"/>
    <w:rsid w:val="002366D2"/>
    <w:rsid w:val="00242CDB"/>
    <w:rsid w:val="0024456C"/>
    <w:rsid w:val="0024625D"/>
    <w:rsid w:val="00247F2A"/>
    <w:rsid w:val="002509C7"/>
    <w:rsid w:val="00251975"/>
    <w:rsid w:val="00252788"/>
    <w:rsid w:val="002533A3"/>
    <w:rsid w:val="00253B8C"/>
    <w:rsid w:val="00254D9A"/>
    <w:rsid w:val="00255373"/>
    <w:rsid w:val="002553DF"/>
    <w:rsid w:val="0025557C"/>
    <w:rsid w:val="0025790B"/>
    <w:rsid w:val="00264630"/>
    <w:rsid w:val="002653AC"/>
    <w:rsid w:val="00265722"/>
    <w:rsid w:val="00266037"/>
    <w:rsid w:val="00266978"/>
    <w:rsid w:val="00266DAB"/>
    <w:rsid w:val="00272C40"/>
    <w:rsid w:val="00273F65"/>
    <w:rsid w:val="00274DDB"/>
    <w:rsid w:val="00275526"/>
    <w:rsid w:val="00275757"/>
    <w:rsid w:val="00276ACE"/>
    <w:rsid w:val="00281B9A"/>
    <w:rsid w:val="002826EB"/>
    <w:rsid w:val="00282B2B"/>
    <w:rsid w:val="002869B1"/>
    <w:rsid w:val="002877ED"/>
    <w:rsid w:val="00290893"/>
    <w:rsid w:val="0029197D"/>
    <w:rsid w:val="00293329"/>
    <w:rsid w:val="002A1894"/>
    <w:rsid w:val="002A2964"/>
    <w:rsid w:val="002A3DA0"/>
    <w:rsid w:val="002A6688"/>
    <w:rsid w:val="002B0460"/>
    <w:rsid w:val="002B0A68"/>
    <w:rsid w:val="002B1C83"/>
    <w:rsid w:val="002B2349"/>
    <w:rsid w:val="002B389F"/>
    <w:rsid w:val="002B4AAF"/>
    <w:rsid w:val="002B5421"/>
    <w:rsid w:val="002B6616"/>
    <w:rsid w:val="002B75A8"/>
    <w:rsid w:val="002C0CF5"/>
    <w:rsid w:val="002C3DA6"/>
    <w:rsid w:val="002C3DD6"/>
    <w:rsid w:val="002C446D"/>
    <w:rsid w:val="002C6117"/>
    <w:rsid w:val="002C6DB5"/>
    <w:rsid w:val="002D1DEF"/>
    <w:rsid w:val="002D3AB7"/>
    <w:rsid w:val="002D3AEF"/>
    <w:rsid w:val="002D6AFD"/>
    <w:rsid w:val="002D7737"/>
    <w:rsid w:val="002E134B"/>
    <w:rsid w:val="002E25FC"/>
    <w:rsid w:val="002E393C"/>
    <w:rsid w:val="002E5F4C"/>
    <w:rsid w:val="002E6721"/>
    <w:rsid w:val="002E7C23"/>
    <w:rsid w:val="002F0CD5"/>
    <w:rsid w:val="002F11BA"/>
    <w:rsid w:val="002F29C4"/>
    <w:rsid w:val="002F389F"/>
    <w:rsid w:val="002F45BC"/>
    <w:rsid w:val="002F4C49"/>
    <w:rsid w:val="00301106"/>
    <w:rsid w:val="003029FF"/>
    <w:rsid w:val="0030325C"/>
    <w:rsid w:val="00304C4E"/>
    <w:rsid w:val="00304D9D"/>
    <w:rsid w:val="00306DA6"/>
    <w:rsid w:val="0031156D"/>
    <w:rsid w:val="003122D5"/>
    <w:rsid w:val="00313E17"/>
    <w:rsid w:val="00320153"/>
    <w:rsid w:val="003224C7"/>
    <w:rsid w:val="00327E26"/>
    <w:rsid w:val="00330DD8"/>
    <w:rsid w:val="00331380"/>
    <w:rsid w:val="00331423"/>
    <w:rsid w:val="00331AA1"/>
    <w:rsid w:val="00332367"/>
    <w:rsid w:val="0033357B"/>
    <w:rsid w:val="003363E0"/>
    <w:rsid w:val="0033710A"/>
    <w:rsid w:val="00337172"/>
    <w:rsid w:val="00337AF2"/>
    <w:rsid w:val="00337EC3"/>
    <w:rsid w:val="003405D3"/>
    <w:rsid w:val="00341DFC"/>
    <w:rsid w:val="003444E9"/>
    <w:rsid w:val="00350B80"/>
    <w:rsid w:val="0035109F"/>
    <w:rsid w:val="0035299D"/>
    <w:rsid w:val="00356734"/>
    <w:rsid w:val="00356F2E"/>
    <w:rsid w:val="003601A7"/>
    <w:rsid w:val="00361109"/>
    <w:rsid w:val="00363191"/>
    <w:rsid w:val="00363504"/>
    <w:rsid w:val="0036433E"/>
    <w:rsid w:val="00370696"/>
    <w:rsid w:val="00371546"/>
    <w:rsid w:val="003727DA"/>
    <w:rsid w:val="00373305"/>
    <w:rsid w:val="003745A5"/>
    <w:rsid w:val="00375BC6"/>
    <w:rsid w:val="00380DB4"/>
    <w:rsid w:val="00381A67"/>
    <w:rsid w:val="003823A6"/>
    <w:rsid w:val="003838B9"/>
    <w:rsid w:val="00387E86"/>
    <w:rsid w:val="00391268"/>
    <w:rsid w:val="00391BBC"/>
    <w:rsid w:val="00392F32"/>
    <w:rsid w:val="0039407B"/>
    <w:rsid w:val="00396E72"/>
    <w:rsid w:val="003A430B"/>
    <w:rsid w:val="003B00EC"/>
    <w:rsid w:val="003B016B"/>
    <w:rsid w:val="003B06BE"/>
    <w:rsid w:val="003B1841"/>
    <w:rsid w:val="003B32A0"/>
    <w:rsid w:val="003B343A"/>
    <w:rsid w:val="003B600B"/>
    <w:rsid w:val="003B72A3"/>
    <w:rsid w:val="003C2C6C"/>
    <w:rsid w:val="003C2FD0"/>
    <w:rsid w:val="003C4A62"/>
    <w:rsid w:val="003C4CEB"/>
    <w:rsid w:val="003C51FE"/>
    <w:rsid w:val="003C64E4"/>
    <w:rsid w:val="003C7EAF"/>
    <w:rsid w:val="003D26D0"/>
    <w:rsid w:val="003D5ED1"/>
    <w:rsid w:val="003D63E6"/>
    <w:rsid w:val="003E1094"/>
    <w:rsid w:val="003E19A8"/>
    <w:rsid w:val="003E1B2D"/>
    <w:rsid w:val="003E2F07"/>
    <w:rsid w:val="003E31AA"/>
    <w:rsid w:val="003E3D00"/>
    <w:rsid w:val="003F4B74"/>
    <w:rsid w:val="00400144"/>
    <w:rsid w:val="00400D54"/>
    <w:rsid w:val="0040151D"/>
    <w:rsid w:val="004043E5"/>
    <w:rsid w:val="00404A76"/>
    <w:rsid w:val="00404C4F"/>
    <w:rsid w:val="00406C36"/>
    <w:rsid w:val="00407912"/>
    <w:rsid w:val="00410860"/>
    <w:rsid w:val="00411594"/>
    <w:rsid w:val="004134C2"/>
    <w:rsid w:val="00413AD2"/>
    <w:rsid w:val="00416AC9"/>
    <w:rsid w:val="00416AF8"/>
    <w:rsid w:val="00416CB0"/>
    <w:rsid w:val="0042292D"/>
    <w:rsid w:val="00422B14"/>
    <w:rsid w:val="004239E7"/>
    <w:rsid w:val="00424562"/>
    <w:rsid w:val="0042456A"/>
    <w:rsid w:val="00424897"/>
    <w:rsid w:val="004259CB"/>
    <w:rsid w:val="00426CB5"/>
    <w:rsid w:val="0042700C"/>
    <w:rsid w:val="00430DF1"/>
    <w:rsid w:val="00434DA3"/>
    <w:rsid w:val="004365C7"/>
    <w:rsid w:val="004369A7"/>
    <w:rsid w:val="0043725F"/>
    <w:rsid w:val="00440E4C"/>
    <w:rsid w:val="00441309"/>
    <w:rsid w:val="00441A1F"/>
    <w:rsid w:val="00441C87"/>
    <w:rsid w:val="004421A0"/>
    <w:rsid w:val="0044275F"/>
    <w:rsid w:val="0044318F"/>
    <w:rsid w:val="00444B08"/>
    <w:rsid w:val="00444C05"/>
    <w:rsid w:val="00444E95"/>
    <w:rsid w:val="004451F2"/>
    <w:rsid w:val="00447A83"/>
    <w:rsid w:val="00450AE7"/>
    <w:rsid w:val="00452527"/>
    <w:rsid w:val="00453F94"/>
    <w:rsid w:val="0045405E"/>
    <w:rsid w:val="0045524D"/>
    <w:rsid w:val="00455720"/>
    <w:rsid w:val="00455EFB"/>
    <w:rsid w:val="00455FA5"/>
    <w:rsid w:val="00456516"/>
    <w:rsid w:val="00461E0D"/>
    <w:rsid w:val="00462328"/>
    <w:rsid w:val="00462D9E"/>
    <w:rsid w:val="00464878"/>
    <w:rsid w:val="00466864"/>
    <w:rsid w:val="00466F57"/>
    <w:rsid w:val="00467C9D"/>
    <w:rsid w:val="00470261"/>
    <w:rsid w:val="004711A9"/>
    <w:rsid w:val="00471ABA"/>
    <w:rsid w:val="00477510"/>
    <w:rsid w:val="00480985"/>
    <w:rsid w:val="00480CC1"/>
    <w:rsid w:val="00480FF7"/>
    <w:rsid w:val="004811BA"/>
    <w:rsid w:val="0048253E"/>
    <w:rsid w:val="00482F37"/>
    <w:rsid w:val="00483507"/>
    <w:rsid w:val="00485D45"/>
    <w:rsid w:val="00486A6C"/>
    <w:rsid w:val="00487444"/>
    <w:rsid w:val="00490E3D"/>
    <w:rsid w:val="004917FC"/>
    <w:rsid w:val="004922CC"/>
    <w:rsid w:val="004940D3"/>
    <w:rsid w:val="004960D3"/>
    <w:rsid w:val="004960F3"/>
    <w:rsid w:val="00497FEC"/>
    <w:rsid w:val="004A0C4A"/>
    <w:rsid w:val="004A0D93"/>
    <w:rsid w:val="004A12AC"/>
    <w:rsid w:val="004A2354"/>
    <w:rsid w:val="004A5AB0"/>
    <w:rsid w:val="004B0D40"/>
    <w:rsid w:val="004B1194"/>
    <w:rsid w:val="004B1599"/>
    <w:rsid w:val="004B3136"/>
    <w:rsid w:val="004B5526"/>
    <w:rsid w:val="004C036F"/>
    <w:rsid w:val="004C1BF8"/>
    <w:rsid w:val="004C2000"/>
    <w:rsid w:val="004C4C0A"/>
    <w:rsid w:val="004C4C12"/>
    <w:rsid w:val="004C4E6C"/>
    <w:rsid w:val="004C75D9"/>
    <w:rsid w:val="004D0C41"/>
    <w:rsid w:val="004D1CFA"/>
    <w:rsid w:val="004D2141"/>
    <w:rsid w:val="004D373F"/>
    <w:rsid w:val="004D3932"/>
    <w:rsid w:val="004D5055"/>
    <w:rsid w:val="004D5AAF"/>
    <w:rsid w:val="004D5BE2"/>
    <w:rsid w:val="004D5E18"/>
    <w:rsid w:val="004D6163"/>
    <w:rsid w:val="004D6C75"/>
    <w:rsid w:val="004E17EB"/>
    <w:rsid w:val="004E20E1"/>
    <w:rsid w:val="004E3BD3"/>
    <w:rsid w:val="004E605C"/>
    <w:rsid w:val="004E78A6"/>
    <w:rsid w:val="004F0C90"/>
    <w:rsid w:val="004F10F4"/>
    <w:rsid w:val="004F14E2"/>
    <w:rsid w:val="004F15A3"/>
    <w:rsid w:val="004F2F63"/>
    <w:rsid w:val="004F3355"/>
    <w:rsid w:val="004F45E5"/>
    <w:rsid w:val="004F483B"/>
    <w:rsid w:val="004F5319"/>
    <w:rsid w:val="004F58A4"/>
    <w:rsid w:val="00500B33"/>
    <w:rsid w:val="0050192C"/>
    <w:rsid w:val="00502068"/>
    <w:rsid w:val="005023E9"/>
    <w:rsid w:val="005030D1"/>
    <w:rsid w:val="00503239"/>
    <w:rsid w:val="005048A9"/>
    <w:rsid w:val="00504CD2"/>
    <w:rsid w:val="005058C6"/>
    <w:rsid w:val="00506FB3"/>
    <w:rsid w:val="005107A4"/>
    <w:rsid w:val="00510AB9"/>
    <w:rsid w:val="00512B61"/>
    <w:rsid w:val="00512E3B"/>
    <w:rsid w:val="00513143"/>
    <w:rsid w:val="005131E7"/>
    <w:rsid w:val="00517C1B"/>
    <w:rsid w:val="00521905"/>
    <w:rsid w:val="00521A8A"/>
    <w:rsid w:val="0052537A"/>
    <w:rsid w:val="005261C6"/>
    <w:rsid w:val="00526A8B"/>
    <w:rsid w:val="005306F5"/>
    <w:rsid w:val="00530EFC"/>
    <w:rsid w:val="0053145D"/>
    <w:rsid w:val="0053265E"/>
    <w:rsid w:val="00534837"/>
    <w:rsid w:val="00534ED6"/>
    <w:rsid w:val="005356DD"/>
    <w:rsid w:val="0054383E"/>
    <w:rsid w:val="00544067"/>
    <w:rsid w:val="00544689"/>
    <w:rsid w:val="005448AE"/>
    <w:rsid w:val="00544EBF"/>
    <w:rsid w:val="0054752F"/>
    <w:rsid w:val="005477FF"/>
    <w:rsid w:val="005514EA"/>
    <w:rsid w:val="00551E13"/>
    <w:rsid w:val="0055265D"/>
    <w:rsid w:val="00555FE5"/>
    <w:rsid w:val="00557F13"/>
    <w:rsid w:val="0056057A"/>
    <w:rsid w:val="005634A0"/>
    <w:rsid w:val="00564A34"/>
    <w:rsid w:val="00564BAA"/>
    <w:rsid w:val="005669ED"/>
    <w:rsid w:val="00566CE6"/>
    <w:rsid w:val="005715BF"/>
    <w:rsid w:val="00571676"/>
    <w:rsid w:val="0057386A"/>
    <w:rsid w:val="005745C2"/>
    <w:rsid w:val="00575575"/>
    <w:rsid w:val="005756EF"/>
    <w:rsid w:val="00580472"/>
    <w:rsid w:val="00583DB2"/>
    <w:rsid w:val="00583FFD"/>
    <w:rsid w:val="0058644F"/>
    <w:rsid w:val="00586B5E"/>
    <w:rsid w:val="0058793F"/>
    <w:rsid w:val="00587E86"/>
    <w:rsid w:val="005905CC"/>
    <w:rsid w:val="0059345F"/>
    <w:rsid w:val="005942B5"/>
    <w:rsid w:val="005964FC"/>
    <w:rsid w:val="00596640"/>
    <w:rsid w:val="005A0CDE"/>
    <w:rsid w:val="005A1A2E"/>
    <w:rsid w:val="005A2814"/>
    <w:rsid w:val="005A2F58"/>
    <w:rsid w:val="005A52CE"/>
    <w:rsid w:val="005A5694"/>
    <w:rsid w:val="005A60A3"/>
    <w:rsid w:val="005B1513"/>
    <w:rsid w:val="005B1F01"/>
    <w:rsid w:val="005B3D95"/>
    <w:rsid w:val="005B45B8"/>
    <w:rsid w:val="005B6567"/>
    <w:rsid w:val="005C1011"/>
    <w:rsid w:val="005C1A4B"/>
    <w:rsid w:val="005C2C22"/>
    <w:rsid w:val="005C3351"/>
    <w:rsid w:val="005C46BB"/>
    <w:rsid w:val="005C6C9D"/>
    <w:rsid w:val="005D0EC6"/>
    <w:rsid w:val="005D3EBA"/>
    <w:rsid w:val="005D3F7B"/>
    <w:rsid w:val="005D3F83"/>
    <w:rsid w:val="005D5021"/>
    <w:rsid w:val="005D6B6D"/>
    <w:rsid w:val="005E0304"/>
    <w:rsid w:val="005E1F5B"/>
    <w:rsid w:val="005E2522"/>
    <w:rsid w:val="005E34A7"/>
    <w:rsid w:val="005E3ECC"/>
    <w:rsid w:val="005E6FB7"/>
    <w:rsid w:val="005F0064"/>
    <w:rsid w:val="005F2F17"/>
    <w:rsid w:val="005F30D3"/>
    <w:rsid w:val="005F379A"/>
    <w:rsid w:val="005F4287"/>
    <w:rsid w:val="005F469C"/>
    <w:rsid w:val="005F7FD5"/>
    <w:rsid w:val="00600FE7"/>
    <w:rsid w:val="006016B4"/>
    <w:rsid w:val="006019D1"/>
    <w:rsid w:val="00605524"/>
    <w:rsid w:val="00605B31"/>
    <w:rsid w:val="00605C5D"/>
    <w:rsid w:val="006065FB"/>
    <w:rsid w:val="00607DDC"/>
    <w:rsid w:val="00611A33"/>
    <w:rsid w:val="00612869"/>
    <w:rsid w:val="006146BA"/>
    <w:rsid w:val="006172ED"/>
    <w:rsid w:val="00620063"/>
    <w:rsid w:val="00620D75"/>
    <w:rsid w:val="00621F2C"/>
    <w:rsid w:val="00624760"/>
    <w:rsid w:val="00624F2C"/>
    <w:rsid w:val="00626BC0"/>
    <w:rsid w:val="0063051C"/>
    <w:rsid w:val="00631736"/>
    <w:rsid w:val="006328AE"/>
    <w:rsid w:val="0064020E"/>
    <w:rsid w:val="0064076F"/>
    <w:rsid w:val="0064087A"/>
    <w:rsid w:val="00642A61"/>
    <w:rsid w:val="006451BF"/>
    <w:rsid w:val="006453CC"/>
    <w:rsid w:val="006468C6"/>
    <w:rsid w:val="00646E40"/>
    <w:rsid w:val="00647424"/>
    <w:rsid w:val="006476D3"/>
    <w:rsid w:val="00652FE7"/>
    <w:rsid w:val="0065431E"/>
    <w:rsid w:val="0065499A"/>
    <w:rsid w:val="00655124"/>
    <w:rsid w:val="00657909"/>
    <w:rsid w:val="00657E91"/>
    <w:rsid w:val="006612EA"/>
    <w:rsid w:val="006617D1"/>
    <w:rsid w:val="00661C8C"/>
    <w:rsid w:val="006623D6"/>
    <w:rsid w:val="0066478A"/>
    <w:rsid w:val="0066625E"/>
    <w:rsid w:val="006676FD"/>
    <w:rsid w:val="0067005D"/>
    <w:rsid w:val="00672FF4"/>
    <w:rsid w:val="00675B54"/>
    <w:rsid w:val="006809FB"/>
    <w:rsid w:val="00682623"/>
    <w:rsid w:val="00684401"/>
    <w:rsid w:val="00684ECC"/>
    <w:rsid w:val="006856C3"/>
    <w:rsid w:val="006863E0"/>
    <w:rsid w:val="006871FD"/>
    <w:rsid w:val="006877C1"/>
    <w:rsid w:val="006904D3"/>
    <w:rsid w:val="0069132D"/>
    <w:rsid w:val="006929EA"/>
    <w:rsid w:val="00692BC9"/>
    <w:rsid w:val="0069501F"/>
    <w:rsid w:val="006961A8"/>
    <w:rsid w:val="00697C87"/>
    <w:rsid w:val="00697D22"/>
    <w:rsid w:val="006A0942"/>
    <w:rsid w:val="006A1579"/>
    <w:rsid w:val="006A2FDF"/>
    <w:rsid w:val="006A4A8A"/>
    <w:rsid w:val="006A4B96"/>
    <w:rsid w:val="006A5309"/>
    <w:rsid w:val="006A5968"/>
    <w:rsid w:val="006A68DA"/>
    <w:rsid w:val="006A6C9E"/>
    <w:rsid w:val="006B3727"/>
    <w:rsid w:val="006B4BAA"/>
    <w:rsid w:val="006B5EEE"/>
    <w:rsid w:val="006B7BA8"/>
    <w:rsid w:val="006B7E76"/>
    <w:rsid w:val="006C19CF"/>
    <w:rsid w:val="006C3458"/>
    <w:rsid w:val="006C3815"/>
    <w:rsid w:val="006C4170"/>
    <w:rsid w:val="006C4A05"/>
    <w:rsid w:val="006C5ACD"/>
    <w:rsid w:val="006C7218"/>
    <w:rsid w:val="006C75F7"/>
    <w:rsid w:val="006C7E9B"/>
    <w:rsid w:val="006D0BDE"/>
    <w:rsid w:val="006D0F3C"/>
    <w:rsid w:val="006D160E"/>
    <w:rsid w:val="006D3D10"/>
    <w:rsid w:val="006D4093"/>
    <w:rsid w:val="006D4430"/>
    <w:rsid w:val="006D586E"/>
    <w:rsid w:val="006D6C20"/>
    <w:rsid w:val="006D7C06"/>
    <w:rsid w:val="006D7D05"/>
    <w:rsid w:val="006E011D"/>
    <w:rsid w:val="006E1A9B"/>
    <w:rsid w:val="006E2E41"/>
    <w:rsid w:val="006E535B"/>
    <w:rsid w:val="006E5D67"/>
    <w:rsid w:val="006E6ED0"/>
    <w:rsid w:val="006E7124"/>
    <w:rsid w:val="006E7FC7"/>
    <w:rsid w:val="006F2488"/>
    <w:rsid w:val="006F3519"/>
    <w:rsid w:val="006F356A"/>
    <w:rsid w:val="006F5923"/>
    <w:rsid w:val="006F6174"/>
    <w:rsid w:val="006F7A9E"/>
    <w:rsid w:val="006F7D4D"/>
    <w:rsid w:val="0070045F"/>
    <w:rsid w:val="007048B2"/>
    <w:rsid w:val="00706DCA"/>
    <w:rsid w:val="00707A7B"/>
    <w:rsid w:val="007123F2"/>
    <w:rsid w:val="0071321B"/>
    <w:rsid w:val="007143E3"/>
    <w:rsid w:val="0071446F"/>
    <w:rsid w:val="007165DC"/>
    <w:rsid w:val="007166B2"/>
    <w:rsid w:val="00717330"/>
    <w:rsid w:val="00720D3D"/>
    <w:rsid w:val="00720E8F"/>
    <w:rsid w:val="007210F9"/>
    <w:rsid w:val="00724416"/>
    <w:rsid w:val="0072773A"/>
    <w:rsid w:val="00727C00"/>
    <w:rsid w:val="007305B6"/>
    <w:rsid w:val="007319DA"/>
    <w:rsid w:val="00737C42"/>
    <w:rsid w:val="00741F90"/>
    <w:rsid w:val="007425D7"/>
    <w:rsid w:val="00742D00"/>
    <w:rsid w:val="00743AB2"/>
    <w:rsid w:val="00746AF7"/>
    <w:rsid w:val="00746FAD"/>
    <w:rsid w:val="0075016C"/>
    <w:rsid w:val="00752FA6"/>
    <w:rsid w:val="007530BD"/>
    <w:rsid w:val="00754168"/>
    <w:rsid w:val="00755570"/>
    <w:rsid w:val="00755F45"/>
    <w:rsid w:val="00757357"/>
    <w:rsid w:val="00760BF7"/>
    <w:rsid w:val="00762022"/>
    <w:rsid w:val="007630BD"/>
    <w:rsid w:val="0076459F"/>
    <w:rsid w:val="007648E8"/>
    <w:rsid w:val="00764E0B"/>
    <w:rsid w:val="00764FD2"/>
    <w:rsid w:val="00765862"/>
    <w:rsid w:val="0077274B"/>
    <w:rsid w:val="00775691"/>
    <w:rsid w:val="00775E75"/>
    <w:rsid w:val="00780770"/>
    <w:rsid w:val="00783025"/>
    <w:rsid w:val="00784BFC"/>
    <w:rsid w:val="0078739B"/>
    <w:rsid w:val="0079021D"/>
    <w:rsid w:val="00793D9D"/>
    <w:rsid w:val="00794CF9"/>
    <w:rsid w:val="00794DBB"/>
    <w:rsid w:val="0079594A"/>
    <w:rsid w:val="007A104C"/>
    <w:rsid w:val="007A2250"/>
    <w:rsid w:val="007A2E91"/>
    <w:rsid w:val="007A3563"/>
    <w:rsid w:val="007A56C3"/>
    <w:rsid w:val="007A610A"/>
    <w:rsid w:val="007B095E"/>
    <w:rsid w:val="007B256F"/>
    <w:rsid w:val="007B2905"/>
    <w:rsid w:val="007B335E"/>
    <w:rsid w:val="007B3CAC"/>
    <w:rsid w:val="007B435B"/>
    <w:rsid w:val="007B7E70"/>
    <w:rsid w:val="007C0495"/>
    <w:rsid w:val="007C67CB"/>
    <w:rsid w:val="007D115D"/>
    <w:rsid w:val="007D1185"/>
    <w:rsid w:val="007D37FB"/>
    <w:rsid w:val="007D3AB0"/>
    <w:rsid w:val="007D3C57"/>
    <w:rsid w:val="007D6324"/>
    <w:rsid w:val="007D68C9"/>
    <w:rsid w:val="007D6F94"/>
    <w:rsid w:val="007D7B84"/>
    <w:rsid w:val="007E1F76"/>
    <w:rsid w:val="007E3453"/>
    <w:rsid w:val="007E3857"/>
    <w:rsid w:val="007E4180"/>
    <w:rsid w:val="007E4A3F"/>
    <w:rsid w:val="007E6E94"/>
    <w:rsid w:val="007E775F"/>
    <w:rsid w:val="007F19E2"/>
    <w:rsid w:val="007F2369"/>
    <w:rsid w:val="007F2A00"/>
    <w:rsid w:val="007F2DEA"/>
    <w:rsid w:val="007F353C"/>
    <w:rsid w:val="007F42B0"/>
    <w:rsid w:val="007F557D"/>
    <w:rsid w:val="007F5D9C"/>
    <w:rsid w:val="007F66E1"/>
    <w:rsid w:val="0080018F"/>
    <w:rsid w:val="008002FC"/>
    <w:rsid w:val="008016A7"/>
    <w:rsid w:val="00801ED9"/>
    <w:rsid w:val="00802399"/>
    <w:rsid w:val="008027C8"/>
    <w:rsid w:val="00803922"/>
    <w:rsid w:val="00804D31"/>
    <w:rsid w:val="0080586D"/>
    <w:rsid w:val="00805A3D"/>
    <w:rsid w:val="00806DDF"/>
    <w:rsid w:val="00807174"/>
    <w:rsid w:val="00807C0F"/>
    <w:rsid w:val="00807F91"/>
    <w:rsid w:val="0081012C"/>
    <w:rsid w:val="0081039A"/>
    <w:rsid w:val="008103FD"/>
    <w:rsid w:val="00810570"/>
    <w:rsid w:val="00810605"/>
    <w:rsid w:val="00810BBC"/>
    <w:rsid w:val="0081517F"/>
    <w:rsid w:val="0081549F"/>
    <w:rsid w:val="008176FD"/>
    <w:rsid w:val="00820221"/>
    <w:rsid w:val="00820966"/>
    <w:rsid w:val="008216F7"/>
    <w:rsid w:val="00822153"/>
    <w:rsid w:val="00822FBD"/>
    <w:rsid w:val="00823AB7"/>
    <w:rsid w:val="00827113"/>
    <w:rsid w:val="00827169"/>
    <w:rsid w:val="00827DAF"/>
    <w:rsid w:val="008306A2"/>
    <w:rsid w:val="00830FAF"/>
    <w:rsid w:val="00831F70"/>
    <w:rsid w:val="00833134"/>
    <w:rsid w:val="00833713"/>
    <w:rsid w:val="00833D9B"/>
    <w:rsid w:val="008340FE"/>
    <w:rsid w:val="00835A40"/>
    <w:rsid w:val="00835AA0"/>
    <w:rsid w:val="00835FBF"/>
    <w:rsid w:val="00836DA8"/>
    <w:rsid w:val="00836ECE"/>
    <w:rsid w:val="008414B9"/>
    <w:rsid w:val="0084380A"/>
    <w:rsid w:val="00844E66"/>
    <w:rsid w:val="00847CD5"/>
    <w:rsid w:val="00850B2A"/>
    <w:rsid w:val="00850F7C"/>
    <w:rsid w:val="0085322F"/>
    <w:rsid w:val="0085408C"/>
    <w:rsid w:val="0085557B"/>
    <w:rsid w:val="00856A09"/>
    <w:rsid w:val="00856B4C"/>
    <w:rsid w:val="00856BBC"/>
    <w:rsid w:val="00857149"/>
    <w:rsid w:val="00860A39"/>
    <w:rsid w:val="00861B3E"/>
    <w:rsid w:val="00862A70"/>
    <w:rsid w:val="008655A1"/>
    <w:rsid w:val="008666DD"/>
    <w:rsid w:val="00866CCD"/>
    <w:rsid w:val="00870018"/>
    <w:rsid w:val="00871411"/>
    <w:rsid w:val="00871A7B"/>
    <w:rsid w:val="00872192"/>
    <w:rsid w:val="008726D9"/>
    <w:rsid w:val="008735AB"/>
    <w:rsid w:val="008740D8"/>
    <w:rsid w:val="0087506B"/>
    <w:rsid w:val="0087693A"/>
    <w:rsid w:val="00876C63"/>
    <w:rsid w:val="00876D94"/>
    <w:rsid w:val="0089069E"/>
    <w:rsid w:val="008912D3"/>
    <w:rsid w:val="008914CB"/>
    <w:rsid w:val="008937B1"/>
    <w:rsid w:val="00894A43"/>
    <w:rsid w:val="00895477"/>
    <w:rsid w:val="008A15AE"/>
    <w:rsid w:val="008A1DBB"/>
    <w:rsid w:val="008A2A18"/>
    <w:rsid w:val="008A4832"/>
    <w:rsid w:val="008A6A39"/>
    <w:rsid w:val="008B185F"/>
    <w:rsid w:val="008B3113"/>
    <w:rsid w:val="008B45F2"/>
    <w:rsid w:val="008B4E65"/>
    <w:rsid w:val="008B5744"/>
    <w:rsid w:val="008B7818"/>
    <w:rsid w:val="008C04C6"/>
    <w:rsid w:val="008C1D87"/>
    <w:rsid w:val="008C2047"/>
    <w:rsid w:val="008C2490"/>
    <w:rsid w:val="008C2FED"/>
    <w:rsid w:val="008C4AC0"/>
    <w:rsid w:val="008C5304"/>
    <w:rsid w:val="008C6459"/>
    <w:rsid w:val="008C7CC2"/>
    <w:rsid w:val="008D01F8"/>
    <w:rsid w:val="008D0325"/>
    <w:rsid w:val="008D0AD4"/>
    <w:rsid w:val="008D2BA4"/>
    <w:rsid w:val="008D45A6"/>
    <w:rsid w:val="008D4CB3"/>
    <w:rsid w:val="008D5CDB"/>
    <w:rsid w:val="008D643C"/>
    <w:rsid w:val="008D6554"/>
    <w:rsid w:val="008D7E71"/>
    <w:rsid w:val="008E0B20"/>
    <w:rsid w:val="008E584F"/>
    <w:rsid w:val="008E5E8B"/>
    <w:rsid w:val="008E6072"/>
    <w:rsid w:val="008E6640"/>
    <w:rsid w:val="008F2669"/>
    <w:rsid w:val="008F2710"/>
    <w:rsid w:val="008F432E"/>
    <w:rsid w:val="008F50BB"/>
    <w:rsid w:val="008F784B"/>
    <w:rsid w:val="008F7A01"/>
    <w:rsid w:val="00900322"/>
    <w:rsid w:val="00900AF7"/>
    <w:rsid w:val="00901909"/>
    <w:rsid w:val="00901ACE"/>
    <w:rsid w:val="00901B37"/>
    <w:rsid w:val="009043D1"/>
    <w:rsid w:val="0090500B"/>
    <w:rsid w:val="0090746E"/>
    <w:rsid w:val="0090771A"/>
    <w:rsid w:val="00907D44"/>
    <w:rsid w:val="009106C1"/>
    <w:rsid w:val="00910BA4"/>
    <w:rsid w:val="00912C9D"/>
    <w:rsid w:val="00913112"/>
    <w:rsid w:val="00915499"/>
    <w:rsid w:val="00916595"/>
    <w:rsid w:val="009169DE"/>
    <w:rsid w:val="00922E94"/>
    <w:rsid w:val="00924CB1"/>
    <w:rsid w:val="00925905"/>
    <w:rsid w:val="00925FC9"/>
    <w:rsid w:val="00926039"/>
    <w:rsid w:val="009275C5"/>
    <w:rsid w:val="00927772"/>
    <w:rsid w:val="00931E88"/>
    <w:rsid w:val="00933939"/>
    <w:rsid w:val="00934162"/>
    <w:rsid w:val="009342D4"/>
    <w:rsid w:val="00936818"/>
    <w:rsid w:val="009369EF"/>
    <w:rsid w:val="00936A52"/>
    <w:rsid w:val="00940B15"/>
    <w:rsid w:val="009416D1"/>
    <w:rsid w:val="0094391C"/>
    <w:rsid w:val="00945661"/>
    <w:rsid w:val="00946996"/>
    <w:rsid w:val="0095322B"/>
    <w:rsid w:val="0095360A"/>
    <w:rsid w:val="009559EB"/>
    <w:rsid w:val="009604D5"/>
    <w:rsid w:val="009626CA"/>
    <w:rsid w:val="00962D06"/>
    <w:rsid w:val="00963402"/>
    <w:rsid w:val="00964835"/>
    <w:rsid w:val="00966868"/>
    <w:rsid w:val="00966917"/>
    <w:rsid w:val="00967387"/>
    <w:rsid w:val="009709AB"/>
    <w:rsid w:val="00971FD5"/>
    <w:rsid w:val="0097223A"/>
    <w:rsid w:val="009729E3"/>
    <w:rsid w:val="00974167"/>
    <w:rsid w:val="00974BED"/>
    <w:rsid w:val="00976143"/>
    <w:rsid w:val="009775A7"/>
    <w:rsid w:val="00980073"/>
    <w:rsid w:val="00980784"/>
    <w:rsid w:val="0098167D"/>
    <w:rsid w:val="00982041"/>
    <w:rsid w:val="00983099"/>
    <w:rsid w:val="009832E7"/>
    <w:rsid w:val="009836DB"/>
    <w:rsid w:val="009839EA"/>
    <w:rsid w:val="00984A57"/>
    <w:rsid w:val="00984EF3"/>
    <w:rsid w:val="00986062"/>
    <w:rsid w:val="009911A1"/>
    <w:rsid w:val="0099175F"/>
    <w:rsid w:val="00992322"/>
    <w:rsid w:val="00992A3A"/>
    <w:rsid w:val="00993261"/>
    <w:rsid w:val="00993578"/>
    <w:rsid w:val="00997E03"/>
    <w:rsid w:val="009A0770"/>
    <w:rsid w:val="009A0BA3"/>
    <w:rsid w:val="009A1A8B"/>
    <w:rsid w:val="009A2A56"/>
    <w:rsid w:val="009A418D"/>
    <w:rsid w:val="009A520C"/>
    <w:rsid w:val="009A75FE"/>
    <w:rsid w:val="009B137E"/>
    <w:rsid w:val="009B2144"/>
    <w:rsid w:val="009B2D08"/>
    <w:rsid w:val="009B6315"/>
    <w:rsid w:val="009B6C73"/>
    <w:rsid w:val="009C4645"/>
    <w:rsid w:val="009C59F9"/>
    <w:rsid w:val="009C63B1"/>
    <w:rsid w:val="009C6C6F"/>
    <w:rsid w:val="009D0173"/>
    <w:rsid w:val="009D0895"/>
    <w:rsid w:val="009D3283"/>
    <w:rsid w:val="009D3644"/>
    <w:rsid w:val="009D3EAE"/>
    <w:rsid w:val="009D4BEF"/>
    <w:rsid w:val="009D4D73"/>
    <w:rsid w:val="009D5DD3"/>
    <w:rsid w:val="009D6DC4"/>
    <w:rsid w:val="009D7295"/>
    <w:rsid w:val="009D761B"/>
    <w:rsid w:val="009D7AAE"/>
    <w:rsid w:val="009E0D4A"/>
    <w:rsid w:val="009E246D"/>
    <w:rsid w:val="009E2A07"/>
    <w:rsid w:val="009E3AA4"/>
    <w:rsid w:val="009E3C63"/>
    <w:rsid w:val="009E440F"/>
    <w:rsid w:val="009E5FD0"/>
    <w:rsid w:val="009E60EA"/>
    <w:rsid w:val="009E6590"/>
    <w:rsid w:val="009E7F8B"/>
    <w:rsid w:val="009F01CF"/>
    <w:rsid w:val="009F06C5"/>
    <w:rsid w:val="009F0C46"/>
    <w:rsid w:val="009F2505"/>
    <w:rsid w:val="009F599E"/>
    <w:rsid w:val="009F5B9C"/>
    <w:rsid w:val="009F7D3B"/>
    <w:rsid w:val="00A00126"/>
    <w:rsid w:val="00A003C1"/>
    <w:rsid w:val="00A00655"/>
    <w:rsid w:val="00A00C58"/>
    <w:rsid w:val="00A010F0"/>
    <w:rsid w:val="00A02290"/>
    <w:rsid w:val="00A04535"/>
    <w:rsid w:val="00A070EE"/>
    <w:rsid w:val="00A07363"/>
    <w:rsid w:val="00A0739C"/>
    <w:rsid w:val="00A13043"/>
    <w:rsid w:val="00A13616"/>
    <w:rsid w:val="00A1363C"/>
    <w:rsid w:val="00A13BD0"/>
    <w:rsid w:val="00A14DE4"/>
    <w:rsid w:val="00A151FA"/>
    <w:rsid w:val="00A179D3"/>
    <w:rsid w:val="00A23587"/>
    <w:rsid w:val="00A23EE3"/>
    <w:rsid w:val="00A25C59"/>
    <w:rsid w:val="00A3012B"/>
    <w:rsid w:val="00A30F3D"/>
    <w:rsid w:val="00A31F82"/>
    <w:rsid w:val="00A350E9"/>
    <w:rsid w:val="00A3538E"/>
    <w:rsid w:val="00A3720D"/>
    <w:rsid w:val="00A37505"/>
    <w:rsid w:val="00A40594"/>
    <w:rsid w:val="00A41A0B"/>
    <w:rsid w:val="00A44C46"/>
    <w:rsid w:val="00A455E5"/>
    <w:rsid w:val="00A455F7"/>
    <w:rsid w:val="00A456F5"/>
    <w:rsid w:val="00A45853"/>
    <w:rsid w:val="00A46E22"/>
    <w:rsid w:val="00A47E4F"/>
    <w:rsid w:val="00A513D2"/>
    <w:rsid w:val="00A51406"/>
    <w:rsid w:val="00A530A2"/>
    <w:rsid w:val="00A53E78"/>
    <w:rsid w:val="00A54A51"/>
    <w:rsid w:val="00A56887"/>
    <w:rsid w:val="00A60B29"/>
    <w:rsid w:val="00A60B80"/>
    <w:rsid w:val="00A61197"/>
    <w:rsid w:val="00A63267"/>
    <w:rsid w:val="00A635F0"/>
    <w:rsid w:val="00A64046"/>
    <w:rsid w:val="00A64535"/>
    <w:rsid w:val="00A71411"/>
    <w:rsid w:val="00A71C30"/>
    <w:rsid w:val="00A71EF1"/>
    <w:rsid w:val="00A72235"/>
    <w:rsid w:val="00A72A25"/>
    <w:rsid w:val="00A740D7"/>
    <w:rsid w:val="00A75555"/>
    <w:rsid w:val="00A759CD"/>
    <w:rsid w:val="00A7660D"/>
    <w:rsid w:val="00A776D2"/>
    <w:rsid w:val="00A836BF"/>
    <w:rsid w:val="00A83C4D"/>
    <w:rsid w:val="00A83D4C"/>
    <w:rsid w:val="00A84317"/>
    <w:rsid w:val="00A85490"/>
    <w:rsid w:val="00A85845"/>
    <w:rsid w:val="00A86707"/>
    <w:rsid w:val="00A86794"/>
    <w:rsid w:val="00A873D2"/>
    <w:rsid w:val="00A914E9"/>
    <w:rsid w:val="00A9216C"/>
    <w:rsid w:val="00A93438"/>
    <w:rsid w:val="00A9361C"/>
    <w:rsid w:val="00A94EEF"/>
    <w:rsid w:val="00A9587C"/>
    <w:rsid w:val="00A9619D"/>
    <w:rsid w:val="00A967E5"/>
    <w:rsid w:val="00A9697A"/>
    <w:rsid w:val="00A96CB3"/>
    <w:rsid w:val="00A97AA9"/>
    <w:rsid w:val="00AA054E"/>
    <w:rsid w:val="00AA17E3"/>
    <w:rsid w:val="00AA1C72"/>
    <w:rsid w:val="00AA2A5E"/>
    <w:rsid w:val="00AA2BF1"/>
    <w:rsid w:val="00AA3558"/>
    <w:rsid w:val="00AA3C76"/>
    <w:rsid w:val="00AA3E6B"/>
    <w:rsid w:val="00AA3FDF"/>
    <w:rsid w:val="00AA5D0C"/>
    <w:rsid w:val="00AA6B2C"/>
    <w:rsid w:val="00AB15E6"/>
    <w:rsid w:val="00AB1EE0"/>
    <w:rsid w:val="00AB2014"/>
    <w:rsid w:val="00AB234B"/>
    <w:rsid w:val="00AB23FC"/>
    <w:rsid w:val="00AB2493"/>
    <w:rsid w:val="00AB2603"/>
    <w:rsid w:val="00AB34BD"/>
    <w:rsid w:val="00AB3C03"/>
    <w:rsid w:val="00AB50AF"/>
    <w:rsid w:val="00AB52EA"/>
    <w:rsid w:val="00AB5EF6"/>
    <w:rsid w:val="00AB7BAC"/>
    <w:rsid w:val="00AC0EF8"/>
    <w:rsid w:val="00AC263A"/>
    <w:rsid w:val="00AC2A27"/>
    <w:rsid w:val="00AC2E64"/>
    <w:rsid w:val="00AC3DBE"/>
    <w:rsid w:val="00AC4959"/>
    <w:rsid w:val="00AC67EB"/>
    <w:rsid w:val="00AC7995"/>
    <w:rsid w:val="00AD039B"/>
    <w:rsid w:val="00AD0565"/>
    <w:rsid w:val="00AD0A0A"/>
    <w:rsid w:val="00AD32D9"/>
    <w:rsid w:val="00AD3352"/>
    <w:rsid w:val="00AD47E3"/>
    <w:rsid w:val="00AD4A59"/>
    <w:rsid w:val="00AD5746"/>
    <w:rsid w:val="00AD60A8"/>
    <w:rsid w:val="00AD64B8"/>
    <w:rsid w:val="00AE089F"/>
    <w:rsid w:val="00AE36AF"/>
    <w:rsid w:val="00AE3F46"/>
    <w:rsid w:val="00AE4061"/>
    <w:rsid w:val="00AE68F6"/>
    <w:rsid w:val="00AF17F6"/>
    <w:rsid w:val="00AF2D24"/>
    <w:rsid w:val="00AF413F"/>
    <w:rsid w:val="00AF420A"/>
    <w:rsid w:val="00AF4465"/>
    <w:rsid w:val="00AF4901"/>
    <w:rsid w:val="00AF670F"/>
    <w:rsid w:val="00AF6E5B"/>
    <w:rsid w:val="00AF75AC"/>
    <w:rsid w:val="00AF766A"/>
    <w:rsid w:val="00B014BB"/>
    <w:rsid w:val="00B02826"/>
    <w:rsid w:val="00B045EC"/>
    <w:rsid w:val="00B058FF"/>
    <w:rsid w:val="00B07483"/>
    <w:rsid w:val="00B074D0"/>
    <w:rsid w:val="00B10CFD"/>
    <w:rsid w:val="00B158C3"/>
    <w:rsid w:val="00B22517"/>
    <w:rsid w:val="00B2293D"/>
    <w:rsid w:val="00B2353C"/>
    <w:rsid w:val="00B272BE"/>
    <w:rsid w:val="00B27737"/>
    <w:rsid w:val="00B27A14"/>
    <w:rsid w:val="00B32C84"/>
    <w:rsid w:val="00B33E5E"/>
    <w:rsid w:val="00B34D85"/>
    <w:rsid w:val="00B3567F"/>
    <w:rsid w:val="00B3710C"/>
    <w:rsid w:val="00B37FE3"/>
    <w:rsid w:val="00B412ED"/>
    <w:rsid w:val="00B413CC"/>
    <w:rsid w:val="00B41521"/>
    <w:rsid w:val="00B415FE"/>
    <w:rsid w:val="00B42205"/>
    <w:rsid w:val="00B43502"/>
    <w:rsid w:val="00B445B9"/>
    <w:rsid w:val="00B44E97"/>
    <w:rsid w:val="00B46A08"/>
    <w:rsid w:val="00B46C4E"/>
    <w:rsid w:val="00B47DAA"/>
    <w:rsid w:val="00B504BE"/>
    <w:rsid w:val="00B506B0"/>
    <w:rsid w:val="00B52A04"/>
    <w:rsid w:val="00B53238"/>
    <w:rsid w:val="00B5343C"/>
    <w:rsid w:val="00B53EA7"/>
    <w:rsid w:val="00B55E5A"/>
    <w:rsid w:val="00B561E7"/>
    <w:rsid w:val="00B568BF"/>
    <w:rsid w:val="00B573CF"/>
    <w:rsid w:val="00B60383"/>
    <w:rsid w:val="00B60FC0"/>
    <w:rsid w:val="00B664E9"/>
    <w:rsid w:val="00B67A2A"/>
    <w:rsid w:val="00B70610"/>
    <w:rsid w:val="00B72DDC"/>
    <w:rsid w:val="00B7347F"/>
    <w:rsid w:val="00B74AB7"/>
    <w:rsid w:val="00B75565"/>
    <w:rsid w:val="00B76017"/>
    <w:rsid w:val="00B7689E"/>
    <w:rsid w:val="00B81053"/>
    <w:rsid w:val="00B82164"/>
    <w:rsid w:val="00B870C8"/>
    <w:rsid w:val="00B87B00"/>
    <w:rsid w:val="00B90513"/>
    <w:rsid w:val="00B90A5B"/>
    <w:rsid w:val="00B90C2A"/>
    <w:rsid w:val="00B916FF"/>
    <w:rsid w:val="00B9217D"/>
    <w:rsid w:val="00B92345"/>
    <w:rsid w:val="00B92C4F"/>
    <w:rsid w:val="00B95196"/>
    <w:rsid w:val="00B9530E"/>
    <w:rsid w:val="00B95B12"/>
    <w:rsid w:val="00BA02A3"/>
    <w:rsid w:val="00BA14BA"/>
    <w:rsid w:val="00BA17A9"/>
    <w:rsid w:val="00BA30F2"/>
    <w:rsid w:val="00BA3736"/>
    <w:rsid w:val="00BA4EAC"/>
    <w:rsid w:val="00BA617C"/>
    <w:rsid w:val="00BA68B2"/>
    <w:rsid w:val="00BA7C51"/>
    <w:rsid w:val="00BA7E1E"/>
    <w:rsid w:val="00BA7E21"/>
    <w:rsid w:val="00BB18C4"/>
    <w:rsid w:val="00BB4BBA"/>
    <w:rsid w:val="00BB505E"/>
    <w:rsid w:val="00BB7324"/>
    <w:rsid w:val="00BB78A6"/>
    <w:rsid w:val="00BC0543"/>
    <w:rsid w:val="00BC11E8"/>
    <w:rsid w:val="00BC15FB"/>
    <w:rsid w:val="00BC16FF"/>
    <w:rsid w:val="00BC1721"/>
    <w:rsid w:val="00BC22CF"/>
    <w:rsid w:val="00BC3D6F"/>
    <w:rsid w:val="00BC4C6A"/>
    <w:rsid w:val="00BC57F5"/>
    <w:rsid w:val="00BC782B"/>
    <w:rsid w:val="00BD1D4D"/>
    <w:rsid w:val="00BD498B"/>
    <w:rsid w:val="00BD604B"/>
    <w:rsid w:val="00BD65CD"/>
    <w:rsid w:val="00BD6A7C"/>
    <w:rsid w:val="00BD768A"/>
    <w:rsid w:val="00BD7AFF"/>
    <w:rsid w:val="00BD7CA7"/>
    <w:rsid w:val="00BE13B9"/>
    <w:rsid w:val="00BE4FCF"/>
    <w:rsid w:val="00BE5827"/>
    <w:rsid w:val="00BE5DA9"/>
    <w:rsid w:val="00BE69FF"/>
    <w:rsid w:val="00BF0872"/>
    <w:rsid w:val="00BF1745"/>
    <w:rsid w:val="00BF19FA"/>
    <w:rsid w:val="00BF4C3E"/>
    <w:rsid w:val="00BF757A"/>
    <w:rsid w:val="00C017FF"/>
    <w:rsid w:val="00C01FBD"/>
    <w:rsid w:val="00C02090"/>
    <w:rsid w:val="00C022E9"/>
    <w:rsid w:val="00C03970"/>
    <w:rsid w:val="00C04AA0"/>
    <w:rsid w:val="00C060B9"/>
    <w:rsid w:val="00C06806"/>
    <w:rsid w:val="00C0746C"/>
    <w:rsid w:val="00C07ED9"/>
    <w:rsid w:val="00C11341"/>
    <w:rsid w:val="00C15A5E"/>
    <w:rsid w:val="00C17352"/>
    <w:rsid w:val="00C17507"/>
    <w:rsid w:val="00C17BFA"/>
    <w:rsid w:val="00C22767"/>
    <w:rsid w:val="00C22C2F"/>
    <w:rsid w:val="00C25992"/>
    <w:rsid w:val="00C267E3"/>
    <w:rsid w:val="00C27B64"/>
    <w:rsid w:val="00C30167"/>
    <w:rsid w:val="00C308DC"/>
    <w:rsid w:val="00C31AC5"/>
    <w:rsid w:val="00C31CE3"/>
    <w:rsid w:val="00C3206E"/>
    <w:rsid w:val="00C365F1"/>
    <w:rsid w:val="00C36EA2"/>
    <w:rsid w:val="00C37F27"/>
    <w:rsid w:val="00C40CC6"/>
    <w:rsid w:val="00C41E59"/>
    <w:rsid w:val="00C449B4"/>
    <w:rsid w:val="00C4510D"/>
    <w:rsid w:val="00C471D2"/>
    <w:rsid w:val="00C4754D"/>
    <w:rsid w:val="00C50A1C"/>
    <w:rsid w:val="00C514CD"/>
    <w:rsid w:val="00C5311E"/>
    <w:rsid w:val="00C5343D"/>
    <w:rsid w:val="00C54A52"/>
    <w:rsid w:val="00C5641F"/>
    <w:rsid w:val="00C60A5E"/>
    <w:rsid w:val="00C61028"/>
    <w:rsid w:val="00C61954"/>
    <w:rsid w:val="00C62B36"/>
    <w:rsid w:val="00C63219"/>
    <w:rsid w:val="00C632D8"/>
    <w:rsid w:val="00C64182"/>
    <w:rsid w:val="00C66EA0"/>
    <w:rsid w:val="00C70604"/>
    <w:rsid w:val="00C7392F"/>
    <w:rsid w:val="00C74920"/>
    <w:rsid w:val="00C7610F"/>
    <w:rsid w:val="00C773F9"/>
    <w:rsid w:val="00C775A1"/>
    <w:rsid w:val="00C77B0A"/>
    <w:rsid w:val="00C8091E"/>
    <w:rsid w:val="00C80EE0"/>
    <w:rsid w:val="00C8162B"/>
    <w:rsid w:val="00C816BA"/>
    <w:rsid w:val="00C81CA2"/>
    <w:rsid w:val="00C8291D"/>
    <w:rsid w:val="00C833B1"/>
    <w:rsid w:val="00C913EF"/>
    <w:rsid w:val="00C91C9D"/>
    <w:rsid w:val="00C939B9"/>
    <w:rsid w:val="00C93A2E"/>
    <w:rsid w:val="00C95F0B"/>
    <w:rsid w:val="00C96435"/>
    <w:rsid w:val="00C96BF3"/>
    <w:rsid w:val="00C97AFD"/>
    <w:rsid w:val="00CA17E1"/>
    <w:rsid w:val="00CA1E0F"/>
    <w:rsid w:val="00CA2484"/>
    <w:rsid w:val="00CA2910"/>
    <w:rsid w:val="00CA296D"/>
    <w:rsid w:val="00CA32BF"/>
    <w:rsid w:val="00CA32DC"/>
    <w:rsid w:val="00CA5D88"/>
    <w:rsid w:val="00CA5EA6"/>
    <w:rsid w:val="00CA6433"/>
    <w:rsid w:val="00CA647F"/>
    <w:rsid w:val="00CA69D7"/>
    <w:rsid w:val="00CA70D9"/>
    <w:rsid w:val="00CA79F7"/>
    <w:rsid w:val="00CB00DA"/>
    <w:rsid w:val="00CB5291"/>
    <w:rsid w:val="00CB644D"/>
    <w:rsid w:val="00CB7517"/>
    <w:rsid w:val="00CC016D"/>
    <w:rsid w:val="00CC01F2"/>
    <w:rsid w:val="00CC07FA"/>
    <w:rsid w:val="00CC0B97"/>
    <w:rsid w:val="00CC174B"/>
    <w:rsid w:val="00CC2B30"/>
    <w:rsid w:val="00CC3532"/>
    <w:rsid w:val="00CC5AC0"/>
    <w:rsid w:val="00CC6554"/>
    <w:rsid w:val="00CD00BC"/>
    <w:rsid w:val="00CD1954"/>
    <w:rsid w:val="00CD1F12"/>
    <w:rsid w:val="00CD34FF"/>
    <w:rsid w:val="00CD36CA"/>
    <w:rsid w:val="00CD37B5"/>
    <w:rsid w:val="00CD3B65"/>
    <w:rsid w:val="00CD3CB1"/>
    <w:rsid w:val="00CD43FA"/>
    <w:rsid w:val="00CD608D"/>
    <w:rsid w:val="00CD7616"/>
    <w:rsid w:val="00CD795A"/>
    <w:rsid w:val="00CE11DD"/>
    <w:rsid w:val="00CE30E7"/>
    <w:rsid w:val="00CE3283"/>
    <w:rsid w:val="00CE35FD"/>
    <w:rsid w:val="00CE4D95"/>
    <w:rsid w:val="00CE629D"/>
    <w:rsid w:val="00CF07E6"/>
    <w:rsid w:val="00CF226E"/>
    <w:rsid w:val="00CF2562"/>
    <w:rsid w:val="00CF33B6"/>
    <w:rsid w:val="00CF406F"/>
    <w:rsid w:val="00CF5521"/>
    <w:rsid w:val="00CF7D29"/>
    <w:rsid w:val="00D01FB8"/>
    <w:rsid w:val="00D021C2"/>
    <w:rsid w:val="00D02A81"/>
    <w:rsid w:val="00D04C65"/>
    <w:rsid w:val="00D04C90"/>
    <w:rsid w:val="00D062BE"/>
    <w:rsid w:val="00D06457"/>
    <w:rsid w:val="00D06776"/>
    <w:rsid w:val="00D068BB"/>
    <w:rsid w:val="00D0769E"/>
    <w:rsid w:val="00D07E73"/>
    <w:rsid w:val="00D115E6"/>
    <w:rsid w:val="00D13FEF"/>
    <w:rsid w:val="00D151E7"/>
    <w:rsid w:val="00D1730F"/>
    <w:rsid w:val="00D17787"/>
    <w:rsid w:val="00D17B1C"/>
    <w:rsid w:val="00D20593"/>
    <w:rsid w:val="00D22406"/>
    <w:rsid w:val="00D2384D"/>
    <w:rsid w:val="00D25869"/>
    <w:rsid w:val="00D25AC0"/>
    <w:rsid w:val="00D25C0A"/>
    <w:rsid w:val="00D25D86"/>
    <w:rsid w:val="00D263F1"/>
    <w:rsid w:val="00D26487"/>
    <w:rsid w:val="00D265C8"/>
    <w:rsid w:val="00D323C4"/>
    <w:rsid w:val="00D33F2B"/>
    <w:rsid w:val="00D340DB"/>
    <w:rsid w:val="00D34189"/>
    <w:rsid w:val="00D34CE8"/>
    <w:rsid w:val="00D34E19"/>
    <w:rsid w:val="00D3593A"/>
    <w:rsid w:val="00D36139"/>
    <w:rsid w:val="00D375D6"/>
    <w:rsid w:val="00D4001C"/>
    <w:rsid w:val="00D438F0"/>
    <w:rsid w:val="00D44372"/>
    <w:rsid w:val="00D443D4"/>
    <w:rsid w:val="00D4603C"/>
    <w:rsid w:val="00D5206B"/>
    <w:rsid w:val="00D52ADB"/>
    <w:rsid w:val="00D53161"/>
    <w:rsid w:val="00D5508F"/>
    <w:rsid w:val="00D55786"/>
    <w:rsid w:val="00D55EC2"/>
    <w:rsid w:val="00D55F02"/>
    <w:rsid w:val="00D60812"/>
    <w:rsid w:val="00D60A30"/>
    <w:rsid w:val="00D623DD"/>
    <w:rsid w:val="00D62D39"/>
    <w:rsid w:val="00D62FA0"/>
    <w:rsid w:val="00D632DB"/>
    <w:rsid w:val="00D63708"/>
    <w:rsid w:val="00D63B83"/>
    <w:rsid w:val="00D6481B"/>
    <w:rsid w:val="00D6609B"/>
    <w:rsid w:val="00D66900"/>
    <w:rsid w:val="00D67371"/>
    <w:rsid w:val="00D70935"/>
    <w:rsid w:val="00D724FE"/>
    <w:rsid w:val="00D759E5"/>
    <w:rsid w:val="00D77706"/>
    <w:rsid w:val="00D77A2F"/>
    <w:rsid w:val="00D80219"/>
    <w:rsid w:val="00D8128F"/>
    <w:rsid w:val="00D82717"/>
    <w:rsid w:val="00D82D31"/>
    <w:rsid w:val="00D82E17"/>
    <w:rsid w:val="00D83283"/>
    <w:rsid w:val="00D84645"/>
    <w:rsid w:val="00D859AC"/>
    <w:rsid w:val="00D86198"/>
    <w:rsid w:val="00D874EA"/>
    <w:rsid w:val="00D87704"/>
    <w:rsid w:val="00D878BD"/>
    <w:rsid w:val="00D90EDE"/>
    <w:rsid w:val="00D9165A"/>
    <w:rsid w:val="00D91EAA"/>
    <w:rsid w:val="00D92AC0"/>
    <w:rsid w:val="00D94DD8"/>
    <w:rsid w:val="00D96028"/>
    <w:rsid w:val="00DA1892"/>
    <w:rsid w:val="00DA22EF"/>
    <w:rsid w:val="00DA34B6"/>
    <w:rsid w:val="00DA36CA"/>
    <w:rsid w:val="00DA48A7"/>
    <w:rsid w:val="00DA5907"/>
    <w:rsid w:val="00DA6E22"/>
    <w:rsid w:val="00DA6E7B"/>
    <w:rsid w:val="00DA7022"/>
    <w:rsid w:val="00DB0AED"/>
    <w:rsid w:val="00DB10AB"/>
    <w:rsid w:val="00DB1F0A"/>
    <w:rsid w:val="00DB2B34"/>
    <w:rsid w:val="00DB3CCC"/>
    <w:rsid w:val="00DB53CB"/>
    <w:rsid w:val="00DB67F3"/>
    <w:rsid w:val="00DC11F9"/>
    <w:rsid w:val="00DC2867"/>
    <w:rsid w:val="00DC2BC4"/>
    <w:rsid w:val="00DC343A"/>
    <w:rsid w:val="00DD130F"/>
    <w:rsid w:val="00DD4131"/>
    <w:rsid w:val="00DD4387"/>
    <w:rsid w:val="00DD5B36"/>
    <w:rsid w:val="00DD7C42"/>
    <w:rsid w:val="00DE295D"/>
    <w:rsid w:val="00DE2B95"/>
    <w:rsid w:val="00DE45E9"/>
    <w:rsid w:val="00DE51F9"/>
    <w:rsid w:val="00DE52FB"/>
    <w:rsid w:val="00DE56BC"/>
    <w:rsid w:val="00DE7F8F"/>
    <w:rsid w:val="00DF03B9"/>
    <w:rsid w:val="00DF0C4B"/>
    <w:rsid w:val="00DF0F34"/>
    <w:rsid w:val="00DF1657"/>
    <w:rsid w:val="00DF36FD"/>
    <w:rsid w:val="00DF3718"/>
    <w:rsid w:val="00DF38F5"/>
    <w:rsid w:val="00DF6462"/>
    <w:rsid w:val="00DF6D4A"/>
    <w:rsid w:val="00E00B6A"/>
    <w:rsid w:val="00E01C2C"/>
    <w:rsid w:val="00E020B4"/>
    <w:rsid w:val="00E023F7"/>
    <w:rsid w:val="00E028E3"/>
    <w:rsid w:val="00E035A1"/>
    <w:rsid w:val="00E03911"/>
    <w:rsid w:val="00E049CB"/>
    <w:rsid w:val="00E04D19"/>
    <w:rsid w:val="00E05B4C"/>
    <w:rsid w:val="00E10691"/>
    <w:rsid w:val="00E1143F"/>
    <w:rsid w:val="00E1160F"/>
    <w:rsid w:val="00E116BC"/>
    <w:rsid w:val="00E11A5D"/>
    <w:rsid w:val="00E12377"/>
    <w:rsid w:val="00E12D42"/>
    <w:rsid w:val="00E12E5C"/>
    <w:rsid w:val="00E13986"/>
    <w:rsid w:val="00E14FF2"/>
    <w:rsid w:val="00E2059A"/>
    <w:rsid w:val="00E234C8"/>
    <w:rsid w:val="00E23FD9"/>
    <w:rsid w:val="00E241D9"/>
    <w:rsid w:val="00E24E21"/>
    <w:rsid w:val="00E26111"/>
    <w:rsid w:val="00E27F54"/>
    <w:rsid w:val="00E30277"/>
    <w:rsid w:val="00E308BB"/>
    <w:rsid w:val="00E313CE"/>
    <w:rsid w:val="00E3165C"/>
    <w:rsid w:val="00E3244D"/>
    <w:rsid w:val="00E32751"/>
    <w:rsid w:val="00E33895"/>
    <w:rsid w:val="00E3398B"/>
    <w:rsid w:val="00E33A3B"/>
    <w:rsid w:val="00E367DC"/>
    <w:rsid w:val="00E36D70"/>
    <w:rsid w:val="00E377C9"/>
    <w:rsid w:val="00E37B82"/>
    <w:rsid w:val="00E37D59"/>
    <w:rsid w:val="00E42E68"/>
    <w:rsid w:val="00E44A20"/>
    <w:rsid w:val="00E44C2A"/>
    <w:rsid w:val="00E453B2"/>
    <w:rsid w:val="00E46571"/>
    <w:rsid w:val="00E501E2"/>
    <w:rsid w:val="00E51651"/>
    <w:rsid w:val="00E550CC"/>
    <w:rsid w:val="00E55672"/>
    <w:rsid w:val="00E5616A"/>
    <w:rsid w:val="00E56FEA"/>
    <w:rsid w:val="00E60196"/>
    <w:rsid w:val="00E61F8D"/>
    <w:rsid w:val="00E63C2D"/>
    <w:rsid w:val="00E67590"/>
    <w:rsid w:val="00E67F1D"/>
    <w:rsid w:val="00E703B0"/>
    <w:rsid w:val="00E709FC"/>
    <w:rsid w:val="00E71ADD"/>
    <w:rsid w:val="00E73876"/>
    <w:rsid w:val="00E74575"/>
    <w:rsid w:val="00E74AD8"/>
    <w:rsid w:val="00E76CEE"/>
    <w:rsid w:val="00E77115"/>
    <w:rsid w:val="00E77286"/>
    <w:rsid w:val="00E77455"/>
    <w:rsid w:val="00E77A51"/>
    <w:rsid w:val="00E804D3"/>
    <w:rsid w:val="00E80AC4"/>
    <w:rsid w:val="00E816A6"/>
    <w:rsid w:val="00E81DB4"/>
    <w:rsid w:val="00E82C77"/>
    <w:rsid w:val="00E84A30"/>
    <w:rsid w:val="00E857F8"/>
    <w:rsid w:val="00E86ECC"/>
    <w:rsid w:val="00E87CB3"/>
    <w:rsid w:val="00E91141"/>
    <w:rsid w:val="00E925A6"/>
    <w:rsid w:val="00E945AC"/>
    <w:rsid w:val="00E94859"/>
    <w:rsid w:val="00E94C30"/>
    <w:rsid w:val="00E955C4"/>
    <w:rsid w:val="00E95C4B"/>
    <w:rsid w:val="00E965EE"/>
    <w:rsid w:val="00E9683E"/>
    <w:rsid w:val="00E96ECC"/>
    <w:rsid w:val="00E9744A"/>
    <w:rsid w:val="00E97657"/>
    <w:rsid w:val="00EA2A51"/>
    <w:rsid w:val="00EA3F51"/>
    <w:rsid w:val="00EA536C"/>
    <w:rsid w:val="00EA7A63"/>
    <w:rsid w:val="00EB0052"/>
    <w:rsid w:val="00EB0FBB"/>
    <w:rsid w:val="00EB215C"/>
    <w:rsid w:val="00EB3768"/>
    <w:rsid w:val="00EB3A44"/>
    <w:rsid w:val="00EB5817"/>
    <w:rsid w:val="00EB5D26"/>
    <w:rsid w:val="00EB7522"/>
    <w:rsid w:val="00EB7D69"/>
    <w:rsid w:val="00EC223C"/>
    <w:rsid w:val="00EC2870"/>
    <w:rsid w:val="00EC2AC1"/>
    <w:rsid w:val="00EC4184"/>
    <w:rsid w:val="00EC7BA7"/>
    <w:rsid w:val="00ED0CB1"/>
    <w:rsid w:val="00ED230B"/>
    <w:rsid w:val="00ED3570"/>
    <w:rsid w:val="00ED368F"/>
    <w:rsid w:val="00ED3B71"/>
    <w:rsid w:val="00ED4A3F"/>
    <w:rsid w:val="00ED4FDE"/>
    <w:rsid w:val="00ED6D87"/>
    <w:rsid w:val="00EE1DB5"/>
    <w:rsid w:val="00EE3357"/>
    <w:rsid w:val="00EF00C9"/>
    <w:rsid w:val="00EF023A"/>
    <w:rsid w:val="00EF0C29"/>
    <w:rsid w:val="00EF30E2"/>
    <w:rsid w:val="00EF3119"/>
    <w:rsid w:val="00EF3282"/>
    <w:rsid w:val="00EF6C64"/>
    <w:rsid w:val="00F002AB"/>
    <w:rsid w:val="00F00F89"/>
    <w:rsid w:val="00F013B9"/>
    <w:rsid w:val="00F016BB"/>
    <w:rsid w:val="00F0237A"/>
    <w:rsid w:val="00F039CF"/>
    <w:rsid w:val="00F05335"/>
    <w:rsid w:val="00F0536E"/>
    <w:rsid w:val="00F05D39"/>
    <w:rsid w:val="00F06333"/>
    <w:rsid w:val="00F10E47"/>
    <w:rsid w:val="00F12F6E"/>
    <w:rsid w:val="00F13CBC"/>
    <w:rsid w:val="00F14855"/>
    <w:rsid w:val="00F21417"/>
    <w:rsid w:val="00F21E4B"/>
    <w:rsid w:val="00F22A72"/>
    <w:rsid w:val="00F231CE"/>
    <w:rsid w:val="00F2385F"/>
    <w:rsid w:val="00F247C8"/>
    <w:rsid w:val="00F25BF4"/>
    <w:rsid w:val="00F2635E"/>
    <w:rsid w:val="00F278B9"/>
    <w:rsid w:val="00F30AFD"/>
    <w:rsid w:val="00F318C5"/>
    <w:rsid w:val="00F3199A"/>
    <w:rsid w:val="00F319A5"/>
    <w:rsid w:val="00F33B1D"/>
    <w:rsid w:val="00F343E0"/>
    <w:rsid w:val="00F360B3"/>
    <w:rsid w:val="00F40A28"/>
    <w:rsid w:val="00F41232"/>
    <w:rsid w:val="00F41319"/>
    <w:rsid w:val="00F421E6"/>
    <w:rsid w:val="00F4303A"/>
    <w:rsid w:val="00F44BC3"/>
    <w:rsid w:val="00F475D0"/>
    <w:rsid w:val="00F5118A"/>
    <w:rsid w:val="00F555B0"/>
    <w:rsid w:val="00F6162A"/>
    <w:rsid w:val="00F66759"/>
    <w:rsid w:val="00F67474"/>
    <w:rsid w:val="00F67967"/>
    <w:rsid w:val="00F67CF6"/>
    <w:rsid w:val="00F72651"/>
    <w:rsid w:val="00F7301E"/>
    <w:rsid w:val="00F8175E"/>
    <w:rsid w:val="00F81B05"/>
    <w:rsid w:val="00F81F15"/>
    <w:rsid w:val="00F82049"/>
    <w:rsid w:val="00F82C9F"/>
    <w:rsid w:val="00F8388A"/>
    <w:rsid w:val="00F84E80"/>
    <w:rsid w:val="00F87537"/>
    <w:rsid w:val="00F90D7D"/>
    <w:rsid w:val="00F947DC"/>
    <w:rsid w:val="00F9781A"/>
    <w:rsid w:val="00FA057C"/>
    <w:rsid w:val="00FA086F"/>
    <w:rsid w:val="00FA0D16"/>
    <w:rsid w:val="00FA185B"/>
    <w:rsid w:val="00FA60BF"/>
    <w:rsid w:val="00FA6883"/>
    <w:rsid w:val="00FA7405"/>
    <w:rsid w:val="00FB0D12"/>
    <w:rsid w:val="00FB1CB4"/>
    <w:rsid w:val="00FB23B5"/>
    <w:rsid w:val="00FB3D40"/>
    <w:rsid w:val="00FB44EB"/>
    <w:rsid w:val="00FB675F"/>
    <w:rsid w:val="00FC11A3"/>
    <w:rsid w:val="00FC1300"/>
    <w:rsid w:val="00FC1C93"/>
    <w:rsid w:val="00FC42A3"/>
    <w:rsid w:val="00FC55F9"/>
    <w:rsid w:val="00FC60D4"/>
    <w:rsid w:val="00FC77AE"/>
    <w:rsid w:val="00FC7D9F"/>
    <w:rsid w:val="00FD2BAD"/>
    <w:rsid w:val="00FD2F51"/>
    <w:rsid w:val="00FD330C"/>
    <w:rsid w:val="00FD3660"/>
    <w:rsid w:val="00FD484C"/>
    <w:rsid w:val="00FD49D6"/>
    <w:rsid w:val="00FD55FB"/>
    <w:rsid w:val="00FD569D"/>
    <w:rsid w:val="00FD678B"/>
    <w:rsid w:val="00FD6903"/>
    <w:rsid w:val="00FE1ADC"/>
    <w:rsid w:val="00FE225D"/>
    <w:rsid w:val="00FE4989"/>
    <w:rsid w:val="00FE5C3E"/>
    <w:rsid w:val="00FF0A2F"/>
    <w:rsid w:val="00FF1B04"/>
    <w:rsid w:val="00FF22F8"/>
    <w:rsid w:val="01654C82"/>
    <w:rsid w:val="01762056"/>
    <w:rsid w:val="020A6A96"/>
    <w:rsid w:val="0356786B"/>
    <w:rsid w:val="046E31C1"/>
    <w:rsid w:val="04D000CD"/>
    <w:rsid w:val="056C4F65"/>
    <w:rsid w:val="06DC14F1"/>
    <w:rsid w:val="06F4696E"/>
    <w:rsid w:val="070D4A6E"/>
    <w:rsid w:val="07245E56"/>
    <w:rsid w:val="09FB7353"/>
    <w:rsid w:val="0BFB57AC"/>
    <w:rsid w:val="0C023D8C"/>
    <w:rsid w:val="0C225D7B"/>
    <w:rsid w:val="0E9022D3"/>
    <w:rsid w:val="0E94232E"/>
    <w:rsid w:val="0E9C63FD"/>
    <w:rsid w:val="0EDE05BD"/>
    <w:rsid w:val="0F025487"/>
    <w:rsid w:val="0F1306D5"/>
    <w:rsid w:val="10365F82"/>
    <w:rsid w:val="10AB63B0"/>
    <w:rsid w:val="11295396"/>
    <w:rsid w:val="15281C66"/>
    <w:rsid w:val="162D7D4E"/>
    <w:rsid w:val="163E2FB7"/>
    <w:rsid w:val="1679438D"/>
    <w:rsid w:val="17622796"/>
    <w:rsid w:val="19F32D28"/>
    <w:rsid w:val="1A2A6519"/>
    <w:rsid w:val="1A48157B"/>
    <w:rsid w:val="1AAA799F"/>
    <w:rsid w:val="1B9930ED"/>
    <w:rsid w:val="1BAC7095"/>
    <w:rsid w:val="1BD70953"/>
    <w:rsid w:val="1BF87698"/>
    <w:rsid w:val="1E585AB7"/>
    <w:rsid w:val="1EB160C2"/>
    <w:rsid w:val="1FF145B9"/>
    <w:rsid w:val="20D06EBD"/>
    <w:rsid w:val="214307CE"/>
    <w:rsid w:val="2193546F"/>
    <w:rsid w:val="24C95570"/>
    <w:rsid w:val="258014A3"/>
    <w:rsid w:val="26F50BA9"/>
    <w:rsid w:val="27BD5E26"/>
    <w:rsid w:val="285E4249"/>
    <w:rsid w:val="29026D00"/>
    <w:rsid w:val="2B4508F2"/>
    <w:rsid w:val="2EA644DF"/>
    <w:rsid w:val="2EBB5686"/>
    <w:rsid w:val="2EFA4D05"/>
    <w:rsid w:val="2F39151C"/>
    <w:rsid w:val="2FB532A0"/>
    <w:rsid w:val="30992BC6"/>
    <w:rsid w:val="30E6036C"/>
    <w:rsid w:val="319C4BEA"/>
    <w:rsid w:val="32091D6C"/>
    <w:rsid w:val="34C829B2"/>
    <w:rsid w:val="34D415A6"/>
    <w:rsid w:val="35381804"/>
    <w:rsid w:val="36146FAD"/>
    <w:rsid w:val="36703FD5"/>
    <w:rsid w:val="386A3F56"/>
    <w:rsid w:val="3A4F1B57"/>
    <w:rsid w:val="3A810EF7"/>
    <w:rsid w:val="3A842191"/>
    <w:rsid w:val="3ACF0F3F"/>
    <w:rsid w:val="3B7626CB"/>
    <w:rsid w:val="3C33206E"/>
    <w:rsid w:val="3C3802E9"/>
    <w:rsid w:val="3CA45BF8"/>
    <w:rsid w:val="3DD344D5"/>
    <w:rsid w:val="3E586AB8"/>
    <w:rsid w:val="3E5C1B1D"/>
    <w:rsid w:val="3EAE14E9"/>
    <w:rsid w:val="3FD261A6"/>
    <w:rsid w:val="42EB2F9C"/>
    <w:rsid w:val="439D563D"/>
    <w:rsid w:val="443C724B"/>
    <w:rsid w:val="45226963"/>
    <w:rsid w:val="48395719"/>
    <w:rsid w:val="4D39606F"/>
    <w:rsid w:val="4EB642FA"/>
    <w:rsid w:val="4F8E3D4D"/>
    <w:rsid w:val="5171747E"/>
    <w:rsid w:val="51AC45F8"/>
    <w:rsid w:val="53063B85"/>
    <w:rsid w:val="533C1961"/>
    <w:rsid w:val="53B3493A"/>
    <w:rsid w:val="53E0776B"/>
    <w:rsid w:val="5537323C"/>
    <w:rsid w:val="55855837"/>
    <w:rsid w:val="55E83741"/>
    <w:rsid w:val="56503211"/>
    <w:rsid w:val="577F73B2"/>
    <w:rsid w:val="580710CE"/>
    <w:rsid w:val="58CC0C7D"/>
    <w:rsid w:val="598B567E"/>
    <w:rsid w:val="59FC0590"/>
    <w:rsid w:val="5A562B62"/>
    <w:rsid w:val="5BA35A94"/>
    <w:rsid w:val="5BDD586B"/>
    <w:rsid w:val="5C542B50"/>
    <w:rsid w:val="5C624734"/>
    <w:rsid w:val="5FE91ABC"/>
    <w:rsid w:val="60DF590F"/>
    <w:rsid w:val="628E734C"/>
    <w:rsid w:val="62BD3A82"/>
    <w:rsid w:val="6580603B"/>
    <w:rsid w:val="66A34D18"/>
    <w:rsid w:val="682A44E1"/>
    <w:rsid w:val="68C7223A"/>
    <w:rsid w:val="68EF6886"/>
    <w:rsid w:val="6A8739CF"/>
    <w:rsid w:val="6BA41787"/>
    <w:rsid w:val="6C2B2E22"/>
    <w:rsid w:val="6C3E6390"/>
    <w:rsid w:val="6E7022BA"/>
    <w:rsid w:val="6E897322"/>
    <w:rsid w:val="6EAA7DFD"/>
    <w:rsid w:val="6FDD1093"/>
    <w:rsid w:val="709C0126"/>
    <w:rsid w:val="71E0199B"/>
    <w:rsid w:val="732C4B81"/>
    <w:rsid w:val="73D736B7"/>
    <w:rsid w:val="73DA7A67"/>
    <w:rsid w:val="742C558A"/>
    <w:rsid w:val="74452CE3"/>
    <w:rsid w:val="76022652"/>
    <w:rsid w:val="768501BE"/>
    <w:rsid w:val="76C8601E"/>
    <w:rsid w:val="770C74D3"/>
    <w:rsid w:val="77150144"/>
    <w:rsid w:val="792C5CB8"/>
    <w:rsid w:val="7BC65D6D"/>
    <w:rsid w:val="7BEA1CFE"/>
    <w:rsid w:val="7D803772"/>
    <w:rsid w:val="7D80556D"/>
    <w:rsid w:val="7DB632AB"/>
    <w:rsid w:val="7E3713F1"/>
    <w:rsid w:val="7ED86E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9"/>
    <w:qFormat/>
    <w:uiPriority w:val="0"/>
    <w:pPr>
      <w:keepNext/>
      <w:keepLines/>
      <w:spacing w:before="260" w:after="260" w:line="413" w:lineRule="auto"/>
      <w:outlineLvl w:val="1"/>
    </w:pPr>
    <w:rPr>
      <w:rFonts w:ascii="Arial" w:hAnsi="Arial" w:eastAsia="黑体" w:cs="Times New Roman"/>
      <w:b/>
      <w:sz w:val="32"/>
      <w:szCs w:val="20"/>
    </w:rPr>
  </w:style>
  <w:style w:type="paragraph" w:styleId="4">
    <w:name w:val="heading 3"/>
    <w:basedOn w:val="1"/>
    <w:next w:val="1"/>
    <w:link w:val="50"/>
    <w:qFormat/>
    <w:uiPriority w:val="0"/>
    <w:pPr>
      <w:keepNext/>
      <w:keepLines/>
      <w:spacing w:before="260" w:after="260" w:line="413" w:lineRule="auto"/>
      <w:outlineLvl w:val="2"/>
    </w:pPr>
    <w:rPr>
      <w:rFonts w:ascii="Times New Roman" w:hAnsi="Times New Roman" w:cs="Times New Roman"/>
      <w:b/>
      <w:sz w:val="32"/>
      <w:szCs w:val="20"/>
    </w:rPr>
  </w:style>
  <w:style w:type="paragraph" w:styleId="5">
    <w:name w:val="heading 4"/>
    <w:basedOn w:val="1"/>
    <w:next w:val="1"/>
    <w:link w:val="5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Times New Roman" w:hAnsi="Times New Roman" w:cs="Times New Roman"/>
      <w:szCs w:val="20"/>
    </w:rPr>
  </w:style>
  <w:style w:type="paragraph" w:styleId="7">
    <w:name w:val="Document Map"/>
    <w:basedOn w:val="1"/>
    <w:link w:val="62"/>
    <w:qFormat/>
    <w:uiPriority w:val="0"/>
    <w:pPr>
      <w:shd w:val="clear" w:color="auto" w:fill="000080"/>
    </w:pPr>
    <w:rPr>
      <w:rFonts w:ascii="Times New Roman" w:hAnsi="Times New Roman" w:cs="Times New Roman"/>
      <w:szCs w:val="20"/>
    </w:rPr>
  </w:style>
  <w:style w:type="paragraph" w:styleId="8">
    <w:name w:val="annotation text"/>
    <w:basedOn w:val="1"/>
    <w:link w:val="36"/>
    <w:qFormat/>
    <w:uiPriority w:val="99"/>
    <w:pPr>
      <w:widowControl/>
      <w:jc w:val="left"/>
    </w:pPr>
    <w:rPr>
      <w:rFonts w:ascii="宋体" w:hAnsi="宋体"/>
      <w:kern w:val="0"/>
      <w:sz w:val="24"/>
      <w:szCs w:val="24"/>
    </w:rPr>
  </w:style>
  <w:style w:type="paragraph" w:styleId="9">
    <w:name w:val="Body Text"/>
    <w:basedOn w:val="1"/>
    <w:link w:val="55"/>
    <w:qFormat/>
    <w:uiPriority w:val="0"/>
    <w:pPr>
      <w:autoSpaceDE w:val="0"/>
      <w:autoSpaceDN w:val="0"/>
      <w:adjustRightInd w:val="0"/>
      <w:spacing w:line="360" w:lineRule="auto"/>
      <w:jc w:val="left"/>
    </w:pPr>
    <w:rPr>
      <w:rFonts w:ascii="宋体"/>
      <w:kern w:val="0"/>
      <w:sz w:val="20"/>
      <w:szCs w:val="20"/>
    </w:rPr>
  </w:style>
  <w:style w:type="paragraph" w:styleId="10">
    <w:name w:val="toc 3"/>
    <w:basedOn w:val="1"/>
    <w:next w:val="1"/>
    <w:qFormat/>
    <w:uiPriority w:val="39"/>
    <w:pPr>
      <w:widowControl/>
      <w:spacing w:after="100" w:line="276" w:lineRule="auto"/>
      <w:ind w:left="440"/>
      <w:jc w:val="left"/>
    </w:pPr>
    <w:rPr>
      <w:kern w:val="0"/>
      <w:sz w:val="22"/>
    </w:rPr>
  </w:style>
  <w:style w:type="paragraph" w:styleId="11">
    <w:name w:val="Plain Text"/>
    <w:basedOn w:val="1"/>
    <w:link w:val="63"/>
    <w:qFormat/>
    <w:uiPriority w:val="0"/>
    <w:pPr>
      <w:adjustRightInd w:val="0"/>
      <w:spacing w:line="312" w:lineRule="atLeast"/>
      <w:textAlignment w:val="baseline"/>
    </w:pPr>
    <w:rPr>
      <w:rFonts w:ascii="宋体" w:hAnsi="Courier New" w:cs="Times New Roman"/>
      <w:kern w:val="0"/>
      <w:szCs w:val="20"/>
    </w:rPr>
  </w:style>
  <w:style w:type="paragraph" w:styleId="12">
    <w:name w:val="Body Text Indent 2"/>
    <w:basedOn w:val="1"/>
    <w:link w:val="70"/>
    <w:qFormat/>
    <w:uiPriority w:val="0"/>
    <w:pPr>
      <w:spacing w:line="360" w:lineRule="auto"/>
      <w:ind w:firstLine="425"/>
    </w:pPr>
    <w:rPr>
      <w:rFonts w:ascii="仿宋_GB2312" w:hAnsi="Times New Roman" w:eastAsia="仿宋_GB2312" w:cs="Times New Roman"/>
      <w:sz w:val="28"/>
      <w:szCs w:val="20"/>
    </w:rPr>
  </w:style>
  <w:style w:type="paragraph" w:styleId="13">
    <w:name w:val="Balloon Text"/>
    <w:basedOn w:val="1"/>
    <w:link w:val="37"/>
    <w:qFormat/>
    <w:uiPriority w:val="99"/>
    <w:rPr>
      <w:sz w:val="18"/>
      <w:szCs w:val="18"/>
    </w:rPr>
  </w:style>
  <w:style w:type="paragraph" w:styleId="14">
    <w:name w:val="footer"/>
    <w:basedOn w:val="1"/>
    <w:link w:val="33"/>
    <w:qFormat/>
    <w:uiPriority w:val="99"/>
    <w:pPr>
      <w:tabs>
        <w:tab w:val="center" w:pos="4153"/>
        <w:tab w:val="right" w:pos="8306"/>
      </w:tabs>
      <w:snapToGrid w:val="0"/>
      <w:jc w:val="left"/>
    </w:pPr>
    <w:rPr>
      <w:sz w:val="18"/>
      <w:szCs w:val="18"/>
    </w:rPr>
  </w:style>
  <w:style w:type="paragraph" w:styleId="15">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widowControl/>
      <w:spacing w:after="100" w:line="276" w:lineRule="auto"/>
      <w:jc w:val="left"/>
    </w:pPr>
    <w:rPr>
      <w:kern w:val="0"/>
      <w:sz w:val="22"/>
    </w:rPr>
  </w:style>
  <w:style w:type="paragraph" w:styleId="17">
    <w:name w:val="footnote text"/>
    <w:basedOn w:val="1"/>
    <w:link w:val="71"/>
    <w:qFormat/>
    <w:uiPriority w:val="0"/>
    <w:pPr>
      <w:snapToGrid w:val="0"/>
      <w:jc w:val="left"/>
    </w:pPr>
    <w:rPr>
      <w:rFonts w:ascii="Times New Roman" w:hAnsi="Times New Roman" w:cs="Times New Roman"/>
      <w:sz w:val="18"/>
      <w:szCs w:val="20"/>
    </w:rPr>
  </w:style>
  <w:style w:type="paragraph" w:styleId="18">
    <w:name w:val="Body Text Indent 3"/>
    <w:basedOn w:val="1"/>
    <w:link w:val="69"/>
    <w:qFormat/>
    <w:uiPriority w:val="0"/>
    <w:pPr>
      <w:autoSpaceDE w:val="0"/>
      <w:autoSpaceDN w:val="0"/>
      <w:adjustRightInd w:val="0"/>
      <w:spacing w:line="360" w:lineRule="auto"/>
      <w:ind w:left="420" w:firstLine="435"/>
    </w:pPr>
    <w:rPr>
      <w:rFonts w:ascii="Times New Roman" w:hAnsi="Times New Roman" w:cs="Times New Roman"/>
      <w:color w:val="0000FF"/>
      <w:szCs w:val="20"/>
    </w:rPr>
  </w:style>
  <w:style w:type="paragraph" w:styleId="19">
    <w:name w:val="toc 2"/>
    <w:basedOn w:val="1"/>
    <w:next w:val="1"/>
    <w:qFormat/>
    <w:uiPriority w:val="39"/>
    <w:pPr>
      <w:widowControl/>
      <w:spacing w:after="100" w:line="276" w:lineRule="auto"/>
      <w:ind w:left="220"/>
      <w:jc w:val="left"/>
    </w:pPr>
    <w:rPr>
      <w:kern w:val="0"/>
      <w:sz w:val="22"/>
    </w:rPr>
  </w:style>
  <w:style w:type="paragraph" w:styleId="20">
    <w:name w:val="HTML Preformatted"/>
    <w:basedOn w:val="1"/>
    <w:link w:val="4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1">
    <w:name w:val="Normal (Web)"/>
    <w:basedOn w:val="1"/>
    <w:qFormat/>
    <w:uiPriority w:val="0"/>
    <w:pPr>
      <w:widowControl/>
      <w:spacing w:before="100" w:beforeAutospacing="1" w:after="100" w:afterAutospacing="1"/>
      <w:jc w:val="left"/>
    </w:pPr>
    <w:rPr>
      <w:rFonts w:ascii="宋体" w:hAnsi="宋体"/>
      <w:kern w:val="0"/>
      <w:sz w:val="24"/>
      <w:szCs w:val="24"/>
    </w:rPr>
  </w:style>
  <w:style w:type="paragraph" w:styleId="22">
    <w:name w:val="Title"/>
    <w:basedOn w:val="1"/>
    <w:next w:val="1"/>
    <w:link w:val="54"/>
    <w:qFormat/>
    <w:uiPriority w:val="0"/>
    <w:pPr>
      <w:spacing w:before="240" w:after="60"/>
      <w:jc w:val="center"/>
      <w:outlineLvl w:val="0"/>
    </w:pPr>
    <w:rPr>
      <w:rFonts w:ascii="Cambria" w:hAnsi="Cambria"/>
      <w:b/>
      <w:sz w:val="32"/>
      <w:szCs w:val="20"/>
    </w:rPr>
  </w:style>
  <w:style w:type="paragraph" w:styleId="23">
    <w:name w:val="annotation subject"/>
    <w:basedOn w:val="8"/>
    <w:next w:val="8"/>
    <w:link w:val="42"/>
    <w:qFormat/>
    <w:uiPriority w:val="0"/>
    <w:pPr>
      <w:widowControl w:val="0"/>
    </w:pPr>
    <w:rPr>
      <w:rFonts w:ascii="Calibri" w:hAnsi="Calibri"/>
      <w:b/>
      <w:bCs/>
      <w:kern w:val="2"/>
      <w:sz w:val="21"/>
      <w:szCs w:val="22"/>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basedOn w:val="26"/>
    <w:unhideWhenUsed/>
    <w:qFormat/>
    <w:uiPriority w:val="99"/>
    <w:rPr>
      <w:color w:val="0000FF" w:themeColor="hyperlink"/>
      <w:u w:val="single"/>
    </w:rPr>
  </w:style>
  <w:style w:type="character" w:styleId="30">
    <w:name w:val="annotation reference"/>
    <w:qFormat/>
    <w:uiPriority w:val="99"/>
    <w:rPr>
      <w:sz w:val="21"/>
      <w:szCs w:val="21"/>
    </w:rPr>
  </w:style>
  <w:style w:type="character" w:styleId="31">
    <w:name w:val="footnote reference"/>
    <w:qFormat/>
    <w:uiPriority w:val="0"/>
    <w:rPr>
      <w:vertAlign w:val="superscript"/>
    </w:rPr>
  </w:style>
  <w:style w:type="character" w:customStyle="1" w:styleId="32">
    <w:name w:val="页眉 Char"/>
    <w:basedOn w:val="26"/>
    <w:link w:val="15"/>
    <w:qFormat/>
    <w:uiPriority w:val="99"/>
    <w:rPr>
      <w:sz w:val="18"/>
      <w:szCs w:val="18"/>
    </w:rPr>
  </w:style>
  <w:style w:type="character" w:customStyle="1" w:styleId="33">
    <w:name w:val="页脚 Char"/>
    <w:basedOn w:val="26"/>
    <w:link w:val="14"/>
    <w:qFormat/>
    <w:uiPriority w:val="99"/>
    <w:rPr>
      <w:sz w:val="18"/>
      <w:szCs w:val="18"/>
    </w:rPr>
  </w:style>
  <w:style w:type="paragraph" w:customStyle="1" w:styleId="3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
    <w:name w:val="a"/>
    <w:basedOn w:val="1"/>
    <w:qFormat/>
    <w:uiPriority w:val="99"/>
    <w:pPr>
      <w:widowControl/>
      <w:spacing w:before="100" w:beforeAutospacing="1" w:after="100" w:afterAutospacing="1"/>
      <w:jc w:val="left"/>
    </w:pPr>
    <w:rPr>
      <w:rFonts w:ascii="宋体" w:hAnsi="宋体"/>
      <w:kern w:val="0"/>
      <w:sz w:val="24"/>
      <w:szCs w:val="24"/>
    </w:rPr>
  </w:style>
  <w:style w:type="character" w:customStyle="1" w:styleId="36">
    <w:name w:val="批注文字 Char"/>
    <w:basedOn w:val="26"/>
    <w:link w:val="8"/>
    <w:qFormat/>
    <w:uiPriority w:val="99"/>
    <w:rPr>
      <w:rFonts w:ascii="宋体" w:hAnsi="宋体" w:eastAsia="宋体" w:cs="宋体"/>
      <w:kern w:val="0"/>
      <w:sz w:val="24"/>
      <w:szCs w:val="24"/>
    </w:rPr>
  </w:style>
  <w:style w:type="character" w:customStyle="1" w:styleId="37">
    <w:name w:val="批注框文本 Char"/>
    <w:basedOn w:val="26"/>
    <w:link w:val="13"/>
    <w:qFormat/>
    <w:uiPriority w:val="99"/>
    <w:rPr>
      <w:sz w:val="18"/>
      <w:szCs w:val="18"/>
    </w:rPr>
  </w:style>
  <w:style w:type="paragraph" w:styleId="38">
    <w:name w:val="List Paragraph"/>
    <w:basedOn w:val="1"/>
    <w:qFormat/>
    <w:uiPriority w:val="0"/>
    <w:pPr>
      <w:ind w:firstLine="420" w:firstLineChars="200"/>
    </w:pPr>
  </w:style>
  <w:style w:type="character" w:customStyle="1" w:styleId="39">
    <w:name w:val="标题 1 Char"/>
    <w:basedOn w:val="26"/>
    <w:link w:val="2"/>
    <w:qFormat/>
    <w:uiPriority w:val="9"/>
    <w:rPr>
      <w:b/>
      <w:bCs/>
      <w:kern w:val="44"/>
      <w:sz w:val="44"/>
      <w:szCs w:val="44"/>
    </w:rPr>
  </w:style>
  <w:style w:type="paragraph" w:customStyle="1" w:styleId="40">
    <w:name w:val="TOC 标题1"/>
    <w:basedOn w:val="2"/>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1">
    <w:name w:val="修订1"/>
    <w:qFormat/>
    <w:uiPriority w:val="99"/>
    <w:rPr>
      <w:rFonts w:ascii="Calibri" w:hAnsi="Calibri" w:eastAsia="宋体" w:cs="宋体"/>
      <w:kern w:val="2"/>
      <w:sz w:val="21"/>
      <w:szCs w:val="22"/>
      <w:lang w:val="en-US" w:eastAsia="zh-CN" w:bidi="ar-SA"/>
    </w:rPr>
  </w:style>
  <w:style w:type="character" w:customStyle="1" w:styleId="42">
    <w:name w:val="批注主题 Char"/>
    <w:basedOn w:val="36"/>
    <w:link w:val="23"/>
    <w:qFormat/>
    <w:uiPriority w:val="99"/>
    <w:rPr>
      <w:rFonts w:ascii="宋体" w:hAnsi="宋体" w:eastAsia="宋体" w:cs="宋体"/>
      <w:b/>
      <w:bCs/>
      <w:kern w:val="0"/>
      <w:sz w:val="24"/>
      <w:szCs w:val="24"/>
    </w:rPr>
  </w:style>
  <w:style w:type="character" w:customStyle="1" w:styleId="43">
    <w:name w:val="HTML 预设格式 Char"/>
    <w:basedOn w:val="26"/>
    <w:link w:val="20"/>
    <w:qFormat/>
    <w:uiPriority w:val="99"/>
    <w:rPr>
      <w:rFonts w:ascii="宋体" w:hAnsi="宋体" w:eastAsia="宋体" w:cs="宋体"/>
      <w:kern w:val="0"/>
      <w:sz w:val="24"/>
      <w:szCs w:val="24"/>
    </w:rPr>
  </w:style>
  <w:style w:type="paragraph" w:customStyle="1" w:styleId="44">
    <w:name w:val="p0"/>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5">
    <w:name w:val="修订2"/>
    <w:hidden/>
    <w:semiHidden/>
    <w:qFormat/>
    <w:uiPriority w:val="99"/>
    <w:rPr>
      <w:rFonts w:ascii="Calibri" w:hAnsi="Calibri" w:eastAsia="宋体" w:cs="宋体"/>
      <w:kern w:val="2"/>
      <w:sz w:val="21"/>
      <w:szCs w:val="22"/>
      <w:lang w:val="en-US" w:eastAsia="zh-CN" w:bidi="ar-SA"/>
    </w:rPr>
  </w:style>
  <w:style w:type="character" w:customStyle="1" w:styleId="46">
    <w:name w:val="批注文字 Char1"/>
    <w:basedOn w:val="26"/>
    <w:qFormat/>
    <w:uiPriority w:val="0"/>
    <w:rPr>
      <w:kern w:val="2"/>
      <w:sz w:val="21"/>
    </w:rPr>
  </w:style>
  <w:style w:type="paragraph" w:customStyle="1" w:styleId="47">
    <w:name w:val="修订3"/>
    <w:hidden/>
    <w:semiHidden/>
    <w:qFormat/>
    <w:uiPriority w:val="99"/>
    <w:rPr>
      <w:rFonts w:ascii="Calibri" w:hAnsi="Calibri" w:eastAsia="宋体" w:cs="宋体"/>
      <w:kern w:val="2"/>
      <w:sz w:val="21"/>
      <w:szCs w:val="22"/>
      <w:lang w:val="en-US" w:eastAsia="zh-CN" w:bidi="ar-SA"/>
    </w:rPr>
  </w:style>
  <w:style w:type="paragraph" w:customStyle="1" w:styleId="48">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49">
    <w:name w:val="标题 2 Char"/>
    <w:basedOn w:val="26"/>
    <w:link w:val="3"/>
    <w:qFormat/>
    <w:uiPriority w:val="0"/>
    <w:rPr>
      <w:rFonts w:ascii="Arial" w:hAnsi="Arial" w:eastAsia="黑体" w:cs="Times New Roman"/>
      <w:b/>
      <w:kern w:val="2"/>
      <w:sz w:val="32"/>
    </w:rPr>
  </w:style>
  <w:style w:type="character" w:customStyle="1" w:styleId="50">
    <w:name w:val="标题 3 Char"/>
    <w:basedOn w:val="26"/>
    <w:link w:val="4"/>
    <w:qFormat/>
    <w:uiPriority w:val="0"/>
    <w:rPr>
      <w:rFonts w:ascii="Times New Roman" w:hAnsi="Times New Roman" w:cs="Times New Roman"/>
      <w:b/>
      <w:kern w:val="2"/>
      <w:sz w:val="32"/>
    </w:rPr>
  </w:style>
  <w:style w:type="character" w:customStyle="1" w:styleId="51">
    <w:name w:val="标题 4 Char"/>
    <w:basedOn w:val="26"/>
    <w:link w:val="5"/>
    <w:semiHidden/>
    <w:qFormat/>
    <w:uiPriority w:val="9"/>
    <w:rPr>
      <w:rFonts w:asciiTheme="majorHAnsi" w:hAnsiTheme="majorHAnsi" w:eastAsiaTheme="majorEastAsia" w:cstheme="majorBidi"/>
      <w:b/>
      <w:bCs/>
      <w:kern w:val="2"/>
      <w:sz w:val="28"/>
      <w:szCs w:val="28"/>
    </w:rPr>
  </w:style>
  <w:style w:type="character" w:customStyle="1" w:styleId="52">
    <w:name w:val="unnamed11"/>
    <w:qFormat/>
    <w:uiPriority w:val="0"/>
    <w:rPr>
      <w:rFonts w:hint="eastAsia" w:ascii="宋体" w:hAnsi="宋体" w:eastAsia="宋体"/>
      <w:sz w:val="18"/>
    </w:rPr>
  </w:style>
  <w:style w:type="character" w:customStyle="1" w:styleId="53">
    <w:name w:val="read"/>
    <w:basedOn w:val="26"/>
    <w:qFormat/>
    <w:uiPriority w:val="0"/>
  </w:style>
  <w:style w:type="character" w:customStyle="1" w:styleId="54">
    <w:name w:val="标题 Char"/>
    <w:link w:val="22"/>
    <w:qFormat/>
    <w:uiPriority w:val="0"/>
    <w:rPr>
      <w:rFonts w:ascii="Cambria" w:hAnsi="Cambria"/>
      <w:b/>
      <w:kern w:val="2"/>
      <w:sz w:val="32"/>
    </w:rPr>
  </w:style>
  <w:style w:type="character" w:customStyle="1" w:styleId="55">
    <w:name w:val="正文文本 Char"/>
    <w:link w:val="9"/>
    <w:qFormat/>
    <w:uiPriority w:val="0"/>
    <w:rPr>
      <w:rFonts w:ascii="宋体"/>
    </w:rPr>
  </w:style>
  <w:style w:type="paragraph" w:customStyle="1" w:styleId="56">
    <w:name w:val="Char"/>
    <w:basedOn w:val="1"/>
    <w:qFormat/>
    <w:uiPriority w:val="0"/>
    <w:rPr>
      <w:rFonts w:ascii="Times New Roman" w:hAnsi="Times New Roman" w:cs="Times New Roman"/>
      <w:szCs w:val="20"/>
    </w:rPr>
  </w:style>
  <w:style w:type="paragraph" w:customStyle="1" w:styleId="57">
    <w:name w:val="Char Char Char Char"/>
    <w:basedOn w:val="1"/>
    <w:qFormat/>
    <w:uiPriority w:val="0"/>
    <w:pPr>
      <w:tabs>
        <w:tab w:val="left" w:pos="360"/>
      </w:tabs>
    </w:pPr>
    <w:rPr>
      <w:rFonts w:ascii="Times New Roman" w:hAnsi="Times New Roman" w:cs="Times New Roman"/>
      <w:szCs w:val="20"/>
    </w:rPr>
  </w:style>
  <w:style w:type="paragraph" w:customStyle="1" w:styleId="58">
    <w:name w:val="Char Char1"/>
    <w:basedOn w:val="1"/>
    <w:qFormat/>
    <w:uiPriority w:val="0"/>
    <w:rPr>
      <w:rFonts w:ascii="Times New Roman" w:hAnsi="Times New Roman" w:cs="Times New Roman"/>
      <w:szCs w:val="20"/>
    </w:rPr>
  </w:style>
  <w:style w:type="paragraph" w:customStyle="1" w:styleId="59">
    <w:name w:val="unnamed1"/>
    <w:basedOn w:val="1"/>
    <w:qFormat/>
    <w:uiPriority w:val="0"/>
    <w:pPr>
      <w:spacing w:before="60" w:after="60"/>
      <w:ind w:left="15" w:right="15"/>
    </w:pPr>
    <w:rPr>
      <w:rFonts w:hint="eastAsia" w:ascii="宋体" w:hAnsi="宋体" w:cs="Times New Roman"/>
      <w:color w:val="000000"/>
      <w:sz w:val="18"/>
      <w:szCs w:val="18"/>
    </w:rPr>
  </w:style>
  <w:style w:type="paragraph" w:customStyle="1" w:styleId="60">
    <w:name w:val="正文正文"/>
    <w:basedOn w:val="1"/>
    <w:qFormat/>
    <w:uiPriority w:val="0"/>
    <w:pPr>
      <w:spacing w:afterLines="25" w:line="360" w:lineRule="auto"/>
      <w:ind w:firstLine="200" w:firstLineChars="200"/>
    </w:pPr>
    <w:rPr>
      <w:rFonts w:ascii="Times New Roman" w:hAnsi="Times New Roman" w:cs="Times New Roman"/>
      <w:sz w:val="24"/>
      <w:szCs w:val="20"/>
    </w:rPr>
  </w:style>
  <w:style w:type="paragraph" w:customStyle="1" w:styleId="61">
    <w:name w:val="Char2"/>
    <w:basedOn w:val="1"/>
    <w:qFormat/>
    <w:uiPriority w:val="0"/>
    <w:rPr>
      <w:rFonts w:ascii="Times New Roman" w:hAnsi="Times New Roman" w:cs="Times New Roman"/>
      <w:szCs w:val="20"/>
    </w:rPr>
  </w:style>
  <w:style w:type="character" w:customStyle="1" w:styleId="62">
    <w:name w:val="文档结构图 Char"/>
    <w:basedOn w:val="26"/>
    <w:link w:val="7"/>
    <w:qFormat/>
    <w:uiPriority w:val="0"/>
    <w:rPr>
      <w:rFonts w:ascii="Times New Roman" w:hAnsi="Times New Roman" w:cs="Times New Roman"/>
      <w:kern w:val="2"/>
      <w:sz w:val="21"/>
      <w:shd w:val="clear" w:color="auto" w:fill="000080"/>
    </w:rPr>
  </w:style>
  <w:style w:type="character" w:customStyle="1" w:styleId="63">
    <w:name w:val="纯文本 Char"/>
    <w:basedOn w:val="26"/>
    <w:link w:val="11"/>
    <w:qFormat/>
    <w:uiPriority w:val="0"/>
    <w:rPr>
      <w:rFonts w:ascii="宋体" w:hAnsi="Courier New" w:cs="Times New Roman"/>
      <w:sz w:val="21"/>
    </w:rPr>
  </w:style>
  <w:style w:type="paragraph" w:customStyle="1" w:styleId="64">
    <w:name w:val="Char Char"/>
    <w:basedOn w:val="1"/>
    <w:qFormat/>
    <w:uiPriority w:val="0"/>
    <w:rPr>
      <w:rFonts w:ascii="Times New Roman" w:hAnsi="Times New Roman" w:cs="Times New Roman"/>
      <w:szCs w:val="20"/>
    </w:rPr>
  </w:style>
  <w:style w:type="character" w:customStyle="1" w:styleId="65">
    <w:name w:val="正文文本 Char1"/>
    <w:basedOn w:val="26"/>
    <w:semiHidden/>
    <w:qFormat/>
    <w:uiPriority w:val="99"/>
    <w:rPr>
      <w:kern w:val="2"/>
      <w:sz w:val="21"/>
      <w:szCs w:val="22"/>
    </w:rPr>
  </w:style>
  <w:style w:type="character" w:customStyle="1" w:styleId="66">
    <w:name w:val="标题 Char1"/>
    <w:basedOn w:val="26"/>
    <w:qFormat/>
    <w:uiPriority w:val="10"/>
    <w:rPr>
      <w:rFonts w:asciiTheme="majorHAnsi" w:hAnsiTheme="majorHAnsi" w:cstheme="majorBidi"/>
      <w:b/>
      <w:bCs/>
      <w:kern w:val="2"/>
      <w:sz w:val="32"/>
      <w:szCs w:val="32"/>
    </w:rPr>
  </w:style>
  <w:style w:type="paragraph" w:customStyle="1" w:styleId="67">
    <w:name w:val="Char Char Char"/>
    <w:basedOn w:val="1"/>
    <w:qFormat/>
    <w:uiPriority w:val="0"/>
    <w:rPr>
      <w:rFonts w:ascii="Times New Roman" w:hAnsi="Times New Roman" w:cs="Times New Roman"/>
      <w:szCs w:val="20"/>
    </w:rPr>
  </w:style>
  <w:style w:type="paragraph" w:customStyle="1" w:styleId="68">
    <w:name w:val="msonormal1"/>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69">
    <w:name w:val="正文文本缩进 3 Char"/>
    <w:basedOn w:val="26"/>
    <w:link w:val="18"/>
    <w:qFormat/>
    <w:uiPriority w:val="0"/>
    <w:rPr>
      <w:rFonts w:ascii="Times New Roman" w:hAnsi="Times New Roman" w:cs="Times New Roman"/>
      <w:color w:val="0000FF"/>
      <w:kern w:val="2"/>
      <w:sz w:val="21"/>
    </w:rPr>
  </w:style>
  <w:style w:type="character" w:customStyle="1" w:styleId="70">
    <w:name w:val="正文文本缩进 2 Char"/>
    <w:basedOn w:val="26"/>
    <w:link w:val="12"/>
    <w:qFormat/>
    <w:uiPriority w:val="0"/>
    <w:rPr>
      <w:rFonts w:ascii="仿宋_GB2312" w:hAnsi="Times New Roman" w:eastAsia="仿宋_GB2312" w:cs="Times New Roman"/>
      <w:kern w:val="2"/>
      <w:sz w:val="28"/>
    </w:rPr>
  </w:style>
  <w:style w:type="character" w:customStyle="1" w:styleId="71">
    <w:name w:val="脚注文本 Char"/>
    <w:basedOn w:val="26"/>
    <w:link w:val="17"/>
    <w:qFormat/>
    <w:uiPriority w:val="0"/>
    <w:rPr>
      <w:rFonts w:ascii="Times New Roman" w:hAnsi="Times New Roman" w:cs="Times New Roman"/>
      <w:kern w:val="2"/>
      <w:sz w:val="18"/>
    </w:rPr>
  </w:style>
  <w:style w:type="paragraph" w:customStyle="1" w:styleId="72">
    <w:name w:val="List_bullet"/>
    <w:basedOn w:val="1"/>
    <w:qFormat/>
    <w:uiPriority w:val="0"/>
    <w:pPr>
      <w:widowControl/>
      <w:numPr>
        <w:ilvl w:val="0"/>
        <w:numId w:val="1"/>
      </w:numPr>
      <w:jc w:val="left"/>
    </w:pPr>
    <w:rPr>
      <w:rFonts w:ascii="Times New Roman" w:hAnsi="Times New Roman" w:cs="Times New Roman"/>
      <w:kern w:val="0"/>
      <w:sz w:val="24"/>
      <w:szCs w:val="20"/>
    </w:rPr>
  </w:style>
  <w:style w:type="paragraph" w:customStyle="1" w:styleId="73">
    <w:name w:val="InfoBlue"/>
    <w:basedOn w:val="1"/>
    <w:next w:val="9"/>
    <w:qFormat/>
    <w:uiPriority w:val="0"/>
    <w:pPr>
      <w:tabs>
        <w:tab w:val="left" w:pos="420"/>
      </w:tabs>
      <w:spacing w:after="120" w:line="240" w:lineRule="atLeast"/>
      <w:ind w:left="420" w:hanging="420"/>
      <w:jc w:val="left"/>
    </w:pPr>
    <w:rPr>
      <w:rFonts w:ascii="宋体" w:hAnsi="宋体" w:cs="Times New Roman"/>
      <w:szCs w:val="20"/>
    </w:rPr>
  </w:style>
  <w:style w:type="paragraph" w:customStyle="1" w:styleId="74">
    <w:name w:val="正文所"/>
    <w:basedOn w:val="1"/>
    <w:qFormat/>
    <w:uiPriority w:val="0"/>
    <w:pPr>
      <w:spacing w:line="360" w:lineRule="auto"/>
      <w:ind w:firstLine="420" w:firstLineChars="200"/>
    </w:pPr>
    <w:rPr>
      <w:rFonts w:ascii="宋体" w:hAnsi="Times New Roman" w:cs="Times New Roman"/>
      <w:szCs w:val="20"/>
    </w:rPr>
  </w:style>
  <w:style w:type="paragraph" w:customStyle="1" w:styleId="75">
    <w:name w:val="Char Char6"/>
    <w:basedOn w:val="1"/>
    <w:qFormat/>
    <w:uiPriority w:val="0"/>
    <w:rPr>
      <w:rFonts w:ascii="Times New Roman" w:hAnsi="Times New Roman" w:cs="Times New Roman"/>
      <w:szCs w:val="20"/>
    </w:rPr>
  </w:style>
  <w:style w:type="paragraph" w:customStyle="1" w:styleId="76">
    <w:name w:val="Char Char Char Char1"/>
    <w:basedOn w:val="1"/>
    <w:qFormat/>
    <w:uiPriority w:val="0"/>
    <w:pPr>
      <w:tabs>
        <w:tab w:val="left" w:pos="360"/>
      </w:tabs>
    </w:pPr>
    <w:rPr>
      <w:rFonts w:ascii="Times New Roman" w:hAnsi="Times New Roman" w:cs="Times New Roman"/>
      <w:szCs w:val="20"/>
    </w:rPr>
  </w:style>
  <w:style w:type="paragraph" w:customStyle="1" w:styleId="77">
    <w:name w:val="Char Char11"/>
    <w:basedOn w:val="1"/>
    <w:qFormat/>
    <w:uiPriority w:val="0"/>
    <w:rPr>
      <w:rFonts w:ascii="Times New Roman" w:hAnsi="Times New Roman" w:cs="Times New Roman"/>
      <w:szCs w:val="20"/>
    </w:rPr>
  </w:style>
  <w:style w:type="paragraph" w:customStyle="1" w:styleId="78">
    <w:name w:val="Char1"/>
    <w:basedOn w:val="1"/>
    <w:qFormat/>
    <w:uiPriority w:val="0"/>
    <w:rPr>
      <w:rFonts w:ascii="Times New Roman" w:hAnsi="Times New Roman" w:cs="Times New Roman"/>
      <w:szCs w:val="20"/>
    </w:rPr>
  </w:style>
  <w:style w:type="paragraph" w:customStyle="1" w:styleId="79">
    <w:name w:val="Char Char5"/>
    <w:basedOn w:val="1"/>
    <w:qFormat/>
    <w:uiPriority w:val="0"/>
    <w:rPr>
      <w:rFonts w:ascii="Times New Roman" w:hAnsi="Times New Roman" w:cs="Times New Roman"/>
      <w:szCs w:val="20"/>
    </w:rPr>
  </w:style>
  <w:style w:type="paragraph" w:customStyle="1" w:styleId="80">
    <w:name w:val="Char Char Char1"/>
    <w:basedOn w:val="1"/>
    <w:qFormat/>
    <w:uiPriority w:val="0"/>
    <w:rPr>
      <w:rFonts w:ascii="Times New Roman" w:hAnsi="Times New Roman" w:cs="Times New Roman"/>
      <w:szCs w:val="20"/>
    </w:rPr>
  </w:style>
  <w:style w:type="paragraph" w:customStyle="1" w:styleId="81">
    <w:name w:val="Char Char4"/>
    <w:basedOn w:val="1"/>
    <w:qFormat/>
    <w:uiPriority w:val="0"/>
    <w:rPr>
      <w:rFonts w:ascii="Times New Roman" w:hAnsi="Times New Roman" w:cs="Times New Roman"/>
      <w:szCs w:val="20"/>
    </w:rPr>
  </w:style>
  <w:style w:type="paragraph" w:customStyle="1" w:styleId="82">
    <w:name w:val="Char Char3"/>
    <w:basedOn w:val="1"/>
    <w:qFormat/>
    <w:uiPriority w:val="0"/>
    <w:rPr>
      <w:rFonts w:ascii="Times New Roman" w:hAnsi="Times New Roman" w:cs="Times New Roman"/>
      <w:szCs w:val="20"/>
    </w:rPr>
  </w:style>
  <w:style w:type="paragraph" w:customStyle="1" w:styleId="83">
    <w:name w:val="Char Char2"/>
    <w:basedOn w:val="1"/>
    <w:qFormat/>
    <w:uiPriority w:val="0"/>
    <w:rPr>
      <w:rFonts w:ascii="Times New Roman" w:hAnsi="Times New Roman" w:cs="Times New Roman"/>
      <w:szCs w:val="20"/>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修订4"/>
    <w:hidden/>
    <w:semiHidden/>
    <w:qFormat/>
    <w:uiPriority w:val="99"/>
    <w:rPr>
      <w:rFonts w:ascii="Calibri" w:hAnsi="Calibri" w:eastAsia="宋体" w:cs="宋体"/>
      <w:kern w:val="2"/>
      <w:sz w:val="21"/>
      <w:szCs w:val="22"/>
      <w:lang w:val="en-US" w:eastAsia="zh-CN" w:bidi="ar-SA"/>
    </w:rPr>
  </w:style>
  <w:style w:type="paragraph" w:customStyle="1" w:styleId="86">
    <w:name w:val="正文2"/>
    <w:qFormat/>
    <w:uiPriority w:val="0"/>
    <w:pPr>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customXml" Target="../customXml/item17.xml"/><Relationship Id="rId26" Type="http://schemas.openxmlformats.org/officeDocument/2006/relationships/customXml" Target="../customXml/item16.xml"/><Relationship Id="rId25" Type="http://schemas.openxmlformats.org/officeDocument/2006/relationships/customXml" Target="../customXml/item15.xml"/><Relationship Id="rId24" Type="http://schemas.openxmlformats.org/officeDocument/2006/relationships/customXml" Target="../customXml/item14.xml"/><Relationship Id="rId23" Type="http://schemas.openxmlformats.org/officeDocument/2006/relationships/customXml" Target="../customXml/item13.xml"/><Relationship Id="rId22" Type="http://schemas.openxmlformats.org/officeDocument/2006/relationships/customXml" Target="../customXml/item12.xml"/><Relationship Id="rId21" Type="http://schemas.openxmlformats.org/officeDocument/2006/relationships/customXml" Target="../customXml/item11.xml"/><Relationship Id="rId20" Type="http://schemas.openxmlformats.org/officeDocument/2006/relationships/customXml" Target="../customXml/item10.xml"/><Relationship Id="rId2" Type="http://schemas.openxmlformats.org/officeDocument/2006/relationships/settings" Target="settings.xml"/><Relationship Id="rId19" Type="http://schemas.openxmlformats.org/officeDocument/2006/relationships/customXml" Target="../customXml/item9.xml"/><Relationship Id="rId18" Type="http://schemas.openxmlformats.org/officeDocument/2006/relationships/customXml" Target="../customXml/item8.xml"/><Relationship Id="rId17" Type="http://schemas.openxmlformats.org/officeDocument/2006/relationships/customXml" Target="../customXml/item7.xml"/><Relationship Id="rId16" Type="http://schemas.openxmlformats.org/officeDocument/2006/relationships/customXml" Target="../customXml/item6.xml"/><Relationship Id="rId15" Type="http://schemas.openxmlformats.org/officeDocument/2006/relationships/customXml" Target="../customXml/item5.xml"/><Relationship Id="rId14" Type="http://schemas.openxmlformats.org/officeDocument/2006/relationships/customXml" Target="../customXml/item4.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b:Sources xmlns:b="http://schemas.openxmlformats.org/officeDocument/2006/bibliography" xmlns="http://schemas.openxmlformats.org/officeDocument/2006/bibliography" SelectedStyle="\APASixthEditionOfficeOnline.xsl" StyleName="APA" Version="6"/>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AC86F3EB-DB57-4B60-8A7E-BBB67A22EE0B}">
  <ds:schemaRefs/>
</ds:datastoreItem>
</file>

<file path=customXml/itemProps2.xml><?xml version="1.0" encoding="utf-8"?>
<ds:datastoreItem xmlns:ds="http://schemas.openxmlformats.org/officeDocument/2006/customXml" ds:itemID="{D902962D-C8CC-43BF-804A-CD60AE6D7475}">
  <ds:schemaRefs/>
</ds:datastoreItem>
</file>

<file path=customXml/itemProps3.xml><?xml version="1.0" encoding="utf-8"?>
<ds:datastoreItem xmlns:ds="http://schemas.openxmlformats.org/officeDocument/2006/customXml" ds:itemID="{1990A2D8-324F-45D5-B9CD-07245ED2860B}">
  <ds:schemaRefs/>
</ds:datastoreItem>
</file>

<file path=customXml/itemProps4.xml><?xml version="1.0" encoding="utf-8"?>
<ds:datastoreItem xmlns:ds="http://schemas.openxmlformats.org/officeDocument/2006/customXml" ds:itemID="{A06CD169-7F5C-4082-81B2-6ECAA9AF6149}">
  <ds:schemaRefs/>
</ds:datastoreItem>
</file>

<file path=customXml/itemProps5.xml><?xml version="1.0" encoding="utf-8"?>
<ds:datastoreItem xmlns:ds="http://schemas.openxmlformats.org/officeDocument/2006/customXml" ds:itemID="{BEEE0313-55EB-45FA-BBBD-C0232D367255}">
  <ds:schemaRefs/>
</ds:datastoreItem>
</file>

<file path=customXml/itemProps6.xml><?xml version="1.0" encoding="utf-8"?>
<ds:datastoreItem xmlns:ds="http://schemas.openxmlformats.org/officeDocument/2006/customXml" ds:itemID="{79B37214-9E52-4241-8DD2-9E9CD9442006}">
  <ds:schemaRefs/>
</ds:datastoreItem>
</file>

<file path=customXml/itemProps7.xml><?xml version="1.0" encoding="utf-8"?>
<ds:datastoreItem xmlns:ds="http://schemas.openxmlformats.org/officeDocument/2006/customXml" ds:itemID="{3A3C3A8D-C5E4-45AF-8B48-C3BF528808AD}">
  <ds:schemaRefs/>
</ds:datastoreItem>
</file>

<file path=customXml/itemProps8.xml><?xml version="1.0" encoding="utf-8"?>
<ds:datastoreItem xmlns:ds="http://schemas.openxmlformats.org/officeDocument/2006/customXml" ds:itemID="{1A3BDF38-4832-4575-A8AB-7A1679738229}">
  <ds:schemaRefs/>
</ds:datastoreItem>
</file>

<file path=customXml/itemProps9.xml><?xml version="1.0" encoding="utf-8"?>
<ds:datastoreItem xmlns:ds="http://schemas.openxmlformats.org/officeDocument/2006/customXml" ds:itemID="{C8078508-040C-47CC-948F-773C87055200}">
  <ds:schemaRefs/>
</ds:datastoreItem>
</file>

<file path=customXml/itemProps10.xml><?xml version="1.0" encoding="utf-8"?>
<ds:datastoreItem xmlns:ds="http://schemas.openxmlformats.org/officeDocument/2006/customXml" ds:itemID="{9114D43D-ED98-4C7B-A3AE-26D78B80CA82}">
  <ds:schemaRefs/>
</ds:datastoreItem>
</file>

<file path=customXml/itemProps11.xml><?xml version="1.0" encoding="utf-8"?>
<ds:datastoreItem xmlns:ds="http://schemas.openxmlformats.org/officeDocument/2006/customXml" ds:itemID="{0A7AA9EF-3B8C-4BAA-9155-A6E3E5337D3C}">
  <ds:schemaRefs/>
</ds:datastoreItem>
</file>

<file path=customXml/itemProps12.xml><?xml version="1.0" encoding="utf-8"?>
<ds:datastoreItem xmlns:ds="http://schemas.openxmlformats.org/officeDocument/2006/customXml" ds:itemID="{509BA638-9D3A-4AA3-A169-FF78BC0E4BE9}">
  <ds:schemaRefs/>
</ds:datastoreItem>
</file>

<file path=customXml/itemProps13.xml><?xml version="1.0" encoding="utf-8"?>
<ds:datastoreItem xmlns:ds="http://schemas.openxmlformats.org/officeDocument/2006/customXml" ds:itemID="{7E5C9D84-6DB6-48FB-8632-D5279FC233C8}">
  <ds:schemaRefs/>
</ds:datastoreItem>
</file>

<file path=customXml/itemProps14.xml><?xml version="1.0" encoding="utf-8"?>
<ds:datastoreItem xmlns:ds="http://schemas.openxmlformats.org/officeDocument/2006/customXml" ds:itemID="{2108FF18-8EC8-4170-A536-1AA8E39CC797}">
  <ds:schemaRefs/>
</ds:datastoreItem>
</file>

<file path=customXml/itemProps15.xml><?xml version="1.0" encoding="utf-8"?>
<ds:datastoreItem xmlns:ds="http://schemas.openxmlformats.org/officeDocument/2006/customXml" ds:itemID="{CF487381-D648-48A1-B1E4-A4540B0D3650}">
  <ds:schemaRefs/>
</ds:datastoreItem>
</file>

<file path=customXml/itemProps16.xml><?xml version="1.0" encoding="utf-8"?>
<ds:datastoreItem xmlns:ds="http://schemas.openxmlformats.org/officeDocument/2006/customXml" ds:itemID="{E6D3D55C-3DD8-4C31-8069-E5508DD844FB}">
  <ds:schemaRefs/>
</ds:datastoreItem>
</file>

<file path=customXml/itemProps17.xml><?xml version="1.0" encoding="utf-8"?>
<ds:datastoreItem xmlns:ds="http://schemas.openxmlformats.org/officeDocument/2006/customXml" ds:itemID="{EC45DDBE-A426-47CA-BC62-D025DE29F1B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38</Pages>
  <Words>4267</Words>
  <Characters>24325</Characters>
  <Lines>202</Lines>
  <Paragraphs>57</Paragraphs>
  <TotalTime>0</TotalTime>
  <ScaleCrop>false</ScaleCrop>
  <LinksUpToDate>false</LinksUpToDate>
  <CharactersWithSpaces>28535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2023-08-08T11:06:00Z</dcterms:created>
  <dc:creator>张淼雯</dc:creator>
  <cp:lastModifiedBy>cib</cp:lastModifiedBy>
  <cp:lastPrinted>2022-01-18T08:37:00Z</cp:lastPrinted>
  <dcterms:modified xsi:type="dcterms:W3CDTF">2026-02-09T03:30:28Z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5466F5ED04264CD88390FDC4DDCA6BAE</vt:lpwstr>
  </property>
</Properties>
</file>