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r>
        <w:rPr>
          <w:rFonts w:hint="eastAsia" w:ascii="黑体" w:hAnsi="黑体" w:eastAsia="黑体"/>
          <w:b/>
          <w:sz w:val="28"/>
          <w:szCs w:val="28"/>
        </w:rPr>
        <w:t>兴银理财稳添利</w:t>
      </w:r>
      <w:r>
        <w:rPr>
          <w:rStyle w:val="11"/>
          <w:rFonts w:hint="eastAsia" w:ascii="黑体" w:hAnsi="黑体" w:eastAsia="黑体"/>
          <w:sz w:val="28"/>
          <w:szCs w:val="28"/>
        </w:rPr>
        <w:t>日盈</w:t>
      </w:r>
      <w:bookmarkStart w:id="0" w:name="_GoBack"/>
      <w:bookmarkEnd w:id="0"/>
      <w:r>
        <w:rPr>
          <w:rFonts w:hint="eastAsia" w:ascii="黑体" w:hAnsi="黑体" w:eastAsia="黑体"/>
          <w:b/>
          <w:sz w:val="28"/>
          <w:szCs w:val="28"/>
        </w:rPr>
        <w:t>日开固收类理财产品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个人投资者适用</w:t>
            </w: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姓名</w:t>
            </w:r>
          </w:p>
        </w:tc>
        <w:tc>
          <w:tcPr>
            <w:tcW w:w="5061" w:type="dxa"/>
            <w:gridSpan w:val="3"/>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电子邮箱</w:t>
            </w:r>
          </w:p>
        </w:tc>
        <w:tc>
          <w:tcPr>
            <w:tcW w:w="2443" w:type="dxa"/>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w:t>
            </w:r>
            <w:r>
              <w:rPr>
                <w:rFonts w:ascii="宋体" w:hAnsi="宋体"/>
                <w:b/>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
                <w:bCs/>
                <w:sz w:val="18"/>
                <w:szCs w:val="18"/>
              </w:rPr>
            </w:pPr>
            <w:r>
              <w:rPr>
                <w:rFonts w:hint="eastAsia" w:ascii="宋体" w:hAnsi="宋体"/>
                <w:b/>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hAnsi="宋体"/>
                <w:sz w:val="18"/>
                <w:szCs w:val="18"/>
              </w:rPr>
              <w:t>★</w:t>
            </w:r>
            <w:r>
              <w:rPr>
                <w:rFonts w:hint="eastAsia" w:ascii="宋体" w:hAnsi="宋体"/>
                <w:b/>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机构简介</w:t>
            </w:r>
          </w:p>
        </w:tc>
        <w:tc>
          <w:tcPr>
            <w:tcW w:w="5061" w:type="dxa"/>
            <w:gridSpan w:val="3"/>
            <w:shd w:val="solid" w:color="FFFFFF" w:fill="FFFFFF"/>
            <w:vAlign w:val="center"/>
          </w:tcPr>
          <w:p>
            <w:pPr>
              <w:pStyle w:val="16"/>
              <w:jc w:val="both"/>
              <w:rPr>
                <w:rFonts w:hAnsi="宋体"/>
                <w:bCs/>
                <w:sz w:val="18"/>
                <w:szCs w:val="18"/>
              </w:rPr>
            </w:pPr>
            <w:r>
              <w:rPr>
                <w:rFonts w:asciiTheme="majorEastAsia" w:hAnsiTheme="majorEastAsia" w:eastAsiaTheme="majorEastAsia"/>
                <w:bCs/>
                <w:sz w:val="18"/>
                <w:szCs w:val="18"/>
              </w:rPr>
              <w:t>兴业银行成立于1988年8月，是经国务院、中国人民银行批准成立的首批股份制商业银行之一，总行设在福建省福州市，2007年2月5日正式在上海证券交易所挂牌上市（股票代码：601166），注册资本127.02亿元。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w:t>
      </w:r>
      <w:r>
        <w:rPr>
          <w:rFonts w:ascii="宋体" w:hAnsi="宋体" w:cs="仿宋_GB2312"/>
          <w:kern w:val="0"/>
          <w:sz w:val="18"/>
          <w:szCs w:val="18"/>
        </w:rPr>
        <w:t>乙方销售性质</w:t>
      </w:r>
    </w:p>
    <w:p>
      <w:pPr>
        <w:widowControl/>
        <w:spacing w:line="360" w:lineRule="auto"/>
        <w:jc w:val="left"/>
        <w:rPr>
          <w:rFonts w:ascii="宋体" w:hAnsi="宋体" w:cs="仿宋_GB2312"/>
          <w:kern w:val="0"/>
          <w:sz w:val="18"/>
          <w:szCs w:val="18"/>
        </w:rPr>
      </w:pPr>
      <w:r>
        <w:rPr>
          <w:rFonts w:hint="eastAsia" w:asciiTheme="majorEastAsia" w:hAnsiTheme="majorEastAsia" w:eastAsiaTheme="majorEastAsia"/>
          <w:bCs/>
          <w:sz w:val="18"/>
          <w:szCs w:val="18"/>
        </w:rPr>
        <w:t xml:space="preserve">□ </w:t>
      </w:r>
      <w:r>
        <w:rPr>
          <w:rFonts w:hint="eastAsia" w:ascii="宋体" w:hAnsi="宋体" w:cs="仿宋_GB2312"/>
          <w:kern w:val="0"/>
          <w:sz w:val="18"/>
          <w:szCs w:val="18"/>
        </w:rPr>
        <w:t>直销适用</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理财产品为乙方所发行的理财产品，乙方既作为理财产品的销售机构，又是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eastAsia="宋体" w:cs="宋体"/>
          <w:bCs/>
          <w:sz w:val="18"/>
          <w:szCs w:val="18"/>
        </w:rPr>
        <w:t>■</w:t>
      </w:r>
      <w:r>
        <w:rPr>
          <w:rFonts w:hint="eastAsia" w:ascii="宋体" w:hAnsi="宋体" w:cs="仿宋_GB2312"/>
          <w:kern w:val="0"/>
          <w:sz w:val="18"/>
          <w:szCs w:val="18"/>
        </w:rPr>
        <w:t>代销适用</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w:t>
      </w:r>
      <w:r>
        <w:rPr>
          <w:rFonts w:hint="eastAsia" w:ascii="宋体" w:hAnsi="宋体"/>
          <w:kern w:val="0"/>
          <w:sz w:val="18"/>
        </w:rPr>
        <w:t>乙方作为</w:t>
      </w:r>
      <w:r>
        <w:rPr>
          <w:rFonts w:ascii="宋体" w:hAnsi="宋体"/>
          <w:kern w:val="0"/>
          <w:sz w:val="18"/>
        </w:rPr>
        <w:t>销售机构</w:t>
      </w:r>
      <w:r>
        <w:rPr>
          <w:rFonts w:hint="eastAsia" w:ascii="宋体" w:hAnsi="宋体"/>
          <w:kern w:val="0"/>
          <w:sz w:val="18"/>
        </w:rPr>
        <w:t>将理财产品分为【</w:t>
      </w:r>
      <w:r>
        <w:rPr>
          <w:rFonts w:hint="eastAsia" w:ascii="宋体" w:hAnsi="宋体"/>
          <w:kern w:val="0"/>
          <w:sz w:val="18"/>
          <w:lang w:val="en-US" w:eastAsia="zh-CN"/>
        </w:rPr>
        <w:t>6</w:t>
      </w:r>
      <w:r>
        <w:rPr>
          <w:rFonts w:hint="eastAsia" w:ascii="宋体" w:hAnsi="宋体"/>
          <w:kern w:val="0"/>
          <w:sz w:val="18"/>
        </w:rPr>
        <w:t>】个风险等级</w:t>
      </w:r>
      <w:r>
        <w:rPr>
          <w:rFonts w:ascii="宋体" w:hAnsi="宋体"/>
          <w:kern w:val="0"/>
          <w:sz w:val="18"/>
        </w:rPr>
        <w:t>：</w:t>
      </w:r>
      <w:r>
        <w:rPr>
          <w:rFonts w:hint="eastAsia" w:ascii="宋体" w:hAnsi="宋体"/>
          <w:kern w:val="0"/>
          <w:sz w:val="18"/>
        </w:rPr>
        <w:t>【□</w:t>
      </w:r>
      <w:r>
        <w:rPr>
          <w:rFonts w:ascii="宋体" w:hAnsi="宋体"/>
          <w:kern w:val="0"/>
          <w:sz w:val="18"/>
        </w:rPr>
        <w:t>R1、□R2、□ R3、</w:t>
      </w:r>
      <w:r>
        <w:rPr>
          <w:rFonts w:hint="eastAsia" w:ascii="宋体" w:hAnsi="宋体"/>
          <w:kern w:val="0"/>
          <w:sz w:val="18"/>
        </w:rPr>
        <w:t>□</w:t>
      </w:r>
      <w:r>
        <w:rPr>
          <w:rFonts w:ascii="宋体" w:hAnsi="宋体"/>
          <w:kern w:val="0"/>
          <w:sz w:val="18"/>
        </w:rPr>
        <w:t xml:space="preserve"> R4、</w:t>
      </w:r>
      <w:r>
        <w:rPr>
          <w:rFonts w:hint="eastAsia" w:ascii="宋体" w:hAnsi="宋体"/>
          <w:kern w:val="0"/>
          <w:sz w:val="18"/>
        </w:rPr>
        <w:t>□</w:t>
      </w:r>
      <w:r>
        <w:rPr>
          <w:rFonts w:ascii="宋体" w:hAnsi="宋体"/>
          <w:kern w:val="0"/>
          <w:sz w:val="18"/>
        </w:rPr>
        <w:t xml:space="preserve"> R5、</w:t>
      </w:r>
      <w:r>
        <w:rPr>
          <w:rFonts w:hint="eastAsia" w:ascii="宋体" w:hAnsi="宋体"/>
          <w:kern w:val="0"/>
          <w:sz w:val="18"/>
        </w:rPr>
        <w:t>□</w:t>
      </w:r>
      <w:r>
        <w:rPr>
          <w:rFonts w:ascii="宋体" w:hAnsi="宋体"/>
          <w:kern w:val="0"/>
          <w:sz w:val="18"/>
        </w:rPr>
        <w:t xml:space="preserve"> R</w:t>
      </w:r>
      <w:r>
        <w:rPr>
          <w:rFonts w:hint="eastAsia" w:ascii="宋体" w:hAnsi="宋体"/>
          <w:kern w:val="0"/>
          <w:sz w:val="18"/>
          <w:lang w:val="en-US" w:eastAsia="zh-CN"/>
        </w:rPr>
        <w:t>6</w:t>
      </w:r>
      <w:r>
        <w:rPr>
          <w:rFonts w:hint="eastAsia" w:ascii="宋体" w:hAnsi="宋体"/>
          <w:kern w:val="0"/>
          <w:sz w:val="18"/>
        </w:rPr>
        <w:t>】；根据投资者在乙方评估的风险承受能力，</w:t>
      </w:r>
      <w:r>
        <w:rPr>
          <w:rFonts w:ascii="宋体" w:hAnsi="宋体"/>
          <w:kern w:val="0"/>
          <w:sz w:val="18"/>
        </w:rPr>
        <w:t>乙方将投资者风险承受能力分为</w:t>
      </w:r>
      <w:r>
        <w:rPr>
          <w:rFonts w:hint="eastAsia" w:ascii="宋体" w:hAnsi="宋体"/>
          <w:kern w:val="0"/>
          <w:sz w:val="18"/>
        </w:rPr>
        <w:t>【</w:t>
      </w:r>
      <w:r>
        <w:rPr>
          <w:rFonts w:hint="eastAsia" w:ascii="宋体" w:hAnsi="宋体"/>
          <w:kern w:val="0"/>
          <w:sz w:val="18"/>
          <w:lang w:val="en-US" w:eastAsia="zh-CN"/>
        </w:rPr>
        <w:t>6</w:t>
      </w:r>
      <w:r>
        <w:rPr>
          <w:rFonts w:hint="eastAsia" w:ascii="宋体" w:hAnsi="宋体"/>
          <w:kern w:val="0"/>
          <w:sz w:val="18"/>
        </w:rPr>
        <w:t>】</w:t>
      </w:r>
      <w:r>
        <w:rPr>
          <w:rFonts w:ascii="宋体" w:hAnsi="宋体"/>
          <w:kern w:val="0"/>
          <w:sz w:val="18"/>
        </w:rPr>
        <w:t>个</w:t>
      </w:r>
      <w:r>
        <w:rPr>
          <w:rFonts w:hint="eastAsia" w:ascii="宋体" w:hAnsi="宋体"/>
          <w:kern w:val="0"/>
          <w:sz w:val="18"/>
        </w:rPr>
        <w:t>等级：【□</w:t>
      </w:r>
      <w:r>
        <w:rPr>
          <w:rFonts w:ascii="宋体" w:hAnsi="宋体"/>
          <w:kern w:val="0"/>
          <w:sz w:val="18"/>
        </w:rPr>
        <w:t xml:space="preserve"> C1、□C2、□ C3、□ C4、□ C5、</w:t>
      </w:r>
      <w:r>
        <w:rPr>
          <w:rFonts w:hint="eastAsia" w:ascii="宋体" w:hAnsi="宋体"/>
          <w:kern w:val="0"/>
          <w:sz w:val="18"/>
        </w:rPr>
        <w:t>□</w:t>
      </w:r>
      <w:r>
        <w:rPr>
          <w:rFonts w:ascii="宋体" w:hAnsi="宋体"/>
          <w:kern w:val="0"/>
          <w:sz w:val="18"/>
        </w:rPr>
        <w:t xml:space="preserve"> </w:t>
      </w:r>
      <w:r>
        <w:rPr>
          <w:rFonts w:hint="eastAsia" w:ascii="宋体" w:hAnsi="宋体"/>
          <w:kern w:val="0"/>
          <w:sz w:val="18"/>
          <w:lang w:val="en-US" w:eastAsia="zh-CN"/>
        </w:rPr>
        <w:t>C6</w:t>
      </w:r>
      <w:r>
        <w:rPr>
          <w:rFonts w:hint="eastAsia" w:ascii="宋体" w:hAnsi="宋体"/>
          <w:kern w:val="0"/>
          <w:sz w:val="18"/>
        </w:rPr>
        <w:t>】。</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6"/>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甲方应根据风险承受能力评估结果选择与其风险承受能力相匹配的风险等级的理财产品，不得购买高于甲方风险承受能力的理财产品。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5、甲方保证投资资金来源合法且为本人有权</w:t>
      </w:r>
      <w:r>
        <w:rPr>
          <w:rFonts w:ascii="宋体" w:hAnsi="宋体" w:cs="仿宋_GB2312"/>
          <w:kern w:val="0"/>
          <w:sz w:val="18"/>
          <w:szCs w:val="18"/>
        </w:rPr>
        <w:t>处分的合法</w:t>
      </w:r>
      <w:r>
        <w:rPr>
          <w:rFonts w:hint="eastAsia" w:ascii="宋体" w:hAnsi="宋体" w:cs="仿宋_GB2312"/>
          <w:kern w:val="0"/>
          <w:sz w:val="18"/>
          <w:szCs w:val="18"/>
        </w:rPr>
        <w:t>资金，不存在使用贷款、发行债券等筹集的非自有资金投资的情况，投资行为符合法律法规及相关监管部门的规定。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9、甲方在此同意并授权乙方有权根据甲方所勾选的业务申请类型对甲方相关资金账户进行资金划扣等相关操作。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10、对于甲方通过乙方的网上银行、手机银行、可视柜台等线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11、甲方在此确认乙方业务</w:t>
      </w:r>
      <w:r>
        <w:rPr>
          <w:rFonts w:ascii="宋体" w:hAnsi="宋体" w:cs="仿宋_GB2312"/>
          <w:kern w:val="0"/>
          <w:sz w:val="18"/>
          <w:szCs w:val="18"/>
        </w:rPr>
        <w:t>申请和办理</w:t>
      </w:r>
      <w:r>
        <w:rPr>
          <w:rFonts w:hint="eastAsia" w:ascii="宋体" w:hAnsi="宋体" w:cs="仿宋_GB2312"/>
          <w:kern w:val="0"/>
          <w:sz w:val="18"/>
          <w:szCs w:val="18"/>
        </w:rPr>
        <w:t>的系统记录以及录音、录像等</w:t>
      </w:r>
      <w:r>
        <w:rPr>
          <w:rFonts w:ascii="宋体" w:hAnsi="宋体" w:cs="仿宋_GB2312"/>
          <w:kern w:val="0"/>
          <w:sz w:val="18"/>
          <w:szCs w:val="18"/>
        </w:rPr>
        <w:t>信息</w:t>
      </w:r>
      <w:r>
        <w:rPr>
          <w:rFonts w:hint="eastAsia" w:ascii="宋体" w:hAnsi="宋体" w:cs="仿宋_GB2312"/>
          <w:kern w:val="0"/>
          <w:sz w:val="18"/>
          <w:szCs w:val="18"/>
        </w:rPr>
        <w:t>构成对甲方操作行为（包括但不限于认购</w:t>
      </w:r>
      <w:r>
        <w:rPr>
          <w:rFonts w:ascii="宋体" w:hAnsi="宋体" w:cs="仿宋_GB2312"/>
          <w:kern w:val="0"/>
          <w:sz w:val="18"/>
          <w:szCs w:val="18"/>
        </w:rPr>
        <w:t>、申购</w:t>
      </w:r>
      <w:r>
        <w:rPr>
          <w:rFonts w:hint="eastAsia" w:ascii="宋体" w:hAnsi="宋体" w:cs="仿宋_GB2312"/>
          <w:kern w:val="0"/>
          <w:sz w:val="18"/>
          <w:szCs w:val="18"/>
        </w:rPr>
        <w:t>、赎回）的终局证据，甲方同意乙方上述记录行为，并且在甲方和乙方或产品</w:t>
      </w:r>
      <w:r>
        <w:rPr>
          <w:rFonts w:ascii="宋体" w:hAnsi="宋体" w:cs="仿宋_GB2312"/>
          <w:kern w:val="0"/>
          <w:sz w:val="18"/>
          <w:szCs w:val="18"/>
        </w:rPr>
        <w:t>管理人</w:t>
      </w:r>
      <w:r>
        <w:rPr>
          <w:rFonts w:hint="eastAsia" w:ascii="宋体" w:hAnsi="宋体" w:cs="仿宋_GB2312"/>
          <w:kern w:val="0"/>
          <w:sz w:val="18"/>
          <w:szCs w:val="18"/>
        </w:rPr>
        <w:t>发生争议时可以作为合法有效的证据使用。</w:t>
      </w:r>
      <w:r>
        <w:rPr>
          <w:rFonts w:hint="eastAsia" w:ascii="黑体" w:hAnsi="黑体" w:eastAsia="黑体" w:cs="仿宋_GB2312"/>
          <w:kern w:val="0"/>
          <w:sz w:val="18"/>
          <w:szCs w:val="18"/>
        </w:rPr>
        <w:t>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以及非居民金融账户涉税信息尽职调查等需要，收集调取投资者开户留存的有效身份证件或者其他身份证明文件信息、交易记录、数据信息、金融账户和其他资料，同时可向产品管理人、产品托管人、监管机构、自律组织、理财登记备案机构、金融交易对手方、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1、由于国家有关法律、法规、规章、政策的改变、紧急措施的出台而导致甲方蒙受损失或协议终止的，乙方不承担责任。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2、由于不可抗力或乙方无过错且无法防止的外因而导致的交易中断、延误等风险及损失，乙方不承担责任。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3、非因乙方原因（包括但不限于甲方遗失本协议、协议被盗用、交易账户被司法机关等有权部门冻结、扣划等原因）造成的损失，乙方不承担责任。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1、本协议在履行过程中发生的争议，由甲乙双方协商解决，协商不成的，任何一方可向乙方</w:t>
      </w:r>
      <w:r>
        <w:rPr>
          <w:rFonts w:ascii="宋体" w:hAnsi="宋体" w:cs="仿宋_GB2312"/>
          <w:kern w:val="0"/>
          <w:sz w:val="18"/>
          <w:szCs w:val="18"/>
        </w:rPr>
        <w:t>住所地</w:t>
      </w:r>
      <w:r>
        <w:rPr>
          <w:rFonts w:hint="eastAsia" w:ascii="宋体" w:hAnsi="宋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甲方通过乙方线下渠道购买理财产品的，本协议经甲方签字且乙方盖柜面业务章后生效（为避免歧义，乙方相关业务人员在本协议的签字仅为乙方内部风险控制要求，并不作为协议成立的条件，下同）。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kern w:val="0"/>
          <w:sz w:val="18"/>
          <w:szCs w:val="18"/>
        </w:rPr>
      </w:pP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甲方声明：</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1)甲方已经收到所购买</w:t>
      </w:r>
      <w:r>
        <w:rPr>
          <w:rFonts w:hint="eastAsia" w:ascii="宋体" w:hAnsi="宋体" w:cs="仿宋_GB2312"/>
          <w:b/>
          <w:kern w:val="0"/>
          <w:sz w:val="18"/>
          <w:szCs w:val="18"/>
        </w:rPr>
        <w:t>乙方销售的理财产品的《投资</w:t>
      </w:r>
      <w:r>
        <w:rPr>
          <w:rFonts w:ascii="宋体" w:hAnsi="宋体" w:cs="仿宋_GB2312"/>
          <w:b/>
          <w:kern w:val="0"/>
          <w:sz w:val="18"/>
          <w:szCs w:val="18"/>
        </w:rPr>
        <w:t>协议书</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产品说明书</w:t>
      </w:r>
      <w:r>
        <w:rPr>
          <w:rFonts w:ascii="宋体" w:hAnsi="宋体" w:cs="仿宋_GB2312"/>
          <w:b/>
          <w:kern w:val="0"/>
          <w:sz w:val="18"/>
          <w:szCs w:val="18"/>
        </w:rPr>
        <w:t>》</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（代理）销售协议书</w:t>
      </w:r>
      <w:r>
        <w:rPr>
          <w:rFonts w:ascii="宋体" w:hAnsi="宋体" w:cs="仿宋_GB2312"/>
          <w:b/>
          <w:kern w:val="0"/>
          <w:sz w:val="18"/>
          <w:szCs w:val="18"/>
        </w:rPr>
        <w:t>》</w:t>
      </w:r>
      <w:r>
        <w:rPr>
          <w:rFonts w:hint="eastAsia" w:ascii="宋体" w:hAnsi="宋体" w:cs="仿宋_GB2312"/>
          <w:b/>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宋体" w:hAnsi="宋体" w:cs="仿宋_GB2312"/>
          <w:b/>
          <w:kern w:val="0"/>
          <w:sz w:val="18"/>
          <w:szCs w:val="18"/>
        </w:rPr>
        <w:t>、申购</w:t>
      </w:r>
      <w:r>
        <w:rPr>
          <w:rFonts w:hint="eastAsia" w:ascii="宋体" w:hAnsi="宋体" w:cs="仿宋_GB2312"/>
          <w:b/>
          <w:kern w:val="0"/>
          <w:sz w:val="18"/>
          <w:szCs w:val="18"/>
        </w:rPr>
        <w:t>、赎回理财产品所产生的相关风险和不利后果。</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spacing w:line="360" w:lineRule="auto"/>
        <w:ind w:firstLine="361" w:firstLineChars="200"/>
        <w:jc w:val="left"/>
        <w:rPr>
          <w:rFonts w:ascii="宋体" w:hAnsi="宋体" w:cs="仿宋_GB2312"/>
          <w:b/>
          <w:kern w:val="0"/>
          <w:sz w:val="18"/>
          <w:szCs w:val="18"/>
        </w:rPr>
      </w:pP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280" w:lineRule="exact"/>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8070"/>
                <w:tab w:val="right" w:pos="8306"/>
              </w:tabs>
              <w:autoSpaceDE w:val="0"/>
              <w:autoSpaceDN w:val="0"/>
              <w:adjustRightInd w:val="0"/>
              <w:snapToGrid w:val="0"/>
              <w:spacing w:line="280" w:lineRule="exact"/>
              <w:rPr>
                <w:rFonts w:ascii="黑体" w:hAnsi="黑体" w:eastAsia="黑体"/>
                <w:kern w:val="0"/>
                <w:sz w:val="18"/>
                <w:szCs w:val="18"/>
              </w:rPr>
            </w:pPr>
            <w:r>
              <w:rPr>
                <w:rFonts w:ascii="黑体" w:hAnsi="黑体" w:eastAsia="黑体"/>
                <w:kern w:val="0"/>
                <w:sz w:val="18"/>
                <w:szCs w:val="18"/>
              </w:rPr>
              <w:t>1、在签署本《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5" w:hRule="exact"/>
        </w:trPr>
        <w:tc>
          <w:tcPr>
            <w:tcW w:w="675" w:type="dxa"/>
            <w:vMerge w:val="restart"/>
            <w:vAlign w:val="center"/>
          </w:tcPr>
          <w:p>
            <w:pPr>
              <w:jc w:val="center"/>
              <w:rPr>
                <w:b/>
                <w:kern w:val="0"/>
                <w:sz w:val="18"/>
                <w:szCs w:val="18"/>
              </w:rPr>
            </w:pPr>
            <w:r>
              <w:rPr>
                <w:rFonts w:hint="eastAsia"/>
                <w:b/>
                <w:kern w:val="0"/>
                <w:sz w:val="18"/>
                <w:szCs w:val="18"/>
              </w:rPr>
              <w:t>甲方签署栏</w:t>
            </w:r>
          </w:p>
        </w:tc>
        <w:tc>
          <w:tcPr>
            <w:tcW w:w="851" w:type="dxa"/>
          </w:tcPr>
          <w:p>
            <w:pPr>
              <w:rPr>
                <w:b/>
                <w:kern w:val="0"/>
                <w:sz w:val="18"/>
                <w:szCs w:val="18"/>
              </w:rPr>
            </w:pPr>
            <w:r>
              <w:rPr>
                <w:rFonts w:hint="eastAsia"/>
                <w:b/>
                <w:kern w:val="0"/>
                <w:sz w:val="18"/>
                <w:szCs w:val="18"/>
              </w:rPr>
              <w:t>个人投资者适用</w:t>
            </w:r>
          </w:p>
        </w:tc>
        <w:tc>
          <w:tcPr>
            <w:tcW w:w="6998" w:type="dxa"/>
          </w:tcPr>
          <w:p>
            <w:pPr>
              <w:rPr>
                <w:kern w:val="0"/>
                <w:sz w:val="18"/>
                <w:szCs w:val="18"/>
              </w:rPr>
            </w:pPr>
            <w:r>
              <w:rPr>
                <w:rFonts w:hint="eastAsia"/>
                <w:kern w:val="0"/>
                <w:sz w:val="18"/>
                <w:szCs w:val="18"/>
              </w:rPr>
              <w:t>甲方（签字）：</w:t>
            </w:r>
          </w:p>
          <w:p>
            <w:pPr>
              <w:rPr>
                <w:b/>
                <w:kern w:val="0"/>
                <w:sz w:val="18"/>
                <w:szCs w:val="18"/>
              </w:rPr>
            </w:pPr>
          </w:p>
          <w:p>
            <w:pPr>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56" w:hRule="atLeast"/>
        </w:trPr>
        <w:tc>
          <w:tcPr>
            <w:tcW w:w="675" w:type="dxa"/>
            <w:vMerge w:val="continue"/>
          </w:tcPr>
          <w:p>
            <w:pPr>
              <w:rPr>
                <w:b/>
                <w:kern w:val="0"/>
                <w:sz w:val="18"/>
                <w:szCs w:val="18"/>
              </w:rPr>
            </w:pPr>
          </w:p>
        </w:tc>
        <w:tc>
          <w:tcPr>
            <w:tcW w:w="851" w:type="dxa"/>
          </w:tcPr>
          <w:p>
            <w:pPr>
              <w:rPr>
                <w:b/>
                <w:kern w:val="0"/>
                <w:sz w:val="18"/>
                <w:szCs w:val="18"/>
              </w:rPr>
            </w:pPr>
            <w:r>
              <w:rPr>
                <w:rFonts w:hint="eastAsia"/>
                <w:b/>
                <w:kern w:val="0"/>
                <w:sz w:val="18"/>
                <w:szCs w:val="18"/>
              </w:rPr>
              <w:t>机构投资者适用</w:t>
            </w:r>
          </w:p>
        </w:tc>
        <w:tc>
          <w:tcPr>
            <w:tcW w:w="6998" w:type="dxa"/>
          </w:tcPr>
          <w:p>
            <w:pPr>
              <w:rPr>
                <w:rFonts w:cs="Arial"/>
                <w:kern w:val="0"/>
                <w:sz w:val="18"/>
                <w:szCs w:val="18"/>
              </w:rPr>
            </w:pPr>
            <w:r>
              <w:rPr>
                <w:rFonts w:hint="eastAsia"/>
                <w:kern w:val="0"/>
                <w:sz w:val="18"/>
                <w:szCs w:val="18"/>
              </w:rPr>
              <w:t>甲方</w:t>
            </w:r>
            <w:r>
              <w:rPr>
                <w:rFonts w:hint="eastAsia" w:cs="Arial"/>
                <w:kern w:val="0"/>
                <w:sz w:val="18"/>
                <w:szCs w:val="18"/>
              </w:rPr>
              <w:t>（盖章）：</w:t>
            </w:r>
          </w:p>
          <w:p>
            <w:pPr>
              <w:rPr>
                <w:rFonts w:cs="Arial"/>
                <w:kern w:val="0"/>
                <w:sz w:val="18"/>
                <w:szCs w:val="18"/>
              </w:rPr>
            </w:pPr>
          </w:p>
          <w:p>
            <w:pPr>
              <w:rPr>
                <w:rFonts w:cs="Arial"/>
                <w:kern w:val="0"/>
                <w:sz w:val="18"/>
                <w:szCs w:val="18"/>
              </w:rPr>
            </w:pPr>
            <w:r>
              <w:rPr>
                <w:rFonts w:hint="eastAsia" w:cs="Arial"/>
                <w:kern w:val="0"/>
                <w:sz w:val="18"/>
                <w:szCs w:val="18"/>
              </w:rPr>
              <w:t>甲方法定代表人或授权代理人（签字或盖章）：</w:t>
            </w:r>
          </w:p>
          <w:p>
            <w:pPr>
              <w:rPr>
                <w:b/>
                <w:kern w:val="0"/>
                <w:sz w:val="18"/>
                <w:szCs w:val="18"/>
              </w:rPr>
            </w:pPr>
          </w:p>
          <w:p>
            <w:pPr>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3" w:hRule="atLeast"/>
        </w:trPr>
        <w:tc>
          <w:tcPr>
            <w:tcW w:w="675" w:type="dxa"/>
          </w:tcPr>
          <w:p>
            <w:pPr>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rPr>
                <w:b/>
                <w:kern w:val="0"/>
                <w:sz w:val="18"/>
                <w:szCs w:val="18"/>
              </w:rPr>
            </w:pPr>
          </w:p>
          <w:p>
            <w:pPr>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3017656"/>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thickThinLargeGap" w:color="auto" w:sz="24" w:space="10"/>
      </w:pBdr>
      <w:tabs>
        <w:tab w:val="right" w:pos="8280"/>
      </w:tabs>
      <w:wordWrap w:val="0"/>
      <w:adjustRightInd w:val="0"/>
      <w:jc w:val="right"/>
      <w:rPr>
        <w:b/>
      </w:rPr>
    </w:pPr>
    <w:r>
      <w:rPr>
        <w:rFonts w:hint="eastAsia"/>
      </w:rPr>
      <w:t xml:space="preserve">                             </w:t>
    </w:r>
    <w:r>
      <w:t xml:space="preserve">    </w:t>
    </w:r>
    <w:r>
      <w:rPr>
        <w:rFonts w:hint="eastAsia"/>
      </w:rPr>
      <w:t xml:space="preserve"> </w:t>
    </w:r>
    <w:r>
      <w:t xml:space="preserve">                        </w:t>
    </w:r>
    <w:r>
      <w:rPr>
        <w:rFonts w:hint="eastAsia"/>
      </w:rPr>
      <w:t xml:space="preserve">  </w:t>
    </w:r>
    <w:r>
      <w:rPr>
        <w:b/>
      </w:rPr>
      <w:t xml:space="preserve">  </w:t>
    </w:r>
    <w:r>
      <w:rPr>
        <w:rFonts w:hint="eastAsia"/>
        <w:b/>
      </w:rPr>
      <w:t>（代理）销售协议书</w:t>
    </w:r>
  </w:p>
  <w:p>
    <w:pPr>
      <w:pStyle w:val="5"/>
      <w:pBdr>
        <w:bottom w:val="thickThinLargeGap" w:color="auto" w:sz="24" w:space="10"/>
      </w:pBdr>
      <w:tabs>
        <w:tab w:val="right" w:pos="8280"/>
      </w:tabs>
      <w:wordWrap w:val="0"/>
      <w:adjustRightInd w:val="0"/>
      <w:jc w:val="right"/>
      <w:rPr>
        <w:b/>
      </w:rPr>
    </w:pPr>
    <w:r>
      <w:rPr>
        <w:rFonts w:hint="eastAsia"/>
        <w:b/>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IwNTljODZlNmMxN2IxODkyNGQ0MzYwYjkyOGU4YWIifQ=="/>
  </w:docVars>
  <w:rsids>
    <w:rsidRoot w:val="00850C0B"/>
    <w:rsid w:val="00002873"/>
    <w:rsid w:val="00014ADA"/>
    <w:rsid w:val="00037EDD"/>
    <w:rsid w:val="000B4762"/>
    <w:rsid w:val="000D6AED"/>
    <w:rsid w:val="000F142C"/>
    <w:rsid w:val="00135B7E"/>
    <w:rsid w:val="00171F73"/>
    <w:rsid w:val="001D5BB4"/>
    <w:rsid w:val="00202984"/>
    <w:rsid w:val="00217DEF"/>
    <w:rsid w:val="00263CF4"/>
    <w:rsid w:val="002A703E"/>
    <w:rsid w:val="002D701A"/>
    <w:rsid w:val="002E7239"/>
    <w:rsid w:val="00311B0C"/>
    <w:rsid w:val="00335DAF"/>
    <w:rsid w:val="003672FE"/>
    <w:rsid w:val="003B7AAC"/>
    <w:rsid w:val="003E41BC"/>
    <w:rsid w:val="003F4EEF"/>
    <w:rsid w:val="003F583B"/>
    <w:rsid w:val="00414551"/>
    <w:rsid w:val="00481E6B"/>
    <w:rsid w:val="00494F0E"/>
    <w:rsid w:val="004B5B82"/>
    <w:rsid w:val="005120A6"/>
    <w:rsid w:val="005856D9"/>
    <w:rsid w:val="005B58BC"/>
    <w:rsid w:val="005C300B"/>
    <w:rsid w:val="005C56CE"/>
    <w:rsid w:val="005E6EDE"/>
    <w:rsid w:val="00601E65"/>
    <w:rsid w:val="00646431"/>
    <w:rsid w:val="00661ECC"/>
    <w:rsid w:val="006F2A2E"/>
    <w:rsid w:val="00707491"/>
    <w:rsid w:val="00715E14"/>
    <w:rsid w:val="00752BF6"/>
    <w:rsid w:val="00756A1D"/>
    <w:rsid w:val="00767C2B"/>
    <w:rsid w:val="00776D40"/>
    <w:rsid w:val="0079123A"/>
    <w:rsid w:val="00792B50"/>
    <w:rsid w:val="007942D5"/>
    <w:rsid w:val="007A251D"/>
    <w:rsid w:val="007C68DE"/>
    <w:rsid w:val="007F3E92"/>
    <w:rsid w:val="008053A3"/>
    <w:rsid w:val="00835E57"/>
    <w:rsid w:val="00850C0B"/>
    <w:rsid w:val="00854BA4"/>
    <w:rsid w:val="00855B8B"/>
    <w:rsid w:val="00862B8A"/>
    <w:rsid w:val="008D2C2D"/>
    <w:rsid w:val="008E7AE8"/>
    <w:rsid w:val="008F3CA6"/>
    <w:rsid w:val="009025C3"/>
    <w:rsid w:val="00917356"/>
    <w:rsid w:val="00966144"/>
    <w:rsid w:val="009D2ED5"/>
    <w:rsid w:val="00A06848"/>
    <w:rsid w:val="00A267DA"/>
    <w:rsid w:val="00A27451"/>
    <w:rsid w:val="00A3186E"/>
    <w:rsid w:val="00A435BF"/>
    <w:rsid w:val="00A47BD1"/>
    <w:rsid w:val="00A71312"/>
    <w:rsid w:val="00A81632"/>
    <w:rsid w:val="00A90F0B"/>
    <w:rsid w:val="00AB5D77"/>
    <w:rsid w:val="00AC6C55"/>
    <w:rsid w:val="00AE373E"/>
    <w:rsid w:val="00B06871"/>
    <w:rsid w:val="00B532B9"/>
    <w:rsid w:val="00BE0150"/>
    <w:rsid w:val="00BE7F00"/>
    <w:rsid w:val="00C26F72"/>
    <w:rsid w:val="00C45B08"/>
    <w:rsid w:val="00CA5938"/>
    <w:rsid w:val="00D3152C"/>
    <w:rsid w:val="00D82CA8"/>
    <w:rsid w:val="00DA4E9C"/>
    <w:rsid w:val="00E145A0"/>
    <w:rsid w:val="00E36CAB"/>
    <w:rsid w:val="00E500BC"/>
    <w:rsid w:val="00E71AFA"/>
    <w:rsid w:val="00E725AC"/>
    <w:rsid w:val="00E81507"/>
    <w:rsid w:val="00E9473C"/>
    <w:rsid w:val="00EA72EF"/>
    <w:rsid w:val="00EB3ABC"/>
    <w:rsid w:val="00EC2E2B"/>
    <w:rsid w:val="00EC4779"/>
    <w:rsid w:val="00ED33FA"/>
    <w:rsid w:val="00ED5C84"/>
    <w:rsid w:val="00F53477"/>
    <w:rsid w:val="00F57B20"/>
    <w:rsid w:val="00F86021"/>
    <w:rsid w:val="00F91D72"/>
    <w:rsid w:val="00F97CA1"/>
    <w:rsid w:val="00FB1694"/>
    <w:rsid w:val="04A434A0"/>
    <w:rsid w:val="0BEA2A61"/>
    <w:rsid w:val="10C60EEF"/>
    <w:rsid w:val="11D06C05"/>
    <w:rsid w:val="123975FF"/>
    <w:rsid w:val="1648617F"/>
    <w:rsid w:val="175E2344"/>
    <w:rsid w:val="243908E4"/>
    <w:rsid w:val="246F2DE1"/>
    <w:rsid w:val="2F9C106E"/>
    <w:rsid w:val="357B2D69"/>
    <w:rsid w:val="38612BFD"/>
    <w:rsid w:val="389A2C6C"/>
    <w:rsid w:val="396F4BDE"/>
    <w:rsid w:val="3E2C2B1F"/>
    <w:rsid w:val="45D44D6B"/>
    <w:rsid w:val="4D965EE5"/>
    <w:rsid w:val="55AE4F36"/>
    <w:rsid w:val="61982115"/>
    <w:rsid w:val="6F555711"/>
    <w:rsid w:val="6F5A73C0"/>
    <w:rsid w:val="73794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0"/>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Hyperlink"/>
    <w:basedOn w:val="10"/>
    <w:unhideWhenUsed/>
    <w:qFormat/>
    <w:uiPriority w:val="99"/>
    <w:rPr>
      <w:color w:val="0563C1" w:themeColor="hyperlink"/>
      <w:u w:val="single"/>
    </w:rPr>
  </w:style>
  <w:style w:type="character" w:styleId="13">
    <w:name w:val="annotation reference"/>
    <w:basedOn w:val="10"/>
    <w:unhideWhenUsed/>
    <w:qFormat/>
    <w:uiPriority w:val="0"/>
    <w:rPr>
      <w:sz w:val="21"/>
      <w:szCs w:val="21"/>
    </w:rPr>
  </w:style>
  <w:style w:type="character" w:customStyle="1" w:styleId="14">
    <w:name w:val="页眉 Char"/>
    <w:basedOn w:val="10"/>
    <w:link w:val="5"/>
    <w:qFormat/>
    <w:uiPriority w:val="99"/>
    <w:rPr>
      <w:sz w:val="18"/>
      <w:szCs w:val="18"/>
    </w:rPr>
  </w:style>
  <w:style w:type="character" w:customStyle="1" w:styleId="15">
    <w:name w:val="页脚 Char"/>
    <w:basedOn w:val="10"/>
    <w:link w:val="4"/>
    <w:qFormat/>
    <w:uiPriority w:val="99"/>
    <w:rPr>
      <w:sz w:val="18"/>
      <w:szCs w:val="18"/>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7">
    <w:name w:val="批注文字 Char"/>
    <w:basedOn w:val="10"/>
    <w:link w:val="2"/>
    <w:qFormat/>
    <w:uiPriority w:val="99"/>
    <w:rPr>
      <w:rFonts w:ascii="Calibri" w:hAnsi="Calibri" w:eastAsia="宋体" w:cs="宋体"/>
    </w:rPr>
  </w:style>
  <w:style w:type="character" w:customStyle="1" w:styleId="18">
    <w:name w:val="批注主题 Char"/>
    <w:basedOn w:val="17"/>
    <w:link w:val="7"/>
    <w:semiHidden/>
    <w:qFormat/>
    <w:uiPriority w:val="99"/>
    <w:rPr>
      <w:rFonts w:ascii="Calibri" w:hAnsi="Calibri" w:eastAsia="宋体" w:cs="宋体"/>
      <w:b/>
      <w:bCs/>
    </w:rPr>
  </w:style>
  <w:style w:type="character" w:customStyle="1" w:styleId="19">
    <w:name w:val="批注框文本 Char"/>
    <w:basedOn w:val="10"/>
    <w:link w:val="3"/>
    <w:semiHidden/>
    <w:qFormat/>
    <w:uiPriority w:val="99"/>
    <w:rPr>
      <w:rFonts w:ascii="Calibri" w:hAnsi="Calibri" w:eastAsia="宋体" w:cs="宋体"/>
      <w:sz w:val="18"/>
      <w:szCs w:val="18"/>
    </w:rPr>
  </w:style>
  <w:style w:type="paragraph" w:styleId="20">
    <w:name w:val="List Paragraph"/>
    <w:basedOn w:val="1"/>
    <w:qFormat/>
    <w:uiPriority w:val="34"/>
    <w:pPr>
      <w:ind w:firstLine="420" w:firstLineChars="200"/>
    </w:pPr>
  </w:style>
  <w:style w:type="character" w:customStyle="1" w:styleId="21">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CE4EBC-3CB0-4867-B949-E8124556F0F4}">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4013</Words>
  <Characters>4020</Characters>
  <Lines>30</Lines>
  <Paragraphs>8</Paragraphs>
  <TotalTime>1</TotalTime>
  <ScaleCrop>false</ScaleCrop>
  <LinksUpToDate>false</LinksUpToDate>
  <CharactersWithSpaces>4119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2021-07-02T07:46:00Z</dcterms:created>
  <dc:creator>胡骁潇</dc:creator>
  <cp:lastModifiedBy>cib</cp:lastModifiedBy>
  <dcterms:modified xsi:type="dcterms:W3CDTF">2023-07-20T02:31:01Z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302FC97856FF4187B8A4E8074A5A0C13</vt:lpwstr>
  </property>
</Properties>
</file>