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F479DBB">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1BAF8966">
      <w:pPr>
        <w:widowControl/>
        <w:spacing w:line="360" w:lineRule="auto"/>
        <w:jc w:val="center"/>
        <w:rPr>
          <w:rFonts w:ascii="黑体" w:hAnsi="黑体" w:eastAsia="黑体"/>
          <w:b/>
          <w:sz w:val="32"/>
          <w:szCs w:val="32"/>
        </w:rPr>
      </w:pPr>
      <w:r>
        <w:rPr>
          <w:rFonts w:hint="eastAsia" w:ascii="黑体" w:hAnsi="黑体" w:eastAsia="黑体"/>
          <w:b/>
          <w:sz w:val="32"/>
          <w:szCs w:val="32"/>
        </w:rPr>
        <w:t>兴银理财稳添利日盈日开固收类理财产品</w:t>
      </w:r>
    </w:p>
    <w:p w14:paraId="1252CF06">
      <w:pPr>
        <w:widowControl/>
        <w:spacing w:line="360" w:lineRule="auto"/>
        <w:jc w:val="center"/>
        <w:rPr>
          <w:b/>
          <w:sz w:val="32"/>
          <w:szCs w:val="32"/>
        </w:rPr>
      </w:pPr>
      <w:r>
        <w:rPr>
          <w:rFonts w:hint="eastAsia" w:ascii="黑体" w:hAnsi="黑体" w:eastAsia="黑体"/>
          <w:b/>
          <w:sz w:val="32"/>
          <w:szCs w:val="32"/>
        </w:rPr>
        <w:t>销售文件</w:t>
      </w:r>
    </w:p>
    <w:tbl>
      <w:tblPr>
        <w:tblStyle w:val="25"/>
        <w:tblW w:w="8931"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5954"/>
        <w:gridCol w:w="2126"/>
      </w:tblGrid>
      <w:tr w14:paraId="396BD1F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1" w:type="dxa"/>
          </w:tcPr>
          <w:p w14:paraId="18D09447">
            <w:pPr>
              <w:pStyle w:val="58"/>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954" w:type="dxa"/>
          </w:tcPr>
          <w:p w14:paraId="6113C37E">
            <w:pPr>
              <w:pStyle w:val="58"/>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26" w:type="dxa"/>
          </w:tcPr>
          <w:p w14:paraId="0628F20F">
            <w:pPr>
              <w:pStyle w:val="58"/>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140BBA6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1" w:type="dxa"/>
          </w:tcPr>
          <w:p w14:paraId="7C5DA200">
            <w:pPr>
              <w:pStyle w:val="58"/>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954" w:type="dxa"/>
          </w:tcPr>
          <w:p w14:paraId="391ACA42">
            <w:pPr>
              <w:widowControl/>
              <w:spacing w:line="360" w:lineRule="auto"/>
              <w:rPr>
                <w:rFonts w:ascii="宋体" w:hAnsi="宋体"/>
                <w:szCs w:val="21"/>
              </w:rPr>
            </w:pPr>
            <w:r>
              <w:rPr>
                <w:rFonts w:hint="eastAsia" w:ascii="宋体" w:hAnsi="宋体"/>
                <w:kern w:val="0"/>
                <w:sz w:val="20"/>
                <w:szCs w:val="21"/>
              </w:rPr>
              <w:t>兴银理财稳添利日盈日开固收类理财产品投资协议书</w:t>
            </w:r>
            <w:r>
              <w:rPr>
                <w:rFonts w:ascii="宋体" w:hAnsi="宋体"/>
                <w:kern w:val="0"/>
                <w:sz w:val="20"/>
                <w:szCs w:val="21"/>
              </w:rPr>
              <w:t xml:space="preserve"> </w:t>
            </w:r>
          </w:p>
        </w:tc>
        <w:tc>
          <w:tcPr>
            <w:tcW w:w="2126" w:type="dxa"/>
          </w:tcPr>
          <w:p w14:paraId="5078AF7B">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5D2B0B8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851" w:type="dxa"/>
          </w:tcPr>
          <w:p w14:paraId="6EB2CD8D">
            <w:pPr>
              <w:pStyle w:val="58"/>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954" w:type="dxa"/>
          </w:tcPr>
          <w:p w14:paraId="643D64DB">
            <w:pPr>
              <w:widowControl/>
              <w:spacing w:line="360" w:lineRule="auto"/>
              <w:rPr>
                <w:rFonts w:ascii="宋体" w:hAnsi="宋体"/>
                <w:szCs w:val="21"/>
              </w:rPr>
            </w:pPr>
            <w:r>
              <w:rPr>
                <w:rFonts w:hint="eastAsia" w:ascii="宋体" w:hAnsi="宋体"/>
                <w:kern w:val="0"/>
                <w:sz w:val="20"/>
                <w:szCs w:val="21"/>
              </w:rPr>
              <w:t>兴银理财稳添利日盈日开固收类理财产品产品说明书</w:t>
            </w:r>
          </w:p>
        </w:tc>
        <w:tc>
          <w:tcPr>
            <w:tcW w:w="2126" w:type="dxa"/>
          </w:tcPr>
          <w:p w14:paraId="552B714B">
            <w:pPr>
              <w:pStyle w:val="58"/>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76D3D9D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1" w:type="dxa"/>
          </w:tcPr>
          <w:p w14:paraId="27D44A42">
            <w:pPr>
              <w:pStyle w:val="58"/>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3</w:t>
            </w:r>
          </w:p>
        </w:tc>
        <w:tc>
          <w:tcPr>
            <w:tcW w:w="5954" w:type="dxa"/>
          </w:tcPr>
          <w:p w14:paraId="0775F618">
            <w:pPr>
              <w:widowControl/>
              <w:spacing w:line="360" w:lineRule="auto"/>
              <w:rPr>
                <w:rFonts w:ascii="宋体" w:hAnsi="宋体"/>
                <w:kern w:val="0"/>
                <w:sz w:val="20"/>
                <w:szCs w:val="21"/>
              </w:rPr>
            </w:pPr>
            <w:r>
              <w:rPr>
                <w:rFonts w:hint="eastAsia" w:ascii="宋体" w:hAnsi="宋体"/>
                <w:kern w:val="0"/>
                <w:sz w:val="20"/>
                <w:szCs w:val="21"/>
              </w:rPr>
              <w:t>兴银理财稳添利日盈日开固收类理财产品（代理）销售协议书</w:t>
            </w:r>
          </w:p>
        </w:tc>
        <w:tc>
          <w:tcPr>
            <w:tcW w:w="2126" w:type="dxa"/>
          </w:tcPr>
          <w:p w14:paraId="3BBF6B4B">
            <w:pPr>
              <w:pStyle w:val="58"/>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117267C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1" w:type="dxa"/>
          </w:tcPr>
          <w:p w14:paraId="171042BF">
            <w:pPr>
              <w:pStyle w:val="58"/>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954" w:type="dxa"/>
          </w:tcPr>
          <w:p w14:paraId="066749BD">
            <w:pPr>
              <w:widowControl/>
              <w:spacing w:line="360" w:lineRule="auto"/>
              <w:rPr>
                <w:rFonts w:ascii="宋体" w:hAnsi="宋体"/>
                <w:szCs w:val="21"/>
              </w:rPr>
            </w:pPr>
            <w:r>
              <w:rPr>
                <w:rFonts w:hint="eastAsia" w:ascii="宋体" w:hAnsi="宋体"/>
                <w:kern w:val="0"/>
                <w:sz w:val="20"/>
                <w:szCs w:val="21"/>
              </w:rPr>
              <w:t>兴银理财稳添利日盈日开固收类理财产品风险揭示书</w:t>
            </w:r>
          </w:p>
        </w:tc>
        <w:tc>
          <w:tcPr>
            <w:tcW w:w="2126" w:type="dxa"/>
          </w:tcPr>
          <w:p w14:paraId="2ABD6D93">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6561F36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851" w:type="dxa"/>
          </w:tcPr>
          <w:p w14:paraId="2A18E0D4">
            <w:pPr>
              <w:pStyle w:val="58"/>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954" w:type="dxa"/>
          </w:tcPr>
          <w:p w14:paraId="6395C781">
            <w:pPr>
              <w:widowControl/>
              <w:spacing w:line="360" w:lineRule="auto"/>
              <w:rPr>
                <w:rFonts w:ascii="宋体" w:hAnsi="宋体"/>
                <w:kern w:val="0"/>
                <w:sz w:val="20"/>
                <w:szCs w:val="21"/>
              </w:rPr>
            </w:pPr>
            <w:r>
              <w:rPr>
                <w:rFonts w:hint="eastAsia" w:ascii="宋体" w:hAnsi="宋体"/>
                <w:kern w:val="0"/>
                <w:sz w:val="20"/>
                <w:szCs w:val="21"/>
              </w:rPr>
              <w:t>兴银理财稳添利日盈日开固收类理财产品投资者权益须知</w:t>
            </w:r>
          </w:p>
        </w:tc>
        <w:tc>
          <w:tcPr>
            <w:tcW w:w="2126" w:type="dxa"/>
          </w:tcPr>
          <w:p w14:paraId="67C42042">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65E75220">
      <w:pPr>
        <w:widowControl/>
        <w:spacing w:line="360" w:lineRule="auto"/>
        <w:jc w:val="left"/>
        <w:rPr>
          <w:rFonts w:ascii="黑体" w:hAnsi="黑体" w:eastAsia="黑体"/>
          <w:b/>
          <w:szCs w:val="21"/>
        </w:rPr>
      </w:pPr>
      <w:r>
        <w:rPr>
          <w:rFonts w:hint="eastAsia" w:ascii="黑体" w:hAnsi="黑体" w:eastAsia="黑体"/>
          <w:b/>
          <w:szCs w:val="21"/>
        </w:rPr>
        <w:t>郑重提示：</w:t>
      </w:r>
    </w:p>
    <w:p w14:paraId="76514FC5">
      <w:pPr>
        <w:pStyle w:val="58"/>
        <w:widowControl/>
        <w:snapToGrid w:val="0"/>
        <w:spacing w:line="360" w:lineRule="auto"/>
        <w:rPr>
          <w:rFonts w:ascii="黑体" w:hAnsi="黑体" w:eastAsia="黑体"/>
          <w:kern w:val="0"/>
          <w:szCs w:val="21"/>
        </w:rPr>
      </w:pPr>
      <w:r>
        <w:rPr>
          <w:rFonts w:hint="eastAsia" w:ascii="黑体" w:hAnsi="黑体" w:eastAsia="黑体"/>
          <w:kern w:val="0"/>
          <w:szCs w:val="21"/>
        </w:rPr>
        <w:t>1、销售文件的组成和编制的提示</w:t>
      </w:r>
    </w:p>
    <w:p w14:paraId="1E9FAA39">
      <w:pPr>
        <w:pStyle w:val="58"/>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220B7112">
      <w:pPr>
        <w:pStyle w:val="58"/>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w:t>
      </w:r>
      <w:r>
        <w:rPr>
          <w:rFonts w:hint="eastAsia" w:ascii="黑体" w:hAnsi="黑体" w:eastAsia="黑体"/>
          <w:kern w:val="0"/>
          <w:szCs w:val="21"/>
        </w:rPr>
        <w:t>2</w:t>
      </w:r>
      <w:r>
        <w:rPr>
          <w:rFonts w:ascii="黑体" w:hAnsi="黑体" w:eastAsia="黑体"/>
          <w:kern w:val="0"/>
          <w:szCs w:val="21"/>
        </w:rPr>
        <w:t>021年第</w:t>
      </w:r>
      <w:r>
        <w:rPr>
          <w:rFonts w:hint="eastAsia" w:ascii="黑体" w:hAnsi="黑体" w:eastAsia="黑体"/>
          <w:kern w:val="0"/>
          <w:szCs w:val="21"/>
        </w:rPr>
        <w:t>4号）第2</w:t>
      </w:r>
      <w:r>
        <w:rPr>
          <w:rFonts w:ascii="黑体" w:hAnsi="黑体" w:eastAsia="黑体"/>
          <w:kern w:val="0"/>
          <w:szCs w:val="21"/>
        </w:rPr>
        <w:t>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22E569EC">
      <w:pPr>
        <w:pStyle w:val="58"/>
        <w:widowControl/>
        <w:snapToGrid w:val="0"/>
        <w:spacing w:line="360" w:lineRule="auto"/>
        <w:rPr>
          <w:rFonts w:ascii="黑体" w:hAnsi="黑体" w:eastAsia="黑体"/>
          <w:kern w:val="0"/>
          <w:szCs w:val="21"/>
        </w:rPr>
      </w:pPr>
      <w:r>
        <w:rPr>
          <w:rFonts w:hint="eastAsia" w:ascii="黑体" w:hAnsi="黑体" w:eastAsia="黑体"/>
          <w:kern w:val="0"/>
          <w:szCs w:val="21"/>
        </w:rPr>
        <w:t>2、投资者适当性的提示</w:t>
      </w:r>
    </w:p>
    <w:p w14:paraId="121EA5E5">
      <w:pPr>
        <w:pStyle w:val="58"/>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重新完成风险承受能力评估。</w:t>
      </w:r>
    </w:p>
    <w:p w14:paraId="34A9989B">
      <w:pPr>
        <w:pStyle w:val="58"/>
        <w:widowControl/>
        <w:snapToGrid w:val="0"/>
        <w:spacing w:line="360" w:lineRule="auto"/>
        <w:rPr>
          <w:rFonts w:ascii="黑体" w:hAnsi="黑体" w:eastAsia="黑体"/>
          <w:kern w:val="0"/>
          <w:szCs w:val="21"/>
        </w:rPr>
      </w:pPr>
      <w:r>
        <w:rPr>
          <w:rFonts w:ascii="黑体" w:hAnsi="黑体" w:eastAsia="黑体"/>
          <w:kern w:val="0"/>
          <w:szCs w:val="21"/>
        </w:rPr>
        <w:t>3</w:t>
      </w:r>
      <w:r>
        <w:rPr>
          <w:rFonts w:hint="eastAsia" w:ascii="黑体" w:hAnsi="黑体" w:eastAsia="黑体"/>
          <w:kern w:val="0"/>
          <w:szCs w:val="21"/>
        </w:rPr>
        <w:t>、</w:t>
      </w:r>
      <w:r>
        <w:rPr>
          <w:rFonts w:ascii="黑体" w:hAnsi="黑体" w:eastAsia="黑体"/>
          <w:kern w:val="0"/>
          <w:szCs w:val="21"/>
        </w:rPr>
        <w:t>签署合同</w:t>
      </w:r>
      <w:r>
        <w:rPr>
          <w:rFonts w:hint="eastAsia" w:ascii="黑体" w:hAnsi="黑体" w:eastAsia="黑体"/>
          <w:kern w:val="0"/>
          <w:szCs w:val="21"/>
        </w:rPr>
        <w:t>前</w:t>
      </w:r>
      <w:r>
        <w:rPr>
          <w:rFonts w:ascii="黑体" w:hAnsi="黑体" w:eastAsia="黑体"/>
          <w:kern w:val="0"/>
          <w:szCs w:val="21"/>
        </w:rPr>
        <w:t>阅读全部条款的提示</w:t>
      </w:r>
    </w:p>
    <w:p w14:paraId="146BDEEB">
      <w:pPr>
        <w:pStyle w:val="58"/>
        <w:widowControl/>
        <w:snapToGrid w:val="0"/>
        <w:spacing w:line="360" w:lineRule="auto"/>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r>
        <w:br w:type="page"/>
      </w:r>
    </w:p>
    <w:p w14:paraId="5E7BDC26">
      <w:pPr>
        <w:tabs>
          <w:tab w:val="left" w:pos="6660"/>
        </w:tabs>
        <w:spacing w:line="360" w:lineRule="auto"/>
        <w:jc w:val="center"/>
        <w:rPr>
          <w:bCs/>
          <w:sz w:val="44"/>
        </w:rPr>
      </w:pPr>
    </w:p>
    <w:p w14:paraId="57F24E09">
      <w:pPr>
        <w:widowControl/>
        <w:spacing w:line="360" w:lineRule="auto"/>
        <w:jc w:val="center"/>
        <w:rPr>
          <w:rStyle w:val="27"/>
          <w:rFonts w:ascii="宋体" w:hAnsi="宋体"/>
          <w:sz w:val="30"/>
          <w:szCs w:val="30"/>
        </w:rPr>
      </w:pPr>
      <w:r>
        <w:rPr>
          <w:rFonts w:hint="eastAsia" w:ascii="宋体" w:hAnsi="宋体"/>
          <w:b/>
          <w:sz w:val="30"/>
          <w:szCs w:val="30"/>
        </w:rPr>
        <w:t>理财非存款、产品有风险、投资须谨慎！</w:t>
      </w:r>
    </w:p>
    <w:p w14:paraId="3E667ACB">
      <w:pPr>
        <w:tabs>
          <w:tab w:val="left" w:pos="6660"/>
        </w:tabs>
        <w:spacing w:line="360" w:lineRule="auto"/>
        <w:jc w:val="center"/>
        <w:rPr>
          <w:bCs/>
          <w:sz w:val="44"/>
        </w:rPr>
      </w:pPr>
    </w:p>
    <w:p w14:paraId="6685DEDC">
      <w:pPr>
        <w:spacing w:line="360" w:lineRule="auto"/>
        <w:jc w:val="center"/>
        <w:rPr>
          <w:b/>
          <w:sz w:val="52"/>
        </w:rPr>
      </w:pPr>
    </w:p>
    <w:p w14:paraId="1935FB97">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3930BFDB">
      <w:pPr>
        <w:spacing w:line="360" w:lineRule="auto"/>
        <w:jc w:val="center"/>
        <w:rPr>
          <w:b/>
          <w:sz w:val="32"/>
          <w:szCs w:val="32"/>
        </w:rPr>
      </w:pPr>
    </w:p>
    <w:p w14:paraId="20035DFA">
      <w:pPr>
        <w:adjustRightInd w:val="0"/>
        <w:spacing w:line="360" w:lineRule="auto"/>
        <w:jc w:val="center"/>
        <w:rPr>
          <w:rStyle w:val="27"/>
          <w:rFonts w:ascii="黑体" w:hAnsi="黑体" w:eastAsia="黑体" w:cs="宋体"/>
          <w:sz w:val="32"/>
          <w:szCs w:val="32"/>
        </w:rPr>
      </w:pPr>
      <w:r>
        <w:rPr>
          <w:rStyle w:val="27"/>
          <w:rFonts w:hint="eastAsia" w:ascii="黑体" w:hAnsi="黑体" w:eastAsia="黑体" w:cs="宋体"/>
          <w:sz w:val="32"/>
          <w:szCs w:val="32"/>
        </w:rPr>
        <w:t>兴银理财稳添利日盈日开固收类理财产品</w:t>
      </w:r>
    </w:p>
    <w:p w14:paraId="009AD97B">
      <w:pPr>
        <w:adjustRightInd w:val="0"/>
        <w:spacing w:line="360" w:lineRule="auto"/>
        <w:jc w:val="center"/>
        <w:rPr>
          <w:rStyle w:val="27"/>
          <w:rFonts w:ascii="黑体" w:hAnsi="黑体" w:eastAsia="黑体" w:cs="宋体"/>
          <w:sz w:val="32"/>
          <w:szCs w:val="32"/>
        </w:rPr>
      </w:pPr>
      <w:r>
        <w:rPr>
          <w:rStyle w:val="27"/>
          <w:rFonts w:hint="eastAsia" w:ascii="黑体" w:hAnsi="黑体" w:eastAsia="黑体" w:cs="宋体"/>
          <w:sz w:val="32"/>
          <w:szCs w:val="32"/>
        </w:rPr>
        <w:t>投资协议书</w:t>
      </w:r>
    </w:p>
    <w:p w14:paraId="14141544">
      <w:pPr>
        <w:spacing w:line="360" w:lineRule="auto"/>
        <w:jc w:val="center"/>
        <w:rPr>
          <w:b/>
          <w:sz w:val="28"/>
          <w:szCs w:val="28"/>
        </w:rPr>
      </w:pPr>
    </w:p>
    <w:p w14:paraId="542A7096">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r>
        <w:rPr>
          <w:rFonts w:ascii="黑体" w:hAnsi="黑体" w:eastAsia="黑体"/>
          <w:b/>
          <w:sz w:val="28"/>
          <w:szCs w:val="28"/>
        </w:rPr>
        <w:t xml:space="preserve">                 </w:t>
      </w:r>
      <w:r>
        <w:rPr>
          <w:rFonts w:hint="eastAsia" w:ascii="黑体" w:hAnsi="黑体" w:eastAsia="黑体"/>
          <w:b/>
          <w:sz w:val="28"/>
          <w:szCs w:val="28"/>
        </w:rPr>
        <w:t>】</w:t>
      </w:r>
    </w:p>
    <w:p w14:paraId="6C02EBB7">
      <w:pPr>
        <w:spacing w:line="360" w:lineRule="auto"/>
        <w:jc w:val="center"/>
        <w:rPr>
          <w:b/>
          <w:sz w:val="28"/>
          <w:szCs w:val="28"/>
        </w:rPr>
      </w:pPr>
    </w:p>
    <w:p w14:paraId="798017AA">
      <w:pPr>
        <w:spacing w:line="360" w:lineRule="auto"/>
        <w:jc w:val="center"/>
        <w:rPr>
          <w:b/>
          <w:sz w:val="28"/>
          <w:szCs w:val="28"/>
        </w:rPr>
      </w:pPr>
    </w:p>
    <w:p w14:paraId="11B72E83">
      <w:pPr>
        <w:spacing w:line="360" w:lineRule="auto"/>
        <w:jc w:val="center"/>
        <w:rPr>
          <w:b/>
          <w:sz w:val="28"/>
          <w:szCs w:val="28"/>
        </w:rPr>
      </w:pPr>
    </w:p>
    <w:p w14:paraId="77CD65F8">
      <w:pPr>
        <w:spacing w:line="360" w:lineRule="auto"/>
        <w:jc w:val="center"/>
        <w:rPr>
          <w:b/>
          <w:sz w:val="28"/>
          <w:szCs w:val="28"/>
        </w:rPr>
      </w:pPr>
    </w:p>
    <w:p w14:paraId="1800E074">
      <w:pPr>
        <w:adjustRightInd w:val="0"/>
        <w:spacing w:line="360" w:lineRule="auto"/>
        <w:jc w:val="center"/>
        <w:rPr>
          <w:rStyle w:val="27"/>
          <w:rFonts w:ascii="宋体" w:hAnsi="宋体"/>
          <w:sz w:val="28"/>
          <w:szCs w:val="28"/>
        </w:rPr>
      </w:pPr>
      <w:r>
        <w:rPr>
          <w:rStyle w:val="27"/>
          <w:rFonts w:hint="eastAsia" w:ascii="宋体" w:hAnsi="宋体"/>
          <w:sz w:val="28"/>
          <w:szCs w:val="28"/>
        </w:rPr>
        <w:t>理财产品管理人：兴银理财有限责任公司</w:t>
      </w:r>
    </w:p>
    <w:p w14:paraId="560FC2A7">
      <w:pPr>
        <w:adjustRightInd w:val="0"/>
        <w:spacing w:line="360" w:lineRule="auto"/>
        <w:jc w:val="center"/>
        <w:rPr>
          <w:rStyle w:val="27"/>
          <w:rFonts w:ascii="黑体" w:hAnsi="黑体" w:eastAsia="黑体" w:cs="宋体"/>
          <w:sz w:val="28"/>
          <w:szCs w:val="28"/>
        </w:rPr>
      </w:pPr>
    </w:p>
    <w:p w14:paraId="4B81A84B">
      <w:pPr>
        <w:adjustRightInd w:val="0"/>
        <w:spacing w:line="360" w:lineRule="auto"/>
        <w:jc w:val="center"/>
        <w:rPr>
          <w:rStyle w:val="27"/>
          <w:rFonts w:ascii="黑体" w:hAnsi="黑体" w:eastAsia="黑体" w:cs="宋体"/>
          <w:sz w:val="28"/>
          <w:szCs w:val="28"/>
        </w:rPr>
      </w:pPr>
    </w:p>
    <w:p w14:paraId="0F525AAC">
      <w:pPr>
        <w:adjustRightInd w:val="0"/>
        <w:spacing w:line="360" w:lineRule="auto"/>
        <w:jc w:val="center"/>
        <w:rPr>
          <w:rStyle w:val="27"/>
          <w:rFonts w:ascii="宋体" w:hAnsi="宋体"/>
          <w:sz w:val="28"/>
          <w:szCs w:val="28"/>
        </w:rPr>
      </w:pPr>
      <w:r>
        <w:rPr>
          <w:rStyle w:val="27"/>
          <w:rFonts w:hint="eastAsia" w:ascii="宋体" w:hAnsi="宋体"/>
          <w:sz w:val="28"/>
          <w:szCs w:val="28"/>
        </w:rPr>
        <w:t>日期</w:t>
      </w:r>
      <w:r>
        <w:rPr>
          <w:rStyle w:val="27"/>
          <w:rFonts w:ascii="宋体" w:hAnsi="宋体"/>
          <w:sz w:val="28"/>
          <w:szCs w:val="28"/>
        </w:rPr>
        <w:t>：</w:t>
      </w:r>
      <w:r>
        <w:rPr>
          <w:rStyle w:val="27"/>
          <w:rFonts w:hint="eastAsia" w:ascii="宋体" w:hAnsi="宋体"/>
          <w:sz w:val="28"/>
          <w:szCs w:val="28"/>
        </w:rPr>
        <w:t>【202</w:t>
      </w:r>
      <w:r>
        <w:rPr>
          <w:rStyle w:val="27"/>
          <w:rFonts w:hint="eastAsia" w:ascii="宋体" w:hAnsi="宋体"/>
          <w:sz w:val="28"/>
          <w:szCs w:val="28"/>
          <w:lang w:val="en-US" w:eastAsia="zh-CN"/>
        </w:rPr>
        <w:t>6</w:t>
      </w:r>
      <w:r>
        <w:rPr>
          <w:rStyle w:val="27"/>
          <w:rFonts w:hint="eastAsia" w:ascii="宋体" w:hAnsi="宋体"/>
          <w:sz w:val="28"/>
          <w:szCs w:val="28"/>
        </w:rPr>
        <w:t>】年【</w:t>
      </w:r>
      <w:r>
        <w:rPr>
          <w:rStyle w:val="27"/>
          <w:rFonts w:hint="eastAsia" w:ascii="宋体" w:hAnsi="宋体"/>
          <w:sz w:val="28"/>
          <w:szCs w:val="28"/>
          <w:lang w:val="en-US" w:eastAsia="zh-CN"/>
        </w:rPr>
        <w:t>2</w:t>
      </w:r>
      <w:bookmarkStart w:id="0" w:name="_GoBack"/>
      <w:bookmarkEnd w:id="0"/>
      <w:r>
        <w:rPr>
          <w:rStyle w:val="27"/>
          <w:rFonts w:hint="eastAsia" w:ascii="宋体" w:hAnsi="宋体"/>
          <w:sz w:val="28"/>
          <w:szCs w:val="28"/>
        </w:rPr>
        <w:t>】月</w:t>
      </w:r>
    </w:p>
    <w:p w14:paraId="52EF9797">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02B91154">
      <w:pPr>
        <w:tabs>
          <w:tab w:val="left" w:pos="8070"/>
          <w:tab w:val="right" w:pos="8306"/>
        </w:tabs>
        <w:autoSpaceDE w:val="0"/>
        <w:autoSpaceDN w:val="0"/>
        <w:adjustRightInd w:val="0"/>
        <w:snapToGrid w:val="0"/>
        <w:spacing w:before="156" w:beforeLines="50" w:line="360" w:lineRule="auto"/>
        <w:rPr>
          <w:bCs/>
          <w:sz w:val="32"/>
        </w:rPr>
      </w:pPr>
    </w:p>
    <w:tbl>
      <w:tblPr>
        <w:tblStyle w:val="25"/>
        <w:tblW w:w="8522"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22"/>
      </w:tblGrid>
      <w:tr w14:paraId="5CE5253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3D69C259">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45CB718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22703060">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xml:space="preserve"> </w:t>
            </w:r>
          </w:p>
          <w:p w14:paraId="61B0388D">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关于理财产品与存款产品的提示</w:t>
            </w:r>
          </w:p>
          <w:p w14:paraId="3F6D5C29">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601C1155">
            <w:pPr>
              <w:pStyle w:val="21"/>
              <w:snapToGrid w:val="0"/>
              <w:spacing w:before="0" w:beforeAutospacing="0" w:after="0" w:afterAutospacing="0" w:line="360" w:lineRule="auto"/>
              <w:jc w:val="both"/>
              <w:rPr>
                <w:rFonts w:ascii="黑体" w:hAnsi="黑体" w:eastAsia="黑体"/>
                <w:bCs/>
                <w:sz w:val="18"/>
                <w:szCs w:val="18"/>
              </w:rPr>
            </w:pPr>
          </w:p>
          <w:p w14:paraId="7EDC6E1D">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066323F7">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理财产品过往业绩不代表其未来表现，不等于理财产品实际受益，投资</w:t>
            </w:r>
            <w:r>
              <w:rPr>
                <w:rFonts w:ascii="黑体" w:hAnsi="黑体" w:eastAsia="黑体"/>
                <w:bCs/>
                <w:sz w:val="18"/>
                <w:szCs w:val="18"/>
              </w:rPr>
              <w:t>须</w:t>
            </w:r>
            <w:r>
              <w:rPr>
                <w:rFonts w:hint="eastAsia" w:ascii="黑体" w:hAnsi="黑体" w:eastAsia="黑体"/>
                <w:bCs/>
                <w:sz w:val="18"/>
                <w:szCs w:val="18"/>
              </w:rPr>
              <w:t>谨慎。</w:t>
            </w:r>
          </w:p>
          <w:p w14:paraId="7ACB3610">
            <w:pPr>
              <w:pStyle w:val="21"/>
              <w:snapToGrid w:val="0"/>
              <w:spacing w:before="0" w:beforeAutospacing="0" w:after="0" w:afterAutospacing="0" w:line="360" w:lineRule="auto"/>
              <w:jc w:val="both"/>
              <w:rPr>
                <w:rFonts w:ascii="黑体" w:hAnsi="黑体" w:eastAsia="黑体"/>
                <w:bCs/>
                <w:sz w:val="18"/>
                <w:szCs w:val="18"/>
              </w:rPr>
            </w:pPr>
          </w:p>
          <w:p w14:paraId="56900346">
            <w:pPr>
              <w:pStyle w:val="21"/>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558C66EE">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报酬计提基准</w:t>
            </w:r>
            <w:r>
              <w:rPr>
                <w:rFonts w:hint="eastAsia" w:ascii="黑体" w:hAnsi="黑体" w:eastAsia="黑体"/>
                <w:bCs/>
                <w:sz w:val="18"/>
                <w:szCs w:val="18"/>
              </w:rPr>
              <w:t>等类似表述不代表投资者可能获得的实际收益，亦不构成产品管理人对本产品的任何收益承诺，仅供投资者进行投资决定时参考。</w:t>
            </w:r>
          </w:p>
          <w:p w14:paraId="2019B510">
            <w:pPr>
              <w:pStyle w:val="21"/>
              <w:snapToGrid w:val="0"/>
              <w:spacing w:before="0" w:beforeAutospacing="0" w:after="0" w:afterAutospacing="0" w:line="360" w:lineRule="auto"/>
              <w:jc w:val="both"/>
              <w:rPr>
                <w:rFonts w:ascii="黑体" w:hAnsi="黑体" w:eastAsia="黑体"/>
                <w:bCs/>
                <w:sz w:val="18"/>
                <w:szCs w:val="18"/>
              </w:rPr>
            </w:pPr>
          </w:p>
          <w:p w14:paraId="34ED1B69">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关于理财产品不保证本金和收益的提示</w:t>
            </w:r>
          </w:p>
          <w:p w14:paraId="7BC324A7">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67F7011F">
            <w:pPr>
              <w:pStyle w:val="21"/>
              <w:snapToGrid w:val="0"/>
              <w:spacing w:before="0" w:beforeAutospacing="0" w:after="0" w:afterAutospacing="0" w:line="360" w:lineRule="auto"/>
              <w:jc w:val="both"/>
              <w:rPr>
                <w:rFonts w:ascii="黑体" w:hAnsi="黑体" w:eastAsia="黑体"/>
                <w:bCs/>
                <w:sz w:val="18"/>
                <w:szCs w:val="18"/>
              </w:rPr>
            </w:pPr>
          </w:p>
          <w:p w14:paraId="22037A53">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关于销售文件的组成和编制的提示</w:t>
            </w:r>
          </w:p>
          <w:p w14:paraId="1D1C1F6D">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1、销售文件的组成</w:t>
            </w:r>
          </w:p>
          <w:p w14:paraId="1A5ACD3B">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4F00F221">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2、销售文件的编制</w:t>
            </w:r>
          </w:p>
          <w:p w14:paraId="23934C8D">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w:t>
            </w:r>
            <w:r>
              <w:rPr>
                <w:rFonts w:hint="eastAsia" w:ascii="黑体" w:hAnsi="黑体" w:eastAsia="黑体"/>
                <w:bCs/>
                <w:sz w:val="18"/>
                <w:szCs w:val="18"/>
              </w:rPr>
              <w:t>2</w:t>
            </w:r>
            <w:r>
              <w:rPr>
                <w:rFonts w:ascii="黑体" w:hAnsi="黑体" w:eastAsia="黑体"/>
                <w:bCs/>
                <w:sz w:val="18"/>
                <w:szCs w:val="18"/>
              </w:rPr>
              <w:t>021年第</w:t>
            </w:r>
            <w:r>
              <w:rPr>
                <w:rFonts w:hint="eastAsia" w:ascii="黑体" w:hAnsi="黑体" w:eastAsia="黑体"/>
                <w:bCs/>
                <w:sz w:val="18"/>
                <w:szCs w:val="18"/>
              </w:rPr>
              <w:t>4号）第2</w:t>
            </w:r>
            <w:r>
              <w:rPr>
                <w:rFonts w:ascii="黑体" w:hAnsi="黑体" w:eastAsia="黑体"/>
                <w:bCs/>
                <w:sz w:val="18"/>
                <w:szCs w:val="18"/>
              </w:rPr>
              <w:t>9条规定</w:t>
            </w:r>
            <w:r>
              <w:rPr>
                <w:rFonts w:hint="eastAsia" w:ascii="黑体" w:hAnsi="黑体" w:eastAsia="黑体"/>
                <w:bCs/>
                <w:sz w:val="18"/>
                <w:szCs w:val="18"/>
              </w:rPr>
              <w:t>，本款产品销售文件在编制时，可能存在以下两种情形：</w:t>
            </w:r>
          </w:p>
          <w:p w14:paraId="035CD803">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（1）情形1：所有销售文件都由产品管理人统一编制。其中，《投资协议书》、《产品说明书》、《（代理）销售协议书》、《风险揭示书》、《投资者权益须知》等销售文件均由产品管理人统一编制。</w:t>
            </w:r>
          </w:p>
          <w:p w14:paraId="6556094D">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2）情形2：部分销售文件由代理销售机构进行编制。其中，《投资协议书》和《产品说明书》由产品管理人统一编制；《（代理）销售协议书》、《风险揭示书》、《投资者权益须知》等销售文件，此等销售文件中的之一或之二或全部，由于代理销售机构的需求而由理财公司委托代理销售机构进行编制。</w:t>
            </w:r>
          </w:p>
          <w:p w14:paraId="31AC5166">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29415B3C">
            <w:pPr>
              <w:pStyle w:val="21"/>
              <w:snapToGrid w:val="0"/>
              <w:spacing w:before="0" w:beforeAutospacing="0" w:after="0" w:afterAutospacing="0" w:line="360" w:lineRule="auto"/>
              <w:jc w:val="both"/>
              <w:rPr>
                <w:rFonts w:ascii="黑体" w:hAnsi="黑体" w:eastAsia="黑体"/>
                <w:bCs/>
                <w:sz w:val="18"/>
                <w:szCs w:val="18"/>
              </w:rPr>
            </w:pPr>
          </w:p>
          <w:p w14:paraId="563689AB">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关于投资者适当性的提示</w:t>
            </w:r>
          </w:p>
          <w:p w14:paraId="7F4C1CCF">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重新完成风险承受能力评估。</w:t>
            </w:r>
          </w:p>
          <w:p w14:paraId="7E273E16">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xml:space="preserve"> </w:t>
            </w:r>
          </w:p>
          <w:p w14:paraId="3D4C047F">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关于投资者信息的提示</w:t>
            </w:r>
          </w:p>
          <w:p w14:paraId="134F9C61">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投资者在此同意并授权，产品管理人可根据监管要求和合同约定，为理财产品登记、反洗钱</w:t>
            </w:r>
            <w:r>
              <w:rPr>
                <w:rFonts w:ascii="黑体" w:hAnsi="黑体" w:eastAsia="黑体"/>
                <w:bCs/>
                <w:sz w:val="18"/>
                <w:szCs w:val="18"/>
              </w:rPr>
              <w:t>工作</w:t>
            </w:r>
            <w:r>
              <w:rPr>
                <w:rFonts w:hint="eastAsia" w:ascii="黑体" w:hAnsi="黑体" w:eastAsia="黑体"/>
                <w:bCs/>
                <w:sz w:val="18"/>
                <w:szCs w:val="18"/>
              </w:rPr>
              <w:t>等需要，向登记部门或监管机构及相关方提供投资者相关信息。</w:t>
            </w:r>
          </w:p>
          <w:p w14:paraId="4A982297">
            <w:pPr>
              <w:pStyle w:val="21"/>
              <w:snapToGrid w:val="0"/>
              <w:spacing w:before="0" w:beforeAutospacing="0" w:after="0" w:afterAutospacing="0" w:line="360" w:lineRule="auto"/>
              <w:jc w:val="both"/>
              <w:rPr>
                <w:rFonts w:ascii="黑体" w:hAnsi="黑体" w:eastAsia="黑体"/>
                <w:bCs/>
                <w:sz w:val="18"/>
                <w:szCs w:val="18"/>
              </w:rPr>
            </w:pPr>
          </w:p>
          <w:p w14:paraId="6B85C5E2">
            <w:pPr>
              <w:spacing w:line="360" w:lineRule="auto"/>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3E90E008">
            <w:pPr>
              <w:spacing w:line="360" w:lineRule="auto"/>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7B2247B0">
            <w:pPr>
              <w:pStyle w:val="21"/>
              <w:snapToGrid w:val="0"/>
              <w:spacing w:before="0" w:beforeAutospacing="0" w:after="0" w:afterAutospacing="0" w:line="360" w:lineRule="auto"/>
              <w:jc w:val="both"/>
              <w:rPr>
                <w:rFonts w:ascii="黑体" w:hAnsi="黑体" w:eastAsia="黑体"/>
                <w:bCs/>
                <w:sz w:val="18"/>
                <w:szCs w:val="18"/>
              </w:rPr>
            </w:pPr>
          </w:p>
          <w:p w14:paraId="761924C6">
            <w:pPr>
              <w:pStyle w:val="21"/>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 关于理财产品咨询的提示</w:t>
            </w:r>
          </w:p>
          <w:p w14:paraId="0F0E9667">
            <w:pPr>
              <w:tabs>
                <w:tab w:val="left" w:pos="8070"/>
                <w:tab w:val="right" w:pos="8306"/>
              </w:tabs>
              <w:autoSpaceDE w:val="0"/>
              <w:autoSpaceDN w:val="0"/>
              <w:adjustRightInd w:val="0"/>
              <w:snapToGrid w:val="0"/>
              <w:spacing w:before="156" w:beforeLines="50" w:line="360" w:lineRule="auto"/>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340EB688">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p w14:paraId="6C0B29B0">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p w14:paraId="105444BB">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p w14:paraId="1BA5312D">
      <w:pPr>
        <w:widowControl/>
        <w:jc w:val="left"/>
        <w:rPr>
          <w:rFonts w:ascii="宋体" w:hAnsi="宋体" w:cs="仿宋_GB2312"/>
          <w:b/>
          <w:kern w:val="0"/>
          <w:sz w:val="18"/>
          <w:szCs w:val="18"/>
        </w:rPr>
      </w:pPr>
      <w:r>
        <w:rPr>
          <w:rFonts w:ascii="宋体" w:hAnsi="宋体" w:cs="仿宋_GB2312"/>
          <w:b/>
          <w:kern w:val="0"/>
          <w:sz w:val="18"/>
          <w:szCs w:val="18"/>
        </w:rPr>
        <w:br w:type="page"/>
      </w:r>
    </w:p>
    <w:p w14:paraId="335DD672">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24"/>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6FEA3EE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12E1CE3B">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4E537F32">
            <w:pPr>
              <w:pStyle w:val="15"/>
              <w:spacing w:line="360" w:lineRule="auto"/>
              <w:rPr>
                <w:rFonts w:ascii="宋体" w:hAnsi="宋体"/>
                <w:b/>
                <w:bCs/>
                <w:sz w:val="28"/>
                <w:szCs w:val="28"/>
              </w:rPr>
            </w:pPr>
          </w:p>
        </w:tc>
      </w:tr>
      <w:tr w14:paraId="0319EC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0FD96058">
            <w:pPr>
              <w:pStyle w:val="15"/>
              <w:spacing w:line="360" w:lineRule="auto"/>
              <w:rPr>
                <w:rFonts w:ascii="宋体" w:hAnsi="宋体"/>
                <w:b/>
                <w:bCs/>
                <w:sz w:val="28"/>
                <w:szCs w:val="28"/>
              </w:rPr>
            </w:pPr>
          </w:p>
        </w:tc>
      </w:tr>
      <w:tr w14:paraId="48049E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14:paraId="06672B43">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2F1C8CB5">
            <w:pPr>
              <w:spacing w:line="360" w:lineRule="auto"/>
              <w:jc w:val="left"/>
              <w:rPr>
                <w:rFonts w:ascii="宋体" w:hAnsi="宋体"/>
                <w:b/>
                <w:bCs/>
                <w:sz w:val="18"/>
                <w:szCs w:val="18"/>
              </w:rPr>
            </w:pPr>
            <w:r>
              <w:rPr>
                <w:rFonts w:hint="eastAsia" w:ascii="宋体" w:hAnsi="宋体"/>
                <w:b/>
                <w:bCs/>
                <w:sz w:val="18"/>
                <w:szCs w:val="18"/>
              </w:rPr>
              <w:t>个人投资者适用</w:t>
            </w:r>
          </w:p>
        </w:tc>
        <w:tc>
          <w:tcPr>
            <w:tcW w:w="982" w:type="dxa"/>
            <w:shd w:val="solid" w:color="FFFFFF" w:fill="FFFFFF"/>
            <w:vAlign w:val="center"/>
          </w:tcPr>
          <w:p w14:paraId="07FBCE1C">
            <w:pPr>
              <w:spacing w:line="360" w:lineRule="auto"/>
              <w:jc w:val="left"/>
              <w:rPr>
                <w:rFonts w:ascii="宋体" w:hAnsi="宋体"/>
                <w:b/>
                <w:bCs/>
                <w:sz w:val="18"/>
                <w:szCs w:val="18"/>
              </w:rPr>
            </w:pPr>
            <w:r>
              <w:rPr>
                <w:rFonts w:hint="eastAsia" w:ascii="宋体" w:hAnsi="宋体"/>
                <w:b/>
                <w:bCs/>
                <w:sz w:val="18"/>
                <w:szCs w:val="18"/>
              </w:rPr>
              <w:t>姓名</w:t>
            </w:r>
          </w:p>
        </w:tc>
        <w:tc>
          <w:tcPr>
            <w:tcW w:w="6389" w:type="dxa"/>
            <w:gridSpan w:val="3"/>
            <w:shd w:val="solid" w:color="FFFFFF" w:fill="FFFFFF"/>
            <w:vAlign w:val="center"/>
          </w:tcPr>
          <w:p w14:paraId="7E365728">
            <w:pPr>
              <w:spacing w:line="360" w:lineRule="auto"/>
              <w:jc w:val="left"/>
              <w:rPr>
                <w:rFonts w:ascii="宋体" w:hAnsi="宋体"/>
                <w:b/>
                <w:bCs/>
                <w:sz w:val="18"/>
                <w:szCs w:val="18"/>
              </w:rPr>
            </w:pPr>
          </w:p>
        </w:tc>
      </w:tr>
      <w:tr w14:paraId="51AA190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CA45309">
            <w:pPr>
              <w:spacing w:line="360" w:lineRule="auto"/>
              <w:jc w:val="left"/>
              <w:rPr>
                <w:rFonts w:ascii="宋体" w:hAnsi="宋体"/>
                <w:b/>
                <w:bCs/>
                <w:sz w:val="18"/>
                <w:szCs w:val="18"/>
              </w:rPr>
            </w:pPr>
          </w:p>
        </w:tc>
        <w:tc>
          <w:tcPr>
            <w:tcW w:w="708" w:type="dxa"/>
            <w:vMerge w:val="continue"/>
            <w:shd w:val="solid" w:color="FFFFFF" w:fill="FFFFFF"/>
            <w:vAlign w:val="center"/>
          </w:tcPr>
          <w:p w14:paraId="20DCBC60">
            <w:pPr>
              <w:spacing w:line="360" w:lineRule="auto"/>
              <w:jc w:val="left"/>
              <w:rPr>
                <w:rFonts w:ascii="宋体" w:hAnsi="宋体"/>
                <w:b/>
                <w:bCs/>
                <w:sz w:val="18"/>
                <w:szCs w:val="18"/>
              </w:rPr>
            </w:pPr>
          </w:p>
        </w:tc>
        <w:tc>
          <w:tcPr>
            <w:tcW w:w="982" w:type="dxa"/>
            <w:shd w:val="solid" w:color="FFFFFF" w:fill="FFFFFF"/>
            <w:vAlign w:val="center"/>
          </w:tcPr>
          <w:p w14:paraId="14C62F55">
            <w:pPr>
              <w:spacing w:line="360" w:lineRule="auto"/>
              <w:jc w:val="left"/>
              <w:rPr>
                <w:rFonts w:ascii="宋体" w:hAnsi="宋体"/>
                <w:b/>
                <w:bCs/>
                <w:sz w:val="18"/>
                <w:szCs w:val="18"/>
              </w:rPr>
            </w:pPr>
            <w:r>
              <w:rPr>
                <w:rFonts w:hint="eastAsia" w:ascii="宋体" w:hAnsi="宋体"/>
                <w:b/>
                <w:bCs/>
                <w:sz w:val="18"/>
                <w:szCs w:val="18"/>
              </w:rPr>
              <w:t>证件类型</w:t>
            </w:r>
          </w:p>
        </w:tc>
        <w:tc>
          <w:tcPr>
            <w:tcW w:w="1854" w:type="dxa"/>
            <w:shd w:val="solid" w:color="FFFFFF" w:fill="FFFFFF"/>
            <w:vAlign w:val="center"/>
          </w:tcPr>
          <w:p w14:paraId="768FD331">
            <w:pPr>
              <w:spacing w:line="360" w:lineRule="auto"/>
              <w:jc w:val="left"/>
              <w:rPr>
                <w:rFonts w:ascii="宋体" w:hAnsi="宋体"/>
                <w:b/>
                <w:bCs/>
                <w:sz w:val="18"/>
                <w:szCs w:val="18"/>
              </w:rPr>
            </w:pPr>
          </w:p>
        </w:tc>
        <w:tc>
          <w:tcPr>
            <w:tcW w:w="1417" w:type="dxa"/>
            <w:shd w:val="solid" w:color="FFFFFF" w:fill="FFFFFF"/>
            <w:vAlign w:val="center"/>
          </w:tcPr>
          <w:p w14:paraId="38108084">
            <w:pPr>
              <w:spacing w:line="360" w:lineRule="auto"/>
              <w:jc w:val="left"/>
              <w:rPr>
                <w:rFonts w:ascii="宋体" w:hAnsi="宋体"/>
                <w:b/>
                <w:bCs/>
                <w:sz w:val="18"/>
                <w:szCs w:val="18"/>
              </w:rPr>
            </w:pPr>
            <w:r>
              <w:rPr>
                <w:rFonts w:hint="eastAsia" w:ascii="宋体" w:hAnsi="宋体"/>
                <w:b/>
                <w:bCs/>
                <w:sz w:val="18"/>
                <w:szCs w:val="18"/>
              </w:rPr>
              <w:t>证件号码</w:t>
            </w:r>
          </w:p>
        </w:tc>
        <w:tc>
          <w:tcPr>
            <w:tcW w:w="3118" w:type="dxa"/>
            <w:shd w:val="solid" w:color="FFFFFF" w:fill="FFFFFF"/>
            <w:vAlign w:val="center"/>
          </w:tcPr>
          <w:p w14:paraId="1235087C">
            <w:pPr>
              <w:spacing w:line="360" w:lineRule="auto"/>
              <w:jc w:val="left"/>
              <w:rPr>
                <w:rFonts w:ascii="宋体" w:hAnsi="宋体"/>
                <w:b/>
                <w:bCs/>
                <w:sz w:val="18"/>
                <w:szCs w:val="18"/>
              </w:rPr>
            </w:pPr>
          </w:p>
        </w:tc>
      </w:tr>
      <w:tr w14:paraId="3F097C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2B338E5">
            <w:pPr>
              <w:spacing w:line="360" w:lineRule="auto"/>
              <w:jc w:val="left"/>
              <w:rPr>
                <w:rFonts w:ascii="宋体" w:hAnsi="宋体"/>
                <w:b/>
                <w:bCs/>
                <w:sz w:val="18"/>
                <w:szCs w:val="18"/>
              </w:rPr>
            </w:pPr>
          </w:p>
        </w:tc>
        <w:tc>
          <w:tcPr>
            <w:tcW w:w="708" w:type="dxa"/>
            <w:vMerge w:val="continue"/>
            <w:shd w:val="solid" w:color="FFFFFF" w:fill="FFFFFF"/>
            <w:vAlign w:val="center"/>
          </w:tcPr>
          <w:p w14:paraId="77C93944">
            <w:pPr>
              <w:spacing w:line="360" w:lineRule="auto"/>
              <w:jc w:val="left"/>
              <w:rPr>
                <w:rFonts w:ascii="宋体" w:hAnsi="宋体"/>
                <w:b/>
                <w:bCs/>
                <w:sz w:val="18"/>
                <w:szCs w:val="18"/>
              </w:rPr>
            </w:pPr>
          </w:p>
        </w:tc>
        <w:tc>
          <w:tcPr>
            <w:tcW w:w="982" w:type="dxa"/>
            <w:shd w:val="solid" w:color="FFFFFF" w:fill="FFFFFF"/>
            <w:vAlign w:val="center"/>
          </w:tcPr>
          <w:p w14:paraId="5EEAC448">
            <w:pPr>
              <w:spacing w:line="360" w:lineRule="auto"/>
              <w:jc w:val="left"/>
              <w:rPr>
                <w:rFonts w:ascii="宋体" w:hAnsi="宋体"/>
                <w:b/>
                <w:bCs/>
                <w:sz w:val="18"/>
                <w:szCs w:val="18"/>
              </w:rPr>
            </w:pPr>
            <w:r>
              <w:rPr>
                <w:rFonts w:hint="eastAsia" w:ascii="宋体" w:hAnsi="宋体"/>
                <w:b/>
                <w:bCs/>
                <w:sz w:val="18"/>
                <w:szCs w:val="18"/>
              </w:rPr>
              <w:t>联系电话</w:t>
            </w:r>
          </w:p>
        </w:tc>
        <w:tc>
          <w:tcPr>
            <w:tcW w:w="1854" w:type="dxa"/>
            <w:shd w:val="solid" w:color="FFFFFF" w:fill="FFFFFF"/>
            <w:vAlign w:val="center"/>
          </w:tcPr>
          <w:p w14:paraId="48C5F16E">
            <w:pPr>
              <w:spacing w:line="360" w:lineRule="auto"/>
              <w:jc w:val="left"/>
              <w:rPr>
                <w:rFonts w:ascii="宋体" w:hAnsi="宋体"/>
                <w:b/>
                <w:bCs/>
                <w:sz w:val="18"/>
                <w:szCs w:val="18"/>
              </w:rPr>
            </w:pPr>
          </w:p>
        </w:tc>
        <w:tc>
          <w:tcPr>
            <w:tcW w:w="1417" w:type="dxa"/>
            <w:shd w:val="solid" w:color="FFFFFF" w:fill="FFFFFF"/>
            <w:vAlign w:val="center"/>
          </w:tcPr>
          <w:p w14:paraId="762A348D">
            <w:pPr>
              <w:spacing w:line="360" w:lineRule="auto"/>
              <w:jc w:val="left"/>
              <w:rPr>
                <w:rFonts w:ascii="宋体" w:hAnsi="宋体"/>
                <w:b/>
                <w:bCs/>
                <w:sz w:val="18"/>
                <w:szCs w:val="18"/>
              </w:rPr>
            </w:pPr>
            <w:r>
              <w:rPr>
                <w:rFonts w:hint="eastAsia" w:ascii="宋体" w:hAnsi="宋体"/>
                <w:b/>
                <w:bCs/>
                <w:sz w:val="18"/>
                <w:szCs w:val="18"/>
              </w:rPr>
              <w:t>电子邮箱</w:t>
            </w:r>
          </w:p>
        </w:tc>
        <w:tc>
          <w:tcPr>
            <w:tcW w:w="3118" w:type="dxa"/>
            <w:shd w:val="solid" w:color="FFFFFF" w:fill="FFFFFF"/>
            <w:vAlign w:val="center"/>
          </w:tcPr>
          <w:p w14:paraId="3F4FD54C">
            <w:pPr>
              <w:spacing w:line="360" w:lineRule="auto"/>
              <w:jc w:val="left"/>
              <w:rPr>
                <w:rFonts w:ascii="宋体" w:hAnsi="宋体"/>
                <w:b/>
                <w:bCs/>
                <w:sz w:val="18"/>
                <w:szCs w:val="18"/>
              </w:rPr>
            </w:pPr>
          </w:p>
        </w:tc>
      </w:tr>
      <w:tr w14:paraId="0327D43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4091FAC3">
            <w:pPr>
              <w:spacing w:line="360" w:lineRule="auto"/>
              <w:jc w:val="left"/>
              <w:rPr>
                <w:rFonts w:ascii="宋体" w:hAnsi="宋体"/>
                <w:b/>
                <w:bCs/>
                <w:sz w:val="18"/>
                <w:szCs w:val="18"/>
              </w:rPr>
            </w:pPr>
          </w:p>
        </w:tc>
        <w:tc>
          <w:tcPr>
            <w:tcW w:w="708" w:type="dxa"/>
            <w:vMerge w:val="continue"/>
            <w:shd w:val="solid" w:color="FFFFFF" w:fill="FFFFFF"/>
            <w:vAlign w:val="center"/>
          </w:tcPr>
          <w:p w14:paraId="7600786B">
            <w:pPr>
              <w:spacing w:line="360" w:lineRule="auto"/>
              <w:jc w:val="left"/>
              <w:rPr>
                <w:rFonts w:ascii="宋体" w:hAnsi="宋体"/>
                <w:b/>
                <w:bCs/>
                <w:sz w:val="18"/>
                <w:szCs w:val="18"/>
              </w:rPr>
            </w:pPr>
          </w:p>
        </w:tc>
        <w:tc>
          <w:tcPr>
            <w:tcW w:w="982" w:type="dxa"/>
            <w:shd w:val="solid" w:color="FFFFFF" w:fill="FFFFFF"/>
            <w:vAlign w:val="center"/>
          </w:tcPr>
          <w:p w14:paraId="0F476E87">
            <w:pPr>
              <w:spacing w:line="360" w:lineRule="auto"/>
              <w:jc w:val="left"/>
              <w:rPr>
                <w:rFonts w:ascii="宋体" w:hAnsi="宋体"/>
                <w:b/>
                <w:bCs/>
                <w:sz w:val="18"/>
                <w:szCs w:val="18"/>
              </w:rPr>
            </w:pPr>
            <w:r>
              <w:rPr>
                <w:rFonts w:hint="eastAsia" w:ascii="宋体" w:hAnsi="宋体"/>
                <w:b/>
                <w:bCs/>
                <w:sz w:val="18"/>
                <w:szCs w:val="18"/>
              </w:rPr>
              <w:t>联系地址</w:t>
            </w:r>
          </w:p>
        </w:tc>
        <w:tc>
          <w:tcPr>
            <w:tcW w:w="6389" w:type="dxa"/>
            <w:gridSpan w:val="3"/>
            <w:shd w:val="solid" w:color="FFFFFF" w:fill="FFFFFF"/>
            <w:vAlign w:val="center"/>
          </w:tcPr>
          <w:p w14:paraId="2B2717B9">
            <w:pPr>
              <w:spacing w:line="360" w:lineRule="auto"/>
              <w:jc w:val="left"/>
              <w:rPr>
                <w:rFonts w:ascii="宋体" w:hAnsi="宋体"/>
                <w:b/>
                <w:bCs/>
                <w:sz w:val="18"/>
                <w:szCs w:val="18"/>
              </w:rPr>
            </w:pPr>
          </w:p>
        </w:tc>
      </w:tr>
      <w:tr w14:paraId="04A7ED6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AB8D6C4">
            <w:pPr>
              <w:spacing w:line="360" w:lineRule="auto"/>
              <w:jc w:val="left"/>
              <w:rPr>
                <w:rFonts w:ascii="宋体" w:hAnsi="宋体"/>
                <w:b/>
                <w:bCs/>
                <w:sz w:val="18"/>
                <w:szCs w:val="18"/>
              </w:rPr>
            </w:pPr>
          </w:p>
        </w:tc>
        <w:tc>
          <w:tcPr>
            <w:tcW w:w="708" w:type="dxa"/>
            <w:vMerge w:val="continue"/>
            <w:shd w:val="solid" w:color="FFFFFF" w:fill="FFFFFF"/>
            <w:vAlign w:val="center"/>
          </w:tcPr>
          <w:p w14:paraId="6534CD95">
            <w:pPr>
              <w:spacing w:line="360" w:lineRule="auto"/>
              <w:jc w:val="left"/>
              <w:rPr>
                <w:rFonts w:ascii="宋体" w:hAnsi="宋体"/>
                <w:b/>
                <w:bCs/>
                <w:sz w:val="18"/>
                <w:szCs w:val="18"/>
              </w:rPr>
            </w:pPr>
          </w:p>
        </w:tc>
        <w:tc>
          <w:tcPr>
            <w:tcW w:w="982" w:type="dxa"/>
            <w:tcBorders>
              <w:bottom w:val="single" w:color="auto" w:sz="12" w:space="0"/>
            </w:tcBorders>
            <w:shd w:val="solid" w:color="FFFFFF" w:fill="FFFFFF"/>
            <w:vAlign w:val="center"/>
          </w:tcPr>
          <w:p w14:paraId="222B1C63">
            <w:pPr>
              <w:spacing w:line="360" w:lineRule="auto"/>
              <w:jc w:val="left"/>
              <w:rPr>
                <w:rFonts w:ascii="宋体" w:hAnsi="宋体"/>
                <w:b/>
                <w:bCs/>
                <w:sz w:val="18"/>
                <w:szCs w:val="18"/>
              </w:rPr>
            </w:pPr>
            <w:r>
              <w:rPr>
                <w:rFonts w:hint="eastAsia" w:ascii="宋体" w:hAnsi="宋体"/>
                <w:b/>
                <w:bCs/>
                <w:sz w:val="18"/>
                <w:szCs w:val="18"/>
              </w:rPr>
              <w:t>邮政编码</w:t>
            </w:r>
          </w:p>
        </w:tc>
        <w:tc>
          <w:tcPr>
            <w:tcW w:w="6389" w:type="dxa"/>
            <w:gridSpan w:val="3"/>
            <w:tcBorders>
              <w:bottom w:val="single" w:color="auto" w:sz="12" w:space="0"/>
            </w:tcBorders>
            <w:shd w:val="solid" w:color="FFFFFF" w:fill="FFFFFF"/>
            <w:vAlign w:val="center"/>
          </w:tcPr>
          <w:p w14:paraId="04B77210">
            <w:pPr>
              <w:spacing w:line="360" w:lineRule="auto"/>
              <w:jc w:val="left"/>
              <w:rPr>
                <w:rFonts w:ascii="宋体" w:hAnsi="宋体"/>
                <w:b/>
                <w:bCs/>
                <w:sz w:val="18"/>
                <w:szCs w:val="18"/>
              </w:rPr>
            </w:pPr>
          </w:p>
        </w:tc>
      </w:tr>
      <w:tr w14:paraId="42EBA54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DFBFF7D">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5AA71EEE">
            <w:pPr>
              <w:spacing w:line="360" w:lineRule="auto"/>
              <w:jc w:val="left"/>
              <w:rPr>
                <w:rFonts w:ascii="宋体" w:hAnsi="宋体"/>
                <w:b/>
                <w:bCs/>
                <w:sz w:val="18"/>
                <w:szCs w:val="18"/>
              </w:rPr>
            </w:pPr>
            <w:r>
              <w:rPr>
                <w:rFonts w:hint="eastAsia" w:ascii="宋体" w:hAnsi="宋体"/>
                <w:b/>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4568CD9">
            <w:pPr>
              <w:spacing w:line="360" w:lineRule="auto"/>
              <w:jc w:val="left"/>
              <w:rPr>
                <w:rFonts w:ascii="宋体" w:hAnsi="宋体"/>
                <w:b/>
                <w:bCs/>
                <w:sz w:val="18"/>
                <w:szCs w:val="18"/>
              </w:rPr>
            </w:pPr>
            <w:r>
              <w:rPr>
                <w:rFonts w:hint="eastAsia" w:ascii="宋体" w:hAnsi="宋体"/>
                <w:b/>
                <w:bCs/>
                <w:sz w:val="18"/>
                <w:szCs w:val="18"/>
              </w:rPr>
              <w:t>机构</w:t>
            </w:r>
            <w:r>
              <w:rPr>
                <w:rFonts w:ascii="宋体" w:hAnsi="宋体"/>
                <w:b/>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09DE16FD">
            <w:pPr>
              <w:spacing w:line="360" w:lineRule="auto"/>
              <w:jc w:val="left"/>
              <w:rPr>
                <w:rFonts w:ascii="宋体" w:hAnsi="宋体"/>
                <w:b/>
                <w:bCs/>
                <w:sz w:val="18"/>
                <w:szCs w:val="18"/>
              </w:rPr>
            </w:pPr>
          </w:p>
        </w:tc>
      </w:tr>
      <w:tr w14:paraId="772B7C8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A3671CC">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3CC097C">
            <w:pPr>
              <w:spacing w:line="360" w:lineRule="auto"/>
              <w:jc w:val="left"/>
              <w:rPr>
                <w:rFonts w:ascii="宋体" w:hAnsi="宋体"/>
                <w:b/>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52D273E">
            <w:pPr>
              <w:spacing w:line="360" w:lineRule="auto"/>
              <w:jc w:val="left"/>
              <w:rPr>
                <w:rFonts w:ascii="宋体" w:hAnsi="宋体"/>
                <w:b/>
                <w:bCs/>
                <w:sz w:val="18"/>
                <w:szCs w:val="18"/>
              </w:rPr>
            </w:pPr>
            <w:r>
              <w:rPr>
                <w:rFonts w:hint="eastAsia" w:ascii="宋体" w:hAnsi="宋体"/>
                <w:b/>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CDE8F8E">
            <w:pPr>
              <w:spacing w:line="360" w:lineRule="auto"/>
              <w:jc w:val="left"/>
              <w:rPr>
                <w:rFonts w:ascii="宋体" w:hAnsi="宋体"/>
                <w:b/>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1B52AB2">
            <w:pPr>
              <w:spacing w:line="360" w:lineRule="auto"/>
              <w:jc w:val="left"/>
              <w:rPr>
                <w:rFonts w:ascii="宋体" w:hAnsi="宋体"/>
                <w:b/>
                <w:bCs/>
                <w:sz w:val="18"/>
                <w:szCs w:val="18"/>
              </w:rPr>
            </w:pPr>
            <w:r>
              <w:rPr>
                <w:rFonts w:hint="eastAsia" w:ascii="宋体" w:hAnsi="宋体"/>
                <w:b/>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88D81C6">
            <w:pPr>
              <w:spacing w:line="360" w:lineRule="auto"/>
              <w:jc w:val="left"/>
              <w:rPr>
                <w:rFonts w:ascii="宋体" w:hAnsi="宋体"/>
                <w:b/>
                <w:bCs/>
                <w:sz w:val="18"/>
                <w:szCs w:val="18"/>
              </w:rPr>
            </w:pPr>
          </w:p>
        </w:tc>
      </w:tr>
      <w:tr w14:paraId="2B02371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978A1D7">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02F09403">
            <w:pPr>
              <w:spacing w:line="360" w:lineRule="auto"/>
              <w:jc w:val="left"/>
              <w:rPr>
                <w:rFonts w:ascii="宋体" w:hAnsi="宋体"/>
                <w:b/>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6FFD7E2">
            <w:pPr>
              <w:spacing w:line="360" w:lineRule="auto"/>
              <w:jc w:val="left"/>
              <w:rPr>
                <w:rFonts w:ascii="宋体" w:hAnsi="宋体"/>
                <w:b/>
                <w:bCs/>
                <w:sz w:val="18"/>
                <w:szCs w:val="18"/>
              </w:rPr>
            </w:pPr>
            <w:r>
              <w:rPr>
                <w:rFonts w:hint="eastAsia" w:ascii="宋体" w:hAnsi="宋体"/>
                <w:b/>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21189B9">
            <w:pPr>
              <w:spacing w:line="360" w:lineRule="auto"/>
              <w:jc w:val="left"/>
              <w:rPr>
                <w:rFonts w:ascii="宋体" w:hAnsi="宋体"/>
                <w:b/>
                <w:bCs/>
                <w:sz w:val="18"/>
                <w:szCs w:val="18"/>
              </w:rPr>
            </w:pPr>
          </w:p>
        </w:tc>
      </w:tr>
      <w:tr w14:paraId="05DC80A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110A76C">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75095CC2">
            <w:pPr>
              <w:spacing w:line="360" w:lineRule="auto"/>
              <w:jc w:val="left"/>
              <w:rPr>
                <w:rFonts w:ascii="宋体" w:hAnsi="宋体"/>
                <w:b/>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AE6DDDD">
            <w:pPr>
              <w:spacing w:line="360" w:lineRule="auto"/>
              <w:jc w:val="left"/>
              <w:rPr>
                <w:rFonts w:ascii="宋体" w:hAnsi="宋体"/>
                <w:b/>
                <w:bCs/>
                <w:sz w:val="18"/>
                <w:szCs w:val="18"/>
              </w:rPr>
            </w:pPr>
            <w:r>
              <w:rPr>
                <w:rFonts w:hint="eastAsia" w:ascii="宋体" w:hAnsi="宋体"/>
                <w:b/>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C254EAD">
            <w:pPr>
              <w:spacing w:line="360" w:lineRule="auto"/>
              <w:jc w:val="left"/>
              <w:rPr>
                <w:rFonts w:ascii="宋体" w:hAnsi="宋体"/>
                <w:b/>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6AD6B8C">
            <w:pPr>
              <w:spacing w:line="360" w:lineRule="auto"/>
              <w:jc w:val="left"/>
              <w:rPr>
                <w:rFonts w:ascii="宋体" w:hAnsi="宋体"/>
                <w:b/>
                <w:bCs/>
                <w:sz w:val="18"/>
                <w:szCs w:val="18"/>
              </w:rPr>
            </w:pPr>
            <w:r>
              <w:rPr>
                <w:rFonts w:hint="eastAsia" w:ascii="宋体" w:hAnsi="宋体"/>
                <w:b/>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197296D">
            <w:pPr>
              <w:spacing w:line="360" w:lineRule="auto"/>
              <w:jc w:val="left"/>
              <w:rPr>
                <w:rFonts w:ascii="宋体" w:hAnsi="宋体"/>
                <w:b/>
                <w:bCs/>
                <w:sz w:val="18"/>
                <w:szCs w:val="18"/>
              </w:rPr>
            </w:pPr>
          </w:p>
        </w:tc>
      </w:tr>
      <w:tr w14:paraId="0486ED2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785BC06D">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283FC3DA">
            <w:pPr>
              <w:spacing w:line="360" w:lineRule="auto"/>
              <w:jc w:val="left"/>
              <w:rPr>
                <w:rFonts w:ascii="宋体" w:hAnsi="宋体"/>
                <w:b/>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7148295">
            <w:pPr>
              <w:spacing w:line="360" w:lineRule="auto"/>
              <w:jc w:val="left"/>
              <w:rPr>
                <w:rFonts w:ascii="宋体" w:hAnsi="宋体"/>
                <w:b/>
                <w:bCs/>
                <w:sz w:val="18"/>
                <w:szCs w:val="18"/>
              </w:rPr>
            </w:pPr>
            <w:r>
              <w:rPr>
                <w:rFonts w:hint="eastAsia" w:ascii="宋体" w:hAnsi="宋体"/>
                <w:b/>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F87963B">
            <w:pPr>
              <w:spacing w:line="360" w:lineRule="auto"/>
              <w:jc w:val="left"/>
              <w:rPr>
                <w:rFonts w:ascii="宋体" w:hAnsi="宋体"/>
                <w:b/>
                <w:bCs/>
                <w:sz w:val="18"/>
                <w:szCs w:val="18"/>
              </w:rPr>
            </w:pPr>
          </w:p>
        </w:tc>
      </w:tr>
      <w:tr w14:paraId="2F9F099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493C62F3">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20044AF5">
            <w:pPr>
              <w:spacing w:line="360" w:lineRule="auto"/>
              <w:jc w:val="left"/>
              <w:rPr>
                <w:rFonts w:ascii="宋体" w:hAnsi="宋体"/>
                <w:b/>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3E895AD">
            <w:pPr>
              <w:spacing w:line="360" w:lineRule="auto"/>
              <w:jc w:val="left"/>
              <w:rPr>
                <w:rFonts w:ascii="宋体" w:hAnsi="宋体"/>
                <w:b/>
                <w:bCs/>
                <w:sz w:val="18"/>
                <w:szCs w:val="18"/>
              </w:rPr>
            </w:pPr>
            <w:r>
              <w:rPr>
                <w:rFonts w:hint="eastAsia" w:ascii="宋体" w:hAnsi="宋体"/>
                <w:b/>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7B628C8A">
            <w:pPr>
              <w:spacing w:line="360" w:lineRule="auto"/>
              <w:jc w:val="left"/>
              <w:rPr>
                <w:rFonts w:ascii="宋体" w:hAnsi="宋体"/>
                <w:b/>
                <w:bCs/>
                <w:sz w:val="18"/>
                <w:szCs w:val="18"/>
              </w:rPr>
            </w:pPr>
          </w:p>
        </w:tc>
      </w:tr>
      <w:tr w14:paraId="313AEE8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6E91CE82">
            <w:pPr>
              <w:pStyle w:val="15"/>
              <w:pBdr>
                <w:bottom w:val="none" w:color="auto" w:sz="0" w:space="0"/>
              </w:pBdr>
              <w:spacing w:line="360" w:lineRule="auto"/>
              <w:rPr>
                <w:rFonts w:ascii="宋体" w:hAnsi="宋体"/>
                <w:b/>
                <w:bCs/>
                <w:szCs w:val="18"/>
              </w:rPr>
            </w:pPr>
          </w:p>
        </w:tc>
      </w:tr>
      <w:tr w14:paraId="7CF32BF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1BF90EF0">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6B3A9087">
            <w:pPr>
              <w:spacing w:line="360" w:lineRule="auto"/>
              <w:jc w:val="left"/>
              <w:rPr>
                <w:rFonts w:ascii="宋体" w:hAnsi="宋体"/>
                <w:b/>
                <w:bCs/>
                <w:sz w:val="18"/>
                <w:szCs w:val="18"/>
              </w:rPr>
            </w:pPr>
            <w:r>
              <w:rPr>
                <w:rFonts w:hint="eastAsia" w:ascii="宋体" w:hAnsi="宋体"/>
                <w:b/>
                <w:bCs/>
                <w:sz w:val="18"/>
                <w:szCs w:val="18"/>
              </w:rPr>
              <w:t>机构名称</w:t>
            </w:r>
          </w:p>
        </w:tc>
        <w:tc>
          <w:tcPr>
            <w:tcW w:w="6389" w:type="dxa"/>
            <w:gridSpan w:val="3"/>
            <w:shd w:val="solid" w:color="FFFFFF" w:fill="FFFFFF"/>
            <w:vAlign w:val="center"/>
          </w:tcPr>
          <w:p w14:paraId="7332D418">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1E4D2CF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2F5EDB54">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7CDE23BB">
            <w:pPr>
              <w:spacing w:line="360" w:lineRule="auto"/>
              <w:jc w:val="left"/>
              <w:rPr>
                <w:rFonts w:ascii="宋体" w:hAnsi="宋体"/>
                <w:b/>
                <w:bCs/>
                <w:sz w:val="18"/>
                <w:szCs w:val="18"/>
              </w:rPr>
            </w:pPr>
            <w:r>
              <w:rPr>
                <w:rFonts w:hint="eastAsia" w:ascii="宋体" w:hAnsi="宋体"/>
                <w:b/>
                <w:bCs/>
                <w:sz w:val="18"/>
                <w:szCs w:val="18"/>
              </w:rPr>
              <w:t>机构简介</w:t>
            </w:r>
          </w:p>
        </w:tc>
        <w:tc>
          <w:tcPr>
            <w:tcW w:w="6389" w:type="dxa"/>
            <w:gridSpan w:val="3"/>
            <w:tcBorders>
              <w:bottom w:val="single" w:color="auto" w:sz="12" w:space="0"/>
            </w:tcBorders>
            <w:shd w:val="solid" w:color="FFFFFF" w:fill="FFFFFF"/>
            <w:vAlign w:val="center"/>
          </w:tcPr>
          <w:p w14:paraId="034A81EE">
            <w:pPr>
              <w:spacing w:line="360" w:lineRule="auto"/>
              <w:jc w:val="left"/>
              <w:rPr>
                <w:rFonts w:ascii="宋体" w:hAnsi="宋体"/>
                <w:sz w:val="18"/>
                <w:szCs w:val="18"/>
              </w:rPr>
            </w:pPr>
            <w:r>
              <w:rPr>
                <w:rFonts w:hint="eastAsia" w:ascii="宋体" w:hAnsi="宋体"/>
                <w:bCs/>
                <w:sz w:val="18"/>
                <w:szCs w:val="18"/>
              </w:rPr>
              <w:t>本公司系根据中国银保监会批准设立的由兴业银行股份有限公司全资控股的银行理财子公司。公司名称：中文为“兴银理财有限责任公司”；英文：“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。公司成立于</w:t>
            </w:r>
            <w:r>
              <w:rPr>
                <w:rFonts w:ascii="宋体" w:hAnsi="宋体"/>
                <w:bCs/>
                <w:sz w:val="18"/>
                <w:szCs w:val="18"/>
              </w:rPr>
              <w:t>2019年12月，公司注册资本为50亿元人民币，全部由兴业银行股份有限公司以货币资金认购并一次性足额缴纳。公司注册地为福建省福州市。公司主要</w:t>
            </w:r>
            <w:r>
              <w:rPr>
                <w:rFonts w:hint="eastAsia" w:ascii="宋体" w:hAnsi="宋体"/>
                <w:bCs/>
                <w:sz w:val="18"/>
                <w:szCs w:val="18"/>
              </w:rPr>
              <w:t>业务范围为：面向不特定社会公众公开发行理财产品，对受托的投资和财产进行投资和管理；面向合格投资者非公开发行理财产品，对受托的投资和财产进行投资和管理；理财顾问和咨询服务；经银保监会批准的其他业务等。</w:t>
            </w:r>
          </w:p>
        </w:tc>
      </w:tr>
      <w:tr w14:paraId="7BC8801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4CAA80EE">
            <w:pPr>
              <w:spacing w:line="360" w:lineRule="auto"/>
              <w:jc w:val="left"/>
              <w:rPr>
                <w:rFonts w:ascii="宋体" w:hAnsi="宋体"/>
                <w:bCs/>
                <w:sz w:val="18"/>
                <w:szCs w:val="18"/>
              </w:rPr>
            </w:pPr>
          </w:p>
        </w:tc>
      </w:tr>
      <w:tr w14:paraId="08291A4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restart"/>
            <w:shd w:val="solid" w:color="FFFFFF" w:fill="FFFFFF"/>
            <w:vAlign w:val="center"/>
          </w:tcPr>
          <w:p w14:paraId="154C2FE6">
            <w:pPr>
              <w:spacing w:line="360" w:lineRule="auto"/>
              <w:jc w:val="left"/>
              <w:rPr>
                <w:rFonts w:ascii="宋体" w:hAnsi="宋体"/>
                <w:b/>
                <w:bCs/>
                <w:sz w:val="18"/>
                <w:szCs w:val="18"/>
              </w:rPr>
            </w:pPr>
            <w:r>
              <w:rPr>
                <w:rFonts w:hint="eastAsia" w:ascii="宋体" w:hAnsi="宋体"/>
                <w:b/>
                <w:bCs/>
                <w:sz w:val="18"/>
                <w:szCs w:val="18"/>
              </w:rPr>
              <w:t>理财产品信息</w:t>
            </w:r>
          </w:p>
        </w:tc>
        <w:tc>
          <w:tcPr>
            <w:tcW w:w="1690" w:type="dxa"/>
            <w:gridSpan w:val="2"/>
            <w:shd w:val="solid" w:color="FFFFFF" w:fill="FFFFFF"/>
          </w:tcPr>
          <w:p w14:paraId="0F314810">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理财产品名称</w:t>
            </w:r>
          </w:p>
        </w:tc>
        <w:tc>
          <w:tcPr>
            <w:tcW w:w="6389" w:type="dxa"/>
            <w:gridSpan w:val="3"/>
            <w:shd w:val="solid" w:color="FFFFFF" w:fill="FFFFFF"/>
            <w:vAlign w:val="center"/>
          </w:tcPr>
          <w:p w14:paraId="6819B01E">
            <w:pPr>
              <w:spacing w:line="360" w:lineRule="auto"/>
              <w:jc w:val="left"/>
              <w:rPr>
                <w:rFonts w:ascii="宋体" w:hAnsi="宋体"/>
                <w:bCs/>
                <w:sz w:val="18"/>
                <w:szCs w:val="18"/>
              </w:rPr>
            </w:pPr>
            <w:r>
              <w:rPr>
                <w:rFonts w:hint="eastAsia" w:ascii="宋体" w:hAnsi="宋体"/>
                <w:bCs/>
                <w:sz w:val="18"/>
                <w:szCs w:val="18"/>
              </w:rPr>
              <w:t>兴银理财稳添利日盈增利6号日开固收类理财产品</w:t>
            </w:r>
          </w:p>
        </w:tc>
      </w:tr>
      <w:tr w14:paraId="0FC5636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1444A10F">
            <w:pPr>
              <w:spacing w:line="360" w:lineRule="auto"/>
              <w:jc w:val="left"/>
              <w:rPr>
                <w:rFonts w:ascii="宋体" w:hAnsi="宋体"/>
                <w:b/>
                <w:bCs/>
                <w:sz w:val="18"/>
                <w:szCs w:val="18"/>
              </w:rPr>
            </w:pPr>
          </w:p>
        </w:tc>
        <w:tc>
          <w:tcPr>
            <w:tcW w:w="1690" w:type="dxa"/>
            <w:gridSpan w:val="2"/>
            <w:shd w:val="solid" w:color="FFFFFF" w:fill="FFFFFF"/>
            <w:vAlign w:val="center"/>
          </w:tcPr>
          <w:p w14:paraId="464A65CF">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6389" w:type="dxa"/>
            <w:gridSpan w:val="3"/>
            <w:shd w:val="solid" w:color="FFFFFF" w:fill="FFFFFF"/>
            <w:vAlign w:val="center"/>
          </w:tcPr>
          <w:p w14:paraId="4BEC2B0A">
            <w:pPr>
              <w:spacing w:line="360" w:lineRule="auto"/>
              <w:jc w:val="left"/>
              <w:rPr>
                <w:rFonts w:ascii="宋体" w:hAnsi="宋体"/>
                <w:bCs/>
                <w:sz w:val="18"/>
                <w:szCs w:val="18"/>
              </w:rPr>
            </w:pPr>
            <w:r>
              <w:rPr>
                <w:rFonts w:hint="eastAsia" w:ascii="宋体" w:hAnsi="宋体"/>
                <w:bCs/>
                <w:sz w:val="18"/>
                <w:szCs w:val="18"/>
              </w:rPr>
              <w:t>【稳添利日盈增利6号D】</w:t>
            </w:r>
            <w:r>
              <w:rPr>
                <w:rFonts w:hint="eastAsia" w:hAnsi="宋体"/>
                <w:sz w:val="18"/>
                <w:szCs w:val="18"/>
              </w:rPr>
              <w:t>（适用</w:t>
            </w:r>
            <w:r>
              <w:rPr>
                <w:rFonts w:hint="eastAsia" w:asciiTheme="minorEastAsia" w:hAnsiTheme="minorEastAsia"/>
                <w:sz w:val="18"/>
                <w:szCs w:val="18"/>
              </w:rPr>
              <w:t>【</w:t>
            </w:r>
            <w:r>
              <w:rPr>
                <w:rFonts w:asciiTheme="minorEastAsia" w:hAnsiTheme="minorEastAsia"/>
                <w:sz w:val="18"/>
                <w:szCs w:val="18"/>
              </w:rPr>
              <w:t>D</w:t>
            </w:r>
            <w:r>
              <w:rPr>
                <w:rFonts w:hint="eastAsia" w:asciiTheme="minorEastAsia" w:hAnsiTheme="minorEastAsia"/>
                <w:sz w:val="18"/>
                <w:szCs w:val="18"/>
              </w:rPr>
              <w:t>】类</w:t>
            </w:r>
            <w:r>
              <w:rPr>
                <w:rFonts w:hint="eastAsia" w:hAnsi="宋体"/>
                <w:sz w:val="18"/>
                <w:szCs w:val="18"/>
              </w:rPr>
              <w:t>份额）</w:t>
            </w:r>
          </w:p>
        </w:tc>
      </w:tr>
      <w:tr w14:paraId="419DB85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91" w:hRule="atLeast"/>
          <w:jc w:val="center"/>
        </w:trPr>
        <w:tc>
          <w:tcPr>
            <w:tcW w:w="1142" w:type="dxa"/>
            <w:vMerge w:val="continue"/>
            <w:shd w:val="solid" w:color="FFFFFF" w:fill="FFFFFF"/>
            <w:vAlign w:val="center"/>
          </w:tcPr>
          <w:p w14:paraId="33ACDE48">
            <w:pPr>
              <w:spacing w:line="360" w:lineRule="auto"/>
              <w:jc w:val="left"/>
              <w:rPr>
                <w:rFonts w:ascii="宋体" w:hAnsi="宋体"/>
                <w:b/>
                <w:bCs/>
                <w:sz w:val="18"/>
                <w:szCs w:val="18"/>
              </w:rPr>
            </w:pPr>
          </w:p>
        </w:tc>
        <w:tc>
          <w:tcPr>
            <w:tcW w:w="1690" w:type="dxa"/>
            <w:gridSpan w:val="2"/>
            <w:shd w:val="solid" w:color="FFFFFF" w:fill="FFFFFF"/>
          </w:tcPr>
          <w:p w14:paraId="0C247F43">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6389" w:type="dxa"/>
            <w:gridSpan w:val="3"/>
            <w:shd w:val="solid" w:color="FFFFFF" w:fill="FFFFFF"/>
            <w:vAlign w:val="center"/>
          </w:tcPr>
          <w:p w14:paraId="6E3CE910">
            <w:pPr>
              <w:rPr>
                <w:rFonts w:ascii="宋体" w:hAnsi="宋体"/>
                <w:bCs/>
                <w:sz w:val="18"/>
                <w:szCs w:val="18"/>
              </w:rPr>
            </w:pPr>
            <w:r>
              <w:rPr>
                <w:rFonts w:hint="eastAsia" w:hAnsi="宋体"/>
                <w:sz w:val="18"/>
                <w:szCs w:val="18"/>
              </w:rPr>
              <w:t>【</w:t>
            </w:r>
            <w:r>
              <w:rPr>
                <w:rFonts w:hAnsi="宋体"/>
                <w:sz w:val="18"/>
                <w:szCs w:val="18"/>
              </w:rPr>
              <w:t>Z7002023000167</w:t>
            </w:r>
            <w:r>
              <w:rPr>
                <w:rFonts w:hint="eastAsia" w:ascii="宋体" w:hAnsi="宋体"/>
                <w:bCs/>
                <w:sz w:val="18"/>
                <w:szCs w:val="18"/>
              </w:rPr>
              <w:t>】注</w:t>
            </w:r>
            <w:r>
              <w:rPr>
                <w:rFonts w:hint="eastAsia" w:hAnsi="宋体"/>
                <w:sz w:val="18"/>
                <w:szCs w:val="18"/>
              </w:rPr>
              <w:t>：投资者可依</w:t>
            </w:r>
            <w:r>
              <w:rPr>
                <w:rFonts w:hint="eastAsia" w:ascii="宋体" w:hAnsi="宋体"/>
                <w:sz w:val="18"/>
                <w:szCs w:val="18"/>
              </w:rPr>
              <w:t>据理财产品登记编码在中国理财网(</w:t>
            </w:r>
            <w:r>
              <w:fldChar w:fldCharType="begin"/>
            </w:r>
            <w:r>
              <w:instrText xml:space="preserve"> HYPERLINK "http://www.chinawealth.com.cn" </w:instrText>
            </w:r>
            <w:r>
              <w:fldChar w:fldCharType="separate"/>
            </w:r>
            <w:r>
              <w:rPr>
                <w:rStyle w:val="29"/>
                <w:rFonts w:hint="eastAsia" w:ascii="宋体" w:hAnsi="宋体"/>
                <w:sz w:val="18"/>
                <w:szCs w:val="18"/>
              </w:rPr>
              <w:t>www.chinawealth.com.cn</w:t>
            </w:r>
            <w:r>
              <w:rPr>
                <w:rStyle w:val="29"/>
                <w:rFonts w:hint="eastAsia" w:ascii="宋体" w:hAnsi="宋体"/>
                <w:sz w:val="18"/>
                <w:szCs w:val="18"/>
              </w:rPr>
              <w:fldChar w:fldCharType="end"/>
            </w:r>
            <w:r>
              <w:rPr>
                <w:rFonts w:hint="eastAsia" w:ascii="宋体" w:hAnsi="宋体"/>
                <w:sz w:val="18"/>
                <w:szCs w:val="18"/>
              </w:rPr>
              <w:t>）查询产品信息</w:t>
            </w:r>
          </w:p>
        </w:tc>
      </w:tr>
      <w:tr w14:paraId="49D977B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76070C76">
            <w:pPr>
              <w:spacing w:line="360" w:lineRule="auto"/>
              <w:jc w:val="left"/>
              <w:rPr>
                <w:rFonts w:ascii="宋体" w:hAnsi="宋体"/>
                <w:b/>
                <w:bCs/>
                <w:sz w:val="18"/>
                <w:szCs w:val="18"/>
              </w:rPr>
            </w:pPr>
          </w:p>
        </w:tc>
        <w:tc>
          <w:tcPr>
            <w:tcW w:w="1690" w:type="dxa"/>
            <w:gridSpan w:val="2"/>
            <w:shd w:val="solid" w:color="FFFFFF" w:fill="FFFFFF"/>
            <w:vAlign w:val="center"/>
          </w:tcPr>
          <w:p w14:paraId="0DC6E444">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w:t>
            </w:r>
            <w:r>
              <w:rPr>
                <w:rFonts w:ascii="宋体" w:hAnsi="宋体"/>
                <w:b/>
                <w:bCs/>
                <w:sz w:val="18"/>
                <w:szCs w:val="18"/>
              </w:rPr>
              <w:t>代码</w:t>
            </w:r>
          </w:p>
        </w:tc>
        <w:tc>
          <w:tcPr>
            <w:tcW w:w="6389" w:type="dxa"/>
            <w:gridSpan w:val="3"/>
            <w:shd w:val="solid" w:color="FFFFFF" w:fill="FFFFFF"/>
            <w:vAlign w:val="center"/>
          </w:tcPr>
          <w:p w14:paraId="7EB2E6CE">
            <w:pPr>
              <w:spacing w:line="360" w:lineRule="auto"/>
              <w:jc w:val="left"/>
              <w:rPr>
                <w:rFonts w:ascii="宋体" w:hAnsi="宋体"/>
                <w:bCs/>
                <w:sz w:val="18"/>
                <w:szCs w:val="18"/>
              </w:rPr>
            </w:pPr>
            <w:r>
              <w:rPr>
                <w:rFonts w:ascii="宋体" w:hAnsi="宋体"/>
                <w:bCs/>
                <w:color w:val="000000" w:themeColor="text1"/>
                <w:sz w:val="18"/>
                <w:szCs w:val="18"/>
              </w:rPr>
              <w:t>【9K921060】</w:t>
            </w:r>
          </w:p>
        </w:tc>
      </w:tr>
      <w:tr w14:paraId="182E7A1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90" w:hRule="atLeast"/>
          <w:jc w:val="center"/>
        </w:trPr>
        <w:tc>
          <w:tcPr>
            <w:tcW w:w="1142" w:type="dxa"/>
            <w:vMerge w:val="continue"/>
            <w:shd w:val="solid" w:color="FFFFFF" w:fill="FFFFFF"/>
            <w:vAlign w:val="center"/>
          </w:tcPr>
          <w:p w14:paraId="5FBEDEF9">
            <w:pPr>
              <w:spacing w:line="360" w:lineRule="auto"/>
              <w:jc w:val="left"/>
              <w:rPr>
                <w:rFonts w:ascii="宋体" w:hAnsi="宋体"/>
                <w:b/>
                <w:bCs/>
                <w:sz w:val="18"/>
                <w:szCs w:val="18"/>
              </w:rPr>
            </w:pPr>
          </w:p>
        </w:tc>
        <w:tc>
          <w:tcPr>
            <w:tcW w:w="1690" w:type="dxa"/>
            <w:gridSpan w:val="2"/>
            <w:shd w:val="solid" w:color="FFFFFF" w:fill="FFFFFF"/>
            <w:vAlign w:val="center"/>
          </w:tcPr>
          <w:p w14:paraId="7A71258C">
            <w:pPr>
              <w:spacing w:line="320" w:lineRule="exact"/>
              <w:jc w:val="left"/>
              <w:rPr>
                <w:rFonts w:hAnsi="宋体"/>
                <w:sz w:val="18"/>
                <w:szCs w:val="18"/>
              </w:rPr>
            </w:pPr>
            <w:r>
              <w:rPr>
                <w:rFonts w:hint="eastAsia" w:hAnsi="宋体"/>
                <w:sz w:val="18"/>
                <w:szCs w:val="18"/>
              </w:rPr>
              <w:t>★</w:t>
            </w:r>
            <w:r>
              <w:rPr>
                <w:rFonts w:hint="eastAsia" w:ascii="宋体" w:hAnsi="宋体"/>
                <w:b/>
                <w:bCs/>
                <w:sz w:val="18"/>
                <w:szCs w:val="18"/>
              </w:rPr>
              <w:t>销售</w:t>
            </w:r>
            <w:r>
              <w:rPr>
                <w:rFonts w:ascii="宋体" w:hAnsi="宋体"/>
                <w:b/>
                <w:bCs/>
                <w:sz w:val="18"/>
                <w:szCs w:val="18"/>
              </w:rPr>
              <w:t>代码</w:t>
            </w:r>
          </w:p>
        </w:tc>
        <w:tc>
          <w:tcPr>
            <w:tcW w:w="6389" w:type="dxa"/>
            <w:gridSpan w:val="3"/>
            <w:shd w:val="solid" w:color="FFFFFF" w:fill="FFFFFF"/>
            <w:vAlign w:val="center"/>
          </w:tcPr>
          <w:p w14:paraId="33B1B2F8">
            <w:pPr>
              <w:spacing w:line="360" w:lineRule="auto"/>
              <w:jc w:val="left"/>
              <w:rPr>
                <w:rFonts w:ascii="宋体" w:hAnsi="宋体"/>
                <w:bCs/>
                <w:color w:val="000000" w:themeColor="text1"/>
                <w:sz w:val="18"/>
                <w:szCs w:val="18"/>
              </w:rPr>
            </w:pPr>
            <w:r>
              <w:rPr>
                <w:rFonts w:hint="eastAsia" w:ascii="宋体" w:hAnsi="宋体"/>
                <w:bCs/>
                <w:sz w:val="18"/>
                <w:szCs w:val="18"/>
              </w:rPr>
              <w:t>【</w:t>
            </w:r>
            <w:r>
              <w:rPr>
                <w:rFonts w:ascii="宋体" w:hAnsi="宋体"/>
                <w:bCs/>
                <w:sz w:val="18"/>
                <w:szCs w:val="18"/>
              </w:rPr>
              <w:t>9K92106D</w:t>
            </w:r>
            <w:r>
              <w:rPr>
                <w:rFonts w:hint="eastAsia" w:ascii="宋体" w:hAnsi="宋体"/>
                <w:bCs/>
                <w:sz w:val="18"/>
                <w:szCs w:val="18"/>
              </w:rPr>
              <w:t>】</w:t>
            </w:r>
            <w:r>
              <w:rPr>
                <w:rFonts w:hint="eastAsia" w:hAnsi="宋体"/>
                <w:sz w:val="18"/>
                <w:szCs w:val="18"/>
              </w:rPr>
              <w:t>（适用</w:t>
            </w:r>
            <w:r>
              <w:rPr>
                <w:rFonts w:hint="eastAsia" w:asciiTheme="minorEastAsia" w:hAnsiTheme="minorEastAsia"/>
                <w:sz w:val="18"/>
                <w:szCs w:val="18"/>
              </w:rPr>
              <w:t>【</w:t>
            </w:r>
            <w:r>
              <w:rPr>
                <w:rFonts w:asciiTheme="minorEastAsia" w:hAnsiTheme="minorEastAsia"/>
                <w:sz w:val="18"/>
                <w:szCs w:val="18"/>
              </w:rPr>
              <w:t>D</w:t>
            </w:r>
            <w:r>
              <w:rPr>
                <w:rFonts w:hint="eastAsia" w:asciiTheme="minorEastAsia" w:hAnsiTheme="minorEastAsia"/>
                <w:sz w:val="18"/>
                <w:szCs w:val="18"/>
              </w:rPr>
              <w:t>】类</w:t>
            </w:r>
            <w:r>
              <w:rPr>
                <w:rFonts w:hint="eastAsia" w:hAnsi="宋体"/>
                <w:sz w:val="18"/>
                <w:szCs w:val="18"/>
              </w:rPr>
              <w:t>份额）</w:t>
            </w:r>
          </w:p>
        </w:tc>
      </w:tr>
      <w:tr w14:paraId="3D9FB8D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7D9E7D7B">
            <w:pPr>
              <w:spacing w:line="360" w:lineRule="auto"/>
              <w:jc w:val="left"/>
              <w:rPr>
                <w:rFonts w:ascii="宋体" w:hAnsi="宋体"/>
                <w:b/>
                <w:bCs/>
                <w:sz w:val="18"/>
                <w:szCs w:val="18"/>
              </w:rPr>
            </w:pPr>
          </w:p>
        </w:tc>
      </w:tr>
      <w:tr w14:paraId="4ACE439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7717CF96">
            <w:pPr>
              <w:pStyle w:val="15"/>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02C108D3">
            <w:pPr>
              <w:pStyle w:val="15"/>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2EE06239">
      <w:pPr>
        <w:widowControl/>
        <w:spacing w:line="360" w:lineRule="auto"/>
        <w:jc w:val="left"/>
        <w:rPr>
          <w:bCs/>
          <w:sz w:val="32"/>
        </w:rPr>
      </w:pPr>
      <w:r>
        <w:rPr>
          <w:rFonts w:hint="eastAsia"/>
          <w:bCs/>
          <w:sz w:val="32"/>
        </w:rPr>
        <w:t xml:space="preserve"> </w:t>
      </w:r>
    </w:p>
    <w:p w14:paraId="1172BE35">
      <w:pPr>
        <w:tabs>
          <w:tab w:val="left" w:pos="8070"/>
          <w:tab w:val="right" w:pos="8306"/>
        </w:tabs>
        <w:autoSpaceDE w:val="0"/>
        <w:autoSpaceDN w:val="0"/>
        <w:adjustRightInd w:val="0"/>
        <w:snapToGrid w:val="0"/>
        <w:spacing w:line="360" w:lineRule="auto"/>
        <w:rPr>
          <w:rFonts w:ascii="宋体" w:hAnsi="宋体" w:cs="仿宋_GB2312"/>
          <w:b/>
          <w:kern w:val="0"/>
          <w:sz w:val="18"/>
          <w:szCs w:val="18"/>
        </w:rPr>
        <w:sectPr>
          <w:headerReference r:id="rId3" w:type="default"/>
          <w:footerReference r:id="rId4" w:type="default"/>
          <w:pgSz w:w="11906" w:h="16838"/>
          <w:pgMar w:top="1440" w:right="1800" w:bottom="1440" w:left="1800" w:header="567" w:footer="992" w:gutter="0"/>
          <w:pgNumType w:start="0"/>
          <w:cols w:space="720" w:num="1"/>
          <w:titlePg/>
          <w:docGrid w:type="lines" w:linePitch="312" w:charSpace="0"/>
        </w:sectPr>
      </w:pPr>
    </w:p>
    <w:sdt>
      <w:sdtPr>
        <w:rPr>
          <w:rFonts w:ascii="Times New Roman" w:hAnsi="Times New Roman" w:eastAsia="宋体" w:cs="Times New Roman"/>
          <w:color w:val="auto"/>
          <w:kern w:val="2"/>
          <w:sz w:val="21"/>
          <w:szCs w:val="20"/>
          <w:lang w:val="zh-CN"/>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rPr>
      </w:sdtEndPr>
      <w:sdtContent>
        <w:p w14:paraId="140C9D87">
          <w:pPr>
            <w:pStyle w:val="67"/>
            <w:spacing w:line="360" w:lineRule="auto"/>
            <w:jc w:val="center"/>
          </w:pPr>
          <w:r>
            <w:rPr>
              <w:lang w:val="zh-CN"/>
            </w:rPr>
            <w:t>目录</w:t>
          </w:r>
        </w:p>
        <w:p w14:paraId="096FA93E">
          <w:pPr>
            <w:pStyle w:val="16"/>
            <w:rPr>
              <w:rFonts w:asciiTheme="minorHAnsi" w:hAnsiTheme="minorHAnsi" w:eastAsiaTheme="minorEastAsia" w:cstheme="minorBidi"/>
              <w:szCs w:val="22"/>
            </w:rPr>
          </w:pPr>
          <w:r>
            <w:fldChar w:fldCharType="begin"/>
          </w:r>
          <w:r>
            <w:instrText xml:space="preserve"> HYPERLINK \l "_Toc95897036" </w:instrText>
          </w:r>
          <w:r>
            <w:fldChar w:fldCharType="separate"/>
          </w:r>
          <w:r>
            <w:rPr>
              <w:rStyle w:val="29"/>
              <w:rFonts w:hint="eastAsia"/>
            </w:rPr>
            <w:t>第一条</w:t>
          </w:r>
          <w:r>
            <w:rPr>
              <w:rStyle w:val="29"/>
            </w:rPr>
            <w:t xml:space="preserve">  </w:t>
          </w:r>
          <w:r>
            <w:rPr>
              <w:rStyle w:val="29"/>
              <w:rFonts w:hint="eastAsia"/>
            </w:rPr>
            <w:t>前言</w:t>
          </w:r>
          <w:r>
            <w:tab/>
          </w:r>
          <w:r>
            <w:fldChar w:fldCharType="begin"/>
          </w:r>
          <w:r>
            <w:instrText xml:space="preserve"> PAGEREF _Toc95897036 \h </w:instrText>
          </w:r>
          <w:r>
            <w:fldChar w:fldCharType="separate"/>
          </w:r>
          <w:r>
            <w:t>1</w:t>
          </w:r>
          <w:r>
            <w:fldChar w:fldCharType="end"/>
          </w:r>
          <w:r>
            <w:fldChar w:fldCharType="end"/>
          </w:r>
        </w:p>
        <w:p w14:paraId="01BB4A3B">
          <w:pPr>
            <w:pStyle w:val="16"/>
            <w:rPr>
              <w:rFonts w:asciiTheme="minorHAnsi" w:hAnsiTheme="minorHAnsi" w:eastAsiaTheme="minorEastAsia" w:cstheme="minorBidi"/>
              <w:szCs w:val="22"/>
            </w:rPr>
          </w:pPr>
          <w:r>
            <w:fldChar w:fldCharType="begin"/>
          </w:r>
          <w:r>
            <w:instrText xml:space="preserve"> HYPERLINK \l "_Toc95897037" </w:instrText>
          </w:r>
          <w:r>
            <w:fldChar w:fldCharType="separate"/>
          </w:r>
          <w:r>
            <w:rPr>
              <w:rStyle w:val="29"/>
              <w:rFonts w:hint="eastAsia"/>
            </w:rPr>
            <w:t>第二条</w:t>
          </w:r>
          <w:r>
            <w:rPr>
              <w:rStyle w:val="29"/>
            </w:rPr>
            <w:t xml:space="preserve">  </w:t>
          </w:r>
          <w:r>
            <w:rPr>
              <w:rStyle w:val="29"/>
              <w:rFonts w:hint="eastAsia"/>
            </w:rPr>
            <w:t>双方权利义务</w:t>
          </w:r>
          <w:r>
            <w:tab/>
          </w:r>
          <w:r>
            <w:fldChar w:fldCharType="begin"/>
          </w:r>
          <w:r>
            <w:instrText xml:space="preserve"> PAGEREF _Toc95897037 \h </w:instrText>
          </w:r>
          <w:r>
            <w:fldChar w:fldCharType="separate"/>
          </w:r>
          <w:r>
            <w:t>2</w:t>
          </w:r>
          <w:r>
            <w:fldChar w:fldCharType="end"/>
          </w:r>
          <w:r>
            <w:fldChar w:fldCharType="end"/>
          </w:r>
        </w:p>
        <w:p w14:paraId="4E42B77D">
          <w:pPr>
            <w:pStyle w:val="16"/>
            <w:rPr>
              <w:rFonts w:asciiTheme="minorHAnsi" w:hAnsiTheme="minorHAnsi" w:eastAsiaTheme="minorEastAsia" w:cstheme="minorBidi"/>
              <w:szCs w:val="22"/>
            </w:rPr>
          </w:pPr>
          <w:r>
            <w:fldChar w:fldCharType="begin"/>
          </w:r>
          <w:r>
            <w:instrText xml:space="preserve"> HYPERLINK \l "_Toc95897038" </w:instrText>
          </w:r>
          <w:r>
            <w:fldChar w:fldCharType="separate"/>
          </w:r>
          <w:r>
            <w:rPr>
              <w:rStyle w:val="29"/>
              <w:rFonts w:hint="eastAsia"/>
            </w:rPr>
            <w:t>第三条</w:t>
          </w:r>
          <w:r>
            <w:rPr>
              <w:rStyle w:val="29"/>
            </w:rPr>
            <w:t xml:space="preserve">  </w:t>
          </w:r>
          <w:r>
            <w:rPr>
              <w:rStyle w:val="29"/>
              <w:rFonts w:hint="eastAsia"/>
            </w:rPr>
            <w:t>不可抗力</w:t>
          </w:r>
          <w:r>
            <w:tab/>
          </w:r>
          <w:r>
            <w:fldChar w:fldCharType="begin"/>
          </w:r>
          <w:r>
            <w:instrText xml:space="preserve"> PAGEREF _Toc95897038 \h </w:instrText>
          </w:r>
          <w:r>
            <w:fldChar w:fldCharType="separate"/>
          </w:r>
          <w:r>
            <w:t>5</w:t>
          </w:r>
          <w:r>
            <w:fldChar w:fldCharType="end"/>
          </w:r>
          <w:r>
            <w:fldChar w:fldCharType="end"/>
          </w:r>
        </w:p>
        <w:p w14:paraId="3BFD1661">
          <w:pPr>
            <w:pStyle w:val="16"/>
            <w:rPr>
              <w:rFonts w:asciiTheme="minorHAnsi" w:hAnsiTheme="minorHAnsi" w:eastAsiaTheme="minorEastAsia" w:cstheme="minorBidi"/>
              <w:szCs w:val="22"/>
            </w:rPr>
          </w:pPr>
          <w:r>
            <w:fldChar w:fldCharType="begin"/>
          </w:r>
          <w:r>
            <w:instrText xml:space="preserve"> HYPERLINK \l "_Toc95897039" </w:instrText>
          </w:r>
          <w:r>
            <w:fldChar w:fldCharType="separate"/>
          </w:r>
          <w:r>
            <w:rPr>
              <w:rStyle w:val="29"/>
              <w:rFonts w:hint="eastAsia"/>
            </w:rPr>
            <w:t>第四条</w:t>
          </w:r>
          <w:r>
            <w:rPr>
              <w:rStyle w:val="29"/>
            </w:rPr>
            <w:t xml:space="preserve">  </w:t>
          </w:r>
          <w:r>
            <w:rPr>
              <w:rStyle w:val="29"/>
              <w:rFonts w:hint="eastAsia"/>
            </w:rPr>
            <w:t>违约责任</w:t>
          </w:r>
          <w:r>
            <w:tab/>
          </w:r>
          <w:r>
            <w:fldChar w:fldCharType="begin"/>
          </w:r>
          <w:r>
            <w:instrText xml:space="preserve"> PAGEREF _Toc95897039 \h </w:instrText>
          </w:r>
          <w:r>
            <w:fldChar w:fldCharType="separate"/>
          </w:r>
          <w:r>
            <w:t>6</w:t>
          </w:r>
          <w:r>
            <w:fldChar w:fldCharType="end"/>
          </w:r>
          <w:r>
            <w:fldChar w:fldCharType="end"/>
          </w:r>
        </w:p>
        <w:p w14:paraId="51E5160E">
          <w:pPr>
            <w:pStyle w:val="16"/>
            <w:rPr>
              <w:rFonts w:asciiTheme="minorHAnsi" w:hAnsiTheme="minorHAnsi" w:eastAsiaTheme="minorEastAsia" w:cstheme="minorBidi"/>
              <w:szCs w:val="22"/>
            </w:rPr>
          </w:pPr>
          <w:r>
            <w:fldChar w:fldCharType="begin"/>
          </w:r>
          <w:r>
            <w:instrText xml:space="preserve"> HYPERLINK \l "_Toc95897040" </w:instrText>
          </w:r>
          <w:r>
            <w:fldChar w:fldCharType="separate"/>
          </w:r>
          <w:r>
            <w:rPr>
              <w:rStyle w:val="29"/>
              <w:rFonts w:hint="eastAsia"/>
            </w:rPr>
            <w:t>第五条</w:t>
          </w:r>
          <w:r>
            <w:rPr>
              <w:rStyle w:val="29"/>
            </w:rPr>
            <w:t xml:space="preserve">  </w:t>
          </w:r>
          <w:r>
            <w:rPr>
              <w:rStyle w:val="29"/>
              <w:rFonts w:hint="eastAsia"/>
            </w:rPr>
            <w:t>法律适用和争议解决</w:t>
          </w:r>
          <w:r>
            <w:tab/>
          </w:r>
          <w:r>
            <w:fldChar w:fldCharType="begin"/>
          </w:r>
          <w:r>
            <w:instrText xml:space="preserve"> PAGEREF _Toc95897040 \h </w:instrText>
          </w:r>
          <w:r>
            <w:fldChar w:fldCharType="separate"/>
          </w:r>
          <w:r>
            <w:t>7</w:t>
          </w:r>
          <w:r>
            <w:fldChar w:fldCharType="end"/>
          </w:r>
          <w:r>
            <w:fldChar w:fldCharType="end"/>
          </w:r>
        </w:p>
        <w:p w14:paraId="599A9229">
          <w:pPr>
            <w:pStyle w:val="16"/>
            <w:rPr>
              <w:rFonts w:asciiTheme="minorHAnsi" w:hAnsiTheme="minorHAnsi" w:eastAsiaTheme="minorEastAsia" w:cstheme="minorBidi"/>
              <w:szCs w:val="22"/>
            </w:rPr>
          </w:pPr>
          <w:r>
            <w:fldChar w:fldCharType="begin"/>
          </w:r>
          <w:r>
            <w:instrText xml:space="preserve"> HYPERLINK \l "_Toc95897041" </w:instrText>
          </w:r>
          <w:r>
            <w:fldChar w:fldCharType="separate"/>
          </w:r>
          <w:r>
            <w:rPr>
              <w:rStyle w:val="29"/>
              <w:rFonts w:hint="eastAsia"/>
            </w:rPr>
            <w:t>第六条</w:t>
          </w:r>
          <w:r>
            <w:rPr>
              <w:rStyle w:val="29"/>
            </w:rPr>
            <w:t xml:space="preserve">  </w:t>
          </w:r>
          <w:r>
            <w:rPr>
              <w:rStyle w:val="29"/>
              <w:rFonts w:hint="eastAsia"/>
            </w:rPr>
            <w:t>协议的签署和效力</w:t>
          </w:r>
          <w:r>
            <w:tab/>
          </w:r>
          <w:r>
            <w:fldChar w:fldCharType="begin"/>
          </w:r>
          <w:r>
            <w:instrText xml:space="preserve"> PAGEREF _Toc95897041 \h </w:instrText>
          </w:r>
          <w:r>
            <w:fldChar w:fldCharType="separate"/>
          </w:r>
          <w:r>
            <w:t>8</w:t>
          </w:r>
          <w:r>
            <w:fldChar w:fldCharType="end"/>
          </w:r>
          <w:r>
            <w:fldChar w:fldCharType="end"/>
          </w:r>
        </w:p>
        <w:p w14:paraId="49DCD12C">
          <w:pPr>
            <w:pStyle w:val="16"/>
            <w:rPr>
              <w:rFonts w:asciiTheme="minorHAnsi" w:hAnsiTheme="minorHAnsi" w:eastAsiaTheme="minorEastAsia" w:cstheme="minorBidi"/>
              <w:szCs w:val="22"/>
            </w:rPr>
          </w:pPr>
          <w:r>
            <w:fldChar w:fldCharType="begin"/>
          </w:r>
          <w:r>
            <w:instrText xml:space="preserve"> HYPERLINK \l "_Toc95897042" </w:instrText>
          </w:r>
          <w:r>
            <w:fldChar w:fldCharType="separate"/>
          </w:r>
          <w:r>
            <w:rPr>
              <w:rStyle w:val="29"/>
              <w:rFonts w:hint="eastAsia"/>
            </w:rPr>
            <w:t>第七条</w:t>
          </w:r>
          <w:r>
            <w:rPr>
              <w:rStyle w:val="29"/>
            </w:rPr>
            <w:t xml:space="preserve">  </w:t>
          </w:r>
          <w:r>
            <w:rPr>
              <w:rStyle w:val="29"/>
              <w:rFonts w:hint="eastAsia"/>
            </w:rPr>
            <w:t>消费者权益保护</w:t>
          </w:r>
          <w:r>
            <w:tab/>
          </w:r>
          <w:r>
            <w:fldChar w:fldCharType="begin"/>
          </w:r>
          <w:r>
            <w:instrText xml:space="preserve"> PAGEREF _Toc95897042 \h </w:instrText>
          </w:r>
          <w:r>
            <w:fldChar w:fldCharType="separate"/>
          </w:r>
          <w:r>
            <w:t>9</w:t>
          </w:r>
          <w:r>
            <w:fldChar w:fldCharType="end"/>
          </w:r>
          <w:r>
            <w:fldChar w:fldCharType="end"/>
          </w:r>
        </w:p>
        <w:p w14:paraId="032BE4C6">
          <w:pPr>
            <w:spacing w:line="360" w:lineRule="auto"/>
          </w:pPr>
        </w:p>
      </w:sdtContent>
    </w:sdt>
    <w:p w14:paraId="19735C73">
      <w:pPr>
        <w:widowControl/>
        <w:spacing w:line="360" w:lineRule="auto"/>
        <w:jc w:val="left"/>
        <w:rPr>
          <w:rFonts w:ascii="宋体" w:hAnsi="宋体" w:cs="仿宋_GB2312"/>
          <w:b/>
          <w:kern w:val="0"/>
          <w:sz w:val="18"/>
          <w:szCs w:val="18"/>
        </w:rPr>
      </w:pPr>
    </w:p>
    <w:p w14:paraId="7AEA9152">
      <w:pPr>
        <w:widowControl/>
        <w:spacing w:line="360" w:lineRule="auto"/>
        <w:jc w:val="left"/>
        <w:rPr>
          <w:rFonts w:ascii="宋体" w:hAnsi="宋体" w:cs="仿宋_GB2312"/>
          <w:b/>
          <w:kern w:val="0"/>
          <w:sz w:val="18"/>
          <w:szCs w:val="18"/>
        </w:rPr>
      </w:pPr>
    </w:p>
    <w:p w14:paraId="6A9E4705">
      <w:pPr>
        <w:widowControl/>
        <w:spacing w:line="360" w:lineRule="auto"/>
        <w:jc w:val="left"/>
        <w:rPr>
          <w:rFonts w:ascii="宋体" w:hAnsi="宋体" w:cs="仿宋_GB2312"/>
          <w:b/>
          <w:kern w:val="0"/>
          <w:sz w:val="18"/>
          <w:szCs w:val="18"/>
        </w:rPr>
        <w:sectPr>
          <w:pgSz w:w="11906" w:h="16838"/>
          <w:pgMar w:top="1440" w:right="1800" w:bottom="1440" w:left="1800" w:header="851" w:footer="992" w:gutter="0"/>
          <w:pgNumType w:start="0"/>
          <w:cols w:space="720" w:num="1"/>
          <w:docGrid w:type="lines" w:linePitch="312" w:charSpace="0"/>
        </w:sectPr>
      </w:pPr>
    </w:p>
    <w:p w14:paraId="5A46C283">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36BCBE18">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23FC0390">
      <w:pPr>
        <w:spacing w:line="360" w:lineRule="auto"/>
      </w:pPr>
    </w:p>
    <w:p w14:paraId="0143D667">
      <w:pPr>
        <w:pStyle w:val="2"/>
        <w:spacing w:before="0" w:after="0"/>
        <w:jc w:val="center"/>
        <w:rPr>
          <w:rFonts w:ascii="Times New Roman"/>
          <w:color w:val="auto"/>
          <w:sz w:val="30"/>
        </w:rPr>
      </w:pPr>
      <w:r>
        <w:rPr>
          <w:rFonts w:hint="eastAsia" w:ascii="Times New Roman"/>
          <w:color w:val="auto"/>
          <w:sz w:val="30"/>
        </w:rPr>
        <w:t>第一条</w:t>
      </w:r>
      <w:r>
        <w:rPr>
          <w:rFonts w:ascii="Times New Roman"/>
          <w:color w:val="auto"/>
          <w:sz w:val="30"/>
        </w:rPr>
        <w:t xml:space="preserve">  </w:t>
      </w:r>
      <w:r>
        <w:rPr>
          <w:rFonts w:hint="eastAsia" w:ascii="Times New Roman"/>
          <w:color w:val="auto"/>
          <w:sz w:val="30"/>
        </w:rPr>
        <w:t>前言</w:t>
      </w:r>
    </w:p>
    <w:p w14:paraId="1D71E33F">
      <w:pPr>
        <w:pStyle w:val="43"/>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6548F2D1">
      <w:pPr>
        <w:pStyle w:val="43"/>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、订立本投资协议书的目的是保护投资人合法权益，明确投资协议书当事人的权利义务，规范理财产品运作。</w:t>
      </w:r>
    </w:p>
    <w:p w14:paraId="278EC96E">
      <w:pPr>
        <w:pStyle w:val="43"/>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、订立本投资协议书的依据是《中华人民共和国民法典》等法律法规、《关于规范金融机构资产管理业务的指导意见》（银发</w:t>
      </w:r>
      <w:r>
        <w:rPr>
          <w:rFonts w:asciiTheme="majorEastAsia" w:hAnsiTheme="majorEastAsia" w:eastAsiaTheme="majorEastAsia"/>
          <w:bCs/>
          <w:color w:val="auto"/>
          <w:sz w:val="18"/>
          <w:szCs w:val="18"/>
        </w:rPr>
        <w:t>[2018]106</w:t>
      </w:r>
      <w:r>
        <w:rPr>
          <w:rFonts w:hint="eastAsia" w:asciiTheme="majorEastAsia" w:hAnsiTheme="majorEastAsia" w:eastAsiaTheme="majorEastAsia"/>
          <w:bCs/>
          <w:color w:val="auto"/>
          <w:sz w:val="18"/>
          <w:szCs w:val="18"/>
        </w:rPr>
        <w:t>号）、《商业银行理财业务监督管理办法》（银保监会令</w:t>
      </w:r>
      <w:r>
        <w:rPr>
          <w:rFonts w:asciiTheme="majorEastAsia" w:hAnsiTheme="majorEastAsia" w:eastAsiaTheme="majorEastAsia"/>
          <w:bCs/>
          <w:color w:val="auto"/>
          <w:sz w:val="18"/>
          <w:szCs w:val="18"/>
        </w:rPr>
        <w:t xml:space="preserve"> </w:t>
      </w:r>
      <w:r>
        <w:rPr>
          <w:rFonts w:hint="eastAsia" w:asciiTheme="majorEastAsia" w:hAnsiTheme="majorEastAsia" w:eastAsiaTheme="majorEastAsia"/>
          <w:bCs/>
          <w:color w:val="auto"/>
          <w:sz w:val="18"/>
          <w:szCs w:val="18"/>
        </w:rPr>
        <w:t>2018年第</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号）、《商业银行理财子公司管理办法》（银保监会令2018年第7号）、《理财公司理财产品销售管理暂行办法》（银保监会令2021年第4号）等监管规定及其他有关规定。</w:t>
      </w:r>
    </w:p>
    <w:p w14:paraId="16D5C2B3">
      <w:pPr>
        <w:pStyle w:val="43"/>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、订立本投资协议书的原则是平等自愿、诚实信用、充分保护投资人合法权益。</w:t>
      </w:r>
    </w:p>
    <w:p w14:paraId="2989AF9D">
      <w:pPr>
        <w:pStyle w:val="43"/>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260EBA07">
      <w:pPr>
        <w:pStyle w:val="43"/>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p w14:paraId="0FA29BA7">
      <w:pPr>
        <w:pStyle w:val="43"/>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 xml:space="preserve"> </w:t>
      </w:r>
    </w:p>
    <w:p w14:paraId="4DE4BF61">
      <w:pPr>
        <w:pStyle w:val="43"/>
        <w:spacing w:line="360" w:lineRule="auto"/>
        <w:rPr>
          <w:rFonts w:asciiTheme="majorEastAsia" w:hAnsiTheme="majorEastAsia" w:eastAsiaTheme="majorEastAsia"/>
          <w:bCs/>
          <w:color w:val="auto"/>
          <w:sz w:val="18"/>
          <w:szCs w:val="18"/>
        </w:rPr>
      </w:pPr>
    </w:p>
    <w:p w14:paraId="4917F8FF">
      <w:pPr>
        <w:widowControl/>
        <w:spacing w:line="360" w:lineRule="auto"/>
        <w:jc w:val="left"/>
      </w:pPr>
      <w:r>
        <w:br w:type="page"/>
      </w:r>
    </w:p>
    <w:p w14:paraId="312A206E">
      <w:pPr>
        <w:pStyle w:val="2"/>
        <w:spacing w:before="0" w:after="0"/>
        <w:jc w:val="center"/>
        <w:rPr>
          <w:rFonts w:ascii="Times New Roman"/>
          <w:color w:val="auto"/>
          <w:sz w:val="30"/>
        </w:rPr>
      </w:pPr>
      <w:r>
        <w:rPr>
          <w:rFonts w:ascii="Times New Roman"/>
          <w:color w:val="auto"/>
          <w:sz w:val="30"/>
        </w:rPr>
        <w:t>第</w:t>
      </w:r>
      <w:r>
        <w:rPr>
          <w:rFonts w:hint="eastAsia" w:ascii="Times New Roman"/>
          <w:color w:val="auto"/>
          <w:sz w:val="30"/>
        </w:rPr>
        <w:t xml:space="preserve">二条 </w:t>
      </w:r>
      <w:r>
        <w:rPr>
          <w:rFonts w:ascii="Times New Roman"/>
          <w:color w:val="auto"/>
          <w:sz w:val="30"/>
        </w:rPr>
        <w:t xml:space="preserve"> </w:t>
      </w:r>
      <w:r>
        <w:rPr>
          <w:rFonts w:hint="eastAsia" w:ascii="Times New Roman"/>
          <w:color w:val="auto"/>
          <w:sz w:val="30"/>
        </w:rPr>
        <w:t>双方</w:t>
      </w:r>
      <w:r>
        <w:rPr>
          <w:rFonts w:ascii="Times New Roman"/>
          <w:color w:val="auto"/>
          <w:sz w:val="30"/>
        </w:rPr>
        <w:t>权利义务</w:t>
      </w:r>
    </w:p>
    <w:p w14:paraId="6D2BC88C">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1719EA8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4EFDC52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254ED0D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410C5A1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6ADE164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644112B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投资者所勾选的业务申请类型，并根据业务办理需要、反洗钱工作以及非居民金融账户涉税信息尽职调查等需要，收集调取投资者开户留存的有效身份证件或者其他身份证明文件信息、交易记录、数据信息、金融账户和其他资料，同时可向销售机构、产品托管人、监管机构、自律组织、理财登记备案机构、金融交易对手方、理财快速赎回服务提供方提供、留存前述信息。</w:t>
      </w:r>
    </w:p>
    <w:p w14:paraId="2AE1981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6A829AE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5F7F0FF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宋体" w:hAnsi="宋体"/>
          <w:sz w:val="18"/>
          <w:szCs w:val="18"/>
        </w:rPr>
        <w:t>投资者承诺由此产生的相关风险由投资者承担</w:t>
      </w:r>
      <w:r>
        <w:rPr>
          <w:rFonts w:ascii="宋体" w:hAnsi="宋体"/>
          <w:sz w:val="18"/>
          <w:szCs w:val="18"/>
        </w:rPr>
        <w:t>。</w:t>
      </w:r>
    </w:p>
    <w:p w14:paraId="2FAC1C4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331370A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2FF9F47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10.</w:t>
      </w:r>
      <w:r>
        <w:rPr>
          <w:rFonts w:hint="eastAsia" w:ascii="黑体" w:hAnsi="黑体" w:eastAsia="黑体"/>
          <w:sz w:val="18"/>
          <w:szCs w:val="18"/>
        </w:rPr>
        <w:t>★</w:t>
      </w:r>
      <w:r>
        <w:rPr>
          <w:rFonts w:ascii="黑体" w:hAnsi="黑体" w:eastAsia="黑体"/>
          <w:sz w:val="18"/>
          <w:szCs w:val="18"/>
        </w:rPr>
        <w:t>未经</w:t>
      </w:r>
      <w:r>
        <w:rPr>
          <w:rFonts w:hint="eastAsia" w:ascii="黑体" w:hAnsi="黑体" w:eastAsia="黑体"/>
          <w:sz w:val="18"/>
          <w:szCs w:val="18"/>
        </w:rPr>
        <w:t>产品管理人</w:t>
      </w:r>
      <w:r>
        <w:rPr>
          <w:rFonts w:ascii="黑体" w:hAnsi="黑体" w:eastAsia="黑体"/>
          <w:sz w:val="18"/>
          <w:szCs w:val="18"/>
        </w:rPr>
        <w:t>同意，</w:t>
      </w:r>
      <w:r>
        <w:rPr>
          <w:rFonts w:hint="eastAsia" w:ascii="黑体" w:hAnsi="黑体" w:eastAsia="黑体"/>
          <w:sz w:val="18"/>
          <w:szCs w:val="18"/>
        </w:rPr>
        <w:t>投资者</w:t>
      </w:r>
      <w:r>
        <w:rPr>
          <w:rFonts w:ascii="黑体" w:hAnsi="黑体" w:eastAsia="黑体"/>
          <w:sz w:val="18"/>
          <w:szCs w:val="18"/>
        </w:rPr>
        <w:t>不得以本</w:t>
      </w:r>
      <w:r>
        <w:rPr>
          <w:rFonts w:hint="eastAsia" w:ascii="黑体" w:hAnsi="黑体" w:eastAsia="黑体"/>
          <w:sz w:val="18"/>
          <w:szCs w:val="18"/>
        </w:rPr>
        <w:t>产品</w:t>
      </w:r>
      <w:r>
        <w:rPr>
          <w:rFonts w:ascii="黑体" w:hAnsi="黑体" w:eastAsia="黑体"/>
          <w:sz w:val="18"/>
          <w:szCs w:val="18"/>
        </w:rPr>
        <w:t>项下的任何权利、利益、权益（包括单独和整体）为</w:t>
      </w:r>
      <w:r>
        <w:rPr>
          <w:rFonts w:hint="eastAsia" w:ascii="黑体" w:hAnsi="黑体" w:eastAsia="黑体"/>
          <w:sz w:val="18"/>
          <w:szCs w:val="18"/>
        </w:rPr>
        <w:t>投资者</w:t>
      </w:r>
      <w:r>
        <w:rPr>
          <w:rFonts w:ascii="黑体" w:hAnsi="黑体" w:eastAsia="黑体"/>
          <w:sz w:val="18"/>
          <w:szCs w:val="18"/>
        </w:rPr>
        <w:t>和任何第三人的债务设定担保或其他权益</w:t>
      </w:r>
      <w:r>
        <w:rPr>
          <w:rFonts w:ascii="宋体" w:hAnsi="宋体"/>
          <w:sz w:val="18"/>
          <w:szCs w:val="18"/>
        </w:rPr>
        <w:t>。</w:t>
      </w:r>
      <w:r>
        <w:rPr>
          <w:rFonts w:hint="eastAsia" w:ascii="宋体" w:hAnsi="宋体"/>
          <w:sz w:val="18"/>
          <w:szCs w:val="18"/>
        </w:rPr>
        <w:t>若投资者以本产品在兴业银行股份有限公司办理质押贷款业务时，则无需产品管理人同意。</w:t>
      </w:r>
    </w:p>
    <w:p w14:paraId="01EA94F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。若投资者使用兴业银行股份有限公司提供的服务开展前述行为时，则无需产品管理人同意。</w:t>
      </w:r>
    </w:p>
    <w:p w14:paraId="2F21F5C0">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4769AA53">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5BE59B4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7F6B941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6A251ED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hint="eastAsia" w:ascii="宋体" w:hAnsi="宋体"/>
          <w:sz w:val="18"/>
          <w:szCs w:val="18"/>
        </w:rPr>
        <w:t>3.</w:t>
      </w:r>
      <w:r>
        <w:rPr>
          <w:rFonts w:ascii="宋体" w:hAnsi="宋体"/>
          <w:sz w:val="18"/>
          <w:szCs w:val="18"/>
        </w:rPr>
        <w:t>产品管理人应按照约定披露产品相关信息</w:t>
      </w:r>
      <w:r>
        <w:rPr>
          <w:rFonts w:hint="eastAsia" w:ascii="宋体" w:hAnsi="宋体"/>
          <w:sz w:val="18"/>
          <w:szCs w:val="18"/>
        </w:rPr>
        <w:t>。</w:t>
      </w:r>
    </w:p>
    <w:p w14:paraId="479CEE1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按照《产品说明书》约定向投资者进行理财产品份额的利益分配并将对应资金划入投资者约定账户后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即视为产品管理人已向投资者完成利益分配和资金的清算分配。因投资者约定账户冻结、挂失、换卡、销户、长期不动户等原因造成账户变更或异常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销售机构办理变更手续。如因投资者未及时办理变更手续而造成产品管理人及</w:t>
      </w:r>
      <w:r>
        <w:rPr>
          <w:rFonts w:ascii="宋体" w:hAnsi="宋体"/>
          <w:sz w:val="18"/>
          <w:szCs w:val="18"/>
        </w:rPr>
        <w:t>/或</w:t>
      </w:r>
      <w:r>
        <w:rPr>
          <w:rFonts w:hint="eastAsia" w:ascii="宋体" w:hAnsi="宋体"/>
          <w:sz w:val="18"/>
          <w:szCs w:val="18"/>
        </w:rPr>
        <w:t>销售机构无法向投资者进行正常利益分配和资金清算分配</w:t>
      </w:r>
      <w:r>
        <w:rPr>
          <w:rFonts w:ascii="宋体" w:hAnsi="宋体"/>
          <w:sz w:val="18"/>
          <w:szCs w:val="18"/>
        </w:rPr>
        <w:t xml:space="preserve">, </w:t>
      </w:r>
      <w:r>
        <w:rPr>
          <w:rFonts w:hint="eastAsia" w:ascii="宋体" w:hAnsi="宋体"/>
          <w:sz w:val="18"/>
          <w:szCs w:val="18"/>
        </w:rPr>
        <w:t>由此导致投资者损失的由投资者自行承担</w:t>
      </w:r>
      <w:r>
        <w:rPr>
          <w:rFonts w:ascii="宋体" w:hAnsi="宋体"/>
          <w:sz w:val="18"/>
          <w:szCs w:val="18"/>
        </w:rPr>
        <w:t xml:space="preserve">, </w:t>
      </w:r>
      <w:r>
        <w:rPr>
          <w:rFonts w:hint="eastAsia" w:ascii="宋体" w:hAnsi="宋体"/>
          <w:sz w:val="18"/>
          <w:szCs w:val="18"/>
        </w:rPr>
        <w:t>产品管理人不承担责任。</w:t>
      </w:r>
    </w:p>
    <w:p w14:paraId="6D3D404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0090870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自律组织要求和本协议的约定，处理投资者信息。</w:t>
      </w:r>
    </w:p>
    <w:p w14:paraId="5DC60DD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和自律组织要求，本产品的投资合作机构（包括但不限于本产品所投资的信托计划、资管计划、基金的受托人或管理人、相关投资顾问等，下同）有可能需要向监管机构、自律组织等报送投资者信息，产品管理人将应投资合作机构的申请，在必要范围内向投资合作机构、监管机构或自律组织提供相关信息，并要求上述信息接收方按照法律法规规定履行投资者信息保密义务。</w:t>
      </w:r>
    </w:p>
    <w:p w14:paraId="2C8EB9E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CA认证服务、可信时间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261EF80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26E1551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372A5C0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产品管理人或销售机构发现或有合理理由怀疑投资者或其资金存在洗钱、恐怖融资、逃税等嫌疑,</w:t>
      </w:r>
      <w:r>
        <w:rPr>
          <w:rFonts w:hint="eastAsia" w:ascii="黑体" w:hAnsi="黑体" w:eastAsia="黑体"/>
          <w:sz w:val="18"/>
          <w:szCs w:val="18"/>
        </w:rPr>
        <w:t>产品管理人有权提前终止本协议，造成投资者损失的，产品管理人不承担责任。</w:t>
      </w:r>
    </w:p>
    <w:p w14:paraId="01CD7468">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242EA1D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65C43B87">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10264B92">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hint="eastAsia" w:ascii="宋体" w:hAnsi="宋体"/>
          <w:sz w:val="18"/>
          <w:szCs w:val="18"/>
        </w:rPr>
        <w:t>1</w:t>
      </w:r>
      <w:r>
        <w:rPr>
          <w:rFonts w:ascii="宋体" w:hAnsi="宋体"/>
          <w:sz w:val="18"/>
          <w:szCs w:val="18"/>
        </w:rPr>
        <w:t>2.</w:t>
      </w:r>
      <w:r>
        <w:rPr>
          <w:rFonts w:hint="eastAsia" w:ascii="宋体" w:hAnsi="宋体"/>
          <w:sz w:val="18"/>
          <w:szCs w:val="18"/>
        </w:rPr>
        <w:t>产品管理人有权根据符合条件的申请，受理并办理继承、捐赠、司法强制执行和经理财产品登记机构认可的其他情况下的非交易过户。</w:t>
      </w:r>
    </w:p>
    <w:p w14:paraId="1C7E64F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72617B8F">
      <w:pPr>
        <w:widowControl/>
        <w:spacing w:line="360" w:lineRule="auto"/>
        <w:jc w:val="left"/>
        <w:rPr>
          <w:b/>
          <w:kern w:val="0"/>
          <w:sz w:val="30"/>
        </w:rPr>
      </w:pPr>
      <w:r>
        <w:rPr>
          <w:sz w:val="30"/>
        </w:rPr>
        <w:br w:type="page"/>
      </w:r>
    </w:p>
    <w:p w14:paraId="487462C6">
      <w:pPr>
        <w:pStyle w:val="2"/>
        <w:spacing w:before="0" w:after="0"/>
        <w:jc w:val="center"/>
        <w:rPr>
          <w:rFonts w:ascii="Times New Roman"/>
          <w:sz w:val="30"/>
        </w:rPr>
      </w:pPr>
      <w:r>
        <w:rPr>
          <w:rFonts w:hint="eastAsia" w:ascii="Times New Roman"/>
          <w:color w:val="auto"/>
          <w:sz w:val="30"/>
        </w:rPr>
        <w:t>第三条</w:t>
      </w:r>
      <w:r>
        <w:rPr>
          <w:rFonts w:ascii="Times New Roman"/>
          <w:color w:val="auto"/>
          <w:sz w:val="30"/>
        </w:rPr>
        <w:t xml:space="preserve">  不可抗力</w:t>
      </w:r>
    </w:p>
    <w:p w14:paraId="78D3686D">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71A4C004">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62DEC176">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5BEDD2F3">
      <w:pPr>
        <w:pStyle w:val="2"/>
        <w:spacing w:before="0" w:after="0"/>
        <w:jc w:val="center"/>
        <w:rPr>
          <w:rFonts w:ascii="Times New Roman"/>
          <w:b w:val="0"/>
          <w:sz w:val="30"/>
        </w:rPr>
      </w:pPr>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p>
    <w:p w14:paraId="5060E6C1">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4C2A7B3C">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00A9DE3B">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77342E65">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.本协议书中涉及的相关到期日或分配日如遇节假日，将顺延至下一个工作日，由此产生的风险及损失双方当事人互不承担责任；</w:t>
      </w:r>
    </w:p>
    <w:p w14:paraId="59B08B25">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3A4C0022">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6CCFDC15">
      <w:pPr>
        <w:pStyle w:val="2"/>
        <w:spacing w:before="0" w:after="0"/>
        <w:jc w:val="center"/>
        <w:rPr>
          <w:rFonts w:ascii="Times New Roman"/>
          <w:b w:val="0"/>
          <w:sz w:val="30"/>
        </w:rPr>
      </w:pPr>
      <w:r>
        <w:rPr>
          <w:rFonts w:hint="eastAsia" w:ascii="Times New Roman"/>
          <w:color w:val="auto"/>
          <w:sz w:val="30"/>
        </w:rPr>
        <w:t>第五条</w:t>
      </w:r>
      <w:r>
        <w:rPr>
          <w:rFonts w:ascii="Times New Roman"/>
          <w:color w:val="auto"/>
          <w:sz w:val="30"/>
        </w:rPr>
        <w:t xml:space="preserve">  法律适用和争议解决</w:t>
      </w:r>
    </w:p>
    <w:p w14:paraId="701758E0">
      <w:pPr>
        <w:adjustRightInd w:val="0"/>
        <w:spacing w:line="360" w:lineRule="auto"/>
        <w:ind w:firstLine="360" w:firstLineChars="200"/>
        <w:rPr>
          <w:color w:val="000000" w:themeColor="text1"/>
          <w:sz w:val="18"/>
          <w:szCs w:val="18"/>
        </w:rPr>
      </w:pPr>
      <w:r>
        <w:rPr>
          <w:rFonts w:hint="eastAsia"/>
          <w:color w:val="000000" w:themeColor="text1"/>
          <w:sz w:val="18"/>
          <w:szCs w:val="18"/>
        </w:rPr>
        <w:t>（一）</w:t>
      </w:r>
      <w:r>
        <w:rPr>
          <w:color w:val="000000" w:themeColor="text1"/>
          <w:sz w:val="18"/>
          <w:szCs w:val="18"/>
        </w:rPr>
        <w:t>法律适用</w:t>
      </w:r>
    </w:p>
    <w:p w14:paraId="371A88A2">
      <w:pPr>
        <w:adjustRightInd w:val="0"/>
        <w:spacing w:line="360" w:lineRule="auto"/>
        <w:ind w:firstLine="360" w:firstLineChars="200"/>
        <w:rPr>
          <w:color w:val="000000" w:themeColor="text1"/>
          <w:sz w:val="18"/>
          <w:szCs w:val="18"/>
        </w:rPr>
      </w:pPr>
      <w:r>
        <w:rPr>
          <w:rFonts w:hint="eastAsia"/>
          <w:color w:val="000000" w:themeColor="text1"/>
          <w:sz w:val="18"/>
          <w:szCs w:val="18"/>
        </w:rPr>
        <w:t>本协议的订立、生效、履行、解除、解释及争议的解决等均适用中华人民共和国法律（为本合同之目的，不包括香港特别行政区、澳门特别行政区和台湾地区的法律）。</w:t>
      </w:r>
    </w:p>
    <w:p w14:paraId="0E91953D">
      <w:pPr>
        <w:adjustRightInd w:val="0"/>
        <w:spacing w:line="360" w:lineRule="auto"/>
        <w:ind w:firstLine="360" w:firstLineChars="200"/>
        <w:rPr>
          <w:rFonts w:ascii="黑体" w:hAnsi="黑体" w:eastAsia="黑体"/>
          <w:sz w:val="18"/>
          <w:szCs w:val="18"/>
        </w:rPr>
      </w:pPr>
      <w:r>
        <w:rPr>
          <w:rFonts w:hint="eastAsia" w:ascii="黑体" w:hAnsi="黑体" w:eastAsia="黑体"/>
          <w:sz w:val="18"/>
          <w:szCs w:val="18"/>
        </w:rPr>
        <w:t>（二）★争议解决</w:t>
      </w:r>
    </w:p>
    <w:p w14:paraId="6E867D3D">
      <w:pPr>
        <w:adjustRightInd w:val="0"/>
        <w:spacing w:line="360" w:lineRule="auto"/>
        <w:ind w:firstLine="360" w:firstLineChars="200"/>
        <w:rPr>
          <w:rFonts w:ascii="黑体" w:hAnsi="黑体" w:eastAsia="黑体"/>
          <w:color w:val="000000" w:themeColor="text1"/>
          <w:sz w:val="18"/>
          <w:szCs w:val="18"/>
        </w:rPr>
      </w:pPr>
      <w:r>
        <w:rPr>
          <w:rFonts w:hint="eastAsia"/>
          <w:color w:val="000000" w:themeColor="text1"/>
          <w:sz w:val="18"/>
          <w:szCs w:val="18"/>
        </w:rPr>
        <w:t>双方在本协议书的执行过程中发生的任何争议，应通过友好协商解决。</w:t>
      </w:r>
      <w:r>
        <w:rPr>
          <w:rFonts w:hint="eastAsia" w:ascii="黑体" w:hAnsi="黑体" w:eastAsia="黑体"/>
          <w:color w:val="000000" w:themeColor="text1"/>
          <w:sz w:val="18"/>
          <w:szCs w:val="18"/>
        </w:rPr>
        <w:t>如友好协商不成的，双方均同意以如下第【壹】种方式解决：</w:t>
      </w:r>
    </w:p>
    <w:p w14:paraId="6544A77D">
      <w:pPr>
        <w:adjustRightInd w:val="0"/>
        <w:spacing w:line="360" w:lineRule="auto"/>
        <w:ind w:firstLine="360" w:firstLineChars="200"/>
        <w:rPr>
          <w:rFonts w:ascii="黑体" w:hAnsi="黑体" w:eastAsia="黑体"/>
          <w:color w:val="000000" w:themeColor="text1"/>
          <w:sz w:val="18"/>
          <w:szCs w:val="18"/>
        </w:rPr>
      </w:pPr>
      <w:r>
        <w:rPr>
          <w:rFonts w:hint="eastAsia" w:ascii="黑体" w:hAnsi="黑体" w:eastAsia="黑体"/>
          <w:color w:val="000000" w:themeColor="text1"/>
          <w:sz w:val="18"/>
          <w:szCs w:val="18"/>
        </w:rPr>
        <w:t>（壹）向产品管理人住所地之人民法院提起诉讼。</w:t>
      </w:r>
    </w:p>
    <w:p w14:paraId="7B483F71">
      <w:pPr>
        <w:adjustRightInd w:val="0"/>
        <w:spacing w:line="360" w:lineRule="auto"/>
        <w:ind w:firstLine="360" w:firstLineChars="200"/>
        <w:rPr>
          <w:rFonts w:ascii="黑体" w:hAnsi="黑体" w:eastAsia="黑体"/>
          <w:color w:val="000000" w:themeColor="text1"/>
          <w:sz w:val="18"/>
          <w:szCs w:val="18"/>
        </w:rPr>
      </w:pPr>
      <w:r>
        <w:rPr>
          <w:rFonts w:hint="eastAsia" w:ascii="黑体" w:hAnsi="黑体" w:eastAsia="黑体"/>
          <w:color w:val="000000" w:themeColor="text1"/>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3602E3BC">
      <w:pPr>
        <w:widowControl/>
        <w:spacing w:line="360" w:lineRule="auto"/>
        <w:jc w:val="left"/>
        <w:rPr>
          <w:rFonts w:ascii="黑体" w:hAnsi="黑体" w:eastAsia="黑体"/>
          <w:color w:val="000000" w:themeColor="text1"/>
          <w:sz w:val="18"/>
          <w:szCs w:val="18"/>
        </w:rPr>
      </w:pPr>
      <w:r>
        <w:rPr>
          <w:rFonts w:ascii="黑体" w:hAnsi="黑体" w:eastAsia="黑体"/>
          <w:color w:val="000000" w:themeColor="text1"/>
          <w:sz w:val="18"/>
          <w:szCs w:val="18"/>
        </w:rPr>
        <w:br w:type="page"/>
      </w:r>
    </w:p>
    <w:p w14:paraId="62E4A428">
      <w:pPr>
        <w:pStyle w:val="2"/>
        <w:spacing w:before="0" w:after="0"/>
        <w:jc w:val="center"/>
        <w:rPr>
          <w:rFonts w:ascii="Times New Roman"/>
          <w:b w:val="0"/>
          <w:sz w:val="30"/>
        </w:rPr>
      </w:pPr>
      <w:r>
        <w:rPr>
          <w:rFonts w:hint="eastAsia" w:ascii="Times New Roman"/>
          <w:color w:val="auto"/>
          <w:sz w:val="30"/>
        </w:rPr>
        <w:t xml:space="preserve">第六条 </w:t>
      </w:r>
      <w:r>
        <w:rPr>
          <w:rFonts w:ascii="Times New Roman"/>
          <w:color w:val="auto"/>
          <w:sz w:val="30"/>
        </w:rPr>
        <w:t xml:space="preserve"> 协议的签署和</w:t>
      </w:r>
      <w:r>
        <w:rPr>
          <w:rFonts w:hint="eastAsia" w:ascii="Times New Roman"/>
          <w:color w:val="auto"/>
          <w:sz w:val="30"/>
        </w:rPr>
        <w:t>效力</w:t>
      </w:r>
    </w:p>
    <w:p w14:paraId="720E800E">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23E6D780">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，本协议自投资者签字</w:t>
      </w:r>
      <w:r>
        <w:rPr>
          <w:rFonts w:ascii="黑体" w:hAnsi="黑体" w:eastAsia="黑体"/>
          <w:sz w:val="18"/>
          <w:szCs w:val="18"/>
        </w:rPr>
        <w:t>/盖章后则为签署。</w:t>
      </w:r>
    </w:p>
    <w:p w14:paraId="240E9DF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3DC7098D">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4EB219EF">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3D016D6F">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2CD6DF1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hint="eastAsia"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1A12417D">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0229DE2F">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21C0AD63">
      <w:pPr>
        <w:pStyle w:val="2"/>
        <w:spacing w:before="0" w:after="0"/>
        <w:jc w:val="center"/>
        <w:rPr>
          <w:rFonts w:ascii="Times New Roman"/>
          <w:b w:val="0"/>
          <w:sz w:val="30"/>
        </w:rPr>
      </w:pPr>
      <w:r>
        <w:rPr>
          <w:rFonts w:hint="eastAsia" w:ascii="Times New Roman"/>
          <w:color w:val="auto"/>
          <w:sz w:val="30"/>
        </w:rPr>
        <w:t xml:space="preserve">第七条 </w:t>
      </w:r>
      <w:r>
        <w:rPr>
          <w:rFonts w:ascii="Times New Roman"/>
          <w:color w:val="auto"/>
          <w:sz w:val="30"/>
        </w:rPr>
        <w:t xml:space="preserve"> </w:t>
      </w:r>
      <w:r>
        <w:rPr>
          <w:rFonts w:hint="eastAsia" w:ascii="Times New Roman"/>
          <w:color w:val="auto"/>
          <w:sz w:val="30"/>
        </w:rPr>
        <w:t xml:space="preserve">消费者权益保护 </w:t>
      </w:r>
    </w:p>
    <w:p w14:paraId="0CF77A5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1868D8C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398473A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67BE689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1、产品管理人：兴银理财有限责任公司</w:t>
      </w:r>
    </w:p>
    <w:p w14:paraId="33E65927">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p>
    <w:p w14:paraId="1F08A28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2、销售机构</w:t>
      </w:r>
    </w:p>
    <w:p w14:paraId="2E8590A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 xml:space="preserve">销售机构的联络方式，具体以《（代理）销售协议书》、《投资者权益须知》等销售文件的内容为准。 </w:t>
      </w:r>
    </w:p>
    <w:p w14:paraId="50B1DF6E">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35C28EBD">
      <w:pPr>
        <w:autoSpaceDE w:val="0"/>
        <w:autoSpaceDN w:val="0"/>
        <w:adjustRightInd w:val="0"/>
        <w:snapToGrid w:val="0"/>
        <w:spacing w:line="360" w:lineRule="auto"/>
        <w:ind w:firstLine="360" w:firstLineChars="200"/>
        <w:rPr>
          <w:rFonts w:ascii="黑体" w:hAnsi="黑体" w:eastAsia="黑体" w:cs="仿宋_GB2312"/>
          <w:kern w:val="0"/>
          <w:sz w:val="18"/>
          <w:szCs w:val="18"/>
        </w:rPr>
      </w:pPr>
    </w:p>
    <w:tbl>
      <w:tblPr>
        <w:tblStyle w:val="25"/>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3AE4F53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48E1C104">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652C2EF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102871A4">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42791068">
            <w:pPr>
              <w:autoSpaceDE w:val="0"/>
              <w:autoSpaceDN w:val="0"/>
              <w:adjustRightInd w:val="0"/>
              <w:snapToGrid w:val="0"/>
              <w:spacing w:line="360" w:lineRule="auto"/>
              <w:jc w:val="left"/>
              <w:rPr>
                <w:rFonts w:ascii="宋体" w:hAnsi="宋体"/>
                <w:bCs/>
                <w:sz w:val="18"/>
                <w:szCs w:val="18"/>
              </w:rPr>
            </w:pPr>
          </w:p>
        </w:tc>
      </w:tr>
      <w:tr w14:paraId="5BBC59C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0D5A039D">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4F92AE2F">
            <w:pPr>
              <w:autoSpaceDE w:val="0"/>
              <w:autoSpaceDN w:val="0"/>
              <w:adjustRightInd w:val="0"/>
              <w:snapToGrid w:val="0"/>
              <w:spacing w:line="360" w:lineRule="auto"/>
              <w:jc w:val="left"/>
              <w:rPr>
                <w:rFonts w:ascii="宋体" w:hAnsi="宋体" w:cs="宋体"/>
                <w:b/>
                <w:sz w:val="18"/>
                <w:szCs w:val="18"/>
              </w:rPr>
            </w:pPr>
            <w:r>
              <w:rPr>
                <w:rFonts w:hint="eastAsia" w:ascii="宋体" w:hAnsi="宋体" w:cs="宋体"/>
                <w:b/>
                <w:sz w:val="18"/>
                <w:szCs w:val="18"/>
              </w:rPr>
              <w:t xml:space="preserve">【 </w:t>
            </w:r>
            <w:r>
              <w:rPr>
                <w:rFonts w:ascii="宋体" w:hAnsi="宋体" w:cs="宋体"/>
                <w:b/>
                <w:sz w:val="18"/>
                <w:szCs w:val="18"/>
              </w:rPr>
              <w:t xml:space="preserve">  </w:t>
            </w:r>
            <w:r>
              <w:rPr>
                <w:rFonts w:hint="eastAsia" w:ascii="宋体" w:hAnsi="宋体" w:cs="宋体"/>
                <w:b/>
                <w:sz w:val="18"/>
                <w:szCs w:val="18"/>
              </w:rPr>
              <w:t>】类</w:t>
            </w:r>
            <w:r>
              <w:rPr>
                <w:rFonts w:ascii="宋体" w:hAnsi="宋体" w:cs="宋体"/>
                <w:b/>
                <w:sz w:val="18"/>
                <w:szCs w:val="18"/>
              </w:rPr>
              <w:t>份额</w:t>
            </w:r>
          </w:p>
        </w:tc>
      </w:tr>
      <w:tr w14:paraId="6B8402A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7F022EEA">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5F7A85BF">
            <w:pPr>
              <w:autoSpaceDE w:val="0"/>
              <w:autoSpaceDN w:val="0"/>
              <w:adjustRightInd w:val="0"/>
              <w:snapToGrid w:val="0"/>
              <w:spacing w:line="360" w:lineRule="auto"/>
              <w:jc w:val="center"/>
              <w:rPr>
                <w:rFonts w:ascii="宋体" w:hAnsi="宋体"/>
                <w:b/>
                <w:sz w:val="18"/>
                <w:szCs w:val="18"/>
              </w:rPr>
            </w:pPr>
            <w:r>
              <w:rPr>
                <w:rFonts w:hint="eastAsia" w:ascii="宋体" w:hAnsi="宋体"/>
                <w:b/>
                <w:bCs/>
                <w:sz w:val="18"/>
                <w:szCs w:val="18"/>
              </w:rPr>
              <w:t>认购</w:t>
            </w:r>
          </w:p>
        </w:tc>
        <w:tc>
          <w:tcPr>
            <w:tcW w:w="5987" w:type="dxa"/>
            <w:vAlign w:val="center"/>
          </w:tcPr>
          <w:p w14:paraId="5251EB71">
            <w:pPr>
              <w:autoSpaceDE w:val="0"/>
              <w:autoSpaceDN w:val="0"/>
              <w:adjustRightInd w:val="0"/>
              <w:snapToGrid w:val="0"/>
              <w:spacing w:line="360" w:lineRule="auto"/>
              <w:jc w:val="left"/>
              <w:rPr>
                <w:rFonts w:ascii="宋体" w:hAnsi="宋体" w:cs="宋体"/>
                <w:b/>
                <w:sz w:val="18"/>
                <w:szCs w:val="18"/>
              </w:rPr>
            </w:pPr>
            <w:r>
              <w:rPr>
                <w:rFonts w:ascii="宋体" w:hAnsi="宋体"/>
                <w:b/>
                <w:bCs/>
                <w:sz w:val="18"/>
                <w:szCs w:val="18"/>
              </w:rPr>
              <w:t>金额：</w:t>
            </w:r>
            <w:r>
              <w:rPr>
                <w:rFonts w:hint="eastAsia" w:ascii="宋体" w:hAnsi="宋体"/>
                <w:b/>
                <w:bCs/>
                <w:sz w:val="18"/>
                <w:szCs w:val="18"/>
              </w:rPr>
              <w:t>小写：</w:t>
            </w:r>
            <w:r>
              <w:rPr>
                <w:rFonts w:ascii="宋体" w:hAnsi="宋体"/>
                <w:b/>
                <w:bCs/>
                <w:sz w:val="18"/>
                <w:szCs w:val="18"/>
                <w:u w:val="single"/>
              </w:rPr>
              <w:t xml:space="preserve">　        </w:t>
            </w:r>
            <w:r>
              <w:rPr>
                <w:rFonts w:hint="eastAsia" w:ascii="宋体" w:hAnsi="宋体"/>
                <w:b/>
                <w:bCs/>
                <w:sz w:val="18"/>
                <w:szCs w:val="18"/>
                <w:u w:val="single"/>
              </w:rPr>
              <w:t xml:space="preserve">  </w:t>
            </w:r>
            <w:r>
              <w:rPr>
                <w:rFonts w:ascii="宋体" w:hAnsi="宋体"/>
                <w:b/>
                <w:bCs/>
                <w:sz w:val="18"/>
                <w:szCs w:val="18"/>
              </w:rPr>
              <w:t>，大写：</w:t>
            </w:r>
            <w:r>
              <w:rPr>
                <w:rFonts w:ascii="宋体" w:hAnsi="宋体"/>
                <w:b/>
                <w:bCs/>
                <w:sz w:val="18"/>
                <w:szCs w:val="18"/>
                <w:u w:val="single"/>
              </w:rPr>
              <w:t xml:space="preserve">　  </w:t>
            </w:r>
            <w:r>
              <w:rPr>
                <w:rFonts w:hint="eastAsia" w:ascii="宋体" w:hAnsi="宋体"/>
                <w:b/>
                <w:bCs/>
                <w:sz w:val="18"/>
                <w:szCs w:val="18"/>
                <w:u w:val="single"/>
              </w:rPr>
              <w:t xml:space="preserve">            </w:t>
            </w:r>
            <w:r>
              <w:rPr>
                <w:rFonts w:ascii="宋体" w:hAnsi="宋体"/>
                <w:b/>
                <w:bCs/>
                <w:sz w:val="18"/>
                <w:szCs w:val="18"/>
                <w:u w:val="single"/>
              </w:rPr>
              <w:t xml:space="preserve">      </w:t>
            </w:r>
            <w:r>
              <w:rPr>
                <w:rFonts w:hint="eastAsia" w:ascii="宋体" w:hAnsi="宋体"/>
                <w:b/>
                <w:bCs/>
                <w:sz w:val="18"/>
                <w:szCs w:val="18"/>
              </w:rPr>
              <w:t>元整。</w:t>
            </w:r>
          </w:p>
        </w:tc>
      </w:tr>
      <w:tr w14:paraId="3E286B5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90" w:hRule="atLeast"/>
        </w:trPr>
        <w:tc>
          <w:tcPr>
            <w:tcW w:w="1403" w:type="dxa"/>
            <w:gridSpan w:val="2"/>
            <w:vMerge w:val="continue"/>
          </w:tcPr>
          <w:p w14:paraId="0602B25D">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4BC55FB9">
            <w:pPr>
              <w:autoSpaceDE w:val="0"/>
              <w:autoSpaceDN w:val="0"/>
              <w:adjustRightInd w:val="0"/>
              <w:snapToGrid w:val="0"/>
              <w:spacing w:line="360" w:lineRule="auto"/>
              <w:jc w:val="center"/>
              <w:rPr>
                <w:rFonts w:ascii="宋体" w:hAnsi="宋体"/>
                <w:b/>
                <w:sz w:val="18"/>
                <w:szCs w:val="18"/>
              </w:rPr>
            </w:pPr>
            <w:r>
              <w:rPr>
                <w:rFonts w:hint="eastAsia" w:ascii="宋体" w:hAnsi="宋体"/>
                <w:b/>
                <w:bCs/>
                <w:sz w:val="18"/>
                <w:szCs w:val="18"/>
              </w:rPr>
              <w:t>申购</w:t>
            </w:r>
          </w:p>
        </w:tc>
        <w:tc>
          <w:tcPr>
            <w:tcW w:w="5987" w:type="dxa"/>
            <w:vAlign w:val="center"/>
          </w:tcPr>
          <w:p w14:paraId="5648086D">
            <w:pPr>
              <w:autoSpaceDE w:val="0"/>
              <w:autoSpaceDN w:val="0"/>
              <w:adjustRightInd w:val="0"/>
              <w:snapToGrid w:val="0"/>
              <w:spacing w:line="360" w:lineRule="auto"/>
              <w:jc w:val="left"/>
              <w:rPr>
                <w:rFonts w:ascii="宋体" w:hAnsi="宋体" w:cs="宋体"/>
                <w:b/>
                <w:sz w:val="18"/>
                <w:szCs w:val="18"/>
              </w:rPr>
            </w:pPr>
            <w:r>
              <w:rPr>
                <w:rFonts w:ascii="宋体" w:hAnsi="宋体"/>
                <w:b/>
                <w:bCs/>
                <w:sz w:val="18"/>
                <w:szCs w:val="18"/>
              </w:rPr>
              <w:t>金额</w:t>
            </w:r>
            <w:r>
              <w:rPr>
                <w:rFonts w:hint="eastAsia" w:ascii="宋体" w:hAnsi="宋体"/>
                <w:b/>
                <w:bCs/>
                <w:sz w:val="18"/>
                <w:szCs w:val="18"/>
              </w:rPr>
              <w:t>：小写：</w:t>
            </w:r>
            <w:r>
              <w:rPr>
                <w:rFonts w:ascii="宋体" w:hAnsi="宋体"/>
                <w:b/>
                <w:bCs/>
                <w:sz w:val="18"/>
                <w:szCs w:val="18"/>
                <w:u w:val="single"/>
              </w:rPr>
              <w:t xml:space="preserve">　        </w:t>
            </w:r>
            <w:r>
              <w:rPr>
                <w:rFonts w:hint="eastAsia" w:ascii="宋体" w:hAnsi="宋体"/>
                <w:b/>
                <w:bCs/>
                <w:sz w:val="18"/>
                <w:szCs w:val="18"/>
                <w:u w:val="single"/>
              </w:rPr>
              <w:t xml:space="preserve">  </w:t>
            </w:r>
            <w:r>
              <w:rPr>
                <w:rFonts w:ascii="宋体" w:hAnsi="宋体"/>
                <w:b/>
                <w:bCs/>
                <w:sz w:val="18"/>
                <w:szCs w:val="18"/>
              </w:rPr>
              <w:t>，大写：</w:t>
            </w:r>
            <w:r>
              <w:rPr>
                <w:rFonts w:ascii="宋体" w:hAnsi="宋体"/>
                <w:b/>
                <w:bCs/>
                <w:sz w:val="18"/>
                <w:szCs w:val="18"/>
                <w:u w:val="single"/>
              </w:rPr>
              <w:t xml:space="preserve">　   </w:t>
            </w:r>
            <w:r>
              <w:rPr>
                <w:rFonts w:hint="eastAsia" w:ascii="宋体" w:hAnsi="宋体"/>
                <w:b/>
                <w:bCs/>
                <w:sz w:val="18"/>
                <w:szCs w:val="18"/>
                <w:u w:val="single"/>
              </w:rPr>
              <w:t xml:space="preserve">            </w:t>
            </w:r>
            <w:r>
              <w:rPr>
                <w:rFonts w:ascii="宋体" w:hAnsi="宋体"/>
                <w:b/>
                <w:bCs/>
                <w:sz w:val="18"/>
                <w:szCs w:val="18"/>
                <w:u w:val="single"/>
              </w:rPr>
              <w:t xml:space="preserve">     </w:t>
            </w:r>
            <w:r>
              <w:rPr>
                <w:rFonts w:hint="eastAsia" w:ascii="宋体" w:hAnsi="宋体"/>
                <w:b/>
                <w:bCs/>
                <w:sz w:val="18"/>
                <w:szCs w:val="18"/>
              </w:rPr>
              <w:t>元整。</w:t>
            </w:r>
          </w:p>
        </w:tc>
      </w:tr>
      <w:tr w14:paraId="18A763E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52" w:hRule="atLeast"/>
        </w:trPr>
        <w:tc>
          <w:tcPr>
            <w:tcW w:w="1403" w:type="dxa"/>
            <w:gridSpan w:val="2"/>
            <w:vMerge w:val="continue"/>
          </w:tcPr>
          <w:p w14:paraId="338F8895">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10BB83A4">
            <w:pPr>
              <w:autoSpaceDE w:val="0"/>
              <w:autoSpaceDN w:val="0"/>
              <w:adjustRightInd w:val="0"/>
              <w:snapToGrid w:val="0"/>
              <w:spacing w:line="360" w:lineRule="auto"/>
              <w:jc w:val="center"/>
              <w:rPr>
                <w:rFonts w:ascii="宋体" w:hAnsi="宋体"/>
                <w:b/>
                <w:sz w:val="18"/>
                <w:szCs w:val="18"/>
              </w:rPr>
            </w:pPr>
            <w:r>
              <w:rPr>
                <w:rFonts w:hint="eastAsia" w:ascii="宋体" w:hAnsi="宋体"/>
                <w:b/>
                <w:bCs/>
                <w:sz w:val="18"/>
                <w:szCs w:val="18"/>
              </w:rPr>
              <w:t>赎回</w:t>
            </w:r>
          </w:p>
        </w:tc>
        <w:tc>
          <w:tcPr>
            <w:tcW w:w="5987" w:type="dxa"/>
            <w:vAlign w:val="center"/>
          </w:tcPr>
          <w:p w14:paraId="4BA165DA">
            <w:pPr>
              <w:autoSpaceDE w:val="0"/>
              <w:autoSpaceDN w:val="0"/>
              <w:adjustRightInd w:val="0"/>
              <w:snapToGrid w:val="0"/>
              <w:spacing w:line="360" w:lineRule="auto"/>
              <w:rPr>
                <w:rFonts w:ascii="宋体" w:hAnsi="宋体" w:cs="宋体"/>
                <w:b/>
                <w:sz w:val="18"/>
                <w:szCs w:val="18"/>
              </w:rPr>
            </w:pPr>
            <w:r>
              <w:rPr>
                <w:rFonts w:ascii="宋体" w:hAnsi="宋体"/>
                <w:b/>
                <w:bCs/>
                <w:sz w:val="18"/>
                <w:szCs w:val="18"/>
              </w:rPr>
              <w:t>份额：</w:t>
            </w:r>
            <w:r>
              <w:rPr>
                <w:rFonts w:hint="eastAsia" w:ascii="宋体" w:hAnsi="宋体"/>
                <w:b/>
                <w:bCs/>
                <w:sz w:val="18"/>
                <w:szCs w:val="18"/>
              </w:rPr>
              <w:t>小写：</w:t>
            </w:r>
            <w:r>
              <w:rPr>
                <w:rFonts w:ascii="宋体" w:hAnsi="宋体"/>
                <w:b/>
                <w:bCs/>
                <w:sz w:val="18"/>
                <w:szCs w:val="18"/>
                <w:u w:val="single"/>
              </w:rPr>
              <w:t xml:space="preserve">　          </w:t>
            </w:r>
            <w:r>
              <w:rPr>
                <w:rFonts w:ascii="宋体" w:hAnsi="宋体"/>
                <w:b/>
                <w:bCs/>
                <w:sz w:val="18"/>
                <w:szCs w:val="18"/>
              </w:rPr>
              <w:t>，大写：</w:t>
            </w:r>
            <w:r>
              <w:rPr>
                <w:rFonts w:ascii="宋体" w:hAnsi="宋体"/>
                <w:b/>
                <w:bCs/>
                <w:sz w:val="18"/>
                <w:szCs w:val="18"/>
                <w:u w:val="single"/>
              </w:rPr>
              <w:t xml:space="preserve">　  </w:t>
            </w:r>
            <w:r>
              <w:rPr>
                <w:rFonts w:hint="eastAsia" w:ascii="宋体" w:hAnsi="宋体"/>
                <w:b/>
                <w:bCs/>
                <w:sz w:val="18"/>
                <w:szCs w:val="18"/>
                <w:u w:val="single"/>
              </w:rPr>
              <w:t xml:space="preserve">          </w:t>
            </w:r>
            <w:r>
              <w:rPr>
                <w:rFonts w:ascii="宋体" w:hAnsi="宋体"/>
                <w:b/>
                <w:bCs/>
                <w:sz w:val="18"/>
                <w:szCs w:val="18"/>
                <w:u w:val="single"/>
              </w:rPr>
              <w:t xml:space="preserve">        </w:t>
            </w:r>
            <w:r>
              <w:rPr>
                <w:rFonts w:hint="eastAsia" w:ascii="宋体" w:hAnsi="宋体"/>
                <w:b/>
                <w:bCs/>
                <w:sz w:val="18"/>
                <w:szCs w:val="18"/>
              </w:rPr>
              <w:t>份。</w:t>
            </w:r>
          </w:p>
        </w:tc>
      </w:tr>
      <w:tr w14:paraId="4F72A34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27277BF3">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70D23C60">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交易申请日</w:t>
            </w:r>
          </w:p>
        </w:tc>
        <w:tc>
          <w:tcPr>
            <w:tcW w:w="5987" w:type="dxa"/>
            <w:vAlign w:val="center"/>
          </w:tcPr>
          <w:p w14:paraId="488D741E">
            <w:pPr>
              <w:autoSpaceDE w:val="0"/>
              <w:autoSpaceDN w:val="0"/>
              <w:adjustRightInd w:val="0"/>
              <w:snapToGrid w:val="0"/>
              <w:spacing w:line="360" w:lineRule="auto"/>
              <w:jc w:val="center"/>
              <w:rPr>
                <w:rFonts w:ascii="宋体" w:hAnsi="宋体"/>
                <w:b/>
                <w:sz w:val="18"/>
                <w:szCs w:val="18"/>
              </w:rPr>
            </w:pPr>
            <w:r>
              <w:rPr>
                <w:rFonts w:hint="eastAsia" w:asciiTheme="minorEastAsia" w:hAnsiTheme="minorEastAsia"/>
                <w:sz w:val="18"/>
                <w:szCs w:val="18"/>
              </w:rPr>
              <w:t xml:space="preserve">【 </w:t>
            </w:r>
            <w:r>
              <w:rPr>
                <w:rFonts w:asciiTheme="minorEastAsia" w:hAnsiTheme="minorEastAsia"/>
                <w:sz w:val="18"/>
                <w:szCs w:val="18"/>
              </w:rPr>
              <w:t>】年</w:t>
            </w:r>
            <w:r>
              <w:rPr>
                <w:rFonts w:hint="eastAsia" w:asciiTheme="minorEastAsia" w:hAnsiTheme="minorEastAsia"/>
                <w:sz w:val="18"/>
                <w:szCs w:val="18"/>
              </w:rPr>
              <w:t>【 】月【 】日</w:t>
            </w:r>
          </w:p>
        </w:tc>
      </w:tr>
      <w:tr w14:paraId="60BC08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7F0D449A">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33077C1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3B7657D8">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76679A15">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353EB2FE">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5C7AA964">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680A0A09">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3、投资者</w:t>
            </w:r>
            <w:r>
              <w:rPr>
                <w:rFonts w:ascii="黑体" w:hAnsi="黑体" w:eastAsia="黑体"/>
                <w:sz w:val="18"/>
                <w:szCs w:val="18"/>
              </w:rPr>
              <w:t>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40BCCA7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14" w:hRule="exact"/>
        </w:trPr>
        <w:tc>
          <w:tcPr>
            <w:tcW w:w="675" w:type="dxa"/>
            <w:vMerge w:val="restart"/>
            <w:vAlign w:val="center"/>
          </w:tcPr>
          <w:p w14:paraId="051FF27A">
            <w:pPr>
              <w:spacing w:line="360" w:lineRule="auto"/>
              <w:jc w:val="center"/>
              <w:rPr>
                <w:b/>
                <w:sz w:val="18"/>
                <w:szCs w:val="18"/>
              </w:rPr>
            </w:pPr>
            <w:r>
              <w:rPr>
                <w:rFonts w:hint="eastAsia"/>
                <w:b/>
                <w:sz w:val="18"/>
                <w:szCs w:val="18"/>
              </w:rPr>
              <w:t>投资者签署栏</w:t>
            </w:r>
          </w:p>
        </w:tc>
        <w:tc>
          <w:tcPr>
            <w:tcW w:w="851" w:type="dxa"/>
            <w:gridSpan w:val="2"/>
          </w:tcPr>
          <w:p w14:paraId="08A2AF7B">
            <w:pPr>
              <w:spacing w:line="360" w:lineRule="auto"/>
              <w:rPr>
                <w:b/>
                <w:sz w:val="18"/>
                <w:szCs w:val="18"/>
              </w:rPr>
            </w:pPr>
            <w:r>
              <w:rPr>
                <w:rFonts w:hint="eastAsia"/>
                <w:b/>
                <w:sz w:val="18"/>
                <w:szCs w:val="18"/>
              </w:rPr>
              <w:t>个人投资者适用</w:t>
            </w:r>
          </w:p>
        </w:tc>
        <w:tc>
          <w:tcPr>
            <w:tcW w:w="6998" w:type="dxa"/>
            <w:gridSpan w:val="2"/>
          </w:tcPr>
          <w:p w14:paraId="69FA569E">
            <w:pPr>
              <w:spacing w:line="360" w:lineRule="auto"/>
              <w:rPr>
                <w:sz w:val="18"/>
                <w:szCs w:val="18"/>
              </w:rPr>
            </w:pPr>
            <w:r>
              <w:rPr>
                <w:rFonts w:hint="eastAsia"/>
                <w:sz w:val="18"/>
                <w:szCs w:val="18"/>
              </w:rPr>
              <w:t>投资者（签字）：</w:t>
            </w:r>
          </w:p>
          <w:p w14:paraId="0B2E4EBB">
            <w:pPr>
              <w:spacing w:line="360" w:lineRule="auto"/>
              <w:rPr>
                <w:b/>
                <w:sz w:val="18"/>
                <w:szCs w:val="18"/>
              </w:rPr>
            </w:pPr>
          </w:p>
          <w:p w14:paraId="4D901E37">
            <w:pPr>
              <w:spacing w:line="360" w:lineRule="auto"/>
              <w:rPr>
                <w:b/>
                <w:sz w:val="18"/>
                <w:szCs w:val="18"/>
              </w:rPr>
            </w:pPr>
            <w:r>
              <w:rPr>
                <w:rFonts w:hint="eastAsia"/>
                <w:sz w:val="18"/>
                <w:szCs w:val="18"/>
              </w:rPr>
              <w:t>日期：</w:t>
            </w:r>
          </w:p>
        </w:tc>
      </w:tr>
      <w:tr w14:paraId="548CA89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3A7E1C96">
            <w:pPr>
              <w:spacing w:line="360" w:lineRule="auto"/>
              <w:rPr>
                <w:b/>
                <w:sz w:val="18"/>
                <w:szCs w:val="18"/>
              </w:rPr>
            </w:pPr>
          </w:p>
        </w:tc>
        <w:tc>
          <w:tcPr>
            <w:tcW w:w="851" w:type="dxa"/>
            <w:gridSpan w:val="2"/>
          </w:tcPr>
          <w:p w14:paraId="4335ACF1">
            <w:pPr>
              <w:spacing w:line="360" w:lineRule="auto"/>
              <w:rPr>
                <w:b/>
                <w:sz w:val="18"/>
                <w:szCs w:val="18"/>
              </w:rPr>
            </w:pPr>
            <w:r>
              <w:rPr>
                <w:rFonts w:hint="eastAsia"/>
                <w:b/>
                <w:sz w:val="18"/>
                <w:szCs w:val="18"/>
              </w:rPr>
              <w:t>机构投资者适用</w:t>
            </w:r>
          </w:p>
        </w:tc>
        <w:tc>
          <w:tcPr>
            <w:tcW w:w="6998" w:type="dxa"/>
            <w:gridSpan w:val="2"/>
          </w:tcPr>
          <w:p w14:paraId="46C19F57">
            <w:pPr>
              <w:spacing w:line="360" w:lineRule="auto"/>
              <w:rPr>
                <w:rFonts w:cs="Arial"/>
                <w:sz w:val="18"/>
                <w:szCs w:val="18"/>
              </w:rPr>
            </w:pPr>
            <w:r>
              <w:rPr>
                <w:rFonts w:hint="eastAsia"/>
                <w:sz w:val="18"/>
                <w:szCs w:val="18"/>
              </w:rPr>
              <w:t>投资者</w:t>
            </w:r>
            <w:r>
              <w:rPr>
                <w:rFonts w:hint="eastAsia" w:cs="Arial"/>
                <w:sz w:val="18"/>
                <w:szCs w:val="18"/>
              </w:rPr>
              <w:t>（盖章）：</w:t>
            </w:r>
          </w:p>
          <w:p w14:paraId="787FA696">
            <w:pPr>
              <w:spacing w:line="360" w:lineRule="auto"/>
              <w:rPr>
                <w:rFonts w:cs="Arial"/>
                <w:sz w:val="18"/>
                <w:szCs w:val="18"/>
              </w:rPr>
            </w:pPr>
          </w:p>
          <w:p w14:paraId="57A11FA9">
            <w:pPr>
              <w:spacing w:line="360" w:lineRule="auto"/>
              <w:rPr>
                <w:rFonts w:cs="Arial"/>
                <w:sz w:val="18"/>
                <w:szCs w:val="18"/>
              </w:rPr>
            </w:pPr>
            <w:r>
              <w:rPr>
                <w:rFonts w:hint="eastAsia" w:cs="Arial"/>
                <w:sz w:val="18"/>
                <w:szCs w:val="18"/>
              </w:rPr>
              <w:t>投资者法定代表人或授权代理人（签字或盖章）：</w:t>
            </w:r>
          </w:p>
          <w:p w14:paraId="3FF870EE">
            <w:pPr>
              <w:spacing w:line="360" w:lineRule="auto"/>
              <w:rPr>
                <w:b/>
                <w:sz w:val="18"/>
                <w:szCs w:val="18"/>
              </w:rPr>
            </w:pPr>
          </w:p>
          <w:p w14:paraId="431A8B78">
            <w:pPr>
              <w:spacing w:line="360" w:lineRule="auto"/>
              <w:rPr>
                <w:sz w:val="18"/>
                <w:szCs w:val="18"/>
              </w:rPr>
            </w:pPr>
            <w:r>
              <w:rPr>
                <w:rFonts w:hint="eastAsia"/>
                <w:sz w:val="18"/>
                <w:szCs w:val="18"/>
              </w:rPr>
              <w:t>日期：</w:t>
            </w:r>
          </w:p>
        </w:tc>
      </w:tr>
    </w:tbl>
    <w:p w14:paraId="19120A81">
      <w:pPr>
        <w:spacing w:line="360" w:lineRule="auto"/>
        <w:jc w:val="left"/>
        <w:rPr>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sectPr>
      <w:type w:val="continuous"/>
      <w:pgSz w:w="11906" w:h="16838"/>
      <w:pgMar w:top="1440" w:right="1800" w:bottom="1440" w:left="1800" w:header="567"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libri Light">
    <w:panose1 w:val="020F03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54872"/>
    </w:sdtPr>
    <w:sdtContent>
      <w:p w14:paraId="7CFF6A97">
        <w:pPr>
          <w:pStyle w:val="14"/>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6DC068">
    <w:pPr>
      <w:pStyle w:val="15"/>
      <w:pBdr>
        <w:bottom w:val="thickThinLargeGap" w:color="auto" w:sz="24" w:space="10"/>
      </w:pBdr>
      <w:tabs>
        <w:tab w:val="right" w:pos="8280"/>
      </w:tabs>
      <w:wordWrap w:val="0"/>
      <w:adjustRightInd w:val="0"/>
      <w:jc w:val="right"/>
      <w:rPr>
        <w:b/>
      </w:rPr>
    </w:pPr>
    <w:r>
      <w:rPr>
        <w:rFonts w:hint="eastAsia"/>
        <w:b/>
      </w:rPr>
      <w:t>投资协议书</w:t>
    </w:r>
  </w:p>
  <w:p w14:paraId="4E003E9E">
    <w:pPr>
      <w:pStyle w:val="15"/>
      <w:pBdr>
        <w:bottom w:val="thickThinLargeGap" w:color="auto" w:sz="24" w:space="10"/>
      </w:pBdr>
      <w:tabs>
        <w:tab w:val="right" w:pos="8280"/>
      </w:tabs>
      <w:wordWrap w:val="0"/>
      <w:adjustRightInd w:val="0"/>
      <w:jc w:val="right"/>
      <w:rPr>
        <w:b/>
      </w:rPr>
    </w:pPr>
    <w:r>
      <w:rPr>
        <w:rFonts w:hint="eastAsia"/>
        <w:b/>
      </w:rPr>
      <w:t>注：本文件由兴银理财有限责任公司统一编制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bullet"/>
      <w:pStyle w:val="47"/>
      <w:lvlText w:val=""/>
      <w:lvlJc w:val="left"/>
      <w:pPr>
        <w:tabs>
          <w:tab w:val="left" w:pos="360"/>
        </w:tabs>
        <w:ind w:left="360" w:hanging="360"/>
      </w:pPr>
      <w:rPr>
        <w:rFonts w:hint="default" w:ascii="Symbol" w:hAnsi="Symbol"/>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IwNTljODZlNmMxN2IxODkyNGQ0MzYwYjkyOGU4YWIifQ=="/>
  </w:docVars>
  <w:rsids>
    <w:rsidRoot w:val="00172A27"/>
    <w:rsid w:val="000016A1"/>
    <w:rsid w:val="00001E2E"/>
    <w:rsid w:val="000047F2"/>
    <w:rsid w:val="000052BD"/>
    <w:rsid w:val="00006526"/>
    <w:rsid w:val="000073F3"/>
    <w:rsid w:val="0001172D"/>
    <w:rsid w:val="00012205"/>
    <w:rsid w:val="0001389C"/>
    <w:rsid w:val="000141A7"/>
    <w:rsid w:val="000209B7"/>
    <w:rsid w:val="00021451"/>
    <w:rsid w:val="000215C7"/>
    <w:rsid w:val="00021BF7"/>
    <w:rsid w:val="00023F0A"/>
    <w:rsid w:val="0002724F"/>
    <w:rsid w:val="00030239"/>
    <w:rsid w:val="0003198D"/>
    <w:rsid w:val="00032F2C"/>
    <w:rsid w:val="000345D6"/>
    <w:rsid w:val="000365A1"/>
    <w:rsid w:val="0004166F"/>
    <w:rsid w:val="00042221"/>
    <w:rsid w:val="00042E95"/>
    <w:rsid w:val="00045C60"/>
    <w:rsid w:val="00045FF7"/>
    <w:rsid w:val="00055256"/>
    <w:rsid w:val="00055E1D"/>
    <w:rsid w:val="00060AA2"/>
    <w:rsid w:val="0006286C"/>
    <w:rsid w:val="00063E11"/>
    <w:rsid w:val="00065143"/>
    <w:rsid w:val="00067E29"/>
    <w:rsid w:val="0007676B"/>
    <w:rsid w:val="00077B06"/>
    <w:rsid w:val="00081682"/>
    <w:rsid w:val="0008289A"/>
    <w:rsid w:val="00083216"/>
    <w:rsid w:val="00083712"/>
    <w:rsid w:val="00096B82"/>
    <w:rsid w:val="00097F9C"/>
    <w:rsid w:val="000A21B2"/>
    <w:rsid w:val="000A29E4"/>
    <w:rsid w:val="000B0F5E"/>
    <w:rsid w:val="000B1095"/>
    <w:rsid w:val="000B687C"/>
    <w:rsid w:val="000B732C"/>
    <w:rsid w:val="000C2157"/>
    <w:rsid w:val="000C23C6"/>
    <w:rsid w:val="000C5F0B"/>
    <w:rsid w:val="000C66F8"/>
    <w:rsid w:val="000C6CA3"/>
    <w:rsid w:val="000D7C5B"/>
    <w:rsid w:val="000E4739"/>
    <w:rsid w:val="000F16C0"/>
    <w:rsid w:val="000F18A0"/>
    <w:rsid w:val="000F4555"/>
    <w:rsid w:val="000F4EBB"/>
    <w:rsid w:val="000F7F68"/>
    <w:rsid w:val="0010450A"/>
    <w:rsid w:val="00105DB2"/>
    <w:rsid w:val="001075D6"/>
    <w:rsid w:val="00111396"/>
    <w:rsid w:val="00112F70"/>
    <w:rsid w:val="00113191"/>
    <w:rsid w:val="0011395B"/>
    <w:rsid w:val="00115A7D"/>
    <w:rsid w:val="00116696"/>
    <w:rsid w:val="00117923"/>
    <w:rsid w:val="00123583"/>
    <w:rsid w:val="001249B1"/>
    <w:rsid w:val="00124ADF"/>
    <w:rsid w:val="001256B2"/>
    <w:rsid w:val="00125A39"/>
    <w:rsid w:val="00136F50"/>
    <w:rsid w:val="00145951"/>
    <w:rsid w:val="00145FB3"/>
    <w:rsid w:val="00150F88"/>
    <w:rsid w:val="00151C5F"/>
    <w:rsid w:val="00153821"/>
    <w:rsid w:val="00153A6A"/>
    <w:rsid w:val="0015605F"/>
    <w:rsid w:val="00156B9B"/>
    <w:rsid w:val="00166F3C"/>
    <w:rsid w:val="001676C5"/>
    <w:rsid w:val="001719A6"/>
    <w:rsid w:val="00172A27"/>
    <w:rsid w:val="001739F3"/>
    <w:rsid w:val="00176250"/>
    <w:rsid w:val="001767D5"/>
    <w:rsid w:val="00180944"/>
    <w:rsid w:val="00181F8E"/>
    <w:rsid w:val="00183919"/>
    <w:rsid w:val="00184F16"/>
    <w:rsid w:val="001913D5"/>
    <w:rsid w:val="0019368D"/>
    <w:rsid w:val="001A0DEE"/>
    <w:rsid w:val="001A331C"/>
    <w:rsid w:val="001A3B4F"/>
    <w:rsid w:val="001B3D1B"/>
    <w:rsid w:val="001C12A0"/>
    <w:rsid w:val="001C2E83"/>
    <w:rsid w:val="001C5549"/>
    <w:rsid w:val="001C5FB8"/>
    <w:rsid w:val="001C627B"/>
    <w:rsid w:val="001C6A43"/>
    <w:rsid w:val="001D33CF"/>
    <w:rsid w:val="001D5339"/>
    <w:rsid w:val="001D5DA7"/>
    <w:rsid w:val="001D6D21"/>
    <w:rsid w:val="001E09D0"/>
    <w:rsid w:val="001E0B5B"/>
    <w:rsid w:val="001E22BC"/>
    <w:rsid w:val="001E4956"/>
    <w:rsid w:val="001E604C"/>
    <w:rsid w:val="001E7309"/>
    <w:rsid w:val="001F0442"/>
    <w:rsid w:val="001F0C20"/>
    <w:rsid w:val="001F213C"/>
    <w:rsid w:val="001F3442"/>
    <w:rsid w:val="001F3518"/>
    <w:rsid w:val="001F5553"/>
    <w:rsid w:val="001F5D35"/>
    <w:rsid w:val="001F764C"/>
    <w:rsid w:val="00202706"/>
    <w:rsid w:val="00204226"/>
    <w:rsid w:val="00204B97"/>
    <w:rsid w:val="00206557"/>
    <w:rsid w:val="0020785E"/>
    <w:rsid w:val="002115EE"/>
    <w:rsid w:val="00211B89"/>
    <w:rsid w:val="00213777"/>
    <w:rsid w:val="0021550E"/>
    <w:rsid w:val="0021697D"/>
    <w:rsid w:val="0022040D"/>
    <w:rsid w:val="0022092C"/>
    <w:rsid w:val="00222AF4"/>
    <w:rsid w:val="00225324"/>
    <w:rsid w:val="00225C55"/>
    <w:rsid w:val="00226166"/>
    <w:rsid w:val="00227D78"/>
    <w:rsid w:val="0023600D"/>
    <w:rsid w:val="002373D3"/>
    <w:rsid w:val="00241D65"/>
    <w:rsid w:val="00244658"/>
    <w:rsid w:val="00246158"/>
    <w:rsid w:val="002464CF"/>
    <w:rsid w:val="00246E81"/>
    <w:rsid w:val="002476E6"/>
    <w:rsid w:val="00252015"/>
    <w:rsid w:val="00252AD2"/>
    <w:rsid w:val="00253D3F"/>
    <w:rsid w:val="002544CB"/>
    <w:rsid w:val="00256159"/>
    <w:rsid w:val="00257D80"/>
    <w:rsid w:val="002632C7"/>
    <w:rsid w:val="00263D71"/>
    <w:rsid w:val="00267780"/>
    <w:rsid w:val="002719C4"/>
    <w:rsid w:val="00276547"/>
    <w:rsid w:val="002819AA"/>
    <w:rsid w:val="00284C82"/>
    <w:rsid w:val="00287678"/>
    <w:rsid w:val="00287D6F"/>
    <w:rsid w:val="00294417"/>
    <w:rsid w:val="0029567E"/>
    <w:rsid w:val="002A31A8"/>
    <w:rsid w:val="002A571E"/>
    <w:rsid w:val="002A599B"/>
    <w:rsid w:val="002A72B3"/>
    <w:rsid w:val="002B2076"/>
    <w:rsid w:val="002B2E59"/>
    <w:rsid w:val="002B30E7"/>
    <w:rsid w:val="002B3DF5"/>
    <w:rsid w:val="002B659B"/>
    <w:rsid w:val="002B661B"/>
    <w:rsid w:val="002B66DC"/>
    <w:rsid w:val="002C13C1"/>
    <w:rsid w:val="002C27E7"/>
    <w:rsid w:val="002C3012"/>
    <w:rsid w:val="002C7D8E"/>
    <w:rsid w:val="002D121A"/>
    <w:rsid w:val="002D407E"/>
    <w:rsid w:val="002E0E0E"/>
    <w:rsid w:val="002E2C93"/>
    <w:rsid w:val="002E388A"/>
    <w:rsid w:val="002E4681"/>
    <w:rsid w:val="002E6E2C"/>
    <w:rsid w:val="002F1BB8"/>
    <w:rsid w:val="002F1C19"/>
    <w:rsid w:val="002F228E"/>
    <w:rsid w:val="002F3164"/>
    <w:rsid w:val="002F354F"/>
    <w:rsid w:val="002F467D"/>
    <w:rsid w:val="002F5D80"/>
    <w:rsid w:val="002F6D00"/>
    <w:rsid w:val="002F7889"/>
    <w:rsid w:val="003018A8"/>
    <w:rsid w:val="003052A7"/>
    <w:rsid w:val="00306441"/>
    <w:rsid w:val="00315F0B"/>
    <w:rsid w:val="003161C7"/>
    <w:rsid w:val="00317875"/>
    <w:rsid w:val="003178C0"/>
    <w:rsid w:val="003227BA"/>
    <w:rsid w:val="003255D5"/>
    <w:rsid w:val="003307C6"/>
    <w:rsid w:val="00330ABB"/>
    <w:rsid w:val="003311F2"/>
    <w:rsid w:val="00331829"/>
    <w:rsid w:val="0033253B"/>
    <w:rsid w:val="00332928"/>
    <w:rsid w:val="003331E2"/>
    <w:rsid w:val="003418D3"/>
    <w:rsid w:val="00344E98"/>
    <w:rsid w:val="0034626E"/>
    <w:rsid w:val="0034787C"/>
    <w:rsid w:val="00350783"/>
    <w:rsid w:val="003513BE"/>
    <w:rsid w:val="003523CE"/>
    <w:rsid w:val="0035402A"/>
    <w:rsid w:val="003540B3"/>
    <w:rsid w:val="003606ED"/>
    <w:rsid w:val="00360EE3"/>
    <w:rsid w:val="00363B81"/>
    <w:rsid w:val="00363C20"/>
    <w:rsid w:val="00365749"/>
    <w:rsid w:val="00366930"/>
    <w:rsid w:val="00367846"/>
    <w:rsid w:val="0037284F"/>
    <w:rsid w:val="00376B22"/>
    <w:rsid w:val="003873DE"/>
    <w:rsid w:val="0039164E"/>
    <w:rsid w:val="00391C13"/>
    <w:rsid w:val="00392071"/>
    <w:rsid w:val="003928B0"/>
    <w:rsid w:val="00395E69"/>
    <w:rsid w:val="0039705F"/>
    <w:rsid w:val="003A2822"/>
    <w:rsid w:val="003B03E1"/>
    <w:rsid w:val="003B465C"/>
    <w:rsid w:val="003B63C9"/>
    <w:rsid w:val="003C216F"/>
    <w:rsid w:val="003C5027"/>
    <w:rsid w:val="003C65EC"/>
    <w:rsid w:val="003D3AA5"/>
    <w:rsid w:val="003D67E3"/>
    <w:rsid w:val="003E70F6"/>
    <w:rsid w:val="003E7472"/>
    <w:rsid w:val="003F1181"/>
    <w:rsid w:val="003F29F2"/>
    <w:rsid w:val="003F63CA"/>
    <w:rsid w:val="0040416E"/>
    <w:rsid w:val="0040486B"/>
    <w:rsid w:val="00404F49"/>
    <w:rsid w:val="004067A7"/>
    <w:rsid w:val="00406971"/>
    <w:rsid w:val="004117AA"/>
    <w:rsid w:val="00411B14"/>
    <w:rsid w:val="004132EA"/>
    <w:rsid w:val="004134A1"/>
    <w:rsid w:val="00414562"/>
    <w:rsid w:val="0042301D"/>
    <w:rsid w:val="00423612"/>
    <w:rsid w:val="00424866"/>
    <w:rsid w:val="00426FD8"/>
    <w:rsid w:val="00431E1F"/>
    <w:rsid w:val="00433900"/>
    <w:rsid w:val="00435E5C"/>
    <w:rsid w:val="00436CF2"/>
    <w:rsid w:val="00437361"/>
    <w:rsid w:val="00444664"/>
    <w:rsid w:val="00444AD5"/>
    <w:rsid w:val="00444F28"/>
    <w:rsid w:val="00445CFA"/>
    <w:rsid w:val="00446E41"/>
    <w:rsid w:val="00446FBB"/>
    <w:rsid w:val="0045304A"/>
    <w:rsid w:val="004530E2"/>
    <w:rsid w:val="0045487E"/>
    <w:rsid w:val="0045508F"/>
    <w:rsid w:val="00460B00"/>
    <w:rsid w:val="00467615"/>
    <w:rsid w:val="004727C4"/>
    <w:rsid w:val="00477E43"/>
    <w:rsid w:val="00481A9B"/>
    <w:rsid w:val="00483EB5"/>
    <w:rsid w:val="004875C3"/>
    <w:rsid w:val="004918BC"/>
    <w:rsid w:val="00493B96"/>
    <w:rsid w:val="004946EF"/>
    <w:rsid w:val="004973D1"/>
    <w:rsid w:val="004A23D9"/>
    <w:rsid w:val="004A3FA4"/>
    <w:rsid w:val="004A5131"/>
    <w:rsid w:val="004A7454"/>
    <w:rsid w:val="004B03B2"/>
    <w:rsid w:val="004B3210"/>
    <w:rsid w:val="004B3302"/>
    <w:rsid w:val="004B3AF7"/>
    <w:rsid w:val="004B6C04"/>
    <w:rsid w:val="004C1C32"/>
    <w:rsid w:val="004C23FF"/>
    <w:rsid w:val="004C2E33"/>
    <w:rsid w:val="004C39B2"/>
    <w:rsid w:val="004C3F33"/>
    <w:rsid w:val="004C5C67"/>
    <w:rsid w:val="004D117B"/>
    <w:rsid w:val="004E08AE"/>
    <w:rsid w:val="004E3E74"/>
    <w:rsid w:val="004E4588"/>
    <w:rsid w:val="004E61D4"/>
    <w:rsid w:val="004F196B"/>
    <w:rsid w:val="004F546F"/>
    <w:rsid w:val="005000A0"/>
    <w:rsid w:val="005008ED"/>
    <w:rsid w:val="005040A2"/>
    <w:rsid w:val="0051091B"/>
    <w:rsid w:val="00511C5B"/>
    <w:rsid w:val="0051407C"/>
    <w:rsid w:val="00514FAF"/>
    <w:rsid w:val="005174A6"/>
    <w:rsid w:val="00517BD7"/>
    <w:rsid w:val="00520C18"/>
    <w:rsid w:val="00521D76"/>
    <w:rsid w:val="00522DE6"/>
    <w:rsid w:val="005242BD"/>
    <w:rsid w:val="00525E37"/>
    <w:rsid w:val="005325A6"/>
    <w:rsid w:val="00540535"/>
    <w:rsid w:val="00540FCA"/>
    <w:rsid w:val="00542E69"/>
    <w:rsid w:val="005433B6"/>
    <w:rsid w:val="005438DD"/>
    <w:rsid w:val="00547A26"/>
    <w:rsid w:val="0055782A"/>
    <w:rsid w:val="0056024C"/>
    <w:rsid w:val="005602FE"/>
    <w:rsid w:val="00560C2F"/>
    <w:rsid w:val="005610A2"/>
    <w:rsid w:val="00566139"/>
    <w:rsid w:val="00571E93"/>
    <w:rsid w:val="00573EE1"/>
    <w:rsid w:val="005743B8"/>
    <w:rsid w:val="005839E8"/>
    <w:rsid w:val="00583A75"/>
    <w:rsid w:val="00584A2A"/>
    <w:rsid w:val="00595C13"/>
    <w:rsid w:val="005A0099"/>
    <w:rsid w:val="005A0C0D"/>
    <w:rsid w:val="005A2993"/>
    <w:rsid w:val="005A41D7"/>
    <w:rsid w:val="005A71D8"/>
    <w:rsid w:val="005A77B4"/>
    <w:rsid w:val="005B585B"/>
    <w:rsid w:val="005B771F"/>
    <w:rsid w:val="005C05AD"/>
    <w:rsid w:val="005D1511"/>
    <w:rsid w:val="005D17E1"/>
    <w:rsid w:val="005D68E6"/>
    <w:rsid w:val="005D6DFD"/>
    <w:rsid w:val="005E03C1"/>
    <w:rsid w:val="005E2C29"/>
    <w:rsid w:val="005E3D99"/>
    <w:rsid w:val="005E7D8A"/>
    <w:rsid w:val="005F6FF6"/>
    <w:rsid w:val="006001EC"/>
    <w:rsid w:val="00605764"/>
    <w:rsid w:val="00605F23"/>
    <w:rsid w:val="00607C62"/>
    <w:rsid w:val="00613250"/>
    <w:rsid w:val="006206A4"/>
    <w:rsid w:val="0062210C"/>
    <w:rsid w:val="00623E9F"/>
    <w:rsid w:val="006250B0"/>
    <w:rsid w:val="00625409"/>
    <w:rsid w:val="00630E80"/>
    <w:rsid w:val="006335F7"/>
    <w:rsid w:val="00640E2B"/>
    <w:rsid w:val="00644D2A"/>
    <w:rsid w:val="00646391"/>
    <w:rsid w:val="00647D06"/>
    <w:rsid w:val="00650549"/>
    <w:rsid w:val="00652745"/>
    <w:rsid w:val="006529C3"/>
    <w:rsid w:val="00652B32"/>
    <w:rsid w:val="006542C9"/>
    <w:rsid w:val="00654B5E"/>
    <w:rsid w:val="00661F3C"/>
    <w:rsid w:val="00662F50"/>
    <w:rsid w:val="00663F53"/>
    <w:rsid w:val="00664946"/>
    <w:rsid w:val="00665990"/>
    <w:rsid w:val="00666D7F"/>
    <w:rsid w:val="00672298"/>
    <w:rsid w:val="006855F8"/>
    <w:rsid w:val="0068665E"/>
    <w:rsid w:val="00686C50"/>
    <w:rsid w:val="00687A54"/>
    <w:rsid w:val="0069051A"/>
    <w:rsid w:val="006910D9"/>
    <w:rsid w:val="006914EC"/>
    <w:rsid w:val="0069366D"/>
    <w:rsid w:val="00694FD4"/>
    <w:rsid w:val="006956BC"/>
    <w:rsid w:val="00695A96"/>
    <w:rsid w:val="00697059"/>
    <w:rsid w:val="00697170"/>
    <w:rsid w:val="006A2DAC"/>
    <w:rsid w:val="006A35FB"/>
    <w:rsid w:val="006B0E5E"/>
    <w:rsid w:val="006B121D"/>
    <w:rsid w:val="006B24B2"/>
    <w:rsid w:val="006B32F3"/>
    <w:rsid w:val="006B6758"/>
    <w:rsid w:val="006B72B7"/>
    <w:rsid w:val="006B7502"/>
    <w:rsid w:val="006C1201"/>
    <w:rsid w:val="006C14BB"/>
    <w:rsid w:val="006C7443"/>
    <w:rsid w:val="006D1109"/>
    <w:rsid w:val="006D4A61"/>
    <w:rsid w:val="006D6CDD"/>
    <w:rsid w:val="006D7EB4"/>
    <w:rsid w:val="006E07CD"/>
    <w:rsid w:val="006E4978"/>
    <w:rsid w:val="006F08E6"/>
    <w:rsid w:val="006F0FA1"/>
    <w:rsid w:val="006F1407"/>
    <w:rsid w:val="006F159D"/>
    <w:rsid w:val="006F3061"/>
    <w:rsid w:val="006F35E0"/>
    <w:rsid w:val="006F4C91"/>
    <w:rsid w:val="006F6966"/>
    <w:rsid w:val="006F6C9E"/>
    <w:rsid w:val="007003CA"/>
    <w:rsid w:val="00705A9A"/>
    <w:rsid w:val="00705AB8"/>
    <w:rsid w:val="00716497"/>
    <w:rsid w:val="00720B3A"/>
    <w:rsid w:val="007216E0"/>
    <w:rsid w:val="007219F7"/>
    <w:rsid w:val="00726D7A"/>
    <w:rsid w:val="00731391"/>
    <w:rsid w:val="00731CC4"/>
    <w:rsid w:val="0073299F"/>
    <w:rsid w:val="00734BC4"/>
    <w:rsid w:val="007369E8"/>
    <w:rsid w:val="00737544"/>
    <w:rsid w:val="00737E91"/>
    <w:rsid w:val="00741156"/>
    <w:rsid w:val="0074401B"/>
    <w:rsid w:val="00744F5D"/>
    <w:rsid w:val="007512CC"/>
    <w:rsid w:val="007567D7"/>
    <w:rsid w:val="00757C87"/>
    <w:rsid w:val="0076256C"/>
    <w:rsid w:val="00764FE5"/>
    <w:rsid w:val="00770687"/>
    <w:rsid w:val="00773717"/>
    <w:rsid w:val="00784D9C"/>
    <w:rsid w:val="007856E8"/>
    <w:rsid w:val="00785730"/>
    <w:rsid w:val="00786BEA"/>
    <w:rsid w:val="00786E6B"/>
    <w:rsid w:val="007874E0"/>
    <w:rsid w:val="00795FAD"/>
    <w:rsid w:val="007968E5"/>
    <w:rsid w:val="007969C4"/>
    <w:rsid w:val="00796FFC"/>
    <w:rsid w:val="00797682"/>
    <w:rsid w:val="007A0DEB"/>
    <w:rsid w:val="007A38CD"/>
    <w:rsid w:val="007A766D"/>
    <w:rsid w:val="007A77DC"/>
    <w:rsid w:val="007B06AA"/>
    <w:rsid w:val="007B1080"/>
    <w:rsid w:val="007B3FDA"/>
    <w:rsid w:val="007B58B4"/>
    <w:rsid w:val="007C0897"/>
    <w:rsid w:val="007E0F86"/>
    <w:rsid w:val="007E1220"/>
    <w:rsid w:val="007E40AA"/>
    <w:rsid w:val="007E6098"/>
    <w:rsid w:val="007F214F"/>
    <w:rsid w:val="007F66C2"/>
    <w:rsid w:val="007F71C3"/>
    <w:rsid w:val="00802F46"/>
    <w:rsid w:val="0080338A"/>
    <w:rsid w:val="00806156"/>
    <w:rsid w:val="0081194A"/>
    <w:rsid w:val="00816E31"/>
    <w:rsid w:val="0081755C"/>
    <w:rsid w:val="008209BF"/>
    <w:rsid w:val="008235A9"/>
    <w:rsid w:val="0082410A"/>
    <w:rsid w:val="00830913"/>
    <w:rsid w:val="00831572"/>
    <w:rsid w:val="00833DA0"/>
    <w:rsid w:val="00837439"/>
    <w:rsid w:val="0084117B"/>
    <w:rsid w:val="00842ECC"/>
    <w:rsid w:val="00844C52"/>
    <w:rsid w:val="00844FAC"/>
    <w:rsid w:val="00847D06"/>
    <w:rsid w:val="008526AD"/>
    <w:rsid w:val="00852A74"/>
    <w:rsid w:val="00853C9B"/>
    <w:rsid w:val="0085467A"/>
    <w:rsid w:val="00855E29"/>
    <w:rsid w:val="00856912"/>
    <w:rsid w:val="00861C50"/>
    <w:rsid w:val="00862721"/>
    <w:rsid w:val="00863B57"/>
    <w:rsid w:val="00870710"/>
    <w:rsid w:val="00871266"/>
    <w:rsid w:val="00871450"/>
    <w:rsid w:val="008739A5"/>
    <w:rsid w:val="00895DC9"/>
    <w:rsid w:val="008A3830"/>
    <w:rsid w:val="008A5426"/>
    <w:rsid w:val="008A6706"/>
    <w:rsid w:val="008B0B17"/>
    <w:rsid w:val="008B1FC9"/>
    <w:rsid w:val="008B20D2"/>
    <w:rsid w:val="008B3D15"/>
    <w:rsid w:val="008B4562"/>
    <w:rsid w:val="008B5D1E"/>
    <w:rsid w:val="008B60CD"/>
    <w:rsid w:val="008B64A4"/>
    <w:rsid w:val="008C1F51"/>
    <w:rsid w:val="008C41BB"/>
    <w:rsid w:val="008C4E5E"/>
    <w:rsid w:val="008C5B93"/>
    <w:rsid w:val="008C77FD"/>
    <w:rsid w:val="008D0202"/>
    <w:rsid w:val="008D0B1A"/>
    <w:rsid w:val="008D1177"/>
    <w:rsid w:val="008D43FD"/>
    <w:rsid w:val="008E5137"/>
    <w:rsid w:val="008E5682"/>
    <w:rsid w:val="008E67DB"/>
    <w:rsid w:val="008E6FBA"/>
    <w:rsid w:val="008F0E09"/>
    <w:rsid w:val="008F14E7"/>
    <w:rsid w:val="008F24C8"/>
    <w:rsid w:val="00905340"/>
    <w:rsid w:val="0090798A"/>
    <w:rsid w:val="00907AEC"/>
    <w:rsid w:val="00911B78"/>
    <w:rsid w:val="009122AA"/>
    <w:rsid w:val="00914791"/>
    <w:rsid w:val="0091725B"/>
    <w:rsid w:val="00925A17"/>
    <w:rsid w:val="00927AE1"/>
    <w:rsid w:val="0093239E"/>
    <w:rsid w:val="00933BBA"/>
    <w:rsid w:val="00933D38"/>
    <w:rsid w:val="00944C6F"/>
    <w:rsid w:val="00947DAA"/>
    <w:rsid w:val="0095255D"/>
    <w:rsid w:val="00952B18"/>
    <w:rsid w:val="0095500C"/>
    <w:rsid w:val="0095516F"/>
    <w:rsid w:val="009559AB"/>
    <w:rsid w:val="00961CD3"/>
    <w:rsid w:val="0096677D"/>
    <w:rsid w:val="0097370D"/>
    <w:rsid w:val="009768D0"/>
    <w:rsid w:val="0097776B"/>
    <w:rsid w:val="00977B2B"/>
    <w:rsid w:val="00977C61"/>
    <w:rsid w:val="00983820"/>
    <w:rsid w:val="00983DF9"/>
    <w:rsid w:val="00987518"/>
    <w:rsid w:val="009917A6"/>
    <w:rsid w:val="00993714"/>
    <w:rsid w:val="009969BB"/>
    <w:rsid w:val="009A14A5"/>
    <w:rsid w:val="009A42BC"/>
    <w:rsid w:val="009B0C9E"/>
    <w:rsid w:val="009B1C9C"/>
    <w:rsid w:val="009B2C85"/>
    <w:rsid w:val="009B5BC2"/>
    <w:rsid w:val="009C2069"/>
    <w:rsid w:val="009C521A"/>
    <w:rsid w:val="009C6F8E"/>
    <w:rsid w:val="009D63B0"/>
    <w:rsid w:val="009D7AA0"/>
    <w:rsid w:val="009E371D"/>
    <w:rsid w:val="009E4C02"/>
    <w:rsid w:val="009E5E1C"/>
    <w:rsid w:val="009E6DAE"/>
    <w:rsid w:val="009F1537"/>
    <w:rsid w:val="009F29D8"/>
    <w:rsid w:val="009F4C90"/>
    <w:rsid w:val="009F759C"/>
    <w:rsid w:val="009F7CF8"/>
    <w:rsid w:val="00A11CB0"/>
    <w:rsid w:val="00A125BC"/>
    <w:rsid w:val="00A17171"/>
    <w:rsid w:val="00A205B4"/>
    <w:rsid w:val="00A20F62"/>
    <w:rsid w:val="00A21427"/>
    <w:rsid w:val="00A21A6C"/>
    <w:rsid w:val="00A229C4"/>
    <w:rsid w:val="00A25383"/>
    <w:rsid w:val="00A26C04"/>
    <w:rsid w:val="00A34AC8"/>
    <w:rsid w:val="00A401DA"/>
    <w:rsid w:val="00A4447E"/>
    <w:rsid w:val="00A445F8"/>
    <w:rsid w:val="00A4489D"/>
    <w:rsid w:val="00A47545"/>
    <w:rsid w:val="00A4788E"/>
    <w:rsid w:val="00A51A8B"/>
    <w:rsid w:val="00A5445C"/>
    <w:rsid w:val="00A5475A"/>
    <w:rsid w:val="00A5653C"/>
    <w:rsid w:val="00A61009"/>
    <w:rsid w:val="00A61538"/>
    <w:rsid w:val="00A616AA"/>
    <w:rsid w:val="00A63459"/>
    <w:rsid w:val="00A66CFA"/>
    <w:rsid w:val="00A70C4F"/>
    <w:rsid w:val="00A71AA7"/>
    <w:rsid w:val="00A71D6F"/>
    <w:rsid w:val="00A75B30"/>
    <w:rsid w:val="00A76F1E"/>
    <w:rsid w:val="00A81ECE"/>
    <w:rsid w:val="00A84912"/>
    <w:rsid w:val="00A879D0"/>
    <w:rsid w:val="00A87A12"/>
    <w:rsid w:val="00A90D98"/>
    <w:rsid w:val="00A9773F"/>
    <w:rsid w:val="00A97F9F"/>
    <w:rsid w:val="00AA0BFE"/>
    <w:rsid w:val="00AA2082"/>
    <w:rsid w:val="00AB009C"/>
    <w:rsid w:val="00AB633E"/>
    <w:rsid w:val="00AB7231"/>
    <w:rsid w:val="00AB7FE4"/>
    <w:rsid w:val="00AC18A8"/>
    <w:rsid w:val="00AC3CEC"/>
    <w:rsid w:val="00AC4A57"/>
    <w:rsid w:val="00AD4F90"/>
    <w:rsid w:val="00AD57C7"/>
    <w:rsid w:val="00AD74DA"/>
    <w:rsid w:val="00AD7F32"/>
    <w:rsid w:val="00AE3332"/>
    <w:rsid w:val="00AE4780"/>
    <w:rsid w:val="00AE4AC1"/>
    <w:rsid w:val="00AE6A16"/>
    <w:rsid w:val="00AF2416"/>
    <w:rsid w:val="00AF3E6D"/>
    <w:rsid w:val="00AF40F3"/>
    <w:rsid w:val="00AF5042"/>
    <w:rsid w:val="00AF7D63"/>
    <w:rsid w:val="00B010E6"/>
    <w:rsid w:val="00B01124"/>
    <w:rsid w:val="00B034C7"/>
    <w:rsid w:val="00B123EF"/>
    <w:rsid w:val="00B13299"/>
    <w:rsid w:val="00B13D10"/>
    <w:rsid w:val="00B20BD0"/>
    <w:rsid w:val="00B21F78"/>
    <w:rsid w:val="00B23C21"/>
    <w:rsid w:val="00B24D2D"/>
    <w:rsid w:val="00B340F8"/>
    <w:rsid w:val="00B3431B"/>
    <w:rsid w:val="00B3762A"/>
    <w:rsid w:val="00B4101D"/>
    <w:rsid w:val="00B41509"/>
    <w:rsid w:val="00B43375"/>
    <w:rsid w:val="00B52FAD"/>
    <w:rsid w:val="00B56276"/>
    <w:rsid w:val="00B606E5"/>
    <w:rsid w:val="00B606E6"/>
    <w:rsid w:val="00B61A35"/>
    <w:rsid w:val="00B66F01"/>
    <w:rsid w:val="00B70428"/>
    <w:rsid w:val="00B70DB8"/>
    <w:rsid w:val="00B72632"/>
    <w:rsid w:val="00B73C10"/>
    <w:rsid w:val="00B74A78"/>
    <w:rsid w:val="00B74F12"/>
    <w:rsid w:val="00B75AC5"/>
    <w:rsid w:val="00B76971"/>
    <w:rsid w:val="00B836FC"/>
    <w:rsid w:val="00B84E80"/>
    <w:rsid w:val="00B85D3C"/>
    <w:rsid w:val="00B85F6B"/>
    <w:rsid w:val="00B92A1E"/>
    <w:rsid w:val="00B93447"/>
    <w:rsid w:val="00B93769"/>
    <w:rsid w:val="00B9604A"/>
    <w:rsid w:val="00B9646A"/>
    <w:rsid w:val="00BA39BA"/>
    <w:rsid w:val="00BA3B89"/>
    <w:rsid w:val="00BA55D3"/>
    <w:rsid w:val="00BA7689"/>
    <w:rsid w:val="00BB49A2"/>
    <w:rsid w:val="00BB521C"/>
    <w:rsid w:val="00BB5E64"/>
    <w:rsid w:val="00BC32EB"/>
    <w:rsid w:val="00BC3E98"/>
    <w:rsid w:val="00BC4611"/>
    <w:rsid w:val="00BC68AA"/>
    <w:rsid w:val="00BD020C"/>
    <w:rsid w:val="00BD0D17"/>
    <w:rsid w:val="00BD4663"/>
    <w:rsid w:val="00BD6425"/>
    <w:rsid w:val="00BE4092"/>
    <w:rsid w:val="00BF0849"/>
    <w:rsid w:val="00BF33D6"/>
    <w:rsid w:val="00BF3E98"/>
    <w:rsid w:val="00C00374"/>
    <w:rsid w:val="00C02553"/>
    <w:rsid w:val="00C02E9B"/>
    <w:rsid w:val="00C041E1"/>
    <w:rsid w:val="00C07640"/>
    <w:rsid w:val="00C10A0B"/>
    <w:rsid w:val="00C11510"/>
    <w:rsid w:val="00C12A4D"/>
    <w:rsid w:val="00C133AC"/>
    <w:rsid w:val="00C149B9"/>
    <w:rsid w:val="00C16ED4"/>
    <w:rsid w:val="00C17007"/>
    <w:rsid w:val="00C226AB"/>
    <w:rsid w:val="00C266C0"/>
    <w:rsid w:val="00C27CD2"/>
    <w:rsid w:val="00C320BC"/>
    <w:rsid w:val="00C32A5C"/>
    <w:rsid w:val="00C348DE"/>
    <w:rsid w:val="00C349B7"/>
    <w:rsid w:val="00C3641F"/>
    <w:rsid w:val="00C40580"/>
    <w:rsid w:val="00C4092B"/>
    <w:rsid w:val="00C4198D"/>
    <w:rsid w:val="00C41A12"/>
    <w:rsid w:val="00C41D76"/>
    <w:rsid w:val="00C46269"/>
    <w:rsid w:val="00C5061E"/>
    <w:rsid w:val="00C527BF"/>
    <w:rsid w:val="00C550E2"/>
    <w:rsid w:val="00C561B4"/>
    <w:rsid w:val="00C569F3"/>
    <w:rsid w:val="00C57F3A"/>
    <w:rsid w:val="00C6524D"/>
    <w:rsid w:val="00C6577D"/>
    <w:rsid w:val="00C66942"/>
    <w:rsid w:val="00C80014"/>
    <w:rsid w:val="00C90BFF"/>
    <w:rsid w:val="00C9379A"/>
    <w:rsid w:val="00C95DF3"/>
    <w:rsid w:val="00C97D8A"/>
    <w:rsid w:val="00C97F28"/>
    <w:rsid w:val="00CA0BC3"/>
    <w:rsid w:val="00CA42AB"/>
    <w:rsid w:val="00CA504C"/>
    <w:rsid w:val="00CA767B"/>
    <w:rsid w:val="00CB118D"/>
    <w:rsid w:val="00CB24A2"/>
    <w:rsid w:val="00CC153D"/>
    <w:rsid w:val="00CC5DA1"/>
    <w:rsid w:val="00CD1A38"/>
    <w:rsid w:val="00CD1ED6"/>
    <w:rsid w:val="00CD4530"/>
    <w:rsid w:val="00CE04EA"/>
    <w:rsid w:val="00CE21A3"/>
    <w:rsid w:val="00CE3D7D"/>
    <w:rsid w:val="00CE5271"/>
    <w:rsid w:val="00CF07E7"/>
    <w:rsid w:val="00CF20EC"/>
    <w:rsid w:val="00D044FA"/>
    <w:rsid w:val="00D06A40"/>
    <w:rsid w:val="00D07F3D"/>
    <w:rsid w:val="00D11889"/>
    <w:rsid w:val="00D143FA"/>
    <w:rsid w:val="00D14989"/>
    <w:rsid w:val="00D1696F"/>
    <w:rsid w:val="00D200E4"/>
    <w:rsid w:val="00D246C7"/>
    <w:rsid w:val="00D330E4"/>
    <w:rsid w:val="00D354C6"/>
    <w:rsid w:val="00D4074A"/>
    <w:rsid w:val="00D4395E"/>
    <w:rsid w:val="00D44376"/>
    <w:rsid w:val="00D4445B"/>
    <w:rsid w:val="00D501A2"/>
    <w:rsid w:val="00D50C49"/>
    <w:rsid w:val="00D51521"/>
    <w:rsid w:val="00D515DA"/>
    <w:rsid w:val="00D57FB6"/>
    <w:rsid w:val="00D62BAC"/>
    <w:rsid w:val="00D66F78"/>
    <w:rsid w:val="00D705DA"/>
    <w:rsid w:val="00D77ADC"/>
    <w:rsid w:val="00D77F0D"/>
    <w:rsid w:val="00D81FE7"/>
    <w:rsid w:val="00D82893"/>
    <w:rsid w:val="00D8308D"/>
    <w:rsid w:val="00D833EB"/>
    <w:rsid w:val="00D837CC"/>
    <w:rsid w:val="00D92526"/>
    <w:rsid w:val="00D9748A"/>
    <w:rsid w:val="00DA43E0"/>
    <w:rsid w:val="00DA5A27"/>
    <w:rsid w:val="00DA6E0E"/>
    <w:rsid w:val="00DA78A9"/>
    <w:rsid w:val="00DA7A2B"/>
    <w:rsid w:val="00DB201C"/>
    <w:rsid w:val="00DB2DB0"/>
    <w:rsid w:val="00DB3857"/>
    <w:rsid w:val="00DB44A2"/>
    <w:rsid w:val="00DC0F23"/>
    <w:rsid w:val="00DC18EE"/>
    <w:rsid w:val="00DC2771"/>
    <w:rsid w:val="00DC295F"/>
    <w:rsid w:val="00DC3C57"/>
    <w:rsid w:val="00DC40E4"/>
    <w:rsid w:val="00DC7C02"/>
    <w:rsid w:val="00DD2FE5"/>
    <w:rsid w:val="00DD6FE7"/>
    <w:rsid w:val="00DF3437"/>
    <w:rsid w:val="00DF3F05"/>
    <w:rsid w:val="00DF6B27"/>
    <w:rsid w:val="00DF749F"/>
    <w:rsid w:val="00DF7FC5"/>
    <w:rsid w:val="00E03447"/>
    <w:rsid w:val="00E03ECE"/>
    <w:rsid w:val="00E0477B"/>
    <w:rsid w:val="00E072D2"/>
    <w:rsid w:val="00E12287"/>
    <w:rsid w:val="00E1770C"/>
    <w:rsid w:val="00E22677"/>
    <w:rsid w:val="00E23CB4"/>
    <w:rsid w:val="00E23CE7"/>
    <w:rsid w:val="00E3045C"/>
    <w:rsid w:val="00E30CD1"/>
    <w:rsid w:val="00E323CD"/>
    <w:rsid w:val="00E34CBA"/>
    <w:rsid w:val="00E35DA5"/>
    <w:rsid w:val="00E36F2B"/>
    <w:rsid w:val="00E37E1A"/>
    <w:rsid w:val="00E4276E"/>
    <w:rsid w:val="00E44D44"/>
    <w:rsid w:val="00E44FFE"/>
    <w:rsid w:val="00E50662"/>
    <w:rsid w:val="00E51C4F"/>
    <w:rsid w:val="00E57E75"/>
    <w:rsid w:val="00E67AFF"/>
    <w:rsid w:val="00E7480F"/>
    <w:rsid w:val="00E753BD"/>
    <w:rsid w:val="00E774B6"/>
    <w:rsid w:val="00E83E00"/>
    <w:rsid w:val="00E8753A"/>
    <w:rsid w:val="00E90A44"/>
    <w:rsid w:val="00E966A2"/>
    <w:rsid w:val="00EA6CED"/>
    <w:rsid w:val="00EB0C83"/>
    <w:rsid w:val="00EB5E32"/>
    <w:rsid w:val="00EC514B"/>
    <w:rsid w:val="00ED08E0"/>
    <w:rsid w:val="00ED0F4E"/>
    <w:rsid w:val="00ED1DD5"/>
    <w:rsid w:val="00ED25C7"/>
    <w:rsid w:val="00ED2BA5"/>
    <w:rsid w:val="00ED3882"/>
    <w:rsid w:val="00ED3E6B"/>
    <w:rsid w:val="00ED5759"/>
    <w:rsid w:val="00EE183A"/>
    <w:rsid w:val="00EE263C"/>
    <w:rsid w:val="00EE3D96"/>
    <w:rsid w:val="00EE7357"/>
    <w:rsid w:val="00EF191E"/>
    <w:rsid w:val="00EF4162"/>
    <w:rsid w:val="00EF6103"/>
    <w:rsid w:val="00F00C67"/>
    <w:rsid w:val="00F0469D"/>
    <w:rsid w:val="00F046EC"/>
    <w:rsid w:val="00F0558F"/>
    <w:rsid w:val="00F05739"/>
    <w:rsid w:val="00F0768A"/>
    <w:rsid w:val="00F07962"/>
    <w:rsid w:val="00F104F1"/>
    <w:rsid w:val="00F12096"/>
    <w:rsid w:val="00F12A59"/>
    <w:rsid w:val="00F12E33"/>
    <w:rsid w:val="00F1386E"/>
    <w:rsid w:val="00F14579"/>
    <w:rsid w:val="00F16B95"/>
    <w:rsid w:val="00F16D1C"/>
    <w:rsid w:val="00F2211E"/>
    <w:rsid w:val="00F23DF7"/>
    <w:rsid w:val="00F243AF"/>
    <w:rsid w:val="00F33834"/>
    <w:rsid w:val="00F34661"/>
    <w:rsid w:val="00F3550C"/>
    <w:rsid w:val="00F4075D"/>
    <w:rsid w:val="00F41743"/>
    <w:rsid w:val="00F43CC2"/>
    <w:rsid w:val="00F45279"/>
    <w:rsid w:val="00F45D4D"/>
    <w:rsid w:val="00F477AD"/>
    <w:rsid w:val="00F4787A"/>
    <w:rsid w:val="00F54677"/>
    <w:rsid w:val="00F55612"/>
    <w:rsid w:val="00F56998"/>
    <w:rsid w:val="00F611C6"/>
    <w:rsid w:val="00F640CB"/>
    <w:rsid w:val="00F652FF"/>
    <w:rsid w:val="00F6638A"/>
    <w:rsid w:val="00F6673D"/>
    <w:rsid w:val="00F6765C"/>
    <w:rsid w:val="00F7607C"/>
    <w:rsid w:val="00F845DD"/>
    <w:rsid w:val="00F84ACA"/>
    <w:rsid w:val="00F865A9"/>
    <w:rsid w:val="00F8733E"/>
    <w:rsid w:val="00F913B7"/>
    <w:rsid w:val="00F91EA4"/>
    <w:rsid w:val="00F92464"/>
    <w:rsid w:val="00FA07AA"/>
    <w:rsid w:val="00FA10AA"/>
    <w:rsid w:val="00FA2F7C"/>
    <w:rsid w:val="00FA3BF1"/>
    <w:rsid w:val="00FB0D3D"/>
    <w:rsid w:val="00FB166A"/>
    <w:rsid w:val="00FB7721"/>
    <w:rsid w:val="00FC5827"/>
    <w:rsid w:val="00FC64D6"/>
    <w:rsid w:val="00FC6768"/>
    <w:rsid w:val="00FD08DF"/>
    <w:rsid w:val="00FD4E32"/>
    <w:rsid w:val="00FD771E"/>
    <w:rsid w:val="00FD7F16"/>
    <w:rsid w:val="00FE1886"/>
    <w:rsid w:val="00FE2B6B"/>
    <w:rsid w:val="00FE441D"/>
    <w:rsid w:val="00FF0956"/>
    <w:rsid w:val="00FF46EE"/>
    <w:rsid w:val="06863DB3"/>
    <w:rsid w:val="07B52C25"/>
    <w:rsid w:val="0B2B57C4"/>
    <w:rsid w:val="0D5D484F"/>
    <w:rsid w:val="0EC469F2"/>
    <w:rsid w:val="0FC129B6"/>
    <w:rsid w:val="149E474A"/>
    <w:rsid w:val="15B03F7D"/>
    <w:rsid w:val="1C282BDF"/>
    <w:rsid w:val="2703193E"/>
    <w:rsid w:val="30A30EB5"/>
    <w:rsid w:val="35C863A1"/>
    <w:rsid w:val="45F574B3"/>
    <w:rsid w:val="46FB5831"/>
    <w:rsid w:val="4F9B33E8"/>
    <w:rsid w:val="506A37FC"/>
    <w:rsid w:val="522B18F8"/>
    <w:rsid w:val="55205C94"/>
    <w:rsid w:val="5D332A9B"/>
    <w:rsid w:val="5EF52D1E"/>
    <w:rsid w:val="601E16AB"/>
    <w:rsid w:val="606D0F2D"/>
    <w:rsid w:val="626F56C0"/>
    <w:rsid w:val="64782B6B"/>
    <w:rsid w:val="648448DA"/>
    <w:rsid w:val="66BD5932"/>
    <w:rsid w:val="685713B7"/>
    <w:rsid w:val="6A9D6924"/>
    <w:rsid w:val="6AAF1C3F"/>
    <w:rsid w:val="6AD912B8"/>
    <w:rsid w:val="714901A2"/>
    <w:rsid w:val="73C16197"/>
    <w:rsid w:val="7D6254A3"/>
    <w:rsid w:val="7E821439"/>
    <w:rsid w:val="7E833D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64"/>
    <w:qFormat/>
    <w:uiPriority w:val="0"/>
    <w:pPr>
      <w:keepNext/>
      <w:keepLines/>
      <w:spacing w:before="260" w:after="260" w:line="413" w:lineRule="auto"/>
      <w:outlineLvl w:val="2"/>
    </w:pPr>
    <w:rPr>
      <w:b/>
      <w:sz w:val="32"/>
    </w:rPr>
  </w:style>
  <w:style w:type="paragraph" w:styleId="5">
    <w:name w:val="heading 4"/>
    <w:basedOn w:val="1"/>
    <w:next w:val="1"/>
    <w:link w:val="57"/>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firstLineChars="200"/>
    </w:pPr>
  </w:style>
  <w:style w:type="paragraph" w:styleId="7">
    <w:name w:val="Document Map"/>
    <w:basedOn w:val="1"/>
    <w:qFormat/>
    <w:uiPriority w:val="0"/>
    <w:pPr>
      <w:shd w:val="clear" w:color="auto" w:fill="000080"/>
    </w:pPr>
  </w:style>
  <w:style w:type="paragraph" w:styleId="8">
    <w:name w:val="annotation text"/>
    <w:basedOn w:val="1"/>
    <w:link w:val="59"/>
    <w:qFormat/>
    <w:uiPriority w:val="99"/>
    <w:pPr>
      <w:jc w:val="left"/>
    </w:pPr>
  </w:style>
  <w:style w:type="paragraph" w:styleId="9">
    <w:name w:val="Body Text"/>
    <w:basedOn w:val="1"/>
    <w:link w:val="35"/>
    <w:qFormat/>
    <w:uiPriority w:val="0"/>
    <w:pPr>
      <w:autoSpaceDE w:val="0"/>
      <w:autoSpaceDN w:val="0"/>
      <w:adjustRightInd w:val="0"/>
      <w:spacing w:line="360" w:lineRule="auto"/>
      <w:jc w:val="left"/>
    </w:pPr>
    <w:rPr>
      <w:rFonts w:ascii="宋体"/>
      <w:kern w:val="0"/>
    </w:rPr>
  </w:style>
  <w:style w:type="paragraph" w:styleId="10">
    <w:name w:val="toc 3"/>
    <w:basedOn w:val="1"/>
    <w:next w:val="1"/>
    <w:qFormat/>
    <w:uiPriority w:val="39"/>
    <w:pPr>
      <w:ind w:left="840" w:leftChars="400"/>
    </w:pPr>
  </w:style>
  <w:style w:type="paragraph" w:styleId="11">
    <w:name w:val="Plain Text"/>
    <w:basedOn w:val="1"/>
    <w:qFormat/>
    <w:uiPriority w:val="0"/>
    <w:pPr>
      <w:adjustRightInd w:val="0"/>
      <w:spacing w:line="312" w:lineRule="atLeast"/>
      <w:textAlignment w:val="baseline"/>
    </w:pPr>
    <w:rPr>
      <w:rFonts w:ascii="宋体" w:hAnsi="Courier New"/>
      <w:kern w:val="0"/>
    </w:rPr>
  </w:style>
  <w:style w:type="paragraph" w:styleId="12">
    <w:name w:val="Body Text Indent 2"/>
    <w:basedOn w:val="1"/>
    <w:qFormat/>
    <w:uiPriority w:val="0"/>
    <w:pPr>
      <w:spacing w:line="360" w:lineRule="auto"/>
      <w:ind w:firstLine="425"/>
    </w:pPr>
    <w:rPr>
      <w:rFonts w:ascii="仿宋_GB2312" w:eastAsia="仿宋_GB2312"/>
      <w:sz w:val="28"/>
    </w:rPr>
  </w:style>
  <w:style w:type="paragraph" w:styleId="13">
    <w:name w:val="Balloon Text"/>
    <w:basedOn w:val="1"/>
    <w:qFormat/>
    <w:uiPriority w:val="0"/>
    <w:rPr>
      <w:sz w:val="18"/>
    </w:rPr>
  </w:style>
  <w:style w:type="paragraph" w:styleId="14">
    <w:name w:val="footer"/>
    <w:basedOn w:val="1"/>
    <w:link w:val="66"/>
    <w:qFormat/>
    <w:uiPriority w:val="99"/>
    <w:pPr>
      <w:tabs>
        <w:tab w:val="center" w:pos="4153"/>
        <w:tab w:val="right" w:pos="8306"/>
      </w:tabs>
      <w:snapToGrid w:val="0"/>
      <w:jc w:val="left"/>
    </w:pPr>
    <w:rPr>
      <w:sz w:val="18"/>
    </w:rPr>
  </w:style>
  <w:style w:type="paragraph" w:styleId="15">
    <w:name w:val="header"/>
    <w:basedOn w:val="1"/>
    <w:link w:val="36"/>
    <w:qFormat/>
    <w:uiPriority w:val="99"/>
    <w:pPr>
      <w:pBdr>
        <w:bottom w:val="single" w:color="auto" w:sz="6" w:space="1"/>
      </w:pBdr>
      <w:tabs>
        <w:tab w:val="center" w:pos="4153"/>
        <w:tab w:val="right" w:pos="8306"/>
      </w:tabs>
      <w:snapToGrid w:val="0"/>
      <w:jc w:val="center"/>
    </w:pPr>
    <w:rPr>
      <w:sz w:val="18"/>
    </w:rPr>
  </w:style>
  <w:style w:type="paragraph" w:styleId="16">
    <w:name w:val="toc 1"/>
    <w:basedOn w:val="1"/>
    <w:next w:val="1"/>
    <w:qFormat/>
    <w:uiPriority w:val="39"/>
    <w:pPr>
      <w:tabs>
        <w:tab w:val="right" w:leader="dot" w:pos="8296"/>
      </w:tabs>
      <w:spacing w:line="360" w:lineRule="auto"/>
    </w:pPr>
  </w:style>
  <w:style w:type="paragraph" w:styleId="17">
    <w:name w:val="footnote text"/>
    <w:basedOn w:val="1"/>
    <w:qFormat/>
    <w:uiPriority w:val="0"/>
    <w:pPr>
      <w:snapToGrid w:val="0"/>
      <w:jc w:val="left"/>
    </w:pPr>
    <w:rPr>
      <w:sz w:val="18"/>
    </w:rPr>
  </w:style>
  <w:style w:type="paragraph" w:styleId="18">
    <w:name w:val="Body Text Indent 3"/>
    <w:basedOn w:val="1"/>
    <w:qFormat/>
    <w:uiPriority w:val="0"/>
    <w:pPr>
      <w:autoSpaceDE w:val="0"/>
      <w:autoSpaceDN w:val="0"/>
      <w:adjustRightInd w:val="0"/>
      <w:spacing w:line="360" w:lineRule="auto"/>
      <w:ind w:left="420" w:firstLine="435"/>
    </w:pPr>
    <w:rPr>
      <w:color w:val="0000FF"/>
    </w:rPr>
  </w:style>
  <w:style w:type="paragraph" w:styleId="19">
    <w:name w:val="toc 2"/>
    <w:basedOn w:val="1"/>
    <w:next w:val="1"/>
    <w:unhideWhenUsed/>
    <w:qFormat/>
    <w:uiPriority w:val="39"/>
    <w:pPr>
      <w:widowControl/>
      <w:spacing w:after="100" w:line="259" w:lineRule="auto"/>
      <w:ind w:left="220"/>
      <w:jc w:val="left"/>
    </w:pPr>
    <w:rPr>
      <w:rFonts w:asciiTheme="minorHAnsi" w:hAnsiTheme="minorHAnsi" w:eastAsiaTheme="minorEastAsia"/>
      <w:kern w:val="0"/>
      <w:sz w:val="22"/>
      <w:szCs w:val="22"/>
    </w:rPr>
  </w:style>
  <w:style w:type="paragraph" w:styleId="20">
    <w:name w:val="HTML Preformatted"/>
    <w:basedOn w:val="1"/>
    <w:link w:val="65"/>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21">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paragraph" w:styleId="22">
    <w:name w:val="Title"/>
    <w:basedOn w:val="1"/>
    <w:next w:val="1"/>
    <w:link w:val="34"/>
    <w:qFormat/>
    <w:uiPriority w:val="0"/>
    <w:pPr>
      <w:spacing w:before="240" w:after="60"/>
      <w:jc w:val="center"/>
      <w:outlineLvl w:val="0"/>
    </w:pPr>
    <w:rPr>
      <w:rFonts w:ascii="Cambria" w:hAnsi="Cambria"/>
      <w:b/>
      <w:sz w:val="32"/>
    </w:rPr>
  </w:style>
  <w:style w:type="paragraph" w:styleId="23">
    <w:name w:val="annotation subject"/>
    <w:basedOn w:val="8"/>
    <w:next w:val="8"/>
    <w:qFormat/>
    <w:uiPriority w:val="0"/>
    <w:rPr>
      <w:b/>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22"/>
    <w:rPr>
      <w:b/>
      <w:bCs/>
    </w:rPr>
  </w:style>
  <w:style w:type="character" w:styleId="28">
    <w:name w:val="page number"/>
    <w:basedOn w:val="26"/>
    <w:qFormat/>
    <w:uiPriority w:val="0"/>
  </w:style>
  <w:style w:type="character" w:styleId="29">
    <w:name w:val="Hyperlink"/>
    <w:basedOn w:val="26"/>
    <w:qFormat/>
    <w:uiPriority w:val="99"/>
    <w:rPr>
      <w:color w:val="0000FF"/>
      <w:u w:val="single"/>
    </w:rPr>
  </w:style>
  <w:style w:type="character" w:styleId="30">
    <w:name w:val="annotation reference"/>
    <w:qFormat/>
    <w:uiPriority w:val="99"/>
    <w:rPr>
      <w:sz w:val="21"/>
    </w:rPr>
  </w:style>
  <w:style w:type="character" w:styleId="31">
    <w:name w:val="footnote reference"/>
    <w:qFormat/>
    <w:uiPriority w:val="0"/>
    <w:rPr>
      <w:vertAlign w:val="superscript"/>
    </w:rPr>
  </w:style>
  <w:style w:type="character" w:customStyle="1" w:styleId="32">
    <w:name w:val="unnamed11"/>
    <w:qFormat/>
    <w:uiPriority w:val="0"/>
    <w:rPr>
      <w:rFonts w:hint="eastAsia" w:ascii="宋体" w:hAnsi="宋体" w:eastAsia="宋体"/>
      <w:sz w:val="18"/>
    </w:rPr>
  </w:style>
  <w:style w:type="character" w:customStyle="1" w:styleId="33">
    <w:name w:val="read"/>
    <w:basedOn w:val="26"/>
    <w:qFormat/>
    <w:uiPriority w:val="0"/>
  </w:style>
  <w:style w:type="character" w:customStyle="1" w:styleId="34">
    <w:name w:val="标题 Char"/>
    <w:link w:val="22"/>
    <w:qFormat/>
    <w:uiPriority w:val="0"/>
    <w:rPr>
      <w:rFonts w:ascii="Cambria" w:hAnsi="Cambria"/>
      <w:b/>
      <w:kern w:val="2"/>
      <w:sz w:val="32"/>
    </w:rPr>
  </w:style>
  <w:style w:type="character" w:customStyle="1" w:styleId="35">
    <w:name w:val="正文文本 Char"/>
    <w:link w:val="9"/>
    <w:qFormat/>
    <w:uiPriority w:val="0"/>
    <w:rPr>
      <w:rFonts w:ascii="宋体"/>
      <w:kern w:val="0"/>
    </w:rPr>
  </w:style>
  <w:style w:type="character" w:customStyle="1" w:styleId="36">
    <w:name w:val="页眉 Char"/>
    <w:link w:val="15"/>
    <w:qFormat/>
    <w:uiPriority w:val="99"/>
    <w:rPr>
      <w:kern w:val="2"/>
      <w:sz w:val="18"/>
    </w:rPr>
  </w:style>
  <w:style w:type="paragraph" w:customStyle="1" w:styleId="37">
    <w:name w:val="Char"/>
    <w:basedOn w:val="1"/>
    <w:qFormat/>
    <w:uiPriority w:val="0"/>
  </w:style>
  <w:style w:type="paragraph" w:customStyle="1" w:styleId="38">
    <w:name w:val="Char Char Char Char"/>
    <w:basedOn w:val="1"/>
    <w:qFormat/>
    <w:uiPriority w:val="0"/>
    <w:pPr>
      <w:tabs>
        <w:tab w:val="left" w:pos="360"/>
      </w:tabs>
    </w:pPr>
  </w:style>
  <w:style w:type="paragraph" w:customStyle="1" w:styleId="39">
    <w:name w:val="Char Char1"/>
    <w:basedOn w:val="1"/>
    <w:qFormat/>
    <w:uiPriority w:val="0"/>
  </w:style>
  <w:style w:type="paragraph" w:customStyle="1" w:styleId="40">
    <w:name w:val="unnamed1"/>
    <w:basedOn w:val="1"/>
    <w:qFormat/>
    <w:uiPriority w:val="0"/>
    <w:pPr>
      <w:spacing w:before="60" w:after="60"/>
      <w:ind w:left="15" w:right="15"/>
    </w:pPr>
    <w:rPr>
      <w:rFonts w:hint="eastAsia" w:ascii="宋体" w:hAnsi="宋体"/>
      <w:color w:val="000000"/>
      <w:sz w:val="18"/>
      <w:szCs w:val="18"/>
    </w:rPr>
  </w:style>
  <w:style w:type="paragraph" w:customStyle="1" w:styleId="41">
    <w:name w:val="正文正文"/>
    <w:basedOn w:val="1"/>
    <w:qFormat/>
    <w:uiPriority w:val="0"/>
    <w:pPr>
      <w:spacing w:afterLines="25" w:line="360" w:lineRule="auto"/>
      <w:ind w:firstLine="200" w:firstLineChars="200"/>
    </w:pPr>
    <w:rPr>
      <w:sz w:val="24"/>
    </w:rPr>
  </w:style>
  <w:style w:type="paragraph" w:customStyle="1" w:styleId="42">
    <w:name w:val="Char2"/>
    <w:basedOn w:val="1"/>
    <w:qFormat/>
    <w:uiPriority w:val="0"/>
  </w:style>
  <w:style w:type="paragraph" w:customStyle="1" w:styleId="43">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44">
    <w:name w:val="Char Char"/>
    <w:basedOn w:val="1"/>
    <w:qFormat/>
    <w:uiPriority w:val="0"/>
  </w:style>
  <w:style w:type="paragraph" w:customStyle="1" w:styleId="45">
    <w:name w:val="Char Char Char"/>
    <w:basedOn w:val="1"/>
    <w:qFormat/>
    <w:uiPriority w:val="0"/>
  </w:style>
  <w:style w:type="paragraph" w:customStyle="1" w:styleId="46">
    <w:name w:val="msonormal1"/>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7">
    <w:name w:val="List_bullet"/>
    <w:basedOn w:val="1"/>
    <w:qFormat/>
    <w:uiPriority w:val="0"/>
    <w:pPr>
      <w:widowControl/>
      <w:numPr>
        <w:ilvl w:val="0"/>
        <w:numId w:val="1"/>
      </w:numPr>
      <w:jc w:val="left"/>
    </w:pPr>
    <w:rPr>
      <w:kern w:val="0"/>
      <w:sz w:val="24"/>
    </w:rPr>
  </w:style>
  <w:style w:type="paragraph" w:customStyle="1" w:styleId="48">
    <w:name w:val="InfoBlue"/>
    <w:basedOn w:val="1"/>
    <w:next w:val="9"/>
    <w:qFormat/>
    <w:uiPriority w:val="0"/>
    <w:pPr>
      <w:tabs>
        <w:tab w:val="left" w:pos="420"/>
      </w:tabs>
      <w:spacing w:after="120" w:line="240" w:lineRule="atLeast"/>
      <w:ind w:left="420" w:hanging="420"/>
      <w:jc w:val="left"/>
    </w:pPr>
    <w:rPr>
      <w:rFonts w:ascii="宋体" w:hAnsi="宋体"/>
    </w:rPr>
  </w:style>
  <w:style w:type="paragraph" w:customStyle="1" w:styleId="49">
    <w:name w:val="正文所"/>
    <w:basedOn w:val="1"/>
    <w:qFormat/>
    <w:uiPriority w:val="0"/>
    <w:pPr>
      <w:spacing w:line="360" w:lineRule="auto"/>
      <w:ind w:firstLine="420" w:firstLineChars="200"/>
    </w:pPr>
    <w:rPr>
      <w:rFonts w:ascii="宋体"/>
    </w:rPr>
  </w:style>
  <w:style w:type="paragraph" w:customStyle="1" w:styleId="50">
    <w:name w:val="修订1"/>
    <w:hidden/>
    <w:semiHidden/>
    <w:qFormat/>
    <w:uiPriority w:val="99"/>
    <w:rPr>
      <w:rFonts w:ascii="Times New Roman" w:hAnsi="Times New Roman" w:eastAsia="宋体" w:cs="Times New Roman"/>
      <w:kern w:val="2"/>
      <w:sz w:val="21"/>
      <w:lang w:val="en-US" w:eastAsia="zh-CN" w:bidi="ar-SA"/>
    </w:rPr>
  </w:style>
  <w:style w:type="paragraph" w:customStyle="1" w:styleId="51">
    <w:name w:val="Char Char6"/>
    <w:basedOn w:val="1"/>
    <w:qFormat/>
    <w:uiPriority w:val="0"/>
  </w:style>
  <w:style w:type="paragraph" w:customStyle="1" w:styleId="52">
    <w:name w:val="Char Char Char Char1"/>
    <w:basedOn w:val="1"/>
    <w:qFormat/>
    <w:uiPriority w:val="0"/>
    <w:pPr>
      <w:tabs>
        <w:tab w:val="left" w:pos="360"/>
      </w:tabs>
    </w:pPr>
  </w:style>
  <w:style w:type="paragraph" w:customStyle="1" w:styleId="53">
    <w:name w:val="Char Char11"/>
    <w:basedOn w:val="1"/>
    <w:qFormat/>
    <w:uiPriority w:val="0"/>
  </w:style>
  <w:style w:type="paragraph" w:customStyle="1" w:styleId="54">
    <w:name w:val="Char1"/>
    <w:basedOn w:val="1"/>
    <w:qFormat/>
    <w:uiPriority w:val="0"/>
  </w:style>
  <w:style w:type="paragraph" w:customStyle="1" w:styleId="55">
    <w:name w:val="Char Char5"/>
    <w:basedOn w:val="1"/>
    <w:qFormat/>
    <w:uiPriority w:val="0"/>
  </w:style>
  <w:style w:type="paragraph" w:customStyle="1" w:styleId="56">
    <w:name w:val="Char Char Char1"/>
    <w:basedOn w:val="1"/>
    <w:qFormat/>
    <w:uiPriority w:val="0"/>
  </w:style>
  <w:style w:type="character" w:customStyle="1" w:styleId="57">
    <w:name w:val="标题 4 Char"/>
    <w:basedOn w:val="26"/>
    <w:link w:val="5"/>
    <w:semiHidden/>
    <w:qFormat/>
    <w:uiPriority w:val="9"/>
    <w:rPr>
      <w:rFonts w:asciiTheme="majorHAnsi" w:hAnsiTheme="majorHAnsi" w:eastAsiaTheme="majorEastAsia" w:cstheme="majorBidi"/>
      <w:b/>
      <w:bCs/>
      <w:kern w:val="2"/>
      <w:sz w:val="28"/>
      <w:szCs w:val="28"/>
    </w:rPr>
  </w:style>
  <w:style w:type="paragraph" w:styleId="58">
    <w:name w:val="List Paragraph"/>
    <w:basedOn w:val="1"/>
    <w:qFormat/>
    <w:uiPriority w:val="0"/>
    <w:pPr>
      <w:ind w:firstLine="420" w:firstLineChars="200"/>
    </w:pPr>
  </w:style>
  <w:style w:type="character" w:customStyle="1" w:styleId="59">
    <w:name w:val="批注文字 Char1"/>
    <w:basedOn w:val="26"/>
    <w:link w:val="8"/>
    <w:qFormat/>
    <w:uiPriority w:val="0"/>
    <w:rPr>
      <w:kern w:val="2"/>
      <w:sz w:val="21"/>
    </w:rPr>
  </w:style>
  <w:style w:type="paragraph" w:customStyle="1" w:styleId="60">
    <w:name w:val="Char Char4"/>
    <w:basedOn w:val="1"/>
    <w:qFormat/>
    <w:uiPriority w:val="0"/>
  </w:style>
  <w:style w:type="character" w:customStyle="1" w:styleId="61">
    <w:name w:val="批注文字 Char"/>
    <w:qFormat/>
    <w:uiPriority w:val="99"/>
    <w:rPr>
      <w:kern w:val="2"/>
      <w:sz w:val="21"/>
    </w:rPr>
  </w:style>
  <w:style w:type="paragraph" w:customStyle="1" w:styleId="62">
    <w:name w:val="Char Char3"/>
    <w:basedOn w:val="1"/>
    <w:qFormat/>
    <w:uiPriority w:val="0"/>
  </w:style>
  <w:style w:type="paragraph" w:customStyle="1" w:styleId="63">
    <w:name w:val="Char Char2"/>
    <w:basedOn w:val="1"/>
    <w:qFormat/>
    <w:uiPriority w:val="0"/>
  </w:style>
  <w:style w:type="character" w:customStyle="1" w:styleId="64">
    <w:name w:val="标题 3 Char"/>
    <w:basedOn w:val="26"/>
    <w:link w:val="4"/>
    <w:qFormat/>
    <w:uiPriority w:val="0"/>
    <w:rPr>
      <w:b/>
      <w:kern w:val="2"/>
      <w:sz w:val="32"/>
    </w:rPr>
  </w:style>
  <w:style w:type="character" w:customStyle="1" w:styleId="65">
    <w:name w:val="HTML 预设格式 Char"/>
    <w:basedOn w:val="26"/>
    <w:link w:val="20"/>
    <w:qFormat/>
    <w:uiPriority w:val="99"/>
    <w:rPr>
      <w:rFonts w:ascii="宋体" w:hAnsi="宋体" w:cs="宋体"/>
      <w:sz w:val="24"/>
      <w:szCs w:val="24"/>
    </w:rPr>
  </w:style>
  <w:style w:type="character" w:customStyle="1" w:styleId="66">
    <w:name w:val="页脚 Char"/>
    <w:basedOn w:val="26"/>
    <w:link w:val="14"/>
    <w:qFormat/>
    <w:uiPriority w:val="99"/>
    <w:rPr>
      <w:kern w:val="2"/>
      <w:sz w:val="18"/>
    </w:rPr>
  </w:style>
  <w:style w:type="paragraph" w:customStyle="1" w:styleId="67">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5" w:themeColor="accent1" w:themeShade="BF"/>
      <w:sz w:val="32"/>
      <w:szCs w:val="32"/>
    </w:rPr>
  </w:style>
  <w:style w:type="paragraph" w:customStyle="1" w:styleId="68">
    <w:name w:val="修订2"/>
    <w:hidden/>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CE55D1-CCA0-47F3-8DC9-CBEC8B539F2C}">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Pages>
  <Words>1510</Words>
  <Characters>8607</Characters>
  <Lines>71</Lines>
  <Paragraphs>20</Paragraphs>
  <TotalTime>0</TotalTime>
  <ScaleCrop>false</ScaleCrop>
  <LinksUpToDate>false</LinksUpToDate>
  <CharactersWithSpaces>10097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2023-08-08T11:01:00Z</dcterms:created>
  <dc:creator>Mandy.Z</dc:creator>
  <cp:lastModifiedBy>cib</cp:lastModifiedBy>
  <cp:lastPrinted>2017-10-31T06:33:00Z</cp:lastPrinted>
  <dcterms:modified xsi:type="dcterms:W3CDTF">2026-01-29T10:47:02Z</dcterms:modified>
  <dc:title>___证券投资基金招募说明书1</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C166FDD168F74BAFB715BD6389AD620E</vt:lpwstr>
  </property>
</Properties>
</file>