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widowControl/>
        <w:spacing w:line="360" w:lineRule="auto"/>
        <w:jc w:val="center"/>
        <w:rPr>
          <w:rFonts w:ascii="黑体" w:hAnsi="黑体" w:eastAsia="黑体"/>
          <w:b/>
          <w:sz w:val="44"/>
          <w:szCs w:val="44"/>
        </w:rPr>
      </w:pPr>
      <w:r>
        <w:rPr>
          <w:rFonts w:hint="eastAsia" w:ascii="黑体" w:hAnsi="黑体" w:eastAsia="黑体"/>
          <w:b/>
          <w:sz w:val="44"/>
          <w:szCs w:val="44"/>
        </w:rPr>
        <w:t>兴银理财</w:t>
      </w:r>
      <w:permStart w:id="0" w:edGrp="everyone"/>
      <w:r>
        <w:rPr>
          <w:rFonts w:hint="eastAsia" w:ascii="黑体" w:hAnsi="黑体" w:eastAsia="黑体"/>
          <w:b/>
          <w:sz w:val="44"/>
          <w:szCs w:val="44"/>
        </w:rPr>
        <w:t>【稳添利最短持有期日开固收类】</w:t>
      </w:r>
      <w:permEnd w:id="0"/>
      <w:r>
        <w:rPr>
          <w:rFonts w:hint="eastAsia" w:ascii="黑体" w:hAnsi="黑体" w:eastAsia="黑体"/>
          <w:b/>
          <w:sz w:val="44"/>
          <w:szCs w:val="44"/>
        </w:rPr>
        <w:t>理财产品</w:t>
      </w:r>
    </w:p>
    <w:p>
      <w:pPr>
        <w:widowControl/>
        <w:spacing w:line="360" w:lineRule="auto"/>
        <w:jc w:val="center"/>
        <w:rPr>
          <w:b/>
          <w:szCs w:val="21"/>
        </w:rPr>
      </w:pPr>
      <w:r>
        <w:rPr>
          <w:rFonts w:hint="eastAsia" w:ascii="黑体" w:hAnsi="黑体" w:eastAsia="黑体"/>
          <w:b/>
          <w:sz w:val="44"/>
          <w:szCs w:val="44"/>
        </w:rPr>
        <w:t>销售文件</w:t>
      </w:r>
    </w:p>
    <w:tbl>
      <w:tblPr>
        <w:tblStyle w:val="25"/>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58"/>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pPr>
              <w:pStyle w:val="58"/>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pPr>
              <w:pStyle w:val="58"/>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58"/>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permStart w:id="1" w:edGrp="everyone"/>
            <w:r>
              <w:rPr>
                <w:rFonts w:hint="eastAsia" w:ascii="宋体" w:hAnsi="宋体"/>
                <w:kern w:val="0"/>
                <w:sz w:val="20"/>
                <w:szCs w:val="21"/>
              </w:rPr>
              <w:t>【稳添利最短持有期日开固收类】</w:t>
            </w:r>
            <w:permEnd w:id="1"/>
            <w:r>
              <w:rPr>
                <w:rFonts w:hint="eastAsia" w:ascii="宋体" w:hAnsi="宋体"/>
                <w:kern w:val="0"/>
                <w:sz w:val="20"/>
                <w:szCs w:val="21"/>
              </w:rPr>
              <w:t>理财产品投资协议书</w:t>
            </w:r>
            <w:r>
              <w:rPr>
                <w:rFonts w:ascii="宋体" w:hAnsi="宋体"/>
                <w:kern w:val="0"/>
                <w:sz w:val="20"/>
                <w:szCs w:val="21"/>
              </w:rPr>
              <w:t xml:space="preserve"> </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pPr>
              <w:pStyle w:val="58"/>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permStart w:id="2" w:edGrp="everyone"/>
            <w:r>
              <w:rPr>
                <w:rFonts w:hint="eastAsia" w:ascii="宋体" w:hAnsi="宋体"/>
                <w:kern w:val="0"/>
                <w:sz w:val="20"/>
                <w:szCs w:val="21"/>
              </w:rPr>
              <w:t>【稳添利最短持有期日开固收类】</w:t>
            </w:r>
            <w:permEnd w:id="2"/>
            <w:r>
              <w:rPr>
                <w:rFonts w:hint="eastAsia" w:ascii="宋体" w:hAnsi="宋体"/>
                <w:kern w:val="0"/>
                <w:sz w:val="20"/>
                <w:szCs w:val="21"/>
              </w:rPr>
              <w:t>理财产品产品说明书</w:t>
            </w:r>
          </w:p>
        </w:tc>
        <w:tc>
          <w:tcPr>
            <w:tcW w:w="2107" w:type="dxa"/>
          </w:tcPr>
          <w:p>
            <w:pPr>
              <w:pStyle w:val="58"/>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58"/>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3</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w:t>
            </w:r>
            <w:permStart w:id="3" w:edGrp="everyone"/>
            <w:r>
              <w:rPr>
                <w:rFonts w:hint="eastAsia" w:ascii="宋体" w:hAnsi="宋体"/>
                <w:kern w:val="0"/>
                <w:sz w:val="20"/>
                <w:szCs w:val="21"/>
              </w:rPr>
              <w:t>【稳添利最短持有期日开固收类】</w:t>
            </w:r>
            <w:permEnd w:id="3"/>
            <w:r>
              <w:rPr>
                <w:rFonts w:hint="eastAsia" w:ascii="宋体" w:hAnsi="宋体"/>
                <w:kern w:val="0"/>
                <w:sz w:val="20"/>
                <w:szCs w:val="21"/>
              </w:rPr>
              <w:t>理财产品（代理）销售协议书</w:t>
            </w:r>
          </w:p>
        </w:tc>
        <w:tc>
          <w:tcPr>
            <w:tcW w:w="2107" w:type="dxa"/>
          </w:tcPr>
          <w:p>
            <w:pPr>
              <w:pStyle w:val="58"/>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58"/>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permStart w:id="4" w:edGrp="everyone"/>
            <w:r>
              <w:rPr>
                <w:rFonts w:hint="eastAsia" w:ascii="宋体" w:hAnsi="宋体"/>
                <w:kern w:val="0"/>
                <w:sz w:val="20"/>
                <w:szCs w:val="21"/>
              </w:rPr>
              <w:t>【稳添利最短持有期日开固收类】</w:t>
            </w:r>
            <w:permEnd w:id="4"/>
            <w:r>
              <w:rPr>
                <w:rFonts w:hint="eastAsia" w:ascii="宋体" w:hAnsi="宋体"/>
                <w:kern w:val="0"/>
                <w:sz w:val="20"/>
                <w:szCs w:val="21"/>
              </w:rPr>
              <w:t>理财产品风险揭示书</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风险揭示书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pPr>
              <w:pStyle w:val="58"/>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w:t>
            </w:r>
            <w:permStart w:id="5" w:edGrp="everyone"/>
            <w:r>
              <w:rPr>
                <w:rFonts w:hint="eastAsia" w:ascii="宋体" w:hAnsi="宋体"/>
                <w:kern w:val="0"/>
                <w:sz w:val="20"/>
                <w:szCs w:val="21"/>
              </w:rPr>
              <w:t>【稳添利最短持有期日开固收类】</w:t>
            </w:r>
            <w:permEnd w:id="5"/>
            <w:r>
              <w:rPr>
                <w:rFonts w:hint="eastAsia" w:ascii="宋体" w:hAnsi="宋体"/>
                <w:kern w:val="0"/>
                <w:sz w:val="20"/>
                <w:szCs w:val="21"/>
              </w:rPr>
              <w:t>理财产品投资者权益须知</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pPr>
        <w:widowControl/>
        <w:spacing w:line="360" w:lineRule="auto"/>
        <w:jc w:val="left"/>
        <w:rPr>
          <w:rFonts w:ascii="黑体" w:hAnsi="黑体" w:eastAsia="黑体"/>
          <w:b/>
          <w:szCs w:val="21"/>
        </w:rPr>
      </w:pPr>
      <w:r>
        <w:rPr>
          <w:rFonts w:hint="eastAsia" w:ascii="黑体" w:hAnsi="黑体" w:eastAsia="黑体"/>
          <w:b/>
          <w:szCs w:val="21"/>
        </w:rPr>
        <w:t>郑重提示：</w:t>
      </w:r>
    </w:p>
    <w:p>
      <w:pPr>
        <w:pStyle w:val="58"/>
        <w:widowControl/>
        <w:snapToGrid w:val="0"/>
        <w:spacing w:line="360" w:lineRule="auto"/>
        <w:rPr>
          <w:rFonts w:ascii="黑体" w:hAnsi="黑体" w:eastAsia="黑体"/>
          <w:kern w:val="0"/>
          <w:szCs w:val="21"/>
        </w:rPr>
      </w:pPr>
      <w:r>
        <w:rPr>
          <w:rFonts w:hint="eastAsia" w:ascii="黑体" w:hAnsi="黑体" w:eastAsia="黑体"/>
          <w:kern w:val="0"/>
          <w:szCs w:val="21"/>
        </w:rPr>
        <w:t>1.销售文件的组成和编制的提示</w:t>
      </w:r>
    </w:p>
    <w:p>
      <w:pPr>
        <w:pStyle w:val="58"/>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pPr>
        <w:pStyle w:val="58"/>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w:t>
      </w:r>
      <w:r>
        <w:rPr>
          <w:rFonts w:hint="eastAsia" w:ascii="黑体" w:hAnsi="黑体" w:eastAsia="黑体"/>
          <w:kern w:val="0"/>
          <w:szCs w:val="21"/>
        </w:rPr>
        <w:t>2</w:t>
      </w:r>
      <w:r>
        <w:rPr>
          <w:rFonts w:ascii="黑体" w:hAnsi="黑体" w:eastAsia="黑体"/>
          <w:kern w:val="0"/>
          <w:szCs w:val="21"/>
        </w:rPr>
        <w:t>021年第</w:t>
      </w:r>
      <w:r>
        <w:rPr>
          <w:rFonts w:hint="eastAsia" w:ascii="黑体" w:hAnsi="黑体" w:eastAsia="黑体"/>
          <w:kern w:val="0"/>
          <w:szCs w:val="21"/>
        </w:rPr>
        <w:t>4号）第2</w:t>
      </w:r>
      <w:r>
        <w:rPr>
          <w:rFonts w:ascii="黑体" w:hAnsi="黑体" w:eastAsia="黑体"/>
          <w:kern w:val="0"/>
          <w:szCs w:val="21"/>
        </w:rPr>
        <w:t>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pPr>
        <w:pStyle w:val="58"/>
        <w:widowControl/>
        <w:snapToGrid w:val="0"/>
        <w:spacing w:line="360" w:lineRule="auto"/>
        <w:rPr>
          <w:rFonts w:ascii="黑体" w:hAnsi="黑体" w:eastAsia="黑体"/>
          <w:kern w:val="0"/>
          <w:szCs w:val="21"/>
        </w:rPr>
      </w:pPr>
      <w:r>
        <w:rPr>
          <w:rFonts w:hint="eastAsia" w:ascii="黑体" w:hAnsi="黑体" w:eastAsia="黑体"/>
          <w:kern w:val="0"/>
          <w:szCs w:val="21"/>
        </w:rPr>
        <w:t>2.投资者适当性的提示</w:t>
      </w:r>
    </w:p>
    <w:p>
      <w:pPr>
        <w:pStyle w:val="58"/>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58"/>
        <w:widowControl/>
        <w:snapToGrid w:val="0"/>
        <w:spacing w:line="360" w:lineRule="auto"/>
        <w:rPr>
          <w:rFonts w:ascii="黑体" w:hAnsi="黑体" w:eastAsia="黑体"/>
          <w:kern w:val="0"/>
          <w:szCs w:val="21"/>
        </w:rPr>
      </w:pPr>
      <w:r>
        <w:rPr>
          <w:rFonts w:ascii="黑体" w:hAnsi="黑体" w:eastAsia="黑体"/>
          <w:kern w:val="0"/>
          <w:szCs w:val="21"/>
        </w:rPr>
        <w:t>3</w:t>
      </w:r>
      <w:r>
        <w:rPr>
          <w:rFonts w:hint="eastAsia" w:ascii="黑体" w:hAnsi="黑体" w:eastAsia="黑体"/>
          <w:kern w:val="0"/>
          <w:szCs w:val="21"/>
        </w:rPr>
        <w:t>.</w:t>
      </w:r>
      <w:r>
        <w:rPr>
          <w:rFonts w:ascii="黑体" w:hAnsi="黑体" w:eastAsia="黑体"/>
          <w:kern w:val="0"/>
          <w:szCs w:val="21"/>
        </w:rPr>
        <w:t>签署合同</w:t>
      </w:r>
      <w:r>
        <w:rPr>
          <w:rFonts w:hint="eastAsia" w:ascii="黑体" w:hAnsi="黑体" w:eastAsia="黑体"/>
          <w:kern w:val="0"/>
          <w:szCs w:val="21"/>
        </w:rPr>
        <w:t>前</w:t>
      </w:r>
      <w:r>
        <w:rPr>
          <w:rFonts w:ascii="黑体" w:hAnsi="黑体" w:eastAsia="黑体"/>
          <w:kern w:val="0"/>
          <w:szCs w:val="21"/>
        </w:rPr>
        <w:t>阅读全部条款的提示</w:t>
      </w:r>
    </w:p>
    <w:p>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pPr>
        <w:tabs>
          <w:tab w:val="left" w:pos="6660"/>
        </w:tabs>
        <w:spacing w:line="360" w:lineRule="auto"/>
        <w:jc w:val="center"/>
        <w:rPr>
          <w:rFonts w:ascii="黑体" w:hAnsi="黑体" w:eastAsia="黑体"/>
          <w:kern w:val="0"/>
          <w:szCs w:val="21"/>
        </w:rPr>
      </w:pPr>
    </w:p>
    <w:p>
      <w:pPr>
        <w:tabs>
          <w:tab w:val="left" w:pos="6660"/>
        </w:tabs>
        <w:spacing w:line="360" w:lineRule="auto"/>
        <w:jc w:val="center"/>
        <w:rPr>
          <w:bCs/>
          <w:sz w:val="44"/>
        </w:rPr>
      </w:pPr>
    </w:p>
    <w:p>
      <w:pPr>
        <w:widowControl/>
        <w:spacing w:line="360" w:lineRule="auto"/>
        <w:jc w:val="center"/>
        <w:rPr>
          <w:rStyle w:val="27"/>
          <w:rFonts w:ascii="宋体" w:hAnsi="宋体"/>
          <w:sz w:val="30"/>
          <w:szCs w:val="30"/>
        </w:rPr>
      </w:pPr>
      <w:r>
        <w:rPr>
          <w:rFonts w:hint="eastAsia" w:ascii="宋体" w:hAnsi="宋体"/>
          <w:b/>
          <w:sz w:val="30"/>
          <w:szCs w:val="30"/>
        </w:rPr>
        <w:t>理财非存款、产品有风险、投资须谨慎！</w:t>
      </w:r>
    </w:p>
    <w:p>
      <w:pPr>
        <w:tabs>
          <w:tab w:val="left" w:pos="6660"/>
        </w:tabs>
        <w:spacing w:line="360" w:lineRule="auto"/>
        <w:jc w:val="center"/>
        <w:rPr>
          <w:bCs/>
          <w:sz w:val="44"/>
        </w:rPr>
      </w:pPr>
    </w:p>
    <w:p>
      <w:pPr>
        <w:spacing w:line="360" w:lineRule="auto"/>
        <w:jc w:val="center"/>
        <w:rPr>
          <w:b/>
          <w:sz w:val="52"/>
        </w:rPr>
      </w:pPr>
    </w:p>
    <w:p>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spacing w:line="360" w:lineRule="auto"/>
        <w:jc w:val="center"/>
        <w:rPr>
          <w:b/>
          <w:sz w:val="52"/>
        </w:rPr>
      </w:pPr>
    </w:p>
    <w:p>
      <w:pPr>
        <w:adjustRightInd w:val="0"/>
        <w:spacing w:line="360" w:lineRule="auto"/>
        <w:jc w:val="center"/>
        <w:rPr>
          <w:rStyle w:val="27"/>
          <w:rFonts w:ascii="黑体" w:hAnsi="黑体" w:eastAsia="黑体" w:cs="宋体"/>
          <w:sz w:val="44"/>
          <w:szCs w:val="44"/>
        </w:rPr>
      </w:pPr>
      <w:r>
        <w:rPr>
          <w:rStyle w:val="27"/>
          <w:rFonts w:hint="eastAsia" w:ascii="黑体" w:hAnsi="黑体" w:eastAsia="黑体" w:cs="宋体"/>
          <w:sz w:val="44"/>
          <w:szCs w:val="44"/>
        </w:rPr>
        <w:t>兴银理财</w:t>
      </w:r>
      <w:permStart w:id="6" w:edGrp="everyone"/>
      <w:r>
        <w:rPr>
          <w:rStyle w:val="27"/>
          <w:rFonts w:hint="eastAsia" w:ascii="黑体" w:hAnsi="黑体" w:eastAsia="黑体" w:cs="宋体"/>
          <w:sz w:val="44"/>
          <w:szCs w:val="44"/>
        </w:rPr>
        <w:t>【稳添利最短持有期日开固收类】</w:t>
      </w:r>
      <w:permEnd w:id="6"/>
      <w:r>
        <w:rPr>
          <w:rStyle w:val="27"/>
          <w:rFonts w:hint="eastAsia" w:ascii="黑体" w:hAnsi="黑体" w:eastAsia="黑体" w:cs="宋体"/>
          <w:sz w:val="44"/>
          <w:szCs w:val="44"/>
        </w:rPr>
        <w:t>理财产品</w:t>
      </w:r>
    </w:p>
    <w:p>
      <w:pPr>
        <w:adjustRightInd w:val="0"/>
        <w:spacing w:line="360" w:lineRule="auto"/>
        <w:jc w:val="center"/>
        <w:rPr>
          <w:rStyle w:val="27"/>
          <w:rFonts w:ascii="黑体" w:hAnsi="黑体" w:eastAsia="黑体" w:cs="宋体"/>
          <w:sz w:val="44"/>
          <w:szCs w:val="44"/>
        </w:rPr>
      </w:pPr>
      <w:r>
        <w:rPr>
          <w:rStyle w:val="27"/>
          <w:rFonts w:hint="eastAsia" w:ascii="黑体" w:hAnsi="黑体" w:eastAsia="黑体" w:cs="宋体"/>
          <w:sz w:val="44"/>
          <w:szCs w:val="44"/>
        </w:rPr>
        <w:t>投资协议书</w:t>
      </w:r>
    </w:p>
    <w:p>
      <w:pPr>
        <w:spacing w:line="360" w:lineRule="auto"/>
        <w:jc w:val="center"/>
        <w:rPr>
          <w:b/>
          <w:sz w:val="28"/>
          <w:szCs w:val="28"/>
        </w:rPr>
      </w:pPr>
    </w:p>
    <w:p>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ermStart w:id="7" w:edGrp="everyone"/>
      <w:r>
        <w:rPr>
          <w:rFonts w:hint="eastAsia" w:ascii="黑体" w:hAnsi="黑体" w:eastAsia="黑体"/>
          <w:b/>
          <w:sz w:val="28"/>
          <w:szCs w:val="28"/>
        </w:rPr>
        <w:t>【】</w:t>
      </w:r>
      <w:permEnd w:id="7"/>
    </w:p>
    <w:p>
      <w:pPr>
        <w:spacing w:line="360" w:lineRule="auto"/>
        <w:jc w:val="center"/>
        <w:rPr>
          <w:b/>
          <w:sz w:val="28"/>
          <w:szCs w:val="28"/>
        </w:rPr>
      </w:pPr>
    </w:p>
    <w:p>
      <w:pPr>
        <w:spacing w:line="360" w:lineRule="auto"/>
        <w:jc w:val="center"/>
        <w:rPr>
          <w:b/>
          <w:sz w:val="28"/>
          <w:szCs w:val="28"/>
        </w:rPr>
      </w:pPr>
    </w:p>
    <w:p>
      <w:pPr>
        <w:adjustRightInd w:val="0"/>
        <w:spacing w:line="360" w:lineRule="auto"/>
        <w:jc w:val="center"/>
        <w:rPr>
          <w:rStyle w:val="27"/>
          <w:rFonts w:ascii="宋体" w:hAnsi="宋体"/>
          <w:sz w:val="28"/>
          <w:szCs w:val="28"/>
        </w:rPr>
      </w:pPr>
      <w:bookmarkStart w:id="0" w:name="_Toc123701383"/>
      <w:bookmarkStart w:id="1" w:name="_Toc139992301"/>
      <w:bookmarkStart w:id="2" w:name="_Toc123112224"/>
      <w:bookmarkStart w:id="3" w:name="_Toc123112263"/>
      <w:bookmarkStart w:id="4" w:name="_Toc139991726"/>
      <w:r>
        <w:rPr>
          <w:rStyle w:val="27"/>
          <w:rFonts w:hint="eastAsia" w:ascii="宋体" w:hAnsi="宋体"/>
          <w:sz w:val="28"/>
          <w:szCs w:val="28"/>
        </w:rPr>
        <w:t>理财产品管理人：</w:t>
      </w:r>
      <w:bookmarkEnd w:id="0"/>
      <w:bookmarkEnd w:id="1"/>
      <w:bookmarkEnd w:id="2"/>
      <w:bookmarkEnd w:id="3"/>
      <w:bookmarkEnd w:id="4"/>
      <w:r>
        <w:rPr>
          <w:rStyle w:val="27"/>
          <w:rFonts w:hint="eastAsia" w:ascii="宋体" w:hAnsi="宋体"/>
          <w:sz w:val="28"/>
          <w:szCs w:val="28"/>
        </w:rPr>
        <w:t>兴银理财有限责任公司</w:t>
      </w:r>
    </w:p>
    <w:p>
      <w:pPr>
        <w:adjustRightInd w:val="0"/>
        <w:spacing w:line="360" w:lineRule="auto"/>
        <w:jc w:val="center"/>
        <w:rPr>
          <w:rStyle w:val="27"/>
          <w:rFonts w:ascii="黑体" w:hAnsi="黑体" w:eastAsia="黑体" w:cs="宋体"/>
          <w:sz w:val="28"/>
          <w:szCs w:val="28"/>
        </w:rPr>
      </w:pPr>
      <w:bookmarkStart w:id="5" w:name="_Toc123701384"/>
      <w:bookmarkStart w:id="6" w:name="_Toc139991727"/>
      <w:bookmarkStart w:id="7" w:name="_Toc123112264"/>
      <w:bookmarkStart w:id="8" w:name="_Toc123112225"/>
      <w:bookmarkStart w:id="9" w:name="_Toc139992302"/>
    </w:p>
    <w:bookmarkEnd w:id="5"/>
    <w:bookmarkEnd w:id="6"/>
    <w:bookmarkEnd w:id="7"/>
    <w:bookmarkEnd w:id="8"/>
    <w:bookmarkEnd w:id="9"/>
    <w:p>
      <w:pPr>
        <w:adjustRightInd w:val="0"/>
        <w:spacing w:line="360" w:lineRule="auto"/>
        <w:jc w:val="center"/>
        <w:rPr>
          <w:rStyle w:val="27"/>
          <w:rFonts w:ascii="黑体" w:hAnsi="黑体" w:eastAsia="黑体" w:cs="宋体"/>
          <w:sz w:val="28"/>
          <w:szCs w:val="28"/>
        </w:rPr>
      </w:pPr>
    </w:p>
    <w:p>
      <w:pPr>
        <w:adjustRightInd w:val="0"/>
        <w:spacing w:line="360" w:lineRule="auto"/>
        <w:jc w:val="center"/>
        <w:rPr>
          <w:rStyle w:val="27"/>
          <w:rFonts w:ascii="宋体" w:hAnsi="宋体"/>
          <w:sz w:val="28"/>
          <w:szCs w:val="28"/>
        </w:rPr>
      </w:pPr>
      <w:r>
        <w:rPr>
          <w:rStyle w:val="27"/>
          <w:rFonts w:hint="eastAsia" w:ascii="宋体" w:hAnsi="宋体"/>
          <w:sz w:val="28"/>
          <w:szCs w:val="28"/>
        </w:rPr>
        <w:t>日期</w:t>
      </w:r>
      <w:r>
        <w:rPr>
          <w:rStyle w:val="27"/>
          <w:rFonts w:ascii="宋体" w:hAnsi="宋体"/>
          <w:sz w:val="28"/>
          <w:szCs w:val="28"/>
        </w:rPr>
        <w:t>：</w:t>
      </w:r>
      <w:permStart w:id="8" w:edGrp="everyone"/>
      <w:r>
        <w:rPr>
          <w:rStyle w:val="27"/>
          <w:rFonts w:hint="eastAsia" w:ascii="宋体" w:hAnsi="宋体"/>
          <w:sz w:val="28"/>
          <w:szCs w:val="28"/>
        </w:rPr>
        <w:t>【2025】年【</w:t>
      </w:r>
      <w:r>
        <w:rPr>
          <w:rStyle w:val="27"/>
          <w:rFonts w:hint="eastAsia" w:ascii="宋体" w:hAnsi="宋体"/>
          <w:sz w:val="28"/>
          <w:szCs w:val="28"/>
          <w:lang w:val="en-US" w:eastAsia="zh-CN"/>
        </w:rPr>
        <w:t>2</w:t>
      </w:r>
      <w:r>
        <w:rPr>
          <w:rStyle w:val="27"/>
          <w:rFonts w:hint="eastAsia" w:ascii="宋体" w:hAnsi="宋体"/>
          <w:sz w:val="28"/>
          <w:szCs w:val="28"/>
        </w:rPr>
        <w:t>】月</w:t>
      </w:r>
      <w:permEnd w:id="8"/>
    </w:p>
    <w:p>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pPr>
        <w:tabs>
          <w:tab w:val="left" w:pos="8070"/>
          <w:tab w:val="right" w:pos="8306"/>
        </w:tabs>
        <w:autoSpaceDE w:val="0"/>
        <w:autoSpaceDN w:val="0"/>
        <w:adjustRightInd w:val="0"/>
        <w:snapToGrid w:val="0"/>
        <w:spacing w:before="156" w:beforeLines="50" w:line="360" w:lineRule="auto"/>
        <w:rPr>
          <w:bCs/>
          <w:sz w:val="32"/>
        </w:rPr>
      </w:pPr>
    </w:p>
    <w:tbl>
      <w:tblPr>
        <w:tblStyle w:val="25"/>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xml:space="preserve"> </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关于理财产品与存款产品的提示</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pPr>
              <w:pStyle w:val="21"/>
              <w:snapToGrid w:val="0"/>
              <w:spacing w:before="0" w:beforeAutospacing="0" w:after="0" w:afterAutospacing="0" w:line="360" w:lineRule="auto"/>
              <w:jc w:val="both"/>
              <w:rPr>
                <w:rFonts w:ascii="黑体" w:hAnsi="黑体" w:eastAsia="黑体"/>
                <w:bCs/>
                <w:sz w:val="18"/>
                <w:szCs w:val="18"/>
              </w:rPr>
            </w:pP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理财产品过往业绩不代表其未来表现，不等于理财产品实际收益，投资须谨慎。</w:t>
            </w:r>
          </w:p>
          <w:p>
            <w:pPr>
              <w:pStyle w:val="21"/>
              <w:snapToGrid w:val="0"/>
              <w:spacing w:before="0" w:beforeAutospacing="0" w:after="0" w:afterAutospacing="0" w:line="360" w:lineRule="auto"/>
              <w:jc w:val="both"/>
              <w:rPr>
                <w:rFonts w:ascii="黑体" w:hAnsi="黑体" w:eastAsia="黑体"/>
                <w:bCs/>
                <w:sz w:val="18"/>
                <w:szCs w:val="18"/>
              </w:rPr>
            </w:pPr>
          </w:p>
          <w:p>
            <w:pPr>
              <w:pStyle w:val="21"/>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pPr>
              <w:pStyle w:val="21"/>
              <w:snapToGrid w:val="0"/>
              <w:spacing w:before="0" w:beforeAutospacing="0" w:after="0" w:afterAutospacing="0" w:line="360" w:lineRule="auto"/>
              <w:jc w:val="both"/>
              <w:rPr>
                <w:rFonts w:ascii="黑体" w:hAnsi="黑体" w:eastAsia="黑体"/>
                <w:bCs/>
                <w:sz w:val="18"/>
                <w:szCs w:val="18"/>
              </w:rPr>
            </w:pP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关于理财产品不保证本金和收益的提示</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pPr>
              <w:pStyle w:val="21"/>
              <w:snapToGrid w:val="0"/>
              <w:spacing w:before="0" w:beforeAutospacing="0" w:after="0" w:afterAutospacing="0" w:line="360" w:lineRule="auto"/>
              <w:jc w:val="both"/>
              <w:rPr>
                <w:rFonts w:ascii="黑体" w:hAnsi="黑体" w:eastAsia="黑体"/>
                <w:bCs/>
                <w:sz w:val="18"/>
                <w:szCs w:val="18"/>
              </w:rPr>
            </w:pP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关于销售文件的组成和编制的提示</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1.销售文件的组成</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2.销售文件的编制</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w:t>
            </w:r>
            <w:r>
              <w:rPr>
                <w:rFonts w:hint="eastAsia" w:ascii="黑体" w:hAnsi="黑体" w:eastAsia="黑体"/>
                <w:bCs/>
                <w:sz w:val="18"/>
                <w:szCs w:val="18"/>
              </w:rPr>
              <w:t>2</w:t>
            </w:r>
            <w:r>
              <w:rPr>
                <w:rFonts w:ascii="黑体" w:hAnsi="黑体" w:eastAsia="黑体"/>
                <w:bCs/>
                <w:sz w:val="18"/>
                <w:szCs w:val="18"/>
              </w:rPr>
              <w:t>021年第</w:t>
            </w:r>
            <w:r>
              <w:rPr>
                <w:rFonts w:hint="eastAsia" w:ascii="黑体" w:hAnsi="黑体" w:eastAsia="黑体"/>
                <w:bCs/>
                <w:sz w:val="18"/>
                <w:szCs w:val="18"/>
              </w:rPr>
              <w:t>4号）第2</w:t>
            </w:r>
            <w:r>
              <w:rPr>
                <w:rFonts w:ascii="黑体" w:hAnsi="黑体" w:eastAsia="黑体"/>
                <w:bCs/>
                <w:sz w:val="18"/>
                <w:szCs w:val="18"/>
              </w:rPr>
              <w:t>9条规定</w:t>
            </w:r>
            <w:r>
              <w:rPr>
                <w:rFonts w:hint="eastAsia" w:ascii="黑体" w:hAnsi="黑体" w:eastAsia="黑体"/>
                <w:bCs/>
                <w:sz w:val="18"/>
                <w:szCs w:val="18"/>
              </w:rPr>
              <w:t>，本款产品销售文件在编制时，可能存在以下两种情形：</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（1）情形1：所有销售文件都由产品管理人统一编制。其中，《投资协议书》《产品说明书》《（代理）销售协议书》《风险揭示书》《投资者权益须知》等销售文件均由产品管理人统一编制。</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2）情形2：部分销售文件由代理销售机构进行编制。其中，《投资协议书》和《产品说明书》由产品管理人统一编制；《（代理）销售协议书》《风险揭示书》《投资者权益须知》等销售文件，此等销售文件中的之一或之二或全部，由于代理销售机构的需求而由理财公司委托代理销售机构进行编制。</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pPr>
              <w:pStyle w:val="21"/>
              <w:snapToGrid w:val="0"/>
              <w:spacing w:before="0" w:beforeAutospacing="0" w:after="0" w:afterAutospacing="0" w:line="360" w:lineRule="auto"/>
              <w:jc w:val="both"/>
              <w:rPr>
                <w:rFonts w:ascii="黑体" w:hAnsi="黑体" w:eastAsia="黑体"/>
                <w:bCs/>
                <w:sz w:val="18"/>
                <w:szCs w:val="18"/>
              </w:rPr>
            </w:pP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关于投资者适当性的提示</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xml:space="preserve"> </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关于投资者信息的提示</w:t>
            </w:r>
          </w:p>
          <w:p>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投资者同意并授权产品管理人有权根据业务办理需要、反洗钱工作、非居民金融账户涉税信息尽职调查、I</w:t>
            </w:r>
            <w:r>
              <w:rPr>
                <w:rFonts w:ascii="黑体" w:hAnsi="黑体" w:eastAsia="黑体"/>
                <w:sz w:val="18"/>
                <w:szCs w:val="18"/>
              </w:rPr>
              <w:t>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pPr>
              <w:tabs>
                <w:tab w:val="left" w:pos="704"/>
                <w:tab w:val="left" w:pos="1995"/>
              </w:tabs>
              <w:autoSpaceDE w:val="0"/>
              <w:autoSpaceDN w:val="0"/>
              <w:adjustRightInd w:val="0"/>
              <w:snapToGrid w:val="0"/>
              <w:spacing w:line="360" w:lineRule="auto"/>
              <w:rPr>
                <w:rFonts w:ascii="黑体" w:hAnsi="黑体" w:eastAsia="黑体"/>
                <w:sz w:val="18"/>
                <w:szCs w:val="18"/>
              </w:rPr>
            </w:pP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关于理财产品信息披露的提示</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在购买本产品后，投资者应随时关注该理财产品的信息披露情况，及时获取相关信息。</w:t>
            </w:r>
          </w:p>
          <w:p>
            <w:pPr>
              <w:pStyle w:val="21"/>
              <w:snapToGrid w:val="0"/>
              <w:spacing w:before="0" w:beforeAutospacing="0" w:after="0" w:afterAutospacing="0" w:line="360" w:lineRule="auto"/>
              <w:jc w:val="both"/>
              <w:rPr>
                <w:rFonts w:ascii="黑体" w:hAnsi="黑体" w:eastAsia="黑体"/>
                <w:bCs/>
                <w:sz w:val="18"/>
                <w:szCs w:val="18"/>
              </w:rPr>
            </w:pP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pPr>
              <w:pStyle w:val="21"/>
              <w:snapToGrid w:val="0"/>
              <w:spacing w:before="0" w:beforeAutospacing="0" w:after="0" w:afterAutospacing="0" w:line="360" w:lineRule="auto"/>
              <w:jc w:val="both"/>
              <w:rPr>
                <w:bCs/>
                <w:sz w:val="32"/>
              </w:rPr>
            </w:pPr>
            <w:r>
              <w:rPr>
                <w:rFonts w:hint="eastAsia" w:ascii="黑体" w:hAnsi="黑体" w:eastAsia="黑体"/>
                <w:bCs/>
                <w:sz w:val="18"/>
                <w:szCs w:val="18"/>
              </w:rPr>
              <w:t>投资者对本理财产品及销售文件的内容有任何疑问，请向产品管理人或销售机构咨询。</w:t>
            </w:r>
          </w:p>
        </w:tc>
      </w:tr>
    </w:tbl>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39991729"/>
      <w:bookmarkStart w:id="11" w:name="_Toc123701386"/>
      <w:bookmarkStart w:id="12" w:name="_Toc123112266"/>
      <w:bookmarkStart w:id="13" w:name="_Toc123112227"/>
    </w:p>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24"/>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pPr>
              <w:pStyle w:val="15"/>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pPr>
              <w:pStyle w:val="15"/>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pPr>
              <w:spacing w:line="360" w:lineRule="auto"/>
              <w:jc w:val="left"/>
              <w:rPr>
                <w:rFonts w:ascii="宋体" w:hAnsi="宋体"/>
                <w:sz w:val="18"/>
                <w:szCs w:val="18"/>
              </w:rPr>
            </w:pPr>
            <w:permStart w:id="9" w:edGrp="everyone" w:colFirst="3" w:colLast="3"/>
            <w:r>
              <w:rPr>
                <w:rFonts w:hint="eastAsia" w:ascii="宋体" w:hAnsi="宋体"/>
                <w:sz w:val="18"/>
                <w:szCs w:val="18"/>
              </w:rPr>
              <w:t>投资者信息</w:t>
            </w:r>
          </w:p>
        </w:tc>
        <w:tc>
          <w:tcPr>
            <w:tcW w:w="708" w:type="dxa"/>
            <w:vMerge w:val="restart"/>
            <w:shd w:val="solid" w:color="FFFFFF" w:fill="FFFFFF"/>
            <w:vAlign w:val="center"/>
          </w:tcPr>
          <w:p>
            <w:pPr>
              <w:spacing w:line="360" w:lineRule="auto"/>
              <w:jc w:val="left"/>
              <w:rPr>
                <w:rFonts w:ascii="宋体" w:hAnsi="宋体"/>
                <w:sz w:val="18"/>
                <w:szCs w:val="18"/>
              </w:rPr>
            </w:pPr>
            <w:r>
              <w:rPr>
                <w:rFonts w:hint="eastAsia" w:ascii="宋体" w:hAnsi="宋体"/>
                <w:sz w:val="18"/>
                <w:szCs w:val="18"/>
              </w:rPr>
              <w:t>个人投资者适用</w:t>
            </w:r>
          </w:p>
        </w:tc>
        <w:tc>
          <w:tcPr>
            <w:tcW w:w="982" w:type="dxa"/>
            <w:shd w:val="solid" w:color="FFFFFF" w:fill="FFFFFF"/>
            <w:vAlign w:val="center"/>
          </w:tcPr>
          <w:p>
            <w:pPr>
              <w:spacing w:line="360" w:lineRule="auto"/>
              <w:jc w:val="left"/>
              <w:rPr>
                <w:rFonts w:ascii="宋体" w:hAnsi="宋体"/>
                <w:sz w:val="18"/>
                <w:szCs w:val="18"/>
              </w:rPr>
            </w:pPr>
            <w:r>
              <w:rPr>
                <w:rFonts w:hint="eastAsia" w:ascii="宋体" w:hAnsi="宋体"/>
                <w:sz w:val="18"/>
                <w:szCs w:val="18"/>
              </w:rPr>
              <w:t>姓名</w:t>
            </w:r>
          </w:p>
        </w:tc>
        <w:tc>
          <w:tcPr>
            <w:tcW w:w="6389" w:type="dxa"/>
            <w:gridSpan w:val="3"/>
            <w:shd w:val="solid" w:color="FFFFFF" w:fill="FFFFFF"/>
            <w:vAlign w:val="center"/>
          </w:tcPr>
          <w:p>
            <w:pPr>
              <w:spacing w:line="360" w:lineRule="auto"/>
              <w:jc w:val="left"/>
              <w:rPr>
                <w:rFonts w:ascii="宋体" w:hAnsi="宋体"/>
                <w:sz w:val="18"/>
                <w:szCs w:val="18"/>
              </w:rPr>
            </w:pPr>
          </w:p>
        </w:tc>
      </w:tr>
      <w:permEnd w:id="9"/>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sz w:val="18"/>
                <w:szCs w:val="18"/>
              </w:rPr>
            </w:pPr>
            <w:permStart w:id="10" w:edGrp="everyone" w:colFirst="3" w:colLast="3"/>
            <w:permStart w:id="11" w:edGrp="everyone" w:colFirst="5" w:colLast="5"/>
          </w:p>
        </w:tc>
        <w:tc>
          <w:tcPr>
            <w:tcW w:w="708" w:type="dxa"/>
            <w:vMerge w:val="continue"/>
            <w:shd w:val="solid" w:color="FFFFFF" w:fill="FFFFFF"/>
            <w:vAlign w:val="center"/>
          </w:tcPr>
          <w:p>
            <w:pPr>
              <w:spacing w:line="360" w:lineRule="auto"/>
              <w:jc w:val="left"/>
              <w:rPr>
                <w:rFonts w:ascii="宋体" w:hAnsi="宋体"/>
                <w:sz w:val="18"/>
                <w:szCs w:val="18"/>
              </w:rPr>
            </w:pPr>
          </w:p>
        </w:tc>
        <w:tc>
          <w:tcPr>
            <w:tcW w:w="982" w:type="dxa"/>
            <w:shd w:val="solid" w:color="FFFFFF" w:fill="FFFFFF"/>
            <w:vAlign w:val="center"/>
          </w:tcPr>
          <w:p>
            <w:pPr>
              <w:spacing w:line="360" w:lineRule="auto"/>
              <w:jc w:val="left"/>
              <w:rPr>
                <w:rFonts w:ascii="宋体" w:hAnsi="宋体"/>
                <w:sz w:val="18"/>
                <w:szCs w:val="18"/>
              </w:rPr>
            </w:pPr>
            <w:r>
              <w:rPr>
                <w:rFonts w:hint="eastAsia" w:ascii="宋体" w:hAnsi="宋体"/>
                <w:sz w:val="18"/>
                <w:szCs w:val="18"/>
              </w:rPr>
              <w:t>证件类型</w:t>
            </w:r>
          </w:p>
        </w:tc>
        <w:tc>
          <w:tcPr>
            <w:tcW w:w="1854" w:type="dxa"/>
            <w:shd w:val="solid" w:color="FFFFFF" w:fill="FFFFFF"/>
            <w:vAlign w:val="center"/>
          </w:tcPr>
          <w:p>
            <w:pPr>
              <w:spacing w:line="360" w:lineRule="auto"/>
              <w:jc w:val="left"/>
              <w:rPr>
                <w:rFonts w:ascii="宋体" w:hAnsi="宋体"/>
                <w:sz w:val="18"/>
                <w:szCs w:val="18"/>
              </w:rPr>
            </w:pPr>
          </w:p>
        </w:tc>
        <w:tc>
          <w:tcPr>
            <w:tcW w:w="1417" w:type="dxa"/>
            <w:shd w:val="solid" w:color="FFFFFF" w:fill="FFFFFF"/>
            <w:vAlign w:val="center"/>
          </w:tcPr>
          <w:p>
            <w:pPr>
              <w:spacing w:line="360" w:lineRule="auto"/>
              <w:jc w:val="left"/>
              <w:rPr>
                <w:rFonts w:ascii="宋体" w:hAnsi="宋体"/>
                <w:sz w:val="18"/>
                <w:szCs w:val="18"/>
              </w:rPr>
            </w:pPr>
            <w:r>
              <w:rPr>
                <w:rFonts w:hint="eastAsia" w:ascii="宋体" w:hAnsi="宋体"/>
                <w:sz w:val="18"/>
                <w:szCs w:val="18"/>
              </w:rPr>
              <w:t>证件号码</w:t>
            </w:r>
          </w:p>
        </w:tc>
        <w:tc>
          <w:tcPr>
            <w:tcW w:w="3118" w:type="dxa"/>
            <w:shd w:val="solid" w:color="FFFFFF" w:fill="FFFFFF"/>
            <w:vAlign w:val="center"/>
          </w:tcPr>
          <w:p>
            <w:pPr>
              <w:spacing w:line="360" w:lineRule="auto"/>
              <w:jc w:val="left"/>
              <w:rPr>
                <w:rFonts w:ascii="宋体" w:hAnsi="宋体"/>
                <w:sz w:val="18"/>
                <w:szCs w:val="18"/>
              </w:rPr>
            </w:pPr>
          </w:p>
        </w:tc>
      </w:tr>
      <w:permEnd w:id="10"/>
      <w:permEnd w:id="11"/>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sz w:val="18"/>
                <w:szCs w:val="18"/>
              </w:rPr>
            </w:pPr>
            <w:permStart w:id="12" w:edGrp="everyone" w:colFirst="3" w:colLast="3"/>
            <w:permStart w:id="13" w:edGrp="everyone" w:colFirst="5" w:colLast="5"/>
          </w:p>
        </w:tc>
        <w:tc>
          <w:tcPr>
            <w:tcW w:w="708" w:type="dxa"/>
            <w:vMerge w:val="continue"/>
            <w:shd w:val="solid" w:color="FFFFFF" w:fill="FFFFFF"/>
            <w:vAlign w:val="center"/>
          </w:tcPr>
          <w:p>
            <w:pPr>
              <w:spacing w:line="360" w:lineRule="auto"/>
              <w:jc w:val="left"/>
              <w:rPr>
                <w:rFonts w:ascii="宋体" w:hAnsi="宋体"/>
                <w:sz w:val="18"/>
                <w:szCs w:val="18"/>
              </w:rPr>
            </w:pPr>
          </w:p>
        </w:tc>
        <w:tc>
          <w:tcPr>
            <w:tcW w:w="982" w:type="dxa"/>
            <w:shd w:val="solid" w:color="FFFFFF" w:fill="FFFFFF"/>
            <w:vAlign w:val="center"/>
          </w:tcPr>
          <w:p>
            <w:pPr>
              <w:spacing w:line="360" w:lineRule="auto"/>
              <w:jc w:val="left"/>
              <w:rPr>
                <w:rFonts w:ascii="宋体" w:hAnsi="宋体"/>
                <w:sz w:val="18"/>
                <w:szCs w:val="18"/>
              </w:rPr>
            </w:pPr>
            <w:r>
              <w:rPr>
                <w:rFonts w:hint="eastAsia" w:ascii="宋体" w:hAnsi="宋体"/>
                <w:sz w:val="18"/>
                <w:szCs w:val="18"/>
              </w:rPr>
              <w:t>联系电话</w:t>
            </w:r>
          </w:p>
        </w:tc>
        <w:tc>
          <w:tcPr>
            <w:tcW w:w="1854" w:type="dxa"/>
            <w:shd w:val="solid" w:color="FFFFFF" w:fill="FFFFFF"/>
            <w:vAlign w:val="center"/>
          </w:tcPr>
          <w:p>
            <w:pPr>
              <w:spacing w:line="360" w:lineRule="auto"/>
              <w:jc w:val="left"/>
              <w:rPr>
                <w:rFonts w:ascii="宋体" w:hAnsi="宋体"/>
                <w:sz w:val="18"/>
                <w:szCs w:val="18"/>
              </w:rPr>
            </w:pPr>
          </w:p>
        </w:tc>
        <w:tc>
          <w:tcPr>
            <w:tcW w:w="1417" w:type="dxa"/>
            <w:shd w:val="solid" w:color="FFFFFF" w:fill="FFFFFF"/>
            <w:vAlign w:val="center"/>
          </w:tcPr>
          <w:p>
            <w:pPr>
              <w:spacing w:line="360" w:lineRule="auto"/>
              <w:jc w:val="left"/>
              <w:rPr>
                <w:rFonts w:ascii="宋体" w:hAnsi="宋体"/>
                <w:sz w:val="18"/>
                <w:szCs w:val="18"/>
              </w:rPr>
            </w:pPr>
            <w:r>
              <w:rPr>
                <w:rFonts w:hint="eastAsia" w:ascii="宋体" w:hAnsi="宋体"/>
                <w:sz w:val="18"/>
                <w:szCs w:val="18"/>
              </w:rPr>
              <w:t>电子邮箱</w:t>
            </w:r>
          </w:p>
        </w:tc>
        <w:tc>
          <w:tcPr>
            <w:tcW w:w="3118" w:type="dxa"/>
            <w:shd w:val="solid" w:color="FFFFFF" w:fill="FFFFFF"/>
            <w:vAlign w:val="center"/>
          </w:tcPr>
          <w:p>
            <w:pPr>
              <w:spacing w:line="360" w:lineRule="auto"/>
              <w:jc w:val="left"/>
              <w:rPr>
                <w:rFonts w:ascii="宋体" w:hAnsi="宋体"/>
                <w:sz w:val="18"/>
                <w:szCs w:val="18"/>
              </w:rPr>
            </w:pPr>
          </w:p>
        </w:tc>
      </w:tr>
      <w:permEnd w:id="12"/>
      <w:permEnd w:id="13"/>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sz w:val="18"/>
                <w:szCs w:val="18"/>
              </w:rPr>
            </w:pPr>
            <w:permStart w:id="14" w:edGrp="everyone" w:colFirst="3" w:colLast="3"/>
          </w:p>
        </w:tc>
        <w:tc>
          <w:tcPr>
            <w:tcW w:w="708" w:type="dxa"/>
            <w:vMerge w:val="continue"/>
            <w:shd w:val="solid" w:color="FFFFFF" w:fill="FFFFFF"/>
            <w:vAlign w:val="center"/>
          </w:tcPr>
          <w:p>
            <w:pPr>
              <w:spacing w:line="360" w:lineRule="auto"/>
              <w:jc w:val="left"/>
              <w:rPr>
                <w:rFonts w:ascii="宋体" w:hAnsi="宋体"/>
                <w:sz w:val="18"/>
                <w:szCs w:val="18"/>
              </w:rPr>
            </w:pPr>
          </w:p>
        </w:tc>
        <w:tc>
          <w:tcPr>
            <w:tcW w:w="982" w:type="dxa"/>
            <w:shd w:val="solid" w:color="FFFFFF" w:fill="FFFFFF"/>
            <w:vAlign w:val="center"/>
          </w:tcPr>
          <w:p>
            <w:pPr>
              <w:spacing w:line="360" w:lineRule="auto"/>
              <w:jc w:val="left"/>
              <w:rPr>
                <w:rFonts w:ascii="宋体" w:hAnsi="宋体"/>
                <w:sz w:val="18"/>
                <w:szCs w:val="18"/>
              </w:rPr>
            </w:pPr>
            <w:r>
              <w:rPr>
                <w:rFonts w:hint="eastAsia" w:ascii="宋体" w:hAnsi="宋体"/>
                <w:sz w:val="18"/>
                <w:szCs w:val="18"/>
              </w:rPr>
              <w:t>联系地址</w:t>
            </w:r>
          </w:p>
        </w:tc>
        <w:tc>
          <w:tcPr>
            <w:tcW w:w="6389" w:type="dxa"/>
            <w:gridSpan w:val="3"/>
            <w:shd w:val="solid" w:color="FFFFFF" w:fill="FFFFFF"/>
            <w:vAlign w:val="center"/>
          </w:tcPr>
          <w:p>
            <w:pPr>
              <w:spacing w:line="360" w:lineRule="auto"/>
              <w:jc w:val="left"/>
              <w:rPr>
                <w:rFonts w:ascii="宋体" w:hAnsi="宋体"/>
                <w:sz w:val="18"/>
                <w:szCs w:val="18"/>
              </w:rPr>
            </w:pPr>
          </w:p>
        </w:tc>
      </w:tr>
      <w:permEnd w:id="14"/>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sz w:val="18"/>
                <w:szCs w:val="18"/>
              </w:rPr>
            </w:pPr>
            <w:permStart w:id="15" w:edGrp="everyone" w:colFirst="3" w:colLast="3"/>
          </w:p>
        </w:tc>
        <w:tc>
          <w:tcPr>
            <w:tcW w:w="708" w:type="dxa"/>
            <w:vMerge w:val="continue"/>
            <w:shd w:val="solid" w:color="FFFFFF" w:fill="FFFFFF"/>
            <w:vAlign w:val="center"/>
          </w:tcPr>
          <w:p>
            <w:pPr>
              <w:spacing w:line="360" w:lineRule="auto"/>
              <w:jc w:val="left"/>
              <w:rPr>
                <w:rFonts w:ascii="宋体" w:hAnsi="宋体"/>
                <w:sz w:val="18"/>
                <w:szCs w:val="18"/>
              </w:rPr>
            </w:pPr>
          </w:p>
        </w:tc>
        <w:tc>
          <w:tcPr>
            <w:tcW w:w="982" w:type="dxa"/>
            <w:tcBorders>
              <w:bottom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sz w:val="18"/>
                <w:szCs w:val="18"/>
              </w:rPr>
              <w:t>邮政编码</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sz w:val="18"/>
                <w:szCs w:val="18"/>
              </w:rPr>
            </w:pPr>
          </w:p>
        </w:tc>
      </w:tr>
      <w:permEnd w:id="15"/>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sz w:val="18"/>
                <w:szCs w:val="18"/>
              </w:rPr>
            </w:pPr>
            <w:permStart w:id="16" w:edGrp="everyone" w:colFirst="3" w:colLast="3"/>
          </w:p>
        </w:tc>
        <w:tc>
          <w:tcPr>
            <w:tcW w:w="708" w:type="dxa"/>
            <w:vMerge w:val="restart"/>
            <w:tcBorders>
              <w:right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sz w:val="18"/>
                <w:szCs w:val="18"/>
              </w:rPr>
              <w:t>机构</w:t>
            </w:r>
            <w:r>
              <w:rPr>
                <w:rFonts w:ascii="宋体" w:hAnsi="宋体"/>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sz w:val="18"/>
                <w:szCs w:val="18"/>
              </w:rPr>
            </w:pPr>
          </w:p>
        </w:tc>
      </w:tr>
      <w:permEnd w:id="16"/>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sz w:val="18"/>
                <w:szCs w:val="18"/>
              </w:rPr>
            </w:pPr>
            <w:permStart w:id="17" w:edGrp="everyone" w:colFirst="3" w:colLast="3"/>
            <w:permStart w:id="18" w:edGrp="everyone" w:colFirst="5" w:colLast="5"/>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sz w:val="18"/>
                <w:szCs w:val="18"/>
              </w:rPr>
            </w:pPr>
          </w:p>
        </w:tc>
      </w:tr>
      <w:permEnd w:id="17"/>
      <w:permEnd w:id="18"/>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sz w:val="18"/>
                <w:szCs w:val="18"/>
              </w:rPr>
            </w:pPr>
            <w:permStart w:id="19" w:edGrp="everyone" w:colFirst="3" w:colLast="3"/>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sz w:val="18"/>
                <w:szCs w:val="18"/>
              </w:rPr>
            </w:pPr>
          </w:p>
        </w:tc>
      </w:tr>
      <w:permEnd w:id="19"/>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sz w:val="18"/>
                <w:szCs w:val="18"/>
              </w:rPr>
            </w:pPr>
            <w:permStart w:id="20" w:edGrp="everyone" w:colFirst="3" w:colLast="3"/>
            <w:permStart w:id="21" w:edGrp="everyone" w:colFirst="5" w:colLast="5"/>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sz w:val="18"/>
                <w:szCs w:val="18"/>
              </w:rPr>
            </w:pPr>
          </w:p>
        </w:tc>
      </w:tr>
      <w:permEnd w:id="20"/>
      <w:permEnd w:id="21"/>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sz w:val="18"/>
                <w:szCs w:val="18"/>
              </w:rPr>
            </w:pPr>
            <w:permStart w:id="22" w:edGrp="everyone" w:colFirst="3" w:colLast="3"/>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sz w:val="18"/>
                <w:szCs w:val="18"/>
              </w:rPr>
            </w:pPr>
          </w:p>
        </w:tc>
      </w:tr>
      <w:permEnd w:id="22"/>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sz w:val="18"/>
                <w:szCs w:val="18"/>
              </w:rPr>
            </w:pPr>
            <w:permStart w:id="23" w:edGrp="everyone" w:colFirst="3" w:colLast="3"/>
          </w:p>
        </w:tc>
        <w:tc>
          <w:tcPr>
            <w:tcW w:w="708" w:type="dxa"/>
            <w:vMerge w:val="continue"/>
            <w:tcBorders>
              <w:bottom w:val="single" w:color="auto" w:sz="12" w:space="0"/>
              <w:right w:val="single" w:color="auto" w:sz="12" w:space="0"/>
            </w:tcBorders>
            <w:shd w:val="solid" w:color="FFFFFF" w:fill="FFFFFF"/>
            <w:vAlign w:val="center"/>
          </w:tcPr>
          <w:p>
            <w:pPr>
              <w:spacing w:line="360" w:lineRule="auto"/>
              <w:jc w:val="left"/>
              <w:rPr>
                <w:rFonts w:ascii="宋体" w:hAnsi="宋体"/>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sz w:val="18"/>
                <w:szCs w:val="18"/>
              </w:rPr>
            </w:pPr>
          </w:p>
        </w:tc>
      </w:tr>
      <w:permEnd w:id="23"/>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pStyle w:val="15"/>
              <w:pBdr>
                <w:bottom w:val="none" w:color="auto" w:sz="0" w:space="0"/>
              </w:pBdr>
              <w:spacing w:line="360" w:lineRule="auto"/>
              <w:rPr>
                <w:rFonts w:ascii="宋体" w:hAnsi="宋体"/>
                <w:b/>
                <w:bCs/>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bCs/>
                <w:sz w:val="18"/>
                <w:szCs w:val="18"/>
              </w:rPr>
              <w:t>本公司系根据原中国银保监会（现国家金融监督管理总局）批准设立的由兴业银行股份有限公司全资控股的银行理财子公司。公司名称：中文为“兴银理财有限责任公司”；英文：“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。公司成立于</w:t>
            </w:r>
            <w:r>
              <w:rPr>
                <w:rFonts w:ascii="宋体" w:hAnsi="宋体"/>
                <w:bCs/>
                <w:sz w:val="18"/>
                <w:szCs w:val="18"/>
              </w:rPr>
              <w:t>2019年12月，公司注册资本为50亿元人民币，全部由兴业银行股份有限公司以货币资金认购并一次性足额缴纳。公司注册地为福建省福州市。公司主要</w:t>
            </w:r>
            <w:r>
              <w:rPr>
                <w:rFonts w:hint="eastAsia" w:ascii="宋体" w:hAnsi="宋体"/>
                <w:bCs/>
                <w:sz w:val="18"/>
                <w:szCs w:val="18"/>
              </w:rPr>
              <w:t>业务范围为：面向不特定社会公众公开发行理财产品，对受托的投资和财产进行投资和管理；面向合格投资者非公开发行理财产品，对受托的投资和财产进行投资和管理；理财顾问和咨询服务；经监管部门批准的其他业务等。</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91"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permStart w:id="24" w:edGrp="everyone"/>
            <w:r>
              <w:rPr>
                <w:rFonts w:hint="eastAsia" w:ascii="宋体" w:hAnsi="宋体"/>
                <w:b/>
                <w:bCs/>
                <w:sz w:val="18"/>
                <w:szCs w:val="18"/>
              </w:rPr>
              <w:t>理财产品信息</w:t>
            </w:r>
          </w:p>
        </w:tc>
        <w:tc>
          <w:tcPr>
            <w:tcW w:w="1690" w:type="dxa"/>
            <w:gridSpan w:val="2"/>
            <w:shd w:val="solid" w:color="FFFFFF" w:fill="FFFFFF"/>
          </w:tcPr>
          <w:p>
            <w:pPr>
              <w:spacing w:line="360" w:lineRule="auto"/>
              <w:jc w:val="left"/>
              <w:rPr>
                <w:rFonts w:ascii="宋体" w:hAnsi="宋体"/>
                <w:sz w:val="18"/>
                <w:szCs w:val="18"/>
              </w:rPr>
            </w:pPr>
            <w:r>
              <w:rPr>
                <w:rFonts w:hint="eastAsia" w:hAnsi="宋体"/>
                <w:sz w:val="18"/>
                <w:szCs w:val="18"/>
              </w:rPr>
              <w:t>★</w:t>
            </w:r>
            <w:r>
              <w:rPr>
                <w:rFonts w:hint="eastAsia" w:ascii="宋体" w:hAnsi="宋体"/>
                <w:sz w:val="18"/>
                <w:szCs w:val="18"/>
              </w:rPr>
              <w:t>理财产品名称</w:t>
            </w:r>
          </w:p>
        </w:tc>
        <w:tc>
          <w:tcPr>
            <w:tcW w:w="6389" w:type="dxa"/>
            <w:gridSpan w:val="3"/>
            <w:shd w:val="solid" w:color="FFFFFF" w:fill="FFFFFF"/>
          </w:tcPr>
          <w:p>
            <w:pPr>
              <w:spacing w:line="360" w:lineRule="auto"/>
              <w:jc w:val="left"/>
              <w:rPr>
                <w:rFonts w:ascii="宋体" w:hAnsi="宋体"/>
                <w:sz w:val="18"/>
                <w:szCs w:val="18"/>
              </w:rPr>
            </w:pPr>
            <w:r>
              <w:rPr>
                <w:rFonts w:hint="eastAsia" w:ascii="宋体" w:hAnsi="宋体"/>
                <w:sz w:val="18"/>
                <w:szCs w:val="18"/>
              </w:rPr>
              <w:t>【兴银理财稳添利季盈53号(3个月最短持有期)日开固收类理财产品】</w:t>
            </w:r>
          </w:p>
        </w:tc>
      </w:tr>
      <w:permEnd w:id="24"/>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ermStart w:id="25" w:edGrp="everyone"/>
          </w:p>
        </w:tc>
        <w:tc>
          <w:tcPr>
            <w:tcW w:w="1690" w:type="dxa"/>
            <w:gridSpan w:val="2"/>
            <w:shd w:val="solid" w:color="FFFFFF" w:fill="FFFFFF"/>
            <w:vAlign w:val="center"/>
          </w:tcPr>
          <w:p>
            <w:pPr>
              <w:spacing w:line="360" w:lineRule="auto"/>
              <w:jc w:val="left"/>
              <w:rPr>
                <w:rFonts w:ascii="宋体" w:hAnsi="宋体"/>
                <w:sz w:val="18"/>
                <w:szCs w:val="18"/>
              </w:rPr>
            </w:pPr>
            <w:r>
              <w:rPr>
                <w:rFonts w:hint="eastAsia" w:hAnsi="宋体"/>
                <w:sz w:val="18"/>
                <w:szCs w:val="18"/>
              </w:rPr>
              <w:t>★</w:t>
            </w:r>
            <w:r>
              <w:rPr>
                <w:rFonts w:hint="eastAsia" w:ascii="宋体" w:hAnsi="宋体"/>
                <w:sz w:val="18"/>
                <w:szCs w:val="18"/>
              </w:rPr>
              <w:t>产品销售名称</w:t>
            </w:r>
          </w:p>
        </w:tc>
        <w:tc>
          <w:tcPr>
            <w:tcW w:w="6389" w:type="dxa"/>
            <w:gridSpan w:val="3"/>
            <w:shd w:val="solid" w:color="FFFFFF" w:fill="FFFFFF"/>
            <w:vAlign w:val="center"/>
          </w:tcPr>
          <w:p>
            <w:pPr>
              <w:spacing w:line="360" w:lineRule="auto"/>
              <w:jc w:val="left"/>
              <w:rPr>
                <w:rFonts w:ascii="宋体" w:hAnsi="宋体"/>
                <w:color w:val="000000" w:themeColor="text1"/>
                <w:sz w:val="18"/>
                <w:szCs w:val="18"/>
                <w14:textFill>
                  <w14:solidFill>
                    <w14:schemeClr w14:val="tx1"/>
                  </w14:solidFill>
                </w14:textFill>
              </w:rPr>
            </w:pPr>
            <w:r>
              <w:rPr>
                <w:rFonts w:hint="eastAsia" w:ascii="宋体" w:hAnsi="宋体"/>
                <w:sz w:val="18"/>
                <w:szCs w:val="18"/>
              </w:rPr>
              <w:t>【稳添利季盈53号</w:t>
            </w:r>
            <w:r>
              <w:rPr>
                <w:rFonts w:hint="eastAsia" w:ascii="宋体" w:hAnsi="宋体"/>
                <w:sz w:val="18"/>
                <w:szCs w:val="18"/>
                <w:lang w:val="en-US" w:eastAsia="zh-CN"/>
              </w:rPr>
              <w:t>C</w:t>
            </w:r>
            <w:r>
              <w:rPr>
                <w:rFonts w:hint="eastAsia" w:ascii="宋体" w:hAnsi="宋体"/>
                <w:sz w:val="18"/>
                <w:szCs w:val="18"/>
              </w:rPr>
              <w:t>】</w:t>
            </w:r>
            <w:r>
              <w:rPr>
                <w:rFonts w:hint="eastAsia" w:ascii="宋体" w:hAnsi="宋体"/>
                <w:color w:val="000000" w:themeColor="text1"/>
                <w:sz w:val="18"/>
                <w:szCs w:val="18"/>
                <w14:textFill>
                  <w14:solidFill>
                    <w14:schemeClr w14:val="tx1"/>
                  </w14:solidFill>
                </w14:textFill>
              </w:rPr>
              <w:t>（</w:t>
            </w:r>
            <w:r>
              <w:rPr>
                <w:rFonts w:hint="eastAsia" w:ascii="宋体" w:hAnsi="宋体"/>
                <w:color w:val="000000" w:themeColor="text1"/>
                <w:sz w:val="18"/>
                <w:szCs w:val="18"/>
                <w:lang w:eastAsia="zh-CN"/>
                <w14:textFill>
                  <w14:solidFill>
                    <w14:schemeClr w14:val="tx1"/>
                  </w14:solidFill>
                </w14:textFill>
              </w:rPr>
              <w:t>适用【</w:t>
            </w:r>
            <w:r>
              <w:rPr>
                <w:rFonts w:hint="eastAsia" w:ascii="宋体" w:hAnsi="宋体"/>
                <w:color w:val="000000" w:themeColor="text1"/>
                <w:sz w:val="18"/>
                <w:szCs w:val="18"/>
                <w:lang w:val="en-US" w:eastAsia="zh-CN"/>
                <w14:textFill>
                  <w14:solidFill>
                    <w14:schemeClr w14:val="tx1"/>
                  </w14:solidFill>
                </w14:textFill>
              </w:rPr>
              <w:t>C</w:t>
            </w:r>
            <w:r>
              <w:rPr>
                <w:rFonts w:hint="eastAsia" w:ascii="宋体" w:hAnsi="宋体"/>
                <w:color w:val="000000" w:themeColor="text1"/>
                <w:sz w:val="18"/>
                <w:szCs w:val="18"/>
                <w:lang w:eastAsia="zh-CN"/>
                <w14:textFill>
                  <w14:solidFill>
                    <w14:schemeClr w14:val="tx1"/>
                  </w14:solidFill>
                </w14:textFill>
              </w:rPr>
              <w:t>】类份额</w:t>
            </w:r>
            <w:r>
              <w:rPr>
                <w:rFonts w:hint="eastAsia" w:ascii="宋体" w:hAnsi="宋体"/>
                <w:color w:val="000000" w:themeColor="text1"/>
                <w:sz w:val="18"/>
                <w:szCs w:val="18"/>
                <w14:textFill>
                  <w14:solidFill>
                    <w14:schemeClr w14:val="tx1"/>
                  </w14:solidFill>
                </w14:textFill>
              </w:rPr>
              <w:t>）</w:t>
            </w:r>
          </w:p>
        </w:tc>
      </w:tr>
      <w:permEnd w:id="25"/>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ermStart w:id="26" w:edGrp="everyone"/>
          </w:p>
        </w:tc>
        <w:tc>
          <w:tcPr>
            <w:tcW w:w="1690" w:type="dxa"/>
            <w:gridSpan w:val="2"/>
            <w:shd w:val="solid" w:color="FFFFFF" w:fill="FFFFFF"/>
          </w:tcPr>
          <w:p>
            <w:pPr>
              <w:spacing w:line="360" w:lineRule="auto"/>
              <w:jc w:val="left"/>
              <w:rPr>
                <w:rFonts w:ascii="宋体" w:hAnsi="宋体"/>
                <w:sz w:val="18"/>
                <w:szCs w:val="18"/>
              </w:rPr>
            </w:pPr>
            <w:r>
              <w:rPr>
                <w:rFonts w:hint="eastAsia" w:hAnsi="宋体"/>
                <w:sz w:val="18"/>
                <w:szCs w:val="18"/>
              </w:rPr>
              <w:t>★</w:t>
            </w:r>
            <w:r>
              <w:rPr>
                <w:rFonts w:hint="eastAsia" w:ascii="宋体" w:hAnsi="宋体"/>
                <w:sz w:val="18"/>
                <w:szCs w:val="18"/>
              </w:rPr>
              <w:t>产品登记编码</w:t>
            </w:r>
          </w:p>
        </w:tc>
        <w:tc>
          <w:tcPr>
            <w:tcW w:w="6389" w:type="dxa"/>
            <w:gridSpan w:val="3"/>
            <w:shd w:val="solid" w:color="FFFFFF" w:fill="FFFFFF"/>
          </w:tcPr>
          <w:p>
            <w:pPr>
              <w:spacing w:line="360" w:lineRule="auto"/>
              <w:jc w:val="left"/>
              <w:rPr>
                <w:rFonts w:ascii="宋体" w:hAnsi="宋体"/>
                <w:sz w:val="18"/>
                <w:szCs w:val="18"/>
              </w:rPr>
            </w:pPr>
            <w:r>
              <w:rPr>
                <w:rFonts w:hint="eastAsia" w:ascii="宋体" w:hAnsi="宋体"/>
                <w:sz w:val="18"/>
                <w:szCs w:val="18"/>
              </w:rPr>
              <w:t>【Z7002024003302】注：投资者可依据理财产品登记编码在中国理财网查询产品信息</w:t>
            </w:r>
            <w:r>
              <w:fldChar w:fldCharType="begin"/>
            </w:r>
            <w:r>
              <w:instrText xml:space="preserve"> HYPERLINK "http://www.chinawealth.com.cn" </w:instrText>
            </w:r>
            <w:r>
              <w:fldChar w:fldCharType="separate"/>
            </w:r>
            <w:r>
              <w:rPr>
                <w:rFonts w:ascii="宋体" w:hAnsi="宋体"/>
                <w:sz w:val="18"/>
                <w:szCs w:val="18"/>
              </w:rPr>
              <w:t>www.chinawealth.com.cn</w:t>
            </w:r>
            <w:r>
              <w:rPr>
                <w:rFonts w:ascii="宋体" w:hAnsi="宋体"/>
                <w:sz w:val="18"/>
                <w:szCs w:val="18"/>
              </w:rPr>
              <w:fldChar w:fldCharType="end"/>
            </w:r>
          </w:p>
        </w:tc>
      </w:tr>
      <w:permEnd w:id="26"/>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ermStart w:id="27" w:edGrp="everyone"/>
          </w:p>
        </w:tc>
        <w:tc>
          <w:tcPr>
            <w:tcW w:w="1690" w:type="dxa"/>
            <w:gridSpan w:val="2"/>
            <w:shd w:val="solid" w:color="FFFFFF" w:fill="FFFFFF"/>
            <w:vAlign w:val="center"/>
          </w:tcPr>
          <w:p>
            <w:pPr>
              <w:spacing w:line="360" w:lineRule="auto"/>
              <w:jc w:val="left"/>
              <w:rPr>
                <w:rFonts w:ascii="宋体" w:hAnsi="宋体"/>
                <w:sz w:val="18"/>
                <w:szCs w:val="18"/>
              </w:rPr>
            </w:pPr>
            <w:r>
              <w:rPr>
                <w:rFonts w:hint="eastAsia" w:hAnsi="宋体"/>
                <w:sz w:val="18"/>
                <w:szCs w:val="18"/>
              </w:rPr>
              <w:t>★</w:t>
            </w:r>
            <w:r>
              <w:rPr>
                <w:rFonts w:hint="eastAsia" w:ascii="宋体" w:hAnsi="宋体"/>
                <w:sz w:val="18"/>
                <w:szCs w:val="18"/>
              </w:rPr>
              <w:t>产品</w:t>
            </w:r>
            <w:r>
              <w:rPr>
                <w:rFonts w:ascii="宋体" w:hAnsi="宋体"/>
                <w:sz w:val="18"/>
                <w:szCs w:val="18"/>
              </w:rPr>
              <w:t>代码</w:t>
            </w:r>
          </w:p>
        </w:tc>
        <w:tc>
          <w:tcPr>
            <w:tcW w:w="6389" w:type="dxa"/>
            <w:gridSpan w:val="3"/>
            <w:shd w:val="solid" w:color="FFFFFF" w:fill="FFFFFF"/>
            <w:vAlign w:val="center"/>
          </w:tcPr>
          <w:p>
            <w:pPr>
              <w:spacing w:line="360" w:lineRule="auto"/>
              <w:jc w:val="left"/>
              <w:rPr>
                <w:rFonts w:ascii="宋体" w:hAnsi="宋体"/>
                <w:sz w:val="18"/>
                <w:szCs w:val="18"/>
              </w:rPr>
            </w:pPr>
            <w:r>
              <w:rPr>
                <w:rFonts w:ascii="宋体" w:hAnsi="宋体"/>
                <w:color w:val="000000" w:themeColor="text1"/>
                <w:sz w:val="18"/>
                <w:szCs w:val="18"/>
                <w14:textFill>
                  <w14:solidFill>
                    <w14:schemeClr w14:val="tx1"/>
                  </w14:solidFill>
                </w14:textFill>
              </w:rPr>
              <w:t>【</w:t>
            </w:r>
            <w:r>
              <w:rPr>
                <w:rFonts w:hint="eastAsia" w:ascii="宋体" w:hAnsi="宋体"/>
                <w:color w:val="000000" w:themeColor="text1"/>
                <w:sz w:val="18"/>
                <w:szCs w:val="18"/>
                <w14:textFill>
                  <w14:solidFill>
                    <w14:schemeClr w14:val="tx1"/>
                  </w14:solidFill>
                </w14:textFill>
              </w:rPr>
              <w:t>9K450530</w:t>
            </w:r>
            <w:r>
              <w:rPr>
                <w:rFonts w:ascii="宋体" w:hAnsi="宋体"/>
                <w:color w:val="000000" w:themeColor="text1"/>
                <w:sz w:val="18"/>
                <w:szCs w:val="18"/>
                <w14:textFill>
                  <w14:solidFill>
                    <w14:schemeClr w14:val="tx1"/>
                  </w14:solidFill>
                </w14:textFill>
              </w:rPr>
              <w:t>】</w:t>
            </w:r>
          </w:p>
        </w:tc>
      </w:tr>
      <w:permEnd w:id="27"/>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ermStart w:id="28" w:edGrp="everyone"/>
          </w:p>
        </w:tc>
        <w:tc>
          <w:tcPr>
            <w:tcW w:w="1690" w:type="dxa"/>
            <w:gridSpan w:val="2"/>
            <w:shd w:val="solid" w:color="FFFFFF" w:fill="FFFFFF"/>
            <w:vAlign w:val="center"/>
          </w:tcPr>
          <w:p>
            <w:pPr>
              <w:spacing w:line="320" w:lineRule="exact"/>
              <w:jc w:val="left"/>
              <w:rPr>
                <w:rFonts w:hAnsi="宋体"/>
                <w:sz w:val="18"/>
                <w:szCs w:val="18"/>
              </w:rPr>
            </w:pPr>
            <w:r>
              <w:rPr>
                <w:rFonts w:hint="eastAsia" w:hAnsi="宋体"/>
                <w:sz w:val="18"/>
                <w:szCs w:val="18"/>
              </w:rPr>
              <w:t>★</w:t>
            </w:r>
            <w:r>
              <w:rPr>
                <w:rFonts w:hint="eastAsia" w:ascii="宋体" w:hAnsi="宋体"/>
                <w:sz w:val="18"/>
                <w:szCs w:val="18"/>
              </w:rPr>
              <w:t>销售</w:t>
            </w:r>
            <w:r>
              <w:rPr>
                <w:rFonts w:ascii="宋体" w:hAnsi="宋体"/>
                <w:sz w:val="18"/>
                <w:szCs w:val="18"/>
              </w:rPr>
              <w:t>代码</w:t>
            </w:r>
          </w:p>
        </w:tc>
        <w:tc>
          <w:tcPr>
            <w:tcW w:w="6389" w:type="dxa"/>
            <w:gridSpan w:val="3"/>
            <w:shd w:val="solid" w:color="FFFFFF" w:fill="FFFFFF"/>
            <w:vAlign w:val="center"/>
          </w:tcPr>
          <w:p>
            <w:pPr>
              <w:spacing w:line="320" w:lineRule="exact"/>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【9K45053</w:t>
            </w:r>
            <w:r>
              <w:rPr>
                <w:rFonts w:hint="eastAsia" w:ascii="宋体" w:hAnsi="宋体"/>
                <w:color w:val="000000" w:themeColor="text1"/>
                <w:sz w:val="18"/>
                <w:szCs w:val="18"/>
                <w:lang w:val="en-US" w:eastAsia="zh-CN"/>
                <w14:textFill>
                  <w14:solidFill>
                    <w14:schemeClr w14:val="tx1"/>
                  </w14:solidFill>
                </w14:textFill>
              </w:rPr>
              <w:t>C</w:t>
            </w:r>
            <w:r>
              <w:rPr>
                <w:rFonts w:hint="eastAsia" w:ascii="宋体" w:hAnsi="宋体"/>
                <w:color w:val="000000" w:themeColor="text1"/>
                <w:sz w:val="18"/>
                <w:szCs w:val="18"/>
                <w14:textFill>
                  <w14:solidFill>
                    <w14:schemeClr w14:val="tx1"/>
                  </w14:solidFill>
                </w14:textFill>
              </w:rPr>
              <w:t>】（</w:t>
            </w:r>
            <w:r>
              <w:rPr>
                <w:rFonts w:hint="eastAsia" w:ascii="宋体" w:hAnsi="宋体"/>
                <w:color w:val="000000" w:themeColor="text1"/>
                <w:sz w:val="18"/>
                <w:szCs w:val="18"/>
                <w:lang w:eastAsia="zh-CN"/>
                <w14:textFill>
                  <w14:solidFill>
                    <w14:schemeClr w14:val="tx1"/>
                  </w14:solidFill>
                </w14:textFill>
              </w:rPr>
              <w:t>适用【</w:t>
            </w:r>
            <w:r>
              <w:rPr>
                <w:rFonts w:hint="eastAsia" w:ascii="宋体" w:hAnsi="宋体"/>
                <w:color w:val="000000" w:themeColor="text1"/>
                <w:sz w:val="18"/>
                <w:szCs w:val="18"/>
                <w:lang w:val="en-US" w:eastAsia="zh-CN"/>
                <w14:textFill>
                  <w14:solidFill>
                    <w14:schemeClr w14:val="tx1"/>
                  </w14:solidFill>
                </w14:textFill>
              </w:rPr>
              <w:t>C</w:t>
            </w:r>
            <w:bookmarkStart w:id="66" w:name="_GoBack"/>
            <w:bookmarkEnd w:id="66"/>
            <w:r>
              <w:rPr>
                <w:rFonts w:hint="eastAsia" w:ascii="宋体" w:hAnsi="宋体"/>
                <w:color w:val="000000" w:themeColor="text1"/>
                <w:sz w:val="18"/>
                <w:szCs w:val="18"/>
                <w:lang w:eastAsia="zh-CN"/>
                <w14:textFill>
                  <w14:solidFill>
                    <w14:schemeClr w14:val="tx1"/>
                  </w14:solidFill>
                </w14:textFill>
              </w:rPr>
              <w:t>】类份额</w:t>
            </w:r>
            <w:r>
              <w:rPr>
                <w:rFonts w:hint="eastAsia" w:ascii="宋体" w:hAnsi="宋体"/>
                <w:color w:val="000000" w:themeColor="text1"/>
                <w:sz w:val="18"/>
                <w:szCs w:val="18"/>
                <w14:textFill>
                  <w14:solidFill>
                    <w14:schemeClr w14:val="tx1"/>
                  </w14:solidFill>
                </w14:textFill>
              </w:rPr>
              <w:t>）</w:t>
            </w:r>
          </w:p>
        </w:tc>
      </w:tr>
      <w:permEnd w:id="28"/>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
                <w:bCs/>
                <w:sz w:val="18"/>
                <w:szCs w:val="18"/>
              </w:rPr>
            </w:pPr>
            <w:permStart w:id="29" w:edGrp="everyone"/>
          </w:p>
        </w:tc>
      </w:tr>
      <w:permEnd w:id="29"/>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6" w:hRule="atLeast"/>
          <w:jc w:val="center"/>
        </w:trPr>
        <w:tc>
          <w:tcPr>
            <w:tcW w:w="1142" w:type="dxa"/>
            <w:shd w:val="solid" w:color="FFFFFF" w:fill="FFFFFF"/>
            <w:vAlign w:val="center"/>
          </w:tcPr>
          <w:p>
            <w:pPr>
              <w:pStyle w:val="15"/>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pPr>
              <w:pStyle w:val="15"/>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permStart w:id="30" w:edGrp="everyone"/>
            <w:r>
              <w:rPr>
                <w:rFonts w:ascii="宋体" w:hAnsi="宋体"/>
                <w:szCs w:val="18"/>
                <w:u w:val="single"/>
              </w:rPr>
              <w:t xml:space="preserve">　                     </w:t>
            </w:r>
            <w:permEnd w:id="30"/>
            <w:r>
              <w:rPr>
                <w:rFonts w:hint="eastAsia" w:ascii="宋体" w:hAnsi="宋体"/>
                <w:szCs w:val="18"/>
              </w:rPr>
              <w:t>。</w:t>
            </w:r>
          </w:p>
        </w:tc>
      </w:tr>
    </w:tbl>
    <w:p>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rPr>
      </w:sdtEndPr>
      <w:sdtContent>
        <w:p>
          <w:pPr>
            <w:pStyle w:val="67"/>
            <w:spacing w:line="360" w:lineRule="auto"/>
            <w:jc w:val="center"/>
          </w:pPr>
          <w:r>
            <w:rPr>
              <w:lang w:val="zh-CN"/>
            </w:rPr>
            <w:t>目录</w:t>
          </w:r>
        </w:p>
        <w:p>
          <w:pPr>
            <w:pStyle w:val="16"/>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6</w:t>
          </w:r>
          <w:r>
            <w:fldChar w:fldCharType="end"/>
          </w:r>
          <w:r>
            <w:fldChar w:fldCharType="end"/>
          </w:r>
        </w:p>
        <w:p>
          <w:pPr>
            <w:pStyle w:val="16"/>
            <w:tabs>
              <w:tab w:val="right" w:leader="dot" w:pos="8306"/>
              <w:tab w:val="clear" w:pos="8296"/>
            </w:tabs>
          </w:pPr>
          <w:r>
            <w:fldChar w:fldCharType="begin"/>
          </w:r>
          <w:r>
            <w:instrText xml:space="preserve"> HYPERLINK \l "_Toc12429" </w:instrText>
          </w:r>
          <w:r>
            <w:fldChar w:fldCharType="separate"/>
          </w:r>
          <w:r>
            <w:t>第</w:t>
          </w:r>
          <w:r>
            <w:rPr>
              <w:rFonts w:hint="eastAsia"/>
            </w:rPr>
            <w:t xml:space="preserve">二条 </w:t>
          </w:r>
          <w:r>
            <w:t xml:space="preserve"> </w:t>
          </w:r>
          <w:r>
            <w:rPr>
              <w:rFonts w:hint="eastAsia"/>
            </w:rPr>
            <w:t>双方</w:t>
          </w:r>
          <w:r>
            <w:t>权利义务</w:t>
          </w:r>
          <w:r>
            <w:tab/>
          </w:r>
          <w:r>
            <w:fldChar w:fldCharType="begin"/>
          </w:r>
          <w:r>
            <w:instrText xml:space="preserve"> PAGEREF _Toc12429 \h </w:instrText>
          </w:r>
          <w:r>
            <w:fldChar w:fldCharType="separate"/>
          </w:r>
          <w:r>
            <w:t>7</w:t>
          </w:r>
          <w:r>
            <w:fldChar w:fldCharType="end"/>
          </w:r>
          <w:r>
            <w:fldChar w:fldCharType="end"/>
          </w:r>
        </w:p>
        <w:p>
          <w:pPr>
            <w:pStyle w:val="16"/>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不可抗力</w:t>
          </w:r>
          <w:r>
            <w:tab/>
          </w:r>
          <w:r>
            <w:fldChar w:fldCharType="begin"/>
          </w:r>
          <w:r>
            <w:instrText xml:space="preserve"> PAGEREF _Toc706 \h </w:instrText>
          </w:r>
          <w:r>
            <w:fldChar w:fldCharType="separate"/>
          </w:r>
          <w:r>
            <w:t>10</w:t>
          </w:r>
          <w:r>
            <w:fldChar w:fldCharType="end"/>
          </w:r>
          <w:r>
            <w:fldChar w:fldCharType="end"/>
          </w:r>
        </w:p>
        <w:p>
          <w:pPr>
            <w:pStyle w:val="16"/>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11</w:t>
          </w:r>
          <w:r>
            <w:fldChar w:fldCharType="end"/>
          </w:r>
          <w:r>
            <w:fldChar w:fldCharType="end"/>
          </w:r>
        </w:p>
        <w:p>
          <w:pPr>
            <w:pStyle w:val="16"/>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法律适用和争议解决</w:t>
          </w:r>
          <w:r>
            <w:tab/>
          </w:r>
          <w:r>
            <w:fldChar w:fldCharType="begin"/>
          </w:r>
          <w:r>
            <w:instrText xml:space="preserve"> PAGEREF _Toc29618 \h </w:instrText>
          </w:r>
          <w:r>
            <w:fldChar w:fldCharType="separate"/>
          </w:r>
          <w:r>
            <w:t>12</w:t>
          </w:r>
          <w:r>
            <w:fldChar w:fldCharType="end"/>
          </w:r>
          <w:r>
            <w:fldChar w:fldCharType="end"/>
          </w:r>
        </w:p>
        <w:p>
          <w:pPr>
            <w:pStyle w:val="16"/>
            <w:tabs>
              <w:tab w:val="right" w:leader="dot" w:pos="8306"/>
              <w:tab w:val="clear" w:pos="8296"/>
            </w:tabs>
          </w:pPr>
          <w:r>
            <w:fldChar w:fldCharType="begin"/>
          </w:r>
          <w:r>
            <w:instrText xml:space="preserve"> HYPERLINK \l "_Toc11943" </w:instrText>
          </w:r>
          <w:r>
            <w:fldChar w:fldCharType="separate"/>
          </w:r>
          <w:r>
            <w:rPr>
              <w:rFonts w:hint="eastAsia"/>
            </w:rPr>
            <w:t xml:space="preserve">第六条 </w:t>
          </w:r>
          <w:r>
            <w:t xml:space="preserve"> 协议的签署和</w:t>
          </w:r>
          <w:r>
            <w:rPr>
              <w:rFonts w:hint="eastAsia"/>
            </w:rPr>
            <w:t>效力</w:t>
          </w:r>
          <w:r>
            <w:tab/>
          </w:r>
          <w:r>
            <w:fldChar w:fldCharType="begin"/>
          </w:r>
          <w:r>
            <w:instrText xml:space="preserve"> PAGEREF _Toc11943 \h </w:instrText>
          </w:r>
          <w:r>
            <w:fldChar w:fldCharType="separate"/>
          </w:r>
          <w:r>
            <w:t>13</w:t>
          </w:r>
          <w:r>
            <w:fldChar w:fldCharType="end"/>
          </w:r>
          <w:r>
            <w:fldChar w:fldCharType="end"/>
          </w:r>
        </w:p>
        <w:p>
          <w:pPr>
            <w:pStyle w:val="16"/>
            <w:tabs>
              <w:tab w:val="right" w:leader="dot" w:pos="8306"/>
              <w:tab w:val="clear" w:pos="8296"/>
            </w:tabs>
          </w:pPr>
          <w:r>
            <w:fldChar w:fldCharType="begin"/>
          </w:r>
          <w:r>
            <w:instrText xml:space="preserve"> HYPERLINK \l "_Toc29352" </w:instrText>
          </w:r>
          <w:r>
            <w:fldChar w:fldCharType="separate"/>
          </w:r>
          <w:r>
            <w:rPr>
              <w:rFonts w:hint="eastAsia"/>
            </w:rPr>
            <w:t xml:space="preserve">第七条 </w:t>
          </w:r>
          <w:r>
            <w:t xml:space="preserve"> </w:t>
          </w:r>
          <w:r>
            <w:rPr>
              <w:rFonts w:hint="eastAsia"/>
            </w:rPr>
            <w:t>消费者权益保护</w:t>
          </w:r>
          <w:r>
            <w:tab/>
          </w:r>
          <w:r>
            <w:fldChar w:fldCharType="begin"/>
          </w:r>
          <w:r>
            <w:instrText xml:space="preserve"> PAGEREF _Toc29352 \h </w:instrText>
          </w:r>
          <w:r>
            <w:fldChar w:fldCharType="separate"/>
          </w:r>
          <w:r>
            <w:t>14</w:t>
          </w:r>
          <w:r>
            <w:fldChar w:fldCharType="end"/>
          </w:r>
          <w:r>
            <w:fldChar w:fldCharType="end"/>
          </w:r>
        </w:p>
        <w:p>
          <w:pPr>
            <w:spacing w:line="360" w:lineRule="auto"/>
          </w:pPr>
          <w:r>
            <w:rPr>
              <w:bCs/>
              <w:lang w:val="zh-CN"/>
            </w:rPr>
            <w:fldChar w:fldCharType="end"/>
          </w:r>
        </w:p>
      </w:sdtContent>
    </w:sdt>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pPr>
        <w:spacing w:line="360" w:lineRule="auto"/>
      </w:pPr>
    </w:p>
    <w:bookmarkEnd w:id="10"/>
    <w:bookmarkEnd w:id="11"/>
    <w:bookmarkEnd w:id="12"/>
    <w:bookmarkEnd w:id="13"/>
    <w:p>
      <w:pPr>
        <w:pStyle w:val="2"/>
        <w:spacing w:before="0" w:after="0"/>
        <w:jc w:val="center"/>
        <w:rPr>
          <w:rFonts w:ascii="Times New Roman"/>
          <w:color w:val="auto"/>
          <w:sz w:val="30"/>
        </w:rPr>
      </w:pPr>
      <w:bookmarkStart w:id="14" w:name="_Toc123112229"/>
      <w:bookmarkStart w:id="15" w:name="_Toc26897"/>
      <w:bookmarkStart w:id="16" w:name="_Toc4966"/>
      <w:bookmarkStart w:id="17" w:name="_Toc6306"/>
      <w:bookmarkStart w:id="18" w:name="_Toc29629"/>
      <w:bookmarkStart w:id="19" w:name="_Toc139991730"/>
      <w:bookmarkStart w:id="20" w:name="_Toc123112268"/>
      <w:bookmarkStart w:id="21" w:name="_Toc32639"/>
      <w:bookmarkStart w:id="22" w:name="_Toc141703880"/>
      <w:bookmarkStart w:id="23" w:name="_Toc8727"/>
      <w:bookmarkStart w:id="24" w:name="_Toc123701389"/>
      <w:bookmarkStart w:id="25" w:name="_Toc30935"/>
      <w:bookmarkStart w:id="26" w:name="_Toc4867"/>
      <w:bookmarkStart w:id="27" w:name="_Toc15517"/>
      <w:bookmarkStart w:id="28" w:name="_Toc23386"/>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24860"/>
      <w:bookmarkStart w:id="33" w:name="_Toc15067"/>
      <w:bookmarkStart w:id="34" w:name="_Toc819"/>
      <w:bookmarkStart w:id="35" w:name="_Toc21301"/>
      <w:bookmarkStart w:id="36" w:name="_Toc2465"/>
      <w:bookmarkStart w:id="37" w:name="_Toc3224"/>
      <w:bookmarkStart w:id="38" w:name="_Toc258829399"/>
      <w:bookmarkStart w:id="39" w:name="_Toc13020"/>
      <w:bookmarkStart w:id="40" w:name="_Toc22864"/>
      <w:bookmarkStart w:id="41" w:name="_Toc19592"/>
      <w:bookmarkStart w:id="42" w:name="_Toc6617"/>
      <w:r>
        <w:rPr>
          <w:rFonts w:hint="eastAsia" w:ascii="Times New Roman"/>
          <w:color w:val="auto"/>
          <w:sz w:val="30"/>
        </w:rPr>
        <w:t>前言</w:t>
      </w:r>
      <w:bookmarkEnd w:id="29"/>
    </w:p>
    <w:p>
      <w:pPr>
        <w:pStyle w:val="43"/>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.订立本投资协议书的目的是保护投资人合法权益，明确投资协议书当事人的权利义务，规范理财产品运作。</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号）、《商业银行理财业务监督管理办法》（银保监会令2018年第</w:t>
      </w:r>
      <w:r>
        <w:rPr>
          <w:rFonts w:ascii="宋体" w:hAnsi="宋体"/>
          <w:sz w:val="18"/>
          <w:szCs w:val="18"/>
        </w:rPr>
        <w:t>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（银保监会令2018年第7号）、《理财公司理财产品销售管理暂行办法》（银保监会令2021年第4号）等监管规定及其他有关规定。</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宋体" w:hAnsi="宋体"/>
          <w:sz w:val="18"/>
          <w:szCs w:val="18"/>
        </w:rPr>
        <w:t>.订立本投资协议书的原则是平等自愿、诚实信用、充分保护投资人合法权益。</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pPr>
        <w:widowControl/>
        <w:spacing w:line="360" w:lineRule="auto"/>
        <w:jc w:val="left"/>
      </w:pPr>
      <w:r>
        <w:br w:type="page"/>
      </w:r>
    </w:p>
    <w:p>
      <w:pPr>
        <w:pStyle w:val="2"/>
        <w:spacing w:before="0" w:after="0"/>
        <w:jc w:val="center"/>
        <w:rPr>
          <w:rFonts w:ascii="Times New Roman"/>
          <w:color w:val="auto"/>
          <w:sz w:val="30"/>
        </w:rPr>
      </w:pPr>
      <w:bookmarkStart w:id="44" w:name="_Toc12429"/>
      <w:bookmarkStart w:id="45" w:name="_Toc74065739"/>
      <w:r>
        <w:rPr>
          <w:rFonts w:ascii="Times New Roman"/>
          <w:color w:val="auto"/>
          <w:sz w:val="30"/>
        </w:rPr>
        <w:t>第</w:t>
      </w:r>
      <w:r>
        <w:rPr>
          <w:rFonts w:hint="eastAsia" w:ascii="Times New Roman"/>
          <w:color w:val="auto"/>
          <w:sz w:val="30"/>
        </w:rPr>
        <w:t xml:space="preserve">二条 </w:t>
      </w:r>
      <w:r>
        <w:rPr>
          <w:rFonts w:ascii="Times New Roman"/>
          <w:color w:val="auto"/>
          <w:sz w:val="30"/>
        </w:rPr>
        <w:t xml:space="preserve"> </w:t>
      </w:r>
      <w:r>
        <w:rPr>
          <w:rFonts w:hint="eastAsia" w:ascii="Times New Roman"/>
          <w:color w:val="auto"/>
          <w:sz w:val="30"/>
        </w:rPr>
        <w:t>双方</w:t>
      </w:r>
      <w:r>
        <w:rPr>
          <w:rFonts w:ascii="Times New Roman"/>
          <w:color w:val="auto"/>
          <w:sz w:val="30"/>
        </w:rPr>
        <w:t>权利义务</w:t>
      </w:r>
      <w:bookmarkEnd w:id="44"/>
    </w:p>
    <w:p>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投资者同意并授权产品管理人有权根据业务办理需要、反洗钱工作、非居民金融账户涉税信息尽职调查、I</w:t>
      </w:r>
      <w:r>
        <w:rPr>
          <w:rFonts w:ascii="黑体" w:hAnsi="黑体" w:eastAsia="黑体"/>
          <w:sz w:val="18"/>
          <w:szCs w:val="18"/>
        </w:rPr>
        <w:t>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hint="eastAsia" w:ascii="宋体" w:hAnsi="宋体"/>
          <w:sz w:val="18"/>
          <w:szCs w:val="18"/>
        </w:rPr>
        <w:t>3.</w:t>
      </w:r>
      <w:r>
        <w:rPr>
          <w:rFonts w:ascii="宋体" w:hAnsi="宋体"/>
          <w:sz w:val="18"/>
          <w:szCs w:val="18"/>
        </w:rPr>
        <w:t>产品管理人应按照约定披露产品相关信息。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cs="黑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cs="黑体"/>
          <w:sz w:val="18"/>
          <w:szCs w:val="18"/>
        </w:rPr>
        <w:t>如因投资者未及时办理变更手续而造成产品管理人及</w:t>
      </w:r>
      <w:r>
        <w:rPr>
          <w:rFonts w:ascii="黑体" w:hAnsi="黑体" w:eastAsia="黑体" w:cs="黑体"/>
          <w:sz w:val="18"/>
          <w:szCs w:val="18"/>
        </w:rPr>
        <w:t>/或</w:t>
      </w:r>
      <w:r>
        <w:rPr>
          <w:rFonts w:hint="eastAsia" w:ascii="黑体" w:hAnsi="黑体" w:eastAsia="黑体" w:cs="黑体"/>
          <w:sz w:val="18"/>
          <w:szCs w:val="18"/>
        </w:rPr>
        <w:t>销售机构无法向投资者进行正常利益分配和资金清算分配</w:t>
      </w:r>
      <w:r>
        <w:rPr>
          <w:rFonts w:ascii="黑体" w:hAnsi="黑体" w:eastAsia="黑体" w:cs="黑体"/>
          <w:sz w:val="18"/>
          <w:szCs w:val="18"/>
        </w:rPr>
        <w:t>,</w:t>
      </w:r>
      <w:r>
        <w:rPr>
          <w:rFonts w:hint="eastAsia" w:ascii="黑体" w:hAnsi="黑体" w:eastAsia="黑体" w:cs="黑体"/>
          <w:sz w:val="18"/>
          <w:szCs w:val="18"/>
        </w:rPr>
        <w:t>由此导致投资者损失的由投资者自行承担</w:t>
      </w:r>
      <w:r>
        <w:rPr>
          <w:rFonts w:ascii="黑体" w:hAnsi="黑体" w:eastAsia="黑体" w:cs="黑体"/>
          <w:sz w:val="18"/>
          <w:szCs w:val="18"/>
        </w:rPr>
        <w:t xml:space="preserve">, </w:t>
      </w:r>
      <w:r>
        <w:rPr>
          <w:rFonts w:hint="eastAsia" w:ascii="黑体" w:hAnsi="黑体" w:eastAsia="黑体" w:cs="黑体"/>
          <w:sz w:val="18"/>
          <w:szCs w:val="18"/>
        </w:rPr>
        <w:t>产品管理人不承担责任。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CA认证服务、可信时间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产品管理人或销售机构发现或有合理理由怀疑投资者或其资金存在洗钱、恐怖融资、逃税等嫌疑,</w:t>
      </w:r>
      <w:r>
        <w:rPr>
          <w:rFonts w:hint="eastAsia" w:ascii="黑体" w:hAnsi="黑体" w:eastAsia="黑体"/>
          <w:sz w:val="18"/>
          <w:szCs w:val="18"/>
        </w:rPr>
        <w:t>产品管理人有权提前终止本协议，造成投资者损失的，产品管理人不承担责任。</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宋体" w:hAnsi="宋体"/>
          <w:sz w:val="18"/>
          <w:szCs w:val="18"/>
        </w:rPr>
        <w:t>1</w:t>
      </w:r>
      <w:r>
        <w:rPr>
          <w:rFonts w:ascii="宋体" w:hAnsi="宋体"/>
          <w:sz w:val="18"/>
          <w:szCs w:val="18"/>
        </w:rPr>
        <w:t>2.</w:t>
      </w:r>
      <w:r>
        <w:rPr>
          <w:rFonts w:hint="eastAsia" w:ascii="宋体" w:hAnsi="宋体"/>
          <w:sz w:val="18"/>
          <w:szCs w:val="18"/>
        </w:rPr>
        <w:t>产品管理人有权根据符合条件的申请，受理并办理继承、承继、捐赠、司法强制执行和经理财产品登记机构认可的其他情况下的非交易过户。</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3</w:t>
      </w:r>
      <w:r>
        <w:rPr>
          <w:rFonts w:ascii="宋体" w:hAnsi="宋体"/>
          <w:sz w:val="18"/>
          <w:szCs w:val="18"/>
        </w:rPr>
        <w:t>.其他在本产品所对应理财产品销售文件中约定的产品管理人的权利与义务。</w:t>
      </w:r>
    </w:p>
    <w:p>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pPr>
        <w:pStyle w:val="2"/>
        <w:spacing w:before="0" w:after="0"/>
        <w:jc w:val="center"/>
        <w:rPr>
          <w:rFonts w:ascii="Times New Roman"/>
          <w:sz w:val="30"/>
        </w:rPr>
      </w:pPr>
      <w:bookmarkStart w:id="46" w:name="_Toc706"/>
      <w:bookmarkStart w:id="47" w:name="_Toc13288"/>
      <w:bookmarkStart w:id="48" w:name="_Toc20627"/>
      <w:bookmarkStart w:id="49" w:name="_Toc733"/>
      <w:bookmarkStart w:id="50" w:name="_Toc20318"/>
      <w:bookmarkStart w:id="51" w:name="_Toc22708"/>
      <w:bookmarkStart w:id="52" w:name="_Toc545"/>
      <w:bookmarkStart w:id="53" w:name="_Toc24571"/>
      <w:bookmarkStart w:id="54" w:name="_Toc74065740"/>
      <w:bookmarkStart w:id="55" w:name="_Toc6149"/>
      <w:bookmarkStart w:id="56" w:name="_Toc6683"/>
      <w:bookmarkStart w:id="57" w:name="_Toc18631"/>
      <w:bookmarkStart w:id="58" w:name="_Toc258829400"/>
      <w:bookmarkStart w:id="59" w:name="_Toc233456272"/>
      <w:r>
        <w:rPr>
          <w:rFonts w:hint="eastAsia" w:ascii="Times New Roman"/>
          <w:color w:val="auto"/>
          <w:sz w:val="30"/>
        </w:rPr>
        <w:t>第三条</w:t>
      </w:r>
      <w:r>
        <w:rPr>
          <w:rFonts w:ascii="Times New Roman"/>
          <w:color w:val="auto"/>
          <w:sz w:val="30"/>
        </w:rPr>
        <w:t xml:space="preserve">  不可抗力</w:t>
      </w:r>
      <w:bookmarkEnd w:id="46"/>
    </w:p>
    <w:bookmarkEnd w:id="47"/>
    <w:bookmarkEnd w:id="48"/>
    <w:bookmarkEnd w:id="49"/>
    <w:bookmarkEnd w:id="50"/>
    <w:bookmarkEnd w:id="51"/>
    <w:bookmarkEnd w:id="52"/>
    <w:bookmarkEnd w:id="53"/>
    <w:bookmarkEnd w:id="54"/>
    <w:bookmarkEnd w:id="55"/>
    <w:bookmarkEnd w:id="56"/>
    <w:bookmarkEnd w:id="57"/>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.本协议书中涉及的相关到期日或分配日如遇节假日，将顺延至下一个工作日，由此产生的风险及损失双方当事人互不承担责任；</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法律适用和争议解决</w:t>
      </w:r>
      <w:bookmarkEnd w:id="61"/>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pPr>
        <w:pStyle w:val="2"/>
        <w:spacing w:before="0" w:after="0"/>
        <w:jc w:val="center"/>
        <w:rPr>
          <w:rFonts w:ascii="Times New Roman"/>
          <w:b w:val="0"/>
          <w:sz w:val="30"/>
        </w:rPr>
      </w:pPr>
      <w:bookmarkStart w:id="62" w:name="_Toc11943"/>
      <w:r>
        <w:rPr>
          <w:rFonts w:hint="eastAsia" w:ascii="Times New Roman"/>
          <w:color w:val="auto"/>
          <w:sz w:val="30"/>
        </w:rPr>
        <w:t xml:space="preserve">第六条 </w:t>
      </w:r>
      <w:r>
        <w:rPr>
          <w:rFonts w:ascii="Times New Roman"/>
          <w:color w:val="auto"/>
          <w:sz w:val="30"/>
        </w:rPr>
        <w:t xml:space="preserve"> 协议的签署和</w:t>
      </w:r>
      <w:r>
        <w:rPr>
          <w:rFonts w:hint="eastAsia" w:ascii="Times New Roman"/>
          <w:color w:val="auto"/>
          <w:sz w:val="30"/>
        </w:rPr>
        <w:t>效力</w:t>
      </w:r>
      <w:bookmarkEnd w:id="62"/>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，本协议自投资者签名/盖章后则为签署</w:t>
      </w:r>
      <w:r>
        <w:rPr>
          <w:rFonts w:ascii="黑体" w:hAnsi="黑体" w:eastAsia="黑体"/>
          <w:sz w:val="18"/>
          <w:szCs w:val="18"/>
        </w:rPr>
        <w:t>。</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hint="eastAsia"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3" w:name="_Toc29352"/>
      <w:bookmarkStart w:id="64" w:name="_Toc77953869"/>
      <w:r>
        <w:rPr>
          <w:rFonts w:hint="eastAsia" w:ascii="Times New Roman"/>
          <w:color w:val="auto"/>
          <w:sz w:val="30"/>
        </w:rPr>
        <w:t xml:space="preserve">第七条 </w:t>
      </w:r>
      <w:r>
        <w:rPr>
          <w:rFonts w:ascii="Times New Roman"/>
          <w:color w:val="auto"/>
          <w:sz w:val="30"/>
        </w:rPr>
        <w:t xml:space="preserve"> </w:t>
      </w:r>
      <w:r>
        <w:rPr>
          <w:rFonts w:hint="eastAsia" w:ascii="Times New Roman"/>
          <w:color w:val="auto"/>
          <w:sz w:val="30"/>
        </w:rPr>
        <w:t>消费者权益保护</w:t>
      </w:r>
      <w:bookmarkEnd w:id="63"/>
      <w:bookmarkEnd w:id="64"/>
      <w:r>
        <w:rPr>
          <w:rFonts w:hint="eastAsia" w:ascii="Times New Roman"/>
          <w:color w:val="auto"/>
          <w:sz w:val="30"/>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hint="eastAsia" w:ascii="黑体" w:hAnsi="黑体" w:eastAsia="黑体"/>
          <w:sz w:val="18"/>
          <w:szCs w:val="18"/>
        </w:rPr>
        <w:t>1.产品管理人：兴银理财有限责任公司</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2.销售机构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 xml:space="preserve">销售机构的联络方式，具体以《（代理）销售协议书》《投资者权益须知》等销售文件的内容为准。 </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25"/>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pPr>
              <w:autoSpaceDE w:val="0"/>
              <w:autoSpaceDN w:val="0"/>
              <w:adjustRightInd w:val="0"/>
              <w:snapToGrid w:val="0"/>
              <w:spacing w:line="360" w:lineRule="auto"/>
              <w:jc w:val="left"/>
              <w:rPr>
                <w:rFonts w:ascii="宋体" w:hAnsi="宋体" w:cs="宋体"/>
                <w:bCs/>
                <w:sz w:val="18"/>
                <w:szCs w:val="18"/>
              </w:rPr>
            </w:pPr>
            <w:permStart w:id="31" w:edGrp="everyone"/>
            <w:r>
              <w:rPr>
                <w:rFonts w:hint="eastAsia" w:ascii="宋体" w:hAnsi="宋体" w:cs="宋体"/>
                <w:bCs/>
                <w:sz w:val="18"/>
                <w:szCs w:val="18"/>
              </w:rPr>
              <w:t>【】</w:t>
            </w:r>
            <w:permEnd w:id="31"/>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pPr>
              <w:autoSpaceDE w:val="0"/>
              <w:autoSpaceDN w:val="0"/>
              <w:adjustRightInd w:val="0"/>
              <w:snapToGrid w:val="0"/>
              <w:spacing w:line="360" w:lineRule="auto"/>
              <w:jc w:val="left"/>
              <w:rPr>
                <w:rFonts w:ascii="宋体" w:hAnsi="宋体" w:cs="宋体"/>
                <w:bCs/>
                <w:sz w:val="18"/>
                <w:szCs w:val="18"/>
              </w:rPr>
            </w:pPr>
            <w:permStart w:id="32" w:edGrp="everyone"/>
            <w:r>
              <w:rPr>
                <w:rFonts w:hint="eastAsia" w:ascii="宋体" w:hAnsi="宋体" w:cs="宋体"/>
                <w:bCs/>
                <w:sz w:val="18"/>
                <w:szCs w:val="18"/>
              </w:rPr>
              <w:t>【】类</w:t>
            </w:r>
            <w:r>
              <w:rPr>
                <w:rFonts w:ascii="宋体" w:hAnsi="宋体" w:cs="宋体"/>
                <w:bCs/>
                <w:sz w:val="18"/>
                <w:szCs w:val="18"/>
              </w:rPr>
              <w:t>份额</w:t>
            </w:r>
            <w:permEnd w:id="32"/>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pPr>
              <w:autoSpaceDE w:val="0"/>
              <w:autoSpaceDN w:val="0"/>
              <w:adjustRightInd w:val="0"/>
              <w:snapToGrid w:val="0"/>
              <w:spacing w:line="360" w:lineRule="auto"/>
              <w:jc w:val="center"/>
              <w:rPr>
                <w:rFonts w:ascii="宋体" w:hAnsi="宋体"/>
                <w:b/>
                <w:sz w:val="18"/>
                <w:szCs w:val="18"/>
              </w:rPr>
            </w:pPr>
            <w:permStart w:id="33" w:edGrp="everyone" w:colFirst="2" w:colLast="2"/>
            <w:r>
              <w:rPr>
                <w:rFonts w:hint="eastAsia" w:ascii="宋体" w:hAnsi="宋体"/>
                <w:b/>
                <w:sz w:val="18"/>
                <w:szCs w:val="18"/>
              </w:rPr>
              <w:t>交易类型</w:t>
            </w: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认购</w:t>
            </w:r>
          </w:p>
        </w:tc>
        <w:tc>
          <w:tcPr>
            <w:tcW w:w="5987" w:type="dxa"/>
            <w:vAlign w:val="center"/>
          </w:tcPr>
          <w:p>
            <w:pPr>
              <w:autoSpaceDE w:val="0"/>
              <w:autoSpaceDN w:val="0"/>
              <w:adjustRightInd w:val="0"/>
              <w:snapToGrid w:val="0"/>
              <w:spacing w:line="360" w:lineRule="auto"/>
              <w:jc w:val="left"/>
              <w:rPr>
                <w:rFonts w:ascii="宋体" w:hAnsi="宋体" w:cs="宋体"/>
                <w:bCs/>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permEnd w:id="33"/>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ermStart w:id="34" w:edGrp="everyone" w:colFirst="2" w:colLast="2"/>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permEnd w:id="34"/>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ermStart w:id="35" w:edGrp="everyone" w:colFirst="2" w:colLast="2"/>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pPr>
              <w:autoSpaceDE w:val="0"/>
              <w:autoSpaceDN w:val="0"/>
              <w:adjustRightInd w:val="0"/>
              <w:snapToGrid w:val="0"/>
              <w:spacing w:line="360" w:lineRule="auto"/>
              <w:rPr>
                <w:rFonts w:ascii="宋体" w:hAnsi="宋体"/>
                <w:bCs/>
                <w:sz w:val="18"/>
                <w:szCs w:val="18"/>
              </w:rPr>
            </w:pPr>
            <w:r>
              <w:rPr>
                <w:rFonts w:ascii="宋体" w:hAnsi="宋体"/>
                <w:bCs/>
                <w:sz w:val="18"/>
                <w:szCs w:val="18"/>
              </w:rPr>
              <w:t>份额：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份。</w:t>
            </w:r>
          </w:p>
        </w:tc>
      </w:tr>
      <w:permEnd w:id="35"/>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交易申请日</w:t>
            </w:r>
          </w:p>
        </w:tc>
        <w:tc>
          <w:tcPr>
            <w:tcW w:w="5987" w:type="dxa"/>
            <w:vAlign w:val="center"/>
          </w:tcPr>
          <w:p>
            <w:pPr>
              <w:autoSpaceDE w:val="0"/>
              <w:autoSpaceDN w:val="0"/>
              <w:adjustRightInd w:val="0"/>
              <w:snapToGrid w:val="0"/>
              <w:spacing w:line="360" w:lineRule="auto"/>
              <w:jc w:val="center"/>
              <w:rPr>
                <w:rFonts w:ascii="宋体" w:hAnsi="宋体"/>
                <w:bCs/>
                <w:sz w:val="18"/>
                <w:szCs w:val="18"/>
              </w:rPr>
            </w:pPr>
            <w:permStart w:id="36" w:edGrp="everyone"/>
            <w:r>
              <w:rPr>
                <w:rFonts w:hint="eastAsia" w:asciiTheme="minorEastAsia" w:hAnsiTheme="minorEastAsia"/>
                <w:bCs/>
                <w:sz w:val="18"/>
                <w:szCs w:val="18"/>
              </w:rPr>
              <w:t>【</w:t>
            </w:r>
            <w:r>
              <w:rPr>
                <w:rFonts w:asciiTheme="minorEastAsia" w:hAnsiTheme="minorEastAsia"/>
                <w:bCs/>
                <w:sz w:val="18"/>
                <w:szCs w:val="18"/>
              </w:rPr>
              <w:t xml:space="preserve"> 】年</w:t>
            </w:r>
            <w:r>
              <w:rPr>
                <w:rFonts w:hint="eastAsia" w:asciiTheme="minorEastAsia" w:hAnsiTheme="minorEastAsia"/>
                <w:bCs/>
                <w:sz w:val="18"/>
                <w:szCs w:val="18"/>
              </w:rPr>
              <w:t>【</w:t>
            </w:r>
            <w:r>
              <w:rPr>
                <w:rFonts w:asciiTheme="minorEastAsia" w:hAnsiTheme="minorEastAsia"/>
                <w:bCs/>
                <w:sz w:val="18"/>
                <w:szCs w:val="18"/>
              </w:rPr>
              <w:t xml:space="preserve"> </w:t>
            </w:r>
            <w:r>
              <w:rPr>
                <w:rFonts w:hint="eastAsia" w:asciiTheme="minorEastAsia" w:hAnsiTheme="minorEastAsia"/>
                <w:bCs/>
                <w:sz w:val="18"/>
                <w:szCs w:val="18"/>
              </w:rPr>
              <w:t>】月【</w:t>
            </w:r>
            <w:r>
              <w:rPr>
                <w:rFonts w:asciiTheme="minorEastAsia" w:hAnsiTheme="minorEastAsia"/>
                <w:bCs/>
                <w:sz w:val="18"/>
                <w:szCs w:val="18"/>
              </w:rPr>
              <w:t xml:space="preserve"> </w:t>
            </w:r>
            <w:r>
              <w:rPr>
                <w:rFonts w:hint="eastAsia" w:asciiTheme="minorEastAsia" w:hAnsiTheme="minorEastAsia"/>
                <w:bCs/>
                <w:sz w:val="18"/>
                <w:szCs w:val="18"/>
              </w:rPr>
              <w:t>】日</w:t>
            </w:r>
            <w:permEnd w:id="36"/>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w:t>
            </w:r>
            <w:r>
              <w:rPr>
                <w:rFonts w:hint="eastAsia" w:ascii="黑体" w:hAnsi="黑体" w:eastAsia="黑体"/>
                <w:sz w:val="18"/>
                <w:szCs w:val="18"/>
              </w:rPr>
              <w:t>.</w:t>
            </w:r>
            <w:r>
              <w:rPr>
                <w:rFonts w:ascii="黑体" w:hAnsi="黑体" w:eastAsia="黑体"/>
                <w:sz w:val="18"/>
                <w:szCs w:val="18"/>
              </w:rPr>
              <w:t>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w:t>
            </w:r>
            <w:r>
              <w:rPr>
                <w:rFonts w:ascii="黑体" w:hAnsi="黑体" w:eastAsia="黑体"/>
                <w:sz w:val="18"/>
                <w:szCs w:val="18"/>
              </w:rPr>
              <w:t>投资者认可本协议约定的信息披露途径，已清楚知悉投资者应注意查询的事项和信息披露方面的法律责任，同意产品管理人按照本协议约定进行相关通知和披露。</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3.投资者</w:t>
            </w:r>
            <w:r>
              <w:rPr>
                <w:rFonts w:ascii="黑体" w:hAnsi="黑体" w:eastAsia="黑体"/>
                <w:sz w:val="18"/>
                <w:szCs w:val="18"/>
              </w:rPr>
              <w:t>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pPr>
              <w:spacing w:line="360" w:lineRule="auto"/>
              <w:jc w:val="center"/>
              <w:rPr>
                <w:b/>
                <w:sz w:val="18"/>
                <w:szCs w:val="18"/>
              </w:rPr>
            </w:pPr>
            <w:r>
              <w:rPr>
                <w:rFonts w:hint="eastAsia"/>
                <w:b/>
                <w:sz w:val="18"/>
                <w:szCs w:val="18"/>
              </w:rPr>
              <w:t>投资者签署栏</w:t>
            </w:r>
          </w:p>
        </w:tc>
        <w:tc>
          <w:tcPr>
            <w:tcW w:w="851" w:type="dxa"/>
            <w:gridSpan w:val="2"/>
          </w:tcPr>
          <w:p>
            <w:pPr>
              <w:spacing w:line="360" w:lineRule="auto"/>
              <w:rPr>
                <w:sz w:val="18"/>
                <w:szCs w:val="18"/>
              </w:rPr>
            </w:pPr>
            <w:r>
              <w:rPr>
                <w:rFonts w:hint="eastAsia"/>
                <w:sz w:val="18"/>
                <w:szCs w:val="18"/>
              </w:rPr>
              <w:t>个人投资者适用</w:t>
            </w:r>
          </w:p>
        </w:tc>
        <w:tc>
          <w:tcPr>
            <w:tcW w:w="6998" w:type="dxa"/>
            <w:gridSpan w:val="2"/>
          </w:tcPr>
          <w:p>
            <w:pPr>
              <w:spacing w:line="360" w:lineRule="auto"/>
              <w:rPr>
                <w:sz w:val="18"/>
                <w:szCs w:val="18"/>
              </w:rPr>
            </w:pPr>
            <w:r>
              <w:rPr>
                <w:rFonts w:hint="eastAsia"/>
                <w:sz w:val="18"/>
                <w:szCs w:val="18"/>
              </w:rPr>
              <w:t>投资者（</w:t>
            </w:r>
            <w:r>
              <w:rPr>
                <w:bCs/>
                <w:sz w:val="18"/>
                <w:szCs w:val="18"/>
              </w:rPr>
              <w:t>签名</w:t>
            </w:r>
            <w:r>
              <w:rPr>
                <w:rFonts w:hint="eastAsia"/>
                <w:bCs/>
                <w:sz w:val="18"/>
                <w:szCs w:val="18"/>
              </w:rPr>
              <w:t>/线上确认</w:t>
            </w:r>
            <w:r>
              <w:rPr>
                <w:rFonts w:hint="eastAsia"/>
                <w:sz w:val="18"/>
                <w:szCs w:val="18"/>
              </w:rPr>
              <w:t>）：</w:t>
            </w:r>
          </w:p>
          <w:p>
            <w:pPr>
              <w:spacing w:line="360" w:lineRule="auto"/>
              <w:rPr>
                <w:b/>
                <w:sz w:val="18"/>
                <w:szCs w:val="18"/>
              </w:rPr>
            </w:pPr>
          </w:p>
          <w:p>
            <w:pPr>
              <w:spacing w:line="360" w:lineRule="auto"/>
              <w:rPr>
                <w:b/>
                <w:sz w:val="18"/>
                <w:szCs w:val="18"/>
              </w:rPr>
            </w:pPr>
            <w:r>
              <w:rPr>
                <w:rFonts w:hint="eastAsia"/>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pPr>
              <w:spacing w:line="360" w:lineRule="auto"/>
              <w:rPr>
                <w:b/>
                <w:sz w:val="18"/>
                <w:szCs w:val="18"/>
              </w:rPr>
            </w:pPr>
          </w:p>
        </w:tc>
        <w:tc>
          <w:tcPr>
            <w:tcW w:w="851" w:type="dxa"/>
            <w:gridSpan w:val="2"/>
          </w:tcPr>
          <w:p>
            <w:pPr>
              <w:spacing w:line="360" w:lineRule="auto"/>
              <w:rPr>
                <w:sz w:val="18"/>
                <w:szCs w:val="18"/>
              </w:rPr>
            </w:pPr>
            <w:r>
              <w:rPr>
                <w:rFonts w:hint="eastAsia"/>
                <w:sz w:val="18"/>
                <w:szCs w:val="18"/>
              </w:rPr>
              <w:t>机构投资者适用</w:t>
            </w:r>
          </w:p>
        </w:tc>
        <w:tc>
          <w:tcPr>
            <w:tcW w:w="6998" w:type="dxa"/>
            <w:gridSpan w:val="2"/>
          </w:tcPr>
          <w:p>
            <w:pPr>
              <w:spacing w:line="360" w:lineRule="auto"/>
              <w:rPr>
                <w:rFonts w:cs="Arial"/>
                <w:sz w:val="18"/>
                <w:szCs w:val="18"/>
              </w:rPr>
            </w:pPr>
            <w:r>
              <w:rPr>
                <w:rFonts w:hint="eastAsia"/>
                <w:sz w:val="18"/>
                <w:szCs w:val="18"/>
              </w:rPr>
              <w:t>投资者</w:t>
            </w:r>
            <w:r>
              <w:rPr>
                <w:rFonts w:hint="eastAsia" w:cs="Arial"/>
                <w:sz w:val="18"/>
                <w:szCs w:val="18"/>
              </w:rPr>
              <w:t>（盖章</w:t>
            </w:r>
            <w:r>
              <w:rPr>
                <w:rFonts w:hint="eastAsia" w:cs="Arial"/>
                <w:bCs/>
                <w:sz w:val="18"/>
                <w:szCs w:val="18"/>
              </w:rPr>
              <w:t>/线上确认</w:t>
            </w:r>
            <w:r>
              <w:rPr>
                <w:rFonts w:hint="eastAsia" w:cs="Arial"/>
                <w:sz w:val="18"/>
                <w:szCs w:val="18"/>
              </w:rPr>
              <w:t>）：</w:t>
            </w:r>
          </w:p>
          <w:p>
            <w:pPr>
              <w:spacing w:line="360" w:lineRule="auto"/>
              <w:rPr>
                <w:rFonts w:cs="Arial"/>
                <w:sz w:val="18"/>
                <w:szCs w:val="18"/>
              </w:rPr>
            </w:pPr>
          </w:p>
          <w:p>
            <w:pPr>
              <w:spacing w:line="360" w:lineRule="auto"/>
              <w:rPr>
                <w:b/>
                <w:sz w:val="18"/>
                <w:szCs w:val="18"/>
              </w:rPr>
            </w:pPr>
            <w:r>
              <w:rPr>
                <w:rFonts w:hint="eastAsia" w:cs="Arial"/>
                <w:sz w:val="18"/>
                <w:szCs w:val="18"/>
              </w:rPr>
              <w:t>投资者法定代表人或授权代理人（</w:t>
            </w:r>
            <w:r>
              <w:rPr>
                <w:rFonts w:cs="Arial"/>
                <w:bCs/>
                <w:sz w:val="18"/>
                <w:szCs w:val="18"/>
              </w:rPr>
              <w:t>签名</w:t>
            </w:r>
            <w:r>
              <w:rPr>
                <w:rFonts w:hint="eastAsia" w:cs="Arial"/>
                <w:bCs/>
                <w:sz w:val="18"/>
                <w:szCs w:val="18"/>
              </w:rPr>
              <w:t>/盖章/线上确认</w:t>
            </w:r>
            <w:r>
              <w:rPr>
                <w:rFonts w:hint="eastAsia" w:cs="Arial"/>
                <w:sz w:val="18"/>
                <w:szCs w:val="18"/>
              </w:rPr>
              <w:t>）：</w:t>
            </w:r>
          </w:p>
          <w:p>
            <w:pPr>
              <w:spacing w:line="360" w:lineRule="auto"/>
              <w:rPr>
                <w:sz w:val="18"/>
                <w:szCs w:val="18"/>
              </w:rPr>
            </w:pPr>
            <w:r>
              <w:rPr>
                <w:rFonts w:hint="eastAsia"/>
                <w:sz w:val="18"/>
                <w:szCs w:val="18"/>
              </w:rPr>
              <w:t>日期：</w:t>
            </w:r>
          </w:p>
        </w:tc>
      </w:tr>
    </w:tbl>
    <w:p>
      <w:pPr>
        <w:spacing w:line="360" w:lineRule="auto"/>
        <w:jc w:val="left"/>
        <w:rPr>
          <w:b/>
          <w:bCs/>
        </w:rPr>
      </w:pPr>
      <w:r>
        <w:rPr>
          <w:rFonts w:hint="eastAsia" w:ascii="宋体" w:hAnsi="宋体"/>
          <w:b/>
          <w:bCs/>
          <w:sz w:val="18"/>
          <w:szCs w:val="18"/>
        </w:rPr>
        <w:t>（本《投资协议书》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b/>
          <w:bCs/>
          <w:sz w:val="18"/>
          <w:szCs w:val="18"/>
        </w:rPr>
        <w:t>。）</w:t>
      </w:r>
    </w:p>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pPr>
          <w:pStyle w:val="14"/>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15</w:t>
        </w:r>
        <w:r>
          <w:rPr>
            <w:lang w:val="zh-CN"/>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right"/>
      <w:rPr>
        <w:b/>
      </w:rPr>
    </w:pPr>
    <w:r>
      <w:rPr>
        <w:rFonts w:hint="eastAsia"/>
        <w:b/>
      </w:rPr>
      <w:t>投资协议书</w:t>
    </w:r>
  </w:p>
  <w:p>
    <w:pPr>
      <w:pStyle w:val="15"/>
      <w:jc w:val="right"/>
      <w:rPr>
        <w:b/>
      </w:rPr>
    </w:pPr>
    <w:r>
      <w:rPr>
        <w:rFonts w:hint="eastAsia"/>
        <w:b/>
      </w:rPr>
      <w:t>注：本文件由兴银理财有限责任公司统一编制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singleLevel"/>
    <w:tmpl w:val="0000000A"/>
    <w:lvl w:ilvl="0" w:tentative="0">
      <w:start w:val="1"/>
      <w:numFmt w:val="bullet"/>
      <w:pStyle w:val="47"/>
      <w:lvlText w:val=""/>
      <w:lvlJc w:val="left"/>
      <w:pPr>
        <w:tabs>
          <w:tab w:val="left" w:pos="360"/>
        </w:tabs>
        <w:ind w:left="360" w:hanging="360"/>
      </w:pPr>
      <w:rPr>
        <w:rFonts w:hint="default" w:ascii="Symbol" w:hAnsi="Symbol"/>
        <w:color w:val="auto"/>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1" w:cryptProviderType="rsaAES" w:cryptAlgorithmClass="hash" w:cryptAlgorithmType="typeAny" w:cryptAlgorithmSid="14" w:cryptSpinCount="100000" w:hash="+WNdffj/97Q3YZXKjv3+6jVuciJC8HBKvP94Qc+O//e7Nr7Gvg+nFBFQ/gLv39QV469m+fbWkBEWqetXg/zuWA==" w:salt="iw5OoBUsYxyn/AezuF/bYw=="/>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IwNTljODZlNmMxN2IxODkyNGQ0MzYwYjkyOGU4YWIifQ=="/>
  </w:docVars>
  <w:rsids>
    <w:rsidRoot w:val="00172A27"/>
    <w:rsid w:val="000016A1"/>
    <w:rsid w:val="00001E2E"/>
    <w:rsid w:val="000047F2"/>
    <w:rsid w:val="000052BD"/>
    <w:rsid w:val="00006526"/>
    <w:rsid w:val="000073F3"/>
    <w:rsid w:val="0001389C"/>
    <w:rsid w:val="000141A7"/>
    <w:rsid w:val="000209B7"/>
    <w:rsid w:val="00021451"/>
    <w:rsid w:val="000215C7"/>
    <w:rsid w:val="00021BF7"/>
    <w:rsid w:val="00023F0A"/>
    <w:rsid w:val="0002724F"/>
    <w:rsid w:val="00030239"/>
    <w:rsid w:val="0003198D"/>
    <w:rsid w:val="000345D6"/>
    <w:rsid w:val="000365A1"/>
    <w:rsid w:val="00040447"/>
    <w:rsid w:val="0004166F"/>
    <w:rsid w:val="00042221"/>
    <w:rsid w:val="00042E95"/>
    <w:rsid w:val="00045C60"/>
    <w:rsid w:val="00045FF7"/>
    <w:rsid w:val="00055256"/>
    <w:rsid w:val="00055E1D"/>
    <w:rsid w:val="00060AA2"/>
    <w:rsid w:val="0006286C"/>
    <w:rsid w:val="00063E11"/>
    <w:rsid w:val="00065143"/>
    <w:rsid w:val="00067E29"/>
    <w:rsid w:val="00073192"/>
    <w:rsid w:val="00077B06"/>
    <w:rsid w:val="00081682"/>
    <w:rsid w:val="0008289A"/>
    <w:rsid w:val="00083216"/>
    <w:rsid w:val="00083712"/>
    <w:rsid w:val="00096B82"/>
    <w:rsid w:val="00097F9C"/>
    <w:rsid w:val="000A21B2"/>
    <w:rsid w:val="000A29E4"/>
    <w:rsid w:val="000B0F5E"/>
    <w:rsid w:val="000B1095"/>
    <w:rsid w:val="000B687C"/>
    <w:rsid w:val="000B732C"/>
    <w:rsid w:val="000C2157"/>
    <w:rsid w:val="000C23C6"/>
    <w:rsid w:val="000C23E7"/>
    <w:rsid w:val="000C5F0B"/>
    <w:rsid w:val="000C66F8"/>
    <w:rsid w:val="000C6CA3"/>
    <w:rsid w:val="000D1DE9"/>
    <w:rsid w:val="000D7C5B"/>
    <w:rsid w:val="000E4739"/>
    <w:rsid w:val="000F16C0"/>
    <w:rsid w:val="000F18A0"/>
    <w:rsid w:val="000F4555"/>
    <w:rsid w:val="000F4EBB"/>
    <w:rsid w:val="000F7F68"/>
    <w:rsid w:val="0010450A"/>
    <w:rsid w:val="00105DB2"/>
    <w:rsid w:val="00106DE4"/>
    <w:rsid w:val="001075D6"/>
    <w:rsid w:val="00111396"/>
    <w:rsid w:val="00112F70"/>
    <w:rsid w:val="00113191"/>
    <w:rsid w:val="0011395B"/>
    <w:rsid w:val="00116696"/>
    <w:rsid w:val="001249B1"/>
    <w:rsid w:val="00124ADF"/>
    <w:rsid w:val="001256B2"/>
    <w:rsid w:val="00125A39"/>
    <w:rsid w:val="00136F50"/>
    <w:rsid w:val="00150F88"/>
    <w:rsid w:val="00151C5F"/>
    <w:rsid w:val="00153821"/>
    <w:rsid w:val="00153A6A"/>
    <w:rsid w:val="0015605F"/>
    <w:rsid w:val="00156B9B"/>
    <w:rsid w:val="001676C5"/>
    <w:rsid w:val="00172A27"/>
    <w:rsid w:val="001739F3"/>
    <w:rsid w:val="00176250"/>
    <w:rsid w:val="001767D5"/>
    <w:rsid w:val="00181F8E"/>
    <w:rsid w:val="00183919"/>
    <w:rsid w:val="00184F16"/>
    <w:rsid w:val="001913D5"/>
    <w:rsid w:val="001A0DEE"/>
    <w:rsid w:val="001A331C"/>
    <w:rsid w:val="001A3B4F"/>
    <w:rsid w:val="001A68DB"/>
    <w:rsid w:val="001B3D1B"/>
    <w:rsid w:val="001B4A37"/>
    <w:rsid w:val="001B4F62"/>
    <w:rsid w:val="001C2E83"/>
    <w:rsid w:val="001C5549"/>
    <w:rsid w:val="001C5FB8"/>
    <w:rsid w:val="001C627B"/>
    <w:rsid w:val="001C6A43"/>
    <w:rsid w:val="001D33CF"/>
    <w:rsid w:val="001D5339"/>
    <w:rsid w:val="001D6D21"/>
    <w:rsid w:val="001E0B5B"/>
    <w:rsid w:val="001E22BC"/>
    <w:rsid w:val="001E4956"/>
    <w:rsid w:val="001E604C"/>
    <w:rsid w:val="001F0C20"/>
    <w:rsid w:val="001F213C"/>
    <w:rsid w:val="001F3442"/>
    <w:rsid w:val="001F3518"/>
    <w:rsid w:val="001F5553"/>
    <w:rsid w:val="001F5D35"/>
    <w:rsid w:val="001F764C"/>
    <w:rsid w:val="00202706"/>
    <w:rsid w:val="00204226"/>
    <w:rsid w:val="00204B97"/>
    <w:rsid w:val="00206557"/>
    <w:rsid w:val="0020785E"/>
    <w:rsid w:val="002115EE"/>
    <w:rsid w:val="00211B89"/>
    <w:rsid w:val="00213777"/>
    <w:rsid w:val="0021550E"/>
    <w:rsid w:val="0021697D"/>
    <w:rsid w:val="0022040D"/>
    <w:rsid w:val="0022092C"/>
    <w:rsid w:val="00222AF4"/>
    <w:rsid w:val="00225324"/>
    <w:rsid w:val="00225C55"/>
    <w:rsid w:val="00226166"/>
    <w:rsid w:val="00227D78"/>
    <w:rsid w:val="0023600D"/>
    <w:rsid w:val="00241D65"/>
    <w:rsid w:val="00244658"/>
    <w:rsid w:val="002464CF"/>
    <w:rsid w:val="002476E6"/>
    <w:rsid w:val="00252AD2"/>
    <w:rsid w:val="00253D3F"/>
    <w:rsid w:val="002544CB"/>
    <w:rsid w:val="00256159"/>
    <w:rsid w:val="0025790A"/>
    <w:rsid w:val="00257D80"/>
    <w:rsid w:val="002632C7"/>
    <w:rsid w:val="00263D71"/>
    <w:rsid w:val="00267780"/>
    <w:rsid w:val="002719C4"/>
    <w:rsid w:val="00276547"/>
    <w:rsid w:val="002819AA"/>
    <w:rsid w:val="00284C82"/>
    <w:rsid w:val="00287678"/>
    <w:rsid w:val="00287D6F"/>
    <w:rsid w:val="00294417"/>
    <w:rsid w:val="002944D4"/>
    <w:rsid w:val="0029567E"/>
    <w:rsid w:val="002A31A8"/>
    <w:rsid w:val="002A571E"/>
    <w:rsid w:val="002A599B"/>
    <w:rsid w:val="002A72B3"/>
    <w:rsid w:val="002B2076"/>
    <w:rsid w:val="002B2E59"/>
    <w:rsid w:val="002B30E7"/>
    <w:rsid w:val="002B3344"/>
    <w:rsid w:val="002B3DF5"/>
    <w:rsid w:val="002B659B"/>
    <w:rsid w:val="002B661B"/>
    <w:rsid w:val="002C13C1"/>
    <w:rsid w:val="002C27E7"/>
    <w:rsid w:val="002C3012"/>
    <w:rsid w:val="002C7D8E"/>
    <w:rsid w:val="002D121A"/>
    <w:rsid w:val="002D407E"/>
    <w:rsid w:val="002E2C93"/>
    <w:rsid w:val="002E388A"/>
    <w:rsid w:val="002E5174"/>
    <w:rsid w:val="002E6E2C"/>
    <w:rsid w:val="002F1BB8"/>
    <w:rsid w:val="002F1C19"/>
    <w:rsid w:val="002F228E"/>
    <w:rsid w:val="002F3164"/>
    <w:rsid w:val="002F467D"/>
    <w:rsid w:val="002F5D80"/>
    <w:rsid w:val="002F6D00"/>
    <w:rsid w:val="002F7889"/>
    <w:rsid w:val="00301494"/>
    <w:rsid w:val="003018A8"/>
    <w:rsid w:val="003052A7"/>
    <w:rsid w:val="00306441"/>
    <w:rsid w:val="00317875"/>
    <w:rsid w:val="003178C0"/>
    <w:rsid w:val="003227BA"/>
    <w:rsid w:val="003255D5"/>
    <w:rsid w:val="003307C6"/>
    <w:rsid w:val="00330ABB"/>
    <w:rsid w:val="003311F2"/>
    <w:rsid w:val="00331829"/>
    <w:rsid w:val="0033253B"/>
    <w:rsid w:val="00332928"/>
    <w:rsid w:val="003331E2"/>
    <w:rsid w:val="003408BE"/>
    <w:rsid w:val="003418D3"/>
    <w:rsid w:val="00344E98"/>
    <w:rsid w:val="0034626E"/>
    <w:rsid w:val="0034787C"/>
    <w:rsid w:val="00350783"/>
    <w:rsid w:val="003513BE"/>
    <w:rsid w:val="003523CE"/>
    <w:rsid w:val="003528FF"/>
    <w:rsid w:val="0035402A"/>
    <w:rsid w:val="003540B3"/>
    <w:rsid w:val="003606ED"/>
    <w:rsid w:val="00360EE3"/>
    <w:rsid w:val="00363B81"/>
    <w:rsid w:val="00363C20"/>
    <w:rsid w:val="00365749"/>
    <w:rsid w:val="00366930"/>
    <w:rsid w:val="00367846"/>
    <w:rsid w:val="0037284F"/>
    <w:rsid w:val="00373584"/>
    <w:rsid w:val="00376B22"/>
    <w:rsid w:val="003873DE"/>
    <w:rsid w:val="0039060B"/>
    <w:rsid w:val="0039164E"/>
    <w:rsid w:val="00391C13"/>
    <w:rsid w:val="003928B0"/>
    <w:rsid w:val="00395E69"/>
    <w:rsid w:val="0039705F"/>
    <w:rsid w:val="003A2822"/>
    <w:rsid w:val="003B03E1"/>
    <w:rsid w:val="003B465C"/>
    <w:rsid w:val="003B63C9"/>
    <w:rsid w:val="003C216F"/>
    <w:rsid w:val="003C5027"/>
    <w:rsid w:val="003C65EC"/>
    <w:rsid w:val="003D3AA5"/>
    <w:rsid w:val="003D67E3"/>
    <w:rsid w:val="003E70F6"/>
    <w:rsid w:val="003E7472"/>
    <w:rsid w:val="003F1181"/>
    <w:rsid w:val="003F29F2"/>
    <w:rsid w:val="003F63CA"/>
    <w:rsid w:val="0040416E"/>
    <w:rsid w:val="0040486B"/>
    <w:rsid w:val="00404F49"/>
    <w:rsid w:val="004067A7"/>
    <w:rsid w:val="00406971"/>
    <w:rsid w:val="004117AA"/>
    <w:rsid w:val="004132EA"/>
    <w:rsid w:val="004134A1"/>
    <w:rsid w:val="00414562"/>
    <w:rsid w:val="0042301D"/>
    <w:rsid w:val="00423612"/>
    <w:rsid w:val="00424866"/>
    <w:rsid w:val="00426FD8"/>
    <w:rsid w:val="00431E1F"/>
    <w:rsid w:val="00434E40"/>
    <w:rsid w:val="00435E5C"/>
    <w:rsid w:val="00436CF2"/>
    <w:rsid w:val="00437361"/>
    <w:rsid w:val="00444664"/>
    <w:rsid w:val="00444AD5"/>
    <w:rsid w:val="00445CFA"/>
    <w:rsid w:val="00446FBB"/>
    <w:rsid w:val="0045304A"/>
    <w:rsid w:val="004530E2"/>
    <w:rsid w:val="0045487E"/>
    <w:rsid w:val="0045508F"/>
    <w:rsid w:val="00460B00"/>
    <w:rsid w:val="00467615"/>
    <w:rsid w:val="004727C4"/>
    <w:rsid w:val="00477E43"/>
    <w:rsid w:val="00481A9B"/>
    <w:rsid w:val="00483EB5"/>
    <w:rsid w:val="004840AC"/>
    <w:rsid w:val="004875C3"/>
    <w:rsid w:val="004918BC"/>
    <w:rsid w:val="00493B96"/>
    <w:rsid w:val="004946EF"/>
    <w:rsid w:val="004973D1"/>
    <w:rsid w:val="004A23D9"/>
    <w:rsid w:val="004A3FA4"/>
    <w:rsid w:val="004A5131"/>
    <w:rsid w:val="004A7454"/>
    <w:rsid w:val="004B03B2"/>
    <w:rsid w:val="004B3210"/>
    <w:rsid w:val="004B3302"/>
    <w:rsid w:val="004B3AF7"/>
    <w:rsid w:val="004B4475"/>
    <w:rsid w:val="004B6C04"/>
    <w:rsid w:val="004C1C32"/>
    <w:rsid w:val="004C23FF"/>
    <w:rsid w:val="004C2E33"/>
    <w:rsid w:val="004C39B2"/>
    <w:rsid w:val="004C3F33"/>
    <w:rsid w:val="004C5C67"/>
    <w:rsid w:val="004E08AE"/>
    <w:rsid w:val="004E3E74"/>
    <w:rsid w:val="004E4588"/>
    <w:rsid w:val="004E61D4"/>
    <w:rsid w:val="004E7FE1"/>
    <w:rsid w:val="004F196B"/>
    <w:rsid w:val="004F546F"/>
    <w:rsid w:val="005000A0"/>
    <w:rsid w:val="005008ED"/>
    <w:rsid w:val="005040A2"/>
    <w:rsid w:val="0051091B"/>
    <w:rsid w:val="00511C5B"/>
    <w:rsid w:val="0051407C"/>
    <w:rsid w:val="00514FAF"/>
    <w:rsid w:val="005174A6"/>
    <w:rsid w:val="00517BD7"/>
    <w:rsid w:val="00520C18"/>
    <w:rsid w:val="00521D76"/>
    <w:rsid w:val="00522DE6"/>
    <w:rsid w:val="005242BD"/>
    <w:rsid w:val="00525E37"/>
    <w:rsid w:val="005325A6"/>
    <w:rsid w:val="00540535"/>
    <w:rsid w:val="00540FCA"/>
    <w:rsid w:val="00542E69"/>
    <w:rsid w:val="005433B6"/>
    <w:rsid w:val="005438DD"/>
    <w:rsid w:val="00547A26"/>
    <w:rsid w:val="00557162"/>
    <w:rsid w:val="0055782A"/>
    <w:rsid w:val="0056024C"/>
    <w:rsid w:val="00560C2F"/>
    <w:rsid w:val="005610A2"/>
    <w:rsid w:val="00566139"/>
    <w:rsid w:val="00571E93"/>
    <w:rsid w:val="00573EE1"/>
    <w:rsid w:val="005743B8"/>
    <w:rsid w:val="005839E8"/>
    <w:rsid w:val="00583A75"/>
    <w:rsid w:val="00584A2A"/>
    <w:rsid w:val="00595C13"/>
    <w:rsid w:val="005A0099"/>
    <w:rsid w:val="005A0C0D"/>
    <w:rsid w:val="005A2993"/>
    <w:rsid w:val="005A41D7"/>
    <w:rsid w:val="005A71D8"/>
    <w:rsid w:val="005A77B4"/>
    <w:rsid w:val="005B585B"/>
    <w:rsid w:val="005B771F"/>
    <w:rsid w:val="005C05AD"/>
    <w:rsid w:val="005D1511"/>
    <w:rsid w:val="005D17E1"/>
    <w:rsid w:val="005D68E6"/>
    <w:rsid w:val="005D6DFD"/>
    <w:rsid w:val="005E03C1"/>
    <w:rsid w:val="005E2C29"/>
    <w:rsid w:val="005E3D99"/>
    <w:rsid w:val="005E7D8A"/>
    <w:rsid w:val="006001EC"/>
    <w:rsid w:val="00605764"/>
    <w:rsid w:val="00605F23"/>
    <w:rsid w:val="00607C62"/>
    <w:rsid w:val="00613250"/>
    <w:rsid w:val="006206A4"/>
    <w:rsid w:val="0062210C"/>
    <w:rsid w:val="00623E9F"/>
    <w:rsid w:val="006250B0"/>
    <w:rsid w:val="00625409"/>
    <w:rsid w:val="00630E80"/>
    <w:rsid w:val="006335F7"/>
    <w:rsid w:val="00640E2B"/>
    <w:rsid w:val="006445E5"/>
    <w:rsid w:val="00644D2A"/>
    <w:rsid w:val="00646391"/>
    <w:rsid w:val="00647D06"/>
    <w:rsid w:val="00650549"/>
    <w:rsid w:val="00652745"/>
    <w:rsid w:val="006529C3"/>
    <w:rsid w:val="00652B32"/>
    <w:rsid w:val="006542C9"/>
    <w:rsid w:val="00654B5E"/>
    <w:rsid w:val="00661F3C"/>
    <w:rsid w:val="00662F50"/>
    <w:rsid w:val="00663F53"/>
    <w:rsid w:val="00664946"/>
    <w:rsid w:val="00665990"/>
    <w:rsid w:val="00666D7F"/>
    <w:rsid w:val="00672298"/>
    <w:rsid w:val="00681CD2"/>
    <w:rsid w:val="006855F8"/>
    <w:rsid w:val="0068665E"/>
    <w:rsid w:val="00686C50"/>
    <w:rsid w:val="00687A54"/>
    <w:rsid w:val="0069051A"/>
    <w:rsid w:val="006910D9"/>
    <w:rsid w:val="006914EC"/>
    <w:rsid w:val="0069366D"/>
    <w:rsid w:val="00694FD4"/>
    <w:rsid w:val="006956BC"/>
    <w:rsid w:val="00695A96"/>
    <w:rsid w:val="00697059"/>
    <w:rsid w:val="00697170"/>
    <w:rsid w:val="006A2DAC"/>
    <w:rsid w:val="006A35FB"/>
    <w:rsid w:val="006B0E5E"/>
    <w:rsid w:val="006B121D"/>
    <w:rsid w:val="006B24B2"/>
    <w:rsid w:val="006B32F3"/>
    <w:rsid w:val="006B6758"/>
    <w:rsid w:val="006B7502"/>
    <w:rsid w:val="006C0C08"/>
    <w:rsid w:val="006C1201"/>
    <w:rsid w:val="006C14BB"/>
    <w:rsid w:val="006C1FF4"/>
    <w:rsid w:val="006C5648"/>
    <w:rsid w:val="006C7443"/>
    <w:rsid w:val="006D1109"/>
    <w:rsid w:val="006D42F6"/>
    <w:rsid w:val="006D4A61"/>
    <w:rsid w:val="006D596D"/>
    <w:rsid w:val="006D6CDD"/>
    <w:rsid w:val="006D7EB4"/>
    <w:rsid w:val="006E07CD"/>
    <w:rsid w:val="006E4978"/>
    <w:rsid w:val="006F08E6"/>
    <w:rsid w:val="006F0FA1"/>
    <w:rsid w:val="006F1407"/>
    <w:rsid w:val="006F159D"/>
    <w:rsid w:val="006F3061"/>
    <w:rsid w:val="006F4C91"/>
    <w:rsid w:val="006F6966"/>
    <w:rsid w:val="006F6C9E"/>
    <w:rsid w:val="007003CA"/>
    <w:rsid w:val="00705A9A"/>
    <w:rsid w:val="00705AB8"/>
    <w:rsid w:val="00716497"/>
    <w:rsid w:val="00720B3A"/>
    <w:rsid w:val="007216E0"/>
    <w:rsid w:val="007219F7"/>
    <w:rsid w:val="00726D7A"/>
    <w:rsid w:val="00731391"/>
    <w:rsid w:val="00731CC4"/>
    <w:rsid w:val="00737544"/>
    <w:rsid w:val="00737E91"/>
    <w:rsid w:val="00741156"/>
    <w:rsid w:val="0074401B"/>
    <w:rsid w:val="00744F5D"/>
    <w:rsid w:val="007512CC"/>
    <w:rsid w:val="007567D7"/>
    <w:rsid w:val="00757C87"/>
    <w:rsid w:val="0076256C"/>
    <w:rsid w:val="007628E5"/>
    <w:rsid w:val="00764FE5"/>
    <w:rsid w:val="0076672F"/>
    <w:rsid w:val="00770687"/>
    <w:rsid w:val="00773717"/>
    <w:rsid w:val="00784D9C"/>
    <w:rsid w:val="007856E8"/>
    <w:rsid w:val="00785730"/>
    <w:rsid w:val="00786BEA"/>
    <w:rsid w:val="00786E6B"/>
    <w:rsid w:val="007874E0"/>
    <w:rsid w:val="00795FAD"/>
    <w:rsid w:val="007968E5"/>
    <w:rsid w:val="007969C4"/>
    <w:rsid w:val="00796FFC"/>
    <w:rsid w:val="00797682"/>
    <w:rsid w:val="007A0DEB"/>
    <w:rsid w:val="007A38CD"/>
    <w:rsid w:val="007A6A3C"/>
    <w:rsid w:val="007A766D"/>
    <w:rsid w:val="007A77DC"/>
    <w:rsid w:val="007B06AA"/>
    <w:rsid w:val="007B1080"/>
    <w:rsid w:val="007B3FDA"/>
    <w:rsid w:val="007B58B4"/>
    <w:rsid w:val="007C0897"/>
    <w:rsid w:val="007C5E99"/>
    <w:rsid w:val="007C6D84"/>
    <w:rsid w:val="007E0F86"/>
    <w:rsid w:val="007E1220"/>
    <w:rsid w:val="007E32B6"/>
    <w:rsid w:val="007E40AA"/>
    <w:rsid w:val="007E6098"/>
    <w:rsid w:val="007F214F"/>
    <w:rsid w:val="007F66C2"/>
    <w:rsid w:val="007F71C3"/>
    <w:rsid w:val="00802F46"/>
    <w:rsid w:val="0080338A"/>
    <w:rsid w:val="00806156"/>
    <w:rsid w:val="0081194A"/>
    <w:rsid w:val="00816E31"/>
    <w:rsid w:val="0081755C"/>
    <w:rsid w:val="008209BF"/>
    <w:rsid w:val="008235A9"/>
    <w:rsid w:val="0082410A"/>
    <w:rsid w:val="00826FFC"/>
    <w:rsid w:val="00830913"/>
    <w:rsid w:val="00833DA0"/>
    <w:rsid w:val="0084117B"/>
    <w:rsid w:val="008419CA"/>
    <w:rsid w:val="00842ECC"/>
    <w:rsid w:val="00844C52"/>
    <w:rsid w:val="00844FAC"/>
    <w:rsid w:val="00847D06"/>
    <w:rsid w:val="00851415"/>
    <w:rsid w:val="008526AD"/>
    <w:rsid w:val="00852A74"/>
    <w:rsid w:val="0085467A"/>
    <w:rsid w:val="00855E29"/>
    <w:rsid w:val="00856912"/>
    <w:rsid w:val="00861C4A"/>
    <w:rsid w:val="00862721"/>
    <w:rsid w:val="008631F7"/>
    <w:rsid w:val="00863B57"/>
    <w:rsid w:val="00870710"/>
    <w:rsid w:val="00871266"/>
    <w:rsid w:val="00871450"/>
    <w:rsid w:val="008739A5"/>
    <w:rsid w:val="00874462"/>
    <w:rsid w:val="00895391"/>
    <w:rsid w:val="00895DC9"/>
    <w:rsid w:val="008A3830"/>
    <w:rsid w:val="008A5426"/>
    <w:rsid w:val="008B0B17"/>
    <w:rsid w:val="008B1FC9"/>
    <w:rsid w:val="008B20D2"/>
    <w:rsid w:val="008B5D1E"/>
    <w:rsid w:val="008B60CD"/>
    <w:rsid w:val="008B64A4"/>
    <w:rsid w:val="008C1F51"/>
    <w:rsid w:val="008C41BB"/>
    <w:rsid w:val="008C4E5E"/>
    <w:rsid w:val="008C77FD"/>
    <w:rsid w:val="008D0202"/>
    <w:rsid w:val="008D0B1A"/>
    <w:rsid w:val="008D1177"/>
    <w:rsid w:val="008D43FD"/>
    <w:rsid w:val="008E5137"/>
    <w:rsid w:val="008E67DB"/>
    <w:rsid w:val="008E6FBA"/>
    <w:rsid w:val="008F0E09"/>
    <w:rsid w:val="008F14E7"/>
    <w:rsid w:val="008F24C8"/>
    <w:rsid w:val="00905340"/>
    <w:rsid w:val="0090798A"/>
    <w:rsid w:val="00907AEC"/>
    <w:rsid w:val="00911B78"/>
    <w:rsid w:val="009122AA"/>
    <w:rsid w:val="00914791"/>
    <w:rsid w:val="00925A17"/>
    <w:rsid w:val="00927AE1"/>
    <w:rsid w:val="00927D00"/>
    <w:rsid w:val="0093239E"/>
    <w:rsid w:val="00933BBA"/>
    <w:rsid w:val="00933D38"/>
    <w:rsid w:val="00944C6F"/>
    <w:rsid w:val="00947DAA"/>
    <w:rsid w:val="0095255D"/>
    <w:rsid w:val="00952B18"/>
    <w:rsid w:val="0095500C"/>
    <w:rsid w:val="0095516F"/>
    <w:rsid w:val="009559AB"/>
    <w:rsid w:val="00961CD3"/>
    <w:rsid w:val="0096677D"/>
    <w:rsid w:val="0097370D"/>
    <w:rsid w:val="009768D0"/>
    <w:rsid w:val="0097776B"/>
    <w:rsid w:val="00977B2B"/>
    <w:rsid w:val="00977C61"/>
    <w:rsid w:val="009815BF"/>
    <w:rsid w:val="00983DF9"/>
    <w:rsid w:val="00987518"/>
    <w:rsid w:val="00993714"/>
    <w:rsid w:val="00994225"/>
    <w:rsid w:val="009969BB"/>
    <w:rsid w:val="009A14A5"/>
    <w:rsid w:val="009A42BC"/>
    <w:rsid w:val="009B0C9E"/>
    <w:rsid w:val="009B1C9C"/>
    <w:rsid w:val="009B2C85"/>
    <w:rsid w:val="009B5BC2"/>
    <w:rsid w:val="009C2069"/>
    <w:rsid w:val="009C521A"/>
    <w:rsid w:val="009C6F8E"/>
    <w:rsid w:val="009D4365"/>
    <w:rsid w:val="009D63B0"/>
    <w:rsid w:val="009D7AA0"/>
    <w:rsid w:val="009D7B02"/>
    <w:rsid w:val="009E0D35"/>
    <w:rsid w:val="009E371D"/>
    <w:rsid w:val="009E4C02"/>
    <w:rsid w:val="009E5E1C"/>
    <w:rsid w:val="009E6DAE"/>
    <w:rsid w:val="009F1537"/>
    <w:rsid w:val="009F29D8"/>
    <w:rsid w:val="009F4C90"/>
    <w:rsid w:val="009F759C"/>
    <w:rsid w:val="009F7CF8"/>
    <w:rsid w:val="00A11CB0"/>
    <w:rsid w:val="00A16306"/>
    <w:rsid w:val="00A17171"/>
    <w:rsid w:val="00A21427"/>
    <w:rsid w:val="00A21A6C"/>
    <w:rsid w:val="00A229C4"/>
    <w:rsid w:val="00A25383"/>
    <w:rsid w:val="00A26C04"/>
    <w:rsid w:val="00A34AC8"/>
    <w:rsid w:val="00A401DA"/>
    <w:rsid w:val="00A4447E"/>
    <w:rsid w:val="00A445F8"/>
    <w:rsid w:val="00A4489D"/>
    <w:rsid w:val="00A47545"/>
    <w:rsid w:val="00A4788E"/>
    <w:rsid w:val="00A51A8B"/>
    <w:rsid w:val="00A5445C"/>
    <w:rsid w:val="00A5475A"/>
    <w:rsid w:val="00A5653C"/>
    <w:rsid w:val="00A61009"/>
    <w:rsid w:val="00A61538"/>
    <w:rsid w:val="00A616AA"/>
    <w:rsid w:val="00A63459"/>
    <w:rsid w:val="00A66CFA"/>
    <w:rsid w:val="00A70C4F"/>
    <w:rsid w:val="00A71AA7"/>
    <w:rsid w:val="00A71D6F"/>
    <w:rsid w:val="00A75B30"/>
    <w:rsid w:val="00A76F1E"/>
    <w:rsid w:val="00A81ECE"/>
    <w:rsid w:val="00A84912"/>
    <w:rsid w:val="00A879D0"/>
    <w:rsid w:val="00A87A12"/>
    <w:rsid w:val="00A90521"/>
    <w:rsid w:val="00A90D98"/>
    <w:rsid w:val="00A9773F"/>
    <w:rsid w:val="00A97F9F"/>
    <w:rsid w:val="00AA0BFE"/>
    <w:rsid w:val="00AA2082"/>
    <w:rsid w:val="00AB009C"/>
    <w:rsid w:val="00AB633E"/>
    <w:rsid w:val="00AB7FE4"/>
    <w:rsid w:val="00AC18A8"/>
    <w:rsid w:val="00AC3CEC"/>
    <w:rsid w:val="00AC4A57"/>
    <w:rsid w:val="00AD4F90"/>
    <w:rsid w:val="00AD57C7"/>
    <w:rsid w:val="00AD74DA"/>
    <w:rsid w:val="00AE3332"/>
    <w:rsid w:val="00AE4AC1"/>
    <w:rsid w:val="00AE4D3D"/>
    <w:rsid w:val="00AE6A16"/>
    <w:rsid w:val="00AF2416"/>
    <w:rsid w:val="00AF3E6D"/>
    <w:rsid w:val="00AF40F3"/>
    <w:rsid w:val="00AF5042"/>
    <w:rsid w:val="00AF7D63"/>
    <w:rsid w:val="00B010E6"/>
    <w:rsid w:val="00B01124"/>
    <w:rsid w:val="00B034C7"/>
    <w:rsid w:val="00B123EF"/>
    <w:rsid w:val="00B13299"/>
    <w:rsid w:val="00B13D10"/>
    <w:rsid w:val="00B20BD0"/>
    <w:rsid w:val="00B21F78"/>
    <w:rsid w:val="00B23C21"/>
    <w:rsid w:val="00B24D2D"/>
    <w:rsid w:val="00B340F8"/>
    <w:rsid w:val="00B3762A"/>
    <w:rsid w:val="00B4101D"/>
    <w:rsid w:val="00B41509"/>
    <w:rsid w:val="00B43375"/>
    <w:rsid w:val="00B52FAD"/>
    <w:rsid w:val="00B54660"/>
    <w:rsid w:val="00B56276"/>
    <w:rsid w:val="00B606E5"/>
    <w:rsid w:val="00B606E6"/>
    <w:rsid w:val="00B61A35"/>
    <w:rsid w:val="00B70428"/>
    <w:rsid w:val="00B70DB8"/>
    <w:rsid w:val="00B72632"/>
    <w:rsid w:val="00B73C10"/>
    <w:rsid w:val="00B74A78"/>
    <w:rsid w:val="00B74F12"/>
    <w:rsid w:val="00B75AC5"/>
    <w:rsid w:val="00B76971"/>
    <w:rsid w:val="00B77A5B"/>
    <w:rsid w:val="00B84E80"/>
    <w:rsid w:val="00B85D3C"/>
    <w:rsid w:val="00B85F6B"/>
    <w:rsid w:val="00B92A1E"/>
    <w:rsid w:val="00B93447"/>
    <w:rsid w:val="00B93769"/>
    <w:rsid w:val="00B9604A"/>
    <w:rsid w:val="00B9646A"/>
    <w:rsid w:val="00BA39BA"/>
    <w:rsid w:val="00BA3B89"/>
    <w:rsid w:val="00BA55D3"/>
    <w:rsid w:val="00BA7689"/>
    <w:rsid w:val="00BB49A2"/>
    <w:rsid w:val="00BB521C"/>
    <w:rsid w:val="00BB5E64"/>
    <w:rsid w:val="00BC32EB"/>
    <w:rsid w:val="00BC4611"/>
    <w:rsid w:val="00BC68AA"/>
    <w:rsid w:val="00BD020C"/>
    <w:rsid w:val="00BD0D17"/>
    <w:rsid w:val="00BD4663"/>
    <w:rsid w:val="00BD6425"/>
    <w:rsid w:val="00BF0849"/>
    <w:rsid w:val="00BF33D6"/>
    <w:rsid w:val="00BF39F1"/>
    <w:rsid w:val="00BF3E98"/>
    <w:rsid w:val="00C00374"/>
    <w:rsid w:val="00C02553"/>
    <w:rsid w:val="00C041E1"/>
    <w:rsid w:val="00C07640"/>
    <w:rsid w:val="00C10A0B"/>
    <w:rsid w:val="00C11510"/>
    <w:rsid w:val="00C12A4D"/>
    <w:rsid w:val="00C133AC"/>
    <w:rsid w:val="00C149B9"/>
    <w:rsid w:val="00C16ED4"/>
    <w:rsid w:val="00C17007"/>
    <w:rsid w:val="00C226AB"/>
    <w:rsid w:val="00C266C0"/>
    <w:rsid w:val="00C320BC"/>
    <w:rsid w:val="00C32A5C"/>
    <w:rsid w:val="00C348DE"/>
    <w:rsid w:val="00C349B7"/>
    <w:rsid w:val="00C3641F"/>
    <w:rsid w:val="00C40580"/>
    <w:rsid w:val="00C4092B"/>
    <w:rsid w:val="00C41A12"/>
    <w:rsid w:val="00C41D76"/>
    <w:rsid w:val="00C46269"/>
    <w:rsid w:val="00C5061E"/>
    <w:rsid w:val="00C51199"/>
    <w:rsid w:val="00C527BF"/>
    <w:rsid w:val="00C550E2"/>
    <w:rsid w:val="00C561B4"/>
    <w:rsid w:val="00C569F3"/>
    <w:rsid w:val="00C57F3A"/>
    <w:rsid w:val="00C6321C"/>
    <w:rsid w:val="00C6524D"/>
    <w:rsid w:val="00C6577D"/>
    <w:rsid w:val="00C66942"/>
    <w:rsid w:val="00C7259B"/>
    <w:rsid w:val="00C80014"/>
    <w:rsid w:val="00C81838"/>
    <w:rsid w:val="00C90BFF"/>
    <w:rsid w:val="00C9379A"/>
    <w:rsid w:val="00C97F28"/>
    <w:rsid w:val="00CA42AB"/>
    <w:rsid w:val="00CA504C"/>
    <w:rsid w:val="00CA767B"/>
    <w:rsid w:val="00CA7C02"/>
    <w:rsid w:val="00CB002F"/>
    <w:rsid w:val="00CB118D"/>
    <w:rsid w:val="00CB24A2"/>
    <w:rsid w:val="00CC153D"/>
    <w:rsid w:val="00CC2C20"/>
    <w:rsid w:val="00CC5DA1"/>
    <w:rsid w:val="00CD1A38"/>
    <w:rsid w:val="00CD1ED6"/>
    <w:rsid w:val="00CD4530"/>
    <w:rsid w:val="00CE04EA"/>
    <w:rsid w:val="00CE21A3"/>
    <w:rsid w:val="00CE3D7D"/>
    <w:rsid w:val="00CE5004"/>
    <w:rsid w:val="00CF07E7"/>
    <w:rsid w:val="00CF20EC"/>
    <w:rsid w:val="00D044FA"/>
    <w:rsid w:val="00D06A40"/>
    <w:rsid w:val="00D07F3D"/>
    <w:rsid w:val="00D11889"/>
    <w:rsid w:val="00D143FA"/>
    <w:rsid w:val="00D14989"/>
    <w:rsid w:val="00D1696F"/>
    <w:rsid w:val="00D246C7"/>
    <w:rsid w:val="00D330E4"/>
    <w:rsid w:val="00D354C6"/>
    <w:rsid w:val="00D4074A"/>
    <w:rsid w:val="00D4395E"/>
    <w:rsid w:val="00D44376"/>
    <w:rsid w:val="00D4445B"/>
    <w:rsid w:val="00D501A2"/>
    <w:rsid w:val="00D50C49"/>
    <w:rsid w:val="00D51521"/>
    <w:rsid w:val="00D515DA"/>
    <w:rsid w:val="00D62BAC"/>
    <w:rsid w:val="00D66F78"/>
    <w:rsid w:val="00D705DA"/>
    <w:rsid w:val="00D77ADC"/>
    <w:rsid w:val="00D77F0D"/>
    <w:rsid w:val="00D8308D"/>
    <w:rsid w:val="00D833EB"/>
    <w:rsid w:val="00D837CC"/>
    <w:rsid w:val="00D91FDD"/>
    <w:rsid w:val="00D92526"/>
    <w:rsid w:val="00D9748A"/>
    <w:rsid w:val="00DA43E0"/>
    <w:rsid w:val="00DA5A27"/>
    <w:rsid w:val="00DA78A9"/>
    <w:rsid w:val="00DA7A2B"/>
    <w:rsid w:val="00DB201C"/>
    <w:rsid w:val="00DB2DB0"/>
    <w:rsid w:val="00DB3857"/>
    <w:rsid w:val="00DB44A2"/>
    <w:rsid w:val="00DB4AA7"/>
    <w:rsid w:val="00DC0F23"/>
    <w:rsid w:val="00DC18EE"/>
    <w:rsid w:val="00DC2771"/>
    <w:rsid w:val="00DC295F"/>
    <w:rsid w:val="00DC3C57"/>
    <w:rsid w:val="00DC40E4"/>
    <w:rsid w:val="00DD1B1E"/>
    <w:rsid w:val="00DD2FE5"/>
    <w:rsid w:val="00DD6FE7"/>
    <w:rsid w:val="00DF3437"/>
    <w:rsid w:val="00DF3F05"/>
    <w:rsid w:val="00DF6B27"/>
    <w:rsid w:val="00DF749F"/>
    <w:rsid w:val="00DF7FC5"/>
    <w:rsid w:val="00E03447"/>
    <w:rsid w:val="00E0477B"/>
    <w:rsid w:val="00E072D2"/>
    <w:rsid w:val="00E100FC"/>
    <w:rsid w:val="00E12287"/>
    <w:rsid w:val="00E1770C"/>
    <w:rsid w:val="00E22677"/>
    <w:rsid w:val="00E23CB4"/>
    <w:rsid w:val="00E23CE7"/>
    <w:rsid w:val="00E3045C"/>
    <w:rsid w:val="00E30CD1"/>
    <w:rsid w:val="00E323CD"/>
    <w:rsid w:val="00E34CBA"/>
    <w:rsid w:val="00E36F2B"/>
    <w:rsid w:val="00E37E1A"/>
    <w:rsid w:val="00E40014"/>
    <w:rsid w:val="00E4276E"/>
    <w:rsid w:val="00E44D44"/>
    <w:rsid w:val="00E44FFE"/>
    <w:rsid w:val="00E50662"/>
    <w:rsid w:val="00E51C4F"/>
    <w:rsid w:val="00E54989"/>
    <w:rsid w:val="00E57E75"/>
    <w:rsid w:val="00E650D8"/>
    <w:rsid w:val="00E67AFF"/>
    <w:rsid w:val="00E7480F"/>
    <w:rsid w:val="00E753BD"/>
    <w:rsid w:val="00E774B6"/>
    <w:rsid w:val="00E83E00"/>
    <w:rsid w:val="00E8753A"/>
    <w:rsid w:val="00E90A44"/>
    <w:rsid w:val="00E966A2"/>
    <w:rsid w:val="00EA6CED"/>
    <w:rsid w:val="00EB0C83"/>
    <w:rsid w:val="00EB5E32"/>
    <w:rsid w:val="00EC514B"/>
    <w:rsid w:val="00ED08E0"/>
    <w:rsid w:val="00ED0F4E"/>
    <w:rsid w:val="00ED1DD5"/>
    <w:rsid w:val="00ED2BA5"/>
    <w:rsid w:val="00ED3882"/>
    <w:rsid w:val="00ED3E6B"/>
    <w:rsid w:val="00ED5759"/>
    <w:rsid w:val="00EE1188"/>
    <w:rsid w:val="00EE183A"/>
    <w:rsid w:val="00EE263C"/>
    <w:rsid w:val="00EE3D96"/>
    <w:rsid w:val="00EE7357"/>
    <w:rsid w:val="00EF4162"/>
    <w:rsid w:val="00EF6103"/>
    <w:rsid w:val="00F00C67"/>
    <w:rsid w:val="00F0469D"/>
    <w:rsid w:val="00F046EC"/>
    <w:rsid w:val="00F05739"/>
    <w:rsid w:val="00F0768A"/>
    <w:rsid w:val="00F07962"/>
    <w:rsid w:val="00F104F1"/>
    <w:rsid w:val="00F12096"/>
    <w:rsid w:val="00F12A59"/>
    <w:rsid w:val="00F12E33"/>
    <w:rsid w:val="00F1386E"/>
    <w:rsid w:val="00F14579"/>
    <w:rsid w:val="00F16D1C"/>
    <w:rsid w:val="00F2211E"/>
    <w:rsid w:val="00F23DF7"/>
    <w:rsid w:val="00F243AF"/>
    <w:rsid w:val="00F34661"/>
    <w:rsid w:val="00F34FC2"/>
    <w:rsid w:val="00F3550C"/>
    <w:rsid w:val="00F379C4"/>
    <w:rsid w:val="00F4075D"/>
    <w:rsid w:val="00F43CC2"/>
    <w:rsid w:val="00F45279"/>
    <w:rsid w:val="00F45D4D"/>
    <w:rsid w:val="00F477AD"/>
    <w:rsid w:val="00F4787A"/>
    <w:rsid w:val="00F55612"/>
    <w:rsid w:val="00F611C6"/>
    <w:rsid w:val="00F652FF"/>
    <w:rsid w:val="00F6638A"/>
    <w:rsid w:val="00F6673D"/>
    <w:rsid w:val="00F6765C"/>
    <w:rsid w:val="00F7607C"/>
    <w:rsid w:val="00F84ACA"/>
    <w:rsid w:val="00F865A9"/>
    <w:rsid w:val="00F8733E"/>
    <w:rsid w:val="00F913B7"/>
    <w:rsid w:val="00F91EA4"/>
    <w:rsid w:val="00F92464"/>
    <w:rsid w:val="00FA10AA"/>
    <w:rsid w:val="00FA2F7C"/>
    <w:rsid w:val="00FA3BF1"/>
    <w:rsid w:val="00FB0D3D"/>
    <w:rsid w:val="00FB166A"/>
    <w:rsid w:val="00FB7721"/>
    <w:rsid w:val="00FC64D6"/>
    <w:rsid w:val="00FC6768"/>
    <w:rsid w:val="00FD08DF"/>
    <w:rsid w:val="00FD4E32"/>
    <w:rsid w:val="00FD771E"/>
    <w:rsid w:val="00FD7F16"/>
    <w:rsid w:val="00FE1886"/>
    <w:rsid w:val="00FE2B6B"/>
    <w:rsid w:val="00FE441D"/>
    <w:rsid w:val="00FF46EE"/>
    <w:rsid w:val="02070CCA"/>
    <w:rsid w:val="05F13238"/>
    <w:rsid w:val="08F06232"/>
    <w:rsid w:val="08FA614E"/>
    <w:rsid w:val="0DDF5E64"/>
    <w:rsid w:val="11F023F4"/>
    <w:rsid w:val="149E474A"/>
    <w:rsid w:val="163755A5"/>
    <w:rsid w:val="177B0489"/>
    <w:rsid w:val="18D640E4"/>
    <w:rsid w:val="19212E29"/>
    <w:rsid w:val="1EE91DD0"/>
    <w:rsid w:val="211675B4"/>
    <w:rsid w:val="27057D75"/>
    <w:rsid w:val="2A2D3AC3"/>
    <w:rsid w:val="2D8E27B1"/>
    <w:rsid w:val="2EA262FB"/>
    <w:rsid w:val="312C3FCE"/>
    <w:rsid w:val="345B4F04"/>
    <w:rsid w:val="35C863A1"/>
    <w:rsid w:val="395A71E2"/>
    <w:rsid w:val="4069171A"/>
    <w:rsid w:val="487A428F"/>
    <w:rsid w:val="4A280999"/>
    <w:rsid w:val="4C6D505D"/>
    <w:rsid w:val="4F9B33E8"/>
    <w:rsid w:val="52A916A7"/>
    <w:rsid w:val="56C22B29"/>
    <w:rsid w:val="58006223"/>
    <w:rsid w:val="593B64BE"/>
    <w:rsid w:val="5C090AEC"/>
    <w:rsid w:val="64DE20E9"/>
    <w:rsid w:val="652E2C14"/>
    <w:rsid w:val="657411FF"/>
    <w:rsid w:val="67BD1109"/>
    <w:rsid w:val="6B364EF9"/>
    <w:rsid w:val="7FE86B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68"/>
    <w:qFormat/>
    <w:uiPriority w:val="0"/>
    <w:pPr>
      <w:keepNext/>
      <w:keepLines/>
      <w:spacing w:before="120" w:after="120" w:line="360" w:lineRule="auto"/>
      <w:outlineLvl w:val="0"/>
    </w:pPr>
    <w:rPr>
      <w:rFonts w:ascii="宋体"/>
      <w:b/>
      <w:color w:val="000000"/>
      <w:kern w:val="0"/>
      <w:sz w:val="24"/>
    </w:rPr>
  </w:style>
  <w:style w:type="paragraph" w:styleId="3">
    <w:name w:val="heading 2"/>
    <w:basedOn w:val="1"/>
    <w:next w:val="1"/>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link w:val="64"/>
    <w:qFormat/>
    <w:uiPriority w:val="0"/>
    <w:pPr>
      <w:keepNext/>
      <w:keepLines/>
      <w:spacing w:before="260" w:after="260" w:line="413" w:lineRule="auto"/>
      <w:outlineLvl w:val="2"/>
    </w:pPr>
    <w:rPr>
      <w:b/>
      <w:sz w:val="32"/>
    </w:rPr>
  </w:style>
  <w:style w:type="paragraph" w:styleId="5">
    <w:name w:val="heading 4"/>
    <w:basedOn w:val="1"/>
    <w:next w:val="1"/>
    <w:link w:val="57"/>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ind w:firstLine="420" w:firstLineChars="200"/>
    </w:pPr>
  </w:style>
  <w:style w:type="paragraph" w:styleId="7">
    <w:name w:val="Document Map"/>
    <w:basedOn w:val="1"/>
    <w:qFormat/>
    <w:uiPriority w:val="0"/>
    <w:pPr>
      <w:shd w:val="clear" w:color="auto" w:fill="000080"/>
    </w:pPr>
  </w:style>
  <w:style w:type="paragraph" w:styleId="8">
    <w:name w:val="annotation text"/>
    <w:basedOn w:val="1"/>
    <w:link w:val="59"/>
    <w:qFormat/>
    <w:uiPriority w:val="99"/>
    <w:pPr>
      <w:jc w:val="left"/>
    </w:pPr>
  </w:style>
  <w:style w:type="paragraph" w:styleId="9">
    <w:name w:val="Body Text"/>
    <w:basedOn w:val="1"/>
    <w:link w:val="35"/>
    <w:qFormat/>
    <w:uiPriority w:val="0"/>
    <w:pPr>
      <w:autoSpaceDE w:val="0"/>
      <w:autoSpaceDN w:val="0"/>
      <w:adjustRightInd w:val="0"/>
      <w:spacing w:line="360" w:lineRule="auto"/>
      <w:jc w:val="left"/>
    </w:pPr>
    <w:rPr>
      <w:rFonts w:ascii="宋体"/>
      <w:kern w:val="0"/>
    </w:rPr>
  </w:style>
  <w:style w:type="paragraph" w:styleId="10">
    <w:name w:val="toc 3"/>
    <w:basedOn w:val="1"/>
    <w:next w:val="1"/>
    <w:qFormat/>
    <w:uiPriority w:val="39"/>
    <w:pPr>
      <w:ind w:left="840" w:leftChars="400"/>
    </w:pPr>
  </w:style>
  <w:style w:type="paragraph" w:styleId="11">
    <w:name w:val="Plain Text"/>
    <w:basedOn w:val="1"/>
    <w:qFormat/>
    <w:uiPriority w:val="0"/>
    <w:pPr>
      <w:adjustRightInd w:val="0"/>
      <w:spacing w:line="312" w:lineRule="atLeast"/>
      <w:textAlignment w:val="baseline"/>
    </w:pPr>
    <w:rPr>
      <w:rFonts w:ascii="宋体" w:hAnsi="Courier New"/>
      <w:kern w:val="0"/>
    </w:rPr>
  </w:style>
  <w:style w:type="paragraph" w:styleId="12">
    <w:name w:val="Body Text Indent 2"/>
    <w:basedOn w:val="1"/>
    <w:qFormat/>
    <w:uiPriority w:val="0"/>
    <w:pPr>
      <w:spacing w:line="360" w:lineRule="auto"/>
      <w:ind w:firstLine="425"/>
    </w:pPr>
    <w:rPr>
      <w:rFonts w:ascii="仿宋_GB2312" w:eastAsia="仿宋_GB2312"/>
      <w:sz w:val="28"/>
    </w:rPr>
  </w:style>
  <w:style w:type="paragraph" w:styleId="13">
    <w:name w:val="Balloon Text"/>
    <w:basedOn w:val="1"/>
    <w:qFormat/>
    <w:uiPriority w:val="0"/>
    <w:rPr>
      <w:sz w:val="18"/>
    </w:rPr>
  </w:style>
  <w:style w:type="paragraph" w:styleId="14">
    <w:name w:val="footer"/>
    <w:basedOn w:val="1"/>
    <w:link w:val="66"/>
    <w:qFormat/>
    <w:uiPriority w:val="99"/>
    <w:pPr>
      <w:tabs>
        <w:tab w:val="center" w:pos="4153"/>
        <w:tab w:val="right" w:pos="8306"/>
      </w:tabs>
      <w:snapToGrid w:val="0"/>
      <w:jc w:val="left"/>
    </w:pPr>
    <w:rPr>
      <w:sz w:val="18"/>
    </w:rPr>
  </w:style>
  <w:style w:type="paragraph" w:styleId="15">
    <w:name w:val="header"/>
    <w:basedOn w:val="1"/>
    <w:link w:val="36"/>
    <w:qFormat/>
    <w:uiPriority w:val="99"/>
    <w:pPr>
      <w:pBdr>
        <w:bottom w:val="single" w:color="auto" w:sz="6" w:space="1"/>
      </w:pBdr>
      <w:tabs>
        <w:tab w:val="center" w:pos="4153"/>
        <w:tab w:val="right" w:pos="8306"/>
      </w:tabs>
      <w:snapToGrid w:val="0"/>
      <w:jc w:val="center"/>
    </w:pPr>
    <w:rPr>
      <w:sz w:val="18"/>
    </w:rPr>
  </w:style>
  <w:style w:type="paragraph" w:styleId="16">
    <w:name w:val="toc 1"/>
    <w:basedOn w:val="1"/>
    <w:next w:val="1"/>
    <w:qFormat/>
    <w:uiPriority w:val="39"/>
    <w:pPr>
      <w:tabs>
        <w:tab w:val="right" w:leader="dot" w:pos="8296"/>
      </w:tabs>
      <w:spacing w:line="360" w:lineRule="auto"/>
    </w:pPr>
  </w:style>
  <w:style w:type="paragraph" w:styleId="17">
    <w:name w:val="footnote text"/>
    <w:basedOn w:val="1"/>
    <w:qFormat/>
    <w:uiPriority w:val="0"/>
    <w:pPr>
      <w:snapToGrid w:val="0"/>
      <w:jc w:val="left"/>
    </w:pPr>
    <w:rPr>
      <w:sz w:val="18"/>
    </w:rPr>
  </w:style>
  <w:style w:type="paragraph" w:styleId="18">
    <w:name w:val="Body Text Indent 3"/>
    <w:basedOn w:val="1"/>
    <w:qFormat/>
    <w:uiPriority w:val="0"/>
    <w:pPr>
      <w:autoSpaceDE w:val="0"/>
      <w:autoSpaceDN w:val="0"/>
      <w:adjustRightInd w:val="0"/>
      <w:spacing w:line="360" w:lineRule="auto"/>
      <w:ind w:left="420" w:firstLine="435"/>
    </w:pPr>
    <w:rPr>
      <w:color w:val="0000FF"/>
    </w:rPr>
  </w:style>
  <w:style w:type="paragraph" w:styleId="19">
    <w:name w:val="toc 2"/>
    <w:basedOn w:val="1"/>
    <w:next w:val="1"/>
    <w:unhideWhenUsed/>
    <w:qFormat/>
    <w:uiPriority w:val="39"/>
    <w:pPr>
      <w:widowControl/>
      <w:spacing w:after="100" w:line="259" w:lineRule="auto"/>
      <w:ind w:left="220"/>
      <w:jc w:val="left"/>
    </w:pPr>
    <w:rPr>
      <w:rFonts w:asciiTheme="minorHAnsi" w:hAnsiTheme="minorHAnsi" w:eastAsiaTheme="minorEastAsia"/>
      <w:kern w:val="0"/>
      <w:sz w:val="22"/>
      <w:szCs w:val="22"/>
    </w:rPr>
  </w:style>
  <w:style w:type="paragraph" w:styleId="20">
    <w:name w:val="HTML Preformatted"/>
    <w:basedOn w:val="1"/>
    <w:link w:val="65"/>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21">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paragraph" w:styleId="22">
    <w:name w:val="Title"/>
    <w:basedOn w:val="1"/>
    <w:next w:val="1"/>
    <w:link w:val="34"/>
    <w:qFormat/>
    <w:uiPriority w:val="0"/>
    <w:pPr>
      <w:spacing w:before="240" w:after="60"/>
      <w:jc w:val="center"/>
      <w:outlineLvl w:val="0"/>
    </w:pPr>
    <w:rPr>
      <w:rFonts w:ascii="Cambria" w:hAnsi="Cambria"/>
      <w:b/>
      <w:sz w:val="32"/>
    </w:rPr>
  </w:style>
  <w:style w:type="paragraph" w:styleId="23">
    <w:name w:val="annotation subject"/>
    <w:basedOn w:val="8"/>
    <w:next w:val="8"/>
    <w:qFormat/>
    <w:uiPriority w:val="0"/>
    <w:rPr>
      <w:b/>
    </w:rPr>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Strong"/>
    <w:qFormat/>
    <w:uiPriority w:val="22"/>
    <w:rPr>
      <w:b/>
      <w:bCs/>
    </w:rPr>
  </w:style>
  <w:style w:type="character" w:styleId="28">
    <w:name w:val="page number"/>
    <w:basedOn w:val="26"/>
    <w:qFormat/>
    <w:uiPriority w:val="0"/>
  </w:style>
  <w:style w:type="character" w:styleId="29">
    <w:name w:val="Hyperlink"/>
    <w:qFormat/>
    <w:uiPriority w:val="99"/>
    <w:rPr>
      <w:color w:val="0000FF"/>
      <w:u w:val="single"/>
    </w:rPr>
  </w:style>
  <w:style w:type="character" w:styleId="30">
    <w:name w:val="annotation reference"/>
    <w:qFormat/>
    <w:uiPriority w:val="99"/>
    <w:rPr>
      <w:sz w:val="21"/>
    </w:rPr>
  </w:style>
  <w:style w:type="character" w:styleId="31">
    <w:name w:val="footnote reference"/>
    <w:qFormat/>
    <w:uiPriority w:val="0"/>
    <w:rPr>
      <w:vertAlign w:val="superscript"/>
    </w:rPr>
  </w:style>
  <w:style w:type="character" w:customStyle="1" w:styleId="32">
    <w:name w:val="unnamed11"/>
    <w:qFormat/>
    <w:uiPriority w:val="0"/>
    <w:rPr>
      <w:rFonts w:hint="eastAsia" w:ascii="宋体" w:hAnsi="宋体" w:eastAsia="宋体"/>
      <w:sz w:val="18"/>
    </w:rPr>
  </w:style>
  <w:style w:type="character" w:customStyle="1" w:styleId="33">
    <w:name w:val="read"/>
    <w:basedOn w:val="26"/>
    <w:qFormat/>
    <w:uiPriority w:val="0"/>
  </w:style>
  <w:style w:type="character" w:customStyle="1" w:styleId="34">
    <w:name w:val="标题 Char"/>
    <w:link w:val="22"/>
    <w:qFormat/>
    <w:uiPriority w:val="0"/>
    <w:rPr>
      <w:rFonts w:ascii="Cambria" w:hAnsi="Cambria"/>
      <w:b/>
      <w:kern w:val="2"/>
      <w:sz w:val="32"/>
    </w:rPr>
  </w:style>
  <w:style w:type="character" w:customStyle="1" w:styleId="35">
    <w:name w:val="正文文本 Char"/>
    <w:link w:val="9"/>
    <w:qFormat/>
    <w:uiPriority w:val="0"/>
    <w:rPr>
      <w:rFonts w:ascii="宋体"/>
      <w:kern w:val="0"/>
    </w:rPr>
  </w:style>
  <w:style w:type="character" w:customStyle="1" w:styleId="36">
    <w:name w:val="页眉 Char"/>
    <w:link w:val="15"/>
    <w:qFormat/>
    <w:uiPriority w:val="99"/>
    <w:rPr>
      <w:kern w:val="2"/>
      <w:sz w:val="18"/>
    </w:rPr>
  </w:style>
  <w:style w:type="paragraph" w:customStyle="1" w:styleId="37">
    <w:name w:val="Char"/>
    <w:basedOn w:val="1"/>
    <w:qFormat/>
    <w:uiPriority w:val="0"/>
  </w:style>
  <w:style w:type="paragraph" w:customStyle="1" w:styleId="38">
    <w:name w:val="Char Char Char Char"/>
    <w:basedOn w:val="1"/>
    <w:qFormat/>
    <w:uiPriority w:val="0"/>
    <w:pPr>
      <w:tabs>
        <w:tab w:val="left" w:pos="360"/>
      </w:tabs>
    </w:pPr>
  </w:style>
  <w:style w:type="paragraph" w:customStyle="1" w:styleId="39">
    <w:name w:val="Char Char1"/>
    <w:basedOn w:val="1"/>
    <w:qFormat/>
    <w:uiPriority w:val="0"/>
  </w:style>
  <w:style w:type="paragraph" w:customStyle="1" w:styleId="40">
    <w:name w:val="unnamed1"/>
    <w:basedOn w:val="1"/>
    <w:qFormat/>
    <w:uiPriority w:val="0"/>
    <w:pPr>
      <w:spacing w:before="60" w:after="60"/>
      <w:ind w:left="15" w:right="15"/>
    </w:pPr>
    <w:rPr>
      <w:rFonts w:hint="eastAsia" w:ascii="宋体" w:hAnsi="宋体"/>
      <w:color w:val="000000"/>
      <w:sz w:val="18"/>
      <w:szCs w:val="18"/>
    </w:rPr>
  </w:style>
  <w:style w:type="paragraph" w:customStyle="1" w:styleId="41">
    <w:name w:val="正文正文"/>
    <w:basedOn w:val="1"/>
    <w:qFormat/>
    <w:uiPriority w:val="0"/>
    <w:pPr>
      <w:spacing w:afterLines="25" w:line="360" w:lineRule="auto"/>
      <w:ind w:firstLine="200" w:firstLineChars="200"/>
    </w:pPr>
    <w:rPr>
      <w:sz w:val="24"/>
    </w:rPr>
  </w:style>
  <w:style w:type="paragraph" w:customStyle="1" w:styleId="42">
    <w:name w:val="Char2"/>
    <w:basedOn w:val="1"/>
    <w:qFormat/>
    <w:uiPriority w:val="0"/>
  </w:style>
  <w:style w:type="paragraph" w:customStyle="1" w:styleId="43">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44">
    <w:name w:val="Char Char"/>
    <w:basedOn w:val="1"/>
    <w:qFormat/>
    <w:uiPriority w:val="0"/>
  </w:style>
  <w:style w:type="paragraph" w:customStyle="1" w:styleId="45">
    <w:name w:val="Char Char Char"/>
    <w:basedOn w:val="1"/>
    <w:qFormat/>
    <w:uiPriority w:val="0"/>
  </w:style>
  <w:style w:type="paragraph" w:customStyle="1" w:styleId="46">
    <w:name w:val="msonormal1"/>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7">
    <w:name w:val="List_bullet"/>
    <w:basedOn w:val="1"/>
    <w:qFormat/>
    <w:uiPriority w:val="0"/>
    <w:pPr>
      <w:widowControl/>
      <w:numPr>
        <w:ilvl w:val="0"/>
        <w:numId w:val="1"/>
      </w:numPr>
      <w:jc w:val="left"/>
    </w:pPr>
    <w:rPr>
      <w:kern w:val="0"/>
      <w:sz w:val="24"/>
    </w:rPr>
  </w:style>
  <w:style w:type="paragraph" w:customStyle="1" w:styleId="48">
    <w:name w:val="InfoBlue"/>
    <w:basedOn w:val="1"/>
    <w:next w:val="9"/>
    <w:qFormat/>
    <w:uiPriority w:val="0"/>
    <w:pPr>
      <w:tabs>
        <w:tab w:val="left" w:pos="420"/>
      </w:tabs>
      <w:spacing w:after="120" w:line="240" w:lineRule="atLeast"/>
      <w:ind w:left="420" w:hanging="420"/>
      <w:jc w:val="left"/>
    </w:pPr>
    <w:rPr>
      <w:rFonts w:ascii="宋体" w:hAnsi="宋体"/>
    </w:rPr>
  </w:style>
  <w:style w:type="paragraph" w:customStyle="1" w:styleId="49">
    <w:name w:val="正文所"/>
    <w:basedOn w:val="1"/>
    <w:qFormat/>
    <w:uiPriority w:val="0"/>
    <w:pPr>
      <w:spacing w:line="360" w:lineRule="auto"/>
      <w:ind w:firstLine="420" w:firstLineChars="200"/>
    </w:pPr>
    <w:rPr>
      <w:rFonts w:ascii="宋体"/>
    </w:rPr>
  </w:style>
  <w:style w:type="paragraph" w:customStyle="1" w:styleId="50">
    <w:name w:val="修订1"/>
    <w:hidden/>
    <w:semiHidden/>
    <w:qFormat/>
    <w:uiPriority w:val="99"/>
    <w:rPr>
      <w:rFonts w:ascii="Times New Roman" w:hAnsi="Times New Roman" w:eastAsia="宋体" w:cs="Times New Roman"/>
      <w:kern w:val="2"/>
      <w:sz w:val="21"/>
      <w:lang w:val="en-US" w:eastAsia="zh-CN" w:bidi="ar-SA"/>
    </w:rPr>
  </w:style>
  <w:style w:type="paragraph" w:customStyle="1" w:styleId="51">
    <w:name w:val="Char Char6"/>
    <w:basedOn w:val="1"/>
    <w:qFormat/>
    <w:uiPriority w:val="0"/>
  </w:style>
  <w:style w:type="paragraph" w:customStyle="1" w:styleId="52">
    <w:name w:val="Char Char Char Char1"/>
    <w:basedOn w:val="1"/>
    <w:qFormat/>
    <w:uiPriority w:val="0"/>
    <w:pPr>
      <w:tabs>
        <w:tab w:val="left" w:pos="360"/>
      </w:tabs>
    </w:pPr>
  </w:style>
  <w:style w:type="paragraph" w:customStyle="1" w:styleId="53">
    <w:name w:val="Char Char11"/>
    <w:basedOn w:val="1"/>
    <w:qFormat/>
    <w:uiPriority w:val="0"/>
  </w:style>
  <w:style w:type="paragraph" w:customStyle="1" w:styleId="54">
    <w:name w:val="Char1"/>
    <w:basedOn w:val="1"/>
    <w:qFormat/>
    <w:uiPriority w:val="0"/>
  </w:style>
  <w:style w:type="paragraph" w:customStyle="1" w:styleId="55">
    <w:name w:val="Char Char5"/>
    <w:basedOn w:val="1"/>
    <w:qFormat/>
    <w:uiPriority w:val="0"/>
  </w:style>
  <w:style w:type="paragraph" w:customStyle="1" w:styleId="56">
    <w:name w:val="Char Char Char1"/>
    <w:basedOn w:val="1"/>
    <w:qFormat/>
    <w:uiPriority w:val="0"/>
  </w:style>
  <w:style w:type="character" w:customStyle="1" w:styleId="57">
    <w:name w:val="标题 4 Char"/>
    <w:basedOn w:val="26"/>
    <w:link w:val="5"/>
    <w:semiHidden/>
    <w:qFormat/>
    <w:uiPriority w:val="9"/>
    <w:rPr>
      <w:rFonts w:asciiTheme="majorHAnsi" w:hAnsiTheme="majorHAnsi" w:eastAsiaTheme="majorEastAsia" w:cstheme="majorBidi"/>
      <w:b/>
      <w:bCs/>
      <w:kern w:val="2"/>
      <w:sz w:val="28"/>
      <w:szCs w:val="28"/>
    </w:rPr>
  </w:style>
  <w:style w:type="paragraph" w:styleId="58">
    <w:name w:val="List Paragraph"/>
    <w:basedOn w:val="1"/>
    <w:qFormat/>
    <w:uiPriority w:val="0"/>
    <w:pPr>
      <w:ind w:firstLine="420" w:firstLineChars="200"/>
    </w:pPr>
  </w:style>
  <w:style w:type="character" w:customStyle="1" w:styleId="59">
    <w:name w:val="批注文字 Char1"/>
    <w:basedOn w:val="26"/>
    <w:link w:val="8"/>
    <w:qFormat/>
    <w:uiPriority w:val="0"/>
    <w:rPr>
      <w:kern w:val="2"/>
      <w:sz w:val="21"/>
    </w:rPr>
  </w:style>
  <w:style w:type="paragraph" w:customStyle="1" w:styleId="60">
    <w:name w:val="Char Char4"/>
    <w:basedOn w:val="1"/>
    <w:qFormat/>
    <w:uiPriority w:val="0"/>
  </w:style>
  <w:style w:type="character" w:customStyle="1" w:styleId="61">
    <w:name w:val="批注文字 Char"/>
    <w:qFormat/>
    <w:uiPriority w:val="99"/>
    <w:rPr>
      <w:kern w:val="2"/>
      <w:sz w:val="21"/>
    </w:rPr>
  </w:style>
  <w:style w:type="paragraph" w:customStyle="1" w:styleId="62">
    <w:name w:val="Char Char3"/>
    <w:basedOn w:val="1"/>
    <w:qFormat/>
    <w:uiPriority w:val="0"/>
  </w:style>
  <w:style w:type="paragraph" w:customStyle="1" w:styleId="63">
    <w:name w:val="Char Char2"/>
    <w:basedOn w:val="1"/>
    <w:qFormat/>
    <w:uiPriority w:val="0"/>
  </w:style>
  <w:style w:type="character" w:customStyle="1" w:styleId="64">
    <w:name w:val="标题 3 Char"/>
    <w:basedOn w:val="26"/>
    <w:link w:val="4"/>
    <w:qFormat/>
    <w:uiPriority w:val="0"/>
    <w:rPr>
      <w:b/>
      <w:kern w:val="2"/>
      <w:sz w:val="32"/>
    </w:rPr>
  </w:style>
  <w:style w:type="character" w:customStyle="1" w:styleId="65">
    <w:name w:val="HTML 预设格式 Char"/>
    <w:basedOn w:val="26"/>
    <w:link w:val="20"/>
    <w:qFormat/>
    <w:uiPriority w:val="99"/>
    <w:rPr>
      <w:rFonts w:ascii="宋体" w:hAnsi="宋体" w:cs="宋体"/>
      <w:sz w:val="24"/>
      <w:szCs w:val="24"/>
    </w:rPr>
  </w:style>
  <w:style w:type="character" w:customStyle="1" w:styleId="66">
    <w:name w:val="页脚 Char"/>
    <w:basedOn w:val="26"/>
    <w:link w:val="14"/>
    <w:qFormat/>
    <w:uiPriority w:val="99"/>
    <w:rPr>
      <w:kern w:val="2"/>
      <w:sz w:val="18"/>
    </w:rPr>
  </w:style>
  <w:style w:type="paragraph" w:customStyle="1" w:styleId="67">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character" w:customStyle="1" w:styleId="68">
    <w:name w:val="标题 1 Char"/>
    <w:basedOn w:val="26"/>
    <w:link w:val="2"/>
    <w:qFormat/>
    <w:uiPriority w:val="0"/>
    <w:rPr>
      <w:rFonts w:ascii="宋体"/>
      <w:b/>
      <w:color w:val="000000"/>
      <w:sz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558B815-FFD1-49F9-ACF0-111788F49A18}">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17</Pages>
  <Words>1553</Words>
  <Characters>8858</Characters>
  <Lines>73</Lines>
  <Paragraphs>20</Paragraphs>
  <TotalTime>165</TotalTime>
  <ScaleCrop>false</ScaleCrop>
  <LinksUpToDate>false</LinksUpToDate>
  <CharactersWithSpaces>10391</CharactersWithSpaces>
  <Application>WPS Office_11.8.2.10164_F1E327BC-269C-435d-A152-05C5408002CA</Application>
  <DocSecurity>8</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2024-03-04T03:42:00Z</dcterms:created>
  <dc:creator>Mandy.Z</dc:creator>
  <cp:lastModifiedBy>cib</cp:lastModifiedBy>
  <cp:lastPrinted>2017-10-31T06:33:00Z</cp:lastPrinted>
  <dcterms:modified xsi:type="dcterms:W3CDTF">2025-02-10T03:06:47Z</dcterms:modified>
  <dc:title>___证券投资基金招募说明书1</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2052-11.8.2.10164</vt:lpwstr>
  </property>
  <property fmtid="{D5CDD505-2E9C-101B-9397-08002B2CF9AE}" pid="3" name="ICV">
    <vt:lpwstr>7F764BA8FE1445D395384AAC04665998_13</vt:lpwstr>
  </property>
</Properties>
</file>