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兴银理财</w:t>
      </w:r>
      <w:permStart w:id="0" w:edGrp="everyone"/>
      <w:r>
        <w:rPr>
          <w:rStyle w:val="27"/>
          <w:rFonts w:hint="eastAsia" w:ascii="黑体" w:hAnsi="黑体" w:eastAsia="黑体"/>
          <w:sz w:val="44"/>
          <w:szCs w:val="44"/>
        </w:rPr>
        <w:t>【稳添利最短持有期日开固收类】</w:t>
      </w:r>
      <w:permEnd w:id="0"/>
      <w:r>
        <w:rPr>
          <w:rStyle w:val="27"/>
          <w:rFonts w:hint="eastAsia" w:ascii="黑体" w:hAnsi="黑体" w:eastAsia="黑体"/>
          <w:sz w:val="44"/>
          <w:szCs w:val="44"/>
        </w:rPr>
        <w:t>理财产品</w:t>
      </w: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产品说明书</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bCs w:val="0"/>
          <w:sz w:val="28"/>
          <w:szCs w:val="28"/>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理财产品管理人：兴银理财有限责任公司</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日期</w:t>
      </w:r>
      <w:r>
        <w:rPr>
          <w:rStyle w:val="27"/>
          <w:rFonts w:ascii="宋体" w:hAnsi="宋体" w:cs="Times New Roman"/>
          <w:sz w:val="32"/>
          <w:szCs w:val="32"/>
        </w:rPr>
        <w:t>：</w:t>
      </w:r>
      <w:permStart w:id="1" w:edGrp="everyone"/>
      <w:r>
        <w:rPr>
          <w:rStyle w:val="27"/>
          <w:rFonts w:hint="eastAsia" w:ascii="宋体" w:hAnsi="宋体" w:cs="Times New Roman"/>
          <w:sz w:val="32"/>
          <w:szCs w:val="32"/>
        </w:rPr>
        <w:t>【2025】年【</w:t>
      </w:r>
      <w:r>
        <w:rPr>
          <w:rStyle w:val="27"/>
          <w:rFonts w:hint="eastAsia" w:ascii="宋体" w:hAnsi="宋体" w:cs="Times New Roman"/>
          <w:sz w:val="32"/>
          <w:szCs w:val="32"/>
          <w:lang w:val="en-US" w:eastAsia="zh-CN"/>
        </w:rPr>
        <w:t>2</w:t>
      </w:r>
      <w:r>
        <w:rPr>
          <w:rStyle w:val="27"/>
          <w:rFonts w:hint="eastAsia" w:ascii="宋体" w:hAnsi="宋体" w:cs="Times New Roman"/>
          <w:sz w:val="32"/>
          <w:szCs w:val="32"/>
        </w:rPr>
        <w:t>】月</w:t>
      </w:r>
      <w:permEnd w:id="1"/>
    </w:p>
    <w:p>
      <w:pPr>
        <w:rPr>
          <w:rStyle w:val="27"/>
          <w:rFonts w:ascii="宋体" w:hAnsi="宋体"/>
          <w:sz w:val="32"/>
          <w:szCs w:val="32"/>
        </w:rPr>
      </w:pPr>
      <w:r>
        <w:rPr>
          <w:rStyle w:val="27"/>
          <w:rFonts w:ascii="宋体" w:hAnsi="宋体"/>
          <w:sz w:val="32"/>
          <w:szCs w:val="32"/>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48"/>
            <w:spacing w:line="360" w:lineRule="auto"/>
            <w:jc w:val="center"/>
          </w:pPr>
          <w:bookmarkStart w:id="0" w:name="_Toc78276587"/>
          <w:permStart w:id="2" w:edGrp="everyone"/>
          <w:r>
            <w:rPr>
              <w:lang w:val="zh-CN"/>
            </w:rPr>
            <w:t>目录</w:t>
          </w:r>
        </w:p>
        <w:p>
          <w:pPr>
            <w:pStyle w:val="16"/>
            <w:tabs>
              <w:tab w:val="right" w:leader="dot" w:pos="8306"/>
            </w:tabs>
          </w:pPr>
          <w:r>
            <w:fldChar w:fldCharType="begin"/>
          </w:r>
          <w:r>
            <w:instrText xml:space="preserve"> TOC \o "1-3" \h \z \u </w:instrText>
          </w:r>
          <w:r>
            <w:fldChar w:fldCharType="separate"/>
          </w:r>
          <w:r>
            <w:fldChar w:fldCharType="begin"/>
          </w:r>
          <w:r>
            <w:instrText xml:space="preserve"> HYPERLINK \l "_Toc29814" </w:instrText>
          </w:r>
          <w:r>
            <w:fldChar w:fldCharType="separate"/>
          </w:r>
          <w:r>
            <w:rPr>
              <w:rFonts w:ascii="Times New Roman"/>
            </w:rPr>
            <w:t>第</w:t>
          </w:r>
          <w:r>
            <w:rPr>
              <w:rFonts w:hint="eastAsia" w:ascii="Times New Roman"/>
            </w:rPr>
            <w:t xml:space="preserve">一条 </w:t>
          </w:r>
          <w:r>
            <w:rPr>
              <w:rFonts w:ascii="Times New Roman"/>
            </w:rPr>
            <w:t xml:space="preserve"> 释义</w:t>
          </w:r>
          <w:r>
            <w:tab/>
          </w:r>
          <w:r>
            <w:fldChar w:fldCharType="begin"/>
          </w:r>
          <w:r>
            <w:instrText xml:space="preserve"> PAGEREF _Toc29814 \h </w:instrText>
          </w:r>
          <w:r>
            <w:fldChar w:fldCharType="separate"/>
          </w:r>
          <w:r>
            <w:t>3</w:t>
          </w:r>
          <w:r>
            <w:fldChar w:fldCharType="end"/>
          </w:r>
          <w:r>
            <w:fldChar w:fldCharType="end"/>
          </w:r>
        </w:p>
        <w:p>
          <w:pPr>
            <w:pStyle w:val="16"/>
            <w:tabs>
              <w:tab w:val="right" w:leader="dot" w:pos="8306"/>
            </w:tabs>
          </w:pPr>
          <w:r>
            <w:fldChar w:fldCharType="begin"/>
          </w:r>
          <w:r>
            <w:instrText xml:space="preserve"> HYPERLINK \l "_Toc30087" </w:instrText>
          </w:r>
          <w:r>
            <w:fldChar w:fldCharType="separate"/>
          </w:r>
          <w:r>
            <w:rPr>
              <w:rFonts w:hint="eastAsia" w:hAnsi="宋体"/>
              <w:szCs w:val="28"/>
            </w:rPr>
            <w:t xml:space="preserve">第二条  理财产品基本情况 </w:t>
          </w:r>
          <w:r>
            <w:tab/>
          </w:r>
          <w:r>
            <w:fldChar w:fldCharType="begin"/>
          </w:r>
          <w:r>
            <w:instrText xml:space="preserve"> PAGEREF _Toc30087 \h </w:instrText>
          </w:r>
          <w:r>
            <w:fldChar w:fldCharType="separate"/>
          </w:r>
          <w:r>
            <w:t>8</w:t>
          </w:r>
          <w:r>
            <w:fldChar w:fldCharType="end"/>
          </w:r>
          <w:r>
            <w:fldChar w:fldCharType="end"/>
          </w:r>
        </w:p>
        <w:p>
          <w:pPr>
            <w:pStyle w:val="16"/>
            <w:tabs>
              <w:tab w:val="right" w:leader="dot" w:pos="8306"/>
            </w:tabs>
          </w:pPr>
          <w:r>
            <w:fldChar w:fldCharType="begin"/>
          </w:r>
          <w:r>
            <w:instrText xml:space="preserve"> HYPERLINK \l "_Toc21959" </w:instrText>
          </w:r>
          <w:r>
            <w:fldChar w:fldCharType="separate"/>
          </w:r>
          <w:r>
            <w:rPr>
              <w:rFonts w:ascii="Times New Roman"/>
            </w:rPr>
            <w:t>第</w:t>
          </w:r>
          <w:r>
            <w:rPr>
              <w:rFonts w:hint="eastAsia" w:ascii="Times New Roman"/>
            </w:rPr>
            <w:t>三条</w:t>
          </w:r>
          <w:r>
            <w:rPr>
              <w:rFonts w:ascii="Times New Roman"/>
            </w:rPr>
            <w:t xml:space="preserve">  </w:t>
          </w:r>
          <w:r>
            <w:rPr>
              <w:rFonts w:hint="eastAsia" w:ascii="Times New Roman"/>
            </w:rPr>
            <w:t>理财产品的认购</w:t>
          </w:r>
          <w:r>
            <w:tab/>
          </w:r>
          <w:r>
            <w:fldChar w:fldCharType="begin"/>
          </w:r>
          <w:r>
            <w:instrText xml:space="preserve"> PAGEREF _Toc21959 \h </w:instrText>
          </w:r>
          <w:r>
            <w:fldChar w:fldCharType="separate"/>
          </w:r>
          <w:r>
            <w:t>14</w:t>
          </w:r>
          <w:r>
            <w:fldChar w:fldCharType="end"/>
          </w:r>
          <w:r>
            <w:fldChar w:fldCharType="end"/>
          </w:r>
        </w:p>
        <w:p>
          <w:pPr>
            <w:pStyle w:val="16"/>
            <w:tabs>
              <w:tab w:val="right" w:leader="dot" w:pos="8306"/>
            </w:tabs>
          </w:pPr>
          <w:r>
            <w:fldChar w:fldCharType="begin"/>
          </w:r>
          <w:r>
            <w:instrText xml:space="preserve"> HYPERLINK \l "_Toc29856" </w:instrText>
          </w:r>
          <w:r>
            <w:fldChar w:fldCharType="separate"/>
          </w:r>
          <w:r>
            <w:rPr>
              <w:rFonts w:hint="eastAsia" w:ascii="Times New Roman"/>
            </w:rPr>
            <w:t xml:space="preserve">第四条 </w:t>
          </w:r>
          <w:r>
            <w:rPr>
              <w:rFonts w:ascii="Times New Roman"/>
            </w:rPr>
            <w:t xml:space="preserve"> </w:t>
          </w:r>
          <w:r>
            <w:rPr>
              <w:rFonts w:hint="eastAsia" w:ascii="Times New Roman"/>
            </w:rPr>
            <w:t>理财产品的申购与赎回</w:t>
          </w:r>
          <w:r>
            <w:tab/>
          </w:r>
          <w:r>
            <w:fldChar w:fldCharType="begin"/>
          </w:r>
          <w:r>
            <w:instrText xml:space="preserve"> PAGEREF _Toc29856 \h </w:instrText>
          </w:r>
          <w:r>
            <w:fldChar w:fldCharType="separate"/>
          </w:r>
          <w:r>
            <w:t>16</w:t>
          </w:r>
          <w:r>
            <w:fldChar w:fldCharType="end"/>
          </w:r>
          <w:r>
            <w:fldChar w:fldCharType="end"/>
          </w:r>
        </w:p>
        <w:p>
          <w:pPr>
            <w:pStyle w:val="16"/>
            <w:tabs>
              <w:tab w:val="right" w:leader="dot" w:pos="8306"/>
            </w:tabs>
          </w:pPr>
          <w:r>
            <w:fldChar w:fldCharType="begin"/>
          </w:r>
          <w:r>
            <w:instrText xml:space="preserve"> HYPERLINK \l "_Toc23413" </w:instrText>
          </w:r>
          <w:r>
            <w:fldChar w:fldCharType="separate"/>
          </w:r>
          <w:r>
            <w:rPr>
              <w:rFonts w:ascii="Times New Roman"/>
            </w:rPr>
            <w:t>第</w:t>
          </w:r>
          <w:r>
            <w:rPr>
              <w:rFonts w:hint="eastAsia" w:ascii="Times New Roman"/>
            </w:rPr>
            <w:t>五条</w:t>
          </w:r>
          <w:r>
            <w:rPr>
              <w:rFonts w:ascii="Times New Roman"/>
            </w:rPr>
            <w:t xml:space="preserve">  </w:t>
          </w:r>
          <w:r>
            <w:rPr>
              <w:rFonts w:hint="eastAsia" w:ascii="Times New Roman"/>
            </w:rPr>
            <w:t>理财产品的投资</w:t>
          </w:r>
          <w:r>
            <w:tab/>
          </w:r>
          <w:r>
            <w:fldChar w:fldCharType="begin"/>
          </w:r>
          <w:r>
            <w:instrText xml:space="preserve"> PAGEREF _Toc23413 \h </w:instrText>
          </w:r>
          <w:r>
            <w:fldChar w:fldCharType="separate"/>
          </w:r>
          <w:r>
            <w:t>20</w:t>
          </w:r>
          <w:r>
            <w:fldChar w:fldCharType="end"/>
          </w:r>
          <w:r>
            <w:fldChar w:fldCharType="end"/>
          </w:r>
        </w:p>
        <w:p>
          <w:pPr>
            <w:pStyle w:val="16"/>
            <w:tabs>
              <w:tab w:val="right" w:leader="dot" w:pos="8306"/>
            </w:tabs>
          </w:pPr>
          <w:r>
            <w:fldChar w:fldCharType="begin"/>
          </w:r>
          <w:r>
            <w:instrText xml:space="preserve"> HYPERLINK \l "_Toc5702" </w:instrText>
          </w:r>
          <w:r>
            <w:fldChar w:fldCharType="separate"/>
          </w:r>
          <w:r>
            <w:rPr>
              <w:rFonts w:ascii="Times New Roman"/>
            </w:rPr>
            <w:t>第</w:t>
          </w:r>
          <w:r>
            <w:rPr>
              <w:rFonts w:hint="eastAsia" w:ascii="Times New Roman"/>
            </w:rPr>
            <w:t>六条</w:t>
          </w:r>
          <w:r>
            <w:rPr>
              <w:rFonts w:ascii="Times New Roman"/>
            </w:rPr>
            <w:t xml:space="preserve">  </w:t>
          </w:r>
          <w:r>
            <w:rPr>
              <w:rFonts w:hint="eastAsia" w:ascii="Times New Roman"/>
            </w:rPr>
            <w:t>理财产品的资产</w:t>
          </w:r>
          <w:r>
            <w:tab/>
          </w:r>
          <w:r>
            <w:fldChar w:fldCharType="begin"/>
          </w:r>
          <w:r>
            <w:instrText xml:space="preserve"> PAGEREF _Toc5702 \h </w:instrText>
          </w:r>
          <w:r>
            <w:fldChar w:fldCharType="separate"/>
          </w:r>
          <w:r>
            <w:t>23</w:t>
          </w:r>
          <w:r>
            <w:fldChar w:fldCharType="end"/>
          </w:r>
          <w:r>
            <w:fldChar w:fldCharType="end"/>
          </w:r>
        </w:p>
        <w:p>
          <w:pPr>
            <w:pStyle w:val="16"/>
            <w:tabs>
              <w:tab w:val="right" w:leader="dot" w:pos="8306"/>
            </w:tabs>
          </w:pPr>
          <w:r>
            <w:fldChar w:fldCharType="begin"/>
          </w:r>
          <w:r>
            <w:instrText xml:space="preserve"> HYPERLINK \l "_Toc11152" </w:instrText>
          </w:r>
          <w:r>
            <w:fldChar w:fldCharType="separate"/>
          </w:r>
          <w:r>
            <w:rPr>
              <w:rFonts w:hint="eastAsia" w:ascii="Times New Roman"/>
              <w:szCs w:val="28"/>
            </w:rPr>
            <w:t>第七条</w:t>
          </w:r>
          <w:r>
            <w:rPr>
              <w:rFonts w:ascii="Times New Roman"/>
              <w:szCs w:val="28"/>
            </w:rPr>
            <w:t xml:space="preserve">  </w:t>
          </w:r>
          <w:r>
            <w:rPr>
              <w:rFonts w:hint="eastAsia" w:ascii="Times New Roman"/>
              <w:szCs w:val="28"/>
            </w:rPr>
            <w:t>理财产品项下资产的估值</w:t>
          </w:r>
          <w:r>
            <w:tab/>
          </w:r>
          <w:r>
            <w:fldChar w:fldCharType="begin"/>
          </w:r>
          <w:r>
            <w:instrText xml:space="preserve"> PAGEREF _Toc11152 \h </w:instrText>
          </w:r>
          <w:r>
            <w:fldChar w:fldCharType="separate"/>
          </w:r>
          <w:r>
            <w:t>24</w:t>
          </w:r>
          <w:r>
            <w:fldChar w:fldCharType="end"/>
          </w:r>
          <w:r>
            <w:fldChar w:fldCharType="end"/>
          </w:r>
        </w:p>
        <w:p>
          <w:pPr>
            <w:pStyle w:val="16"/>
            <w:tabs>
              <w:tab w:val="right" w:leader="dot" w:pos="8306"/>
            </w:tabs>
          </w:pPr>
          <w:r>
            <w:fldChar w:fldCharType="begin"/>
          </w:r>
          <w:r>
            <w:instrText xml:space="preserve"> HYPERLINK \l "_Toc8045" </w:instrText>
          </w:r>
          <w:r>
            <w:fldChar w:fldCharType="separate"/>
          </w:r>
          <w:r>
            <w:rPr>
              <w:rFonts w:ascii="Times New Roman"/>
            </w:rPr>
            <w:t>第</w:t>
          </w:r>
          <w:r>
            <w:rPr>
              <w:rFonts w:hint="eastAsia" w:ascii="Times New Roman"/>
            </w:rPr>
            <w:t>八条</w:t>
          </w:r>
          <w:r>
            <w:rPr>
              <w:rFonts w:ascii="Times New Roman"/>
            </w:rPr>
            <w:t xml:space="preserve">  </w:t>
          </w:r>
          <w:r>
            <w:rPr>
              <w:rFonts w:hint="eastAsia" w:ascii="Times New Roman"/>
            </w:rPr>
            <w:t>理财产品的利益分配</w:t>
          </w:r>
          <w:r>
            <w:tab/>
          </w:r>
          <w:r>
            <w:fldChar w:fldCharType="begin"/>
          </w:r>
          <w:r>
            <w:instrText xml:space="preserve"> PAGEREF _Toc8045 \h </w:instrText>
          </w:r>
          <w:r>
            <w:fldChar w:fldCharType="separate"/>
          </w:r>
          <w:r>
            <w:t>28</w:t>
          </w:r>
          <w:r>
            <w:fldChar w:fldCharType="end"/>
          </w:r>
          <w:r>
            <w:fldChar w:fldCharType="end"/>
          </w:r>
        </w:p>
        <w:p>
          <w:pPr>
            <w:pStyle w:val="16"/>
            <w:tabs>
              <w:tab w:val="right" w:leader="dot" w:pos="8306"/>
            </w:tabs>
          </w:pPr>
          <w:r>
            <w:fldChar w:fldCharType="begin"/>
          </w:r>
          <w:r>
            <w:instrText xml:space="preserve"> HYPERLINK \l "_Toc22998" </w:instrText>
          </w:r>
          <w:r>
            <w:fldChar w:fldCharType="separate"/>
          </w:r>
          <w:r>
            <w:rPr>
              <w:rFonts w:ascii="Times New Roman"/>
            </w:rPr>
            <w:t>第</w:t>
          </w:r>
          <w:r>
            <w:rPr>
              <w:rFonts w:hint="eastAsia" w:ascii="Times New Roman"/>
            </w:rPr>
            <w:t>九条</w:t>
          </w:r>
          <w:r>
            <w:rPr>
              <w:rFonts w:ascii="Times New Roman"/>
            </w:rPr>
            <w:t xml:space="preserve">  </w:t>
          </w:r>
          <w:r>
            <w:rPr>
              <w:rFonts w:hint="eastAsia" w:ascii="Times New Roman"/>
            </w:rPr>
            <w:t>理财产品的费用与税收</w:t>
          </w:r>
          <w:r>
            <w:tab/>
          </w:r>
          <w:r>
            <w:fldChar w:fldCharType="begin"/>
          </w:r>
          <w:r>
            <w:instrText xml:space="preserve"> PAGEREF _Toc22998 \h </w:instrText>
          </w:r>
          <w:r>
            <w:fldChar w:fldCharType="separate"/>
          </w:r>
          <w:r>
            <w:t>29</w:t>
          </w:r>
          <w:r>
            <w:fldChar w:fldCharType="end"/>
          </w:r>
          <w:r>
            <w:fldChar w:fldCharType="end"/>
          </w:r>
        </w:p>
        <w:p>
          <w:pPr>
            <w:pStyle w:val="16"/>
            <w:tabs>
              <w:tab w:val="right" w:leader="dot" w:pos="8306"/>
            </w:tabs>
          </w:pPr>
          <w:r>
            <w:fldChar w:fldCharType="begin"/>
          </w:r>
          <w:r>
            <w:instrText xml:space="preserve"> HYPERLINK \l "_Toc5388" </w:instrText>
          </w:r>
          <w:r>
            <w:fldChar w:fldCharType="separate"/>
          </w:r>
          <w:r>
            <w:rPr>
              <w:rFonts w:hint="eastAsia"/>
            </w:rPr>
            <w:t>第十条</w:t>
          </w:r>
          <w:r>
            <w:t xml:space="preserve">  </w:t>
          </w:r>
          <w:r>
            <w:rPr>
              <w:rFonts w:hint="eastAsia"/>
            </w:rPr>
            <w:t>理财产品的终止与清算</w:t>
          </w:r>
          <w:r>
            <w:tab/>
          </w:r>
          <w:r>
            <w:fldChar w:fldCharType="begin"/>
          </w:r>
          <w:r>
            <w:instrText xml:space="preserve"> PAGEREF _Toc5388 \h </w:instrText>
          </w:r>
          <w:r>
            <w:fldChar w:fldCharType="separate"/>
          </w:r>
          <w:r>
            <w:t>32</w:t>
          </w:r>
          <w:r>
            <w:fldChar w:fldCharType="end"/>
          </w:r>
          <w:r>
            <w:fldChar w:fldCharType="end"/>
          </w:r>
        </w:p>
        <w:p>
          <w:pPr>
            <w:pStyle w:val="16"/>
            <w:tabs>
              <w:tab w:val="right" w:leader="dot" w:pos="8306"/>
            </w:tabs>
          </w:pPr>
          <w:r>
            <w:fldChar w:fldCharType="begin"/>
          </w:r>
          <w:r>
            <w:instrText xml:space="preserve"> HYPERLINK \l "_Toc24268" </w:instrText>
          </w:r>
          <w:r>
            <w:fldChar w:fldCharType="separate"/>
          </w:r>
          <w:r>
            <w:rPr>
              <w:rFonts w:hint="eastAsia" w:ascii="Times New Roman"/>
              <w:szCs w:val="28"/>
            </w:rPr>
            <w:t>第十一条</w:t>
          </w:r>
          <w:r>
            <w:rPr>
              <w:rFonts w:ascii="Times New Roman"/>
              <w:szCs w:val="28"/>
            </w:rPr>
            <w:t xml:space="preserve">  </w:t>
          </w:r>
          <w:r>
            <w:rPr>
              <w:rFonts w:hint="eastAsia" w:ascii="Times New Roman"/>
              <w:szCs w:val="28"/>
            </w:rPr>
            <w:t>理财产品的信息披露</w:t>
          </w:r>
          <w:r>
            <w:tab/>
          </w:r>
          <w:r>
            <w:fldChar w:fldCharType="begin"/>
          </w:r>
          <w:r>
            <w:instrText xml:space="preserve"> PAGEREF _Toc24268 \h </w:instrText>
          </w:r>
          <w:r>
            <w:fldChar w:fldCharType="separate"/>
          </w:r>
          <w:r>
            <w:t>34</w:t>
          </w:r>
          <w:r>
            <w:fldChar w:fldCharType="end"/>
          </w:r>
          <w:r>
            <w:fldChar w:fldCharType="end"/>
          </w:r>
        </w:p>
        <w:p>
          <w:pPr>
            <w:pStyle w:val="16"/>
            <w:tabs>
              <w:tab w:val="right" w:leader="dot" w:pos="8306"/>
            </w:tabs>
          </w:pPr>
          <w:r>
            <w:fldChar w:fldCharType="begin"/>
          </w:r>
          <w:r>
            <w:instrText xml:space="preserve"> HYPERLINK \l "_Toc8020" </w:instrText>
          </w:r>
          <w:r>
            <w:fldChar w:fldCharType="separate"/>
          </w:r>
          <w:r>
            <w:rPr>
              <w:rFonts w:hint="eastAsia" w:ascii="Times New Roman"/>
            </w:rPr>
            <w:t>第十二条</w:t>
          </w:r>
          <w:r>
            <w:rPr>
              <w:rFonts w:ascii="Times New Roman"/>
            </w:rPr>
            <w:t xml:space="preserve">  </w:t>
          </w:r>
          <w:r>
            <w:rPr>
              <w:rFonts w:hint="eastAsia" w:ascii="Times New Roman"/>
            </w:rPr>
            <w:t>理财产品</w:t>
          </w:r>
          <w:r>
            <w:rPr>
              <w:rFonts w:ascii="Times New Roman"/>
            </w:rPr>
            <w:t>的风险揭示</w:t>
          </w:r>
          <w:r>
            <w:tab/>
          </w:r>
          <w:r>
            <w:fldChar w:fldCharType="begin"/>
          </w:r>
          <w:r>
            <w:instrText xml:space="preserve"> PAGEREF _Toc8020 \h </w:instrText>
          </w:r>
          <w:r>
            <w:fldChar w:fldCharType="separate"/>
          </w:r>
          <w:r>
            <w:t>36</w:t>
          </w:r>
          <w:r>
            <w:fldChar w:fldCharType="end"/>
          </w:r>
          <w:r>
            <w:fldChar w:fldCharType="end"/>
          </w:r>
        </w:p>
        <w:p>
          <w:pPr>
            <w:spacing w:line="360" w:lineRule="auto"/>
          </w:pPr>
          <w:r>
            <w:fldChar w:fldCharType="end"/>
          </w:r>
        </w:p>
      </w:sdtContent>
    </w:sdt>
    <w:permEnd w:id="2"/>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1" w:name="_Toc29814"/>
      <w:bookmarkStart w:id="2" w:name="_Toc92377130"/>
      <w:bookmarkStart w:id="3" w:name="_Toc26572"/>
      <w:r>
        <w:rPr>
          <w:rFonts w:ascii="Times New Roman"/>
          <w:sz w:val="30"/>
        </w:rPr>
        <w:t>第</w:t>
      </w:r>
      <w:r>
        <w:rPr>
          <w:rFonts w:hint="eastAsia" w:ascii="Times New Roman"/>
          <w:sz w:val="30"/>
        </w:rPr>
        <w:t xml:space="preserve">一条 </w:t>
      </w:r>
      <w:r>
        <w:rPr>
          <w:rFonts w:ascii="Times New Roman"/>
          <w:sz w:val="30"/>
        </w:rPr>
        <w:t xml:space="preserve"> 释义</w:t>
      </w:r>
      <w:bookmarkEnd w:id="0"/>
      <w:bookmarkEnd w:id="1"/>
      <w:bookmarkEnd w:id="2"/>
      <w:bookmarkEnd w:id="3"/>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w:t>
      </w:r>
      <w:permStart w:id="3" w:edGrp="everyone"/>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permEnd w:id="3"/>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3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permStart w:id="4" w:edGrp="everyone"/>
      <w:r>
        <w:rPr>
          <w:rFonts w:hint="eastAsia" w:asciiTheme="majorEastAsia" w:hAnsiTheme="majorEastAsia" w:eastAsiaTheme="majorEastAsia"/>
          <w:bCs/>
          <w:sz w:val="18"/>
          <w:szCs w:val="18"/>
        </w:rPr>
        <w:t>【稳添利最短持有期日开固收类】</w:t>
      </w:r>
      <w:permEnd w:id="4"/>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permStart w:id="5" w:edGrp="everyone"/>
      <w:r>
        <w:rPr>
          <w:rFonts w:hint="eastAsia" w:asciiTheme="majorEastAsia" w:hAnsiTheme="majorEastAsia" w:eastAsiaTheme="majorEastAsia"/>
          <w:bCs/>
          <w:sz w:val="18"/>
          <w:szCs w:val="18"/>
        </w:rPr>
        <w:t>【稳添利最短持有期日开固收类】</w:t>
      </w:r>
      <w:permEnd w:id="5"/>
      <w:r>
        <w:rPr>
          <w:rFonts w:hint="eastAsia" w:asciiTheme="majorEastAsia" w:hAnsiTheme="majorEastAsia" w:eastAsiaTheme="majorEastAsia"/>
          <w:bCs/>
          <w:sz w:val="18"/>
          <w:szCs w:val="18"/>
        </w:rPr>
        <w:t>理财产品投资协议书》，以及对该文件的有效修改或补充。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permStart w:id="6" w:edGrp="everyone"/>
      <w:r>
        <w:rPr>
          <w:rFonts w:hint="eastAsia" w:asciiTheme="majorEastAsia" w:hAnsiTheme="majorEastAsia" w:eastAsiaTheme="majorEastAsia"/>
          <w:bCs/>
          <w:sz w:val="18"/>
          <w:szCs w:val="18"/>
        </w:rPr>
        <w:t>【稳添利最短持有期日开固收类】</w:t>
      </w:r>
      <w:permEnd w:id="6"/>
      <w:r>
        <w:rPr>
          <w:rFonts w:hint="eastAsia" w:asciiTheme="majorEastAsia" w:hAnsiTheme="majorEastAsia" w:eastAsiaTheme="majorEastAsia"/>
          <w:bCs/>
          <w:sz w:val="18"/>
          <w:szCs w:val="18"/>
        </w:rPr>
        <w:t>理财产品产品说明书》，以及对该文件的有效修改或补充。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permStart w:id="7" w:edGrp="everyone"/>
      <w:r>
        <w:rPr>
          <w:rFonts w:hint="eastAsia" w:asciiTheme="majorEastAsia" w:hAnsiTheme="majorEastAsia" w:eastAsiaTheme="majorEastAsia"/>
          <w:bCs/>
          <w:sz w:val="18"/>
          <w:szCs w:val="18"/>
        </w:rPr>
        <w:t>【稳添利最短持有期日开固收类】</w:t>
      </w:r>
      <w:permEnd w:id="7"/>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8" w:edGrp="everyone"/>
      <w:r>
        <w:rPr>
          <w:rFonts w:hint="eastAsia" w:asciiTheme="majorEastAsia" w:hAnsiTheme="majorEastAsia" w:eastAsiaTheme="majorEastAsia"/>
          <w:bCs/>
          <w:sz w:val="18"/>
          <w:szCs w:val="18"/>
        </w:rPr>
        <w:t>【稳添利最短持有期日开固收类】</w:t>
      </w:r>
      <w:permEnd w:id="8"/>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permStart w:id="9" w:edGrp="everyone"/>
      <w:r>
        <w:rPr>
          <w:rFonts w:hint="eastAsia" w:asciiTheme="majorEastAsia" w:hAnsiTheme="majorEastAsia" w:eastAsiaTheme="majorEastAsia"/>
          <w:bCs/>
          <w:sz w:val="18"/>
          <w:szCs w:val="18"/>
        </w:rPr>
        <w:t>【稳添利最短持有期日开固收类】</w:t>
      </w:r>
      <w:permEnd w:id="9"/>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10" w:edGrp="everyone"/>
      <w:r>
        <w:rPr>
          <w:rFonts w:hint="eastAsia" w:asciiTheme="majorEastAsia" w:hAnsiTheme="majorEastAsia" w:eastAsiaTheme="majorEastAsia"/>
          <w:bCs/>
          <w:sz w:val="18"/>
          <w:szCs w:val="18"/>
        </w:rPr>
        <w:t>【稳添利最短持有期日开固收类】</w:t>
      </w:r>
      <w:permEnd w:id="10"/>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permStart w:id="11" w:edGrp="everyone"/>
      <w:r>
        <w:rPr>
          <w:rFonts w:hint="eastAsia" w:asciiTheme="majorEastAsia" w:hAnsiTheme="majorEastAsia" w:eastAsiaTheme="majorEastAsia"/>
          <w:bCs/>
          <w:sz w:val="18"/>
          <w:szCs w:val="18"/>
        </w:rPr>
        <w:t>【稳添利最短持有期日开固收类】</w:t>
      </w:r>
      <w:permEnd w:id="11"/>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permStart w:id="12" w:edGrp="everyone"/>
      <w:r>
        <w:rPr>
          <w:rFonts w:hint="eastAsia" w:asciiTheme="majorEastAsia" w:hAnsiTheme="majorEastAsia" w:eastAsiaTheme="majorEastAsia"/>
          <w:bCs/>
          <w:sz w:val="18"/>
          <w:szCs w:val="18"/>
        </w:rPr>
        <w:t>【稳添利最短持有期日开固收类】</w:t>
      </w:r>
      <w:permEnd w:id="12"/>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，为每类份额类别</w:t>
      </w:r>
      <w:r>
        <w:rPr>
          <w:rFonts w:asciiTheme="majorEastAsia" w:hAnsiTheme="majorEastAsia" w:eastAsiaTheme="majorEastAsia"/>
          <w:bCs/>
          <w:color w:val="auto"/>
          <w:sz w:val="18"/>
          <w:szCs w:val="18"/>
        </w:rPr>
        <w:t>设置</w:t>
      </w:r>
      <w:r>
        <w:rPr>
          <w:rFonts w:hint="eastAsia" w:asciiTheme="majorEastAsia" w:hAnsiTheme="majorEastAsia" w:eastAsiaTheme="majorEastAsia"/>
          <w:bCs/>
          <w:color w:val="auto"/>
          <w:sz w:val="18"/>
          <w:szCs w:val="18"/>
        </w:rPr>
        <w:t>的唯一性内部识别码。若本款理财产品不设置差异化产品份额类别，理财产品代码即为理财产品销售代码。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）适合投资者：指适合购买理财产品的投资者类型。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理财产品负债总值是指理财产品运作及融资时形成的负债价值总和，包括融资资金本息、应付各项费用（包括托管费、认购费、固定管理费、计入负债的业绩报酬、其他费用等）、应付税金及其他应付款项等。</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10</w:t>
      </w:r>
      <w:r>
        <w:rPr>
          <w:rFonts w:hint="eastAsia" w:asciiTheme="majorEastAsia" w:hAnsiTheme="majorEastAsia" w:eastAsiaTheme="majorEastAsia"/>
          <w:bCs/>
          <w:color w:val="auto"/>
          <w:sz w:val="18"/>
          <w:szCs w:val="18"/>
        </w:rPr>
        <w:t>）理财产品估值：指计算评估理财产品资产和理财产品负债的价值，以确定理财产品份额净值的过程。</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sz w:val="18"/>
        </w:rPr>
        <w:t>不</w:t>
      </w:r>
      <w:r>
        <w:rPr>
          <w:rFonts w:hint="eastAsia" w:ascii="黑体" w:hAnsi="黑体" w:eastAsia="黑体"/>
          <w:bCs/>
          <w:sz w:val="18"/>
          <w:szCs w:val="18"/>
        </w:rPr>
        <w:t>构成对</w:t>
      </w:r>
      <w:r>
        <w:rPr>
          <w:rFonts w:hint="eastAsia" w:ascii="黑体" w:hAnsi="黑体"/>
          <w:sz w:val="18"/>
        </w:rPr>
        <w:t>产品收益的</w:t>
      </w:r>
      <w:r>
        <w:rPr>
          <w:rFonts w:hint="eastAsia" w:ascii="黑体" w:hAnsi="黑体" w:eastAsia="黑体"/>
          <w:bCs/>
          <w:sz w:val="18"/>
          <w:szCs w:val="18"/>
        </w:rPr>
        <w:t>承诺</w:t>
      </w:r>
      <w:r>
        <w:rPr>
          <w:rFonts w:hint="eastAsia" w:ascii="黑体" w:hAnsi="黑体"/>
          <w:sz w:val="18"/>
        </w:rPr>
        <w:t>，</w:t>
      </w:r>
      <w:r>
        <w:rPr>
          <w:rFonts w:hint="eastAsia" w:ascii="黑体" w:hAnsi="黑体" w:eastAsia="黑体"/>
          <w:bCs/>
          <w:color w:val="auto"/>
          <w:sz w:val="18"/>
          <w:szCs w:val="18"/>
        </w:rPr>
        <w:t>投资须谨慎。</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13</w:t>
      </w:r>
      <w:r>
        <w:rPr>
          <w:rFonts w:hint="eastAsia" w:asciiTheme="majorEastAsia" w:hAnsiTheme="majorEastAsia" w:eastAsiaTheme="majorEastAsia"/>
          <w:bCs/>
          <w:color w:val="auto"/>
          <w:sz w:val="18"/>
          <w:szCs w:val="18"/>
        </w:rPr>
        <w:t>）理财产品利益/理财利益：指投资者因持有理财产品份额，按照销售文件约定取得或有权取得的理财产品管理人分配的理财产品资产。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14）利益分配：指产品管理人向投资者进行理财产品利益分配。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15）期间分配：指在理财产品终止日（不含当日）前的理财产品利益分配。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16）终止分配：指在理财产品终止日当日及之后的理财产品利益分配。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17</w:t>
      </w:r>
      <w:r>
        <w:rPr>
          <w:rFonts w:hint="eastAsia" w:asciiTheme="majorEastAsia" w:hAnsiTheme="majorEastAsia" w:eastAsiaTheme="majorEastAsia"/>
          <w:bCs/>
          <w:color w:val="auto"/>
          <w:sz w:val="18"/>
          <w:szCs w:val="18"/>
        </w:rPr>
        <w:t>）认购：指投资者根据本销售文件约定在认购期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（20）巨额赎回：每个赎回日，本产品的净赎回申请（赎回申请份额总数扣除申购申请份额总数后的余额,下同）之和达到上一赎回日产品总份额的约定百分比，为巨额赎回。</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摆动定价机制：是指当开放式公募理财产品（现金管理类理财产品除外）遭遇大额申购或赎回时，通过调整理财产品份额净值的方式，将理财产品调整投资组合的市场冲击成本分配给实际申购、赎回的投资者，从而减少对存量理财产品份额持有人利益的不利影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23）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pPr>
        <w:pStyle w:val="3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34"/>
        <w:spacing w:line="360" w:lineRule="auto"/>
        <w:ind w:firstLine="360" w:firstLineChars="200"/>
        <w:rPr>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）★最短持有期:指自产品成立日/申购确认日起，投资者持有的产品份额被锁定持有的最短期间。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（12）产品存续期：指自理财产品成立日起，至理财产品终止日的期间。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（13）申购申请日：指投资者做出申购申请的当日。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（14）赎回申请日：指投资者做出赎回申请的当日。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5）申购日：指产品管理人接受投资者申购申请的当日。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6）赎回日：指产品管理人接受投资者赎回申请的当日。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7）申购确认日：指产品管理人确认投资者申购</w:t>
      </w:r>
      <w:r>
        <w:rPr>
          <w:rFonts w:asciiTheme="majorEastAsia" w:hAnsiTheme="majorEastAsia" w:eastAsiaTheme="majorEastAsia"/>
          <w:bCs/>
          <w:color w:val="auto"/>
          <w:sz w:val="18"/>
          <w:szCs w:val="18"/>
        </w:rPr>
        <w:t>申请有效性</w:t>
      </w:r>
      <w:r>
        <w:rPr>
          <w:rFonts w:hint="eastAsia" w:asciiTheme="majorEastAsia" w:hAnsiTheme="majorEastAsia" w:eastAsiaTheme="majorEastAsia"/>
          <w:bCs/>
          <w:color w:val="auto"/>
          <w:sz w:val="18"/>
          <w:szCs w:val="18"/>
        </w:rPr>
        <w:t>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8）赎回确认日：指产品管理人确认投资者赎回</w:t>
      </w:r>
      <w:r>
        <w:rPr>
          <w:rFonts w:asciiTheme="majorEastAsia" w:hAnsiTheme="majorEastAsia" w:eastAsiaTheme="majorEastAsia"/>
          <w:bCs/>
          <w:color w:val="auto"/>
          <w:sz w:val="18"/>
          <w:szCs w:val="18"/>
        </w:rPr>
        <w:t>申请有效性</w:t>
      </w:r>
      <w:r>
        <w:rPr>
          <w:rFonts w:hint="eastAsia" w:asciiTheme="majorEastAsia" w:hAnsiTheme="majorEastAsia" w:eastAsiaTheme="majorEastAsia"/>
          <w:bCs/>
          <w:color w:val="auto"/>
          <w:sz w:val="18"/>
          <w:szCs w:val="18"/>
        </w:rPr>
        <w:t>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）清算期：指自本理财产品终止日至投资者理财利益到账日之间的期间。</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3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pPr>
        <w:pStyle w:val="3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pPr>
        <w:pStyle w:val="3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pPr>
        <w:pStyle w:val="34"/>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34"/>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3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spacing w:line="360" w:lineRule="auto"/>
        <w:ind w:firstLine="360" w:firstLineChars="200"/>
        <w:rPr>
          <w:rFonts w:ascii="宋体" w:hAnsi="宋体"/>
          <w:color w:val="000000"/>
          <w:kern w:val="0"/>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pPr>
        <w:pStyle w:val="2"/>
        <w:spacing w:before="0" w:after="0" w:line="360" w:lineRule="auto"/>
        <w:jc w:val="center"/>
        <w:rPr>
          <w:rFonts w:hAnsi="宋体"/>
          <w:sz w:val="28"/>
          <w:szCs w:val="28"/>
        </w:rPr>
      </w:pPr>
      <w:bookmarkStart w:id="4" w:name="_Toc92377131"/>
      <w:bookmarkStart w:id="5" w:name="_Toc79154665"/>
      <w:bookmarkStart w:id="6" w:name="_Toc14559"/>
      <w:bookmarkStart w:id="7" w:name="_Toc30087"/>
      <w:r>
        <w:rPr>
          <w:rFonts w:hint="eastAsia" w:hAnsi="宋体"/>
          <w:sz w:val="28"/>
          <w:szCs w:val="28"/>
        </w:rPr>
        <w:t>第二条  理财产品基本情况</w:t>
      </w:r>
      <w:bookmarkEnd w:id="4"/>
      <w:bookmarkEnd w:id="5"/>
      <w:r>
        <w:rPr>
          <w:rFonts w:hint="eastAsia" w:hAnsi="宋体"/>
          <w:sz w:val="28"/>
          <w:szCs w:val="28"/>
        </w:rPr>
        <w:t xml:space="preserve"> </w:t>
      </w:r>
      <w:bookmarkEnd w:id="6"/>
      <w:bookmarkEnd w:id="7"/>
    </w:p>
    <w:tbl>
      <w:tblPr>
        <w:tblStyle w:val="24"/>
        <w:tblW w:w="964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70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1" w:hRule="atLeast"/>
          <w:jc w:val="center"/>
        </w:trPr>
        <w:tc>
          <w:tcPr>
            <w:tcW w:w="1945" w:type="dxa"/>
            <w:shd w:val="solid" w:color="FFFFFF" w:fill="FFFFFF"/>
          </w:tcPr>
          <w:p>
            <w:pPr>
              <w:spacing w:line="360" w:lineRule="auto"/>
              <w:jc w:val="left"/>
              <w:rPr>
                <w:rFonts w:ascii="宋体" w:hAnsi="宋体"/>
                <w:b/>
                <w:bCs/>
                <w:sz w:val="18"/>
                <w:szCs w:val="18"/>
              </w:rPr>
            </w:pPr>
            <w:permStart w:id="13" w:edGrp="everyone"/>
            <w:r>
              <w:rPr>
                <w:rFonts w:hint="eastAsia" w:hAnsi="宋体"/>
                <w:sz w:val="18"/>
                <w:szCs w:val="18"/>
              </w:rPr>
              <w:t>★</w:t>
            </w:r>
            <w:r>
              <w:rPr>
                <w:rFonts w:hint="eastAsia" w:ascii="宋体" w:hAnsi="宋体"/>
                <w:b/>
                <w:bCs/>
                <w:sz w:val="18"/>
                <w:szCs w:val="18"/>
              </w:rPr>
              <w:t>理财产品名称</w:t>
            </w:r>
          </w:p>
        </w:tc>
        <w:tc>
          <w:tcPr>
            <w:tcW w:w="7704" w:type="dxa"/>
            <w:shd w:val="solid" w:color="FFFFFF" w:fill="FFFFFF"/>
          </w:tcPr>
          <w:p>
            <w:pPr>
              <w:spacing w:line="360" w:lineRule="auto"/>
              <w:jc w:val="left"/>
              <w:rPr>
                <w:rFonts w:ascii="宋体" w:hAnsi="宋体"/>
                <w:bCs/>
                <w:sz w:val="18"/>
                <w:szCs w:val="18"/>
              </w:rPr>
            </w:pPr>
            <w:r>
              <w:rPr>
                <w:rFonts w:hint="eastAsia" w:ascii="宋体" w:hAnsi="宋体"/>
                <w:sz w:val="18"/>
                <w:szCs w:val="18"/>
              </w:rPr>
              <w:t>【兴银理财稳添利季盈53号(3个月最短持有期)日开固收类理财产品】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704" w:type="dxa"/>
            <w:shd w:val="solid" w:color="FFFFFF" w:fill="FFFFFF"/>
          </w:tcPr>
          <w:p>
            <w:pPr>
              <w:widowControl/>
              <w:spacing w:line="360" w:lineRule="auto"/>
              <w:jc w:val="left"/>
              <w:rPr>
                <w:rFonts w:ascii="宋体" w:hAnsi="宋体"/>
                <w:kern w:val="0"/>
                <w:sz w:val="22"/>
              </w:rPr>
            </w:pPr>
            <w:r>
              <w:rPr>
                <w:rFonts w:hint="eastAsia" w:asciiTheme="majorEastAsia" w:hAnsiTheme="majorEastAsia" w:eastAsiaTheme="majorEastAsia"/>
                <w:bCs/>
                <w:kern w:val="0"/>
                <w:sz w:val="18"/>
                <w:szCs w:val="18"/>
              </w:rPr>
              <w:t>【</w:t>
            </w:r>
            <w:r>
              <w:rPr>
                <w:rFonts w:hint="eastAsia" w:asciiTheme="majorEastAsia" w:hAnsiTheme="majorEastAsia" w:eastAsiaTheme="majorEastAsia"/>
                <w:bCs/>
                <w:kern w:val="0"/>
                <w:sz w:val="18"/>
                <w:szCs w:val="18"/>
                <w:lang w:eastAsia="zh-CN"/>
              </w:rPr>
              <w:t>稳添利季盈53号</w:t>
            </w:r>
            <w:r>
              <w:rPr>
                <w:rFonts w:hint="eastAsia" w:asciiTheme="majorEastAsia" w:hAnsiTheme="majorEastAsia" w:eastAsiaTheme="majorEastAsia"/>
                <w:bCs/>
                <w:kern w:val="0"/>
                <w:sz w:val="18"/>
                <w:szCs w:val="18"/>
                <w:lang w:val="en-US" w:eastAsia="zh-CN"/>
              </w:rPr>
              <w:t>C</w:t>
            </w:r>
            <w:r>
              <w:rPr>
                <w:rFonts w:hint="eastAsia" w:asciiTheme="majorEastAsia" w:hAnsiTheme="majorEastAsia" w:eastAsiaTheme="majorEastAsia"/>
                <w:bCs/>
                <w:kern w:val="0"/>
                <w:sz w:val="18"/>
                <w:szCs w:val="18"/>
              </w:rPr>
              <w:t>】</w:t>
            </w:r>
            <w:r>
              <w:rPr>
                <w:rFonts w:hint="eastAsia" w:hAnsi="宋体"/>
                <w:sz w:val="18"/>
                <w:szCs w:val="18"/>
              </w:rPr>
              <w:t>（</w:t>
            </w:r>
            <w:r>
              <w:rPr>
                <w:rFonts w:hint="eastAsia" w:hAnsi="宋体"/>
                <w:sz w:val="18"/>
                <w:szCs w:val="18"/>
                <w:lang w:eastAsia="zh-CN"/>
              </w:rPr>
              <w:t>适用【C】类份额</w:t>
            </w:r>
            <w:r>
              <w:rPr>
                <w:rFonts w:hint="eastAsia"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704"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【Z7002024003302】</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704"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宋体" w:hAnsi="宋体"/>
                <w:bCs/>
                <w:sz w:val="18"/>
                <w:szCs w:val="18"/>
              </w:rPr>
              <w:t>9K450530】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704" w:type="dxa"/>
            <w:shd w:val="solid" w:color="FFFFFF" w:fill="FFFFFF"/>
          </w:tcPr>
          <w:p>
            <w:pPr>
              <w:spacing w:line="320" w:lineRule="exact"/>
              <w:jc w:val="left"/>
              <w:rPr>
                <w:rFonts w:hAnsi="宋体"/>
                <w:sz w:val="18"/>
                <w:szCs w:val="18"/>
              </w:rPr>
            </w:pPr>
            <w:r>
              <w:rPr>
                <w:rFonts w:hint="eastAsia"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lang w:eastAsia="zh-CN"/>
                <w14:textFill>
                  <w14:solidFill>
                    <w14:schemeClr w14:val="tx1"/>
                  </w14:solidFill>
                </w14:textFill>
              </w:rPr>
              <w:t>9K45053</w:t>
            </w:r>
            <w:r>
              <w:rPr>
                <w:rFonts w:hint="eastAsia" w:ascii="宋体" w:hAnsi="宋体"/>
                <w:color w:val="000000" w:themeColor="text1"/>
                <w:sz w:val="18"/>
                <w:szCs w:val="18"/>
                <w:lang w:val="en-US" w:eastAsia="zh-CN"/>
                <w14:textFill>
                  <w14:solidFill>
                    <w14:schemeClr w14:val="tx1"/>
                  </w14:solidFill>
                </w14:textFill>
              </w:rPr>
              <w:t>C</w:t>
            </w:r>
            <w:r>
              <w:rPr>
                <w:rFonts w:hint="eastAsia"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lang w:eastAsia="zh-CN"/>
                <w14:textFill>
                  <w14:solidFill>
                    <w14:schemeClr w14:val="tx1"/>
                  </w14:solidFill>
                </w14:textFill>
              </w:rPr>
              <w:t>适用【C】类份额</w:t>
            </w:r>
            <w:r>
              <w:rPr>
                <w:rFonts w:hint="eastAsia" w:ascii="宋体" w:hAnsi="宋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704"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.本产品设置不同的理财产品份额，每类理财产品份额以下内容可能单独设置：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Cs/>
                <w:sz w:val="18"/>
                <w:szCs w:val="18"/>
              </w:rPr>
            </w:pPr>
            <w:r>
              <w:rPr>
                <w:rFonts w:hint="eastAsia" w:ascii="黑体" w:hAnsi="黑体" w:eastAsia="黑体"/>
                <w:bCs/>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704" w:type="dxa"/>
            <w:shd w:val="solid" w:color="FFFFFF" w:fill="FFFFFF"/>
            <w:vAlign w:val="center"/>
          </w:tcPr>
          <w:p>
            <w:pPr>
              <w:adjustRightInd w:val="0"/>
              <w:snapToGrid w:val="0"/>
              <w:spacing w:line="276" w:lineRule="auto"/>
              <w:rPr>
                <w:rFonts w:ascii="黑体" w:hAnsi="黑体" w:eastAsia="黑体"/>
                <w:bCs/>
                <w:sz w:val="18"/>
                <w:szCs w:val="18"/>
              </w:rPr>
            </w:pPr>
            <w:r>
              <w:rPr>
                <w:rFonts w:hint="eastAsia" w:ascii="黑体" w:hAnsi="黑体" w:eastAsia="黑体"/>
                <w:sz w:val="18"/>
                <w:szCs w:val="18"/>
              </w:rPr>
              <w:t>公募</w:t>
            </w:r>
            <w:r>
              <w:rPr>
                <w:rFonts w:hint="eastAsia" w:ascii="黑体" w:hAnsi="黑体" w:eastAsia="黑体"/>
                <w:bCs/>
                <w:sz w:val="18"/>
                <w:szCs w:val="18"/>
              </w:rPr>
              <w:t>、开放式、固定收益类、非保本浮动</w:t>
            </w:r>
            <w:r>
              <w:rPr>
                <w:rFonts w:ascii="黑体" w:hAnsi="黑体" w:eastAsia="黑体"/>
                <w:bCs/>
                <w:sz w:val="18"/>
                <w:szCs w:val="18"/>
              </w:rPr>
              <w:t>收益</w:t>
            </w:r>
            <w:r>
              <w:rPr>
                <w:rFonts w:hint="eastAsia" w:ascii="黑体" w:hAnsi="黑体" w:eastAsia="黑体"/>
                <w:bCs/>
                <w:sz w:val="18"/>
                <w:szCs w:val="18"/>
              </w:rPr>
              <w:t>、净值型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70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704" w:type="dxa"/>
            <w:shd w:val="solid" w:color="FFFFFF" w:fill="FFFFFF"/>
            <w:vAlign w:val="center"/>
          </w:tcPr>
          <w:p>
            <w:pPr>
              <w:spacing w:line="360" w:lineRule="auto"/>
              <w:rPr>
                <w:rFonts w:ascii="宋体" w:hAnsi="宋体"/>
                <w:bCs/>
                <w:sz w:val="18"/>
                <w:szCs w:val="18"/>
              </w:rPr>
            </w:pPr>
            <w:r>
              <w:rPr>
                <w:rFonts w:hint="eastAsia" w:ascii="宋体" w:hAnsi="宋体"/>
                <w:bCs/>
                <w:sz w:val="18"/>
                <w:szCs w:val="18"/>
              </w:rPr>
              <w:t>开放式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704" w:type="dxa"/>
            <w:shd w:val="solid" w:color="FFFFFF" w:fill="FFFFFF"/>
            <w:vAlign w:val="center"/>
          </w:tcPr>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固定收益类</w:t>
            </w:r>
          </w:p>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w:t>
            </w:r>
            <w:r>
              <w:rPr>
                <w:rFonts w:ascii="黑体" w:hAnsi="黑体" w:eastAsia="黑体"/>
                <w:bCs/>
                <w:sz w:val="18"/>
                <w:szCs w:val="18"/>
              </w:rPr>
              <w:t>收益</w:t>
            </w:r>
            <w:r>
              <w:rPr>
                <w:rFonts w:hint="eastAsia" w:ascii="黑体" w:hAnsi="黑体" w:eastAsia="黑体"/>
                <w:bCs/>
                <w:sz w:val="18"/>
                <w:szCs w:val="18"/>
              </w:rPr>
              <w:t>类</w:t>
            </w:r>
            <w:r>
              <w:rPr>
                <w:rFonts w:ascii="黑体" w:hAnsi="黑体" w:eastAsia="黑体"/>
                <w:bCs/>
                <w:sz w:val="18"/>
                <w:szCs w:val="18"/>
              </w:rPr>
              <w:t>产品是指根据监管</w:t>
            </w:r>
            <w:r>
              <w:rPr>
                <w:rFonts w:hint="eastAsia" w:ascii="黑体" w:hAnsi="黑体" w:eastAsia="黑体"/>
                <w:bCs/>
                <w:sz w:val="18"/>
                <w:szCs w:val="18"/>
              </w:rPr>
              <w:t>相关规定</w:t>
            </w:r>
            <w:r>
              <w:rPr>
                <w:rFonts w:ascii="黑体" w:hAnsi="黑体" w:eastAsia="黑体"/>
                <w:bCs/>
                <w:sz w:val="18"/>
                <w:szCs w:val="18"/>
              </w:rPr>
              <w:t>，投资于债权类资产的</w:t>
            </w:r>
            <w:r>
              <w:rPr>
                <w:rFonts w:hint="eastAsia" w:ascii="黑体" w:hAnsi="黑体" w:eastAsia="黑体"/>
                <w:bCs/>
                <w:sz w:val="18"/>
                <w:szCs w:val="18"/>
              </w:rPr>
              <w:t>比例</w:t>
            </w:r>
            <w:r>
              <w:rPr>
                <w:rFonts w:ascii="黑体" w:hAnsi="黑体" w:eastAsia="黑体"/>
                <w:bCs/>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704" w:type="dxa"/>
            <w:shd w:val="solid" w:color="FFFFFF" w:fill="FFFFFF"/>
            <w:vAlign w:val="center"/>
          </w:tcPr>
          <w:p>
            <w:pPr>
              <w:adjustRightInd w:val="0"/>
              <w:snapToGrid w:val="0"/>
              <w:spacing w:line="360" w:lineRule="auto"/>
              <w:rPr>
                <w:rFonts w:ascii="黑体" w:hAnsi="黑体" w:eastAsia="黑体" w:cs="黑体"/>
                <w:bCs/>
                <w:sz w:val="18"/>
                <w:szCs w:val="18"/>
              </w:rPr>
            </w:pPr>
            <w:r>
              <w:rPr>
                <w:rFonts w:hint="eastAsia" w:ascii="黑体" w:hAnsi="黑体" w:eastAsia="黑体" w:cs="黑体"/>
                <w:bCs/>
                <w:sz w:val="18"/>
                <w:szCs w:val="18"/>
              </w:rPr>
              <w:t>非保本浮动收益</w:t>
            </w:r>
          </w:p>
          <w:p>
            <w:pPr>
              <w:adjustRightInd w:val="0"/>
              <w:snapToGrid w:val="0"/>
              <w:spacing w:line="360" w:lineRule="auto"/>
              <w:rPr>
                <w:rFonts w:ascii="黑体" w:hAnsi="黑体" w:eastAsia="黑体" w:cs="黑体"/>
                <w:bCs/>
                <w:sz w:val="18"/>
                <w:szCs w:val="18"/>
              </w:rPr>
            </w:pPr>
            <w:r>
              <w:rPr>
                <w:rFonts w:hint="eastAsia" w:ascii="黑体" w:hAnsi="黑体" w:eastAsia="黑体" w:cs="黑体"/>
                <w:bCs/>
                <w:sz w:val="18"/>
                <w:szCs w:val="18"/>
              </w:rPr>
              <w:t>本产品不保证本金且不保证收益。本产品的收益随投资收益浮动，投资者可能会因市场变动而蒙受损失。</w:t>
            </w:r>
          </w:p>
          <w:p>
            <w:pPr>
              <w:adjustRightInd w:val="0"/>
              <w:snapToGrid w:val="0"/>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70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704"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 xml:space="preserve">□ </w:t>
            </w:r>
            <w:r>
              <w:rPr>
                <w:rFonts w:asciiTheme="majorEastAsia" w:hAnsiTheme="majorEastAsia" w:eastAsiaTheme="majorEastAsia"/>
                <w:bCs/>
                <w:sz w:val="18"/>
                <w:szCs w:val="18"/>
              </w:rPr>
              <w:t>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Cs/>
                <w:sz w:val="18"/>
                <w:szCs w:val="18"/>
              </w:rPr>
            </w:pPr>
            <w:r>
              <w:rPr>
                <w:rFonts w:hint="eastAsia" w:ascii="黑体" w:hAnsi="黑体" w:eastAsia="黑体"/>
                <w:sz w:val="18"/>
                <w:szCs w:val="18"/>
              </w:rPr>
              <w:t>注</w:t>
            </w:r>
            <w:r>
              <w:rPr>
                <w:rFonts w:ascii="黑体" w:hAnsi="黑体" w:eastAsia="黑体"/>
                <w:sz w:val="18"/>
                <w:szCs w:val="18"/>
              </w:rPr>
              <w:t>：</w:t>
            </w:r>
            <w:r>
              <w:rPr>
                <w:rFonts w:hint="eastAsia" w:ascii="黑体" w:hAnsi="黑体" w:eastAsia="黑体"/>
                <w:sz w:val="18"/>
                <w:szCs w:val="18"/>
              </w:rPr>
              <w:t>若本</w:t>
            </w:r>
            <w:r>
              <w:rPr>
                <w:rFonts w:ascii="黑体" w:hAnsi="黑体" w:eastAsia="黑体"/>
                <w:sz w:val="18"/>
                <w:szCs w:val="18"/>
              </w:rPr>
              <w:t>产品通过代理销售机构销售的，</w:t>
            </w:r>
            <w:r>
              <w:rPr>
                <w:rFonts w:hint="eastAsia" w:ascii="黑体" w:hAnsi="黑体" w:eastAsia="黑体"/>
                <w:sz w:val="18"/>
                <w:szCs w:val="18"/>
              </w:rPr>
              <w:t>理财产品</w:t>
            </w:r>
            <w:r>
              <w:rPr>
                <w:rFonts w:ascii="黑体" w:hAnsi="黑体" w:eastAsia="黑体"/>
                <w:sz w:val="18"/>
                <w:szCs w:val="18"/>
              </w:rPr>
              <w:t>评级</w:t>
            </w:r>
            <w:r>
              <w:rPr>
                <w:rFonts w:hint="eastAsia" w:ascii="黑体" w:hAnsi="黑体" w:eastAsia="黑体"/>
                <w:sz w:val="18"/>
                <w:szCs w:val="18"/>
              </w:rPr>
              <w:t>以</w:t>
            </w:r>
            <w:r>
              <w:rPr>
                <w:rFonts w:ascii="黑体" w:hAnsi="黑体" w:eastAsia="黑体"/>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704"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本产品</w:t>
            </w:r>
            <w:r>
              <w:rPr>
                <w:rFonts w:asciiTheme="majorEastAsia" w:hAnsiTheme="majorEastAsia" w:eastAsiaTheme="majorEastAsia"/>
                <w:bCs/>
                <w:color w:val="000000" w:themeColor="text1"/>
                <w:sz w:val="18"/>
                <w:szCs w:val="18"/>
                <w14:textFill>
                  <w14:solidFill>
                    <w14:schemeClr w14:val="tx1"/>
                  </w14:solidFill>
                </w14:textFill>
              </w:rPr>
              <w:t>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黑体" w:hAnsi="黑体" w:eastAsia="黑体"/>
                <w:bCs/>
                <w:sz w:val="18"/>
                <w:szCs w:val="18"/>
              </w:rPr>
              <w:t>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规模为【1</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】亿元，最小成立规模为【/】亿元。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□有固定期限：【/】</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cs="仿宋_GB2312" w:asciiTheme="majorEastAsia" w:hAnsiTheme="majorEastAsia" w:eastAsiaTheme="majorEastAsia"/>
                <w:kern w:val="0"/>
                <w:sz w:val="18"/>
                <w:szCs w:val="18"/>
              </w:rPr>
              <w:t>无固定期限</w:t>
            </w:r>
          </w:p>
          <w:p>
            <w:pPr>
              <w:spacing w:line="360" w:lineRule="auto"/>
              <w:rPr>
                <w:rFonts w:cs="仿宋_GB2312" w:asciiTheme="majorEastAsia" w:hAnsiTheme="majorEastAsia" w:eastAsiaTheme="majorEastAsia"/>
                <w:kern w:val="0"/>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70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2</w:t>
            </w:r>
            <w:r>
              <w:rPr>
                <w:rFonts w:hint="eastAsia" w:cs="Times New Roman" w:asciiTheme="minorEastAsia" w:hAnsiTheme="minorEastAsia"/>
                <w:sz w:val="18"/>
                <w:szCs w:val="18"/>
              </w:rPr>
              <w:t>】月【1</w:t>
            </w:r>
            <w:r>
              <w:rPr>
                <w:rFonts w:hint="eastAsia" w:cs="Times New Roman" w:asciiTheme="minorEastAsia" w:hAnsiTheme="minorEastAsia"/>
                <w:sz w:val="18"/>
                <w:szCs w:val="18"/>
                <w:lang w:val="en-US" w:eastAsia="zh-CN"/>
              </w:rPr>
              <w:t>2</w:t>
            </w:r>
            <w:r>
              <w:rPr>
                <w:rFonts w:hint="eastAsia" w:cs="Times New Roman" w:asciiTheme="minorEastAsia" w:hAnsiTheme="minorEastAsia"/>
                <w:sz w:val="18"/>
                <w:szCs w:val="18"/>
              </w:rPr>
              <w:t>】日【9:00】</w:t>
            </w:r>
            <w:r>
              <w:rPr>
                <w:rFonts w:hint="eastAsia" w:cs="仿宋_GB2312" w:asciiTheme="minorEastAsia" w:hAnsiTheme="minorEastAsia"/>
                <w:sz w:val="18"/>
                <w:szCs w:val="18"/>
              </w:rPr>
              <w:t>至</w:t>
            </w:r>
            <w:r>
              <w:rPr>
                <w:rFonts w:hint="eastAsia" w:cs="Times New Roman" w:asciiTheme="minorEastAsia" w:hAnsiTheme="minorEastAsia"/>
                <w:sz w:val="18"/>
                <w:szCs w:val="18"/>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2</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18</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【1</w:t>
            </w:r>
            <w:r>
              <w:rPr>
                <w:rFonts w:hint="eastAsia" w:asciiTheme="majorEastAsia" w:hAnsiTheme="majorEastAsia" w:eastAsiaTheme="majorEastAsia"/>
                <w:sz w:val="18"/>
                <w:szCs w:val="18"/>
                <w:lang w:val="en-US" w:eastAsia="zh-CN"/>
              </w:rPr>
              <w:t>7:00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70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2</w:t>
            </w:r>
            <w:r>
              <w:rPr>
                <w:rFonts w:hint="eastAsia" w:cs="Times New Roman" w:asciiTheme="minorEastAsia" w:hAnsiTheme="minorEastAsia"/>
                <w:sz w:val="18"/>
                <w:szCs w:val="18"/>
              </w:rPr>
              <w:t>】月【</w:t>
            </w:r>
            <w:r>
              <w:rPr>
                <w:rFonts w:cs="Times New Roman" w:asciiTheme="minorEastAsia" w:hAnsiTheme="minorEastAsia"/>
                <w:sz w:val="18"/>
                <w:szCs w:val="18"/>
              </w:rPr>
              <w:t>1</w:t>
            </w:r>
            <w:r>
              <w:rPr>
                <w:rFonts w:hint="eastAsia" w:cs="Times New Roman" w:asciiTheme="minorEastAsia" w:hAnsiTheme="minorEastAsia"/>
                <w:sz w:val="18"/>
                <w:szCs w:val="18"/>
                <w:lang w:val="en-US" w:eastAsia="zh-CN"/>
              </w:rPr>
              <w:t>9</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inorEastAsia" w:hAnsiTheme="minorEastAsia"/>
                <w:b/>
                <w:bCs/>
                <w:sz w:val="18"/>
                <w:szCs w:val="18"/>
              </w:rPr>
            </w:pPr>
            <w:r>
              <w:rPr>
                <w:rFonts w:hint="eastAsia" w:asciiTheme="minorEastAsia" w:hAnsiTheme="minorEastAsia"/>
                <w:b/>
                <w:bCs/>
                <w:sz w:val="18"/>
                <w:szCs w:val="18"/>
              </w:rPr>
              <w:t>终止日</w:t>
            </w:r>
          </w:p>
        </w:tc>
        <w:tc>
          <w:tcPr>
            <w:tcW w:w="770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cs="Times New Roman" w:asciiTheme="minorEastAsia" w:hAnsiTheme="minorEastAsia"/>
                <w:sz w:val="18"/>
                <w:szCs w:val="18"/>
              </w:rPr>
              <w:t>】年【</w:t>
            </w:r>
            <w:r>
              <w:rPr>
                <w:rFonts w:hint="eastAsia" w:cs="Times New Roman" w:asciiTheme="minorEastAsia" w:hAnsiTheme="minorEastAsia"/>
                <w:sz w:val="18"/>
                <w:szCs w:val="18"/>
              </w:rPr>
              <w:t>/】月【/】日（遇节假日顺延）</w:t>
            </w:r>
            <w:r>
              <w:rPr>
                <w:rFonts w:hint="eastAsia" w:asciiTheme="minorEastAsia" w:hAnsiTheme="minorEastAsia"/>
                <w:bCs/>
                <w:sz w:val="18"/>
                <w:szCs w:val="18"/>
              </w:rPr>
              <w:t>。</w:t>
            </w:r>
          </w:p>
          <w:p>
            <w:pPr>
              <w:spacing w:line="360" w:lineRule="auto"/>
              <w:rPr>
                <w:rFonts w:asciiTheme="minorEastAsia" w:hAnsiTheme="minorEastAsia"/>
                <w:bCs/>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704" w:type="dxa"/>
            <w:shd w:val="solid" w:color="FFFFFF" w:fill="FFFFFF"/>
          </w:tcPr>
          <w:p>
            <w:pPr>
              <w:spacing w:line="360" w:lineRule="auto"/>
              <w:rPr>
                <w:rFonts w:cs="Times New Roman" w:asciiTheme="minorEastAsia" w:hAnsiTheme="minorEastAsia"/>
                <w:sz w:val="18"/>
                <w:szCs w:val="18"/>
              </w:rPr>
            </w:pPr>
            <w:r>
              <w:rPr>
                <w:rFonts w:hint="eastAsia" w:cs="Times New Roman" w:asciiTheme="minorEastAsia" w:hAnsiTheme="minorEastAsia"/>
                <w:sz w:val="18"/>
                <w:szCs w:val="18"/>
              </w:rPr>
              <w:t>1.本产品封闭期为：【/】年【/】月【/】日至【/】年【/】月【/】日。</w:t>
            </w:r>
          </w:p>
          <w:p>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宋体" w:hAnsi="宋体"/>
                <w:b/>
                <w:bCs/>
                <w:kern w:val="0"/>
                <w:sz w:val="18"/>
                <w:szCs w:val="18"/>
              </w:rPr>
              <w:t>申购/赎回安排</w:t>
            </w:r>
          </w:p>
        </w:tc>
        <w:tc>
          <w:tcPr>
            <w:tcW w:w="7704" w:type="dxa"/>
            <w:shd w:val="solid" w:color="FFFFFF" w:fill="FFFFFF"/>
          </w:tcPr>
          <w:p>
            <w:pPr>
              <w:spacing w:line="360" w:lineRule="auto"/>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本产品的开放日</w:t>
            </w:r>
          </w:p>
          <w:p>
            <w:pPr>
              <w:spacing w:line="360" w:lineRule="auto"/>
              <w:rPr>
                <w:rFonts w:asciiTheme="minorEastAsia" w:hAnsiTheme="minorEastAsia"/>
                <w:sz w:val="18"/>
                <w:szCs w:val="18"/>
              </w:rPr>
            </w:pPr>
            <w:r>
              <w:rPr>
                <w:rFonts w:hint="eastAsia" w:asciiTheme="minorEastAsia" w:hAnsiTheme="minorEastAsia"/>
                <w:sz w:val="18"/>
                <w:szCs w:val="18"/>
              </w:rPr>
              <w:t>本产品封闭期结束后的第一个工作日起每日开放（产品管理人公告暂停开放的日期除外），投资者可于开放日提交申购申请。</w:t>
            </w:r>
          </w:p>
          <w:p>
            <w:pPr>
              <w:spacing w:line="360" w:lineRule="auto"/>
              <w:rPr>
                <w:rFonts w:asciiTheme="majorEastAsia" w:hAnsiTheme="majorEastAsia" w:eastAsiaTheme="majorEastAsia"/>
                <w:bCs/>
                <w:sz w:val="18"/>
                <w:szCs w:val="18"/>
              </w:rPr>
            </w:pPr>
            <w:r>
              <w:rPr>
                <w:rFonts w:hint="eastAsia" w:asciiTheme="minorEastAsia" w:hAnsiTheme="minorEastAsia"/>
                <w:sz w:val="18"/>
                <w:szCs w:val="18"/>
              </w:rPr>
              <w:t>本产品最短持有期为【</w:t>
            </w:r>
            <w:r>
              <w:rPr>
                <w:rFonts w:asciiTheme="minorEastAsia" w:hAnsiTheme="minorEastAsia"/>
                <w:sz w:val="18"/>
                <w:szCs w:val="18"/>
              </w:rPr>
              <w:t>9</w:t>
            </w:r>
            <w:r>
              <w:rPr>
                <w:rFonts w:hint="eastAsia" w:asciiTheme="minorEastAsia" w:hAnsiTheme="minorEastAsia"/>
                <w:sz w:val="18"/>
                <w:szCs w:val="18"/>
              </w:rPr>
              <w:t>0】个自然日。</w:t>
            </w:r>
            <w:r>
              <w:rPr>
                <w:rFonts w:hint="eastAsia" w:asciiTheme="majorEastAsia" w:hAnsiTheme="majorEastAsia" w:eastAsiaTheme="majorEastAsia"/>
                <w:bCs/>
                <w:sz w:val="18"/>
                <w:szCs w:val="18"/>
              </w:rPr>
              <w:t>自产品成立日/申购确认日起第【</w:t>
            </w:r>
            <w:r>
              <w:rPr>
                <w:rFonts w:asciiTheme="minorEastAsia" w:hAnsiTheme="minorEastAsia"/>
                <w:sz w:val="18"/>
                <w:szCs w:val="18"/>
              </w:rPr>
              <w:t>9</w:t>
            </w:r>
            <w:r>
              <w:rPr>
                <w:rFonts w:hint="eastAsia" w:asciiTheme="minorEastAsia" w:hAnsiTheme="minorEastAsia"/>
                <w:sz w:val="18"/>
                <w:szCs w:val="18"/>
              </w:rPr>
              <w:t>0</w:t>
            </w:r>
            <w:r>
              <w:rPr>
                <w:rFonts w:hint="eastAsia" w:asciiTheme="majorEastAsia" w:hAnsiTheme="majorEastAsia" w:eastAsiaTheme="majorEastAsia"/>
                <w:bCs/>
                <w:sz w:val="18"/>
                <w:szCs w:val="18"/>
              </w:rPr>
              <w:t>】个自然日内（不含当日）投资者不能赎回该产品份额，自产品成立日/申购确认日起第【</w:t>
            </w:r>
            <w:r>
              <w:rPr>
                <w:rFonts w:asciiTheme="minorEastAsia" w:hAnsiTheme="minorEastAsia"/>
                <w:sz w:val="18"/>
                <w:szCs w:val="18"/>
              </w:rPr>
              <w:t>9</w:t>
            </w:r>
            <w:r>
              <w:rPr>
                <w:rFonts w:hint="eastAsia" w:asciiTheme="minorEastAsia" w:hAnsiTheme="minorEastAsia"/>
                <w:sz w:val="18"/>
                <w:szCs w:val="18"/>
              </w:rPr>
              <w:t>0</w:t>
            </w:r>
            <w:r>
              <w:rPr>
                <w:rFonts w:hint="eastAsia" w:asciiTheme="majorEastAsia" w:hAnsiTheme="majorEastAsia" w:eastAsiaTheme="majorEastAsia"/>
                <w:bCs/>
                <w:sz w:val="18"/>
                <w:szCs w:val="18"/>
              </w:rPr>
              <w:t>】个自然日起（含当日），投资者</w:t>
            </w:r>
            <w:r>
              <w:rPr>
                <w:rFonts w:hint="eastAsia" w:asciiTheme="minorEastAsia" w:hAnsiTheme="minorEastAsia"/>
                <w:sz w:val="18"/>
                <w:szCs w:val="18"/>
              </w:rPr>
              <w:t>可于任一开放日</w:t>
            </w:r>
            <w:r>
              <w:rPr>
                <w:rFonts w:hint="eastAsia" w:asciiTheme="majorEastAsia" w:hAnsiTheme="majorEastAsia" w:eastAsiaTheme="majorEastAsia"/>
                <w:bCs/>
                <w:sz w:val="18"/>
                <w:szCs w:val="18"/>
              </w:rPr>
              <w:t>赎回该产品份额。</w:t>
            </w:r>
          </w:p>
          <w:p>
            <w:pPr>
              <w:spacing w:line="360" w:lineRule="auto"/>
              <w:rPr>
                <w:rFonts w:asciiTheme="minorEastAsia" w:hAnsiTheme="minorEastAsia"/>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（1）申购的时间</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rPr>
              <w:t>1</w:t>
            </w:r>
            <w:r>
              <w:rPr>
                <w:rFonts w:hint="eastAsia" w:asciiTheme="majorEastAsia" w:hAnsiTheme="majorEastAsia" w:eastAsiaTheme="majorEastAsia"/>
                <w:sz w:val="18"/>
                <w:szCs w:val="18"/>
                <w:lang w:val="en-US" w:eastAsia="zh-CN"/>
              </w:rPr>
              <w:t>7:00</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前提交申购申请的，提交当日为申购日。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lang w:val="en-US" w:eastAsia="zh-CN"/>
              </w:rPr>
              <w:t>17:00</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后提交申购申请的，下一个工作日为申购日。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投资者在非工作日提交申购申请的，下一个工作日为申购日。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申购的确认</w:t>
            </w:r>
          </w:p>
          <w:p>
            <w:pPr>
              <w:spacing w:line="360" w:lineRule="auto"/>
              <w:rPr>
                <w:rFonts w:asciiTheme="minorEastAsia" w:hAnsiTheme="minorEastAsia" w:eastAsiaTheme="minorEastAsia"/>
                <w:sz w:val="18"/>
                <w:szCs w:val="18"/>
              </w:rPr>
            </w:pPr>
            <w:r>
              <w:rPr>
                <w:rFonts w:hint="eastAsia" w:cs="Times New Roman" w:asciiTheme="minorEastAsia" w:hAnsiTheme="minorEastAsia" w:eastAsiaTheme="minorEastAsia"/>
                <w:bCs/>
                <w:sz w:val="18"/>
                <w:szCs w:val="18"/>
              </w:rPr>
              <w:t>产品管理人在申购日后【2】个工作日内对投资者的申购申请的有效性进行确认，并登记理财份额。</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3.赎回安排</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hint="eastAsia" w:ascii="宋体" w:hAnsi="宋体"/>
                <w:bCs/>
                <w:sz w:val="18"/>
                <w:szCs w:val="18"/>
              </w:rPr>
              <w:t>赎回的时间</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rPr>
              <w:t>1</w:t>
            </w:r>
            <w:r>
              <w:rPr>
                <w:rFonts w:hint="eastAsia" w:asciiTheme="majorEastAsia" w:hAnsiTheme="majorEastAsia" w:eastAsiaTheme="majorEastAsia"/>
                <w:sz w:val="18"/>
                <w:szCs w:val="18"/>
                <w:lang w:val="en-US" w:eastAsia="zh-CN"/>
              </w:rPr>
              <w:t>7:00</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前提交赎回申请的，提交当日为赎回日。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rPr>
              <w:t>1</w:t>
            </w:r>
            <w:r>
              <w:rPr>
                <w:rFonts w:hint="eastAsia" w:asciiTheme="majorEastAsia" w:hAnsiTheme="majorEastAsia" w:eastAsiaTheme="majorEastAsia"/>
                <w:sz w:val="18"/>
                <w:szCs w:val="18"/>
                <w:lang w:val="en-US" w:eastAsia="zh-CN"/>
              </w:rPr>
              <w:t>7:00</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后提交赎回申请的，下一个工作日为赎回日。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投资者在非工作日提交赎回申请的，下一个工作日为赎回日。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（2）赎回</w:t>
            </w:r>
            <w:r>
              <w:rPr>
                <w:rFonts w:asciiTheme="minorEastAsia" w:hAnsiTheme="minorEastAsia" w:eastAsiaTheme="minorEastAsia"/>
                <w:sz w:val="18"/>
                <w:szCs w:val="18"/>
              </w:rPr>
              <w:t>的确认</w:t>
            </w:r>
          </w:p>
          <w:p>
            <w:pPr>
              <w:spacing w:line="360" w:lineRule="auto"/>
              <w:rPr>
                <w:rFonts w:asciiTheme="minorEastAsia" w:hAnsiTheme="minorEastAsia" w:eastAsiaTheme="minorEastAsia"/>
                <w:sz w:val="18"/>
                <w:szCs w:val="18"/>
              </w:rPr>
            </w:pPr>
            <w:r>
              <w:rPr>
                <w:rFonts w:hint="eastAsia" w:cs="Times New Roman" w:asciiTheme="minorEastAsia" w:hAnsiTheme="minorEastAsia" w:eastAsiaTheme="minorEastAsia"/>
                <w:bCs/>
                <w:sz w:val="18"/>
                <w:szCs w:val="18"/>
              </w:rPr>
              <w:t>产品管理人在赎回日后【2】个工作日内对投资者的赎回申请的有效性进行确认，并注销理财份额。</w:t>
            </w:r>
          </w:p>
          <w:p>
            <w:pPr>
              <w:spacing w:line="360" w:lineRule="auto"/>
              <w:rPr>
                <w:rFonts w:ascii="黑体" w:hAnsi="黑体" w:eastAsia="黑体" w:cs="黑体"/>
                <w:sz w:val="18"/>
                <w:szCs w:val="18"/>
              </w:rPr>
            </w:pPr>
            <w:r>
              <w:rPr>
                <w:rFonts w:hint="eastAsia" w:ascii="黑体" w:hAnsi="黑体" w:eastAsia="黑体" w:cs="黑体"/>
                <w:sz w:val="18"/>
                <w:szCs w:val="18"/>
              </w:rPr>
              <w:t>注：</w:t>
            </w:r>
            <w:r>
              <w:rPr>
                <w:rFonts w:hint="eastAsia" w:ascii="黑体" w:hAnsi="黑体" w:eastAsia="黑体" w:cs="黑体"/>
                <w:color w:val="000000" w:themeColor="text1"/>
                <w:sz w:val="18"/>
                <w14:textFill>
                  <w14:solidFill>
                    <w14:schemeClr w14:val="tx1"/>
                  </w14:solidFill>
                </w14:textFill>
              </w:rPr>
              <w:t>赎回</w:t>
            </w:r>
            <w:r>
              <w:rPr>
                <w:rFonts w:hint="eastAsia" w:ascii="黑体" w:hAnsi="黑体" w:eastAsia="黑体" w:cs="黑体"/>
                <w:bCs/>
                <w:color w:val="000000" w:themeColor="text1"/>
                <w:sz w:val="18"/>
                <w:szCs w:val="18"/>
                <w14:textFill>
                  <w14:solidFill>
                    <w14:schemeClr w14:val="tx1"/>
                  </w14:solidFill>
                </w14:textFill>
              </w:rPr>
              <w:t>款项于</w:t>
            </w:r>
            <w:r>
              <w:rPr>
                <w:rFonts w:hint="eastAsia" w:ascii="黑体" w:hAnsi="黑体" w:eastAsia="黑体" w:cs="黑体"/>
                <w:bCs/>
                <w:kern w:val="0"/>
                <w:sz w:val="18"/>
                <w:szCs w:val="18"/>
              </w:rPr>
              <w:t>赎回</w:t>
            </w:r>
            <w:r>
              <w:rPr>
                <w:rFonts w:hint="eastAsia" w:ascii="黑体" w:hAnsi="黑体" w:eastAsia="黑体" w:cs="黑体"/>
                <w:kern w:val="0"/>
                <w:sz w:val="18"/>
              </w:rPr>
              <w:t>日后【3】个工作日</w:t>
            </w:r>
            <w:r>
              <w:rPr>
                <w:rFonts w:hint="eastAsia" w:ascii="黑体" w:hAnsi="黑体" w:eastAsia="黑体" w:cs="黑体"/>
                <w:bCs/>
                <w:kern w:val="0"/>
                <w:sz w:val="18"/>
                <w:szCs w:val="18"/>
              </w:rPr>
              <w:t>内支付给</w:t>
            </w:r>
            <w:r>
              <w:rPr>
                <w:rFonts w:hint="eastAsia" w:ascii="黑体" w:hAnsi="黑体" w:eastAsia="黑体" w:cs="黑体"/>
                <w:kern w:val="0"/>
                <w:sz w:val="18"/>
              </w:rPr>
              <w:t>投资者</w:t>
            </w:r>
            <w:r>
              <w:rPr>
                <w:rFonts w:hint="eastAsia" w:ascii="黑体" w:hAnsi="黑体" w:eastAsia="黑体" w:cs="黑体"/>
                <w:bCs/>
                <w:kern w:val="0"/>
                <w:sz w:val="18"/>
                <w:szCs w:val="18"/>
              </w:rPr>
              <w:t>。</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注：关于代理销售机构的实际工作服务时段的提示</w:t>
            </w:r>
          </w:p>
          <w:p>
            <w:pPr>
              <w:spacing w:line="360" w:lineRule="auto"/>
              <w:rPr>
                <w:rFonts w:ascii="黑体" w:hAnsi="黑体" w:eastAsia="黑体"/>
                <w:sz w:val="18"/>
                <w:szCs w:val="18"/>
              </w:rPr>
            </w:pPr>
            <w:r>
              <w:rPr>
                <w:rFonts w:hint="eastAsia" w:ascii="黑体" w:hAnsi="黑体" w:eastAsia="黑体"/>
                <w:sz w:val="18"/>
                <w:szCs w:val="18"/>
              </w:rPr>
              <w:t>①为本产品办理相关交易的实际工作服务时段，因代理销售机构的不同可能存在差异（可能晚于销售文件约定的起始时点开始或早于销售文件约定的终止时点结束），投资者应当</w:t>
            </w:r>
            <w:r>
              <w:rPr>
                <w:rFonts w:ascii="黑体" w:hAnsi="黑体" w:eastAsia="黑体"/>
                <w:sz w:val="18"/>
                <w:szCs w:val="18"/>
              </w:rPr>
              <w:t>以</w:t>
            </w:r>
            <w:r>
              <w:rPr>
                <w:rFonts w:hint="eastAsia" w:ascii="黑体" w:hAnsi="黑体" w:eastAsia="黑体"/>
                <w:sz w:val="18"/>
                <w:szCs w:val="18"/>
              </w:rPr>
              <w:t>代理销售机构的展示</w:t>
            </w:r>
            <w:r>
              <w:rPr>
                <w:rFonts w:ascii="黑体" w:hAnsi="黑体" w:eastAsia="黑体"/>
                <w:sz w:val="18"/>
                <w:szCs w:val="18"/>
              </w:rPr>
              <w:t>为准</w:t>
            </w:r>
            <w:r>
              <w:rPr>
                <w:rFonts w:hint="eastAsia" w:ascii="黑体" w:hAnsi="黑体" w:eastAsia="黑体"/>
                <w:sz w:val="18"/>
                <w:szCs w:val="18"/>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sz w:val="18"/>
                <w:szCs w:val="18"/>
              </w:rPr>
              <w:t>②代理销售机构的实际工作服务时段，最早不得早于销售文件约定</w:t>
            </w:r>
            <w:r>
              <w:rPr>
                <w:rFonts w:ascii="黑体" w:hAnsi="黑体" w:eastAsia="黑体"/>
                <w:sz w:val="18"/>
                <w:szCs w:val="18"/>
              </w:rPr>
              <w:t>的</w:t>
            </w:r>
            <w:r>
              <w:rPr>
                <w:rFonts w:hint="eastAsia" w:ascii="黑体" w:hAnsi="黑体" w:eastAsia="黑体"/>
                <w:sz w:val="18"/>
                <w:szCs w:val="18"/>
              </w:rPr>
              <w:t>起始时点、最晚不得晚于销售文件</w:t>
            </w:r>
            <w:r>
              <w:rPr>
                <w:rFonts w:ascii="黑体" w:hAnsi="黑体" w:eastAsia="黑体"/>
                <w:sz w:val="18"/>
                <w:szCs w:val="18"/>
              </w:rPr>
              <w:t>约定的</w:t>
            </w:r>
            <w:r>
              <w:rPr>
                <w:rFonts w:hint="eastAsia" w:ascii="黑体" w:hAnsi="黑体" w:eastAsia="黑体"/>
                <w:sz w:val="18"/>
                <w:szCs w:val="18"/>
              </w:rPr>
              <w:t>终止时点</w:t>
            </w:r>
            <w:r>
              <w:rPr>
                <w:rFonts w:ascii="黑体" w:hAnsi="黑体" w:eastAsia="黑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704" w:type="dxa"/>
            <w:shd w:val="solid" w:color="FFFFFF" w:fill="FFFFFF"/>
            <w:vAlign w:val="center"/>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购买起点金额为【1】元；超出起点金额的部分以【0.01】元的整数倍递增。</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适用【C】类份额</w:t>
            </w:r>
            <w:r>
              <w:rPr>
                <w:rFonts w:hint="eastAsia" w:asciiTheme="majorEastAsia" w:hAnsiTheme="majorEastAsia" w:eastAsiaTheme="majorEastAsia"/>
                <w:bCs/>
                <w:color w:val="000000" w:themeColor="text1"/>
                <w:sz w:val="18"/>
                <w:szCs w:val="18"/>
                <w14:textFill>
                  <w14:solidFill>
                    <w14:schemeClr w14:val="tx1"/>
                  </w14:solidFill>
                </w14:textFill>
              </w:rPr>
              <w:t>）</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autoSpaceDE w:val="0"/>
              <w:autoSpaceDN w:val="0"/>
              <w:adjustRightInd w:val="0"/>
              <w:spacing w:line="360" w:lineRule="auto"/>
              <w:jc w:val="left"/>
              <w:rPr>
                <w:rFonts w:hAnsi="宋体"/>
                <w:b/>
                <w:sz w:val="18"/>
                <w:szCs w:val="18"/>
              </w:rPr>
            </w:pPr>
            <w:r>
              <w:rPr>
                <w:rFonts w:hint="eastAsia" w:hAnsi="宋体"/>
                <w:b/>
                <w:sz w:val="18"/>
                <w:szCs w:val="18"/>
              </w:rPr>
              <w:t>★认购、申购与赎回的数量限制</w:t>
            </w:r>
          </w:p>
        </w:tc>
        <w:tc>
          <w:tcPr>
            <w:tcW w:w="7704" w:type="dxa"/>
            <w:shd w:val="solid" w:color="FFFFFF" w:fill="FFFFFF"/>
            <w:vAlign w:val="center"/>
          </w:tcPr>
          <w:p>
            <w:pPr>
              <w:pStyle w:val="34"/>
              <w:spacing w:line="360" w:lineRule="auto"/>
              <w:rPr>
                <w:rFonts w:asciiTheme="minorEastAsia" w:hAnsiTheme="minorEastAsia" w:eastAsiaTheme="minorEastAsia"/>
                <w:color w:val="auto"/>
                <w:sz w:val="18"/>
                <w:szCs w:val="18"/>
              </w:rPr>
            </w:pPr>
            <w:r>
              <w:rPr>
                <w:rFonts w:hint="eastAsia" w:hAnsi="宋体"/>
                <w:bCs/>
                <w:sz w:val="18"/>
                <w:szCs w:val="18"/>
              </w:rPr>
              <w:t>（</w:t>
            </w:r>
            <w:r>
              <w:rPr>
                <w:rFonts w:hint="eastAsia" w:hAnsi="宋体"/>
                <w:bCs/>
                <w:sz w:val="18"/>
                <w:szCs w:val="18"/>
                <w:lang w:eastAsia="zh-CN"/>
              </w:rPr>
              <w:t>适用【C】类份额</w:t>
            </w:r>
            <w:r>
              <w:rPr>
                <w:rFonts w:hint="eastAsia" w:hAnsi="宋体"/>
                <w:bCs/>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pPr>
              <w:pStyle w:val="34"/>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单一投资者认购上限为【/】。如需突破上限，请与产品管理人或销售机构客户经理联系。</w:t>
            </w:r>
          </w:p>
          <w:p>
            <w:pPr>
              <w:pStyle w:val="34"/>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【/】，符合产品管理人流动性管理的稳定资金除外。</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受理财利益分配去尾规则的影响，投资者持有产品份额较低时可能无法取得利益。巨额赎回情景发生时，投资者的可赎回份额需要根据巨额赎回规则确定。</w:t>
            </w:r>
          </w:p>
          <w:p>
            <w:pPr>
              <w:pStyle w:val="3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本产品单一投资者持有份额不得超过产品总份额50%。</w:t>
            </w:r>
          </w:p>
          <w:p>
            <w:pPr>
              <w:pStyle w:val="3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pStyle w:val="34"/>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704" w:type="dxa"/>
            <w:shd w:val="solid" w:color="FFFFFF" w:fill="FFFFFF"/>
          </w:tcPr>
          <w:p>
            <w:pPr>
              <w:pStyle w:val="34"/>
              <w:spacing w:line="360" w:lineRule="auto"/>
              <w:rPr>
                <w:rFonts w:asciiTheme="minorEastAsia" w:hAnsiTheme="minorEastAsia" w:eastAsiaTheme="minorEastAsia"/>
                <w:color w:val="auto"/>
                <w:sz w:val="18"/>
                <w:szCs w:val="18"/>
              </w:rPr>
            </w:pPr>
            <w:r>
              <w:rPr>
                <w:rFonts w:hint="eastAsia" w:asciiTheme="majorEastAsia" w:hAnsiTheme="majorEastAsia" w:eastAsiaTheme="majorEastAsia"/>
                <w:bCs/>
                <w:sz w:val="18"/>
                <w:szCs w:val="18"/>
              </w:rPr>
              <w:t>每</w:t>
            </w:r>
            <w:r>
              <w:rPr>
                <w:rFonts w:asciiTheme="majorEastAsia" w:hAnsiTheme="majorEastAsia" w:eastAsiaTheme="majorEastAsia"/>
                <w:bCs/>
                <w:sz w:val="18"/>
                <w:szCs w:val="18"/>
              </w:rPr>
              <w:t>个</w:t>
            </w:r>
            <w:r>
              <w:rPr>
                <w:rFonts w:hint="eastAsia" w:asciiTheme="majorEastAsia" w:hAnsiTheme="majorEastAsia" w:eastAsiaTheme="majorEastAsia"/>
                <w:bCs/>
                <w:sz w:val="18"/>
                <w:szCs w:val="18"/>
              </w:rPr>
              <w:t>赎回</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，本产品的净赎回申请（赎回</w:t>
            </w:r>
            <w:r>
              <w:rPr>
                <w:rFonts w:hint="eastAsia" w:asciiTheme="majorEastAsia" w:hAnsiTheme="majorEastAsia" w:eastAsiaTheme="majorEastAsia"/>
                <w:bCs/>
                <w:color w:val="auto"/>
                <w:sz w:val="18"/>
                <w:szCs w:val="18"/>
              </w:rPr>
              <w:t>申请</w:t>
            </w:r>
            <w:r>
              <w:rPr>
                <w:rFonts w:hint="eastAsia" w:asciiTheme="majorEastAsia" w:hAnsiTheme="majorEastAsia" w:eastAsiaTheme="majorEastAsia"/>
                <w:bCs/>
                <w:sz w:val="18"/>
                <w:szCs w:val="18"/>
              </w:rPr>
              <w:t>份额总数扣除申购</w:t>
            </w:r>
            <w:r>
              <w:rPr>
                <w:rFonts w:hint="eastAsia" w:asciiTheme="majorEastAsia" w:hAnsiTheme="majorEastAsia" w:eastAsiaTheme="majorEastAsia"/>
                <w:bCs/>
                <w:color w:val="auto"/>
                <w:sz w:val="18"/>
                <w:szCs w:val="18"/>
              </w:rPr>
              <w:t>申请</w:t>
            </w:r>
            <w:r>
              <w:rPr>
                <w:rFonts w:hint="eastAsia" w:asciiTheme="majorEastAsia" w:hAnsiTheme="majorEastAsia" w:eastAsiaTheme="majorEastAsia"/>
                <w:bCs/>
                <w:sz w:val="18"/>
                <w:szCs w:val="18"/>
              </w:rPr>
              <w:t>份额总数后的余额</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下同）之和达到上一赎回日产品总份额的【</w:t>
            </w:r>
            <w:r>
              <w:rPr>
                <w:rFonts w:asciiTheme="majorEastAsia" w:hAnsiTheme="majorEastAsia" w:eastAsiaTheme="majorEastAsia"/>
                <w:bCs/>
                <w:sz w:val="18"/>
                <w:szCs w:val="18"/>
              </w:rPr>
              <w:t>10</w:t>
            </w:r>
            <w:r>
              <w:rPr>
                <w:rFonts w:hint="eastAsia" w:asciiTheme="majorEastAsia" w:hAnsiTheme="majorEastAsia" w:eastAsiaTheme="majorEastAsia"/>
                <w:bCs/>
                <w:sz w:val="18"/>
                <w:szCs w:val="18"/>
              </w:rPr>
              <w:t>%】，为巨额赎回。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704"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704" w:type="dxa"/>
            <w:shd w:val="solid" w:color="FFFFFF" w:fill="FFFFFF"/>
            <w:vAlign w:val="center"/>
          </w:tcPr>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理财产品的费用和税收</w:t>
            </w:r>
            <w:r>
              <w:rPr>
                <w:rFonts w:asciiTheme="majorEastAsia" w:hAnsiTheme="majorEastAsia" w:eastAsiaTheme="majorEastAsia"/>
                <w:bCs/>
                <w:sz w:val="18"/>
                <w:szCs w:val="18"/>
              </w:rPr>
              <w:t>。</w:t>
            </w:r>
          </w:p>
          <w:p>
            <w:pPr>
              <w:spacing w:line="360" w:lineRule="auto"/>
              <w:jc w:val="left"/>
              <w:rPr>
                <w:rFonts w:cs="Times New Roman" w:asciiTheme="minorEastAsia" w:hAnsiTheme="minorEastAsia"/>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赎回日</w:t>
            </w:r>
            <w:r>
              <w:rPr>
                <w:rFonts w:asciiTheme="majorEastAsia" w:hAnsiTheme="majorEastAsia" w:eastAsiaTheme="majorEastAsia"/>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704" w:type="dxa"/>
            <w:shd w:val="solid" w:color="FFFFFF" w:fill="FFFFFF"/>
            <w:vAlign w:val="center"/>
          </w:tcPr>
          <w:p>
            <w:pPr>
              <w:spacing w:line="360" w:lineRule="auto"/>
              <w:jc w:val="left"/>
              <w:rPr>
                <w:rFonts w:ascii="宋体" w:hAnsi="宋体"/>
                <w:bCs/>
                <w:sz w:val="18"/>
                <w:szCs w:val="18"/>
              </w:rPr>
            </w:pPr>
            <w:r>
              <w:rPr>
                <w:rFonts w:hint="eastAsia" w:hAnsi="宋体"/>
                <w:bCs/>
                <w:sz w:val="18"/>
                <w:szCs w:val="18"/>
              </w:rPr>
              <w:t>（</w:t>
            </w:r>
            <w:r>
              <w:rPr>
                <w:rFonts w:hint="eastAsia" w:hAnsi="宋体"/>
                <w:bCs/>
                <w:sz w:val="18"/>
                <w:szCs w:val="18"/>
                <w:lang w:eastAsia="zh-CN"/>
              </w:rPr>
              <w:t>适用【C】类份额</w:t>
            </w:r>
            <w:r>
              <w:rPr>
                <w:rFonts w:hint="eastAsia" w:hAnsi="宋体"/>
                <w:bCs/>
                <w:sz w:val="18"/>
                <w:szCs w:val="18"/>
              </w:rPr>
              <w:t>）</w:t>
            </w:r>
          </w:p>
          <w:p>
            <w:pPr>
              <w:spacing w:line="360" w:lineRule="auto"/>
              <w:jc w:val="left"/>
              <w:rPr>
                <w:rFonts w:ascii="宋体" w:hAnsi="宋体"/>
                <w:bCs/>
                <w:sz w:val="18"/>
                <w:szCs w:val="18"/>
              </w:rPr>
            </w:pPr>
            <w:r>
              <w:rPr>
                <w:rFonts w:ascii="宋体" w:hAnsi="宋体"/>
                <w:bCs/>
                <w:sz w:val="18"/>
                <w:szCs w:val="18"/>
              </w:rPr>
              <w:t>1.业绩比较基准的设置</w:t>
            </w:r>
          </w:p>
          <w:p>
            <w:pPr>
              <w:autoSpaceDE w:val="0"/>
              <w:autoSpaceDN w:val="0"/>
              <w:adjustRightInd w:val="0"/>
              <w:spacing w:line="360" w:lineRule="auto"/>
              <w:jc w:val="left"/>
              <w:rPr>
                <w:rFonts w:asciiTheme="majorEastAsia" w:hAnsiTheme="majorEastAsia" w:eastAsiaTheme="majorEastAsia"/>
                <w:bCs/>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
                <w:kern w:val="0"/>
                <w:sz w:val="18"/>
                <w:szCs w:val="18"/>
              </w:rPr>
              <w:t xml:space="preserve"> </w:t>
            </w:r>
            <w:r>
              <w:rPr>
                <w:rFonts w:hint="eastAsia" w:asciiTheme="majorEastAsia" w:hAnsiTheme="majorEastAsia" w:eastAsiaTheme="majorEastAsia"/>
                <w:bCs/>
                <w:kern w:val="0"/>
                <w:sz w:val="18"/>
                <w:szCs w:val="18"/>
              </w:rPr>
              <w:t>产品管理人设置业绩比较基准。</w:t>
            </w:r>
          </w:p>
          <w:p>
            <w:pPr>
              <w:spacing w:line="360" w:lineRule="auto"/>
              <w:jc w:val="left"/>
              <w:rPr>
                <w:rFonts w:asciiTheme="majorEastAsia" w:hAnsiTheme="majorEastAsia"/>
                <w:bCs/>
                <w:sz w:val="18"/>
                <w:szCs w:val="18"/>
              </w:rPr>
            </w:pPr>
            <w:r>
              <w:rPr>
                <w:rFonts w:hint="eastAsia" w:ascii="宋体" w:hAnsi="宋体"/>
                <w:bCs/>
                <w:sz w:val="18"/>
                <w:szCs w:val="18"/>
              </w:rPr>
              <w:t>（</w:t>
            </w:r>
            <w:r>
              <w:rPr>
                <w:rFonts w:ascii="宋体" w:hAnsi="宋体"/>
                <w:bCs/>
                <w:sz w:val="18"/>
                <w:szCs w:val="18"/>
              </w:rPr>
              <w:t>1）业绩比较基准的说明：【</w:t>
            </w:r>
            <w:r>
              <w:rPr>
                <w:rFonts w:hint="eastAsia" w:asciiTheme="majorEastAsia" w:hAnsiTheme="majorEastAsia" w:eastAsiaTheme="majorEastAsia"/>
                <w:bCs/>
                <w:sz w:val="18"/>
                <w:szCs w:val="18"/>
              </w:rPr>
              <w:t>基于当前对未来市场的判断，根据拟投资债权类资产的信用利差、久期敞口以及流动性溢价，预判组合的波动幅度</w:t>
            </w:r>
            <w:r>
              <w:rPr>
                <w:rFonts w:ascii="宋体" w:hAnsi="宋体"/>
                <w:bCs/>
                <w:sz w:val="18"/>
                <w:szCs w:val="18"/>
              </w:rPr>
              <w:t>】</w:t>
            </w:r>
            <w:r>
              <w:rPr>
                <w:rFonts w:hint="eastAsia" w:ascii="宋体" w:hAnsi="宋体"/>
                <w:bCs/>
                <w:sz w:val="18"/>
                <w:szCs w:val="18"/>
              </w:rPr>
              <w:t>。</w:t>
            </w:r>
          </w:p>
          <w:p>
            <w:pPr>
              <w:spacing w:line="360" w:lineRule="auto"/>
              <w:jc w:val="left"/>
              <w:rPr>
                <w:rFonts w:asciiTheme="majorEastAsia" w:hAnsiTheme="majorEastAsia"/>
                <w:bCs/>
                <w:sz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2）业绩比较基准的设定</w:t>
            </w:r>
            <w:r>
              <w:rPr>
                <w:rFonts w:hint="eastAsia" w:asciiTheme="majorEastAsia" w:hAnsiTheme="majorEastAsia" w:eastAsiaTheme="majorEastAsia"/>
                <w:bCs/>
                <w:sz w:val="18"/>
                <w:szCs w:val="18"/>
              </w:rPr>
              <w:t>：</w:t>
            </w:r>
            <w:r>
              <w:rPr>
                <w:rFonts w:hint="eastAsia" w:asciiTheme="majorEastAsia" w:hAnsiTheme="majorEastAsia"/>
                <w:bCs/>
                <w:sz w:val="18"/>
              </w:rPr>
              <w:t>管理人对</w:t>
            </w:r>
            <w:r>
              <w:rPr>
                <w:rFonts w:asciiTheme="majorEastAsia" w:hAnsiTheme="majorEastAsia"/>
                <w:bCs/>
                <w:sz w:val="18"/>
              </w:rPr>
              <w:t>本产品设定</w:t>
            </w:r>
            <w:r>
              <w:rPr>
                <w:rFonts w:hint="eastAsia" w:asciiTheme="majorEastAsia" w:hAnsiTheme="majorEastAsia"/>
                <w:bCs/>
                <w:sz w:val="18"/>
              </w:rPr>
              <w:t>业绩比较基准：</w:t>
            </w:r>
          </w:p>
          <w:p>
            <w:pPr>
              <w:spacing w:line="360" w:lineRule="auto"/>
              <w:jc w:val="left"/>
              <w:rPr>
                <w:rFonts w:hint="eastAsia" w:ascii="宋体" w:hAnsi="宋体"/>
                <w:bCs/>
                <w:sz w:val="18"/>
                <w:szCs w:val="18"/>
              </w:rPr>
            </w:pPr>
            <w:r>
              <w:rPr>
                <w:rFonts w:hint="eastAsia" w:asciiTheme="majorEastAsia" w:hAnsiTheme="majorEastAsia"/>
                <w:bCs/>
                <w:sz w:val="18"/>
              </w:rPr>
              <w:t>年化</w:t>
            </w:r>
            <w:r>
              <w:rPr>
                <w:rFonts w:hint="eastAsia" w:ascii="宋体" w:hAnsi="宋体"/>
                <w:bCs/>
                <w:sz w:val="18"/>
                <w:szCs w:val="18"/>
              </w:rPr>
              <w:t>【1.</w:t>
            </w:r>
            <w:r>
              <w:rPr>
                <w:rFonts w:hint="eastAsia" w:ascii="宋体" w:hAnsi="宋体"/>
                <w:bCs/>
                <w:sz w:val="18"/>
                <w:szCs w:val="18"/>
                <w:lang w:val="en-US" w:eastAsia="zh-CN"/>
              </w:rPr>
              <w:t>40</w:t>
            </w:r>
            <w:r>
              <w:rPr>
                <w:rFonts w:hint="eastAsia" w:ascii="宋体" w:hAnsi="宋体"/>
                <w:bCs/>
                <w:sz w:val="18"/>
                <w:szCs w:val="18"/>
              </w:rPr>
              <w:t>%-</w:t>
            </w:r>
            <w:r>
              <w:rPr>
                <w:rFonts w:ascii="宋体" w:hAnsi="宋体"/>
                <w:bCs/>
                <w:sz w:val="18"/>
                <w:szCs w:val="18"/>
              </w:rPr>
              <w:t>3.</w:t>
            </w:r>
            <w:r>
              <w:rPr>
                <w:rFonts w:hint="eastAsia" w:ascii="宋体" w:hAnsi="宋体"/>
                <w:bCs/>
                <w:sz w:val="18"/>
                <w:szCs w:val="18"/>
                <w:lang w:val="en-US" w:eastAsia="zh-CN"/>
              </w:rPr>
              <w:t>10</w:t>
            </w:r>
            <w:r>
              <w:rPr>
                <w:rFonts w:hint="eastAsia" w:ascii="宋体" w:hAnsi="宋体"/>
                <w:bCs/>
                <w:sz w:val="18"/>
                <w:szCs w:val="18"/>
              </w:rPr>
              <w:t>%</w:t>
            </w:r>
            <w:r>
              <w:rPr>
                <w:rFonts w:ascii="宋体" w:hAnsi="宋体"/>
                <w:bCs/>
                <w:sz w:val="18"/>
                <w:szCs w:val="18"/>
              </w:rPr>
              <w:t>】</w:t>
            </w:r>
            <w:r>
              <w:rPr>
                <w:rFonts w:hint="eastAsia" w:hAnsi="宋体"/>
                <w:bCs/>
                <w:sz w:val="18"/>
                <w:szCs w:val="18"/>
              </w:rPr>
              <w:t>（</w:t>
            </w:r>
            <w:r>
              <w:rPr>
                <w:rFonts w:hint="eastAsia" w:hAnsi="宋体"/>
                <w:bCs/>
                <w:sz w:val="18"/>
                <w:szCs w:val="18"/>
                <w:lang w:eastAsia="zh-CN"/>
              </w:rPr>
              <w:t>适用【C】类份额</w:t>
            </w:r>
            <w:r>
              <w:rPr>
                <w:rFonts w:hint="eastAsia" w:hAnsi="宋体"/>
                <w:bCs/>
                <w:sz w:val="18"/>
                <w:szCs w:val="18"/>
              </w:rPr>
              <w:t>）</w:t>
            </w:r>
          </w:p>
          <w:p>
            <w:pPr>
              <w:autoSpaceDE w:val="0"/>
              <w:autoSpaceDN w:val="0"/>
              <w:adjustRightInd w:val="0"/>
              <w:spacing w:line="360" w:lineRule="auto"/>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w:t>
            </w:r>
            <w:r>
              <w:rPr>
                <w:rFonts w:asciiTheme="majorEastAsia" w:hAnsiTheme="majorEastAsia" w:eastAsiaTheme="majorEastAsia"/>
                <w:bCs/>
                <w:kern w:val="0"/>
                <w:sz w:val="18"/>
                <w:szCs w:val="18"/>
              </w:rPr>
              <w:t xml:space="preserve"> </w:t>
            </w:r>
            <w:r>
              <w:rPr>
                <w:rFonts w:hint="eastAsia" w:asciiTheme="majorEastAsia" w:hAnsiTheme="majorEastAsia" w:eastAsiaTheme="majorEastAsia"/>
                <w:bCs/>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pPr>
              <w:spacing w:line="360" w:lineRule="auto"/>
              <w:jc w:val="left"/>
              <w:rPr>
                <w:rFonts w:ascii="黑体" w:hAnsi="黑体" w:eastAsia="黑体" w:cs="黑体"/>
                <w:bCs/>
                <w:sz w:val="18"/>
                <w:szCs w:val="18"/>
              </w:rPr>
            </w:pPr>
            <w:r>
              <w:rPr>
                <w:rFonts w:hint="eastAsia" w:ascii="黑体" w:hAnsi="黑体" w:eastAsia="黑体" w:cs="黑体"/>
                <w:bCs/>
                <w:sz w:val="18"/>
                <w:szCs w:val="18"/>
              </w:rPr>
              <w:t>（</w:t>
            </w:r>
            <w:r>
              <w:rPr>
                <w:rFonts w:ascii="黑体" w:hAnsi="黑体" w:eastAsia="黑体" w:cs="黑体"/>
                <w:bCs/>
                <w:sz w:val="18"/>
                <w:szCs w:val="18"/>
              </w:rPr>
              <w:t>1）</w:t>
            </w:r>
            <w:r>
              <w:rPr>
                <w:rFonts w:hint="eastAsia" w:ascii="黑体" w:hAnsi="黑体" w:eastAsia="黑体" w:cs="黑体"/>
                <w:bCs/>
                <w:sz w:val="18"/>
                <w:szCs w:val="18"/>
              </w:rPr>
              <w:t>★</w:t>
            </w:r>
            <w:r>
              <w:rPr>
                <w:rFonts w:hint="eastAsia" w:ascii="黑体" w:hAnsi="黑体" w:eastAsia="黑体" w:cs="黑体"/>
                <w:bCs/>
                <w:sz w:val="18"/>
              </w:rPr>
              <w:t>业绩比较基准</w:t>
            </w:r>
            <w:r>
              <w:rPr>
                <w:rFonts w:hint="eastAsia" w:ascii="黑体" w:hAnsi="黑体" w:eastAsia="黑体" w:cs="黑体"/>
                <w:bCs/>
                <w:sz w:val="18"/>
                <w:szCs w:val="18"/>
              </w:rPr>
              <w:t>不是预期收益率，</w:t>
            </w:r>
            <w:r>
              <w:rPr>
                <w:rFonts w:hint="eastAsia" w:ascii="黑体" w:hAnsi="黑体" w:eastAsia="黑体" w:cs="黑体"/>
                <w:bCs/>
                <w:sz w:val="18"/>
              </w:rPr>
              <w:t>不代表产品</w:t>
            </w:r>
            <w:r>
              <w:rPr>
                <w:rFonts w:hint="eastAsia" w:ascii="黑体" w:hAnsi="黑体" w:eastAsia="黑体" w:cs="黑体"/>
                <w:bCs/>
                <w:sz w:val="18"/>
                <w:szCs w:val="18"/>
              </w:rPr>
              <w:t>的</w:t>
            </w:r>
            <w:r>
              <w:rPr>
                <w:rFonts w:hint="eastAsia" w:ascii="黑体" w:hAnsi="黑体" w:eastAsia="黑体" w:cs="黑体"/>
                <w:bCs/>
                <w:sz w:val="18"/>
              </w:rPr>
              <w:t>未来表现</w:t>
            </w:r>
            <w:r>
              <w:rPr>
                <w:rFonts w:hint="eastAsia" w:ascii="黑体" w:hAnsi="黑体" w:eastAsia="黑体" w:cs="黑体"/>
                <w:bCs/>
                <w:sz w:val="18"/>
                <w:szCs w:val="18"/>
              </w:rPr>
              <w:t>和</w:t>
            </w:r>
            <w:r>
              <w:rPr>
                <w:rFonts w:hint="eastAsia" w:ascii="黑体" w:hAnsi="黑体" w:eastAsia="黑体" w:cs="黑体"/>
                <w:bCs/>
                <w:sz w:val="18"/>
              </w:rPr>
              <w:t>实际收益，不</w:t>
            </w:r>
            <w:r>
              <w:rPr>
                <w:rFonts w:hint="eastAsia" w:ascii="黑体" w:hAnsi="黑体" w:eastAsia="黑体" w:cs="黑体"/>
                <w:bCs/>
                <w:sz w:val="18"/>
                <w:szCs w:val="18"/>
              </w:rPr>
              <w:t>构成对</w:t>
            </w:r>
            <w:r>
              <w:rPr>
                <w:rFonts w:hint="eastAsia" w:ascii="黑体" w:hAnsi="黑体" w:eastAsia="黑体" w:cs="黑体"/>
                <w:bCs/>
                <w:sz w:val="18"/>
              </w:rPr>
              <w:t>产品收益的</w:t>
            </w:r>
            <w:r>
              <w:rPr>
                <w:rFonts w:hint="eastAsia" w:ascii="黑体" w:hAnsi="黑体" w:eastAsia="黑体" w:cs="黑体"/>
                <w:bCs/>
                <w:sz w:val="18"/>
                <w:szCs w:val="18"/>
              </w:rPr>
              <w:t>承诺</w:t>
            </w:r>
            <w:r>
              <w:rPr>
                <w:rFonts w:hint="eastAsia" w:ascii="黑体" w:hAnsi="黑体" w:eastAsia="黑体" w:cs="黑体"/>
                <w:bCs/>
                <w:sz w:val="18"/>
              </w:rPr>
              <w:t>，投资须谨慎。</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业绩报酬计提基准</w:t>
            </w:r>
          </w:p>
        </w:tc>
        <w:tc>
          <w:tcPr>
            <w:tcW w:w="7704" w:type="dxa"/>
            <w:shd w:val="solid" w:color="FFFFFF" w:fill="FFFFFF"/>
            <w:vAlign w:val="center"/>
          </w:tcPr>
          <w:p>
            <w:pPr>
              <w:spacing w:line="360" w:lineRule="auto"/>
              <w:jc w:val="left"/>
              <w:rPr>
                <w:rFonts w:hAnsi="宋体"/>
                <w:bCs/>
                <w:sz w:val="18"/>
                <w:szCs w:val="18"/>
              </w:rPr>
            </w:pPr>
            <w:r>
              <w:rPr>
                <w:rFonts w:hint="eastAsia" w:hAnsi="宋体"/>
                <w:bCs/>
                <w:sz w:val="18"/>
                <w:szCs w:val="18"/>
              </w:rPr>
              <w:t>（</w:t>
            </w:r>
            <w:r>
              <w:rPr>
                <w:rFonts w:hint="eastAsia" w:hAnsi="宋体"/>
                <w:bCs/>
                <w:sz w:val="18"/>
                <w:szCs w:val="18"/>
                <w:lang w:eastAsia="zh-CN"/>
              </w:rPr>
              <w:t>适用【C】类份额</w:t>
            </w:r>
            <w:r>
              <w:rPr>
                <w:rFonts w:hint="eastAsia" w:hAnsi="宋体"/>
                <w:bCs/>
                <w:sz w:val="18"/>
                <w:szCs w:val="18"/>
              </w:rPr>
              <w:t>）</w:t>
            </w:r>
          </w:p>
          <w:p>
            <w:pPr>
              <w:spacing w:line="360" w:lineRule="auto"/>
              <w:jc w:val="left"/>
              <w:rPr>
                <w:rFonts w:ascii="宋体" w:hAnsi="宋体"/>
                <w:bCs/>
                <w:sz w:val="18"/>
                <w:szCs w:val="18"/>
              </w:rPr>
            </w:pPr>
            <w:r>
              <w:rPr>
                <w:rFonts w:ascii="宋体"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w:t>
            </w:r>
            <w:r>
              <w:rPr>
                <w:rFonts w:asciiTheme="majorEastAsia" w:hAnsiTheme="majorEastAsia" w:eastAsiaTheme="majorEastAsia"/>
                <w:bCs/>
                <w:kern w:val="0"/>
                <w:sz w:val="18"/>
                <w:szCs w:val="18"/>
              </w:rPr>
              <w:t xml:space="preserve"> </w:t>
            </w:r>
            <w:r>
              <w:rPr>
                <w:rFonts w:hint="eastAsia" w:asciiTheme="majorEastAsia" w:hAnsiTheme="majorEastAsia" w:eastAsiaTheme="majorEastAsia"/>
                <w:bCs/>
                <w:kern w:val="0"/>
                <w:sz w:val="18"/>
                <w:szCs w:val="18"/>
              </w:rPr>
              <w:t>产品管理人设置业绩报酬计提基准。</w:t>
            </w:r>
          </w:p>
          <w:p>
            <w:pPr>
              <w:spacing w:line="360" w:lineRule="auto"/>
              <w:jc w:val="left"/>
              <w:rPr>
                <w:rFonts w:ascii="宋体" w:hAnsi="宋体"/>
                <w:bCs/>
                <w:sz w:val="18"/>
              </w:rPr>
            </w:pPr>
            <w:r>
              <w:rPr>
                <w:rFonts w:ascii="宋体" w:hAnsi="宋体"/>
                <w:bCs/>
                <w:sz w:val="18"/>
                <w:szCs w:val="18"/>
              </w:rPr>
              <w:t>业绩报酬计提基准的</w:t>
            </w:r>
            <w:r>
              <w:rPr>
                <w:rFonts w:ascii="宋体" w:hAnsi="宋体"/>
                <w:bCs/>
                <w:sz w:val="18"/>
              </w:rPr>
              <w:t>设定</w:t>
            </w:r>
            <w:r>
              <w:rPr>
                <w:rFonts w:hint="eastAsia" w:ascii="宋体" w:hAnsi="宋体"/>
                <w:bCs/>
                <w:sz w:val="18"/>
              </w:rPr>
              <w:t>：管理人</w:t>
            </w:r>
            <w:r>
              <w:rPr>
                <w:rFonts w:ascii="宋体" w:hAnsi="宋体"/>
                <w:bCs/>
                <w:sz w:val="18"/>
              </w:rPr>
              <w:t>对本产品设定</w:t>
            </w:r>
            <w:r>
              <w:rPr>
                <w:rFonts w:hint="eastAsia" w:ascii="宋体" w:hAnsi="宋体"/>
                <w:bCs/>
                <w:sz w:val="18"/>
              </w:rPr>
              <w:t>业绩报酬计提基准：【/】。</w:t>
            </w:r>
          </w:p>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
                <w:kern w:val="0"/>
                <w:sz w:val="18"/>
                <w:szCs w:val="18"/>
              </w:rPr>
              <w:t xml:space="preserve"> </w:t>
            </w:r>
            <w:r>
              <w:rPr>
                <w:rFonts w:asciiTheme="majorEastAsia" w:hAnsiTheme="majorEastAsia" w:eastAsiaTheme="majorEastAsia"/>
                <w:bCs/>
                <w:kern w:val="0"/>
                <w:sz w:val="18"/>
                <w:szCs w:val="18"/>
              </w:rPr>
              <w:t xml:space="preserve"> </w:t>
            </w:r>
            <w:r>
              <w:rPr>
                <w:rFonts w:hint="eastAsia" w:asciiTheme="majorEastAsia" w:hAnsiTheme="majorEastAsia" w:eastAsiaTheme="majorEastAsia"/>
                <w:bCs/>
                <w:kern w:val="0"/>
                <w:sz w:val="18"/>
                <w:szCs w:val="18"/>
              </w:rPr>
              <w:t>产品管理人不设置业绩报酬计提基准。</w:t>
            </w:r>
          </w:p>
          <w:p>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pPr>
              <w:autoSpaceDE w:val="0"/>
              <w:autoSpaceDN w:val="0"/>
              <w:adjustRightInd w:val="0"/>
              <w:spacing w:line="360" w:lineRule="auto"/>
              <w:jc w:val="left"/>
              <w:rPr>
                <w:rFonts w:ascii="黑体" w:hAnsi="黑体" w:eastAsia="黑体" w:cs="黑体"/>
                <w:bCs/>
                <w:sz w:val="18"/>
                <w:szCs w:val="18"/>
              </w:rPr>
            </w:pPr>
            <w:r>
              <w:rPr>
                <w:rFonts w:hint="eastAsia" w:ascii="黑体" w:hAnsi="黑体" w:eastAsia="黑体" w:cs="黑体"/>
                <w:bCs/>
                <w:sz w:val="18"/>
                <w:szCs w:val="18"/>
              </w:rPr>
              <w:t>（</w:t>
            </w:r>
            <w:r>
              <w:rPr>
                <w:rFonts w:ascii="黑体" w:hAnsi="黑体" w:eastAsia="黑体" w:cs="黑体"/>
                <w:bCs/>
                <w:sz w:val="18"/>
                <w:szCs w:val="18"/>
              </w:rPr>
              <w:t>1）</w:t>
            </w:r>
            <w:r>
              <w:rPr>
                <w:rFonts w:hint="eastAsia" w:ascii="黑体" w:hAnsi="黑体" w:eastAsia="黑体" w:cs="黑体"/>
                <w:bCs/>
                <w:sz w:val="18"/>
                <w:szCs w:val="18"/>
              </w:rPr>
              <w:t>★业绩报酬计提基准仅作为管理人计算超额业绩报酬的参照标准。业绩报酬计提基准不是预期收益率，不代表产品的未来表现和实际收益，不构成对产品收益的承诺，投资须谨慎。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704"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ascii="宋体"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704" w:type="dxa"/>
            <w:shd w:val="solid" w:color="FFFFFF" w:fill="FFFFFF"/>
            <w:vAlign w:val="center"/>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适用【C】类份额</w:t>
            </w:r>
            <w:r>
              <w:rPr>
                <w:rFonts w:hint="eastAsia" w:asciiTheme="majorEastAsia" w:hAnsiTheme="majorEastAsia" w:eastAsiaTheme="majorEastAsia"/>
                <w:bCs/>
                <w:color w:val="000000" w:themeColor="text1"/>
                <w:sz w:val="18"/>
                <w:szCs w:val="18"/>
                <w14:textFill>
                  <w14:solidFill>
                    <w14:schemeClr w14:val="tx1"/>
                  </w14:solidFill>
                </w14:textFill>
              </w:rPr>
              <w:t>）</w:t>
            </w:r>
          </w:p>
          <w:p>
            <w:pPr>
              <w:spacing w:line="360" w:lineRule="auto"/>
              <w:rPr>
                <w:rFonts w:ascii="黑体" w:hAnsi="黑体" w:eastAsia="黑体" w:cstheme="minorEastAsia"/>
                <w:color w:val="000000" w:themeColor="text1"/>
                <w:sz w:val="18"/>
                <w:szCs w:val="18"/>
                <w14:textFill>
                  <w14:solidFill>
                    <w14:schemeClr w14:val="tx1"/>
                  </w14:solidFill>
                </w14:textFill>
              </w:rPr>
            </w:pPr>
            <w:r>
              <w:rPr>
                <w:rFonts w:ascii="黑体" w:hAnsi="黑体" w:eastAsia="黑体" w:cstheme="minorEastAsia"/>
                <w:color w:val="000000" w:themeColor="text1"/>
                <w:sz w:val="18"/>
                <w:szCs w:val="18"/>
                <w14:textFill>
                  <w14:solidFill>
                    <w14:schemeClr w14:val="tx1"/>
                  </w14:solidFill>
                </w14:textFill>
              </w:rPr>
              <w:t>1.</w:t>
            </w:r>
            <w:r>
              <w:rPr>
                <w:rFonts w:hint="eastAsia" w:ascii="黑体" w:hAnsi="黑体" w:eastAsia="黑体" w:cstheme="minorEastAsia"/>
                <w:color w:val="000000" w:themeColor="text1"/>
                <w:sz w:val="18"/>
                <w:szCs w:val="18"/>
                <w14:textFill>
                  <w14:solidFill>
                    <w14:schemeClr w14:val="tx1"/>
                  </w14:solidFill>
                </w14:textFill>
              </w:rPr>
              <w:t>理财产品的费率标准</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1）认购费：</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2）申购费：</w:t>
            </w: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3）赎回费：</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4）销售服</w:t>
            </w:r>
            <w:r>
              <w:rPr>
                <w:rFonts w:hint="eastAsia" w:ascii="黑体" w:hAnsi="黑体" w:eastAsia="黑体" w:cs="黑体"/>
                <w:color w:val="000000" w:themeColor="text1"/>
                <w:sz w:val="18"/>
                <w:szCs w:val="18"/>
                <w14:textFill>
                  <w14:solidFill>
                    <w14:schemeClr w14:val="tx1"/>
                  </w14:solidFill>
                </w14:textFill>
              </w:rPr>
              <w:t>务费：</w:t>
            </w:r>
            <w:r>
              <w:rPr>
                <w:rFonts w:hint="eastAsia" w:ascii="黑体" w:hAnsi="黑体" w:eastAsia="黑体" w:cs="黑体"/>
                <w:sz w:val="18"/>
                <w:szCs w:val="18"/>
              </w:rPr>
              <w:t>年化</w:t>
            </w:r>
            <w:r>
              <w:rPr>
                <w:rFonts w:ascii="黑体" w:hAnsi="黑体" w:eastAsia="黑体" w:cs="黑体"/>
                <w:sz w:val="18"/>
                <w:szCs w:val="18"/>
              </w:rPr>
              <w:t>费率</w:t>
            </w:r>
            <w:r>
              <w:rPr>
                <w:rFonts w:hint="eastAsia" w:ascii="黑体" w:hAnsi="黑体" w:eastAsia="黑体" w:cs="黑体"/>
                <w:sz w:val="18"/>
                <w:szCs w:val="18"/>
              </w:rPr>
              <w:t>【0.40%】</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5）投资管理费：</w:t>
            </w:r>
            <w:r>
              <w:rPr>
                <w:rFonts w:hint="eastAsia" w:ascii="黑体" w:hAnsi="黑体" w:eastAsia="黑体" w:cs="黑体"/>
                <w:sz w:val="18"/>
                <w:szCs w:val="18"/>
              </w:rPr>
              <w:t>年化</w:t>
            </w:r>
            <w:r>
              <w:rPr>
                <w:rFonts w:ascii="黑体" w:hAnsi="黑体" w:eastAsia="黑体" w:cs="黑体"/>
                <w:sz w:val="18"/>
                <w:szCs w:val="18"/>
              </w:rPr>
              <w:t>费率</w:t>
            </w:r>
            <w:r>
              <w:rPr>
                <w:rFonts w:hint="eastAsia" w:ascii="黑体" w:hAnsi="黑体" w:eastAsia="黑体" w:cs="黑体"/>
                <w:sz w:val="18"/>
                <w:szCs w:val="18"/>
              </w:rPr>
              <w:t>【0.30%</w:t>
            </w:r>
            <w:r>
              <w:rPr>
                <w:rFonts w:ascii="黑体" w:hAnsi="黑体" w:eastAsia="黑体" w:cs="黑体"/>
                <w:sz w:val="18"/>
                <w:szCs w:val="18"/>
              </w:rPr>
              <w:t>】</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6）产品托管费：</w:t>
            </w:r>
            <w:r>
              <w:rPr>
                <w:rFonts w:hint="eastAsia" w:ascii="黑体" w:hAnsi="黑体" w:eastAsia="黑体" w:cs="黑体"/>
                <w:sz w:val="18"/>
                <w:szCs w:val="18"/>
              </w:rPr>
              <w:t>年化</w:t>
            </w:r>
            <w:r>
              <w:rPr>
                <w:rFonts w:ascii="黑体" w:hAnsi="黑体" w:eastAsia="黑体" w:cs="黑体"/>
                <w:sz w:val="18"/>
                <w:szCs w:val="18"/>
              </w:rPr>
              <w:t>费率</w:t>
            </w:r>
            <w:r>
              <w:rPr>
                <w:rFonts w:hint="eastAsia" w:ascii="黑体" w:hAnsi="黑体" w:eastAsia="黑体" w:cs="黑体"/>
                <w:sz w:val="18"/>
                <w:szCs w:val="18"/>
              </w:rPr>
              <w:t>【0.03%</w:t>
            </w:r>
            <w:r>
              <w:rPr>
                <w:rFonts w:ascii="黑体" w:hAnsi="黑体" w:eastAsia="黑体" w:cs="黑体"/>
                <w:sz w:val="18"/>
                <w:szCs w:val="18"/>
              </w:rPr>
              <w:t>】</w:t>
            </w:r>
            <w:r>
              <w:rPr>
                <w:rFonts w:hint="eastAsia" w:ascii="黑体" w:hAnsi="黑体" w:eastAsia="黑体" w:cs="黑体"/>
                <w:color w:val="000000" w:themeColor="text1"/>
                <w:sz w:val="18"/>
                <w:szCs w:val="18"/>
                <w14:textFill>
                  <w14:solidFill>
                    <w14:schemeClr w14:val="tx1"/>
                  </w14:solidFill>
                </w14:textFill>
              </w:rPr>
              <w:t>。</w:t>
            </w:r>
          </w:p>
          <w:p>
            <w:pPr>
              <w:widowControl/>
              <w:spacing w:line="360" w:lineRule="auto"/>
              <w:jc w:val="left"/>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7）超额业绩报酬：</w:t>
            </w:r>
          </w:p>
          <w:p>
            <w:pPr>
              <w:widowControl/>
              <w:spacing w:line="360" w:lineRule="auto"/>
              <w:jc w:val="left"/>
              <w:rPr>
                <w:rFonts w:ascii="宋体" w:hAnsi="宋体"/>
                <w:sz w:val="18"/>
                <w:szCs w:val="18"/>
              </w:rPr>
            </w:pPr>
            <w:r>
              <w:rPr>
                <w:rFonts w:hint="eastAsia" w:ascii="宋体" w:hAnsi="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作为超额业绩报酬。</w:t>
            </w:r>
          </w:p>
          <w:p>
            <w:pPr>
              <w:spacing w:line="360" w:lineRule="auto"/>
              <w:rPr>
                <w:rFonts w:ascii="黑体" w:hAnsi="黑体" w:eastAsia="黑体"/>
                <w:bCs/>
                <w:sz w:val="18"/>
                <w:szCs w:val="18"/>
              </w:rPr>
            </w:pPr>
            <w:r>
              <w:rPr>
                <w:rFonts w:hint="eastAsia" w:ascii="宋体" w:hAnsi="宋体"/>
                <w:bCs/>
                <w:sz w:val="18"/>
                <w:szCs w:val="18"/>
              </w:rPr>
              <w:t>2</w:t>
            </w:r>
            <w:r>
              <w:rPr>
                <w:rFonts w:hint="eastAsia" w:asciiTheme="majorEastAsia" w:hAnsiTheme="majorEastAsia" w:eastAsiaTheme="majorEastAsia"/>
                <w:bCs/>
                <w:sz w:val="18"/>
                <w:szCs w:val="18"/>
              </w:rPr>
              <w:t>.</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704"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permEnd w:id="13"/>
    </w:tbl>
    <w:p>
      <w:pPr>
        <w:pStyle w:val="3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8" w:name="_Toc79154666"/>
      <w:bookmarkStart w:id="9" w:name="_Toc92377132"/>
      <w:bookmarkStart w:id="10" w:name="_Toc21959"/>
      <w:bookmarkStart w:id="11" w:name="_Toc4403"/>
      <w:r>
        <w:rPr>
          <w:rFonts w:ascii="Times New Roman"/>
          <w:sz w:val="30"/>
        </w:rPr>
        <w:t>第</w:t>
      </w:r>
      <w:r>
        <w:rPr>
          <w:rFonts w:hint="eastAsia" w:ascii="Times New Roman"/>
          <w:sz w:val="30"/>
        </w:rPr>
        <w:t>三条</w:t>
      </w:r>
      <w:r>
        <w:rPr>
          <w:rFonts w:ascii="Times New Roman"/>
          <w:sz w:val="30"/>
        </w:rPr>
        <w:t xml:space="preserve">  </w:t>
      </w:r>
      <w:bookmarkStart w:id="12" w:name="_Toc79392573"/>
      <w:r>
        <w:rPr>
          <w:rFonts w:hint="eastAsia" w:ascii="Times New Roman"/>
          <w:sz w:val="30"/>
        </w:rPr>
        <w:t>理财产品的认购</w:t>
      </w:r>
      <w:bookmarkEnd w:id="8"/>
      <w:bookmarkEnd w:id="9"/>
      <w:bookmarkEnd w:id="10"/>
      <w:bookmarkEnd w:id="11"/>
    </w:p>
    <w:p>
      <w:pPr>
        <w:spacing w:line="360" w:lineRule="auto"/>
        <w:ind w:firstLine="361" w:firstLineChars="200"/>
        <w:rPr>
          <w:rFonts w:asciiTheme="minorEastAsia" w:hAnsiTheme="minorEastAsia"/>
          <w:b/>
          <w:bCs/>
          <w:sz w:val="18"/>
          <w:szCs w:val="18"/>
        </w:rPr>
      </w:pPr>
      <w:bookmarkStart w:id="13" w:name="_Hlt88031774"/>
      <w:bookmarkEnd w:id="13"/>
      <w:bookmarkStart w:id="14"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25"/>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w:t>
            </w:r>
            <w:r>
              <w:rPr>
                <w:rFonts w:hint="eastAsia" w:cs="Times New Roman" w:asciiTheme="minorEastAsia" w:hAnsiTheme="minorEastAsia" w:eastAsiaTheme="minorEastAsia"/>
                <w:bCs/>
                <w:sz w:val="18"/>
                <w:szCs w:val="18"/>
              </w:rPr>
              <w:t>，并登记理财份额</w:t>
            </w:r>
            <w:r>
              <w:rPr>
                <w:rFonts w:hint="eastAsia" w:cs="Times New Roman" w:asciiTheme="minorEastAsia" w:hAnsiTheme="minorEastAsia"/>
                <w:bCs/>
                <w:kern w:val="0"/>
                <w:sz w:val="18"/>
                <w:szCs w:val="18"/>
              </w:rPr>
              <w:t>。</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认购期/募集期内投资者可提交认购申请。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申请并不代表认购成功，产品管理人将在认购确认日确认投资者是否认购成功，是否成功以管理人的确认结果为准</w:t>
      </w:r>
      <w:r>
        <w:rPr>
          <w:rFonts w:hint="eastAsia" w:asciiTheme="minorEastAsia" w:hAnsiTheme="minorEastAsia" w:eastAsiaTheme="minorEastAsia"/>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spacing w:line="360" w:lineRule="auto"/>
        <w:ind w:firstLine="360" w:firstLineChars="200"/>
        <w:rPr>
          <w:rFonts w:asciiTheme="minorEastAsia" w:hAnsiTheme="minorEastAsia"/>
          <w:bCs/>
          <w:sz w:val="18"/>
          <w:szCs w:val="18"/>
        </w:rPr>
      </w:pP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pPr>
        <w:pStyle w:val="2"/>
        <w:spacing w:before="0" w:after="0" w:line="360" w:lineRule="auto"/>
        <w:jc w:val="center"/>
        <w:rPr>
          <w:rFonts w:ascii="Times New Roman"/>
          <w:sz w:val="30"/>
        </w:rPr>
      </w:pPr>
      <w:bookmarkStart w:id="15" w:name="_Toc92377133"/>
      <w:bookmarkStart w:id="16" w:name="_Toc29856"/>
      <w:bookmarkStart w:id="17" w:name="_Toc79154667"/>
      <w:bookmarkStart w:id="18" w:name="_Toc6529"/>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bookmarkEnd w:id="15"/>
      <w:bookmarkEnd w:id="16"/>
      <w:bookmarkEnd w:id="17"/>
      <w:bookmarkEnd w:id="18"/>
    </w:p>
    <w:bookmarkEnd w:id="14"/>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pPr>
        <w:pStyle w:val="86"/>
        <w:ind w:firstLine="360"/>
        <w:rPr>
          <w:rFonts w:asciiTheme="majorEastAsia" w:hAnsiTheme="majorEastAsia" w:eastAsiaTheme="majorEastAsia"/>
          <w:bCs/>
          <w:sz w:val="18"/>
          <w:szCs w:val="18"/>
        </w:rPr>
      </w:pPr>
      <w:r>
        <w:rPr>
          <w:rFonts w:hint="eastAsia" w:ascii="宋体" w:hAnsi="宋体"/>
          <w:sz w:val="18"/>
          <w:szCs w:val="18"/>
        </w:rPr>
        <w:t>本产品</w:t>
      </w:r>
      <w:r>
        <w:rPr>
          <w:rFonts w:hint="eastAsia" w:asciiTheme="majorEastAsia" w:hAnsiTheme="majorEastAsia" w:eastAsiaTheme="majorEastAsia"/>
          <w:bCs/>
          <w:sz w:val="18"/>
          <w:szCs w:val="18"/>
        </w:rPr>
        <w:t>具体申购时间以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2.申购的方式</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详见《产品说明书》“第二条 理财产品基本情况”。</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color w:val="auto"/>
          <w:sz w:val="18"/>
          <w:szCs w:val="18"/>
        </w:rPr>
        <w:t>提交申购申请并不代表申购成功，产品管理人将在申购确认日确认投资者是否申购成功，是否成功以管理人的确认结果为准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申购价格为申购日的产品份额净值。</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w:t>
      </w:r>
      <w:r>
        <w:rPr>
          <w:rFonts w:asciiTheme="minorEastAsia" w:hAnsiTheme="minorEastAsia"/>
          <w:bCs/>
          <w:color w:val="auto"/>
          <w:sz w:val="18"/>
          <w:szCs w:val="18"/>
        </w:rPr>
        <w:t>=申购金额/（1+申购费率）</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w:t>
      </w:r>
      <w:r>
        <w:rPr>
          <w:rFonts w:asciiTheme="minorEastAsia" w:hAnsiTheme="minorEastAsia"/>
          <w:bCs/>
          <w:color w:val="auto"/>
          <w:sz w:val="18"/>
          <w:szCs w:val="18"/>
        </w:rPr>
        <w:t>=申购金额－净申购金额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w:t>
      </w:r>
      <w:r>
        <w:rPr>
          <w:rFonts w:asciiTheme="minorEastAsia" w:hAnsiTheme="minorEastAsia"/>
          <w:bCs/>
          <w:color w:val="auto"/>
          <w:sz w:val="18"/>
          <w:szCs w:val="18"/>
        </w:rPr>
        <w:t>=净申购金额/申购日产品份额净值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pPr>
        <w:pStyle w:val="86"/>
        <w:ind w:firstLine="360"/>
        <w:rPr>
          <w:rFonts w:asciiTheme="majorEastAsia" w:hAnsiTheme="majorEastAsia" w:eastAsiaTheme="majorEastAsia"/>
          <w:bCs/>
          <w:sz w:val="18"/>
          <w:szCs w:val="18"/>
        </w:rPr>
      </w:pPr>
      <w:r>
        <w:rPr>
          <w:rFonts w:hint="eastAsia" w:ascii="宋体" w:hAnsi="宋体"/>
          <w:sz w:val="18"/>
          <w:szCs w:val="18"/>
        </w:rPr>
        <w:t>本产品</w:t>
      </w:r>
      <w:r>
        <w:rPr>
          <w:rFonts w:hint="eastAsia" w:asciiTheme="majorEastAsia" w:hAnsiTheme="majorEastAsia" w:eastAsiaTheme="majorEastAsia"/>
          <w:bCs/>
          <w:sz w:val="18"/>
          <w:szCs w:val="18"/>
        </w:rPr>
        <w:t>具体赎回时间以</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asciiTheme="majorEastAsia" w:hAnsiTheme="majorEastAsia" w:eastAsiaTheme="majorEastAsia"/>
          <w:bCs/>
          <w:sz w:val="18"/>
          <w:szCs w:val="18"/>
        </w:rPr>
        <w:t>为准。</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2.赎回的方式</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详见《产品说明书》“第二条 理财产品基本情况”。</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提交赎回申请并不代表赎回成功，产品管理人将在赎回确认日确认投资者是否赎回成功。赎回是否成功以管理人的确认结果为准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bCs/>
          <w:color w:val="auto"/>
          <w:sz w:val="18"/>
          <w:szCs w:val="18"/>
        </w:rPr>
        <w:t>赎回</w:t>
      </w:r>
      <w:r>
        <w:rPr>
          <w:rFonts w:asciiTheme="majorEastAsia" w:hAnsiTheme="majorEastAsia" w:eastAsiaTheme="majorEastAsia"/>
          <w:bCs/>
          <w:color w:val="auto"/>
          <w:sz w:val="18"/>
          <w:szCs w:val="18"/>
        </w:rPr>
        <w:t>价格为赎回日</w:t>
      </w:r>
      <w:r>
        <w:rPr>
          <w:rFonts w:hint="eastAsia" w:asciiTheme="majorEastAsia" w:hAnsiTheme="majorEastAsia" w:eastAsiaTheme="majorEastAsia"/>
          <w:bCs/>
          <w:color w:val="auto"/>
          <w:sz w:val="18"/>
          <w:szCs w:val="18"/>
        </w:rPr>
        <w:t>的</w:t>
      </w:r>
      <w:r>
        <w:rPr>
          <w:rFonts w:asciiTheme="majorEastAsia" w:hAnsiTheme="majorEastAsia" w:eastAsiaTheme="majorEastAsia"/>
          <w:bCs/>
          <w:color w:val="auto"/>
          <w:sz w:val="18"/>
          <w:szCs w:val="18"/>
        </w:rPr>
        <w:t>产品份额净值</w:t>
      </w:r>
      <w:r>
        <w:rPr>
          <w:rFonts w:hint="eastAsia" w:asciiTheme="majorEastAsia" w:hAnsiTheme="majorEastAsia" w:eastAsiaTheme="majorEastAsia"/>
          <w:bCs/>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w:t>
      </w:r>
      <w:r>
        <w:rPr>
          <w:rFonts w:asciiTheme="majorEastAsia" w:hAnsiTheme="majorEastAsia" w:eastAsiaTheme="majorEastAsia"/>
          <w:color w:val="auto"/>
          <w:sz w:val="18"/>
          <w:szCs w:val="18"/>
        </w:rPr>
        <w:t>=赎回份额×赎回日该产品份额净值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w:t>
      </w:r>
      <w:r>
        <w:rPr>
          <w:rFonts w:asciiTheme="majorEastAsia" w:hAnsiTheme="majorEastAsia" w:eastAsiaTheme="majorEastAsia"/>
          <w:color w:val="auto"/>
          <w:sz w:val="18"/>
          <w:szCs w:val="18"/>
        </w:rPr>
        <w:t>=赎回总金额×赎回费率</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w:t>
      </w:r>
      <w:r>
        <w:rPr>
          <w:rFonts w:asciiTheme="majorEastAsia" w:hAnsiTheme="majorEastAsia" w:eastAsiaTheme="majorEastAsia"/>
          <w:color w:val="auto"/>
          <w:sz w:val="18"/>
          <w:szCs w:val="18"/>
        </w:rPr>
        <w:t>=赎回总金额-赎回费用</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未知价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原则，即本产品申购申请和赎回申请提交时，适用的产品份额净值都是未知的。</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申请可以在对应申购</w:t>
      </w:r>
      <w:r>
        <w:rPr>
          <w:rFonts w:hint="eastAsia" w:asciiTheme="majorEastAsia" w:hAnsiTheme="majorEastAsia" w:eastAsiaTheme="majorEastAsia"/>
          <w:color w:val="auto"/>
          <w:sz w:val="18"/>
          <w:szCs w:val="18"/>
        </w:rPr>
        <w:t>日、</w:t>
      </w:r>
      <w:r>
        <w:rPr>
          <w:rFonts w:asciiTheme="majorEastAsia" w:hAnsiTheme="majorEastAsia" w:eastAsiaTheme="majorEastAsia"/>
          <w:color w:val="auto"/>
          <w:sz w:val="18"/>
          <w:szCs w:val="18"/>
        </w:rPr>
        <w:t>赎回</w:t>
      </w:r>
      <w:r>
        <w:rPr>
          <w:rFonts w:hint="eastAsia" w:asciiTheme="majorEastAsia" w:hAnsiTheme="majorEastAsia" w:eastAsiaTheme="majorEastAsia"/>
          <w:color w:val="auto"/>
          <w:sz w:val="18"/>
          <w:szCs w:val="18"/>
        </w:rPr>
        <w:t>日交易时间截止</w:t>
      </w:r>
      <w:r>
        <w:rPr>
          <w:rFonts w:asciiTheme="majorEastAsia" w:hAnsiTheme="majorEastAsia" w:eastAsiaTheme="majorEastAsia"/>
          <w:color w:val="auto"/>
          <w:sz w:val="18"/>
          <w:szCs w:val="18"/>
        </w:rPr>
        <w:t>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赎回遵循“先进先出”原则，即按照投资者认购、申购的先后次序进行顺序赎回。</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巨额赎回的处理方式</w:t>
      </w:r>
    </w:p>
    <w:p>
      <w:pPr>
        <w:widowControl/>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出现巨额赎回时，产品管理人有权决定：（1）</w:t>
      </w:r>
      <w:r>
        <w:rPr>
          <w:rFonts w:asciiTheme="majorEastAsia" w:hAnsiTheme="majorEastAsia" w:eastAsiaTheme="majorEastAsia"/>
          <w:bCs/>
          <w:sz w:val="18"/>
          <w:szCs w:val="18"/>
        </w:rPr>
        <w:t>不接受</w:t>
      </w:r>
      <w:r>
        <w:rPr>
          <w:rFonts w:hint="eastAsia" w:asciiTheme="majorEastAsia" w:hAnsiTheme="majorEastAsia" w:eastAsiaTheme="majorEastAsia"/>
          <w:bCs/>
          <w:sz w:val="18"/>
          <w:szCs w:val="18"/>
        </w:rPr>
        <w:t>超出部分的净赎回申请，但投资者可于下一开放日重新进行赎回申请；（</w:t>
      </w:r>
      <w:r>
        <w:rPr>
          <w:rFonts w:asciiTheme="majorEastAsia" w:hAnsiTheme="majorEastAsia" w:eastAsiaTheme="majorEastAsia"/>
          <w:bCs/>
          <w:sz w:val="18"/>
          <w:szCs w:val="18"/>
        </w:rPr>
        <w:t>2）延缓支付赎回款项</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如产品管理人认为有必要，</w:t>
      </w:r>
      <w:r>
        <w:rPr>
          <w:rFonts w:hint="eastAsia" w:asciiTheme="majorEastAsia" w:hAnsiTheme="majorEastAsia" w:eastAsiaTheme="majorEastAsia"/>
          <w:bCs/>
          <w:sz w:val="18"/>
          <w:szCs w:val="18"/>
        </w:rPr>
        <w:t>针对</w:t>
      </w:r>
      <w:r>
        <w:rPr>
          <w:rFonts w:asciiTheme="majorEastAsia" w:hAnsiTheme="majorEastAsia" w:eastAsiaTheme="majorEastAsia"/>
          <w:bCs/>
          <w:sz w:val="18"/>
          <w:szCs w:val="18"/>
        </w:rPr>
        <w:t>已经</w:t>
      </w:r>
      <w:r>
        <w:rPr>
          <w:rFonts w:hint="eastAsia" w:asciiTheme="majorEastAsia" w:hAnsiTheme="majorEastAsia" w:eastAsiaTheme="majorEastAsia"/>
          <w:bCs/>
          <w:sz w:val="18"/>
          <w:szCs w:val="18"/>
        </w:rPr>
        <w:t>确认</w:t>
      </w:r>
      <w:r>
        <w:rPr>
          <w:rFonts w:asciiTheme="majorEastAsia" w:hAnsiTheme="majorEastAsia" w:eastAsiaTheme="majorEastAsia"/>
          <w:bCs/>
          <w:sz w:val="18"/>
          <w:szCs w:val="18"/>
        </w:rPr>
        <w:t>的赎回申请</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可以延缓支付赎回款项。延缓支付赎回款项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。（3）法律法规规定或监管机构规定的其他措施。</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bookmarkEnd w:id="12"/>
    <w:p>
      <w:pPr>
        <w:pStyle w:val="2"/>
        <w:spacing w:before="0" w:after="0" w:line="360" w:lineRule="auto"/>
        <w:jc w:val="center"/>
        <w:rPr>
          <w:rFonts w:ascii="Times New Roman"/>
          <w:sz w:val="30"/>
        </w:rPr>
      </w:pPr>
      <w:bookmarkStart w:id="19" w:name="_Toc22074"/>
      <w:bookmarkStart w:id="20" w:name="_Toc16265"/>
      <w:bookmarkStart w:id="21" w:name="_Toc79154668"/>
      <w:bookmarkStart w:id="22" w:name="_Toc6714"/>
      <w:bookmarkStart w:id="23" w:name="_Toc90742688"/>
      <w:bookmarkStart w:id="24" w:name="_Toc92377134"/>
      <w:bookmarkStart w:id="25" w:name="_Toc90742390"/>
      <w:bookmarkStart w:id="26" w:name="_Toc29784"/>
      <w:bookmarkStart w:id="27" w:name="_Toc3266"/>
      <w:bookmarkStart w:id="28" w:name="_Toc74065741"/>
      <w:bookmarkStart w:id="29" w:name="_Toc15203"/>
      <w:bookmarkStart w:id="30" w:name="_Toc23413"/>
      <w:bookmarkStart w:id="31" w:name="_Toc90742321"/>
      <w:bookmarkStart w:id="32" w:name="_Toc27189"/>
      <w:bookmarkStart w:id="33" w:name="_Toc29948"/>
      <w:bookmarkStart w:id="34" w:name="_Toc27226"/>
      <w:bookmarkStart w:id="35" w:name="_Toc12517"/>
      <w:bookmarkStart w:id="36" w:name="_Toc7151"/>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34"/>
        <w:spacing w:line="360" w:lineRule="auto"/>
        <w:ind w:firstLine="360" w:firstLineChars="200"/>
        <w:rPr>
          <w:rFonts w:asciiTheme="majorEastAsia" w:hAnsiTheme="majorEastAsia" w:eastAsiaTheme="majorEastAsia"/>
          <w:bCs/>
          <w:sz w:val="18"/>
          <w:szCs w:val="18"/>
        </w:rPr>
      </w:pPr>
      <w:permStart w:id="14" w:edGrp="everyone"/>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ermEnd w:id="14"/>
    <w:p>
      <w:pPr>
        <w:pStyle w:val="3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permStart w:id="15" w:edGrp="everyone"/>
      <w:r>
        <w:rPr>
          <w:rFonts w:hint="eastAsia" w:asciiTheme="majorEastAsia" w:hAnsiTheme="majorEastAsia" w:eastAsiaTheme="majorEastAsia"/>
          <w:bCs/>
          <w:kern w:val="0"/>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国债、金融债、地方政府债、央行票据、同业存单、短期融资券、超短期融资券、中期票据、企业债、公司债、非公开定向债务融资工具、项目收益债、项目收益票据、资产支持证券、次级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（3）国债期货、利率互换、债券借贷。</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（4）投资于上述资产的符合监管要求的公募基金、基金公司或子公司资产管理计划、证券公司资产管理计划、保险资产管理计划及信托计划等。</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（5）其他风险不高于前述资产的资产。</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p>
    <w:permEnd w:id="15"/>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permStart w:id="16" w:edGrp="everyone"/>
      <w:r>
        <w:rPr>
          <w:rFonts w:hint="eastAsia" w:asciiTheme="majorEastAsia" w:hAnsiTheme="majorEastAsia" w:eastAsiaTheme="majorEastAsia"/>
          <w:bCs/>
          <w:kern w:val="0"/>
          <w:sz w:val="18"/>
          <w:szCs w:val="18"/>
        </w:rPr>
        <w:t>本产品投资于债权类资产的比例不低于产品总资产的80%。</w:t>
      </w:r>
    </w:p>
    <w:permEnd w:id="16"/>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.如果法律法规对本销售文件约定投资组合比例限制进行变更的，以变更后的规定为准。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permStart w:id="17" w:edGrp="everyone"/>
      <w:r>
        <w:rPr>
          <w:rFonts w:hint="eastAsia" w:asciiTheme="majorEastAsia" w:hAnsiTheme="majorEastAsia" w:eastAsiaTheme="majorEastAsia"/>
          <w:bCs/>
          <w:sz w:val="18"/>
          <w:szCs w:val="18"/>
        </w:rPr>
        <w:t>【</w:t>
      </w:r>
      <w:r>
        <w:rPr>
          <w:rFonts w:ascii="黑体" w:hAnsi="黑体" w:eastAsia="黑体"/>
          <w:bCs/>
          <w:sz w:val="18"/>
          <w:szCs w:val="18"/>
        </w:rPr>
        <w:t>3】</w:t>
      </w:r>
      <w:r>
        <w:rPr>
          <w:rFonts w:hint="eastAsia" w:ascii="黑体" w:hAnsi="黑体" w:eastAsia="黑体"/>
          <w:bCs/>
          <w:sz w:val="18"/>
          <w:szCs w:val="18"/>
        </w:rPr>
        <w:t>个月</w:t>
      </w:r>
      <w:permEnd w:id="17"/>
      <w:r>
        <w:rPr>
          <w:rFonts w:hint="eastAsia" w:ascii="黑体" w:hAnsi="黑体" w:eastAsia="黑体"/>
          <w:bCs/>
          <w:sz w:val="18"/>
          <w:szCs w:val="18"/>
        </w:rPr>
        <w:t>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应当符合本销售文件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pPr>
        <w:pStyle w:val="3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销售文件</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3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pStyle w:val="34"/>
        <w:spacing w:line="360" w:lineRule="auto"/>
        <w:ind w:firstLine="360" w:firstLineChars="200"/>
        <w:rPr>
          <w:rFonts w:asciiTheme="majorEastAsia" w:hAnsiTheme="majorEastAsia" w:eastAsiaTheme="majorEastAsia"/>
          <w:color w:val="auto"/>
          <w:sz w:val="18"/>
          <w:szCs w:val="18"/>
        </w:rPr>
      </w:pPr>
      <w:permStart w:id="18" w:edGrp="everyone"/>
      <w:r>
        <w:rPr>
          <w:rFonts w:hint="eastAsia" w:asciiTheme="majorEastAsia" w:hAnsiTheme="majorEastAsia" w:eastAsiaTheme="majorEastAsia"/>
          <w:bCs/>
          <w:sz w:val="18"/>
          <w:szCs w:val="18"/>
        </w:rPr>
        <w:t>（1）</w:t>
      </w:r>
      <w:r>
        <w:rPr>
          <w:rFonts w:hint="eastAsia" w:asciiTheme="majorEastAsia" w:hAnsiTheme="majorEastAsia" w:eastAsiaTheme="majorEastAsia"/>
          <w:bCs/>
          <w:color w:val="auto"/>
          <w:sz w:val="18"/>
          <w:szCs w:val="18"/>
        </w:rPr>
        <w:t>每只公募理财产品投资单只证券或者单只公募证券投资基金的市值不得超过该理财产品净资产的10%。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（3）全部理财产品持有单一上市公司发行的股票，不得超过该上市公司可流通股票的30%。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（4）全部开放式公募理财产品投资单一上市公司发行的股票不得超过该上市公司可流通股票的15%。</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6）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 xml:space="preserve">（7）每只开放式理财产品每日确认且需当日支付的净赎回申请不超过前一工作日产品7个工作日可变现资产的可变现价值，银保监会另有规定的除外。在开放日前一工作日内，每只开放式理财产品7个工作日可变现资产的可变现价值应当不低于该产品资产净值的10%。 </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面向单一投资者发行的私募理财产品可不受本条规定限制。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（8）本产品因为流动性需要可开展存单质押、债券正回购等融资业务，本产品总资产不超过净资产的140%。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ermEnd w:id="18"/>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销售文件</w:t>
      </w:r>
      <w:r>
        <w:rPr>
          <w:rFonts w:asciiTheme="majorEastAsia" w:hAnsiTheme="majorEastAsia" w:eastAsiaTheme="majorEastAsia"/>
          <w:bCs/>
          <w:sz w:val="18"/>
          <w:szCs w:val="18"/>
        </w:rPr>
        <w:t>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34"/>
        <w:spacing w:line="360" w:lineRule="auto"/>
        <w:ind w:firstLine="360" w:firstLineChars="200"/>
        <w:rPr>
          <w:rFonts w:asciiTheme="majorEastAsia" w:hAnsiTheme="majorEastAsia" w:eastAsiaTheme="majorEastAsia"/>
          <w:bCs/>
          <w:sz w:val="18"/>
          <w:szCs w:val="18"/>
        </w:rPr>
      </w:pPr>
      <w:permStart w:id="19" w:edGrp="everyone"/>
      <w:r>
        <w:rPr>
          <w:rFonts w:hint="eastAsia" w:asciiTheme="majorEastAsia" w:hAnsiTheme="majorEastAsia" w:eastAsiaTheme="major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ermEnd w:id="19"/>
    <w:p>
      <w:pPr>
        <w:pStyle w:val="20"/>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37" w:name="_Toc27967"/>
      <w:bookmarkStart w:id="38" w:name="_Toc92377135"/>
      <w:bookmarkStart w:id="39" w:name="_Toc18526"/>
      <w:bookmarkStart w:id="40" w:name="_Toc139991735"/>
      <w:bookmarkStart w:id="41" w:name="_Toc21988"/>
      <w:bookmarkStart w:id="42" w:name="_Toc18329"/>
      <w:bookmarkStart w:id="43" w:name="_Toc5702"/>
      <w:bookmarkStart w:id="44" w:name="_Toc14893"/>
      <w:bookmarkStart w:id="45" w:name="_Toc74065742"/>
      <w:bookmarkStart w:id="46" w:name="_Toc26986"/>
      <w:bookmarkStart w:id="47" w:name="_Toc18797"/>
      <w:bookmarkStart w:id="48" w:name="_Toc4741"/>
      <w:bookmarkStart w:id="49" w:name="_Toc17912"/>
      <w:bookmarkStart w:id="50" w:name="_Toc1823"/>
      <w:bookmarkStart w:id="51" w:name="_Toc141703885"/>
      <w:bookmarkStart w:id="52" w:name="_Toc7848"/>
      <w:bookmarkStart w:id="53" w:name="_Toc79154669"/>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pStyle w:val="34"/>
        <w:spacing w:line="360" w:lineRule="auto"/>
        <w:ind w:firstLine="361" w:firstLineChars="200"/>
        <w:rPr>
          <w:rFonts w:asciiTheme="majorEastAsia" w:hAnsiTheme="majorEastAsia" w:eastAsiaTheme="majorEastAsia"/>
          <w:b/>
          <w:color w:val="auto"/>
          <w:sz w:val="18"/>
          <w:szCs w:val="18"/>
        </w:rPr>
      </w:pPr>
      <w:bookmarkStart w:id="54" w:name="_Hlk490214295"/>
      <w:r>
        <w:rPr>
          <w:rFonts w:hint="eastAsia" w:asciiTheme="majorEastAsia" w:hAnsiTheme="majorEastAsia" w:eastAsiaTheme="majorEastAsia"/>
          <w:b/>
          <w:color w:val="auto"/>
          <w:sz w:val="18"/>
          <w:szCs w:val="18"/>
        </w:rPr>
        <w:t>（一）理财产品的资产的保管和处分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54"/>
    <w:p>
      <w:pPr>
        <w:pStyle w:val="2"/>
        <w:spacing w:before="0" w:after="0" w:line="360" w:lineRule="auto"/>
        <w:jc w:val="center"/>
        <w:rPr>
          <w:rFonts w:ascii="Times New Roman"/>
          <w:sz w:val="28"/>
          <w:szCs w:val="28"/>
        </w:rPr>
      </w:pPr>
      <w:bookmarkStart w:id="55" w:name="_Toc13903"/>
      <w:bookmarkStart w:id="56" w:name="_Toc83391971"/>
      <w:bookmarkStart w:id="57" w:name="_Toc92377136"/>
      <w:bookmarkStart w:id="58" w:name="_Toc11152"/>
      <w:bookmarkStart w:id="59" w:name="_Toc123051452"/>
      <w:bookmarkStart w:id="60" w:name="_Toc79392606"/>
      <w:bookmarkStart w:id="61" w:name="_Toc123102453"/>
      <w:bookmarkStart w:id="62" w:name="_Toc123112234"/>
      <w:bookmarkStart w:id="63" w:name="_Toc98560352"/>
      <w:bookmarkStart w:id="64" w:name="_Toc23822"/>
      <w:bookmarkStart w:id="65" w:name="_Toc7920"/>
      <w:bookmarkStart w:id="66" w:name="_Toc1270"/>
      <w:bookmarkStart w:id="67" w:name="_Toc23261"/>
      <w:bookmarkStart w:id="68" w:name="_Toc610"/>
      <w:bookmarkStart w:id="69" w:name="_Toc139991736"/>
      <w:bookmarkStart w:id="70" w:name="_Toc4003"/>
      <w:bookmarkStart w:id="71" w:name="_Toc1427"/>
      <w:bookmarkStart w:id="72" w:name="_Toc10463"/>
      <w:bookmarkStart w:id="73" w:name="_Toc74065743"/>
      <w:bookmarkStart w:id="74" w:name="_Toc79154670"/>
      <w:bookmarkStart w:id="75" w:name="_Toc20733"/>
      <w:bookmarkStart w:id="76" w:name="_Toc17244"/>
      <w:bookmarkStart w:id="77" w:name="_Toc141703886"/>
      <w:bookmarkStart w:id="78" w:name="_Toc48649707"/>
      <w:r>
        <w:rPr>
          <w:rFonts w:hint="eastAsia" w:ascii="Times New Roman"/>
          <w:sz w:val="28"/>
          <w:szCs w:val="28"/>
        </w:rPr>
        <w:t>第七条</w:t>
      </w:r>
      <w:r>
        <w:rPr>
          <w:rFonts w:ascii="Times New Roman"/>
          <w:sz w:val="28"/>
          <w:szCs w:val="28"/>
        </w:rPr>
        <w:t xml:space="preserve">  </w:t>
      </w:r>
      <w:r>
        <w:rPr>
          <w:rFonts w:hint="eastAsia" w:ascii="Times New Roman"/>
          <w:sz w:val="28"/>
          <w:szCs w:val="28"/>
        </w:rPr>
        <w:t>理财产品项下资产的估值</w:t>
      </w:r>
      <w:bookmarkEnd w:id="55"/>
      <w:bookmarkEnd w:id="56"/>
      <w:bookmarkEnd w:id="57"/>
      <w:bookmarkEnd w:id="58"/>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（一）估值目的</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理财资产估值的目的是客观、准确地反映理财资产是否保值、增值。</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（二）估值频率</w:t>
      </w:r>
    </w:p>
    <w:p>
      <w:pPr>
        <w:pStyle w:val="20"/>
        <w:spacing w:line="360" w:lineRule="auto"/>
        <w:ind w:firstLine="360" w:firstLineChars="200"/>
        <w:rPr>
          <w:rFonts w:asciiTheme="minorEastAsia" w:hAnsiTheme="minorEastAsia" w:eastAsiaTheme="minorEastAsia"/>
          <w:color w:val="2E3033"/>
          <w:sz w:val="18"/>
          <w:szCs w:val="18"/>
        </w:rPr>
      </w:pPr>
      <w:permStart w:id="20" w:edGrp="everyone"/>
      <w:r>
        <w:rPr>
          <w:rFonts w:hint="eastAsia" w:asciiTheme="minorEastAsia" w:hAnsiTheme="minorEastAsia" w:eastAsiaTheme="minorEastAsia"/>
          <w:sz w:val="18"/>
          <w:szCs w:val="18"/>
        </w:rPr>
        <w:t>本产品存续期间</w:t>
      </w:r>
      <w:r>
        <w:rPr>
          <w:rFonts w:hint="eastAsia" w:cs="Times New Roman" w:asciiTheme="minorEastAsia" w:hAnsiTheme="minorEastAsia" w:eastAsiaTheme="minorEastAsia"/>
          <w:sz w:val="18"/>
          <w:szCs w:val="18"/>
        </w:rPr>
        <w:t>，每个【工作日】进行一次估值</w:t>
      </w:r>
      <w:r>
        <w:rPr>
          <w:rFonts w:hint="eastAsia" w:asciiTheme="minorEastAsia" w:hAnsiTheme="minorEastAsia" w:eastAsiaTheme="minorEastAsia"/>
          <w:color w:val="2E3033"/>
          <w:sz w:val="18"/>
          <w:szCs w:val="18"/>
        </w:rPr>
        <w:t>。</w:t>
      </w:r>
    </w:p>
    <w:permEnd w:id="20"/>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（三）估值对象</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本产品所拥有的各类证券、资产管理产品、银行存款、应收款项、其它投资等资产及负债。</w:t>
      </w:r>
    </w:p>
    <w:p>
      <w:pPr>
        <w:pStyle w:val="34"/>
        <w:spacing w:line="360" w:lineRule="auto"/>
        <w:ind w:firstLine="361" w:firstLineChars="200"/>
        <w:rPr>
          <w:rFonts w:asciiTheme="minorEastAsia" w:hAnsiTheme="minorEastAsia" w:eastAsiaTheme="minorEastAsia"/>
          <w:b/>
          <w:sz w:val="18"/>
          <w:szCs w:val="18"/>
        </w:rPr>
      </w:pPr>
      <w:r>
        <w:rPr>
          <w:rFonts w:hint="eastAsia" w:asciiTheme="minorEastAsia" w:hAnsiTheme="minorEastAsia" w:eastAsiaTheme="minorEastAsia"/>
          <w:b/>
          <w:sz w:val="18"/>
          <w:szCs w:val="18"/>
        </w:rPr>
        <w:t>（四）估值方法</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1.</w:t>
      </w:r>
      <w:r>
        <w:rPr>
          <w:rFonts w:hint="eastAsia" w:asciiTheme="minorEastAsia" w:hAnsiTheme="minorEastAsia" w:eastAsiaTheme="minorEastAsia"/>
          <w:bCs/>
          <w:color w:val="auto"/>
          <w:sz w:val="18"/>
          <w:szCs w:val="18"/>
        </w:rPr>
        <w:t>标准化债权类资产估值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1）债券类资产以公允价值计量，主要依据为第三方估值机构提供的价格数据。</w:t>
      </w:r>
      <w:r>
        <w:rPr>
          <w:rFonts w:hint="eastAsia" w:asciiTheme="majorEastAsia" w:hAnsiTheme="majorEastAsia" w:eastAsiaTheme="majorEastAsia"/>
          <w:bCs/>
          <w:color w:val="auto"/>
          <w:sz w:val="18"/>
          <w:szCs w:val="18"/>
        </w:rPr>
        <w:t>第三方估值机构包括：中央国债登记结算公司和中证指数有限公司。</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2）在证券交易所上市的债券，如第三方估值机构提供的估值价格与市场收盘价存在差异，且管理人认为收盘价更能体现其公允价值，可与托管人协商一致后采用收盘价进行估值。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对在交易所上市的资产支持证券和私募债，鉴于其不存在活跃市场，或未来现金流难以确定，导致第三方估值数据和市场收盘价均无法准确反映其公允价值的，可采用估值技术对其进行估值，管理人会对估值模型的有效性进行持续有效评估，并尽可能地予以修正。</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(4)</w:t>
      </w:r>
      <w:r>
        <w:rPr>
          <w:rFonts w:hint="eastAsia" w:asciiTheme="majorEastAsia" w:hAnsiTheme="majorEastAsia" w:eastAsiaTheme="majorEastAsia"/>
          <w:bCs/>
          <w:color w:val="auto"/>
          <w:sz w:val="18"/>
          <w:szCs w:val="18"/>
        </w:rPr>
        <w:t>对在银行间市场或交易所市场已发行未上市流通的债券，且第三方估值机构未提供估值数据，采用估值技术确定其公允价值。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5）同一债券同时在两个或两个以上市场交易的，按债券所处的市场及相应的估值标准，分别进行估值。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bCs/>
          <w:color w:val="auto"/>
          <w:sz w:val="18"/>
        </w:rPr>
        <w:t>2.</w:t>
      </w:r>
      <w:r>
        <w:rPr>
          <w:rFonts w:hint="eastAsia" w:asciiTheme="majorEastAsia" w:hAnsiTheme="majorEastAsia" w:eastAsiaTheme="majorEastAsia"/>
          <w:bCs/>
          <w:color w:val="auto"/>
          <w:sz w:val="18"/>
          <w:szCs w:val="18"/>
        </w:rPr>
        <w:t>境外债券</w:t>
      </w:r>
    </w:p>
    <w:p>
      <w:pPr>
        <w:pStyle w:val="34"/>
        <w:spacing w:line="360" w:lineRule="auto"/>
        <w:ind w:firstLine="360" w:firstLineChars="200"/>
        <w:rPr>
          <w:rFonts w:asciiTheme="majorEastAsia" w:hAnsi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3.非标准化债权类资产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非标准化债权类资产，是指不满足中国人民银行制定的标准化债权类资产认定标准的债权类资产。可选取第三方估值机构的价格数据或采用估值技术进行估值。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4.上市公司股票</w:t>
      </w:r>
      <w:r>
        <w:rPr>
          <w:rFonts w:hint="eastAsia" w:asciiTheme="majorEastAsia" w:hAnsiTheme="majorEastAsia" w:eastAsiaTheme="majorEastAsia"/>
          <w:color w:val="auto"/>
          <w:sz w:val="18"/>
          <w:szCs w:val="18"/>
        </w:rPr>
        <w:t>估值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上市公司股票包括正常流通普通股、流通受限股票、长期停牌股票和新发行未上市股票。具体估值方法如下：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2）送股、转增股、配股和公开增发新股等发行未上市的股票，按估值日在证券交易所上市的同一股票的收盘价或最近交易日的收盘价确定公允价值。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3）通过公开、非公开等方式取得且有明确限售期的股票，在限售期内，应以证券交易所上市交易的同一股票的公允价值为基础，引入流动性折扣进行估值。</w:t>
      </w:r>
      <w:r>
        <w:rPr>
          <w:rFonts w:hint="eastAsia" w:asciiTheme="minorEastAsia" w:hAnsiTheme="minorEastAsia" w:eastAsiaTheme="minorEastAsia"/>
          <w:color w:val="auto"/>
          <w:sz w:val="18"/>
          <w:szCs w:val="18"/>
        </w:rPr>
        <w:t>流动性折扣可依据第三方估值机构提供的数据，或采用看跌期权法以及其他合理的估值方法分析确定。</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4）长期停牌股票，</w:t>
      </w:r>
      <w:r>
        <w:rPr>
          <w:rFonts w:hint="eastAsia" w:asciiTheme="minorEastAsia" w:hAnsiTheme="minorEastAsia" w:eastAsiaTheme="minorEastAsia"/>
          <w:color w:val="auto"/>
          <w:sz w:val="18"/>
          <w:szCs w:val="18"/>
        </w:rPr>
        <w:t>根据停牌原因、停牌时间及停牌公司公告等信息，采用估值技术确定公允价值。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5）</w:t>
      </w:r>
      <w:r>
        <w:rPr>
          <w:rFonts w:hint="eastAsia" w:asciiTheme="minorEastAsia" w:hAnsiTheme="minorEastAsia" w:eastAsiaTheme="minorEastAsia"/>
          <w:color w:val="auto"/>
          <w:sz w:val="18"/>
          <w:szCs w:val="18"/>
        </w:rPr>
        <w:t>新发行未上市股票，如果发行日后未发生影响公允价值计量的重大事件的，应采用发行价作为公允价值的最佳估计，已发生影响公允价值计量重大事件的应采用估值技术确定公允价值。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5.未上市公司股权</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以公允价值计量，应综合考虑被评估企业实际情况、市场交易情况及其他可获得的信息，采用市场法、收益法、重置成本法等估值技术，结合流动性折扣等因素评估公允价值。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6.</w:t>
      </w:r>
      <w:r>
        <w:rPr>
          <w:rFonts w:hint="eastAsia" w:asciiTheme="minorEastAsia" w:hAnsiTheme="minorEastAsia" w:eastAsiaTheme="minorEastAsia"/>
          <w:bCs/>
          <w:color w:val="auto"/>
          <w:sz w:val="18"/>
          <w:szCs w:val="18"/>
        </w:rPr>
        <w:t>优先股</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7.</w:t>
      </w:r>
      <w:r>
        <w:rPr>
          <w:rFonts w:hint="eastAsia" w:asciiTheme="minorEastAsia" w:hAnsiTheme="minorEastAsia" w:eastAsiaTheme="minorEastAsia"/>
          <w:bCs/>
          <w:color w:val="auto"/>
          <w:sz w:val="18"/>
          <w:szCs w:val="18"/>
        </w:rPr>
        <w:t>证券投资基金估值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1）非上市基金估值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1)本产品投资的境内非货币市场基金，按所投资基金估值日的基金份额净值估值；估值日基金净值未公布的，以基金管理人公布的最近一个工作日基金份额净值计算。</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2)本产品投资的境内货币市场基金，按所投资基金前一估值日后至估值日期间（含节假日）的万份收益计提估值日基金收益。</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2）上市基金估值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1)本产品投资的ETF基金、境内上市定期开放式基金、封闭式基金，按照所投资基金估值日的收盘价估</w:t>
      </w:r>
      <w:r>
        <w:rPr>
          <w:rFonts w:hint="eastAsia" w:asciiTheme="minorEastAsia" w:hAnsiTheme="minorEastAsia" w:eastAsiaTheme="minorEastAsia"/>
          <w:color w:val="auto"/>
          <w:sz w:val="18"/>
          <w:szCs w:val="18"/>
        </w:rPr>
        <w:t>值；估值日无交易的，以最近交易日的收盘价估值。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2)本产品投资的境内上市开放式基金（LOF），按所投资基金估值日的基金份额净值估值；估值日基金净值未公布的，以基金管理人公布的最近一个工作日基金份额净值计算。</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3)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8.</w:t>
      </w:r>
      <w:r>
        <w:rPr>
          <w:rFonts w:hint="eastAsia" w:asciiTheme="minorEastAsia" w:hAnsiTheme="minorEastAsia" w:eastAsiaTheme="minorEastAsia"/>
          <w:bCs/>
          <w:color w:val="auto"/>
          <w:sz w:val="18"/>
          <w:szCs w:val="18"/>
        </w:rPr>
        <w:t>其他资产管理产品的估值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其他资产管理产品，指理财产品投资的除证券投资基金以外的其他资产管理产品，主要包括：</w:t>
      </w:r>
      <w:r>
        <w:rPr>
          <w:rFonts w:hint="eastAsia" w:asciiTheme="minorEastAsia" w:hAnsiTheme="minorEastAsia" w:eastAsiaTheme="minorEastAsia"/>
          <w:bCs/>
          <w:sz w:val="18"/>
          <w:szCs w:val="18"/>
        </w:rPr>
        <w:t>信托公司、证券公司、证券公司子公司、基金管理公司、基金管理子公司、期货公司、期货公司子公司、保险资产管理机构、金融资产投资公司发行的资产管理产品。其他资产管理产品以估值日资产管理人提供的单位净值进行估值，估值日产品单位净值未提供的，可参考最近可获取的净值确定公允价值。若无法获取净值，产品管理人可与托管人商定后，采用在当前情况下适用的估值技术确定公允价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9.衍生金融工具估值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期货、互换、期权、远期、权证等衍生金融工具场内交易的，按估值日交易所公布的当日结算价估值；如估值日无交易，且最近交易日后未发生影响公允价值计量的重大事件的，按交易所最近交易日结算价进行估值。上述衍生金融工具场外交易的，按照第三方机构提供的估值数据或采取相应的衍生金融工具估值模型进行估值。</w:t>
      </w:r>
      <w:r>
        <w:rPr>
          <w:rFonts w:asciiTheme="minorEastAsia" w:hAnsiTheme="minorEastAsia" w:eastAsiaTheme="minorEastAsia"/>
          <w:color w:val="auto"/>
          <w:sz w:val="18"/>
          <w:szCs w:val="18"/>
        </w:rPr>
        <w:t xml:space="preserve"> </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10.</w:t>
      </w:r>
      <w:r>
        <w:rPr>
          <w:rFonts w:hint="eastAsia" w:asciiTheme="minorEastAsia" w:hAnsiTheme="minorEastAsia" w:eastAsiaTheme="minorEastAsia"/>
          <w:bCs/>
          <w:color w:val="auto"/>
          <w:sz w:val="18"/>
          <w:szCs w:val="18"/>
        </w:rPr>
        <w:t>存款、拆借、回购等货币市场工具的估值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以本金列示，按商定利率在实际持有期间内逐日计提利息。如有估值技术能更准确反映其公允价值的，采用估值技术进行估值。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11.</w:t>
      </w:r>
      <w:r>
        <w:rPr>
          <w:rFonts w:hint="eastAsia" w:asciiTheme="minorEastAsia" w:hAnsiTheme="minorEastAsia" w:eastAsiaTheme="minorEastAsia"/>
          <w:color w:val="auto"/>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12.</w:t>
      </w:r>
      <w:r>
        <w:rPr>
          <w:rFonts w:hint="eastAsia"/>
        </w:rPr>
        <w:t xml:space="preserve"> </w:t>
      </w:r>
      <w:r>
        <w:rPr>
          <w:rFonts w:hint="eastAsia" w:asciiTheme="minorEastAsia" w:hAnsiTheme="minorEastAsia" w:eastAsiaTheme="minorEastAsia"/>
          <w:color w:val="auto"/>
          <w:sz w:val="18"/>
          <w:szCs w:val="18"/>
        </w:rPr>
        <w:t>当开放式公募理财产品（现金管理类理财产品除外）遭遇大额申购或赎回时，管理人可以采用摆动定价机制，以确保估值的公平性。具体操作按照相关法律法规、监管规定和自律规则执行。</w:t>
      </w:r>
    </w:p>
    <w:p>
      <w:pPr>
        <w:pStyle w:val="34"/>
        <w:spacing w:line="360" w:lineRule="auto"/>
        <w:ind w:firstLine="360" w:firstLineChars="200"/>
        <w:rPr>
          <w:rFonts w:ascii="黑体" w:hAnsi="黑体" w:eastAsia="黑体"/>
          <w:color w:val="auto"/>
          <w:sz w:val="18"/>
          <w:szCs w:val="18"/>
        </w:rPr>
      </w:pPr>
      <w:r>
        <w:rPr>
          <w:rFonts w:ascii="黑体" w:hAnsi="黑体" w:eastAsia="黑体"/>
          <w:color w:val="auto"/>
          <w:sz w:val="18"/>
          <w:szCs w:val="18"/>
        </w:rPr>
        <w:t>1</w:t>
      </w:r>
      <w:r>
        <w:rPr>
          <w:rFonts w:hint="eastAsia" w:ascii="黑体" w:hAnsi="黑体" w:eastAsia="黑体"/>
          <w:color w:val="auto"/>
          <w:sz w:val="18"/>
          <w:szCs w:val="18"/>
        </w:rPr>
        <w:t>3</w:t>
      </w:r>
      <w:r>
        <w:rPr>
          <w:rFonts w:ascii="黑体" w:hAnsi="黑体" w:eastAsia="黑体"/>
          <w:color w:val="auto"/>
          <w:sz w:val="18"/>
          <w:szCs w:val="18"/>
        </w:rPr>
        <w:t>.</w:t>
      </w:r>
      <w:r>
        <w:rPr>
          <w:rFonts w:hint="eastAsia" w:ascii="黑体" w:hAnsi="黑体" w:eastAsia="黑体"/>
          <w:color w:val="auto"/>
          <w:sz w:val="18"/>
          <w:szCs w:val="18"/>
        </w:rPr>
        <w:t>★估值方法的调整</w:t>
      </w:r>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若因相关法律法规以及监管部门有规定，需要调整估值方法的，管理人应按相关规定要求使用调整后的估值方法进行估值。</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（五）估值程序</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产品份额净值是按照估值日产品资产净值除以当日产品总份额计算，</w:t>
      </w:r>
      <w:r>
        <w:rPr>
          <w:rFonts w:asciiTheme="minorEastAsia" w:hAnsiTheme="minorEastAsia" w:eastAsiaTheme="minorEastAsia"/>
          <w:bCs/>
          <w:color w:val="auto"/>
          <w:sz w:val="18"/>
          <w:szCs w:val="18"/>
        </w:rPr>
        <w:t>四舍五入保留5位小数</w:t>
      </w:r>
      <w:r>
        <w:rPr>
          <w:rFonts w:hint="eastAsia" w:asciiTheme="minorEastAsia" w:hAnsiTheme="minorEastAsia" w:eastAsiaTheme="minorEastAsia"/>
          <w:color w:val="auto"/>
          <w:sz w:val="18"/>
          <w:szCs w:val="18"/>
        </w:rPr>
        <w:t>。国家另有规定的，从其规定。</w:t>
      </w:r>
      <w:r>
        <w:rPr>
          <w:rFonts w:hint="eastAsia" w:asciiTheme="minorEastAsia" w:hAnsiTheme="minorEastAsia" w:eastAsiaTheme="minorEastAsia"/>
          <w:bCs/>
          <w:color w:val="auto"/>
          <w:sz w:val="18"/>
          <w:szCs w:val="18"/>
        </w:rPr>
        <w:t>发生巨额赎回时，为保护投资者利益，产品管理人可提高单位产品净值的精度。</w:t>
      </w:r>
    </w:p>
    <w:p>
      <w:pPr>
        <w:pStyle w:val="34"/>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 xml:space="preserve">2.产品管理人对理财资产估值后，将产品份额净值发送产品托管人，经产品托管人复核无误后，由产品管理人按规定对外公布。 </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 xml:space="preserve">3. </w:t>
      </w:r>
      <w:r>
        <w:rPr>
          <w:rFonts w:hint="eastAsia" w:asciiTheme="minorEastAsia" w:hAnsiTheme="minorEastAsia" w:eastAsiaTheme="minorEastAsia"/>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pPr>
        <w:pStyle w:val="34"/>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widowControl/>
        <w:spacing w:line="360" w:lineRule="auto"/>
        <w:jc w:val="left"/>
        <w:rPr>
          <w:rFonts w:ascii="宋体" w:hAnsi="宋体"/>
          <w:kern w:val="0"/>
          <w:sz w:val="18"/>
          <w:szCs w:val="18"/>
        </w:rPr>
      </w:pPr>
      <w:r>
        <w:rPr>
          <w:rFonts w:hAnsi="宋体"/>
          <w:sz w:val="18"/>
          <w:szCs w:val="18"/>
        </w:rPr>
        <w:br w:type="page"/>
      </w:r>
    </w:p>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Pr>
        <w:pStyle w:val="2"/>
        <w:spacing w:before="0" w:after="0" w:line="360" w:lineRule="auto"/>
        <w:ind w:left="60" w:firstLine="10"/>
        <w:jc w:val="center"/>
        <w:rPr>
          <w:rFonts w:ascii="Times New Roman"/>
          <w:sz w:val="30"/>
        </w:rPr>
      </w:pPr>
      <w:bookmarkStart w:id="79" w:name="_Hlt70481650"/>
      <w:bookmarkEnd w:id="79"/>
      <w:bookmarkStart w:id="80" w:name="_Toc6405"/>
      <w:bookmarkStart w:id="81" w:name="_Toc29251"/>
      <w:bookmarkStart w:id="82" w:name="_Toc141703887"/>
      <w:bookmarkStart w:id="83" w:name="_Toc123102454"/>
      <w:bookmarkStart w:id="84" w:name="_Toc31235"/>
      <w:bookmarkStart w:id="85" w:name="_Toc8045"/>
      <w:bookmarkStart w:id="86" w:name="_Toc98560353"/>
      <w:bookmarkStart w:id="87" w:name="_Toc123112235"/>
      <w:bookmarkStart w:id="88" w:name="_Toc123051453"/>
      <w:bookmarkStart w:id="89" w:name="_Toc15143"/>
      <w:bookmarkStart w:id="90" w:name="_Toc4020"/>
      <w:bookmarkStart w:id="91" w:name="_Toc31644"/>
      <w:bookmarkStart w:id="92" w:name="_Toc92377137"/>
      <w:bookmarkStart w:id="93" w:name="_Toc79154671"/>
      <w:bookmarkStart w:id="94" w:name="_Toc31653"/>
      <w:bookmarkStart w:id="95" w:name="_Toc3601"/>
      <w:bookmarkStart w:id="96" w:name="_Toc74065744"/>
      <w:bookmarkStart w:id="97" w:name="_Toc139991737"/>
      <w:bookmarkStart w:id="98" w:name="_Toc14835"/>
      <w:bookmarkStart w:id="99" w:name="_Toc26207"/>
      <w:bookmarkStart w:id="100" w:name="_Toc12245"/>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Start w:id="101" w:name="_Hlt55355235"/>
      <w:bookmarkEnd w:id="101"/>
      <w:bookmarkStart w:id="102" w:name="_Toc523711668"/>
      <w:bookmarkStart w:id="103" w:name="_Toc79392580"/>
      <w:bookmarkStart w:id="104" w:name="_Toc57530239"/>
      <w:bookmarkStart w:id="105" w:name="_Toc15118234"/>
    </w:p>
    <w:p>
      <w:pPr>
        <w:pStyle w:val="3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34"/>
        <w:spacing w:line="360" w:lineRule="auto"/>
        <w:ind w:firstLine="360" w:firstLineChars="200"/>
        <w:rPr>
          <w:rFonts w:hAnsi="宋体"/>
          <w:color w:val="auto"/>
          <w:sz w:val="18"/>
          <w:szCs w:val="18"/>
        </w:rPr>
      </w:pPr>
      <w:r>
        <w:rPr>
          <w:rFonts w:hint="eastAsia" w:hAnsi="宋体"/>
          <w:color w:val="auto"/>
          <w:sz w:val="18"/>
          <w:szCs w:val="18"/>
        </w:rPr>
        <w:t>1. 依据分配时点，理财利益的分配可分为“期间分配”与“终止分配”。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 依据分配方式，理财利益的分配可分为“现金分配”与“非现金分配”。</w:t>
      </w:r>
    </w:p>
    <w:p>
      <w:pPr>
        <w:pStyle w:val="3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3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pPr>
        <w:pStyle w:val="3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pPr>
        <w:pStyle w:val="3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34"/>
        <w:spacing w:line="360" w:lineRule="auto"/>
        <w:ind w:firstLine="360" w:firstLineChars="200"/>
        <w:rPr>
          <w:rFonts w:hAnsi="宋体"/>
          <w:color w:val="auto"/>
          <w:sz w:val="18"/>
          <w:szCs w:val="18"/>
        </w:rPr>
      </w:pPr>
      <w:permStart w:id="21" w:edGrp="everyone"/>
      <w:r>
        <w:rPr>
          <w:rFonts w:hAnsi="宋体"/>
          <w:color w:val="auto"/>
          <w:sz w:val="18"/>
          <w:szCs w:val="18"/>
        </w:rPr>
        <w:t>1.分配方案要点：</w:t>
      </w:r>
    </w:p>
    <w:p>
      <w:pPr>
        <w:pStyle w:val="34"/>
        <w:spacing w:line="360" w:lineRule="auto"/>
        <w:ind w:firstLine="360" w:firstLineChars="200"/>
        <w:rPr>
          <w:rFonts w:hAnsi="宋体"/>
          <w:color w:val="auto"/>
          <w:sz w:val="18"/>
          <w:szCs w:val="18"/>
        </w:rPr>
      </w:pPr>
      <w:r>
        <w:rPr>
          <w:rFonts w:hint="eastAsia" w:hAnsi="宋体"/>
          <w:color w:val="auto"/>
          <w:sz w:val="18"/>
          <w:szCs w:val="18"/>
        </w:rPr>
        <w:t>（</w:t>
      </w:r>
      <w:r>
        <w:rPr>
          <w:rFonts w:hAnsi="宋体"/>
          <w:color w:val="auto"/>
          <w:sz w:val="18"/>
          <w:szCs w:val="18"/>
        </w:rPr>
        <w:t>1）本产品的分配时点包括“期间分配”和“终止分配”。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w:t>
      </w:r>
      <w:r>
        <w:rPr>
          <w:rFonts w:hAnsi="宋体"/>
          <w:color w:val="auto"/>
          <w:sz w:val="18"/>
          <w:szCs w:val="18"/>
        </w:rPr>
        <w:t>2）本产品的分配方式仅采取“现金分配”。</w:t>
      </w:r>
    </w:p>
    <w:p>
      <w:pPr>
        <w:pStyle w:val="3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34"/>
        <w:spacing w:line="360" w:lineRule="auto"/>
        <w:ind w:firstLine="360" w:firstLineChars="200"/>
        <w:rPr>
          <w:rFonts w:hAnsi="宋体"/>
          <w:color w:val="auto"/>
          <w:sz w:val="18"/>
          <w:szCs w:val="18"/>
        </w:rPr>
      </w:pPr>
      <w:r>
        <w:rPr>
          <w:rFonts w:hAnsi="宋体"/>
          <w:color w:val="auto"/>
          <w:sz w:val="18"/>
          <w:szCs w:val="18"/>
        </w:rPr>
        <w:t>3.理财产品存续期间，产品管理人有权视理财产品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ermEnd w:id="21"/>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34"/>
        <w:spacing w:line="360" w:lineRule="auto"/>
        <w:ind w:firstLine="360" w:firstLineChars="200"/>
        <w:rPr>
          <w:rFonts w:hAnsi="宋体"/>
          <w:color w:val="auto"/>
          <w:sz w:val="18"/>
          <w:szCs w:val="18"/>
        </w:rPr>
      </w:pPr>
      <w:permStart w:id="22" w:edGrp="everyone"/>
      <w:r>
        <w:rPr>
          <w:rFonts w:hint="eastAsia" w:hAnsi="宋体"/>
          <w:color w:val="auto"/>
          <w:sz w:val="18"/>
          <w:szCs w:val="18"/>
        </w:rPr>
        <w:t>1.理财利益的分配日</w:t>
      </w:r>
    </w:p>
    <w:p>
      <w:pPr>
        <w:pStyle w:val="3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pPr>
        <w:pStyle w:val="3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pPr>
        <w:pStyle w:val="3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ermEnd w:id="22"/>
    <w:p>
      <w:pPr>
        <w:widowControl/>
        <w:spacing w:line="360" w:lineRule="auto"/>
        <w:jc w:val="left"/>
        <w:rPr>
          <w:rFonts w:ascii="宋体" w:hAnsi="宋体"/>
          <w:kern w:val="0"/>
          <w:sz w:val="18"/>
          <w:szCs w:val="18"/>
        </w:rPr>
      </w:pPr>
      <w:r>
        <w:rPr>
          <w:rFonts w:hAnsi="宋体"/>
          <w:sz w:val="18"/>
          <w:szCs w:val="18"/>
        </w:rPr>
        <w:br w:type="page"/>
      </w:r>
    </w:p>
    <w:bookmarkEnd w:id="102"/>
    <w:bookmarkEnd w:id="103"/>
    <w:bookmarkEnd w:id="104"/>
    <w:bookmarkEnd w:id="105"/>
    <w:p>
      <w:pPr>
        <w:pStyle w:val="2"/>
        <w:spacing w:before="0" w:after="0" w:line="360" w:lineRule="auto"/>
        <w:jc w:val="center"/>
        <w:rPr>
          <w:rFonts w:ascii="Times New Roman"/>
          <w:sz w:val="30"/>
        </w:rPr>
      </w:pPr>
      <w:bookmarkStart w:id="106" w:name="_Hlt88825574"/>
      <w:bookmarkEnd w:id="106"/>
      <w:bookmarkStart w:id="107" w:name="_Hlt88897298"/>
      <w:bookmarkEnd w:id="107"/>
      <w:bookmarkStart w:id="108" w:name="_Toc22998"/>
      <w:bookmarkStart w:id="109" w:name="_Toc9706"/>
      <w:bookmarkStart w:id="110" w:name="_Toc79392583"/>
      <w:bookmarkStart w:id="111" w:name="_Toc6394"/>
      <w:bookmarkStart w:id="112" w:name="_Toc3771"/>
      <w:bookmarkStart w:id="113" w:name="_Toc98560354"/>
      <w:bookmarkStart w:id="114" w:name="_Toc7058"/>
      <w:bookmarkStart w:id="115" w:name="_Toc92377138"/>
      <w:bookmarkStart w:id="116" w:name="_Toc4559"/>
      <w:bookmarkStart w:id="117" w:name="_Toc11030"/>
      <w:bookmarkStart w:id="118" w:name="_Toc123051454"/>
      <w:bookmarkStart w:id="119" w:name="_Toc6447"/>
      <w:bookmarkStart w:id="120" w:name="_Toc10650"/>
      <w:bookmarkStart w:id="121" w:name="_Toc123112236"/>
      <w:bookmarkStart w:id="122" w:name="_Toc3321"/>
      <w:bookmarkStart w:id="123" w:name="_Toc123102455"/>
      <w:bookmarkStart w:id="124" w:name="_Toc18567"/>
      <w:bookmarkStart w:id="125" w:name="_Toc141703888"/>
      <w:bookmarkStart w:id="126" w:name="_Toc79154672"/>
      <w:bookmarkStart w:id="127" w:name="_Toc25783"/>
      <w:bookmarkStart w:id="128" w:name="_Toc74065745"/>
      <w:bookmarkStart w:id="129" w:name="_Toc139991738"/>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rStyle w:val="30"/>
          <w:rFonts w:ascii="宋体" w:hAnsi="宋体"/>
          <w:kern w:val="0"/>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本产品的销售服务费按前一日理财资产净值与销售服务费每日费率每日计提。销售服务费的计算方法如下：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H＝E×销售服务费年费率÷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H为每日应计提的销售服务费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pStyle w:val="34"/>
        <w:spacing w:line="360" w:lineRule="auto"/>
        <w:ind w:firstLine="360" w:firstLineChars="200"/>
        <w:rPr>
          <w:rFonts w:asciiTheme="majorEastAsia" w:hAnsiTheme="majorEastAsia" w:eastAsiaTheme="majorEastAsia"/>
          <w:color w:val="auto"/>
          <w:kern w:val="2"/>
          <w:sz w:val="18"/>
          <w:szCs w:val="18"/>
        </w:rPr>
      </w:pPr>
      <w:r>
        <w:rPr>
          <w:rFonts w:hint="eastAsia" w:hAnsi="宋体"/>
          <w:color w:val="auto"/>
          <w:sz w:val="18"/>
          <w:szCs w:val="18"/>
        </w:rPr>
        <w:t>销售服务费依照上述约定，从理财财产中支付。</w:t>
      </w:r>
      <w:r>
        <w:rPr>
          <w:rFonts w:hint="eastAsia" w:asciiTheme="majorEastAsia" w:hAnsiTheme="majorEastAsia" w:eastAsiaTheme="majorEastAsia"/>
          <w:color w:val="auto"/>
          <w:kern w:val="2"/>
          <w:sz w:val="18"/>
          <w:szCs w:val="18"/>
        </w:rPr>
        <w:t>费率具体数值以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color w:val="auto"/>
          <w:kern w:val="2"/>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pPr>
        <w:widowControl/>
        <w:spacing w:line="360" w:lineRule="auto"/>
        <w:ind w:firstLine="360" w:firstLineChars="200"/>
        <w:jc w:val="left"/>
        <w:rPr>
          <w:rFonts w:asciiTheme="majorEastAsia" w:hAnsiTheme="majorEastAsia" w:eastAsiaTheme="majorEastAsia"/>
          <w:sz w:val="18"/>
          <w:szCs w:val="18"/>
        </w:rPr>
      </w:pPr>
      <w:permStart w:id="23" w:edGrp="everyone"/>
      <w:r>
        <w:rPr>
          <w:rFonts w:hint="eastAsia" w:asciiTheme="majorEastAsia" w:hAnsiTheme="majorEastAsia" w:eastAsiaTheme="majorEastAsia"/>
          <w:sz w:val="18"/>
          <w:szCs w:val="18"/>
        </w:rPr>
        <w:t>在超额业绩报酬计提日时，若理财资产扣除销售服务费、产品托管费和投资管理费等相关费用和税收后，超额业绩报酬计提日产品份额净值折算的当前年化收益率超过当前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，则产品管理人收取超出部分的一定比例作为超额业绩报酬。</w:t>
      </w:r>
      <w:r>
        <w:rPr>
          <w:rFonts w:hint="eastAsia" w:ascii="黑体" w:hAnsi="黑体" w:eastAsia="黑体"/>
          <w:sz w:val="18"/>
          <w:szCs w:val="18"/>
        </w:rPr>
        <w:t>★</w:t>
      </w:r>
      <w:r>
        <w:rPr>
          <w:rFonts w:hint="eastAsia" w:asciiTheme="majorEastAsia" w:hAnsiTheme="majorEastAsia" w:eastAsiaTheme="majorEastAsia"/>
          <w:sz w:val="18"/>
          <w:szCs w:val="18"/>
        </w:rPr>
        <w:t>由此造成超额业绩报酬计提日产品份额净值调整的，以调整后的数值为准进行利益分配。</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业绩报酬计提基准的设置、超额业绩报酬的具体比例数值以《</w:t>
      </w:r>
      <w:r>
        <w:rPr>
          <w:rFonts w:hint="eastAsia" w:asciiTheme="majorEastAsia" w:hAnsiTheme="majorEastAsia" w:eastAsiaTheme="majorEastAsia"/>
          <w:bCs/>
          <w:sz w:val="18"/>
          <w:szCs w:val="18"/>
        </w:rPr>
        <w:t>产品说明</w:t>
      </w:r>
      <w:r>
        <w:rPr>
          <w:rFonts w:hint="eastAsia" w:asciiTheme="majorEastAsia" w:hAnsiTheme="majorEastAsia" w:eastAsiaTheme="majorEastAsia"/>
          <w:sz w:val="18"/>
          <w:szCs w:val="18"/>
        </w:rPr>
        <w:t>书》</w:t>
      </w:r>
      <w:r>
        <w:rPr>
          <w:rFonts w:hint="eastAsia" w:asciiTheme="minorEastAsia" w:hAnsiTheme="minorEastAsia" w:eastAsiaTheme="minorEastAsia"/>
          <w:sz w:val="18"/>
          <w:szCs w:val="18"/>
        </w:rPr>
        <w:t>“第二条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1）收取超额业绩报酬的原则：</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①按投资者每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产品份额分别计算年化收益率并计提超额业绩报酬；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③在投资者提出赎回申请的产品份额所对应的赎回日提取超额业绩报酬的，超额业绩报酬从赎回资金中扣除；在产品终止日提取超额业绩报酬的，超额业绩报酬从清算资金中扣除；</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2）超额业绩报酬计提方法</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产品份额超额业绩报酬计提起始日为：a.募集期内认购的产品份额，以产品成立日为该笔产品份额超额业绩报酬计提起始日；b.存续期内申购的产品份额，以申购日为该笔产品份额超额业绩报酬计提起始日。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②超额业绩报酬计提日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产品份额超额业绩报酬计提日为投资者提出赎回申请的产品份额所对应的赎回日或产品终止日。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③超额业绩报酬的计算</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产品管理人对每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份额当前年化收益率（R）超过当前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的部分，按比例（N）以及产品份额持有天数（D）提取超额业绩报酬，计算方法如下：</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，超额业绩报酬=0；</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，超额业绩报酬=赎回的产品份额或产品终止时投资者持有的产品份额×产品成立日或产品份额申购日的产品份额净值×（R-当前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）×N×D/365。</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若该产品份额持有期间，业绩报酬计提基准和比例有所调整，以该产品份额持有期间调整前后的业绩报酬计提基准和比例分别测算整个份额持有期间应收取的超额业绩报酬数值，并以较小的数值来收取超额业绩报酬。</w:t>
      </w:r>
    </w:p>
    <w:permEnd w:id="23"/>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34"/>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34"/>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pPr>
        <w:pStyle w:val="34"/>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30" w:name="_Toc3963"/>
      <w:bookmarkStart w:id="131" w:name="_Toc1745"/>
      <w:r>
        <w:br w:type="page"/>
      </w:r>
      <w:bookmarkStart w:id="132" w:name="_Toc98560355"/>
      <w:bookmarkStart w:id="133" w:name="_Toc21735"/>
      <w:bookmarkStart w:id="134" w:name="_Toc139991739"/>
      <w:bookmarkStart w:id="135" w:name="_Toc79154673"/>
      <w:bookmarkStart w:id="136" w:name="_Toc18206"/>
      <w:bookmarkStart w:id="137" w:name="_Toc123112237"/>
      <w:bookmarkStart w:id="138" w:name="_Toc123102456"/>
      <w:bookmarkStart w:id="139" w:name="_Toc25397"/>
      <w:bookmarkStart w:id="140" w:name="_Toc92377139"/>
      <w:bookmarkStart w:id="141" w:name="_Toc3080"/>
      <w:bookmarkStart w:id="142" w:name="_Toc16164"/>
      <w:bookmarkStart w:id="143" w:name="_Toc141703889"/>
      <w:bookmarkStart w:id="144" w:name="_Toc31821"/>
      <w:bookmarkStart w:id="145" w:name="_Toc74065746"/>
      <w:bookmarkStart w:id="146" w:name="_Toc725"/>
      <w:bookmarkStart w:id="147" w:name="_Toc123051455"/>
      <w:bookmarkStart w:id="148" w:name="_Toc3572"/>
      <w:bookmarkStart w:id="149" w:name="_Toc10398"/>
      <w:bookmarkStart w:id="150" w:name="_Toc5388"/>
      <w:r>
        <w:rPr>
          <w:rFonts w:hint="eastAsia"/>
          <w:sz w:val="30"/>
        </w:rPr>
        <w:t>第十条</w:t>
      </w:r>
      <w:r>
        <w:rPr>
          <w:sz w:val="30"/>
        </w:rPr>
        <w:t xml:space="preserve">  </w:t>
      </w:r>
      <w:r>
        <w:rPr>
          <w:rFonts w:hint="eastAsia"/>
          <w:sz w:val="30"/>
        </w:rPr>
        <w:t>理财产品的终止与清算</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pPr>
        <w:spacing w:line="360" w:lineRule="auto"/>
        <w:ind w:firstLine="361" w:firstLineChars="200"/>
        <w:rPr>
          <w:rFonts w:asciiTheme="majorEastAsia" w:hAnsiTheme="majorEastAsia" w:eastAsiaTheme="majorEastAsia"/>
          <w:b/>
          <w:bCs/>
          <w:sz w:val="18"/>
          <w:szCs w:val="18"/>
        </w:rPr>
      </w:pPr>
      <w:bookmarkStart w:id="151" w:name="_Toc57530252"/>
      <w:bookmarkStart w:id="152" w:name="_Toc15118245"/>
      <w:bookmarkStart w:id="153" w:name="_Toc79392593"/>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bookmarkEnd w:id="151"/>
    <w:bookmarkEnd w:id="152"/>
    <w:bookmarkEnd w:id="153"/>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5】个工作日，清算期超过【5】个工作日的，将依约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部分终止的比例：理财产品将按比例（已变现资产/理财产品净资产）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部分终止的利益分配：产品管理人将依照销售文件公布部分终止日并指定利益分配日（一般为部分终止日之后的【5】个工作日以内）。产品管理人应将理财利益于指定的利益分配日（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理财产品部分终止日（含当日）至理财利益实际到账日之间，理财资金不计算收益。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3.理财产品到期日产品管理人按照《产品说明书》“第十条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pStyle w:val="2"/>
        <w:spacing w:before="0" w:after="0" w:line="360" w:lineRule="auto"/>
        <w:jc w:val="center"/>
        <w:rPr>
          <w:rFonts w:ascii="Times New Roman"/>
          <w:sz w:val="18"/>
          <w:szCs w:val="18"/>
        </w:rPr>
      </w:pPr>
      <w:r>
        <w:rPr>
          <w:rFonts w:ascii="Times New Roman"/>
          <w:b w:val="0"/>
          <w:bCs w:val="0"/>
          <w:kern w:val="2"/>
        </w:rPr>
        <w:br w:type="page"/>
      </w:r>
      <w:bookmarkStart w:id="154" w:name="_Toc24268"/>
      <w:bookmarkStart w:id="155" w:name="_Toc92377140"/>
      <w:bookmarkStart w:id="156" w:name="_Toc7953"/>
      <w:bookmarkStart w:id="157" w:name="_Toc123102457"/>
      <w:bookmarkStart w:id="158" w:name="_Toc139991740"/>
      <w:bookmarkStart w:id="159" w:name="_Toc32092"/>
      <w:bookmarkStart w:id="160" w:name="_Toc739"/>
      <w:bookmarkStart w:id="161" w:name="_Toc98560356"/>
      <w:bookmarkStart w:id="162" w:name="_Toc17198"/>
      <w:bookmarkStart w:id="163" w:name="_Toc17920"/>
      <w:bookmarkStart w:id="164" w:name="_Toc79154674"/>
      <w:bookmarkStart w:id="165" w:name="_Toc5170"/>
      <w:bookmarkStart w:id="166" w:name="_Toc48649708"/>
      <w:bookmarkStart w:id="167" w:name="_Toc141703890"/>
      <w:bookmarkStart w:id="168" w:name="_Toc8791"/>
      <w:bookmarkStart w:id="169" w:name="_Toc3329"/>
      <w:bookmarkStart w:id="170" w:name="_Toc29408"/>
      <w:bookmarkStart w:id="171" w:name="_Toc123051456"/>
      <w:bookmarkStart w:id="172" w:name="_Toc83391975"/>
      <w:bookmarkStart w:id="173" w:name="_Toc74065747"/>
      <w:bookmarkStart w:id="174" w:name="_Toc123112238"/>
      <w:bookmarkStart w:id="175" w:name="_Toc32584"/>
      <w:bookmarkStart w:id="176" w:name="_Toc21237"/>
      <w:bookmarkStart w:id="177" w:name="_Toc79392622"/>
      <w:r>
        <w:rPr>
          <w:rFonts w:hint="eastAsia" w:ascii="Times New Roman"/>
          <w:sz w:val="28"/>
          <w:szCs w:val="28"/>
        </w:rPr>
        <w:t>第十一条</w:t>
      </w:r>
      <w:r>
        <w:rPr>
          <w:rFonts w:ascii="Times New Roman"/>
          <w:sz w:val="28"/>
          <w:szCs w:val="28"/>
        </w:rPr>
        <w:t xml:space="preserve">  </w:t>
      </w:r>
      <w:r>
        <w:rPr>
          <w:rFonts w:hint="eastAsia" w:ascii="Times New Roman"/>
          <w:sz w:val="28"/>
          <w:szCs w:val="28"/>
        </w:rPr>
        <w:t>理财产品的信息披露</w:t>
      </w:r>
      <w:bookmarkEnd w:id="154"/>
      <w:bookmarkEnd w:id="155"/>
      <w:bookmarkEnd w:id="156"/>
    </w:p>
    <w:p>
      <w:pPr>
        <w:spacing w:line="360" w:lineRule="auto"/>
        <w:ind w:firstLine="361" w:firstLineChars="200"/>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w:t>
      </w:r>
      <w:r>
        <w:rPr>
          <w:rFonts w:hint="eastAsia" w:ascii="宋体" w:hAnsi="宋体"/>
          <w:bCs/>
          <w:sz w:val="18"/>
          <w:szCs w:val="18"/>
        </w:rPr>
        <w:t>产品管理人</w:t>
      </w:r>
      <w:r>
        <w:rPr>
          <w:rFonts w:ascii="宋体" w:hAnsi="宋体"/>
          <w:bCs/>
          <w:sz w:val="18"/>
          <w:szCs w:val="18"/>
        </w:rPr>
        <w:t>或销售机构的信息披露渠道开展理财产品的信息披露工作。请投资者及时关注。</w:t>
      </w:r>
    </w:p>
    <w:p>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firstLineChars="20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firstLineChars="20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pPr>
        <w:spacing w:line="360" w:lineRule="auto"/>
        <w:ind w:firstLine="360" w:firstLineChars="200"/>
        <w:rPr>
          <w:rFonts w:ascii="宋体" w:hAnsi="宋体"/>
          <w:bCs/>
          <w:sz w:val="18"/>
          <w:szCs w:val="18"/>
        </w:rPr>
      </w:pPr>
      <w:r>
        <w:rPr>
          <w:rFonts w:ascii="宋体" w:hAnsi="宋体"/>
          <w:bCs/>
          <w:sz w:val="18"/>
          <w:szCs w:val="18"/>
        </w:rPr>
        <w:t>1.产品成立公告</w:t>
      </w:r>
    </w:p>
    <w:p>
      <w:pPr>
        <w:spacing w:line="360" w:lineRule="auto"/>
        <w:ind w:firstLine="360" w:firstLineChars="20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pPr>
        <w:spacing w:line="360" w:lineRule="auto"/>
        <w:ind w:firstLine="360" w:firstLineChars="20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firstLineChars="200"/>
        <w:rPr>
          <w:rFonts w:ascii="宋体" w:hAnsi="宋体"/>
          <w:bCs/>
          <w:sz w:val="18"/>
          <w:szCs w:val="18"/>
        </w:rPr>
      </w:pPr>
      <w:r>
        <w:rPr>
          <w:rFonts w:ascii="宋体" w:hAnsi="宋体"/>
          <w:bCs/>
          <w:sz w:val="18"/>
          <w:szCs w:val="18"/>
        </w:rPr>
        <w:t>3.定期报告</w:t>
      </w:r>
    </w:p>
    <w:p>
      <w:pPr>
        <w:spacing w:line="360" w:lineRule="auto"/>
        <w:ind w:firstLine="360" w:firstLineChars="20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firstLineChars="200"/>
        <w:rPr>
          <w:rFonts w:ascii="宋体" w:hAnsi="宋体"/>
          <w:bCs/>
          <w:sz w:val="18"/>
          <w:szCs w:val="18"/>
        </w:rPr>
      </w:pPr>
      <w:r>
        <w:rPr>
          <w:rFonts w:ascii="宋体" w:hAnsi="宋体"/>
          <w:bCs/>
          <w:sz w:val="18"/>
          <w:szCs w:val="18"/>
        </w:rPr>
        <w:t>4.到期公告</w:t>
      </w:r>
    </w:p>
    <w:p>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pPr>
        <w:spacing w:line="360" w:lineRule="auto"/>
        <w:ind w:firstLine="360" w:firstLineChars="200"/>
        <w:rPr>
          <w:rFonts w:ascii="宋体" w:hAnsi="宋体"/>
          <w:bCs/>
          <w:sz w:val="18"/>
          <w:szCs w:val="18"/>
        </w:rPr>
      </w:pPr>
      <w:r>
        <w:rPr>
          <w:rFonts w:ascii="宋体" w:hAnsi="宋体"/>
          <w:bCs/>
          <w:sz w:val="18"/>
          <w:szCs w:val="18"/>
        </w:rPr>
        <w:t>5.开放日公告</w:t>
      </w:r>
    </w:p>
    <w:p>
      <w:pPr>
        <w:spacing w:line="360" w:lineRule="auto"/>
        <w:ind w:firstLine="360" w:firstLineChars="200"/>
        <w:rPr>
          <w:rFonts w:ascii="宋体" w:hAnsi="宋体"/>
          <w:bCs/>
          <w:sz w:val="18"/>
          <w:szCs w:val="18"/>
        </w:rPr>
      </w:pPr>
      <w:r>
        <w:rPr>
          <w:rFonts w:hint="eastAsia" w:ascii="宋体" w:hAnsi="宋体"/>
          <w:sz w:val="18"/>
          <w:szCs w:val="18"/>
        </w:rPr>
        <w:t>产品管理人</w:t>
      </w:r>
      <w:r>
        <w:rPr>
          <w:rFonts w:hint="eastAsia" w:ascii="宋体" w:hAnsi="宋体"/>
          <w:bCs/>
          <w:sz w:val="18"/>
          <w:szCs w:val="18"/>
        </w:rPr>
        <w:t>在申购日</w:t>
      </w:r>
      <w:r>
        <w:rPr>
          <w:rFonts w:ascii="宋体" w:hAnsi="宋体"/>
          <w:bCs/>
          <w:sz w:val="18"/>
          <w:szCs w:val="18"/>
        </w:rPr>
        <w:t>/赎回日结束后2个工作日内披露开放日公告，公告内容包括申购日/赎回日</w:t>
      </w:r>
      <w:r>
        <w:rPr>
          <w:rFonts w:hint="eastAsia" w:ascii="宋体" w:hAnsi="宋体"/>
          <w:bCs/>
          <w:sz w:val="18"/>
          <w:szCs w:val="18"/>
        </w:rPr>
        <w:t>的产品份额净值、产品份额累计净值等。</w:t>
      </w:r>
    </w:p>
    <w:p>
      <w:pPr>
        <w:spacing w:line="360" w:lineRule="auto"/>
        <w:ind w:firstLine="360" w:firstLineChars="200"/>
        <w:rPr>
          <w:rFonts w:ascii="宋体" w:hAnsi="宋体"/>
          <w:bCs/>
          <w:sz w:val="18"/>
          <w:szCs w:val="18"/>
        </w:rPr>
      </w:pPr>
      <w:r>
        <w:rPr>
          <w:rFonts w:hint="eastAsia" w:ascii="宋体" w:hAnsi="宋体"/>
          <w:bCs/>
          <w:sz w:val="18"/>
          <w:szCs w:val="18"/>
        </w:rPr>
        <w:t>6</w:t>
      </w:r>
      <w:r>
        <w:rPr>
          <w:rFonts w:ascii="宋体" w:hAnsi="宋体"/>
          <w:bCs/>
          <w:sz w:val="18"/>
          <w:szCs w:val="18"/>
        </w:rPr>
        <w:t>.估值日公告</w:t>
      </w:r>
    </w:p>
    <w:p>
      <w:pPr>
        <w:spacing w:line="360" w:lineRule="auto"/>
        <w:ind w:firstLine="360" w:firstLineChars="200"/>
        <w:rPr>
          <w:rFonts w:ascii="宋体" w:hAnsi="宋体"/>
          <w:bCs/>
          <w:sz w:val="18"/>
          <w:szCs w:val="18"/>
        </w:rPr>
      </w:pPr>
      <w:permStart w:id="24" w:edGrp="everyone"/>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期间，每【工作日】向投资者披露一次估值日公告，估值日公告披露的内容包括估值日的产品份额净值、产品份额累计净值等。如遇法定节假日顺延。此外，如遇其他特殊情况，以产品管理人信息披露为准。</w:t>
      </w:r>
      <w:r>
        <w:rPr>
          <w:rFonts w:ascii="宋体" w:hAnsi="宋体"/>
          <w:bCs/>
          <w:sz w:val="18"/>
          <w:szCs w:val="18"/>
        </w:rPr>
        <w:t xml:space="preserve"> </w:t>
      </w:r>
    </w:p>
    <w:permEnd w:id="24"/>
    <w:p>
      <w:pPr>
        <w:spacing w:line="360" w:lineRule="auto"/>
        <w:ind w:firstLine="360" w:firstLineChars="200"/>
        <w:rPr>
          <w:rFonts w:ascii="宋体" w:hAnsi="宋体"/>
          <w:bCs/>
          <w:sz w:val="18"/>
          <w:szCs w:val="18"/>
        </w:rPr>
      </w:pPr>
      <w:r>
        <w:rPr>
          <w:rFonts w:ascii="宋体" w:hAnsi="宋体"/>
          <w:bCs/>
          <w:sz w:val="18"/>
          <w:szCs w:val="18"/>
        </w:rPr>
        <w:t>7.临时公告</w:t>
      </w:r>
    </w:p>
    <w:p>
      <w:pPr>
        <w:spacing w:line="360" w:lineRule="auto"/>
        <w:ind w:firstLine="360" w:firstLineChars="200"/>
        <w:rPr>
          <w:rFonts w:ascii="黑体" w:hAnsi="黑体" w:eastAsia="黑体"/>
          <w:sz w:val="18"/>
          <w:szCs w:val="18"/>
        </w:rPr>
      </w:pPr>
      <w:r>
        <w:rPr>
          <w:rFonts w:hint="eastAsia" w:ascii="黑体" w:hAnsi="黑体" w:eastAsia="黑体"/>
          <w:sz w:val="18"/>
          <w:szCs w:val="18"/>
        </w:rPr>
        <w:t>（</w:t>
      </w:r>
      <w:r>
        <w:rPr>
          <w:rFonts w:ascii="黑体" w:hAnsi="黑体" w:eastAsia="黑体"/>
          <w:sz w:val="18"/>
          <w:szCs w:val="18"/>
        </w:rPr>
        <w:t>1）</w:t>
      </w:r>
      <w:r>
        <w:rPr>
          <w:rFonts w:hint="eastAsia" w:ascii="黑体" w:hAnsi="黑体" w:eastAsia="黑体"/>
          <w:sz w:val="18"/>
          <w:szCs w:val="18"/>
        </w:rPr>
        <w:t>★产品管理人</w:t>
      </w:r>
      <w:r>
        <w:rPr>
          <w:rFonts w:ascii="黑体" w:hAnsi="黑体" w:eastAsia="黑体"/>
          <w:sz w:val="18"/>
          <w:szCs w:val="18"/>
        </w:rPr>
        <w:t>对</w:t>
      </w:r>
      <w:r>
        <w:rPr>
          <w:rFonts w:hint="eastAsia" w:ascii="黑体" w:hAnsi="黑体" w:eastAsia="黑体"/>
          <w:sz w:val="18"/>
          <w:szCs w:val="18"/>
        </w:rPr>
        <w:t>投资范围、投资资产种类、</w:t>
      </w:r>
      <w:r>
        <w:rPr>
          <w:rFonts w:ascii="黑体" w:hAnsi="黑体" w:eastAsia="黑体"/>
          <w:sz w:val="18"/>
          <w:szCs w:val="18"/>
        </w:rPr>
        <w:t>投资</w:t>
      </w:r>
      <w:r>
        <w:rPr>
          <w:rFonts w:hint="eastAsia" w:ascii="黑体" w:hAnsi="黑体" w:eastAsia="黑体"/>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sz w:val="18"/>
          <w:szCs w:val="18"/>
        </w:rPr>
        <w:t>2个工作日发布变更公告</w:t>
      </w:r>
      <w:r>
        <w:rPr>
          <w:rFonts w:hint="eastAsia" w:ascii="黑体" w:hAnsi="黑体" w:eastAsia="黑体"/>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、暂停理财产品估值、采用摆动定价</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0" w:firstLineChars="200"/>
        <w:rPr>
          <w:rFonts w:ascii="黑体" w:hAnsi="黑体" w:eastAsia="黑体"/>
          <w:sz w:val="18"/>
          <w:szCs w:val="18"/>
        </w:rPr>
      </w:pPr>
      <w:r>
        <w:rPr>
          <w:rFonts w:hint="eastAsia" w:ascii="黑体" w:hAnsi="黑体" w:eastAsia="黑体"/>
          <w:sz w:val="18"/>
          <w:szCs w:val="18"/>
        </w:rPr>
        <w:t>（</w:t>
      </w:r>
      <w:r>
        <w:rPr>
          <w:rFonts w:ascii="黑体" w:hAnsi="黑体" w:eastAsia="黑体"/>
          <w:sz w:val="18"/>
          <w:szCs w:val="18"/>
        </w:rPr>
        <w:t>4）★在本产品存续期内，如因国家法律法规、监管规定发生变化，或是出于维护本产品正常运营的需要，在不损害投资者</w:t>
      </w:r>
      <w:r>
        <w:rPr>
          <w:rFonts w:hint="eastAsia" w:ascii="黑体" w:hAnsi="黑体" w:eastAsia="黑体"/>
          <w:sz w:val="18"/>
          <w:szCs w:val="18"/>
        </w:rPr>
        <w:t>权益</w:t>
      </w:r>
      <w:r>
        <w:rPr>
          <w:rFonts w:ascii="黑体" w:hAnsi="黑体" w:eastAsia="黑体"/>
          <w:sz w:val="18"/>
          <w:szCs w:val="18"/>
        </w:rPr>
        <w:t>的前提下，</w:t>
      </w:r>
      <w:r>
        <w:rPr>
          <w:rFonts w:hint="eastAsia" w:ascii="黑体" w:hAnsi="黑体" w:eastAsia="黑体"/>
          <w:sz w:val="18"/>
          <w:szCs w:val="18"/>
        </w:rPr>
        <w:t>产品管理人</w:t>
      </w:r>
      <w:r>
        <w:rPr>
          <w:rFonts w:ascii="黑体" w:hAnsi="黑体" w:eastAsia="黑体"/>
          <w:sz w:val="18"/>
          <w:szCs w:val="18"/>
        </w:rPr>
        <w:t>有权对</w:t>
      </w:r>
      <w:r>
        <w:rPr>
          <w:rFonts w:hint="eastAsia" w:ascii="黑体" w:hAnsi="黑体" w:eastAsia="黑体"/>
          <w:sz w:val="18"/>
          <w:szCs w:val="18"/>
        </w:rPr>
        <w:t>理财产品销售文件</w:t>
      </w:r>
      <w:r>
        <w:rPr>
          <w:rFonts w:ascii="黑体" w:hAnsi="黑体" w:eastAsia="黑体"/>
          <w:sz w:val="18"/>
          <w:szCs w:val="18"/>
        </w:rPr>
        <w:t>进行修订，并提前2个工作日进行</w:t>
      </w:r>
      <w:r>
        <w:rPr>
          <w:rFonts w:hint="eastAsia" w:ascii="黑体" w:hAnsi="黑体" w:eastAsia="黑体"/>
          <w:sz w:val="18"/>
          <w:szCs w:val="18"/>
        </w:rPr>
        <w:t>公告</w:t>
      </w:r>
      <w:r>
        <w:rPr>
          <w:rFonts w:ascii="黑体" w:hAnsi="黑体" w:eastAsia="黑体"/>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Pr>
        <w:spacing w:line="360" w:lineRule="auto"/>
        <w:ind w:firstLine="360" w:firstLineChars="200"/>
        <w:rPr>
          <w:rFonts w:ascii="黑体" w:hAnsi="黑体" w:eastAsia="黑体"/>
          <w:sz w:val="18"/>
          <w:szCs w:val="18"/>
        </w:rPr>
      </w:pPr>
      <w:r>
        <w:rPr>
          <w:rFonts w:hint="eastAsia" w:ascii="黑体" w:hAnsi="黑体" w:eastAsia="黑体"/>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sz w:val="18"/>
          <w:szCs w:val="18"/>
        </w:rPr>
        <w:t>并提前2个工作日进行</w:t>
      </w:r>
      <w:r>
        <w:rPr>
          <w:rFonts w:hint="eastAsia" w:ascii="黑体" w:hAnsi="黑体" w:eastAsia="黑体"/>
          <w:sz w:val="18"/>
          <w:szCs w:val="18"/>
        </w:rPr>
        <w:t>公告。若投资者未选择退出本产品的，则视为已理解并接受管理人的相应变更。</w:t>
      </w:r>
    </w:p>
    <w:p>
      <w:pPr>
        <w:spacing w:line="360" w:lineRule="auto"/>
        <w:rPr>
          <w:bCs/>
          <w:sz w:val="24"/>
        </w:rPr>
      </w:pPr>
    </w:p>
    <w:p>
      <w:pPr>
        <w:pStyle w:val="2"/>
        <w:spacing w:before="0" w:after="0" w:line="360" w:lineRule="auto"/>
        <w:jc w:val="center"/>
        <w:rPr>
          <w:rFonts w:ascii="Times New Roman"/>
          <w:b w:val="0"/>
          <w:sz w:val="30"/>
        </w:rPr>
      </w:pPr>
      <w:bookmarkStart w:id="178" w:name="_Toc30149"/>
      <w:bookmarkStart w:id="179" w:name="_Toc79154675"/>
      <w:bookmarkStart w:id="180" w:name="_Toc8020"/>
      <w:bookmarkStart w:id="181" w:name="_Toc92377141"/>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bookmarkEnd w:id="178"/>
      <w:bookmarkEnd w:id="179"/>
      <w:bookmarkEnd w:id="180"/>
      <w:bookmarkEnd w:id="181"/>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sz w:val="18"/>
          <w:szCs w:val="18"/>
        </w:rPr>
      </w:pPr>
      <w:permStart w:id="25" w:edGrp="everyone"/>
      <w:r>
        <w:rPr>
          <w:rFonts w:hint="eastAsia" w:ascii="宋体" w:hAnsi="宋体"/>
          <w:sz w:val="18"/>
          <w:szCs w:val="18"/>
        </w:rPr>
        <w:t>【1.拟投资市场和资产的风险：</w:t>
      </w:r>
    </w:p>
    <w:p>
      <w:pPr>
        <w:spacing w:line="360" w:lineRule="auto"/>
        <w:ind w:firstLine="360" w:firstLineChars="200"/>
        <w:rPr>
          <w:rFonts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ascii="宋体" w:hAnsi="宋体"/>
          <w:sz w:val="18"/>
          <w:szCs w:val="18"/>
        </w:rPr>
      </w:pPr>
      <w:r>
        <w:rPr>
          <w:rFonts w:hint="eastAsia" w:ascii="宋体" w:hAnsi="宋体"/>
          <w:sz w:val="18"/>
          <w:szCs w:val="18"/>
        </w:rPr>
        <w:t>投资标准化债权类资产的风险</w:t>
      </w:r>
    </w:p>
    <w:p>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sz w:val="18"/>
          <w:szCs w:val="18"/>
        </w:rPr>
      </w:pPr>
      <w:r>
        <w:rPr>
          <w:rFonts w:hint="eastAsia" w:ascii="宋体" w:hAnsi="宋体"/>
          <w:sz w:val="18"/>
          <w:szCs w:val="18"/>
        </w:rPr>
        <w:t xml:space="preserve">（2）投资商品和金融衍生品类资产的风险 </w:t>
      </w:r>
    </w:p>
    <w:p>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ermEnd w:id="25"/>
    <w:p>
      <w:pPr>
        <w:pStyle w:val="38"/>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延期终止风险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rPr>
          <w:rFonts w:ascii="宋体" w:hAnsi="宋体"/>
          <w:sz w:val="18"/>
          <w:szCs w:val="18"/>
        </w:rPr>
      </w:pPr>
      <w:r>
        <w:rPr>
          <w:rFonts w:ascii="宋体" w:hAnsi="宋体"/>
          <w:sz w:val="18"/>
          <w:szCs w:val="18"/>
        </w:rPr>
        <w:br w:type="page"/>
      </w:r>
    </w:p>
    <w:tbl>
      <w:tblPr>
        <w:tblStyle w:val="25"/>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（盖章/线上确认）：</w:t>
            </w:r>
          </w:p>
          <w:p>
            <w:pPr>
              <w:spacing w:line="360" w:lineRule="auto"/>
              <w:ind w:firstLine="360"/>
              <w:jc w:val="left"/>
              <w:rPr>
                <w:rFonts w:cs="Arial"/>
                <w:sz w:val="18"/>
                <w:szCs w:val="18"/>
              </w:rPr>
            </w:pPr>
          </w:p>
          <w:p>
            <w:pPr>
              <w:spacing w:line="360" w:lineRule="auto"/>
              <w:ind w:firstLine="360"/>
              <w:jc w:val="left"/>
              <w:rPr>
                <w:rFonts w:cs="Arial"/>
                <w:sz w:val="18"/>
                <w:szCs w:val="18"/>
              </w:rPr>
            </w:pPr>
            <w:r>
              <w:rPr>
                <w:rFonts w:hint="eastAsia" w:cs="Arial"/>
                <w:sz w:val="18"/>
                <w:szCs w:val="18"/>
              </w:rPr>
              <w:t>投资者法定代表人或授权代理人（签名/盖章/线上确认）：</w:t>
            </w:r>
          </w:p>
          <w:p>
            <w:pPr>
              <w:spacing w:line="360" w:lineRule="auto"/>
              <w:ind w:firstLine="360"/>
              <w:jc w:val="left"/>
              <w:rPr>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pPr>
        <w:pStyle w:val="34"/>
        <w:spacing w:line="360" w:lineRule="auto"/>
        <w:rPr>
          <w:rFonts w:hAnsi="宋体"/>
          <w:sz w:val="18"/>
          <w:szCs w:val="18"/>
        </w:rPr>
      </w:pPr>
    </w:p>
    <w:sectPr>
      <w:headerReference r:id="rId3" w:type="default"/>
      <w:footerReference r:id="rId4" w:type="default"/>
      <w:pgSz w:w="11906" w:h="16838"/>
      <w:pgMar w:top="1276" w:right="1800" w:bottom="1418" w:left="1800" w:header="567" w:footer="96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715647"/>
    </w:sdtPr>
    <w:sdtContent>
      <w:p>
        <w:pPr>
          <w:pStyle w:val="14"/>
          <w:jc w:val="center"/>
        </w:pPr>
        <w:r>
          <w:fldChar w:fldCharType="begin"/>
        </w:r>
        <w:r>
          <w:instrText xml:space="preserve"> PAGE   \* MERGEFORMAT </w:instrText>
        </w:r>
        <w:r>
          <w:fldChar w:fldCharType="separate"/>
        </w:r>
        <w:r>
          <w:rPr>
            <w:lang w:val="zh-CN"/>
          </w:rPr>
          <w:t>22</w:t>
        </w:r>
        <w:r>
          <w:fldChar w:fldCharType="end"/>
        </w:r>
      </w:p>
    </w:sdtContent>
  </w:sdt>
  <w:p>
    <w:pPr>
      <w:pStyle w:val="8"/>
      <w:jc w:val="both"/>
      <w:rPr>
        <w:rFonts w:ascii="黑体" w:hAnsi="黑体" w:eastAsia="黑体"/>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ascii="Times New Roman" w:hAnsi="Times New Roman" w:cs="Times New Roman"/>
        <w:b/>
        <w:szCs w:val="20"/>
      </w:rPr>
    </w:pPr>
    <w:r>
      <w:rPr>
        <w:rFonts w:hint="eastAsia"/>
      </w:rPr>
      <w:t xml:space="preserve"> </w:t>
    </w:r>
    <w:r>
      <w:rPr>
        <w:rFonts w:hint="eastAsia" w:ascii="Times New Roman" w:hAnsi="Times New Roman" w:cs="Times New Roman"/>
        <w:b/>
        <w:szCs w:val="20"/>
      </w:rPr>
      <w:t>产品说明书</w:t>
    </w:r>
  </w:p>
  <w:p>
    <w:pPr>
      <w:pStyle w:val="15"/>
      <w:jc w:val="right"/>
      <w:rPr>
        <w:rFonts w:ascii="Times New Roman" w:hAnsi="Times New Roman" w:cs="Times New Roman"/>
        <w:b/>
        <w:szCs w:val="20"/>
      </w:rPr>
    </w:pPr>
    <w:r>
      <w:rPr>
        <w:rFonts w:hint="eastAsia" w:ascii="Times New Roman" w:hAnsi="Times New Roman" w:cs="Times New Roman"/>
        <w:b/>
        <w:szCs w:val="20"/>
      </w:rPr>
      <w:t>注：本文件由兴银理财有限责任公司统一编制</w:t>
    </w:r>
  </w:p>
  <w:p>
    <w:pPr>
      <w:pStyle w:val="15"/>
      <w:pBdr>
        <w:bottom w:val="none" w:color="auto" w:sz="0" w:space="0"/>
      </w:pBdr>
      <w:jc w:val="right"/>
      <w:rPr>
        <w:rFonts w:ascii="Times New Roman" w:hAnsi="Times New Roman" w:cs="Times New Roman"/>
        <w:b/>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72"/>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1" w:cryptProviderType="rsaAES" w:cryptAlgorithmClass="hash" w:cryptAlgorithmType="typeAny" w:cryptAlgorithmSid="14" w:cryptSpinCount="100000" w:hash="LEhBznEj/90Ime5CXftt9kU7cCey0pmpL04tWvFH+AwaTQjWzeauc5FRg5lMo3jCxIFjSk5E8jYc+ov3fQAPXg==" w:salt="EWBtnVIAbUVeypKMTLA/9A=="/>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208C"/>
    <w:rsid w:val="00002480"/>
    <w:rsid w:val="00007765"/>
    <w:rsid w:val="0001202B"/>
    <w:rsid w:val="000124BB"/>
    <w:rsid w:val="00014A51"/>
    <w:rsid w:val="000160F8"/>
    <w:rsid w:val="00020E26"/>
    <w:rsid w:val="00022093"/>
    <w:rsid w:val="000240C1"/>
    <w:rsid w:val="0002421F"/>
    <w:rsid w:val="00024B59"/>
    <w:rsid w:val="00024D52"/>
    <w:rsid w:val="000257FD"/>
    <w:rsid w:val="00026801"/>
    <w:rsid w:val="0002771C"/>
    <w:rsid w:val="00027CAD"/>
    <w:rsid w:val="000307FF"/>
    <w:rsid w:val="00030826"/>
    <w:rsid w:val="000308D2"/>
    <w:rsid w:val="000310FD"/>
    <w:rsid w:val="00033D3E"/>
    <w:rsid w:val="000360AD"/>
    <w:rsid w:val="00036724"/>
    <w:rsid w:val="0004119D"/>
    <w:rsid w:val="0004124F"/>
    <w:rsid w:val="00042C76"/>
    <w:rsid w:val="00042CE7"/>
    <w:rsid w:val="000438E6"/>
    <w:rsid w:val="00044823"/>
    <w:rsid w:val="00045941"/>
    <w:rsid w:val="00050766"/>
    <w:rsid w:val="0005088E"/>
    <w:rsid w:val="00051DE2"/>
    <w:rsid w:val="00055773"/>
    <w:rsid w:val="000565A5"/>
    <w:rsid w:val="0005743B"/>
    <w:rsid w:val="00057BC6"/>
    <w:rsid w:val="0006031B"/>
    <w:rsid w:val="00061C70"/>
    <w:rsid w:val="00062695"/>
    <w:rsid w:val="000629DD"/>
    <w:rsid w:val="00063B03"/>
    <w:rsid w:val="000705EE"/>
    <w:rsid w:val="00073A90"/>
    <w:rsid w:val="000747D8"/>
    <w:rsid w:val="0007672E"/>
    <w:rsid w:val="0007760F"/>
    <w:rsid w:val="000776F7"/>
    <w:rsid w:val="00077A54"/>
    <w:rsid w:val="00077C13"/>
    <w:rsid w:val="00077CD3"/>
    <w:rsid w:val="00080277"/>
    <w:rsid w:val="0008037A"/>
    <w:rsid w:val="00080815"/>
    <w:rsid w:val="00081DC7"/>
    <w:rsid w:val="000826C9"/>
    <w:rsid w:val="00082E45"/>
    <w:rsid w:val="00085DD5"/>
    <w:rsid w:val="0009086F"/>
    <w:rsid w:val="00091121"/>
    <w:rsid w:val="00092A5F"/>
    <w:rsid w:val="00094CA6"/>
    <w:rsid w:val="00094DDA"/>
    <w:rsid w:val="00095235"/>
    <w:rsid w:val="00097047"/>
    <w:rsid w:val="000A0882"/>
    <w:rsid w:val="000A0CC9"/>
    <w:rsid w:val="000A0DC8"/>
    <w:rsid w:val="000A1E0C"/>
    <w:rsid w:val="000A3063"/>
    <w:rsid w:val="000A35E5"/>
    <w:rsid w:val="000A45C6"/>
    <w:rsid w:val="000A57AC"/>
    <w:rsid w:val="000A5A4A"/>
    <w:rsid w:val="000A5AAB"/>
    <w:rsid w:val="000B00D8"/>
    <w:rsid w:val="000B378B"/>
    <w:rsid w:val="000B6819"/>
    <w:rsid w:val="000B7F67"/>
    <w:rsid w:val="000C31AC"/>
    <w:rsid w:val="000C3B81"/>
    <w:rsid w:val="000C69CB"/>
    <w:rsid w:val="000C6BF4"/>
    <w:rsid w:val="000C7C96"/>
    <w:rsid w:val="000D0C3A"/>
    <w:rsid w:val="000D10B1"/>
    <w:rsid w:val="000D1473"/>
    <w:rsid w:val="000D19CF"/>
    <w:rsid w:val="000D2623"/>
    <w:rsid w:val="000D3E2A"/>
    <w:rsid w:val="000D4DAE"/>
    <w:rsid w:val="000D548F"/>
    <w:rsid w:val="000D591B"/>
    <w:rsid w:val="000E008C"/>
    <w:rsid w:val="000E10C7"/>
    <w:rsid w:val="000E181B"/>
    <w:rsid w:val="000E18C8"/>
    <w:rsid w:val="000E2054"/>
    <w:rsid w:val="000E5A74"/>
    <w:rsid w:val="000E7029"/>
    <w:rsid w:val="000E798C"/>
    <w:rsid w:val="000E7BB9"/>
    <w:rsid w:val="000F09FA"/>
    <w:rsid w:val="000F4322"/>
    <w:rsid w:val="000F556F"/>
    <w:rsid w:val="000F7FB5"/>
    <w:rsid w:val="00100295"/>
    <w:rsid w:val="00100789"/>
    <w:rsid w:val="00100D6E"/>
    <w:rsid w:val="00103221"/>
    <w:rsid w:val="001048D9"/>
    <w:rsid w:val="00104FAF"/>
    <w:rsid w:val="0010605A"/>
    <w:rsid w:val="0011092D"/>
    <w:rsid w:val="00111430"/>
    <w:rsid w:val="00112922"/>
    <w:rsid w:val="001139C8"/>
    <w:rsid w:val="001157E6"/>
    <w:rsid w:val="00115A4C"/>
    <w:rsid w:val="00116240"/>
    <w:rsid w:val="00117B00"/>
    <w:rsid w:val="00121A98"/>
    <w:rsid w:val="00122AA4"/>
    <w:rsid w:val="00122E28"/>
    <w:rsid w:val="001232D0"/>
    <w:rsid w:val="0012639A"/>
    <w:rsid w:val="00127FAE"/>
    <w:rsid w:val="00134EC8"/>
    <w:rsid w:val="00140FD0"/>
    <w:rsid w:val="00142E86"/>
    <w:rsid w:val="00144336"/>
    <w:rsid w:val="00144A06"/>
    <w:rsid w:val="00144E84"/>
    <w:rsid w:val="00146F91"/>
    <w:rsid w:val="001507DF"/>
    <w:rsid w:val="00153415"/>
    <w:rsid w:val="001547CA"/>
    <w:rsid w:val="00154F9C"/>
    <w:rsid w:val="001562FA"/>
    <w:rsid w:val="0016331D"/>
    <w:rsid w:val="00163655"/>
    <w:rsid w:val="00163854"/>
    <w:rsid w:val="00165A9A"/>
    <w:rsid w:val="001679EE"/>
    <w:rsid w:val="00167B0D"/>
    <w:rsid w:val="00171033"/>
    <w:rsid w:val="001715BB"/>
    <w:rsid w:val="00172BBF"/>
    <w:rsid w:val="0017394A"/>
    <w:rsid w:val="0017488D"/>
    <w:rsid w:val="00175F68"/>
    <w:rsid w:val="00176589"/>
    <w:rsid w:val="00176C88"/>
    <w:rsid w:val="00180376"/>
    <w:rsid w:val="001822B0"/>
    <w:rsid w:val="0018230F"/>
    <w:rsid w:val="001844D6"/>
    <w:rsid w:val="0018459A"/>
    <w:rsid w:val="001852D8"/>
    <w:rsid w:val="001864AE"/>
    <w:rsid w:val="00186521"/>
    <w:rsid w:val="00187F37"/>
    <w:rsid w:val="0019010B"/>
    <w:rsid w:val="00190633"/>
    <w:rsid w:val="0019071D"/>
    <w:rsid w:val="00190B9A"/>
    <w:rsid w:val="0019134D"/>
    <w:rsid w:val="00191C98"/>
    <w:rsid w:val="0019285E"/>
    <w:rsid w:val="00192C78"/>
    <w:rsid w:val="00194E1F"/>
    <w:rsid w:val="0019519C"/>
    <w:rsid w:val="0019545E"/>
    <w:rsid w:val="00196469"/>
    <w:rsid w:val="00196E62"/>
    <w:rsid w:val="001A0033"/>
    <w:rsid w:val="001A141C"/>
    <w:rsid w:val="001A352E"/>
    <w:rsid w:val="001A434D"/>
    <w:rsid w:val="001B218F"/>
    <w:rsid w:val="001B21AE"/>
    <w:rsid w:val="001B5BBB"/>
    <w:rsid w:val="001C31CB"/>
    <w:rsid w:val="001C3B80"/>
    <w:rsid w:val="001C41C7"/>
    <w:rsid w:val="001C5E54"/>
    <w:rsid w:val="001C7184"/>
    <w:rsid w:val="001C730C"/>
    <w:rsid w:val="001C770D"/>
    <w:rsid w:val="001C7B1B"/>
    <w:rsid w:val="001D03C8"/>
    <w:rsid w:val="001D06D0"/>
    <w:rsid w:val="001D0990"/>
    <w:rsid w:val="001D1C72"/>
    <w:rsid w:val="001D1D5B"/>
    <w:rsid w:val="001D2824"/>
    <w:rsid w:val="001D2F98"/>
    <w:rsid w:val="001D3E8B"/>
    <w:rsid w:val="001D4AC9"/>
    <w:rsid w:val="001D4BC1"/>
    <w:rsid w:val="001D570A"/>
    <w:rsid w:val="001D688E"/>
    <w:rsid w:val="001E14FD"/>
    <w:rsid w:val="001E291D"/>
    <w:rsid w:val="001E461E"/>
    <w:rsid w:val="001E54CE"/>
    <w:rsid w:val="001E61BD"/>
    <w:rsid w:val="001E6BA6"/>
    <w:rsid w:val="001E6C14"/>
    <w:rsid w:val="001E70FE"/>
    <w:rsid w:val="001E77D6"/>
    <w:rsid w:val="001E794F"/>
    <w:rsid w:val="001F00E4"/>
    <w:rsid w:val="001F08F9"/>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3E9"/>
    <w:rsid w:val="00217789"/>
    <w:rsid w:val="00220D74"/>
    <w:rsid w:val="002213EA"/>
    <w:rsid w:val="00223351"/>
    <w:rsid w:val="002237A8"/>
    <w:rsid w:val="00223B5B"/>
    <w:rsid w:val="00224505"/>
    <w:rsid w:val="002265AA"/>
    <w:rsid w:val="00226925"/>
    <w:rsid w:val="00226E60"/>
    <w:rsid w:val="00227359"/>
    <w:rsid w:val="00231FC0"/>
    <w:rsid w:val="002366D2"/>
    <w:rsid w:val="002367DD"/>
    <w:rsid w:val="00242CDB"/>
    <w:rsid w:val="0024357F"/>
    <w:rsid w:val="0024456C"/>
    <w:rsid w:val="0024625D"/>
    <w:rsid w:val="0024745C"/>
    <w:rsid w:val="00247F2A"/>
    <w:rsid w:val="002509C7"/>
    <w:rsid w:val="00251975"/>
    <w:rsid w:val="00252788"/>
    <w:rsid w:val="002533A3"/>
    <w:rsid w:val="00253B8C"/>
    <w:rsid w:val="00254D9A"/>
    <w:rsid w:val="00255373"/>
    <w:rsid w:val="002553DF"/>
    <w:rsid w:val="0025557C"/>
    <w:rsid w:val="0025790B"/>
    <w:rsid w:val="00264630"/>
    <w:rsid w:val="002653AC"/>
    <w:rsid w:val="00265722"/>
    <w:rsid w:val="00266037"/>
    <w:rsid w:val="00266978"/>
    <w:rsid w:val="00266DAB"/>
    <w:rsid w:val="00272C40"/>
    <w:rsid w:val="00273F65"/>
    <w:rsid w:val="00274DDB"/>
    <w:rsid w:val="00275526"/>
    <w:rsid w:val="00275757"/>
    <w:rsid w:val="00276ACE"/>
    <w:rsid w:val="00281B9A"/>
    <w:rsid w:val="002826EB"/>
    <w:rsid w:val="00282B2B"/>
    <w:rsid w:val="002869B1"/>
    <w:rsid w:val="00287295"/>
    <w:rsid w:val="002877ED"/>
    <w:rsid w:val="00290893"/>
    <w:rsid w:val="0029197D"/>
    <w:rsid w:val="00293329"/>
    <w:rsid w:val="002A1894"/>
    <w:rsid w:val="002A2964"/>
    <w:rsid w:val="002A3DA0"/>
    <w:rsid w:val="002A6688"/>
    <w:rsid w:val="002B0460"/>
    <w:rsid w:val="002B0A68"/>
    <w:rsid w:val="002B1C83"/>
    <w:rsid w:val="002B2349"/>
    <w:rsid w:val="002B389F"/>
    <w:rsid w:val="002B4AAF"/>
    <w:rsid w:val="002B5421"/>
    <w:rsid w:val="002B6616"/>
    <w:rsid w:val="002B75A8"/>
    <w:rsid w:val="002C0CF5"/>
    <w:rsid w:val="002C1501"/>
    <w:rsid w:val="002C3DA6"/>
    <w:rsid w:val="002C3DD6"/>
    <w:rsid w:val="002C446D"/>
    <w:rsid w:val="002C6117"/>
    <w:rsid w:val="002C6DB5"/>
    <w:rsid w:val="002D1DEF"/>
    <w:rsid w:val="002D3AB7"/>
    <w:rsid w:val="002D3AEF"/>
    <w:rsid w:val="002D6AFD"/>
    <w:rsid w:val="002D7737"/>
    <w:rsid w:val="002E134B"/>
    <w:rsid w:val="002E25FC"/>
    <w:rsid w:val="002E393C"/>
    <w:rsid w:val="002E5F4C"/>
    <w:rsid w:val="002E6721"/>
    <w:rsid w:val="002E7C23"/>
    <w:rsid w:val="002F0CD5"/>
    <w:rsid w:val="002F11BA"/>
    <w:rsid w:val="002F29C4"/>
    <w:rsid w:val="002F389F"/>
    <w:rsid w:val="002F45BC"/>
    <w:rsid w:val="002F4C49"/>
    <w:rsid w:val="00301106"/>
    <w:rsid w:val="003029FF"/>
    <w:rsid w:val="0030325C"/>
    <w:rsid w:val="00304C4E"/>
    <w:rsid w:val="00304D9D"/>
    <w:rsid w:val="00306DA6"/>
    <w:rsid w:val="0031156D"/>
    <w:rsid w:val="003122D5"/>
    <w:rsid w:val="00313E17"/>
    <w:rsid w:val="003141DA"/>
    <w:rsid w:val="00317397"/>
    <w:rsid w:val="00320153"/>
    <w:rsid w:val="003224C7"/>
    <w:rsid w:val="00327E26"/>
    <w:rsid w:val="00330DD8"/>
    <w:rsid w:val="00331380"/>
    <w:rsid w:val="00331423"/>
    <w:rsid w:val="00331AA1"/>
    <w:rsid w:val="00332367"/>
    <w:rsid w:val="0033357B"/>
    <w:rsid w:val="003363E0"/>
    <w:rsid w:val="0033710A"/>
    <w:rsid w:val="00337172"/>
    <w:rsid w:val="00337AF2"/>
    <w:rsid w:val="00337EC3"/>
    <w:rsid w:val="003405D3"/>
    <w:rsid w:val="00341DFC"/>
    <w:rsid w:val="003444E9"/>
    <w:rsid w:val="00350B80"/>
    <w:rsid w:val="0035109F"/>
    <w:rsid w:val="0035299D"/>
    <w:rsid w:val="00356734"/>
    <w:rsid w:val="00356F2E"/>
    <w:rsid w:val="003601A7"/>
    <w:rsid w:val="00361109"/>
    <w:rsid w:val="00363191"/>
    <w:rsid w:val="00363504"/>
    <w:rsid w:val="0036433E"/>
    <w:rsid w:val="00370696"/>
    <w:rsid w:val="00371546"/>
    <w:rsid w:val="003727DA"/>
    <w:rsid w:val="00373305"/>
    <w:rsid w:val="003745A5"/>
    <w:rsid w:val="00375BC6"/>
    <w:rsid w:val="00380DB4"/>
    <w:rsid w:val="00381A67"/>
    <w:rsid w:val="003823A6"/>
    <w:rsid w:val="003838B9"/>
    <w:rsid w:val="0038451B"/>
    <w:rsid w:val="00387255"/>
    <w:rsid w:val="00387E86"/>
    <w:rsid w:val="00391268"/>
    <w:rsid w:val="00391BBC"/>
    <w:rsid w:val="00392F32"/>
    <w:rsid w:val="0039407B"/>
    <w:rsid w:val="00396E72"/>
    <w:rsid w:val="003A430B"/>
    <w:rsid w:val="003B00EC"/>
    <w:rsid w:val="003B016B"/>
    <w:rsid w:val="003B06BE"/>
    <w:rsid w:val="003B1841"/>
    <w:rsid w:val="003B32A0"/>
    <w:rsid w:val="003B343A"/>
    <w:rsid w:val="003B600B"/>
    <w:rsid w:val="003B72A3"/>
    <w:rsid w:val="003C2C6C"/>
    <w:rsid w:val="003C2FD0"/>
    <w:rsid w:val="003C4A62"/>
    <w:rsid w:val="003C4CEB"/>
    <w:rsid w:val="003C51FE"/>
    <w:rsid w:val="003C64E4"/>
    <w:rsid w:val="003C7EAF"/>
    <w:rsid w:val="003D26D0"/>
    <w:rsid w:val="003D3BD6"/>
    <w:rsid w:val="003D5ED1"/>
    <w:rsid w:val="003D63E6"/>
    <w:rsid w:val="003E1094"/>
    <w:rsid w:val="003E1B2D"/>
    <w:rsid w:val="003E2F07"/>
    <w:rsid w:val="003E31AA"/>
    <w:rsid w:val="003E37BA"/>
    <w:rsid w:val="003E3D00"/>
    <w:rsid w:val="003F4B74"/>
    <w:rsid w:val="00400144"/>
    <w:rsid w:val="00400D54"/>
    <w:rsid w:val="0040151D"/>
    <w:rsid w:val="004043E5"/>
    <w:rsid w:val="00404A76"/>
    <w:rsid w:val="00404C4F"/>
    <w:rsid w:val="00406C36"/>
    <w:rsid w:val="00407912"/>
    <w:rsid w:val="00410860"/>
    <w:rsid w:val="00411594"/>
    <w:rsid w:val="004134C2"/>
    <w:rsid w:val="00413AD2"/>
    <w:rsid w:val="00416AC9"/>
    <w:rsid w:val="00416CB0"/>
    <w:rsid w:val="0042292D"/>
    <w:rsid w:val="00422B14"/>
    <w:rsid w:val="00424562"/>
    <w:rsid w:val="0042456A"/>
    <w:rsid w:val="00424897"/>
    <w:rsid w:val="004259CB"/>
    <w:rsid w:val="00426CB5"/>
    <w:rsid w:val="0042700C"/>
    <w:rsid w:val="00430DF1"/>
    <w:rsid w:val="00431A3C"/>
    <w:rsid w:val="00434DA3"/>
    <w:rsid w:val="004365C7"/>
    <w:rsid w:val="004369A7"/>
    <w:rsid w:val="0043725F"/>
    <w:rsid w:val="00440E4C"/>
    <w:rsid w:val="00441309"/>
    <w:rsid w:val="00441A1F"/>
    <w:rsid w:val="00441C87"/>
    <w:rsid w:val="004421A0"/>
    <w:rsid w:val="0044275F"/>
    <w:rsid w:val="00444B08"/>
    <w:rsid w:val="00444C05"/>
    <w:rsid w:val="00444E95"/>
    <w:rsid w:val="004451F2"/>
    <w:rsid w:val="00447A83"/>
    <w:rsid w:val="00450AE7"/>
    <w:rsid w:val="00452527"/>
    <w:rsid w:val="00453F94"/>
    <w:rsid w:val="0045405E"/>
    <w:rsid w:val="0045524D"/>
    <w:rsid w:val="00455720"/>
    <w:rsid w:val="00455EFB"/>
    <w:rsid w:val="00455FA5"/>
    <w:rsid w:val="00456516"/>
    <w:rsid w:val="00461E0D"/>
    <w:rsid w:val="00462328"/>
    <w:rsid w:val="00462D9E"/>
    <w:rsid w:val="004636D8"/>
    <w:rsid w:val="00464878"/>
    <w:rsid w:val="00466864"/>
    <w:rsid w:val="00466F57"/>
    <w:rsid w:val="00467C9D"/>
    <w:rsid w:val="00470261"/>
    <w:rsid w:val="004711A9"/>
    <w:rsid w:val="00471ABA"/>
    <w:rsid w:val="00477510"/>
    <w:rsid w:val="00480985"/>
    <w:rsid w:val="00480CC1"/>
    <w:rsid w:val="00480FF7"/>
    <w:rsid w:val="004811BA"/>
    <w:rsid w:val="0048253E"/>
    <w:rsid w:val="00482F37"/>
    <w:rsid w:val="00483507"/>
    <w:rsid w:val="00485D45"/>
    <w:rsid w:val="00486A6C"/>
    <w:rsid w:val="00487444"/>
    <w:rsid w:val="00490E3D"/>
    <w:rsid w:val="004917FC"/>
    <w:rsid w:val="004922CC"/>
    <w:rsid w:val="004940D3"/>
    <w:rsid w:val="004960D3"/>
    <w:rsid w:val="004960F3"/>
    <w:rsid w:val="00497FEC"/>
    <w:rsid w:val="004A0C4A"/>
    <w:rsid w:val="004A0D93"/>
    <w:rsid w:val="004A12AC"/>
    <w:rsid w:val="004A2354"/>
    <w:rsid w:val="004A5AB0"/>
    <w:rsid w:val="004B0D40"/>
    <w:rsid w:val="004B1194"/>
    <w:rsid w:val="004B1599"/>
    <w:rsid w:val="004B3136"/>
    <w:rsid w:val="004B5526"/>
    <w:rsid w:val="004C036F"/>
    <w:rsid w:val="004C1BF8"/>
    <w:rsid w:val="004C2000"/>
    <w:rsid w:val="004C4C0A"/>
    <w:rsid w:val="004C4C12"/>
    <w:rsid w:val="004C4E6C"/>
    <w:rsid w:val="004C75D9"/>
    <w:rsid w:val="004D0C41"/>
    <w:rsid w:val="004D1CFA"/>
    <w:rsid w:val="004D2141"/>
    <w:rsid w:val="004D373F"/>
    <w:rsid w:val="004D3932"/>
    <w:rsid w:val="004D5055"/>
    <w:rsid w:val="004D5AAF"/>
    <w:rsid w:val="004D5BE2"/>
    <w:rsid w:val="004D5E18"/>
    <w:rsid w:val="004D6163"/>
    <w:rsid w:val="004D6C75"/>
    <w:rsid w:val="004E17EB"/>
    <w:rsid w:val="004E1D4B"/>
    <w:rsid w:val="004E20E1"/>
    <w:rsid w:val="004E3BD3"/>
    <w:rsid w:val="004E605C"/>
    <w:rsid w:val="004E78A6"/>
    <w:rsid w:val="004F0C90"/>
    <w:rsid w:val="004F10F4"/>
    <w:rsid w:val="004F14E2"/>
    <w:rsid w:val="004F15A3"/>
    <w:rsid w:val="004F2F63"/>
    <w:rsid w:val="004F3355"/>
    <w:rsid w:val="004F45E5"/>
    <w:rsid w:val="004F483B"/>
    <w:rsid w:val="004F5319"/>
    <w:rsid w:val="004F58A4"/>
    <w:rsid w:val="00500B33"/>
    <w:rsid w:val="0050192C"/>
    <w:rsid w:val="00502068"/>
    <w:rsid w:val="005023E9"/>
    <w:rsid w:val="005030D1"/>
    <w:rsid w:val="00503239"/>
    <w:rsid w:val="005048A9"/>
    <w:rsid w:val="00504CD2"/>
    <w:rsid w:val="005058C6"/>
    <w:rsid w:val="00506FB3"/>
    <w:rsid w:val="005107A4"/>
    <w:rsid w:val="00512B61"/>
    <w:rsid w:val="00512E3B"/>
    <w:rsid w:val="00513143"/>
    <w:rsid w:val="005131E7"/>
    <w:rsid w:val="00517C1B"/>
    <w:rsid w:val="00521905"/>
    <w:rsid w:val="00521A8A"/>
    <w:rsid w:val="0052537A"/>
    <w:rsid w:val="005261C6"/>
    <w:rsid w:val="00526A8B"/>
    <w:rsid w:val="005306F5"/>
    <w:rsid w:val="00530EFC"/>
    <w:rsid w:val="0053145D"/>
    <w:rsid w:val="0053265E"/>
    <w:rsid w:val="00534837"/>
    <w:rsid w:val="00534ED6"/>
    <w:rsid w:val="005356DD"/>
    <w:rsid w:val="005422CC"/>
    <w:rsid w:val="0054383E"/>
    <w:rsid w:val="00544067"/>
    <w:rsid w:val="00544689"/>
    <w:rsid w:val="005448AE"/>
    <w:rsid w:val="00544EBF"/>
    <w:rsid w:val="0054752F"/>
    <w:rsid w:val="005477FF"/>
    <w:rsid w:val="005514EA"/>
    <w:rsid w:val="0055180E"/>
    <w:rsid w:val="00551E13"/>
    <w:rsid w:val="0055265D"/>
    <w:rsid w:val="00555FE5"/>
    <w:rsid w:val="00557F13"/>
    <w:rsid w:val="0056057A"/>
    <w:rsid w:val="005634A0"/>
    <w:rsid w:val="00564A34"/>
    <w:rsid w:val="00564BAA"/>
    <w:rsid w:val="005669ED"/>
    <w:rsid w:val="00566CE6"/>
    <w:rsid w:val="005715BF"/>
    <w:rsid w:val="00571676"/>
    <w:rsid w:val="0057386A"/>
    <w:rsid w:val="005745C2"/>
    <w:rsid w:val="00575575"/>
    <w:rsid w:val="005756EF"/>
    <w:rsid w:val="00580472"/>
    <w:rsid w:val="00583DB2"/>
    <w:rsid w:val="00583FFD"/>
    <w:rsid w:val="0058644F"/>
    <w:rsid w:val="00586B5E"/>
    <w:rsid w:val="0058793F"/>
    <w:rsid w:val="00587E86"/>
    <w:rsid w:val="005905CC"/>
    <w:rsid w:val="0059345F"/>
    <w:rsid w:val="005942B5"/>
    <w:rsid w:val="005964FC"/>
    <w:rsid w:val="00596640"/>
    <w:rsid w:val="00597F91"/>
    <w:rsid w:val="005A0CDE"/>
    <w:rsid w:val="005A1A2E"/>
    <w:rsid w:val="005A2814"/>
    <w:rsid w:val="005A2F58"/>
    <w:rsid w:val="005A52CE"/>
    <w:rsid w:val="005A5694"/>
    <w:rsid w:val="005A60A3"/>
    <w:rsid w:val="005B1513"/>
    <w:rsid w:val="005B1F01"/>
    <w:rsid w:val="005B3D95"/>
    <w:rsid w:val="005B45B8"/>
    <w:rsid w:val="005B6567"/>
    <w:rsid w:val="005C1011"/>
    <w:rsid w:val="005C1A4B"/>
    <w:rsid w:val="005C2C22"/>
    <w:rsid w:val="005C3351"/>
    <w:rsid w:val="005C46BB"/>
    <w:rsid w:val="005C6C9D"/>
    <w:rsid w:val="005D0EC6"/>
    <w:rsid w:val="005D3EBA"/>
    <w:rsid w:val="005D3F7B"/>
    <w:rsid w:val="005D3F83"/>
    <w:rsid w:val="005D5021"/>
    <w:rsid w:val="005D6B6D"/>
    <w:rsid w:val="005D7C4F"/>
    <w:rsid w:val="005E0304"/>
    <w:rsid w:val="005E1F5B"/>
    <w:rsid w:val="005E2522"/>
    <w:rsid w:val="005E34A7"/>
    <w:rsid w:val="005E3ECC"/>
    <w:rsid w:val="005E6FB7"/>
    <w:rsid w:val="005F0064"/>
    <w:rsid w:val="005F2F17"/>
    <w:rsid w:val="005F30D3"/>
    <w:rsid w:val="005F379A"/>
    <w:rsid w:val="005F4287"/>
    <w:rsid w:val="005F469C"/>
    <w:rsid w:val="005F7FD5"/>
    <w:rsid w:val="00600FE7"/>
    <w:rsid w:val="006016B4"/>
    <w:rsid w:val="006019D1"/>
    <w:rsid w:val="00605524"/>
    <w:rsid w:val="00605B31"/>
    <w:rsid w:val="00605C5D"/>
    <w:rsid w:val="006065FB"/>
    <w:rsid w:val="00607DDC"/>
    <w:rsid w:val="00611A33"/>
    <w:rsid w:val="00612869"/>
    <w:rsid w:val="006146BA"/>
    <w:rsid w:val="006172ED"/>
    <w:rsid w:val="00620063"/>
    <w:rsid w:val="00620D75"/>
    <w:rsid w:val="00621F2C"/>
    <w:rsid w:val="00624760"/>
    <w:rsid w:val="00624F2C"/>
    <w:rsid w:val="00626BC0"/>
    <w:rsid w:val="0063051C"/>
    <w:rsid w:val="00631736"/>
    <w:rsid w:val="006328AE"/>
    <w:rsid w:val="0064020E"/>
    <w:rsid w:val="0064076F"/>
    <w:rsid w:val="0064087A"/>
    <w:rsid w:val="00642A61"/>
    <w:rsid w:val="006451BF"/>
    <w:rsid w:val="006453CC"/>
    <w:rsid w:val="006468C6"/>
    <w:rsid w:val="00646E40"/>
    <w:rsid w:val="00647424"/>
    <w:rsid w:val="006476D3"/>
    <w:rsid w:val="00652FE7"/>
    <w:rsid w:val="0065431E"/>
    <w:rsid w:val="0065499A"/>
    <w:rsid w:val="00655124"/>
    <w:rsid w:val="00657909"/>
    <w:rsid w:val="00657E91"/>
    <w:rsid w:val="006612EA"/>
    <w:rsid w:val="006617D1"/>
    <w:rsid w:val="00661C8C"/>
    <w:rsid w:val="006623D6"/>
    <w:rsid w:val="0066478A"/>
    <w:rsid w:val="00665773"/>
    <w:rsid w:val="0066625E"/>
    <w:rsid w:val="006676FD"/>
    <w:rsid w:val="0067005D"/>
    <w:rsid w:val="00672FF4"/>
    <w:rsid w:val="00675B54"/>
    <w:rsid w:val="006809FB"/>
    <w:rsid w:val="00682623"/>
    <w:rsid w:val="00684401"/>
    <w:rsid w:val="00684ECC"/>
    <w:rsid w:val="006856C3"/>
    <w:rsid w:val="006863E0"/>
    <w:rsid w:val="006871FD"/>
    <w:rsid w:val="006877C1"/>
    <w:rsid w:val="006904D3"/>
    <w:rsid w:val="0069132D"/>
    <w:rsid w:val="006929EA"/>
    <w:rsid w:val="00692BC9"/>
    <w:rsid w:val="0069501F"/>
    <w:rsid w:val="006961A8"/>
    <w:rsid w:val="00697C87"/>
    <w:rsid w:val="00697D22"/>
    <w:rsid w:val="006A0942"/>
    <w:rsid w:val="006A1579"/>
    <w:rsid w:val="006A2FDF"/>
    <w:rsid w:val="006A4A8A"/>
    <w:rsid w:val="006A4B96"/>
    <w:rsid w:val="006A5309"/>
    <w:rsid w:val="006A5968"/>
    <w:rsid w:val="006A68DA"/>
    <w:rsid w:val="006A6C9E"/>
    <w:rsid w:val="006B3727"/>
    <w:rsid w:val="006B4BAA"/>
    <w:rsid w:val="006B54FA"/>
    <w:rsid w:val="006B5EEE"/>
    <w:rsid w:val="006B7BA8"/>
    <w:rsid w:val="006B7E76"/>
    <w:rsid w:val="006C19CF"/>
    <w:rsid w:val="006C3458"/>
    <w:rsid w:val="006C3815"/>
    <w:rsid w:val="006C4170"/>
    <w:rsid w:val="006C4A05"/>
    <w:rsid w:val="006C5ACD"/>
    <w:rsid w:val="006C5CB6"/>
    <w:rsid w:val="006C7218"/>
    <w:rsid w:val="006C75F7"/>
    <w:rsid w:val="006C7E9B"/>
    <w:rsid w:val="006D0BDE"/>
    <w:rsid w:val="006D0F3C"/>
    <w:rsid w:val="006D160E"/>
    <w:rsid w:val="006D3D10"/>
    <w:rsid w:val="006D4093"/>
    <w:rsid w:val="006D4430"/>
    <w:rsid w:val="006D586E"/>
    <w:rsid w:val="006D6C20"/>
    <w:rsid w:val="006D6D74"/>
    <w:rsid w:val="006D7C06"/>
    <w:rsid w:val="006D7D05"/>
    <w:rsid w:val="006E011D"/>
    <w:rsid w:val="006E1A9B"/>
    <w:rsid w:val="006E2E41"/>
    <w:rsid w:val="006E535B"/>
    <w:rsid w:val="006E5D67"/>
    <w:rsid w:val="006E6ED0"/>
    <w:rsid w:val="006E7124"/>
    <w:rsid w:val="006E7FC7"/>
    <w:rsid w:val="006F2488"/>
    <w:rsid w:val="006F3519"/>
    <w:rsid w:val="006F356A"/>
    <w:rsid w:val="006F5923"/>
    <w:rsid w:val="006F6174"/>
    <w:rsid w:val="006F7A9E"/>
    <w:rsid w:val="006F7D4D"/>
    <w:rsid w:val="0070045F"/>
    <w:rsid w:val="007048B2"/>
    <w:rsid w:val="00706DCA"/>
    <w:rsid w:val="00707A7B"/>
    <w:rsid w:val="007123F2"/>
    <w:rsid w:val="0071321B"/>
    <w:rsid w:val="007143E3"/>
    <w:rsid w:val="0071446F"/>
    <w:rsid w:val="007165DC"/>
    <w:rsid w:val="007166B2"/>
    <w:rsid w:val="00717330"/>
    <w:rsid w:val="00720D3D"/>
    <w:rsid w:val="00720E8F"/>
    <w:rsid w:val="007210F9"/>
    <w:rsid w:val="00724416"/>
    <w:rsid w:val="0072773A"/>
    <w:rsid w:val="00727C00"/>
    <w:rsid w:val="007305B6"/>
    <w:rsid w:val="007319DA"/>
    <w:rsid w:val="007379DE"/>
    <w:rsid w:val="00737C42"/>
    <w:rsid w:val="00741F90"/>
    <w:rsid w:val="007425D7"/>
    <w:rsid w:val="00742D00"/>
    <w:rsid w:val="00743AB2"/>
    <w:rsid w:val="00746AF7"/>
    <w:rsid w:val="00746FAD"/>
    <w:rsid w:val="0075016C"/>
    <w:rsid w:val="00752FA6"/>
    <w:rsid w:val="007530BD"/>
    <w:rsid w:val="00754168"/>
    <w:rsid w:val="00755570"/>
    <w:rsid w:val="00755F45"/>
    <w:rsid w:val="00757357"/>
    <w:rsid w:val="00760BF7"/>
    <w:rsid w:val="00762022"/>
    <w:rsid w:val="007630BD"/>
    <w:rsid w:val="0076459F"/>
    <w:rsid w:val="007648E8"/>
    <w:rsid w:val="00764E0B"/>
    <w:rsid w:val="00764FD2"/>
    <w:rsid w:val="00765862"/>
    <w:rsid w:val="0077274B"/>
    <w:rsid w:val="00775691"/>
    <w:rsid w:val="00775E75"/>
    <w:rsid w:val="00780770"/>
    <w:rsid w:val="00783025"/>
    <w:rsid w:val="00784BFC"/>
    <w:rsid w:val="0078739B"/>
    <w:rsid w:val="0079021D"/>
    <w:rsid w:val="00793D9D"/>
    <w:rsid w:val="00794CF9"/>
    <w:rsid w:val="00794DBB"/>
    <w:rsid w:val="0079594A"/>
    <w:rsid w:val="007A104C"/>
    <w:rsid w:val="007A2250"/>
    <w:rsid w:val="007A2E91"/>
    <w:rsid w:val="007A3563"/>
    <w:rsid w:val="007A56C3"/>
    <w:rsid w:val="007A610A"/>
    <w:rsid w:val="007B095E"/>
    <w:rsid w:val="007B256F"/>
    <w:rsid w:val="007B2905"/>
    <w:rsid w:val="007B335E"/>
    <w:rsid w:val="007B3CAC"/>
    <w:rsid w:val="007B435B"/>
    <w:rsid w:val="007B7E70"/>
    <w:rsid w:val="007C0495"/>
    <w:rsid w:val="007C67CB"/>
    <w:rsid w:val="007D115D"/>
    <w:rsid w:val="007D1185"/>
    <w:rsid w:val="007D37FB"/>
    <w:rsid w:val="007D3AB0"/>
    <w:rsid w:val="007D3C57"/>
    <w:rsid w:val="007D6324"/>
    <w:rsid w:val="007D68C9"/>
    <w:rsid w:val="007D6F94"/>
    <w:rsid w:val="007D7B84"/>
    <w:rsid w:val="007E1F76"/>
    <w:rsid w:val="007E3453"/>
    <w:rsid w:val="007E3857"/>
    <w:rsid w:val="007E4180"/>
    <w:rsid w:val="007E4A3F"/>
    <w:rsid w:val="007E5D3B"/>
    <w:rsid w:val="007E6E94"/>
    <w:rsid w:val="007E775F"/>
    <w:rsid w:val="007F19E2"/>
    <w:rsid w:val="007F2369"/>
    <w:rsid w:val="007F2A00"/>
    <w:rsid w:val="007F2DEA"/>
    <w:rsid w:val="007F353C"/>
    <w:rsid w:val="007F42B0"/>
    <w:rsid w:val="007F4B58"/>
    <w:rsid w:val="007F557D"/>
    <w:rsid w:val="007F5D9C"/>
    <w:rsid w:val="007F66E1"/>
    <w:rsid w:val="008002FC"/>
    <w:rsid w:val="008016A7"/>
    <w:rsid w:val="00801ED9"/>
    <w:rsid w:val="00802399"/>
    <w:rsid w:val="008027C8"/>
    <w:rsid w:val="00803922"/>
    <w:rsid w:val="00804D31"/>
    <w:rsid w:val="008051DC"/>
    <w:rsid w:val="0080586D"/>
    <w:rsid w:val="00805A3D"/>
    <w:rsid w:val="00806DDF"/>
    <w:rsid w:val="00807174"/>
    <w:rsid w:val="00807C0F"/>
    <w:rsid w:val="00807F91"/>
    <w:rsid w:val="0081012C"/>
    <w:rsid w:val="0081039A"/>
    <w:rsid w:val="008103FD"/>
    <w:rsid w:val="00810570"/>
    <w:rsid w:val="00810605"/>
    <w:rsid w:val="00810BBC"/>
    <w:rsid w:val="008111FB"/>
    <w:rsid w:val="0081517F"/>
    <w:rsid w:val="0081549F"/>
    <w:rsid w:val="00816B26"/>
    <w:rsid w:val="008176FD"/>
    <w:rsid w:val="00820221"/>
    <w:rsid w:val="00820966"/>
    <w:rsid w:val="008216F7"/>
    <w:rsid w:val="00822153"/>
    <w:rsid w:val="00822FBD"/>
    <w:rsid w:val="00823AB7"/>
    <w:rsid w:val="00827113"/>
    <w:rsid w:val="00827169"/>
    <w:rsid w:val="00827DAF"/>
    <w:rsid w:val="008306A2"/>
    <w:rsid w:val="00830FAF"/>
    <w:rsid w:val="00831F70"/>
    <w:rsid w:val="00833134"/>
    <w:rsid w:val="00833713"/>
    <w:rsid w:val="00833D9B"/>
    <w:rsid w:val="008340FE"/>
    <w:rsid w:val="00835A40"/>
    <w:rsid w:val="00835AA0"/>
    <w:rsid w:val="00835FBF"/>
    <w:rsid w:val="00836DA8"/>
    <w:rsid w:val="00836ECE"/>
    <w:rsid w:val="008414B9"/>
    <w:rsid w:val="0084380A"/>
    <w:rsid w:val="00844E66"/>
    <w:rsid w:val="00847CD5"/>
    <w:rsid w:val="00850B2A"/>
    <w:rsid w:val="00850F7C"/>
    <w:rsid w:val="0085322F"/>
    <w:rsid w:val="0085408C"/>
    <w:rsid w:val="0085557B"/>
    <w:rsid w:val="00856A09"/>
    <w:rsid w:val="00856B4C"/>
    <w:rsid w:val="00856BBC"/>
    <w:rsid w:val="00857149"/>
    <w:rsid w:val="00860A39"/>
    <w:rsid w:val="00861B3E"/>
    <w:rsid w:val="00862A70"/>
    <w:rsid w:val="008655A1"/>
    <w:rsid w:val="008666DD"/>
    <w:rsid w:val="00866CCD"/>
    <w:rsid w:val="00870018"/>
    <w:rsid w:val="00871411"/>
    <w:rsid w:val="00871A7B"/>
    <w:rsid w:val="00872192"/>
    <w:rsid w:val="008726D9"/>
    <w:rsid w:val="008735AB"/>
    <w:rsid w:val="008740D8"/>
    <w:rsid w:val="0087506B"/>
    <w:rsid w:val="0087693A"/>
    <w:rsid w:val="00876C63"/>
    <w:rsid w:val="00876D94"/>
    <w:rsid w:val="0089069E"/>
    <w:rsid w:val="008912D3"/>
    <w:rsid w:val="008914CB"/>
    <w:rsid w:val="008937B1"/>
    <w:rsid w:val="00894A43"/>
    <w:rsid w:val="00895477"/>
    <w:rsid w:val="008A15AE"/>
    <w:rsid w:val="008A1DBB"/>
    <w:rsid w:val="008A2A18"/>
    <w:rsid w:val="008A4832"/>
    <w:rsid w:val="008A6A39"/>
    <w:rsid w:val="008A6C62"/>
    <w:rsid w:val="008B185F"/>
    <w:rsid w:val="008B3113"/>
    <w:rsid w:val="008B45F2"/>
    <w:rsid w:val="008B4E65"/>
    <w:rsid w:val="008B5744"/>
    <w:rsid w:val="008B7818"/>
    <w:rsid w:val="008C04C6"/>
    <w:rsid w:val="008C1D87"/>
    <w:rsid w:val="008C2047"/>
    <w:rsid w:val="008C2490"/>
    <w:rsid w:val="008C2FED"/>
    <w:rsid w:val="008C4AC0"/>
    <w:rsid w:val="008C5304"/>
    <w:rsid w:val="008C6459"/>
    <w:rsid w:val="008C7CC2"/>
    <w:rsid w:val="008D01F8"/>
    <w:rsid w:val="008D0325"/>
    <w:rsid w:val="008D0AD4"/>
    <w:rsid w:val="008D1A6D"/>
    <w:rsid w:val="008D2BA4"/>
    <w:rsid w:val="008D45A6"/>
    <w:rsid w:val="008D4CB3"/>
    <w:rsid w:val="008D5CDB"/>
    <w:rsid w:val="008D643C"/>
    <w:rsid w:val="008D6554"/>
    <w:rsid w:val="008D7E71"/>
    <w:rsid w:val="008E0B20"/>
    <w:rsid w:val="008E584F"/>
    <w:rsid w:val="008E5E8B"/>
    <w:rsid w:val="008E6072"/>
    <w:rsid w:val="008E6640"/>
    <w:rsid w:val="008F2669"/>
    <w:rsid w:val="008F2710"/>
    <w:rsid w:val="008F432E"/>
    <w:rsid w:val="008F50BB"/>
    <w:rsid w:val="008F5567"/>
    <w:rsid w:val="008F784B"/>
    <w:rsid w:val="008F7A01"/>
    <w:rsid w:val="00900322"/>
    <w:rsid w:val="00900AF7"/>
    <w:rsid w:val="00901909"/>
    <w:rsid w:val="00901ACE"/>
    <w:rsid w:val="00901B37"/>
    <w:rsid w:val="009043D1"/>
    <w:rsid w:val="0090500B"/>
    <w:rsid w:val="0090746E"/>
    <w:rsid w:val="0090771A"/>
    <w:rsid w:val="00907D44"/>
    <w:rsid w:val="009106C1"/>
    <w:rsid w:val="00910BA4"/>
    <w:rsid w:val="00912C9D"/>
    <w:rsid w:val="00913112"/>
    <w:rsid w:val="00915499"/>
    <w:rsid w:val="00916595"/>
    <w:rsid w:val="009169DE"/>
    <w:rsid w:val="00922E94"/>
    <w:rsid w:val="00924CB1"/>
    <w:rsid w:val="00925905"/>
    <w:rsid w:val="00925FC9"/>
    <w:rsid w:val="00926039"/>
    <w:rsid w:val="009275C5"/>
    <w:rsid w:val="00927772"/>
    <w:rsid w:val="00931E88"/>
    <w:rsid w:val="00933939"/>
    <w:rsid w:val="00934162"/>
    <w:rsid w:val="009342D4"/>
    <w:rsid w:val="009364FB"/>
    <w:rsid w:val="00936818"/>
    <w:rsid w:val="009369EF"/>
    <w:rsid w:val="00936A52"/>
    <w:rsid w:val="00940B15"/>
    <w:rsid w:val="009416D1"/>
    <w:rsid w:val="0094391C"/>
    <w:rsid w:val="00945661"/>
    <w:rsid w:val="00946996"/>
    <w:rsid w:val="0095322B"/>
    <w:rsid w:val="0095360A"/>
    <w:rsid w:val="009559EB"/>
    <w:rsid w:val="009604D5"/>
    <w:rsid w:val="009618D2"/>
    <w:rsid w:val="009626CA"/>
    <w:rsid w:val="00962D06"/>
    <w:rsid w:val="00963402"/>
    <w:rsid w:val="00964835"/>
    <w:rsid w:val="00966868"/>
    <w:rsid w:val="00966917"/>
    <w:rsid w:val="00967387"/>
    <w:rsid w:val="009709AB"/>
    <w:rsid w:val="00971FD5"/>
    <w:rsid w:val="0097223A"/>
    <w:rsid w:val="009729E3"/>
    <w:rsid w:val="00974167"/>
    <w:rsid w:val="00974BED"/>
    <w:rsid w:val="00976143"/>
    <w:rsid w:val="009775A7"/>
    <w:rsid w:val="00980073"/>
    <w:rsid w:val="00980784"/>
    <w:rsid w:val="0098167D"/>
    <w:rsid w:val="00982041"/>
    <w:rsid w:val="00983099"/>
    <w:rsid w:val="009832E7"/>
    <w:rsid w:val="009836DB"/>
    <w:rsid w:val="009839EA"/>
    <w:rsid w:val="00984A57"/>
    <w:rsid w:val="00984EF3"/>
    <w:rsid w:val="00986062"/>
    <w:rsid w:val="009911A1"/>
    <w:rsid w:val="0099175F"/>
    <w:rsid w:val="00992322"/>
    <w:rsid w:val="00992A3A"/>
    <w:rsid w:val="00993261"/>
    <w:rsid w:val="00993578"/>
    <w:rsid w:val="00997E03"/>
    <w:rsid w:val="009A0770"/>
    <w:rsid w:val="009A0BA3"/>
    <w:rsid w:val="009A1A8B"/>
    <w:rsid w:val="009A2A56"/>
    <w:rsid w:val="009A2BE5"/>
    <w:rsid w:val="009A418D"/>
    <w:rsid w:val="009A520C"/>
    <w:rsid w:val="009A75FE"/>
    <w:rsid w:val="009B137E"/>
    <w:rsid w:val="009B2144"/>
    <w:rsid w:val="009B2D08"/>
    <w:rsid w:val="009B6315"/>
    <w:rsid w:val="009B6C73"/>
    <w:rsid w:val="009C1A02"/>
    <w:rsid w:val="009C4645"/>
    <w:rsid w:val="009C59F9"/>
    <w:rsid w:val="009C63B1"/>
    <w:rsid w:val="009C6C6F"/>
    <w:rsid w:val="009D0173"/>
    <w:rsid w:val="009D0895"/>
    <w:rsid w:val="009D21F6"/>
    <w:rsid w:val="009D3283"/>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440F"/>
    <w:rsid w:val="009E5FD0"/>
    <w:rsid w:val="009E60EA"/>
    <w:rsid w:val="009E6590"/>
    <w:rsid w:val="009E7F8B"/>
    <w:rsid w:val="009F01CF"/>
    <w:rsid w:val="009F06C5"/>
    <w:rsid w:val="009F0C46"/>
    <w:rsid w:val="009F2505"/>
    <w:rsid w:val="009F599E"/>
    <w:rsid w:val="009F5B9C"/>
    <w:rsid w:val="009F7D3B"/>
    <w:rsid w:val="00A00126"/>
    <w:rsid w:val="00A003C1"/>
    <w:rsid w:val="00A00655"/>
    <w:rsid w:val="00A00C58"/>
    <w:rsid w:val="00A010F0"/>
    <w:rsid w:val="00A02290"/>
    <w:rsid w:val="00A04535"/>
    <w:rsid w:val="00A070EE"/>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F82"/>
    <w:rsid w:val="00A350E9"/>
    <w:rsid w:val="00A3538E"/>
    <w:rsid w:val="00A3720D"/>
    <w:rsid w:val="00A37505"/>
    <w:rsid w:val="00A40594"/>
    <w:rsid w:val="00A41A0B"/>
    <w:rsid w:val="00A44C46"/>
    <w:rsid w:val="00A455E5"/>
    <w:rsid w:val="00A455F7"/>
    <w:rsid w:val="00A456F5"/>
    <w:rsid w:val="00A45853"/>
    <w:rsid w:val="00A46E22"/>
    <w:rsid w:val="00A47E4F"/>
    <w:rsid w:val="00A513D2"/>
    <w:rsid w:val="00A51406"/>
    <w:rsid w:val="00A530A2"/>
    <w:rsid w:val="00A53E78"/>
    <w:rsid w:val="00A54A51"/>
    <w:rsid w:val="00A56887"/>
    <w:rsid w:val="00A60B29"/>
    <w:rsid w:val="00A60B80"/>
    <w:rsid w:val="00A61197"/>
    <w:rsid w:val="00A63267"/>
    <w:rsid w:val="00A635F0"/>
    <w:rsid w:val="00A64046"/>
    <w:rsid w:val="00A64535"/>
    <w:rsid w:val="00A71411"/>
    <w:rsid w:val="00A71C30"/>
    <w:rsid w:val="00A71EF1"/>
    <w:rsid w:val="00A72235"/>
    <w:rsid w:val="00A72A25"/>
    <w:rsid w:val="00A740D7"/>
    <w:rsid w:val="00A75555"/>
    <w:rsid w:val="00A759CD"/>
    <w:rsid w:val="00A7660D"/>
    <w:rsid w:val="00A776D2"/>
    <w:rsid w:val="00A77FBD"/>
    <w:rsid w:val="00A836BF"/>
    <w:rsid w:val="00A83C4D"/>
    <w:rsid w:val="00A83D4C"/>
    <w:rsid w:val="00A84317"/>
    <w:rsid w:val="00A85490"/>
    <w:rsid w:val="00A85845"/>
    <w:rsid w:val="00A86707"/>
    <w:rsid w:val="00A86794"/>
    <w:rsid w:val="00A914E9"/>
    <w:rsid w:val="00A9216C"/>
    <w:rsid w:val="00A93438"/>
    <w:rsid w:val="00A9361C"/>
    <w:rsid w:val="00A94EEF"/>
    <w:rsid w:val="00A9587C"/>
    <w:rsid w:val="00A9619D"/>
    <w:rsid w:val="00A967E5"/>
    <w:rsid w:val="00A9697A"/>
    <w:rsid w:val="00A96CB3"/>
    <w:rsid w:val="00A97AA9"/>
    <w:rsid w:val="00AA054E"/>
    <w:rsid w:val="00AA17E3"/>
    <w:rsid w:val="00AA1C72"/>
    <w:rsid w:val="00AA2A5E"/>
    <w:rsid w:val="00AA2BF1"/>
    <w:rsid w:val="00AA3558"/>
    <w:rsid w:val="00AA3C76"/>
    <w:rsid w:val="00AA3E6B"/>
    <w:rsid w:val="00AA3FDF"/>
    <w:rsid w:val="00AA5D0C"/>
    <w:rsid w:val="00AA6B2C"/>
    <w:rsid w:val="00AB15E6"/>
    <w:rsid w:val="00AB1EE0"/>
    <w:rsid w:val="00AB2014"/>
    <w:rsid w:val="00AB234B"/>
    <w:rsid w:val="00AB23FC"/>
    <w:rsid w:val="00AB2493"/>
    <w:rsid w:val="00AB2603"/>
    <w:rsid w:val="00AB34BD"/>
    <w:rsid w:val="00AB3C03"/>
    <w:rsid w:val="00AB50AF"/>
    <w:rsid w:val="00AB52EA"/>
    <w:rsid w:val="00AB5EF6"/>
    <w:rsid w:val="00AB7BAC"/>
    <w:rsid w:val="00AC0EF8"/>
    <w:rsid w:val="00AC263A"/>
    <w:rsid w:val="00AC2A27"/>
    <w:rsid w:val="00AC2E64"/>
    <w:rsid w:val="00AC3DBE"/>
    <w:rsid w:val="00AC4959"/>
    <w:rsid w:val="00AC67EB"/>
    <w:rsid w:val="00AC7995"/>
    <w:rsid w:val="00AD039B"/>
    <w:rsid w:val="00AD0565"/>
    <w:rsid w:val="00AD0A0A"/>
    <w:rsid w:val="00AD32D9"/>
    <w:rsid w:val="00AD3352"/>
    <w:rsid w:val="00AD47E3"/>
    <w:rsid w:val="00AD4A59"/>
    <w:rsid w:val="00AD5746"/>
    <w:rsid w:val="00AD60A8"/>
    <w:rsid w:val="00AD64B8"/>
    <w:rsid w:val="00AE089F"/>
    <w:rsid w:val="00AE36AF"/>
    <w:rsid w:val="00AE3F46"/>
    <w:rsid w:val="00AE4061"/>
    <w:rsid w:val="00AE52E7"/>
    <w:rsid w:val="00AE68F6"/>
    <w:rsid w:val="00AE6E54"/>
    <w:rsid w:val="00AF17F6"/>
    <w:rsid w:val="00AF2D24"/>
    <w:rsid w:val="00AF413F"/>
    <w:rsid w:val="00AF420A"/>
    <w:rsid w:val="00AF4465"/>
    <w:rsid w:val="00AF4901"/>
    <w:rsid w:val="00AF670F"/>
    <w:rsid w:val="00AF6E5B"/>
    <w:rsid w:val="00AF75AC"/>
    <w:rsid w:val="00AF766A"/>
    <w:rsid w:val="00B014BB"/>
    <w:rsid w:val="00B02826"/>
    <w:rsid w:val="00B045EC"/>
    <w:rsid w:val="00B058FF"/>
    <w:rsid w:val="00B07483"/>
    <w:rsid w:val="00B074D0"/>
    <w:rsid w:val="00B10CFD"/>
    <w:rsid w:val="00B158C3"/>
    <w:rsid w:val="00B16D56"/>
    <w:rsid w:val="00B22517"/>
    <w:rsid w:val="00B2293D"/>
    <w:rsid w:val="00B2353C"/>
    <w:rsid w:val="00B272BE"/>
    <w:rsid w:val="00B27737"/>
    <w:rsid w:val="00B27A14"/>
    <w:rsid w:val="00B32C84"/>
    <w:rsid w:val="00B33E5E"/>
    <w:rsid w:val="00B34D85"/>
    <w:rsid w:val="00B3567F"/>
    <w:rsid w:val="00B3710C"/>
    <w:rsid w:val="00B37FE3"/>
    <w:rsid w:val="00B413CC"/>
    <w:rsid w:val="00B41521"/>
    <w:rsid w:val="00B415FE"/>
    <w:rsid w:val="00B42205"/>
    <w:rsid w:val="00B43502"/>
    <w:rsid w:val="00B445B9"/>
    <w:rsid w:val="00B44E97"/>
    <w:rsid w:val="00B46A08"/>
    <w:rsid w:val="00B46C4E"/>
    <w:rsid w:val="00B47DAA"/>
    <w:rsid w:val="00B504BE"/>
    <w:rsid w:val="00B506B0"/>
    <w:rsid w:val="00B52A04"/>
    <w:rsid w:val="00B53238"/>
    <w:rsid w:val="00B5343C"/>
    <w:rsid w:val="00B53EA7"/>
    <w:rsid w:val="00B55E5A"/>
    <w:rsid w:val="00B561E7"/>
    <w:rsid w:val="00B568BF"/>
    <w:rsid w:val="00B573CF"/>
    <w:rsid w:val="00B60383"/>
    <w:rsid w:val="00B60FC0"/>
    <w:rsid w:val="00B664E9"/>
    <w:rsid w:val="00B67A2A"/>
    <w:rsid w:val="00B70610"/>
    <w:rsid w:val="00B72DDC"/>
    <w:rsid w:val="00B7347F"/>
    <w:rsid w:val="00B74AB7"/>
    <w:rsid w:val="00B75565"/>
    <w:rsid w:val="00B76017"/>
    <w:rsid w:val="00B7689E"/>
    <w:rsid w:val="00B81053"/>
    <w:rsid w:val="00B82164"/>
    <w:rsid w:val="00B870C8"/>
    <w:rsid w:val="00B87B00"/>
    <w:rsid w:val="00B90513"/>
    <w:rsid w:val="00B90A5B"/>
    <w:rsid w:val="00B90C2A"/>
    <w:rsid w:val="00B916FF"/>
    <w:rsid w:val="00B9217D"/>
    <w:rsid w:val="00B92345"/>
    <w:rsid w:val="00B92C4F"/>
    <w:rsid w:val="00B95196"/>
    <w:rsid w:val="00B9530E"/>
    <w:rsid w:val="00B95B12"/>
    <w:rsid w:val="00BA02A3"/>
    <w:rsid w:val="00BA14BA"/>
    <w:rsid w:val="00BA17A9"/>
    <w:rsid w:val="00BA30F2"/>
    <w:rsid w:val="00BA3736"/>
    <w:rsid w:val="00BA4EAC"/>
    <w:rsid w:val="00BA617C"/>
    <w:rsid w:val="00BA68B2"/>
    <w:rsid w:val="00BA7C51"/>
    <w:rsid w:val="00BA7E1E"/>
    <w:rsid w:val="00BA7E21"/>
    <w:rsid w:val="00BB18C4"/>
    <w:rsid w:val="00BB4BBA"/>
    <w:rsid w:val="00BB505E"/>
    <w:rsid w:val="00BB7324"/>
    <w:rsid w:val="00BB78A6"/>
    <w:rsid w:val="00BC0543"/>
    <w:rsid w:val="00BC11E8"/>
    <w:rsid w:val="00BC15FB"/>
    <w:rsid w:val="00BC16FF"/>
    <w:rsid w:val="00BC1721"/>
    <w:rsid w:val="00BC22CF"/>
    <w:rsid w:val="00BC2E6F"/>
    <w:rsid w:val="00BC3D6F"/>
    <w:rsid w:val="00BC4C6A"/>
    <w:rsid w:val="00BC57F5"/>
    <w:rsid w:val="00BC782B"/>
    <w:rsid w:val="00BD18DC"/>
    <w:rsid w:val="00BD1D4D"/>
    <w:rsid w:val="00BD498B"/>
    <w:rsid w:val="00BD604B"/>
    <w:rsid w:val="00BD65CD"/>
    <w:rsid w:val="00BD6A7C"/>
    <w:rsid w:val="00BD768A"/>
    <w:rsid w:val="00BD7AFF"/>
    <w:rsid w:val="00BD7CA7"/>
    <w:rsid w:val="00BE13B9"/>
    <w:rsid w:val="00BE4FCF"/>
    <w:rsid w:val="00BE5827"/>
    <w:rsid w:val="00BE5DA9"/>
    <w:rsid w:val="00BE69FF"/>
    <w:rsid w:val="00BF0872"/>
    <w:rsid w:val="00BF1745"/>
    <w:rsid w:val="00BF19FA"/>
    <w:rsid w:val="00BF4C3E"/>
    <w:rsid w:val="00BF757A"/>
    <w:rsid w:val="00C017FF"/>
    <w:rsid w:val="00C01FBD"/>
    <w:rsid w:val="00C02090"/>
    <w:rsid w:val="00C022E9"/>
    <w:rsid w:val="00C03970"/>
    <w:rsid w:val="00C04AA0"/>
    <w:rsid w:val="00C060B9"/>
    <w:rsid w:val="00C06806"/>
    <w:rsid w:val="00C069F3"/>
    <w:rsid w:val="00C0746C"/>
    <w:rsid w:val="00C07ED9"/>
    <w:rsid w:val="00C11341"/>
    <w:rsid w:val="00C15A5E"/>
    <w:rsid w:val="00C17352"/>
    <w:rsid w:val="00C17507"/>
    <w:rsid w:val="00C17BFA"/>
    <w:rsid w:val="00C22767"/>
    <w:rsid w:val="00C22C2F"/>
    <w:rsid w:val="00C25992"/>
    <w:rsid w:val="00C267E3"/>
    <w:rsid w:val="00C27B64"/>
    <w:rsid w:val="00C30167"/>
    <w:rsid w:val="00C308DC"/>
    <w:rsid w:val="00C31AC5"/>
    <w:rsid w:val="00C31CE3"/>
    <w:rsid w:val="00C3206E"/>
    <w:rsid w:val="00C365F1"/>
    <w:rsid w:val="00C3665C"/>
    <w:rsid w:val="00C368EE"/>
    <w:rsid w:val="00C36EA2"/>
    <w:rsid w:val="00C37F27"/>
    <w:rsid w:val="00C40CC6"/>
    <w:rsid w:val="00C41E59"/>
    <w:rsid w:val="00C449B4"/>
    <w:rsid w:val="00C4510D"/>
    <w:rsid w:val="00C471D2"/>
    <w:rsid w:val="00C4754D"/>
    <w:rsid w:val="00C50A1C"/>
    <w:rsid w:val="00C514CD"/>
    <w:rsid w:val="00C5311E"/>
    <w:rsid w:val="00C5343D"/>
    <w:rsid w:val="00C54A52"/>
    <w:rsid w:val="00C5641F"/>
    <w:rsid w:val="00C60A5E"/>
    <w:rsid w:val="00C61028"/>
    <w:rsid w:val="00C61954"/>
    <w:rsid w:val="00C62B36"/>
    <w:rsid w:val="00C63219"/>
    <w:rsid w:val="00C632D8"/>
    <w:rsid w:val="00C64182"/>
    <w:rsid w:val="00C66EA0"/>
    <w:rsid w:val="00C70604"/>
    <w:rsid w:val="00C7392F"/>
    <w:rsid w:val="00C74920"/>
    <w:rsid w:val="00C7610F"/>
    <w:rsid w:val="00C773F9"/>
    <w:rsid w:val="00C775A1"/>
    <w:rsid w:val="00C77B0A"/>
    <w:rsid w:val="00C8091E"/>
    <w:rsid w:val="00C80EE0"/>
    <w:rsid w:val="00C8162B"/>
    <w:rsid w:val="00C816BA"/>
    <w:rsid w:val="00C81CA2"/>
    <w:rsid w:val="00C8291D"/>
    <w:rsid w:val="00C833B1"/>
    <w:rsid w:val="00C913EF"/>
    <w:rsid w:val="00C91C9D"/>
    <w:rsid w:val="00C939B9"/>
    <w:rsid w:val="00C93A2E"/>
    <w:rsid w:val="00C95F0B"/>
    <w:rsid w:val="00C96435"/>
    <w:rsid w:val="00C96BF3"/>
    <w:rsid w:val="00C97AFD"/>
    <w:rsid w:val="00CA17E1"/>
    <w:rsid w:val="00CA1E0F"/>
    <w:rsid w:val="00CA2484"/>
    <w:rsid w:val="00CA2910"/>
    <w:rsid w:val="00CA296D"/>
    <w:rsid w:val="00CA32BF"/>
    <w:rsid w:val="00CA32DC"/>
    <w:rsid w:val="00CA5D88"/>
    <w:rsid w:val="00CA5EA6"/>
    <w:rsid w:val="00CA6433"/>
    <w:rsid w:val="00CA647F"/>
    <w:rsid w:val="00CA69D7"/>
    <w:rsid w:val="00CA70D9"/>
    <w:rsid w:val="00CA79F7"/>
    <w:rsid w:val="00CB00DA"/>
    <w:rsid w:val="00CB5291"/>
    <w:rsid w:val="00CB644D"/>
    <w:rsid w:val="00CB7517"/>
    <w:rsid w:val="00CC016D"/>
    <w:rsid w:val="00CC01F2"/>
    <w:rsid w:val="00CC07FA"/>
    <w:rsid w:val="00CC0B97"/>
    <w:rsid w:val="00CC174B"/>
    <w:rsid w:val="00CC2B30"/>
    <w:rsid w:val="00CC3532"/>
    <w:rsid w:val="00CC5AC0"/>
    <w:rsid w:val="00CC6554"/>
    <w:rsid w:val="00CD00BC"/>
    <w:rsid w:val="00CD1954"/>
    <w:rsid w:val="00CD1F12"/>
    <w:rsid w:val="00CD34FF"/>
    <w:rsid w:val="00CD36CA"/>
    <w:rsid w:val="00CD37B5"/>
    <w:rsid w:val="00CD3B65"/>
    <w:rsid w:val="00CD3CB1"/>
    <w:rsid w:val="00CD43FA"/>
    <w:rsid w:val="00CD608D"/>
    <w:rsid w:val="00CD7616"/>
    <w:rsid w:val="00CD795A"/>
    <w:rsid w:val="00CE047A"/>
    <w:rsid w:val="00CE11DD"/>
    <w:rsid w:val="00CE30E7"/>
    <w:rsid w:val="00CE3283"/>
    <w:rsid w:val="00CE35FD"/>
    <w:rsid w:val="00CE4D95"/>
    <w:rsid w:val="00CE629D"/>
    <w:rsid w:val="00CF07E6"/>
    <w:rsid w:val="00CF226E"/>
    <w:rsid w:val="00CF2562"/>
    <w:rsid w:val="00CF33B6"/>
    <w:rsid w:val="00CF406F"/>
    <w:rsid w:val="00CF5521"/>
    <w:rsid w:val="00CF7D29"/>
    <w:rsid w:val="00D01FB8"/>
    <w:rsid w:val="00D021C2"/>
    <w:rsid w:val="00D02A81"/>
    <w:rsid w:val="00D04C65"/>
    <w:rsid w:val="00D04C90"/>
    <w:rsid w:val="00D062BE"/>
    <w:rsid w:val="00D06457"/>
    <w:rsid w:val="00D06776"/>
    <w:rsid w:val="00D068BB"/>
    <w:rsid w:val="00D0769E"/>
    <w:rsid w:val="00D07E73"/>
    <w:rsid w:val="00D115E6"/>
    <w:rsid w:val="00D13FEF"/>
    <w:rsid w:val="00D151E7"/>
    <w:rsid w:val="00D1730F"/>
    <w:rsid w:val="00D17787"/>
    <w:rsid w:val="00D17B1C"/>
    <w:rsid w:val="00D20593"/>
    <w:rsid w:val="00D22024"/>
    <w:rsid w:val="00D22406"/>
    <w:rsid w:val="00D2384D"/>
    <w:rsid w:val="00D25869"/>
    <w:rsid w:val="00D25AC0"/>
    <w:rsid w:val="00D25C0A"/>
    <w:rsid w:val="00D25D86"/>
    <w:rsid w:val="00D263F1"/>
    <w:rsid w:val="00D26487"/>
    <w:rsid w:val="00D265C8"/>
    <w:rsid w:val="00D323C4"/>
    <w:rsid w:val="00D33F2B"/>
    <w:rsid w:val="00D340DB"/>
    <w:rsid w:val="00D34189"/>
    <w:rsid w:val="00D34CE8"/>
    <w:rsid w:val="00D34E19"/>
    <w:rsid w:val="00D3593A"/>
    <w:rsid w:val="00D36139"/>
    <w:rsid w:val="00D375D6"/>
    <w:rsid w:val="00D4001C"/>
    <w:rsid w:val="00D438F0"/>
    <w:rsid w:val="00D43A9D"/>
    <w:rsid w:val="00D44372"/>
    <w:rsid w:val="00D443D4"/>
    <w:rsid w:val="00D4603C"/>
    <w:rsid w:val="00D5206B"/>
    <w:rsid w:val="00D52ADB"/>
    <w:rsid w:val="00D53161"/>
    <w:rsid w:val="00D5508F"/>
    <w:rsid w:val="00D55786"/>
    <w:rsid w:val="00D55EC2"/>
    <w:rsid w:val="00D55F02"/>
    <w:rsid w:val="00D60812"/>
    <w:rsid w:val="00D60A30"/>
    <w:rsid w:val="00D623DD"/>
    <w:rsid w:val="00D62D39"/>
    <w:rsid w:val="00D62FA0"/>
    <w:rsid w:val="00D632DB"/>
    <w:rsid w:val="00D63708"/>
    <w:rsid w:val="00D63B83"/>
    <w:rsid w:val="00D6481B"/>
    <w:rsid w:val="00D66900"/>
    <w:rsid w:val="00D67371"/>
    <w:rsid w:val="00D70935"/>
    <w:rsid w:val="00D724FE"/>
    <w:rsid w:val="00D759E5"/>
    <w:rsid w:val="00D77706"/>
    <w:rsid w:val="00D77A2F"/>
    <w:rsid w:val="00D80219"/>
    <w:rsid w:val="00D8128F"/>
    <w:rsid w:val="00D82717"/>
    <w:rsid w:val="00D82D31"/>
    <w:rsid w:val="00D82E17"/>
    <w:rsid w:val="00D83283"/>
    <w:rsid w:val="00D84645"/>
    <w:rsid w:val="00D859AC"/>
    <w:rsid w:val="00D86198"/>
    <w:rsid w:val="00D874EA"/>
    <w:rsid w:val="00D87704"/>
    <w:rsid w:val="00D878BD"/>
    <w:rsid w:val="00D90EDE"/>
    <w:rsid w:val="00D9165A"/>
    <w:rsid w:val="00D91EAA"/>
    <w:rsid w:val="00D92AC0"/>
    <w:rsid w:val="00D94DD8"/>
    <w:rsid w:val="00D96028"/>
    <w:rsid w:val="00DA1892"/>
    <w:rsid w:val="00DA22EF"/>
    <w:rsid w:val="00DA34B6"/>
    <w:rsid w:val="00DA36CA"/>
    <w:rsid w:val="00DA48A7"/>
    <w:rsid w:val="00DA5907"/>
    <w:rsid w:val="00DA6E22"/>
    <w:rsid w:val="00DA6E7B"/>
    <w:rsid w:val="00DA7022"/>
    <w:rsid w:val="00DB0AED"/>
    <w:rsid w:val="00DB10AB"/>
    <w:rsid w:val="00DB1F0A"/>
    <w:rsid w:val="00DB2B34"/>
    <w:rsid w:val="00DB3CCC"/>
    <w:rsid w:val="00DB53CB"/>
    <w:rsid w:val="00DB67F3"/>
    <w:rsid w:val="00DC11F9"/>
    <w:rsid w:val="00DC2867"/>
    <w:rsid w:val="00DC2BC4"/>
    <w:rsid w:val="00DC343A"/>
    <w:rsid w:val="00DC344A"/>
    <w:rsid w:val="00DD130F"/>
    <w:rsid w:val="00DD4131"/>
    <w:rsid w:val="00DD4387"/>
    <w:rsid w:val="00DD5B36"/>
    <w:rsid w:val="00DD7C42"/>
    <w:rsid w:val="00DE295D"/>
    <w:rsid w:val="00DE2B95"/>
    <w:rsid w:val="00DE45E9"/>
    <w:rsid w:val="00DE51F9"/>
    <w:rsid w:val="00DE52FB"/>
    <w:rsid w:val="00DE56BC"/>
    <w:rsid w:val="00DE7F8F"/>
    <w:rsid w:val="00DF03B9"/>
    <w:rsid w:val="00DF0C4B"/>
    <w:rsid w:val="00DF0F34"/>
    <w:rsid w:val="00DF1657"/>
    <w:rsid w:val="00DF36FD"/>
    <w:rsid w:val="00DF3718"/>
    <w:rsid w:val="00DF38F5"/>
    <w:rsid w:val="00DF6462"/>
    <w:rsid w:val="00DF6D4A"/>
    <w:rsid w:val="00E00B6A"/>
    <w:rsid w:val="00E01C2C"/>
    <w:rsid w:val="00E020B4"/>
    <w:rsid w:val="00E023F7"/>
    <w:rsid w:val="00E028E3"/>
    <w:rsid w:val="00E03016"/>
    <w:rsid w:val="00E035A1"/>
    <w:rsid w:val="00E03911"/>
    <w:rsid w:val="00E049CB"/>
    <w:rsid w:val="00E04D19"/>
    <w:rsid w:val="00E05B4C"/>
    <w:rsid w:val="00E07967"/>
    <w:rsid w:val="00E10691"/>
    <w:rsid w:val="00E1143F"/>
    <w:rsid w:val="00E1160F"/>
    <w:rsid w:val="00E116BC"/>
    <w:rsid w:val="00E11A5D"/>
    <w:rsid w:val="00E12377"/>
    <w:rsid w:val="00E12D42"/>
    <w:rsid w:val="00E12E5C"/>
    <w:rsid w:val="00E13986"/>
    <w:rsid w:val="00E14FF2"/>
    <w:rsid w:val="00E2059A"/>
    <w:rsid w:val="00E234C8"/>
    <w:rsid w:val="00E23FD9"/>
    <w:rsid w:val="00E241D9"/>
    <w:rsid w:val="00E24E21"/>
    <w:rsid w:val="00E26111"/>
    <w:rsid w:val="00E27F54"/>
    <w:rsid w:val="00E30277"/>
    <w:rsid w:val="00E308BB"/>
    <w:rsid w:val="00E313CE"/>
    <w:rsid w:val="00E3165C"/>
    <w:rsid w:val="00E3244D"/>
    <w:rsid w:val="00E32751"/>
    <w:rsid w:val="00E32A8E"/>
    <w:rsid w:val="00E33895"/>
    <w:rsid w:val="00E3398B"/>
    <w:rsid w:val="00E33A3B"/>
    <w:rsid w:val="00E367DC"/>
    <w:rsid w:val="00E36D70"/>
    <w:rsid w:val="00E377C9"/>
    <w:rsid w:val="00E37B82"/>
    <w:rsid w:val="00E37D59"/>
    <w:rsid w:val="00E42E68"/>
    <w:rsid w:val="00E44A20"/>
    <w:rsid w:val="00E44C2A"/>
    <w:rsid w:val="00E453B2"/>
    <w:rsid w:val="00E46571"/>
    <w:rsid w:val="00E501E2"/>
    <w:rsid w:val="00E51651"/>
    <w:rsid w:val="00E550CC"/>
    <w:rsid w:val="00E55672"/>
    <w:rsid w:val="00E5616A"/>
    <w:rsid w:val="00E56FEA"/>
    <w:rsid w:val="00E60196"/>
    <w:rsid w:val="00E61F8D"/>
    <w:rsid w:val="00E63C2D"/>
    <w:rsid w:val="00E6638F"/>
    <w:rsid w:val="00E67590"/>
    <w:rsid w:val="00E67F1D"/>
    <w:rsid w:val="00E703B0"/>
    <w:rsid w:val="00E709FC"/>
    <w:rsid w:val="00E71ADD"/>
    <w:rsid w:val="00E73876"/>
    <w:rsid w:val="00E74575"/>
    <w:rsid w:val="00E74AD8"/>
    <w:rsid w:val="00E76CEE"/>
    <w:rsid w:val="00E77115"/>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5C4"/>
    <w:rsid w:val="00E95C4B"/>
    <w:rsid w:val="00E965EE"/>
    <w:rsid w:val="00E9683E"/>
    <w:rsid w:val="00E96ECC"/>
    <w:rsid w:val="00E9744A"/>
    <w:rsid w:val="00E97657"/>
    <w:rsid w:val="00EA2A51"/>
    <w:rsid w:val="00EA3F51"/>
    <w:rsid w:val="00EA536C"/>
    <w:rsid w:val="00EA7A63"/>
    <w:rsid w:val="00EB0052"/>
    <w:rsid w:val="00EB0FBB"/>
    <w:rsid w:val="00EB215C"/>
    <w:rsid w:val="00EB3768"/>
    <w:rsid w:val="00EB3A44"/>
    <w:rsid w:val="00EB5817"/>
    <w:rsid w:val="00EB5D26"/>
    <w:rsid w:val="00EB7522"/>
    <w:rsid w:val="00EB7D69"/>
    <w:rsid w:val="00EC223C"/>
    <w:rsid w:val="00EC2870"/>
    <w:rsid w:val="00EC2AC1"/>
    <w:rsid w:val="00EC4184"/>
    <w:rsid w:val="00EC7BA7"/>
    <w:rsid w:val="00ED0CB1"/>
    <w:rsid w:val="00ED230B"/>
    <w:rsid w:val="00ED3570"/>
    <w:rsid w:val="00ED368F"/>
    <w:rsid w:val="00ED3B71"/>
    <w:rsid w:val="00ED4A3F"/>
    <w:rsid w:val="00ED4FDE"/>
    <w:rsid w:val="00ED6D87"/>
    <w:rsid w:val="00EE1DB5"/>
    <w:rsid w:val="00EE3357"/>
    <w:rsid w:val="00EF00C9"/>
    <w:rsid w:val="00EF09C3"/>
    <w:rsid w:val="00EF0C29"/>
    <w:rsid w:val="00EF30E2"/>
    <w:rsid w:val="00EF3119"/>
    <w:rsid w:val="00EF3282"/>
    <w:rsid w:val="00EF6C64"/>
    <w:rsid w:val="00F002AB"/>
    <w:rsid w:val="00F00F89"/>
    <w:rsid w:val="00F013B9"/>
    <w:rsid w:val="00F016BB"/>
    <w:rsid w:val="00F0237A"/>
    <w:rsid w:val="00F039CF"/>
    <w:rsid w:val="00F05335"/>
    <w:rsid w:val="00F0536E"/>
    <w:rsid w:val="00F05D39"/>
    <w:rsid w:val="00F06333"/>
    <w:rsid w:val="00F10E47"/>
    <w:rsid w:val="00F12F6E"/>
    <w:rsid w:val="00F13CBC"/>
    <w:rsid w:val="00F14855"/>
    <w:rsid w:val="00F21417"/>
    <w:rsid w:val="00F21E4B"/>
    <w:rsid w:val="00F22A72"/>
    <w:rsid w:val="00F231CE"/>
    <w:rsid w:val="00F2385F"/>
    <w:rsid w:val="00F24324"/>
    <w:rsid w:val="00F247C8"/>
    <w:rsid w:val="00F25BF4"/>
    <w:rsid w:val="00F2635E"/>
    <w:rsid w:val="00F278B9"/>
    <w:rsid w:val="00F30AFD"/>
    <w:rsid w:val="00F318C5"/>
    <w:rsid w:val="00F3199A"/>
    <w:rsid w:val="00F319A5"/>
    <w:rsid w:val="00F33B1D"/>
    <w:rsid w:val="00F343E0"/>
    <w:rsid w:val="00F360B3"/>
    <w:rsid w:val="00F36BA0"/>
    <w:rsid w:val="00F40A28"/>
    <w:rsid w:val="00F41232"/>
    <w:rsid w:val="00F41319"/>
    <w:rsid w:val="00F421E6"/>
    <w:rsid w:val="00F4303A"/>
    <w:rsid w:val="00F44BC3"/>
    <w:rsid w:val="00F475D0"/>
    <w:rsid w:val="00F5118A"/>
    <w:rsid w:val="00F555B0"/>
    <w:rsid w:val="00F6162A"/>
    <w:rsid w:val="00F66759"/>
    <w:rsid w:val="00F67474"/>
    <w:rsid w:val="00F67967"/>
    <w:rsid w:val="00F67CF6"/>
    <w:rsid w:val="00F72651"/>
    <w:rsid w:val="00F7301E"/>
    <w:rsid w:val="00F8175E"/>
    <w:rsid w:val="00F81B05"/>
    <w:rsid w:val="00F81F15"/>
    <w:rsid w:val="00F82049"/>
    <w:rsid w:val="00F82C9F"/>
    <w:rsid w:val="00F8388A"/>
    <w:rsid w:val="00F84E80"/>
    <w:rsid w:val="00F87537"/>
    <w:rsid w:val="00F90D7D"/>
    <w:rsid w:val="00F947DC"/>
    <w:rsid w:val="00F948F3"/>
    <w:rsid w:val="00F9781A"/>
    <w:rsid w:val="00FA057C"/>
    <w:rsid w:val="00FA086F"/>
    <w:rsid w:val="00FA0D16"/>
    <w:rsid w:val="00FA185B"/>
    <w:rsid w:val="00FA60BF"/>
    <w:rsid w:val="00FA6883"/>
    <w:rsid w:val="00FA7405"/>
    <w:rsid w:val="00FB0D12"/>
    <w:rsid w:val="00FB1CB4"/>
    <w:rsid w:val="00FB23B5"/>
    <w:rsid w:val="00FB3D40"/>
    <w:rsid w:val="00FB44EB"/>
    <w:rsid w:val="00FB675F"/>
    <w:rsid w:val="00FC11A3"/>
    <w:rsid w:val="00FC1300"/>
    <w:rsid w:val="00FC1C93"/>
    <w:rsid w:val="00FC42A3"/>
    <w:rsid w:val="00FC4330"/>
    <w:rsid w:val="00FC55F9"/>
    <w:rsid w:val="00FC60D4"/>
    <w:rsid w:val="00FC77AE"/>
    <w:rsid w:val="00FC7D9F"/>
    <w:rsid w:val="00FD2BAD"/>
    <w:rsid w:val="00FD2F51"/>
    <w:rsid w:val="00FD330C"/>
    <w:rsid w:val="00FD3660"/>
    <w:rsid w:val="00FD484C"/>
    <w:rsid w:val="00FD49D6"/>
    <w:rsid w:val="00FD5230"/>
    <w:rsid w:val="00FD55FB"/>
    <w:rsid w:val="00FD569D"/>
    <w:rsid w:val="00FD678B"/>
    <w:rsid w:val="00FD6903"/>
    <w:rsid w:val="00FE1ADC"/>
    <w:rsid w:val="00FE225D"/>
    <w:rsid w:val="00FE4989"/>
    <w:rsid w:val="00FE56E3"/>
    <w:rsid w:val="00FE5C3E"/>
    <w:rsid w:val="00FF0A2F"/>
    <w:rsid w:val="00FF1B04"/>
    <w:rsid w:val="00FF22F8"/>
    <w:rsid w:val="01654C82"/>
    <w:rsid w:val="020A6A96"/>
    <w:rsid w:val="0356786B"/>
    <w:rsid w:val="046E31C1"/>
    <w:rsid w:val="056C4F65"/>
    <w:rsid w:val="068063ED"/>
    <w:rsid w:val="06F4696E"/>
    <w:rsid w:val="07245E56"/>
    <w:rsid w:val="07C8537C"/>
    <w:rsid w:val="0A674F0A"/>
    <w:rsid w:val="0C023D8C"/>
    <w:rsid w:val="0C225D7B"/>
    <w:rsid w:val="0E0A69F0"/>
    <w:rsid w:val="0E202D33"/>
    <w:rsid w:val="0E9022D3"/>
    <w:rsid w:val="0E94232E"/>
    <w:rsid w:val="0F1306D5"/>
    <w:rsid w:val="11295396"/>
    <w:rsid w:val="12F56293"/>
    <w:rsid w:val="163A1B23"/>
    <w:rsid w:val="163E2FB7"/>
    <w:rsid w:val="17622796"/>
    <w:rsid w:val="17BC31D0"/>
    <w:rsid w:val="181C08FC"/>
    <w:rsid w:val="19F32D28"/>
    <w:rsid w:val="1A48157B"/>
    <w:rsid w:val="1AAA799F"/>
    <w:rsid w:val="1B9930ED"/>
    <w:rsid w:val="1BD70953"/>
    <w:rsid w:val="1BF87698"/>
    <w:rsid w:val="1D974514"/>
    <w:rsid w:val="1E585AB7"/>
    <w:rsid w:val="1E8075A1"/>
    <w:rsid w:val="1EB160C2"/>
    <w:rsid w:val="1ED767FD"/>
    <w:rsid w:val="1FA97B1F"/>
    <w:rsid w:val="1FF145B9"/>
    <w:rsid w:val="218137BE"/>
    <w:rsid w:val="2193546F"/>
    <w:rsid w:val="26F50BA9"/>
    <w:rsid w:val="27BD5E26"/>
    <w:rsid w:val="282E38A8"/>
    <w:rsid w:val="285E4249"/>
    <w:rsid w:val="29026D00"/>
    <w:rsid w:val="29AF0175"/>
    <w:rsid w:val="2EA644DF"/>
    <w:rsid w:val="2FB532A0"/>
    <w:rsid w:val="3198116E"/>
    <w:rsid w:val="319C4BEA"/>
    <w:rsid w:val="338472B6"/>
    <w:rsid w:val="34C829B2"/>
    <w:rsid w:val="35381804"/>
    <w:rsid w:val="36146FAD"/>
    <w:rsid w:val="37C414AB"/>
    <w:rsid w:val="38051411"/>
    <w:rsid w:val="386A3F56"/>
    <w:rsid w:val="38777E2D"/>
    <w:rsid w:val="3A810EF7"/>
    <w:rsid w:val="3A842191"/>
    <w:rsid w:val="3ACF0F3F"/>
    <w:rsid w:val="3B64552B"/>
    <w:rsid w:val="3B7626CB"/>
    <w:rsid w:val="3C3802E9"/>
    <w:rsid w:val="3DA51C15"/>
    <w:rsid w:val="3E586AB8"/>
    <w:rsid w:val="3E5C1B1D"/>
    <w:rsid w:val="3EA127C3"/>
    <w:rsid w:val="3EAE14E9"/>
    <w:rsid w:val="3F325ACF"/>
    <w:rsid w:val="3FD261A6"/>
    <w:rsid w:val="403A056B"/>
    <w:rsid w:val="407C0C49"/>
    <w:rsid w:val="41396A16"/>
    <w:rsid w:val="42EB2F9C"/>
    <w:rsid w:val="45226963"/>
    <w:rsid w:val="477C2F5C"/>
    <w:rsid w:val="499C5ED6"/>
    <w:rsid w:val="49CF7D54"/>
    <w:rsid w:val="4AA5323D"/>
    <w:rsid w:val="4B7D7333"/>
    <w:rsid w:val="4D39606F"/>
    <w:rsid w:val="4F137BD5"/>
    <w:rsid w:val="4F8E3D4D"/>
    <w:rsid w:val="50F87284"/>
    <w:rsid w:val="53063B85"/>
    <w:rsid w:val="533C1961"/>
    <w:rsid w:val="53B3493A"/>
    <w:rsid w:val="54560EDE"/>
    <w:rsid w:val="545B2A54"/>
    <w:rsid w:val="5537323C"/>
    <w:rsid w:val="55855837"/>
    <w:rsid w:val="55E83741"/>
    <w:rsid w:val="56503211"/>
    <w:rsid w:val="570D32AC"/>
    <w:rsid w:val="579D1E4D"/>
    <w:rsid w:val="596D06EA"/>
    <w:rsid w:val="598B567E"/>
    <w:rsid w:val="5AFE0F22"/>
    <w:rsid w:val="5C624734"/>
    <w:rsid w:val="5DDB68FD"/>
    <w:rsid w:val="5F9E3186"/>
    <w:rsid w:val="5FE91ABC"/>
    <w:rsid w:val="60EB32EA"/>
    <w:rsid w:val="61CF16A9"/>
    <w:rsid w:val="61DF50C6"/>
    <w:rsid w:val="62874DEC"/>
    <w:rsid w:val="628E734C"/>
    <w:rsid w:val="62BD3A82"/>
    <w:rsid w:val="652B25DB"/>
    <w:rsid w:val="6580603B"/>
    <w:rsid w:val="66A34D18"/>
    <w:rsid w:val="679B508E"/>
    <w:rsid w:val="67B229F1"/>
    <w:rsid w:val="682A44E1"/>
    <w:rsid w:val="68C7223A"/>
    <w:rsid w:val="68EF6886"/>
    <w:rsid w:val="69867C07"/>
    <w:rsid w:val="6AAD6877"/>
    <w:rsid w:val="6B3F3089"/>
    <w:rsid w:val="6C2B2E22"/>
    <w:rsid w:val="6CC42B41"/>
    <w:rsid w:val="6EAA7DFD"/>
    <w:rsid w:val="6EE25628"/>
    <w:rsid w:val="6FD42FB7"/>
    <w:rsid w:val="6FDD1093"/>
    <w:rsid w:val="709C0126"/>
    <w:rsid w:val="70E22664"/>
    <w:rsid w:val="72944AD1"/>
    <w:rsid w:val="75697486"/>
    <w:rsid w:val="76022652"/>
    <w:rsid w:val="768501BE"/>
    <w:rsid w:val="76C8601E"/>
    <w:rsid w:val="77150144"/>
    <w:rsid w:val="777C6EC8"/>
    <w:rsid w:val="79E61650"/>
    <w:rsid w:val="7A6A180C"/>
    <w:rsid w:val="7B426088"/>
    <w:rsid w:val="7BEA1CFE"/>
    <w:rsid w:val="7D803772"/>
    <w:rsid w:val="7D80556D"/>
    <w:rsid w:val="7E3713F1"/>
    <w:rsid w:val="7ED86E63"/>
    <w:rsid w:val="7F553466"/>
    <w:rsid w:val="7FD40C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9"/>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50"/>
    <w:qFormat/>
    <w:uiPriority w:val="0"/>
    <w:pPr>
      <w:keepNext/>
      <w:keepLines/>
      <w:spacing w:before="260" w:after="260" w:line="413" w:lineRule="auto"/>
      <w:outlineLvl w:val="2"/>
    </w:pPr>
    <w:rPr>
      <w:rFonts w:ascii="Times New Roman" w:hAnsi="Times New Roman" w:cs="Times New Roman"/>
      <w:b/>
      <w:sz w:val="32"/>
      <w:szCs w:val="20"/>
    </w:rPr>
  </w:style>
  <w:style w:type="paragraph" w:styleId="5">
    <w:name w:val="heading 4"/>
    <w:basedOn w:val="1"/>
    <w:next w:val="1"/>
    <w:link w:val="5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cs="Times New Roman"/>
      <w:szCs w:val="20"/>
    </w:rPr>
  </w:style>
  <w:style w:type="paragraph" w:styleId="7">
    <w:name w:val="Document Map"/>
    <w:basedOn w:val="1"/>
    <w:link w:val="62"/>
    <w:qFormat/>
    <w:uiPriority w:val="0"/>
    <w:pPr>
      <w:shd w:val="clear" w:color="auto" w:fill="000080"/>
    </w:pPr>
    <w:rPr>
      <w:rFonts w:ascii="Times New Roman" w:hAnsi="Times New Roman" w:cs="Times New Roman"/>
      <w:szCs w:val="20"/>
    </w:rPr>
  </w:style>
  <w:style w:type="paragraph" w:styleId="8">
    <w:name w:val="annotation text"/>
    <w:basedOn w:val="1"/>
    <w:link w:val="36"/>
    <w:qFormat/>
    <w:uiPriority w:val="99"/>
    <w:pPr>
      <w:widowControl/>
      <w:jc w:val="left"/>
    </w:pPr>
    <w:rPr>
      <w:rFonts w:ascii="宋体" w:hAnsi="宋体"/>
      <w:kern w:val="0"/>
      <w:sz w:val="24"/>
      <w:szCs w:val="24"/>
    </w:rPr>
  </w:style>
  <w:style w:type="paragraph" w:styleId="9">
    <w:name w:val="Body Text"/>
    <w:basedOn w:val="1"/>
    <w:link w:val="55"/>
    <w:qFormat/>
    <w:uiPriority w:val="0"/>
    <w:pPr>
      <w:autoSpaceDE w:val="0"/>
      <w:autoSpaceDN w:val="0"/>
      <w:adjustRightInd w:val="0"/>
      <w:spacing w:line="360" w:lineRule="auto"/>
      <w:jc w:val="left"/>
    </w:pPr>
    <w:rPr>
      <w:rFonts w:ascii="宋体"/>
      <w:kern w:val="0"/>
      <w:sz w:val="20"/>
      <w:szCs w:val="20"/>
    </w:rPr>
  </w:style>
  <w:style w:type="paragraph" w:styleId="10">
    <w:name w:val="toc 3"/>
    <w:basedOn w:val="1"/>
    <w:next w:val="1"/>
    <w:qFormat/>
    <w:uiPriority w:val="39"/>
    <w:pPr>
      <w:widowControl/>
      <w:spacing w:after="100" w:line="276" w:lineRule="auto"/>
      <w:ind w:left="440"/>
      <w:jc w:val="left"/>
    </w:pPr>
    <w:rPr>
      <w:kern w:val="0"/>
      <w:sz w:val="22"/>
    </w:rPr>
  </w:style>
  <w:style w:type="paragraph" w:styleId="11">
    <w:name w:val="Plain Text"/>
    <w:basedOn w:val="1"/>
    <w:link w:val="63"/>
    <w:qFormat/>
    <w:uiPriority w:val="0"/>
    <w:pPr>
      <w:adjustRightInd w:val="0"/>
      <w:spacing w:line="312" w:lineRule="atLeast"/>
      <w:textAlignment w:val="baseline"/>
    </w:pPr>
    <w:rPr>
      <w:rFonts w:ascii="宋体" w:hAnsi="Courier New" w:cs="Times New Roman"/>
      <w:kern w:val="0"/>
      <w:szCs w:val="20"/>
    </w:rPr>
  </w:style>
  <w:style w:type="paragraph" w:styleId="12">
    <w:name w:val="Body Text Indent 2"/>
    <w:basedOn w:val="1"/>
    <w:link w:val="70"/>
    <w:qFormat/>
    <w:uiPriority w:val="0"/>
    <w:pPr>
      <w:spacing w:line="360" w:lineRule="auto"/>
      <w:ind w:firstLine="425"/>
    </w:pPr>
    <w:rPr>
      <w:rFonts w:ascii="仿宋_GB2312" w:hAnsi="Times New Roman" w:eastAsia="仿宋_GB2312" w:cs="Times New Roman"/>
      <w:sz w:val="28"/>
      <w:szCs w:val="20"/>
    </w:rPr>
  </w:style>
  <w:style w:type="paragraph" w:styleId="13">
    <w:name w:val="Balloon Text"/>
    <w:basedOn w:val="1"/>
    <w:link w:val="37"/>
    <w:qFormat/>
    <w:uiPriority w:val="99"/>
    <w:rPr>
      <w:sz w:val="18"/>
      <w:szCs w:val="18"/>
    </w:rPr>
  </w:style>
  <w:style w:type="paragraph" w:styleId="14">
    <w:name w:val="footer"/>
    <w:basedOn w:val="1"/>
    <w:link w:val="33"/>
    <w:qFormat/>
    <w:uiPriority w:val="99"/>
    <w:pPr>
      <w:tabs>
        <w:tab w:val="center" w:pos="4153"/>
        <w:tab w:val="right" w:pos="8306"/>
      </w:tabs>
      <w:snapToGrid w:val="0"/>
      <w:jc w:val="left"/>
    </w:pPr>
    <w:rPr>
      <w:sz w:val="18"/>
      <w:szCs w:val="18"/>
    </w:rPr>
  </w:style>
  <w:style w:type="paragraph" w:styleId="15">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widowControl/>
      <w:spacing w:after="100" w:line="276" w:lineRule="auto"/>
      <w:jc w:val="left"/>
    </w:pPr>
    <w:rPr>
      <w:kern w:val="0"/>
      <w:sz w:val="22"/>
    </w:rPr>
  </w:style>
  <w:style w:type="paragraph" w:styleId="17">
    <w:name w:val="footnote text"/>
    <w:basedOn w:val="1"/>
    <w:link w:val="71"/>
    <w:qFormat/>
    <w:uiPriority w:val="0"/>
    <w:pPr>
      <w:snapToGrid w:val="0"/>
      <w:jc w:val="left"/>
    </w:pPr>
    <w:rPr>
      <w:rFonts w:ascii="Times New Roman" w:hAnsi="Times New Roman" w:cs="Times New Roman"/>
      <w:sz w:val="18"/>
      <w:szCs w:val="20"/>
    </w:rPr>
  </w:style>
  <w:style w:type="paragraph" w:styleId="18">
    <w:name w:val="Body Text Indent 3"/>
    <w:basedOn w:val="1"/>
    <w:link w:val="69"/>
    <w:qFormat/>
    <w:uiPriority w:val="0"/>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19">
    <w:name w:val="toc 2"/>
    <w:basedOn w:val="1"/>
    <w:next w:val="1"/>
    <w:qFormat/>
    <w:uiPriority w:val="39"/>
    <w:pPr>
      <w:widowControl/>
      <w:spacing w:after="100" w:line="276" w:lineRule="auto"/>
      <w:ind w:left="220"/>
      <w:jc w:val="left"/>
    </w:pPr>
    <w:rPr>
      <w:kern w:val="0"/>
      <w:sz w:val="22"/>
    </w:rPr>
  </w:style>
  <w:style w:type="paragraph" w:styleId="20">
    <w:name w:val="HTML Preformatted"/>
    <w:basedOn w:val="1"/>
    <w:link w:val="4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1">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link w:val="54"/>
    <w:qFormat/>
    <w:uiPriority w:val="0"/>
    <w:pPr>
      <w:spacing w:before="240" w:after="60"/>
      <w:jc w:val="center"/>
      <w:outlineLvl w:val="0"/>
    </w:pPr>
    <w:rPr>
      <w:rFonts w:ascii="Cambria" w:hAnsi="Cambria"/>
      <w:b/>
      <w:sz w:val="32"/>
      <w:szCs w:val="20"/>
    </w:rPr>
  </w:style>
  <w:style w:type="paragraph" w:styleId="23">
    <w:name w:val="annotation subject"/>
    <w:basedOn w:val="8"/>
    <w:next w:val="8"/>
    <w:link w:val="42"/>
    <w:qFormat/>
    <w:uiPriority w:val="0"/>
    <w:pPr>
      <w:widowControl w:val="0"/>
    </w:pPr>
    <w:rPr>
      <w:rFonts w:ascii="Calibri" w:hAnsi="Calibri"/>
      <w:b/>
      <w:bCs/>
      <w:kern w:val="2"/>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themeColor="hyperlink"/>
      <w:u w:val="single"/>
      <w14:textFill>
        <w14:solidFill>
          <w14:schemeClr w14:val="hlink"/>
        </w14:solidFill>
      </w14:textFill>
    </w:rPr>
  </w:style>
  <w:style w:type="character" w:styleId="30">
    <w:name w:val="annotation reference"/>
    <w:qFormat/>
    <w:uiPriority w:val="99"/>
    <w:rPr>
      <w:sz w:val="21"/>
      <w:szCs w:val="21"/>
    </w:rPr>
  </w:style>
  <w:style w:type="character" w:styleId="31">
    <w:name w:val="footnote reference"/>
    <w:qFormat/>
    <w:uiPriority w:val="0"/>
    <w:rPr>
      <w:vertAlign w:val="superscript"/>
    </w:rPr>
  </w:style>
  <w:style w:type="character" w:customStyle="1" w:styleId="32">
    <w:name w:val="页眉 Char"/>
    <w:basedOn w:val="26"/>
    <w:link w:val="15"/>
    <w:qFormat/>
    <w:uiPriority w:val="99"/>
    <w:rPr>
      <w:sz w:val="18"/>
      <w:szCs w:val="18"/>
    </w:rPr>
  </w:style>
  <w:style w:type="character" w:customStyle="1" w:styleId="33">
    <w:name w:val="页脚 Char"/>
    <w:basedOn w:val="26"/>
    <w:link w:val="14"/>
    <w:qFormat/>
    <w:uiPriority w:val="99"/>
    <w:rPr>
      <w:sz w:val="18"/>
      <w:szCs w:val="18"/>
    </w:rPr>
  </w:style>
  <w:style w:type="paragraph" w:customStyle="1" w:styleId="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
    <w:name w:val="a"/>
    <w:basedOn w:val="1"/>
    <w:qFormat/>
    <w:uiPriority w:val="99"/>
    <w:pPr>
      <w:widowControl/>
      <w:spacing w:before="100" w:beforeAutospacing="1" w:after="100" w:afterAutospacing="1"/>
      <w:jc w:val="left"/>
    </w:pPr>
    <w:rPr>
      <w:rFonts w:ascii="宋体" w:hAnsi="宋体"/>
      <w:kern w:val="0"/>
      <w:sz w:val="24"/>
      <w:szCs w:val="24"/>
    </w:rPr>
  </w:style>
  <w:style w:type="character" w:customStyle="1" w:styleId="36">
    <w:name w:val="批注文字 Char"/>
    <w:basedOn w:val="26"/>
    <w:link w:val="8"/>
    <w:qFormat/>
    <w:uiPriority w:val="99"/>
    <w:rPr>
      <w:rFonts w:ascii="宋体" w:hAnsi="宋体" w:eastAsia="宋体" w:cs="宋体"/>
      <w:kern w:val="0"/>
      <w:sz w:val="24"/>
      <w:szCs w:val="24"/>
    </w:rPr>
  </w:style>
  <w:style w:type="character" w:customStyle="1" w:styleId="37">
    <w:name w:val="批注框文本 Char"/>
    <w:basedOn w:val="26"/>
    <w:link w:val="13"/>
    <w:qFormat/>
    <w:uiPriority w:val="99"/>
    <w:rPr>
      <w:sz w:val="18"/>
      <w:szCs w:val="18"/>
    </w:rPr>
  </w:style>
  <w:style w:type="paragraph" w:styleId="38">
    <w:name w:val="List Paragraph"/>
    <w:basedOn w:val="1"/>
    <w:qFormat/>
    <w:uiPriority w:val="0"/>
    <w:pPr>
      <w:ind w:firstLine="420" w:firstLineChars="200"/>
    </w:pPr>
  </w:style>
  <w:style w:type="character" w:customStyle="1" w:styleId="39">
    <w:name w:val="标题 1 Char"/>
    <w:basedOn w:val="26"/>
    <w:link w:val="2"/>
    <w:qFormat/>
    <w:uiPriority w:val="9"/>
    <w:rPr>
      <w:b/>
      <w:bCs/>
      <w:kern w:val="44"/>
      <w:sz w:val="44"/>
      <w:szCs w:val="44"/>
    </w:rPr>
  </w:style>
  <w:style w:type="paragraph" w:customStyle="1" w:styleId="40">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1">
    <w:name w:val="修订1"/>
    <w:qFormat/>
    <w:uiPriority w:val="99"/>
    <w:rPr>
      <w:rFonts w:ascii="Calibri" w:hAnsi="Calibri" w:eastAsia="宋体" w:cs="宋体"/>
      <w:kern w:val="2"/>
      <w:sz w:val="21"/>
      <w:szCs w:val="22"/>
      <w:lang w:val="en-US" w:eastAsia="zh-CN" w:bidi="ar-SA"/>
    </w:rPr>
  </w:style>
  <w:style w:type="character" w:customStyle="1" w:styleId="42">
    <w:name w:val="批注主题 Char"/>
    <w:basedOn w:val="36"/>
    <w:link w:val="23"/>
    <w:qFormat/>
    <w:uiPriority w:val="99"/>
    <w:rPr>
      <w:rFonts w:ascii="宋体" w:hAnsi="宋体" w:eastAsia="宋体" w:cs="宋体"/>
      <w:b/>
      <w:bCs/>
      <w:kern w:val="0"/>
      <w:sz w:val="24"/>
      <w:szCs w:val="24"/>
    </w:rPr>
  </w:style>
  <w:style w:type="character" w:customStyle="1" w:styleId="43">
    <w:name w:val="HTML 预设格式 Char"/>
    <w:basedOn w:val="26"/>
    <w:link w:val="20"/>
    <w:qFormat/>
    <w:uiPriority w:val="99"/>
    <w:rPr>
      <w:rFonts w:ascii="宋体" w:hAnsi="宋体" w:eastAsia="宋体" w:cs="宋体"/>
      <w:kern w:val="0"/>
      <w:sz w:val="24"/>
      <w:szCs w:val="24"/>
    </w:rPr>
  </w:style>
  <w:style w:type="paragraph" w:customStyle="1" w:styleId="44">
    <w:name w:val="p0"/>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5">
    <w:name w:val="修订2"/>
    <w:hidden/>
    <w:semiHidden/>
    <w:qFormat/>
    <w:uiPriority w:val="99"/>
    <w:rPr>
      <w:rFonts w:ascii="Calibri" w:hAnsi="Calibri" w:eastAsia="宋体" w:cs="宋体"/>
      <w:kern w:val="2"/>
      <w:sz w:val="21"/>
      <w:szCs w:val="22"/>
      <w:lang w:val="en-US" w:eastAsia="zh-CN" w:bidi="ar-SA"/>
    </w:rPr>
  </w:style>
  <w:style w:type="character" w:customStyle="1" w:styleId="46">
    <w:name w:val="批注文字 Char1"/>
    <w:basedOn w:val="26"/>
    <w:qFormat/>
    <w:uiPriority w:val="0"/>
    <w:rPr>
      <w:kern w:val="2"/>
      <w:sz w:val="21"/>
    </w:rPr>
  </w:style>
  <w:style w:type="paragraph" w:customStyle="1" w:styleId="47">
    <w:name w:val="修订3"/>
    <w:hidden/>
    <w:semiHidden/>
    <w:qFormat/>
    <w:uiPriority w:val="99"/>
    <w:rPr>
      <w:rFonts w:ascii="Calibri" w:hAnsi="Calibri" w:eastAsia="宋体" w:cs="宋体"/>
      <w:kern w:val="2"/>
      <w:sz w:val="21"/>
      <w:szCs w:val="22"/>
      <w:lang w:val="en-US" w:eastAsia="zh-CN" w:bidi="ar-SA"/>
    </w:rPr>
  </w:style>
  <w:style w:type="paragraph" w:customStyle="1" w:styleId="48">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2 Char"/>
    <w:basedOn w:val="26"/>
    <w:link w:val="3"/>
    <w:qFormat/>
    <w:uiPriority w:val="0"/>
    <w:rPr>
      <w:rFonts w:ascii="Arial" w:hAnsi="Arial" w:eastAsia="黑体" w:cs="Times New Roman"/>
      <w:b/>
      <w:kern w:val="2"/>
      <w:sz w:val="32"/>
    </w:rPr>
  </w:style>
  <w:style w:type="character" w:customStyle="1" w:styleId="50">
    <w:name w:val="标题 3 Char"/>
    <w:basedOn w:val="26"/>
    <w:link w:val="4"/>
    <w:qFormat/>
    <w:uiPriority w:val="0"/>
    <w:rPr>
      <w:rFonts w:ascii="Times New Roman" w:hAnsi="Times New Roman" w:cs="Times New Roman"/>
      <w:b/>
      <w:kern w:val="2"/>
      <w:sz w:val="32"/>
    </w:rPr>
  </w:style>
  <w:style w:type="character" w:customStyle="1" w:styleId="51">
    <w:name w:val="标题 4 Char"/>
    <w:basedOn w:val="26"/>
    <w:link w:val="5"/>
    <w:semiHidden/>
    <w:qFormat/>
    <w:uiPriority w:val="9"/>
    <w:rPr>
      <w:rFonts w:asciiTheme="majorHAnsi" w:hAnsiTheme="majorHAnsi" w:eastAsiaTheme="majorEastAsia" w:cstheme="majorBidi"/>
      <w:b/>
      <w:bCs/>
      <w:kern w:val="2"/>
      <w:sz w:val="28"/>
      <w:szCs w:val="28"/>
    </w:rPr>
  </w:style>
  <w:style w:type="character" w:customStyle="1" w:styleId="52">
    <w:name w:val="unnamed11"/>
    <w:qFormat/>
    <w:uiPriority w:val="0"/>
    <w:rPr>
      <w:rFonts w:hint="eastAsia" w:ascii="宋体" w:hAnsi="宋体" w:eastAsia="宋体"/>
      <w:sz w:val="18"/>
    </w:rPr>
  </w:style>
  <w:style w:type="character" w:customStyle="1" w:styleId="53">
    <w:name w:val="read"/>
    <w:basedOn w:val="26"/>
    <w:qFormat/>
    <w:uiPriority w:val="0"/>
  </w:style>
  <w:style w:type="character" w:customStyle="1" w:styleId="54">
    <w:name w:val="标题 Char"/>
    <w:link w:val="22"/>
    <w:qFormat/>
    <w:uiPriority w:val="0"/>
    <w:rPr>
      <w:rFonts w:ascii="Cambria" w:hAnsi="Cambria"/>
      <w:b/>
      <w:kern w:val="2"/>
      <w:sz w:val="32"/>
    </w:rPr>
  </w:style>
  <w:style w:type="character" w:customStyle="1" w:styleId="55">
    <w:name w:val="正文文本 Char"/>
    <w:link w:val="9"/>
    <w:qFormat/>
    <w:uiPriority w:val="0"/>
    <w:rPr>
      <w:rFonts w:ascii="宋体"/>
    </w:rPr>
  </w:style>
  <w:style w:type="paragraph" w:customStyle="1" w:styleId="56">
    <w:name w:val="Char"/>
    <w:basedOn w:val="1"/>
    <w:qFormat/>
    <w:uiPriority w:val="0"/>
    <w:rPr>
      <w:rFonts w:ascii="Times New Roman" w:hAnsi="Times New Roman" w:cs="Times New Roman"/>
      <w:szCs w:val="20"/>
    </w:rPr>
  </w:style>
  <w:style w:type="paragraph" w:customStyle="1" w:styleId="57">
    <w:name w:val="Char Char Char Char"/>
    <w:basedOn w:val="1"/>
    <w:qFormat/>
    <w:uiPriority w:val="0"/>
    <w:pPr>
      <w:tabs>
        <w:tab w:val="left" w:pos="360"/>
      </w:tabs>
    </w:pPr>
    <w:rPr>
      <w:rFonts w:ascii="Times New Roman" w:hAnsi="Times New Roman" w:cs="Times New Roman"/>
      <w:szCs w:val="20"/>
    </w:rPr>
  </w:style>
  <w:style w:type="paragraph" w:customStyle="1" w:styleId="58">
    <w:name w:val="Char Char1"/>
    <w:basedOn w:val="1"/>
    <w:qFormat/>
    <w:uiPriority w:val="0"/>
    <w:rPr>
      <w:rFonts w:ascii="Times New Roman" w:hAnsi="Times New Roman" w:cs="Times New Roman"/>
      <w:szCs w:val="20"/>
    </w:rPr>
  </w:style>
  <w:style w:type="paragraph" w:customStyle="1" w:styleId="59">
    <w:name w:val="unnamed1"/>
    <w:basedOn w:val="1"/>
    <w:qFormat/>
    <w:uiPriority w:val="0"/>
    <w:pPr>
      <w:spacing w:before="60" w:after="60"/>
      <w:ind w:left="15" w:right="15"/>
    </w:pPr>
    <w:rPr>
      <w:rFonts w:hint="eastAsia" w:ascii="宋体" w:hAnsi="宋体" w:cs="Times New Roman"/>
      <w:color w:val="000000"/>
      <w:sz w:val="18"/>
      <w:szCs w:val="18"/>
    </w:rPr>
  </w:style>
  <w:style w:type="paragraph" w:customStyle="1" w:styleId="60">
    <w:name w:val="正文正文"/>
    <w:basedOn w:val="1"/>
    <w:qFormat/>
    <w:uiPriority w:val="0"/>
    <w:pPr>
      <w:spacing w:afterLines="25" w:line="360" w:lineRule="auto"/>
      <w:ind w:firstLine="200" w:firstLineChars="200"/>
    </w:pPr>
    <w:rPr>
      <w:rFonts w:ascii="Times New Roman" w:hAnsi="Times New Roman" w:cs="Times New Roman"/>
      <w:sz w:val="24"/>
      <w:szCs w:val="20"/>
    </w:rPr>
  </w:style>
  <w:style w:type="paragraph" w:customStyle="1" w:styleId="61">
    <w:name w:val="Char2"/>
    <w:basedOn w:val="1"/>
    <w:qFormat/>
    <w:uiPriority w:val="0"/>
    <w:rPr>
      <w:rFonts w:ascii="Times New Roman" w:hAnsi="Times New Roman" w:cs="Times New Roman"/>
      <w:szCs w:val="20"/>
    </w:rPr>
  </w:style>
  <w:style w:type="character" w:customStyle="1" w:styleId="62">
    <w:name w:val="文档结构图 Char"/>
    <w:basedOn w:val="26"/>
    <w:link w:val="7"/>
    <w:qFormat/>
    <w:uiPriority w:val="0"/>
    <w:rPr>
      <w:rFonts w:ascii="Times New Roman" w:hAnsi="Times New Roman" w:cs="Times New Roman"/>
      <w:kern w:val="2"/>
      <w:sz w:val="21"/>
      <w:shd w:val="clear" w:color="auto" w:fill="000080"/>
    </w:rPr>
  </w:style>
  <w:style w:type="character" w:customStyle="1" w:styleId="63">
    <w:name w:val="纯文本 Char"/>
    <w:basedOn w:val="26"/>
    <w:link w:val="11"/>
    <w:qFormat/>
    <w:uiPriority w:val="0"/>
    <w:rPr>
      <w:rFonts w:ascii="宋体" w:hAnsi="Courier New" w:cs="Times New Roman"/>
      <w:sz w:val="21"/>
    </w:rPr>
  </w:style>
  <w:style w:type="paragraph" w:customStyle="1" w:styleId="64">
    <w:name w:val="Char Char"/>
    <w:basedOn w:val="1"/>
    <w:qFormat/>
    <w:uiPriority w:val="0"/>
    <w:rPr>
      <w:rFonts w:ascii="Times New Roman" w:hAnsi="Times New Roman" w:cs="Times New Roman"/>
      <w:szCs w:val="20"/>
    </w:rPr>
  </w:style>
  <w:style w:type="character" w:customStyle="1" w:styleId="65">
    <w:name w:val="正文文本 Char1"/>
    <w:basedOn w:val="26"/>
    <w:semiHidden/>
    <w:qFormat/>
    <w:uiPriority w:val="99"/>
    <w:rPr>
      <w:kern w:val="2"/>
      <w:sz w:val="21"/>
      <w:szCs w:val="22"/>
    </w:rPr>
  </w:style>
  <w:style w:type="character" w:customStyle="1" w:styleId="66">
    <w:name w:val="标题 Char1"/>
    <w:basedOn w:val="26"/>
    <w:qFormat/>
    <w:uiPriority w:val="10"/>
    <w:rPr>
      <w:rFonts w:asciiTheme="majorHAnsi" w:hAnsiTheme="majorHAnsi" w:cstheme="majorBidi"/>
      <w:b/>
      <w:bCs/>
      <w:kern w:val="2"/>
      <w:sz w:val="32"/>
      <w:szCs w:val="32"/>
    </w:rPr>
  </w:style>
  <w:style w:type="paragraph" w:customStyle="1" w:styleId="67">
    <w:name w:val="Char Char Char"/>
    <w:basedOn w:val="1"/>
    <w:qFormat/>
    <w:uiPriority w:val="0"/>
    <w:rPr>
      <w:rFonts w:ascii="Times New Roman" w:hAnsi="Times New Roman" w:cs="Times New Roman"/>
      <w:szCs w:val="20"/>
    </w:rPr>
  </w:style>
  <w:style w:type="paragraph" w:customStyle="1" w:styleId="68">
    <w:name w:val="msonormal1"/>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9">
    <w:name w:val="正文文本缩进 3 Char"/>
    <w:basedOn w:val="26"/>
    <w:link w:val="18"/>
    <w:qFormat/>
    <w:uiPriority w:val="0"/>
    <w:rPr>
      <w:rFonts w:ascii="Times New Roman" w:hAnsi="Times New Roman" w:cs="Times New Roman"/>
      <w:color w:val="0000FF"/>
      <w:kern w:val="2"/>
      <w:sz w:val="21"/>
    </w:rPr>
  </w:style>
  <w:style w:type="character" w:customStyle="1" w:styleId="70">
    <w:name w:val="正文文本缩进 2 Char"/>
    <w:basedOn w:val="26"/>
    <w:link w:val="12"/>
    <w:qFormat/>
    <w:uiPriority w:val="0"/>
    <w:rPr>
      <w:rFonts w:ascii="仿宋_GB2312" w:hAnsi="Times New Roman" w:eastAsia="仿宋_GB2312" w:cs="Times New Roman"/>
      <w:kern w:val="2"/>
      <w:sz w:val="28"/>
    </w:rPr>
  </w:style>
  <w:style w:type="character" w:customStyle="1" w:styleId="71">
    <w:name w:val="脚注文本 Char"/>
    <w:basedOn w:val="26"/>
    <w:link w:val="17"/>
    <w:qFormat/>
    <w:uiPriority w:val="0"/>
    <w:rPr>
      <w:rFonts w:ascii="Times New Roman" w:hAnsi="Times New Roman" w:cs="Times New Roman"/>
      <w:kern w:val="2"/>
      <w:sz w:val="18"/>
    </w:rPr>
  </w:style>
  <w:style w:type="paragraph" w:customStyle="1" w:styleId="72">
    <w:name w:val="List_bullet"/>
    <w:basedOn w:val="1"/>
    <w:qFormat/>
    <w:uiPriority w:val="0"/>
    <w:pPr>
      <w:widowControl/>
      <w:numPr>
        <w:ilvl w:val="0"/>
        <w:numId w:val="1"/>
      </w:numPr>
      <w:jc w:val="left"/>
    </w:pPr>
    <w:rPr>
      <w:rFonts w:ascii="Times New Roman" w:hAnsi="Times New Roman" w:cs="Times New Roman"/>
      <w:kern w:val="0"/>
      <w:sz w:val="24"/>
      <w:szCs w:val="20"/>
    </w:rPr>
  </w:style>
  <w:style w:type="paragraph" w:customStyle="1" w:styleId="73">
    <w:name w:val="InfoBlue"/>
    <w:basedOn w:val="1"/>
    <w:next w:val="9"/>
    <w:qFormat/>
    <w:uiPriority w:val="0"/>
    <w:pPr>
      <w:tabs>
        <w:tab w:val="left" w:pos="420"/>
      </w:tabs>
      <w:spacing w:after="120" w:line="240" w:lineRule="atLeast"/>
      <w:ind w:left="420" w:hanging="420"/>
      <w:jc w:val="left"/>
    </w:pPr>
    <w:rPr>
      <w:rFonts w:ascii="宋体" w:hAnsi="宋体" w:cs="Times New Roman"/>
      <w:szCs w:val="20"/>
    </w:rPr>
  </w:style>
  <w:style w:type="paragraph" w:customStyle="1" w:styleId="74">
    <w:name w:val="正文所"/>
    <w:basedOn w:val="1"/>
    <w:qFormat/>
    <w:uiPriority w:val="0"/>
    <w:pPr>
      <w:spacing w:line="360" w:lineRule="auto"/>
      <w:ind w:firstLine="420" w:firstLineChars="200"/>
    </w:pPr>
    <w:rPr>
      <w:rFonts w:ascii="宋体" w:hAnsi="Times New Roman" w:cs="Times New Roman"/>
      <w:szCs w:val="20"/>
    </w:rPr>
  </w:style>
  <w:style w:type="paragraph" w:customStyle="1" w:styleId="75">
    <w:name w:val="Char Char6"/>
    <w:basedOn w:val="1"/>
    <w:qFormat/>
    <w:uiPriority w:val="0"/>
    <w:rPr>
      <w:rFonts w:ascii="Times New Roman" w:hAnsi="Times New Roman" w:cs="Times New Roman"/>
      <w:szCs w:val="20"/>
    </w:rPr>
  </w:style>
  <w:style w:type="paragraph" w:customStyle="1" w:styleId="76">
    <w:name w:val="Char Char Char Char1"/>
    <w:basedOn w:val="1"/>
    <w:qFormat/>
    <w:uiPriority w:val="0"/>
    <w:pPr>
      <w:tabs>
        <w:tab w:val="left" w:pos="360"/>
      </w:tabs>
    </w:pPr>
    <w:rPr>
      <w:rFonts w:ascii="Times New Roman" w:hAnsi="Times New Roman" w:cs="Times New Roman"/>
      <w:szCs w:val="20"/>
    </w:rPr>
  </w:style>
  <w:style w:type="paragraph" w:customStyle="1" w:styleId="77">
    <w:name w:val="Char Char11"/>
    <w:basedOn w:val="1"/>
    <w:qFormat/>
    <w:uiPriority w:val="0"/>
    <w:rPr>
      <w:rFonts w:ascii="Times New Roman" w:hAnsi="Times New Roman" w:cs="Times New Roman"/>
      <w:szCs w:val="20"/>
    </w:rPr>
  </w:style>
  <w:style w:type="paragraph" w:customStyle="1" w:styleId="78">
    <w:name w:val="Char1"/>
    <w:basedOn w:val="1"/>
    <w:qFormat/>
    <w:uiPriority w:val="0"/>
    <w:rPr>
      <w:rFonts w:ascii="Times New Roman" w:hAnsi="Times New Roman" w:cs="Times New Roman"/>
      <w:szCs w:val="20"/>
    </w:rPr>
  </w:style>
  <w:style w:type="paragraph" w:customStyle="1" w:styleId="79">
    <w:name w:val="Char Char5"/>
    <w:basedOn w:val="1"/>
    <w:qFormat/>
    <w:uiPriority w:val="0"/>
    <w:rPr>
      <w:rFonts w:ascii="Times New Roman" w:hAnsi="Times New Roman" w:cs="Times New Roman"/>
      <w:szCs w:val="20"/>
    </w:rPr>
  </w:style>
  <w:style w:type="paragraph" w:customStyle="1" w:styleId="80">
    <w:name w:val="Char Char Char1"/>
    <w:basedOn w:val="1"/>
    <w:qFormat/>
    <w:uiPriority w:val="0"/>
    <w:rPr>
      <w:rFonts w:ascii="Times New Roman" w:hAnsi="Times New Roman" w:cs="Times New Roman"/>
      <w:szCs w:val="20"/>
    </w:rPr>
  </w:style>
  <w:style w:type="paragraph" w:customStyle="1" w:styleId="81">
    <w:name w:val="Char Char4"/>
    <w:basedOn w:val="1"/>
    <w:qFormat/>
    <w:uiPriority w:val="0"/>
    <w:rPr>
      <w:rFonts w:ascii="Times New Roman" w:hAnsi="Times New Roman" w:cs="Times New Roman"/>
      <w:szCs w:val="20"/>
    </w:rPr>
  </w:style>
  <w:style w:type="paragraph" w:customStyle="1" w:styleId="82">
    <w:name w:val="Char Char3"/>
    <w:basedOn w:val="1"/>
    <w:qFormat/>
    <w:uiPriority w:val="0"/>
    <w:rPr>
      <w:rFonts w:ascii="Times New Roman" w:hAnsi="Times New Roman" w:cs="Times New Roman"/>
      <w:szCs w:val="20"/>
    </w:rPr>
  </w:style>
  <w:style w:type="paragraph" w:customStyle="1" w:styleId="83">
    <w:name w:val="Char Char2"/>
    <w:basedOn w:val="1"/>
    <w:qFormat/>
    <w:uiPriority w:val="0"/>
    <w:rPr>
      <w:rFonts w:ascii="Times New Roman" w:hAnsi="Times New Roman" w:cs="Times New Roman"/>
      <w:szCs w:val="20"/>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修订4"/>
    <w:hidden/>
    <w:semiHidden/>
    <w:qFormat/>
    <w:uiPriority w:val="99"/>
    <w:rPr>
      <w:rFonts w:ascii="Calibri" w:hAnsi="Calibri" w:eastAsia="宋体" w:cs="宋体"/>
      <w:kern w:val="2"/>
      <w:sz w:val="21"/>
      <w:szCs w:val="22"/>
      <w:lang w:val="en-US" w:eastAsia="zh-CN" w:bidi="ar-SA"/>
    </w:rPr>
  </w:style>
  <w:style w:type="paragraph" w:customStyle="1" w:styleId="86">
    <w:name w:val="正文2"/>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8.xml"/><Relationship Id="rId24" Type="http://schemas.openxmlformats.org/officeDocument/2006/relationships/customXml" Target="../customXml/item17.xml"/><Relationship Id="rId23" Type="http://schemas.openxmlformats.org/officeDocument/2006/relationships/customXml" Target="../customXml/item16.xml"/><Relationship Id="rId22" Type="http://schemas.openxmlformats.org/officeDocument/2006/relationships/customXml" Target="../customXml/item15.xml"/><Relationship Id="rId21" Type="http://schemas.openxmlformats.org/officeDocument/2006/relationships/customXml" Target="../customXml/item14.xml"/><Relationship Id="rId20" Type="http://schemas.openxmlformats.org/officeDocument/2006/relationships/customXml" Target="../customXml/item13.xml"/><Relationship Id="rId2" Type="http://schemas.openxmlformats.org/officeDocument/2006/relationships/settings" Target="settings.xml"/><Relationship Id="rId19" Type="http://schemas.openxmlformats.org/officeDocument/2006/relationships/customXml" Target="../customXml/item12.xml"/><Relationship Id="rId18" Type="http://schemas.openxmlformats.org/officeDocument/2006/relationships/customXml" Target="../customXml/item11.xml"/><Relationship Id="rId17" Type="http://schemas.openxmlformats.org/officeDocument/2006/relationships/customXml" Target="../customXml/item10.xml"/><Relationship Id="rId16" Type="http://schemas.openxmlformats.org/officeDocument/2006/relationships/customXml" Target="../customXml/item9.xml"/><Relationship Id="rId15" Type="http://schemas.openxmlformats.org/officeDocument/2006/relationships/customXml" Target="../customXml/item8.xml"/><Relationship Id="rId14" Type="http://schemas.openxmlformats.org/officeDocument/2006/relationships/customXml" Target="../customXml/item7.xml"/><Relationship Id="rId13" Type="http://schemas.openxmlformats.org/officeDocument/2006/relationships/customXml" Target="../customXml/item6.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b:Sources xmlns:b="http://schemas.openxmlformats.org/officeDocument/2006/bibliography" xmlns="http://schemas.openxmlformats.org/officeDocument/2006/bibliography" SelectedStyle="\APASixthEditionOfficeOnline.xsl" StyleName="APA" Version="6"/>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6CD169-7F5C-4082-81B2-6ECAA9AF6149}">
  <ds:schemaRefs/>
</ds:datastoreItem>
</file>

<file path=customXml/itemProps3.xml><?xml version="1.0" encoding="utf-8"?>
<ds:datastoreItem xmlns:ds="http://schemas.openxmlformats.org/officeDocument/2006/customXml" ds:itemID="{EC45DDBE-A426-47CA-BC62-D025DE29F1BC}">
  <ds:schemaRefs/>
</ds:datastoreItem>
</file>

<file path=customXml/itemProps4.xml><?xml version="1.0" encoding="utf-8"?>
<ds:datastoreItem xmlns:ds="http://schemas.openxmlformats.org/officeDocument/2006/customXml" ds:itemID="{BEEE0313-55EB-45FA-BBBD-C0232D367255}">
  <ds:schemaRefs/>
</ds:datastoreItem>
</file>

<file path=customXml/itemProps5.xml><?xml version="1.0" encoding="utf-8"?>
<ds:datastoreItem xmlns:ds="http://schemas.openxmlformats.org/officeDocument/2006/customXml" ds:itemID="{509BA638-9D3A-4AA3-A169-FF78BC0E4BE9}">
  <ds:schemaRefs/>
</ds:datastoreItem>
</file>

<file path=customXml/itemProps6.xml><?xml version="1.0" encoding="utf-8"?>
<ds:datastoreItem xmlns:ds="http://schemas.openxmlformats.org/officeDocument/2006/customXml" ds:itemID="{9114D43D-ED98-4C7B-A3AE-26D78B80CA82}">
  <ds:schemaRefs/>
</ds:datastoreItem>
</file>

<file path=customXml/itemProps7.xml><?xml version="1.0" encoding="utf-8"?>
<ds:datastoreItem xmlns:ds="http://schemas.openxmlformats.org/officeDocument/2006/customXml" ds:itemID="{1990A2D8-324F-45D5-B9CD-07245ED2860B}">
  <ds:schemaRefs/>
</ds:datastoreItem>
</file>

<file path=customXml/itemProps8.xml><?xml version="1.0" encoding="utf-8"?>
<ds:datastoreItem xmlns:ds="http://schemas.openxmlformats.org/officeDocument/2006/customXml" ds:itemID="{79B37214-9E52-4241-8DD2-9E9CD9442006}">
  <ds:schemaRefs/>
</ds:datastoreItem>
</file>

<file path=customXml/itemProps9.xml><?xml version="1.0" encoding="utf-8"?>
<ds:datastoreItem xmlns:ds="http://schemas.openxmlformats.org/officeDocument/2006/customXml" ds:itemID="{0A7AA9EF-3B8C-4BAA-9155-A6E3E5337D3C}">
  <ds:schemaRefs/>
</ds:datastoreItem>
</file>

<file path=customXml/itemProps10.xml><?xml version="1.0" encoding="utf-8"?>
<ds:datastoreItem xmlns:ds="http://schemas.openxmlformats.org/officeDocument/2006/customXml" ds:itemID="{7E5C9D84-6DB6-48FB-8632-D5279FC233C8}">
  <ds:schemaRefs/>
</ds:datastoreItem>
</file>

<file path=customXml/itemProps11.xml><?xml version="1.0" encoding="utf-8"?>
<ds:datastoreItem xmlns:ds="http://schemas.openxmlformats.org/officeDocument/2006/customXml" ds:itemID="{E2E09CC1-A5C0-4BBB-AC4A-9FF17F8DB470}">
  <ds:schemaRefs/>
</ds:datastoreItem>
</file>

<file path=customXml/itemProps12.xml><?xml version="1.0" encoding="utf-8"?>
<ds:datastoreItem xmlns:ds="http://schemas.openxmlformats.org/officeDocument/2006/customXml" ds:itemID="{1A3BDF38-4832-4575-A8AB-7A1679738229}">
  <ds:schemaRefs/>
</ds:datastoreItem>
</file>

<file path=customXml/itemProps13.xml><?xml version="1.0" encoding="utf-8"?>
<ds:datastoreItem xmlns:ds="http://schemas.openxmlformats.org/officeDocument/2006/customXml" ds:itemID="{AC86F3EB-DB57-4B60-8A7E-BBB67A22EE0B}">
  <ds:schemaRefs/>
</ds:datastoreItem>
</file>

<file path=customXml/itemProps14.xml><?xml version="1.0" encoding="utf-8"?>
<ds:datastoreItem xmlns:ds="http://schemas.openxmlformats.org/officeDocument/2006/customXml" ds:itemID="{CF487381-D648-48A1-B1E4-A4540B0D3650}">
  <ds:schemaRefs/>
</ds:datastoreItem>
</file>

<file path=customXml/itemProps15.xml><?xml version="1.0" encoding="utf-8"?>
<ds:datastoreItem xmlns:ds="http://schemas.openxmlformats.org/officeDocument/2006/customXml" ds:itemID="{2108FF18-8EC8-4170-A536-1AA8E39CC797}">
  <ds:schemaRefs/>
</ds:datastoreItem>
</file>

<file path=customXml/itemProps16.xml><?xml version="1.0" encoding="utf-8"?>
<ds:datastoreItem xmlns:ds="http://schemas.openxmlformats.org/officeDocument/2006/customXml" ds:itemID="{3A3C3A8D-C5E4-45AF-8B48-C3BF528808AD}">
  <ds:schemaRefs/>
</ds:datastoreItem>
</file>

<file path=customXml/itemProps17.xml><?xml version="1.0" encoding="utf-8"?>
<ds:datastoreItem xmlns:ds="http://schemas.openxmlformats.org/officeDocument/2006/customXml" ds:itemID="{D902962D-C8CC-43BF-804A-CD60AE6D7475}">
  <ds:schemaRefs/>
</ds:datastoreItem>
</file>

<file path=customXml/itemProps18.xml><?xml version="1.0" encoding="utf-8"?>
<ds:datastoreItem xmlns:ds="http://schemas.openxmlformats.org/officeDocument/2006/customXml" ds:itemID="{E6D3D55C-3DD8-4C31-8069-E5508DD844F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4434</Words>
  <Characters>25275</Characters>
  <Lines>210</Lines>
  <Paragraphs>59</Paragraphs>
  <TotalTime>8</TotalTime>
  <ScaleCrop>false</ScaleCrop>
  <LinksUpToDate>false</LinksUpToDate>
  <CharactersWithSpaces>29650</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2024-08-28T12:34:00Z</dcterms:created>
  <dc:creator>张淼雯</dc:creator>
  <cp:lastModifiedBy>cib</cp:lastModifiedBy>
  <cp:lastPrinted>2022-01-18T08:37:00Z</cp:lastPrinted>
  <dcterms:modified xsi:type="dcterms:W3CDTF">2025-02-10T03:05:46Z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5466F5ED04264CD88390FDC4DDCA6BAE</vt:lpwstr>
  </property>
</Properties>
</file>