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permStart w:id="0" w:edGrp="everyone"/>
      <w:r>
        <w:rPr>
          <w:rFonts w:hint="eastAsia" w:ascii="黑体" w:hAnsi="黑体" w:eastAsia="黑体"/>
          <w:b/>
          <w:sz w:val="44"/>
          <w:szCs w:val="44"/>
        </w:rPr>
        <w:t>【添利】</w:t>
      </w:r>
      <w:permEnd w:id="0"/>
      <w:r>
        <w:rPr>
          <w:rFonts w:hint="eastAsia" w:ascii="黑体" w:hAnsi="黑体" w:eastAsia="黑体"/>
          <w:b/>
          <w:sz w:val="44"/>
          <w:szCs w:val="44"/>
        </w:rPr>
        <w:t>理财产品</w:t>
      </w:r>
    </w:p>
    <w:p>
      <w:pPr>
        <w:widowControl/>
        <w:spacing w:line="360" w:lineRule="auto"/>
        <w:jc w:val="center"/>
        <w:rPr>
          <w:b/>
          <w:szCs w:val="21"/>
        </w:rPr>
      </w:pPr>
      <w:r>
        <w:rPr>
          <w:rFonts w:hint="eastAsia" w:ascii="黑体" w:hAnsi="黑体" w:eastAsia="黑体"/>
          <w:b/>
          <w:sz w:val="44"/>
          <w:szCs w:val="44"/>
        </w:rPr>
        <w:t>销售文件</w:t>
      </w:r>
    </w:p>
    <w:tbl>
      <w:tblPr>
        <w:tblStyle w:val="25"/>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58"/>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58"/>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58"/>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58"/>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permStart w:id="1" w:edGrp="everyone"/>
            <w:r>
              <w:rPr>
                <w:rFonts w:hint="eastAsia" w:ascii="宋体" w:hAnsi="宋体"/>
                <w:kern w:val="0"/>
                <w:sz w:val="20"/>
                <w:szCs w:val="21"/>
              </w:rPr>
              <w:t>【添利】</w:t>
            </w:r>
            <w:permEnd w:id="1"/>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58"/>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permStart w:id="2" w:edGrp="everyone"/>
            <w:r>
              <w:rPr>
                <w:rFonts w:hint="eastAsia" w:ascii="宋体" w:hAnsi="宋体"/>
                <w:kern w:val="0"/>
                <w:sz w:val="20"/>
                <w:szCs w:val="21"/>
              </w:rPr>
              <w:t>【添利】</w:t>
            </w:r>
            <w:permEnd w:id="2"/>
            <w:r>
              <w:rPr>
                <w:rFonts w:hint="eastAsia" w:ascii="宋体" w:hAnsi="宋体"/>
                <w:kern w:val="0"/>
                <w:sz w:val="20"/>
                <w:szCs w:val="21"/>
              </w:rPr>
              <w:t>理财产品产品说明书</w:t>
            </w:r>
          </w:p>
        </w:tc>
        <w:tc>
          <w:tcPr>
            <w:tcW w:w="2107" w:type="dxa"/>
          </w:tcPr>
          <w:p>
            <w:pPr>
              <w:pStyle w:val="58"/>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58"/>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permStart w:id="3" w:edGrp="everyone"/>
            <w:r>
              <w:rPr>
                <w:rFonts w:hint="eastAsia" w:ascii="宋体" w:hAnsi="宋体"/>
                <w:kern w:val="0"/>
                <w:sz w:val="20"/>
                <w:szCs w:val="21"/>
              </w:rPr>
              <w:t>【添利】</w:t>
            </w:r>
            <w:permEnd w:id="3"/>
            <w:r>
              <w:rPr>
                <w:rFonts w:hint="eastAsia" w:ascii="宋体" w:hAnsi="宋体"/>
                <w:kern w:val="0"/>
                <w:sz w:val="20"/>
                <w:szCs w:val="21"/>
              </w:rPr>
              <w:t>理财产品（代理）销售协议书</w:t>
            </w:r>
          </w:p>
        </w:tc>
        <w:tc>
          <w:tcPr>
            <w:tcW w:w="2107" w:type="dxa"/>
          </w:tcPr>
          <w:p>
            <w:pPr>
              <w:pStyle w:val="58"/>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58"/>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permStart w:id="4" w:edGrp="everyone"/>
            <w:r>
              <w:rPr>
                <w:rFonts w:hint="eastAsia" w:ascii="宋体" w:hAnsi="宋体"/>
                <w:kern w:val="0"/>
                <w:sz w:val="20"/>
                <w:szCs w:val="21"/>
              </w:rPr>
              <w:t>【添利】</w:t>
            </w:r>
            <w:permEnd w:id="4"/>
            <w:r>
              <w:rPr>
                <w:rFonts w:hint="eastAsia" w:ascii="宋体" w:hAnsi="宋体"/>
                <w:kern w:val="0"/>
                <w:sz w:val="20"/>
                <w:szCs w:val="21"/>
              </w:rPr>
              <w:t>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58"/>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permStart w:id="5" w:edGrp="everyone"/>
            <w:r>
              <w:rPr>
                <w:rFonts w:hint="eastAsia" w:ascii="宋体" w:hAnsi="宋体"/>
                <w:kern w:val="0"/>
                <w:sz w:val="20"/>
                <w:szCs w:val="21"/>
              </w:rPr>
              <w:t>【添利】</w:t>
            </w:r>
            <w:permEnd w:id="5"/>
            <w:r>
              <w:rPr>
                <w:rFonts w:hint="eastAsia" w:ascii="宋体" w:hAnsi="宋体"/>
                <w:kern w:val="0"/>
                <w:sz w:val="20"/>
                <w:szCs w:val="21"/>
              </w:rPr>
              <w:t>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58"/>
        <w:widowControl/>
        <w:snapToGrid w:val="0"/>
        <w:spacing w:line="360" w:lineRule="auto"/>
        <w:rPr>
          <w:rFonts w:ascii="黑体" w:hAnsi="黑体" w:eastAsia="黑体"/>
          <w:kern w:val="0"/>
          <w:szCs w:val="21"/>
        </w:rPr>
      </w:pPr>
      <w:r>
        <w:rPr>
          <w:rFonts w:hint="eastAsia" w:ascii="黑体" w:hAnsi="黑体" w:eastAsia="黑体"/>
          <w:kern w:val="0"/>
          <w:szCs w:val="21"/>
        </w:rPr>
        <w:t>1.销售文件的组成和编制的提示</w:t>
      </w:r>
    </w:p>
    <w:p>
      <w:pPr>
        <w:pStyle w:val="58"/>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58"/>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w:t>
      </w:r>
      <w:r>
        <w:rPr>
          <w:rFonts w:hint="eastAsia" w:ascii="黑体" w:hAnsi="黑体" w:eastAsia="黑体"/>
          <w:kern w:val="0"/>
          <w:szCs w:val="21"/>
        </w:rPr>
        <w:t>2</w:t>
      </w:r>
      <w:r>
        <w:rPr>
          <w:rFonts w:ascii="黑体" w:hAnsi="黑体" w:eastAsia="黑体"/>
          <w:kern w:val="0"/>
          <w:szCs w:val="21"/>
        </w:rPr>
        <w:t>021年第</w:t>
      </w:r>
      <w:r>
        <w:rPr>
          <w:rFonts w:hint="eastAsia" w:ascii="黑体" w:hAnsi="黑体" w:eastAsia="黑体"/>
          <w:kern w:val="0"/>
          <w:szCs w:val="21"/>
        </w:rPr>
        <w:t>4号）第2</w:t>
      </w:r>
      <w:r>
        <w:rPr>
          <w:rFonts w:ascii="黑体" w:hAnsi="黑体" w:eastAsia="黑体"/>
          <w:kern w:val="0"/>
          <w:szCs w:val="21"/>
        </w:rPr>
        <w:t>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58"/>
        <w:widowControl/>
        <w:snapToGrid w:val="0"/>
        <w:spacing w:line="360" w:lineRule="auto"/>
        <w:rPr>
          <w:rFonts w:ascii="黑体" w:hAnsi="黑体" w:eastAsia="黑体"/>
          <w:kern w:val="0"/>
          <w:szCs w:val="21"/>
        </w:rPr>
      </w:pPr>
      <w:r>
        <w:rPr>
          <w:rFonts w:hint="eastAsia" w:ascii="黑体" w:hAnsi="黑体" w:eastAsia="黑体"/>
          <w:kern w:val="0"/>
          <w:szCs w:val="21"/>
        </w:rPr>
        <w:t>2.投资者适当性的提示</w:t>
      </w:r>
    </w:p>
    <w:p>
      <w:pPr>
        <w:pStyle w:val="58"/>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58"/>
        <w:widowControl/>
        <w:snapToGrid w:val="0"/>
        <w:spacing w:line="360" w:lineRule="auto"/>
        <w:rPr>
          <w:rFonts w:ascii="黑体" w:hAnsi="黑体" w:eastAsia="黑体"/>
          <w:kern w:val="0"/>
          <w:szCs w:val="21"/>
        </w:rPr>
      </w:pPr>
      <w:r>
        <w:rPr>
          <w:rFonts w:ascii="黑体" w:hAnsi="黑体" w:eastAsia="黑体"/>
          <w:kern w:val="0"/>
          <w:szCs w:val="21"/>
        </w:rPr>
        <w:t>3</w:t>
      </w:r>
      <w:r>
        <w:rPr>
          <w:rFonts w:hint="eastAsia" w:ascii="黑体" w:hAnsi="黑体" w:eastAsia="黑体"/>
          <w:kern w:val="0"/>
          <w:szCs w:val="21"/>
        </w:rPr>
        <w:t>.</w:t>
      </w:r>
      <w:r>
        <w:rPr>
          <w:rFonts w:ascii="黑体" w:hAnsi="黑体" w:eastAsia="黑体"/>
          <w:kern w:val="0"/>
          <w:szCs w:val="21"/>
        </w:rPr>
        <w:t>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27"/>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27"/>
          <w:rFonts w:ascii="黑体" w:hAnsi="黑体" w:eastAsia="黑体" w:cs="宋体"/>
          <w:sz w:val="44"/>
          <w:szCs w:val="44"/>
        </w:rPr>
      </w:pPr>
      <w:r>
        <w:rPr>
          <w:rStyle w:val="27"/>
          <w:rFonts w:hint="eastAsia" w:ascii="黑体" w:hAnsi="黑体" w:eastAsia="黑体" w:cs="宋体"/>
          <w:sz w:val="44"/>
          <w:szCs w:val="44"/>
        </w:rPr>
        <w:t>兴银理财</w:t>
      </w:r>
      <w:permStart w:id="6" w:edGrp="everyone"/>
      <w:r>
        <w:rPr>
          <w:rStyle w:val="27"/>
          <w:rFonts w:hint="eastAsia" w:ascii="黑体" w:hAnsi="黑体" w:eastAsia="黑体" w:cs="宋体"/>
          <w:sz w:val="44"/>
          <w:szCs w:val="44"/>
        </w:rPr>
        <w:t>【添利】</w:t>
      </w:r>
      <w:permEnd w:id="6"/>
      <w:r>
        <w:rPr>
          <w:rStyle w:val="27"/>
          <w:rFonts w:hint="eastAsia" w:ascii="黑体" w:hAnsi="黑体" w:eastAsia="黑体" w:cs="宋体"/>
          <w:sz w:val="44"/>
          <w:szCs w:val="44"/>
        </w:rPr>
        <w:t>理财产品</w:t>
      </w:r>
    </w:p>
    <w:p>
      <w:pPr>
        <w:adjustRightInd w:val="0"/>
        <w:spacing w:line="360" w:lineRule="auto"/>
        <w:jc w:val="center"/>
        <w:rPr>
          <w:rStyle w:val="27"/>
          <w:rFonts w:ascii="黑体" w:hAnsi="黑体" w:eastAsia="黑体" w:cs="宋体"/>
          <w:sz w:val="44"/>
          <w:szCs w:val="44"/>
        </w:rPr>
      </w:pPr>
      <w:r>
        <w:rPr>
          <w:rStyle w:val="27"/>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ermStart w:id="7" w:edGrp="everyone"/>
      <w:r>
        <w:rPr>
          <w:rFonts w:hint="eastAsia" w:ascii="黑体" w:hAnsi="黑体" w:eastAsia="黑体"/>
          <w:b/>
          <w:sz w:val="28"/>
          <w:szCs w:val="28"/>
        </w:rPr>
        <w:t>【】</w:t>
      </w:r>
      <w:permEnd w:id="7"/>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27"/>
          <w:rFonts w:ascii="宋体" w:hAnsi="宋体"/>
          <w:sz w:val="28"/>
          <w:szCs w:val="28"/>
        </w:rPr>
      </w:pPr>
      <w:bookmarkStart w:id="0" w:name="_Toc123112224"/>
      <w:bookmarkStart w:id="1" w:name="_Toc123112263"/>
      <w:bookmarkStart w:id="2" w:name="_Toc139991726"/>
      <w:bookmarkStart w:id="3" w:name="_Toc139992301"/>
      <w:bookmarkStart w:id="4" w:name="_Toc123701383"/>
      <w:r>
        <w:rPr>
          <w:rStyle w:val="27"/>
          <w:rFonts w:hint="eastAsia" w:ascii="宋体" w:hAnsi="宋体"/>
          <w:sz w:val="28"/>
          <w:szCs w:val="28"/>
        </w:rPr>
        <w:t>理财产品管理人：</w:t>
      </w:r>
      <w:bookmarkEnd w:id="0"/>
      <w:bookmarkEnd w:id="1"/>
      <w:bookmarkEnd w:id="2"/>
      <w:bookmarkEnd w:id="3"/>
      <w:bookmarkEnd w:id="4"/>
      <w:r>
        <w:rPr>
          <w:rStyle w:val="27"/>
          <w:rFonts w:hint="eastAsia" w:ascii="宋体" w:hAnsi="宋体"/>
          <w:sz w:val="28"/>
          <w:szCs w:val="28"/>
        </w:rPr>
        <w:t>兴银理财有限责任公司</w:t>
      </w:r>
    </w:p>
    <w:p>
      <w:pPr>
        <w:adjustRightInd w:val="0"/>
        <w:spacing w:line="360" w:lineRule="auto"/>
        <w:jc w:val="center"/>
        <w:rPr>
          <w:rStyle w:val="27"/>
          <w:rFonts w:ascii="黑体" w:hAnsi="黑体" w:eastAsia="黑体" w:cs="宋体"/>
          <w:sz w:val="28"/>
          <w:szCs w:val="28"/>
        </w:rPr>
      </w:pPr>
      <w:bookmarkStart w:id="5" w:name="_Toc139992302"/>
      <w:bookmarkStart w:id="6" w:name="_Toc139991727"/>
      <w:bookmarkStart w:id="7" w:name="_Toc123112225"/>
      <w:bookmarkStart w:id="8" w:name="_Toc123701384"/>
      <w:bookmarkStart w:id="9" w:name="_Toc123112264"/>
    </w:p>
    <w:bookmarkEnd w:id="5"/>
    <w:bookmarkEnd w:id="6"/>
    <w:bookmarkEnd w:id="7"/>
    <w:bookmarkEnd w:id="8"/>
    <w:bookmarkEnd w:id="9"/>
    <w:p>
      <w:pPr>
        <w:adjustRightInd w:val="0"/>
        <w:spacing w:line="360" w:lineRule="auto"/>
        <w:jc w:val="center"/>
        <w:rPr>
          <w:rStyle w:val="27"/>
          <w:rFonts w:ascii="黑体" w:hAnsi="黑体" w:eastAsia="黑体" w:cs="宋体"/>
          <w:sz w:val="28"/>
          <w:szCs w:val="28"/>
        </w:rPr>
      </w:pPr>
    </w:p>
    <w:p>
      <w:pPr>
        <w:adjustRightInd w:val="0"/>
        <w:spacing w:line="360" w:lineRule="auto"/>
        <w:jc w:val="center"/>
        <w:rPr>
          <w:rStyle w:val="27"/>
          <w:rFonts w:ascii="宋体" w:hAnsi="宋体"/>
          <w:sz w:val="28"/>
          <w:szCs w:val="28"/>
        </w:rPr>
      </w:pPr>
      <w:r>
        <w:rPr>
          <w:rStyle w:val="27"/>
          <w:rFonts w:hint="eastAsia" w:ascii="宋体" w:hAnsi="宋体"/>
          <w:sz w:val="28"/>
          <w:szCs w:val="28"/>
        </w:rPr>
        <w:t>日期</w:t>
      </w:r>
      <w:r>
        <w:rPr>
          <w:rStyle w:val="27"/>
          <w:rFonts w:ascii="宋体" w:hAnsi="宋体"/>
          <w:sz w:val="28"/>
          <w:szCs w:val="28"/>
        </w:rPr>
        <w:t>：</w:t>
      </w:r>
      <w:permStart w:id="8" w:edGrp="everyone"/>
      <w:r>
        <w:rPr>
          <w:rStyle w:val="27"/>
          <w:rFonts w:hint="eastAsia" w:ascii="宋体" w:hAnsi="宋体"/>
          <w:sz w:val="28"/>
          <w:szCs w:val="28"/>
        </w:rPr>
        <w:t>【</w:t>
      </w:r>
      <w:r>
        <w:rPr>
          <w:rStyle w:val="27"/>
          <w:rFonts w:hint="eastAsia" w:ascii="宋体" w:hAnsi="宋体"/>
          <w:sz w:val="28"/>
          <w:szCs w:val="28"/>
          <w:lang w:val="en-US" w:eastAsia="zh-CN"/>
        </w:rPr>
        <w:t>2025</w:t>
      </w:r>
      <w:r>
        <w:rPr>
          <w:rStyle w:val="27"/>
          <w:rFonts w:hint="eastAsia" w:ascii="宋体" w:hAnsi="宋体"/>
          <w:sz w:val="28"/>
          <w:szCs w:val="28"/>
        </w:rPr>
        <w:t>】年【</w:t>
      </w:r>
      <w:r>
        <w:rPr>
          <w:rStyle w:val="27"/>
          <w:rFonts w:hint="eastAsia" w:ascii="宋体" w:hAnsi="宋体"/>
          <w:sz w:val="28"/>
          <w:szCs w:val="28"/>
          <w:lang w:val="en-US" w:eastAsia="zh-CN"/>
        </w:rPr>
        <w:t>12</w:t>
      </w:r>
      <w:r>
        <w:rPr>
          <w:rStyle w:val="27"/>
          <w:rFonts w:hint="eastAsia" w:ascii="宋体" w:hAnsi="宋体"/>
          <w:sz w:val="28"/>
          <w:szCs w:val="28"/>
        </w:rPr>
        <w:t>】月</w:t>
      </w:r>
      <w:permEnd w:id="8"/>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25"/>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xml:space="preserve"> </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关于理财产品与存款产品的提示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理财产品过往业绩不代表其未来表现，不等于理财产品实际收益，投资须谨慎。</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关于理财产品不保证本金和收益的提示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关于销售文件的组成和编制的提示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1.销售文件的组成</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2.销售文件的编制</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w:t>
            </w:r>
            <w:r>
              <w:rPr>
                <w:rFonts w:hint="eastAsia" w:ascii="黑体" w:hAnsi="黑体" w:eastAsia="黑体"/>
                <w:bCs/>
                <w:sz w:val="18"/>
                <w:szCs w:val="18"/>
              </w:rPr>
              <w:t>2</w:t>
            </w:r>
            <w:r>
              <w:rPr>
                <w:rFonts w:ascii="黑体" w:hAnsi="黑体" w:eastAsia="黑体"/>
                <w:bCs/>
                <w:sz w:val="18"/>
                <w:szCs w:val="18"/>
              </w:rPr>
              <w:t>021年第</w:t>
            </w:r>
            <w:r>
              <w:rPr>
                <w:rFonts w:hint="eastAsia" w:ascii="黑体" w:hAnsi="黑体" w:eastAsia="黑体"/>
                <w:bCs/>
                <w:sz w:val="18"/>
                <w:szCs w:val="18"/>
              </w:rPr>
              <w:t>4号）第2</w:t>
            </w:r>
            <w:r>
              <w:rPr>
                <w:rFonts w:ascii="黑体" w:hAnsi="黑体" w:eastAsia="黑体"/>
                <w:bCs/>
                <w:sz w:val="18"/>
                <w:szCs w:val="18"/>
              </w:rPr>
              <w:t>9条规定</w:t>
            </w:r>
            <w:r>
              <w:rPr>
                <w:rFonts w:hint="eastAsia" w:ascii="黑体" w:hAnsi="黑体" w:eastAsia="黑体"/>
                <w:bCs/>
                <w:sz w:val="18"/>
                <w:szCs w:val="18"/>
              </w:rPr>
              <w:t>，本款产品销售文件在编制时，可能存在以下两种情形：</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（1）情形1：所有销售文件都由产品管理人统一编制。其中，《投资协议书》《产品说明书》《（代理）销售协议书》《风险揭示书》《投资者权益须知》等销售文件均由产品管理人统一编制。</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2）情形2：部分销售文件由代理销售机构进行编制。其中，《投资协议书》和《产品说明书》由产品管理人统一编制；《（代理）销售协议书》《风险揭示书》《投资者权益须知》等销售文件，此等销售文件中的之一或之二或全部，由于代理销售机构的需求而由理财公司委托代理销售机构进行编制。</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关于投资者适当性的提示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xml:space="preserve"> </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投资者同意并授权产品管理人有权根据业务办理需要、反洗钱工作、非居民金融账户涉税信息尽职调查、I</w:t>
            </w:r>
            <w:r>
              <w:rPr>
                <w:rFonts w:ascii="黑体" w:hAnsi="黑体" w:eastAsia="黑体"/>
                <w:sz w:val="18"/>
                <w:szCs w:val="18"/>
              </w:rPr>
              <w:t>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关于理财产品信息披露的提示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在购买本产品后，投资者应随时关注该理财产品的信息披露情况，及时获取相关信息。</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pStyle w:val="21"/>
              <w:snapToGrid w:val="0"/>
              <w:spacing w:before="0" w:beforeAutospacing="0" w:after="0" w:afterAutospacing="0" w:line="360" w:lineRule="auto"/>
              <w:jc w:val="both"/>
              <w:rPr>
                <w:bCs/>
                <w:sz w:val="32"/>
              </w:rPr>
            </w:pPr>
            <w:r>
              <w:rPr>
                <w:rFonts w:hint="eastAsia" w:ascii="黑体" w:hAnsi="黑体" w:eastAsia="黑体"/>
                <w:bCs/>
                <w:sz w:val="18"/>
                <w:szCs w:val="18"/>
              </w:rPr>
              <w:t>投资者对本理财产品及销售文件的内容有任何疑问，请向产品管理人或销售机构咨询。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39991729"/>
      <w:bookmarkStart w:id="11" w:name="_Toc123701386"/>
      <w:bookmarkStart w:id="12" w:name="_Toc123112266"/>
      <w:bookmarkStart w:id="13" w:name="_Toc123112227"/>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24"/>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15"/>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15"/>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permStart w:id="9" w:edGrp="everyone" w:colFirst="3" w:colLast="3"/>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permEnd w:id="9"/>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10" w:edGrp="everyone" w:colFirst="3" w:colLast="3"/>
            <w:permStart w:id="11" w:edGrp="everyone" w:colFirst="5" w:colLast="5"/>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permEnd w:id="10"/>
      <w:permEnd w:id="11"/>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12" w:edGrp="everyone" w:colFirst="3" w:colLast="3"/>
            <w:permStart w:id="13" w:edGrp="everyone" w:colFirst="5" w:colLast="5"/>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permEnd w:id="12"/>
      <w:permEnd w:id="13"/>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14" w:edGrp="everyone" w:colFirst="3" w:colLast="3"/>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permEnd w:id="14"/>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15" w:edGrp="everyone" w:colFirst="3" w:colLast="3"/>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permEnd w:id="15"/>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16" w:edGrp="everyone" w:colFirst="3" w:colLast="3"/>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permEnd w:id="16"/>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17" w:edGrp="everyone" w:colFirst="3" w:colLast="3"/>
            <w:permStart w:id="18" w:edGrp="everyone" w:colFirst="5" w:colLast="5"/>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permEnd w:id="17"/>
      <w:permEnd w:id="18"/>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19" w:edGrp="everyone" w:colFirst="3" w:colLast="3"/>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permEnd w:id="19"/>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20" w:edGrp="everyone" w:colFirst="3" w:colLast="3"/>
            <w:permStart w:id="21" w:edGrp="everyone" w:colFirst="5" w:colLast="5"/>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permEnd w:id="20"/>
      <w:permEnd w:id="21"/>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22" w:edGrp="everyone" w:colFirst="3" w:colLast="3"/>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permEnd w:id="22"/>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ermStart w:id="23" w:edGrp="everyone" w:colFirst="3" w:colLast="3"/>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permEnd w:id="23"/>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15"/>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本公司系根据原中国银保监会（现国家金融监督管理总局）批准设立的由兴业银行股份有限公司全资控股的银行理财子公司。公司名称：中文为“兴银理财有限责任公司”；英文：“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。公司成立于</w:t>
            </w:r>
            <w:r>
              <w:rPr>
                <w:rFonts w:ascii="宋体" w:hAnsi="宋体"/>
                <w:bCs/>
                <w:sz w:val="18"/>
                <w:szCs w:val="18"/>
              </w:rPr>
              <w:t>2019年12月，公司注册资本为50亿元人民币，全部由兴业银行股份有限公司以货币资金认购并一次性足额缴纳。公司注册地为福建省福州市。公司主要</w:t>
            </w:r>
            <w:r>
              <w:rPr>
                <w:rFonts w:hint="eastAsia" w:ascii="宋体" w:hAnsi="宋体"/>
                <w:bCs/>
                <w:sz w:val="18"/>
                <w:szCs w:val="18"/>
              </w:rPr>
              <w:t>业务范围为：面向不特定社会公众公开发行理财产品，对受托的投资和财产进行投资和管理；面向合格投资者非公开发行理财产品，对受托的投资和财产进行投资和管理；理财顾问和咨询服务；经监管部门批准的其他业务等。</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permStart w:id="24" w:edGrp="everyone" w:colFirst="0" w:colLast="0"/>
            <w:permStart w:id="25" w:edGrp="everyone" w:colFirst="1" w:colLast="1"/>
            <w:permStart w:id="26" w:edGrp="everyone" w:colFirst="2" w:colLast="2"/>
            <w:r>
              <w:rPr>
                <w:rFonts w:hint="eastAsia" w:ascii="宋体" w:hAnsi="宋体"/>
                <w:b/>
                <w:bCs/>
                <w:sz w:val="18"/>
                <w:szCs w:val="18"/>
              </w:rPr>
              <w:t>理财产品信息</w:t>
            </w: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tcPr>
          <w:p>
            <w:pPr>
              <w:spacing w:line="360" w:lineRule="auto"/>
              <w:jc w:val="left"/>
              <w:rPr>
                <w:rFonts w:ascii="宋体" w:hAnsi="宋体"/>
                <w:bCs/>
                <w:sz w:val="18"/>
                <w:szCs w:val="18"/>
              </w:rPr>
            </w:pPr>
            <w:r>
              <w:rPr>
                <w:rFonts w:hint="eastAsia" w:ascii="宋体" w:hAnsi="宋体"/>
                <w:bCs/>
                <w:sz w:val="18"/>
                <w:szCs w:val="18"/>
              </w:rPr>
              <w:t>【</w:t>
            </w:r>
            <w:r>
              <w:rPr>
                <w:rFonts w:hint="eastAsia" w:asciiTheme="minorEastAsia" w:hAnsiTheme="minorEastAsia"/>
                <w:sz w:val="18"/>
                <w:szCs w:val="18"/>
              </w:rPr>
              <w:t>兴银理财添利天天利</w:t>
            </w:r>
            <w:r>
              <w:rPr>
                <w:rFonts w:hint="eastAsia" w:asciiTheme="minorEastAsia" w:hAnsiTheme="minorEastAsia"/>
                <w:sz w:val="18"/>
                <w:szCs w:val="18"/>
                <w:lang w:val="en-US" w:eastAsia="zh-CN"/>
              </w:rPr>
              <w:t>53</w:t>
            </w:r>
            <w:r>
              <w:rPr>
                <w:rFonts w:hint="eastAsia" w:asciiTheme="minorEastAsia" w:hAnsiTheme="minorEastAsia"/>
                <w:sz w:val="18"/>
                <w:szCs w:val="18"/>
              </w:rPr>
              <w:t>号现金管理型理财产品</w:t>
            </w:r>
            <w:r>
              <w:rPr>
                <w:rFonts w:hint="eastAsia" w:ascii="宋体" w:hAnsi="宋体"/>
                <w:bCs/>
                <w:sz w:val="18"/>
                <w:szCs w:val="18"/>
              </w:rPr>
              <w:t>】</w:t>
            </w:r>
          </w:p>
        </w:tc>
      </w:tr>
      <w:permEnd w:id="24"/>
      <w:permEnd w:id="25"/>
      <w:permEnd w:id="26"/>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27" w:edGrp="everyone" w:colFirst="0" w:colLast="0"/>
            <w:permStart w:id="28" w:edGrp="everyone" w:colFirst="1" w:colLast="1"/>
            <w:permStart w:id="29" w:edGrp="everyone" w:colFirst="2" w:colLast="2"/>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w:t>
            </w:r>
            <w:r>
              <w:rPr>
                <w:rFonts w:hint="eastAsia" w:asciiTheme="minorEastAsia" w:hAnsiTheme="minorEastAsia"/>
                <w:sz w:val="18"/>
                <w:szCs w:val="18"/>
              </w:rPr>
              <w:t>兴银添利天天利53号J（鑫福款）</w:t>
            </w:r>
            <w:r>
              <w:rPr>
                <w:rFonts w:hint="eastAsia" w:ascii="宋体" w:hAnsi="宋体"/>
                <w:bCs/>
                <w:sz w:val="18"/>
                <w:szCs w:val="18"/>
              </w:rPr>
              <w:t>】</w:t>
            </w:r>
            <w:r>
              <w:rPr>
                <w:rFonts w:hint="eastAsia" w:ascii="宋体" w:hAnsi="宋体"/>
                <w:bCs/>
                <w:color w:val="000000" w:themeColor="text1"/>
                <w:sz w:val="18"/>
                <w:szCs w:val="18"/>
                <w14:textFill>
                  <w14:solidFill>
                    <w14:schemeClr w14:val="tx1"/>
                  </w14:solidFill>
                </w14:textFill>
              </w:rPr>
              <w:t>（适用【</w:t>
            </w:r>
            <w:r>
              <w:rPr>
                <w:rFonts w:hint="eastAsia" w:ascii="宋体" w:hAnsi="宋体"/>
                <w:bCs/>
                <w:color w:val="000000" w:themeColor="text1"/>
                <w:sz w:val="18"/>
                <w:szCs w:val="18"/>
                <w:lang w:val="en-US" w:eastAsia="zh-CN"/>
                <w14:textFill>
                  <w14:solidFill>
                    <w14:schemeClr w14:val="tx1"/>
                  </w14:solidFill>
                </w14:textFill>
              </w:rPr>
              <w:t>J</w:t>
            </w:r>
            <w:r>
              <w:rPr>
                <w:rFonts w:hint="eastAsia" w:ascii="宋体" w:hAnsi="宋体"/>
                <w:bCs/>
                <w:color w:val="000000" w:themeColor="text1"/>
                <w:sz w:val="18"/>
                <w:szCs w:val="18"/>
                <w14:textFill>
                  <w14:solidFill>
                    <w14:schemeClr w14:val="tx1"/>
                  </w14:solidFill>
                </w14:textFill>
              </w:rPr>
              <w:t>】类份额）</w:t>
            </w:r>
          </w:p>
        </w:tc>
      </w:tr>
      <w:permEnd w:id="27"/>
      <w:permEnd w:id="28"/>
      <w:permEnd w:id="29"/>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30" w:edGrp="everyone" w:colFirst="0" w:colLast="0"/>
            <w:permStart w:id="31" w:edGrp="everyone" w:colFirst="1" w:colLast="1"/>
            <w:permStart w:id="32" w:edGrp="everyone" w:colFirst="2" w:colLast="2"/>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tcPr>
          <w:p>
            <w:pPr>
              <w:spacing w:line="360" w:lineRule="auto"/>
              <w:jc w:val="left"/>
              <w:rPr>
                <w:rFonts w:ascii="宋体" w:hAnsi="宋体"/>
                <w:bCs/>
                <w:sz w:val="18"/>
                <w:szCs w:val="18"/>
              </w:rPr>
            </w:pPr>
            <w:r>
              <w:rPr>
                <w:rFonts w:hint="eastAsia" w:ascii="宋体" w:hAnsi="宋体"/>
                <w:bCs/>
                <w:sz w:val="18"/>
                <w:szCs w:val="18"/>
              </w:rPr>
              <w:t>【Z70020250001</w:t>
            </w:r>
            <w:r>
              <w:rPr>
                <w:rFonts w:hint="eastAsia" w:ascii="宋体" w:hAnsi="宋体"/>
                <w:bCs/>
                <w:sz w:val="18"/>
                <w:szCs w:val="18"/>
                <w:lang w:val="en-US" w:eastAsia="zh-CN"/>
              </w:rPr>
              <w:t>27</w:t>
            </w:r>
            <w:r>
              <w:rPr>
                <w:rFonts w:hint="eastAsia" w:ascii="宋体" w:hAnsi="宋体"/>
                <w:bCs/>
                <w:sz w:val="18"/>
                <w:szCs w:val="18"/>
              </w:rPr>
              <w:t>】注：投资者可依据理财产品登记编码在中国理财网查询产品信息</w:t>
            </w:r>
            <w:r>
              <w:fldChar w:fldCharType="begin"/>
            </w:r>
            <w:r>
              <w:instrText xml:space="preserve"> HYPERLINK "http://www.chinawealth.com.cn" </w:instrText>
            </w:r>
            <w:r>
              <w:fldChar w:fldCharType="separate"/>
            </w:r>
            <w:r>
              <w:rPr>
                <w:rFonts w:ascii="宋体" w:hAnsi="宋体"/>
                <w:bCs/>
                <w:sz w:val="18"/>
                <w:szCs w:val="18"/>
              </w:rPr>
              <w:t>www.chinawealth.com.cn</w:t>
            </w:r>
            <w:r>
              <w:rPr>
                <w:rFonts w:ascii="宋体" w:hAnsi="宋体"/>
                <w:bCs/>
                <w:sz w:val="18"/>
                <w:szCs w:val="18"/>
              </w:rPr>
              <w:fldChar w:fldCharType="end"/>
            </w:r>
            <w:bookmarkStart w:id="66" w:name="_GoBack"/>
            <w:bookmarkEnd w:id="66"/>
          </w:p>
        </w:tc>
      </w:tr>
      <w:permEnd w:id="30"/>
      <w:permEnd w:id="31"/>
      <w:permEnd w:id="32"/>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33" w:edGrp="everyone" w:colFirst="0" w:colLast="0"/>
            <w:permStart w:id="34" w:edGrp="everyone" w:colFirst="1" w:colLast="1"/>
            <w:permStart w:id="35" w:edGrp="everyone" w:colFirst="2" w:colLast="2"/>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pPr>
              <w:spacing w:line="360" w:lineRule="auto"/>
              <w:jc w:val="left"/>
              <w:rPr>
                <w:rFonts w:ascii="宋体" w:hAnsi="宋体"/>
                <w:bCs/>
                <w:sz w:val="18"/>
                <w:szCs w:val="18"/>
              </w:rPr>
            </w:pPr>
            <w:r>
              <w:rPr>
                <w:rFonts w:ascii="宋体" w:hAnsi="宋体"/>
                <w:bCs/>
                <w:color w:val="000000" w:themeColor="text1"/>
                <w:sz w:val="18"/>
                <w:szCs w:val="18"/>
                <w14:textFill>
                  <w14:solidFill>
                    <w14:schemeClr w14:val="tx1"/>
                  </w14:solidFill>
                </w14:textFill>
              </w:rPr>
              <w:t>【</w:t>
            </w:r>
            <w:r>
              <w:rPr>
                <w:rFonts w:hint="eastAsia" w:ascii="宋体" w:hAnsi="宋体"/>
                <w:bCs/>
                <w:color w:val="000000" w:themeColor="text1"/>
                <w:sz w:val="18"/>
                <w:szCs w:val="18"/>
                <w14:textFill>
                  <w14:solidFill>
                    <w14:schemeClr w14:val="tx1"/>
                  </w14:solidFill>
                </w14:textFill>
              </w:rPr>
              <w:t>9TTL9</w:t>
            </w:r>
            <w:r>
              <w:rPr>
                <w:rFonts w:hint="eastAsia" w:ascii="宋体" w:hAnsi="宋体"/>
                <w:bCs/>
                <w:color w:val="000000" w:themeColor="text1"/>
                <w:sz w:val="18"/>
                <w:szCs w:val="18"/>
                <w:lang w:val="en-US" w:eastAsia="zh-CN"/>
                <w14:textFill>
                  <w14:solidFill>
                    <w14:schemeClr w14:val="tx1"/>
                  </w14:solidFill>
                </w14:textFill>
              </w:rPr>
              <w:t>53</w:t>
            </w:r>
            <w:r>
              <w:rPr>
                <w:rFonts w:hint="eastAsia" w:ascii="宋体" w:hAnsi="宋体"/>
                <w:bCs/>
                <w:color w:val="000000" w:themeColor="text1"/>
                <w:sz w:val="18"/>
                <w:szCs w:val="18"/>
                <w14:textFill>
                  <w14:solidFill>
                    <w14:schemeClr w14:val="tx1"/>
                  </w14:solidFill>
                </w14:textFill>
              </w:rPr>
              <w:t>0</w:t>
            </w:r>
            <w:r>
              <w:rPr>
                <w:rFonts w:ascii="宋体" w:hAnsi="宋体"/>
                <w:bCs/>
                <w:color w:val="000000" w:themeColor="text1"/>
                <w:sz w:val="18"/>
                <w:szCs w:val="18"/>
                <w14:textFill>
                  <w14:solidFill>
                    <w14:schemeClr w14:val="tx1"/>
                  </w14:solidFill>
                </w14:textFill>
              </w:rPr>
              <w:t>】</w:t>
            </w:r>
          </w:p>
        </w:tc>
      </w:tr>
      <w:permEnd w:id="33"/>
      <w:permEnd w:id="34"/>
      <w:permEnd w:id="35"/>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36" w:edGrp="everyone" w:colFirst="0" w:colLast="0"/>
            <w:permStart w:id="37" w:edGrp="everyone" w:colFirst="1" w:colLast="1"/>
            <w:permStart w:id="38" w:edGrp="everyone" w:colFirst="2" w:colLast="2"/>
          </w:p>
        </w:tc>
        <w:tc>
          <w:tcPr>
            <w:tcW w:w="1690" w:type="dxa"/>
            <w:gridSpan w:val="2"/>
            <w:shd w:val="solid" w:color="FFFFFF" w:fill="FFFFFF"/>
            <w:vAlign w:val="center"/>
          </w:tcPr>
          <w:p>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pPr>
              <w:spacing w:line="320" w:lineRule="exact"/>
              <w:jc w:val="left"/>
              <w:rPr>
                <w:rFonts w:ascii="宋体" w:hAnsi="宋体"/>
                <w:bCs/>
                <w:color w:val="000000" w:themeColor="text1"/>
                <w:sz w:val="18"/>
                <w:szCs w:val="18"/>
                <w14:textFill>
                  <w14:solidFill>
                    <w14:schemeClr w14:val="tx1"/>
                  </w14:solidFill>
                </w14:textFill>
              </w:rPr>
            </w:pPr>
            <w:r>
              <w:rPr>
                <w:rFonts w:hint="eastAsia" w:ascii="宋体" w:hAnsi="宋体"/>
                <w:bCs/>
                <w:color w:val="000000" w:themeColor="text1"/>
                <w:sz w:val="18"/>
                <w:szCs w:val="18"/>
                <w14:textFill>
                  <w14:solidFill>
                    <w14:schemeClr w14:val="tx1"/>
                  </w14:solidFill>
                </w14:textFill>
              </w:rPr>
              <w:t>【</w:t>
            </w:r>
            <w:r>
              <w:rPr>
                <w:rFonts w:hint="eastAsia" w:ascii="宋体" w:hAnsi="宋体"/>
                <w:bCs/>
                <w:sz w:val="18"/>
                <w:szCs w:val="18"/>
              </w:rPr>
              <w:t>9TTL953J</w:t>
            </w:r>
            <w:r>
              <w:rPr>
                <w:rFonts w:hint="eastAsia" w:ascii="宋体" w:hAnsi="宋体"/>
                <w:bCs/>
                <w:color w:val="000000" w:themeColor="text1"/>
                <w:sz w:val="18"/>
                <w:szCs w:val="18"/>
                <w14:textFill>
                  <w14:solidFill>
                    <w14:schemeClr w14:val="tx1"/>
                  </w14:solidFill>
                </w14:textFill>
              </w:rPr>
              <w:t>】（适用【</w:t>
            </w:r>
            <w:r>
              <w:rPr>
                <w:rFonts w:hint="eastAsia" w:ascii="宋体" w:hAnsi="宋体"/>
                <w:bCs/>
                <w:color w:val="000000" w:themeColor="text1"/>
                <w:sz w:val="18"/>
                <w:szCs w:val="18"/>
                <w:lang w:val="en-US" w:eastAsia="zh-CN"/>
                <w14:textFill>
                  <w14:solidFill>
                    <w14:schemeClr w14:val="tx1"/>
                  </w14:solidFill>
                </w14:textFill>
              </w:rPr>
              <w:t>J</w:t>
            </w:r>
            <w:r>
              <w:rPr>
                <w:rFonts w:hint="eastAsia" w:ascii="宋体" w:hAnsi="宋体"/>
                <w:bCs/>
                <w:color w:val="000000" w:themeColor="text1"/>
                <w:sz w:val="18"/>
                <w:szCs w:val="18"/>
                <w14:textFill>
                  <w14:solidFill>
                    <w14:schemeClr w14:val="tx1"/>
                  </w14:solidFill>
                </w14:textFill>
              </w:rPr>
              <w:t>】类份额）</w:t>
            </w:r>
          </w:p>
        </w:tc>
      </w:tr>
      <w:permEnd w:id="36"/>
      <w:permEnd w:id="37"/>
      <w:permEnd w:id="38"/>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ermStart w:id="39" w:edGrp="everyone" w:colFirst="0" w:colLast="0"/>
          </w:p>
        </w:tc>
      </w:tr>
      <w:permEnd w:id="39"/>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15"/>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15"/>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permStart w:id="40" w:edGrp="everyone"/>
            <w:r>
              <w:rPr>
                <w:rFonts w:ascii="宋体" w:hAnsi="宋体"/>
                <w:szCs w:val="18"/>
                <w:u w:val="single"/>
              </w:rPr>
              <w:t xml:space="preserve">　                     </w:t>
            </w:r>
            <w:permEnd w:id="40"/>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rPr>
      </w:sdtEndPr>
      <w:sdtContent>
        <w:p>
          <w:pPr>
            <w:pStyle w:val="67"/>
            <w:spacing w:line="360" w:lineRule="auto"/>
            <w:jc w:val="center"/>
          </w:pPr>
          <w:r>
            <w:rPr>
              <w:lang w:val="zh-CN"/>
            </w:rPr>
            <w:t>目录</w:t>
          </w:r>
        </w:p>
        <w:p>
          <w:pPr>
            <w:pStyle w:val="16"/>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pPr>
            <w:pStyle w:val="16"/>
            <w:tabs>
              <w:tab w:val="right" w:leader="dot" w:pos="8306"/>
              <w:tab w:val="clear" w:pos="8296"/>
            </w:tabs>
          </w:pPr>
          <w:r>
            <w:fldChar w:fldCharType="begin"/>
          </w:r>
          <w:r>
            <w:instrText xml:space="preserve"> HYPERLINK \l "_Toc12429" </w:instrText>
          </w:r>
          <w:r>
            <w:fldChar w:fldCharType="separate"/>
          </w:r>
          <w:r>
            <w:t>第</w:t>
          </w:r>
          <w:r>
            <w:rPr>
              <w:rFonts w:hint="eastAsia"/>
            </w:rPr>
            <w:t xml:space="preserve">二条 </w:t>
          </w:r>
          <w:r>
            <w:t xml:space="preserve"> </w:t>
          </w:r>
          <w:r>
            <w:rPr>
              <w:rFonts w:hint="eastAsia"/>
            </w:rPr>
            <w:t>双方</w:t>
          </w:r>
          <w:r>
            <w:t>权利义务</w:t>
          </w:r>
          <w:r>
            <w:tab/>
          </w:r>
          <w:r>
            <w:fldChar w:fldCharType="begin"/>
          </w:r>
          <w:r>
            <w:instrText xml:space="preserve"> PAGEREF _Toc12429 \h </w:instrText>
          </w:r>
          <w:r>
            <w:fldChar w:fldCharType="separate"/>
          </w:r>
          <w:r>
            <w:t>7</w:t>
          </w:r>
          <w:r>
            <w:fldChar w:fldCharType="end"/>
          </w:r>
          <w:r>
            <w:fldChar w:fldCharType="end"/>
          </w:r>
        </w:p>
        <w:p>
          <w:pPr>
            <w:pStyle w:val="16"/>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不可抗力</w:t>
          </w:r>
          <w:r>
            <w:tab/>
          </w:r>
          <w:r>
            <w:fldChar w:fldCharType="begin"/>
          </w:r>
          <w:r>
            <w:instrText xml:space="preserve"> PAGEREF _Toc706 \h </w:instrText>
          </w:r>
          <w:r>
            <w:fldChar w:fldCharType="separate"/>
          </w:r>
          <w:r>
            <w:t>10</w:t>
          </w:r>
          <w:r>
            <w:fldChar w:fldCharType="end"/>
          </w:r>
          <w:r>
            <w:fldChar w:fldCharType="end"/>
          </w:r>
        </w:p>
        <w:p>
          <w:pPr>
            <w:pStyle w:val="16"/>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pPr>
            <w:pStyle w:val="16"/>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法律适用和争议解决</w:t>
          </w:r>
          <w:r>
            <w:tab/>
          </w:r>
          <w:r>
            <w:fldChar w:fldCharType="begin"/>
          </w:r>
          <w:r>
            <w:instrText xml:space="preserve"> PAGEREF _Toc29618 \h </w:instrText>
          </w:r>
          <w:r>
            <w:fldChar w:fldCharType="separate"/>
          </w:r>
          <w:r>
            <w:t>12</w:t>
          </w:r>
          <w:r>
            <w:fldChar w:fldCharType="end"/>
          </w:r>
          <w:r>
            <w:fldChar w:fldCharType="end"/>
          </w:r>
        </w:p>
        <w:p>
          <w:pPr>
            <w:pStyle w:val="16"/>
            <w:tabs>
              <w:tab w:val="right" w:leader="dot" w:pos="8306"/>
              <w:tab w:val="clear" w:pos="8296"/>
            </w:tabs>
          </w:pPr>
          <w:r>
            <w:fldChar w:fldCharType="begin"/>
          </w:r>
          <w:r>
            <w:instrText xml:space="preserve"> HYPERLINK \l "_Toc11943" </w:instrText>
          </w:r>
          <w:r>
            <w:fldChar w:fldCharType="separate"/>
          </w:r>
          <w:r>
            <w:rPr>
              <w:rFonts w:hint="eastAsia"/>
            </w:rPr>
            <w:t xml:space="preserve">第六条 </w:t>
          </w:r>
          <w:r>
            <w:t xml:space="preserve"> 协议的签署和</w:t>
          </w:r>
          <w:r>
            <w:rPr>
              <w:rFonts w:hint="eastAsia"/>
            </w:rPr>
            <w:t>效力</w:t>
          </w:r>
          <w:r>
            <w:tab/>
          </w:r>
          <w:r>
            <w:fldChar w:fldCharType="begin"/>
          </w:r>
          <w:r>
            <w:instrText xml:space="preserve"> PAGEREF _Toc11943 \h </w:instrText>
          </w:r>
          <w:r>
            <w:fldChar w:fldCharType="separate"/>
          </w:r>
          <w:r>
            <w:t>13</w:t>
          </w:r>
          <w:r>
            <w:fldChar w:fldCharType="end"/>
          </w:r>
          <w:r>
            <w:fldChar w:fldCharType="end"/>
          </w:r>
        </w:p>
        <w:p>
          <w:pPr>
            <w:pStyle w:val="16"/>
            <w:tabs>
              <w:tab w:val="right" w:leader="dot" w:pos="8306"/>
              <w:tab w:val="clear" w:pos="8296"/>
            </w:tabs>
          </w:pPr>
          <w:r>
            <w:fldChar w:fldCharType="begin"/>
          </w:r>
          <w:r>
            <w:instrText xml:space="preserve"> HYPERLINK \l "_Toc29352" </w:instrText>
          </w:r>
          <w:r>
            <w:fldChar w:fldCharType="separate"/>
          </w:r>
          <w:r>
            <w:rPr>
              <w:rFonts w:hint="eastAsia"/>
            </w:rPr>
            <w:t xml:space="preserve">第七条 </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15517"/>
      <w:bookmarkStart w:id="15" w:name="_Toc29629"/>
      <w:bookmarkStart w:id="16" w:name="_Toc32639"/>
      <w:bookmarkStart w:id="17" w:name="_Toc123112268"/>
      <w:bookmarkStart w:id="18" w:name="_Toc141703880"/>
      <w:bookmarkStart w:id="19" w:name="_Toc8727"/>
      <w:bookmarkStart w:id="20" w:name="_Toc4867"/>
      <w:bookmarkStart w:id="21" w:name="_Toc139991730"/>
      <w:bookmarkStart w:id="22" w:name="_Toc123701389"/>
      <w:bookmarkStart w:id="23" w:name="_Toc123112229"/>
      <w:bookmarkStart w:id="24" w:name="_Toc23386"/>
      <w:bookmarkStart w:id="25" w:name="_Toc30935"/>
      <w:bookmarkStart w:id="26" w:name="_Toc6306"/>
      <w:bookmarkStart w:id="27" w:name="_Toc26897"/>
      <w:bookmarkStart w:id="28" w:name="_Toc4966"/>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1301"/>
      <w:bookmarkStart w:id="33" w:name="_Toc819"/>
      <w:bookmarkStart w:id="34" w:name="_Toc2465"/>
      <w:bookmarkStart w:id="35" w:name="_Toc22864"/>
      <w:bookmarkStart w:id="36" w:name="_Toc3224"/>
      <w:bookmarkStart w:id="37" w:name="_Toc258829399"/>
      <w:bookmarkStart w:id="38" w:name="_Toc6617"/>
      <w:bookmarkStart w:id="39" w:name="_Toc24860"/>
      <w:bookmarkStart w:id="40" w:name="_Toc19592"/>
      <w:bookmarkStart w:id="41" w:name="_Toc13020"/>
      <w:bookmarkStart w:id="42" w:name="_Toc15067"/>
      <w:r>
        <w:rPr>
          <w:rFonts w:hint="eastAsia" w:ascii="Times New Roman"/>
          <w:color w:val="auto"/>
          <w:sz w:val="30"/>
        </w:rPr>
        <w:t>前言</w:t>
      </w:r>
      <w:bookmarkEnd w:id="29"/>
    </w:p>
    <w:p>
      <w:pPr>
        <w:pStyle w:val="43"/>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号）、《商业银行理财业务监督管理办法》（银保监会令2018年第</w:t>
      </w:r>
      <w:r>
        <w:rPr>
          <w:rFonts w:ascii="宋体" w:hAnsi="宋体"/>
          <w:sz w:val="18"/>
          <w:szCs w:val="18"/>
        </w:rPr>
        <w:t>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宋体" w:hAnsi="宋体"/>
          <w:sz w:val="18"/>
          <w:szCs w:val="18"/>
        </w:rPr>
        <w:t>.订立本投资协议书的原则是平等自愿、诚实信用、充分保护投资人合法权益。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ascii="Times New Roman"/>
          <w:color w:val="auto"/>
          <w:sz w:val="30"/>
        </w:rPr>
        <w:t>第</w:t>
      </w:r>
      <w:r>
        <w:rPr>
          <w:rFonts w:hint="eastAsia" w:ascii="Times New Roman"/>
          <w:color w:val="auto"/>
          <w:sz w:val="30"/>
        </w:rPr>
        <w:t xml:space="preserve">二条 </w:t>
      </w:r>
      <w:r>
        <w:rPr>
          <w:rFonts w:ascii="Times New Roman"/>
          <w:color w:val="auto"/>
          <w:sz w:val="30"/>
        </w:rPr>
        <w:t xml:space="preserve"> </w:t>
      </w:r>
      <w:r>
        <w:rPr>
          <w:rFonts w:hint="eastAsia" w:ascii="Times New Roman"/>
          <w:color w:val="auto"/>
          <w:sz w:val="30"/>
        </w:rPr>
        <w:t>双方</w:t>
      </w:r>
      <w:r>
        <w:rPr>
          <w:rFonts w:ascii="Times New Roman"/>
          <w:color w:val="auto"/>
          <w:sz w:val="30"/>
        </w:rPr>
        <w:t>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投资者同意并授权产品管理人有权根据业务办理需要、反洗钱工作、非居民金融账户涉税信息尽职调查、I</w:t>
      </w:r>
      <w:r>
        <w:rPr>
          <w:rFonts w:ascii="黑体" w:hAnsi="黑体" w:eastAsia="黑体"/>
          <w:sz w:val="18"/>
          <w:szCs w:val="18"/>
        </w:rPr>
        <w:t>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hint="eastAsia" w:ascii="宋体" w:hAnsi="宋体"/>
          <w:sz w:val="18"/>
          <w:szCs w:val="18"/>
        </w:rPr>
        <w:t>3.</w:t>
      </w:r>
      <w:r>
        <w:rPr>
          <w:rFonts w:ascii="宋体" w:hAnsi="宋体"/>
          <w:sz w:val="18"/>
          <w:szCs w:val="18"/>
        </w:rPr>
        <w:t>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CA认证服务、可信时间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产品管理人或销售机构发现或有合理理由怀疑投资者或其资金存在洗钱、恐怖融资、逃税等嫌疑,</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宋体" w:hAnsi="宋体"/>
          <w:sz w:val="18"/>
          <w:szCs w:val="18"/>
        </w:rPr>
        <w:t>1</w:t>
      </w:r>
      <w:r>
        <w:rPr>
          <w:rFonts w:ascii="宋体" w:hAnsi="宋体"/>
          <w:sz w:val="18"/>
          <w:szCs w:val="18"/>
        </w:rPr>
        <w:t>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3</w:t>
      </w:r>
      <w:r>
        <w:rPr>
          <w:rFonts w:ascii="宋体" w:hAnsi="宋体"/>
          <w:sz w:val="18"/>
          <w:szCs w:val="18"/>
        </w:rPr>
        <w:t>.其他在本产品所对应理财产品销售文件中约定的产品管理人的权利与义务。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74065740"/>
      <w:bookmarkStart w:id="48" w:name="_Toc6149"/>
      <w:bookmarkStart w:id="49" w:name="_Toc13288"/>
      <w:bookmarkStart w:id="50" w:name="_Toc20627"/>
      <w:bookmarkStart w:id="51" w:name="_Toc6683"/>
      <w:bookmarkStart w:id="52" w:name="_Toc20318"/>
      <w:bookmarkStart w:id="53" w:name="_Toc545"/>
      <w:bookmarkStart w:id="54" w:name="_Toc24571"/>
      <w:bookmarkStart w:id="55" w:name="_Toc18631"/>
      <w:bookmarkStart w:id="56" w:name="_Toc22708"/>
      <w:bookmarkStart w:id="57" w:name="_Toc733"/>
      <w:bookmarkStart w:id="58" w:name="_Toc258829400"/>
      <w:bookmarkStart w:id="59" w:name="_Toc233456272"/>
      <w:r>
        <w:rPr>
          <w:rFonts w:hint="eastAsia" w:ascii="Times New Roman"/>
          <w:color w:val="auto"/>
          <w:sz w:val="30"/>
        </w:rPr>
        <w:t>第三条</w:t>
      </w:r>
      <w:r>
        <w:rPr>
          <w:rFonts w:ascii="Times New Roman"/>
          <w:color w:val="auto"/>
          <w:sz w:val="30"/>
        </w:rPr>
        <w:t xml:space="preserve">  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.本协议书中涉及的相关到期日或分配日如遇节假日，将顺延至下一个工作日，由此产生的风险及损失双方当事人互不承担责任；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 xml:space="preserve">第六条 </w:t>
      </w:r>
      <w:r>
        <w:rPr>
          <w:rFonts w:ascii="Times New Roman"/>
          <w:color w:val="auto"/>
          <w:sz w:val="30"/>
        </w:rPr>
        <w:t xml:space="preserve"> 协议的签署和</w:t>
      </w:r>
      <w:r>
        <w:rPr>
          <w:rFonts w:hint="eastAsia" w:ascii="Times New Roman"/>
          <w:color w:val="auto"/>
          <w:sz w:val="30"/>
        </w:rPr>
        <w:t>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，本协议自投资者签名</w:t>
      </w:r>
      <w:r>
        <w:rPr>
          <w:rFonts w:ascii="黑体" w:hAnsi="黑体" w:eastAsia="黑体"/>
          <w:sz w:val="18"/>
          <w:szCs w:val="18"/>
        </w:rPr>
        <w:t>/盖章后则为签署。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hint="eastAsia"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 xml:space="preserve">第七条 </w:t>
      </w:r>
      <w:r>
        <w:rPr>
          <w:rFonts w:ascii="Times New Roman"/>
          <w:color w:val="auto"/>
          <w:sz w:val="30"/>
        </w:rPr>
        <w:t xml:space="preserve"> </w:t>
      </w:r>
      <w:r>
        <w:rPr>
          <w:rFonts w:hint="eastAsia" w:ascii="Times New Roman"/>
          <w:color w:val="auto"/>
          <w:sz w:val="30"/>
        </w:rPr>
        <w:t>消费者权益保护</w:t>
      </w:r>
      <w:bookmarkEnd w:id="63"/>
      <w:bookmarkEnd w:id="64"/>
      <w:r>
        <w:rPr>
          <w:rFonts w:hint="eastAsia"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hint="eastAsia"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 xml:space="preserve">销售机构的联络方式，具体以《（代理）销售协议书》《投资者权益须知》等销售文件的内容为准。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25"/>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permStart w:id="41" w:edGrp="everyone"/>
            <w:r>
              <w:rPr>
                <w:rFonts w:hint="eastAsia" w:ascii="宋体" w:hAnsi="宋体" w:cs="宋体"/>
                <w:sz w:val="18"/>
                <w:szCs w:val="18"/>
              </w:rPr>
              <w:t>【】</w:t>
            </w:r>
            <w:permEnd w:id="41"/>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permStart w:id="42" w:edGrp="everyone"/>
            <w:r>
              <w:rPr>
                <w:rFonts w:hint="eastAsia" w:ascii="宋体" w:hAnsi="宋体" w:cs="宋体"/>
                <w:sz w:val="18"/>
                <w:szCs w:val="18"/>
              </w:rPr>
              <w:t>【】类</w:t>
            </w:r>
            <w:r>
              <w:rPr>
                <w:rFonts w:ascii="宋体" w:hAnsi="宋体" w:cs="宋体"/>
                <w:sz w:val="18"/>
                <w:szCs w:val="18"/>
              </w:rPr>
              <w:t>份额</w:t>
            </w:r>
            <w:permEnd w:id="42"/>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permStart w:id="43" w:edGrp="everyone" w:colFirst="2" w:colLast="2"/>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hint="eastAsia"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u w:val="single"/>
              </w:rPr>
              <w:t xml:space="preserve">            </w:t>
            </w:r>
            <w:r>
              <w:rPr>
                <w:rFonts w:ascii="宋体" w:hAnsi="宋体"/>
                <w:bCs/>
                <w:sz w:val="18"/>
                <w:szCs w:val="18"/>
                <w:u w:val="single"/>
              </w:rPr>
              <w:t xml:space="preserve">      </w:t>
            </w:r>
            <w:r>
              <w:rPr>
                <w:rFonts w:hint="eastAsia" w:ascii="宋体" w:hAnsi="宋体"/>
                <w:bCs/>
                <w:sz w:val="18"/>
                <w:szCs w:val="18"/>
              </w:rPr>
              <w:t>元整。</w:t>
            </w:r>
          </w:p>
        </w:tc>
      </w:tr>
      <w:permEnd w:id="43"/>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ermStart w:id="44" w:edGrp="everyone" w:colFirst="2" w:colLast="2"/>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hint="eastAsia"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u w:val="single"/>
              </w:rPr>
              <w:t xml:space="preserve">            </w:t>
            </w:r>
            <w:r>
              <w:rPr>
                <w:rFonts w:ascii="宋体" w:hAnsi="宋体"/>
                <w:bCs/>
                <w:sz w:val="18"/>
                <w:szCs w:val="18"/>
                <w:u w:val="single"/>
              </w:rPr>
              <w:t xml:space="preserve">     </w:t>
            </w:r>
            <w:r>
              <w:rPr>
                <w:rFonts w:hint="eastAsia" w:ascii="宋体" w:hAnsi="宋体"/>
                <w:bCs/>
                <w:sz w:val="18"/>
                <w:szCs w:val="18"/>
              </w:rPr>
              <w:t>元整。</w:t>
            </w:r>
          </w:p>
        </w:tc>
      </w:tr>
      <w:permEnd w:id="44"/>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ermStart w:id="45" w:edGrp="everyone" w:colFirst="2" w:colLast="2"/>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rPr>
                <w:rFonts w:ascii="宋体" w:hAnsi="宋体"/>
                <w:bCs/>
                <w:sz w:val="18"/>
                <w:szCs w:val="18"/>
              </w:rPr>
            </w:pPr>
            <w:r>
              <w:rPr>
                <w:rFonts w:ascii="宋体" w:hAnsi="宋体"/>
                <w:bCs/>
                <w:sz w:val="18"/>
                <w:szCs w:val="18"/>
              </w:rPr>
              <w:t>份额：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u w:val="single"/>
              </w:rPr>
              <w:t xml:space="preserve">          </w:t>
            </w:r>
            <w:r>
              <w:rPr>
                <w:rFonts w:ascii="宋体" w:hAnsi="宋体"/>
                <w:bCs/>
                <w:sz w:val="18"/>
                <w:szCs w:val="18"/>
                <w:u w:val="single"/>
              </w:rPr>
              <w:t xml:space="preserve">        </w:t>
            </w:r>
            <w:r>
              <w:rPr>
                <w:rFonts w:hint="eastAsia" w:ascii="宋体" w:hAnsi="宋体"/>
                <w:bCs/>
                <w:sz w:val="18"/>
                <w:szCs w:val="18"/>
              </w:rPr>
              <w:t>份。</w:t>
            </w:r>
          </w:p>
        </w:tc>
      </w:tr>
      <w:permEnd w:id="45"/>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permStart w:id="46" w:edGrp="everyone"/>
            <w:r>
              <w:rPr>
                <w:rFonts w:hint="eastAsia" w:asciiTheme="minorEastAsia" w:hAnsiTheme="minorEastAsia"/>
                <w:sz w:val="18"/>
                <w:szCs w:val="18"/>
              </w:rPr>
              <w:t xml:space="preserve">【 </w:t>
            </w:r>
            <w:r>
              <w:rPr>
                <w:rFonts w:asciiTheme="minorEastAsia" w:hAnsiTheme="minorEastAsia"/>
                <w:sz w:val="18"/>
                <w:szCs w:val="18"/>
              </w:rPr>
              <w:t>】年</w:t>
            </w:r>
            <w:r>
              <w:rPr>
                <w:rFonts w:hint="eastAsia" w:asciiTheme="minorEastAsia" w:hAnsiTheme="minorEastAsia"/>
                <w:sz w:val="18"/>
                <w:szCs w:val="18"/>
              </w:rPr>
              <w:t>【 】月【 】日</w:t>
            </w:r>
            <w:permEnd w:id="46"/>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w:t>
            </w:r>
            <w:r>
              <w:rPr>
                <w:rFonts w:hint="eastAsia" w:ascii="黑体" w:hAnsi="黑体" w:eastAsia="黑体"/>
                <w:sz w:val="18"/>
                <w:szCs w:val="18"/>
              </w:rPr>
              <w:t>.</w:t>
            </w:r>
            <w:r>
              <w:rPr>
                <w:rFonts w:ascii="黑体" w:hAnsi="黑体" w:eastAsia="黑体"/>
                <w:sz w:val="18"/>
                <w:szCs w:val="18"/>
              </w:rPr>
              <w:t>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w:t>
            </w:r>
            <w:r>
              <w:rPr>
                <w:rFonts w:ascii="黑体" w:hAnsi="黑体" w:eastAsia="黑体"/>
                <w:sz w:val="18"/>
                <w:szCs w:val="18"/>
              </w:rPr>
              <w:t>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3.投资者</w:t>
            </w:r>
            <w:r>
              <w:rPr>
                <w:rFonts w:ascii="黑体" w:hAnsi="黑体" w:eastAsia="黑体"/>
                <w:sz w:val="18"/>
                <w:szCs w:val="18"/>
              </w:rPr>
              <w:t>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14"/>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15</w:t>
        </w:r>
        <w:r>
          <w:rPr>
            <w:lang w:val="zh-CN"/>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right"/>
      <w:rPr>
        <w:b/>
      </w:rPr>
    </w:pPr>
    <w:r>
      <w:rPr>
        <w:rFonts w:hint="eastAsia"/>
        <w:b/>
      </w:rPr>
      <w:t>投资协议书</w:t>
    </w:r>
  </w:p>
  <w:p>
    <w:pPr>
      <w:pStyle w:val="15"/>
      <w:jc w:val="right"/>
      <w:rPr>
        <w:b/>
      </w:rPr>
    </w:pPr>
    <w:r>
      <w:rPr>
        <w:rFonts w:hint="eastAsia"/>
        <w:b/>
      </w:rPr>
      <w:t>注：本文件由兴银理财有限责任公司统一编制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1"/>
      <w:numFmt w:val="bullet"/>
      <w:pStyle w:val="47"/>
      <w:lvlText w:val=""/>
      <w:lvlJc w:val="left"/>
      <w:pPr>
        <w:tabs>
          <w:tab w:val="left" w:pos="360"/>
        </w:tabs>
        <w:ind w:left="360" w:hanging="360"/>
      </w:pPr>
      <w:rPr>
        <w:rFonts w:hint="default" w:ascii="Symbol" w:hAnsi="Symbol"/>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dit="readOnly" w:enforcement="1" w:cryptProviderType="rsaAES" w:cryptAlgorithmClass="hash" w:cryptAlgorithmType="typeAny" w:cryptAlgorithmSid="14" w:cryptSpinCount="100000" w:hash="mqYxGkcUqM0tesm6y4fMXDW9NaWNc7G22kPhWr36jNYbXoyifyDol3bpXuraM89eFIraKttbcQuxx40cOGHwEw==" w:salt="l1LPRadWZPfOS7YtusHLOw=="/>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wNTljODZlNmMxN2IxODkyNGQ0MzYwYjkyOGU4YWIifQ=="/>
  </w:docVars>
  <w:rsids>
    <w:rsidRoot w:val="00172A27"/>
    <w:rsid w:val="000016A1"/>
    <w:rsid w:val="00001E2E"/>
    <w:rsid w:val="000047F2"/>
    <w:rsid w:val="000052BD"/>
    <w:rsid w:val="00006526"/>
    <w:rsid w:val="000073F3"/>
    <w:rsid w:val="0001389C"/>
    <w:rsid w:val="000141A7"/>
    <w:rsid w:val="000209B7"/>
    <w:rsid w:val="00021451"/>
    <w:rsid w:val="000215C7"/>
    <w:rsid w:val="00021BF7"/>
    <w:rsid w:val="00023F0A"/>
    <w:rsid w:val="0002724F"/>
    <w:rsid w:val="00030239"/>
    <w:rsid w:val="0003198D"/>
    <w:rsid w:val="000345D6"/>
    <w:rsid w:val="000365A1"/>
    <w:rsid w:val="00040447"/>
    <w:rsid w:val="0004166F"/>
    <w:rsid w:val="00042221"/>
    <w:rsid w:val="00042E95"/>
    <w:rsid w:val="00045C60"/>
    <w:rsid w:val="00045FF7"/>
    <w:rsid w:val="00055256"/>
    <w:rsid w:val="00055E1D"/>
    <w:rsid w:val="00060AA2"/>
    <w:rsid w:val="0006286C"/>
    <w:rsid w:val="00063E11"/>
    <w:rsid w:val="00065143"/>
    <w:rsid w:val="00067E29"/>
    <w:rsid w:val="00077B06"/>
    <w:rsid w:val="00081682"/>
    <w:rsid w:val="0008289A"/>
    <w:rsid w:val="00083216"/>
    <w:rsid w:val="00083712"/>
    <w:rsid w:val="00096B82"/>
    <w:rsid w:val="00097F9C"/>
    <w:rsid w:val="000A21B2"/>
    <w:rsid w:val="000A29E4"/>
    <w:rsid w:val="000B0F5E"/>
    <w:rsid w:val="000B1095"/>
    <w:rsid w:val="000B687C"/>
    <w:rsid w:val="000B732C"/>
    <w:rsid w:val="000C2157"/>
    <w:rsid w:val="000C23C6"/>
    <w:rsid w:val="000C5F0B"/>
    <w:rsid w:val="000C66F8"/>
    <w:rsid w:val="000C6CA3"/>
    <w:rsid w:val="000D7C5B"/>
    <w:rsid w:val="000E4739"/>
    <w:rsid w:val="000F16C0"/>
    <w:rsid w:val="000F18A0"/>
    <w:rsid w:val="000F4555"/>
    <w:rsid w:val="000F4EBB"/>
    <w:rsid w:val="000F7F68"/>
    <w:rsid w:val="0010450A"/>
    <w:rsid w:val="00105DB2"/>
    <w:rsid w:val="00106DE4"/>
    <w:rsid w:val="001075D6"/>
    <w:rsid w:val="00111396"/>
    <w:rsid w:val="00112F70"/>
    <w:rsid w:val="00113191"/>
    <w:rsid w:val="0011395B"/>
    <w:rsid w:val="00116696"/>
    <w:rsid w:val="001249B1"/>
    <w:rsid w:val="00124ADF"/>
    <w:rsid w:val="001256B2"/>
    <w:rsid w:val="00125A39"/>
    <w:rsid w:val="00134616"/>
    <w:rsid w:val="00136F50"/>
    <w:rsid w:val="00141469"/>
    <w:rsid w:val="00150F88"/>
    <w:rsid w:val="00151C5F"/>
    <w:rsid w:val="00153821"/>
    <w:rsid w:val="00153A6A"/>
    <w:rsid w:val="0015605F"/>
    <w:rsid w:val="00156B9B"/>
    <w:rsid w:val="001676C5"/>
    <w:rsid w:val="00172A27"/>
    <w:rsid w:val="001739F3"/>
    <w:rsid w:val="00176250"/>
    <w:rsid w:val="001767D5"/>
    <w:rsid w:val="00181F8E"/>
    <w:rsid w:val="00183919"/>
    <w:rsid w:val="00184F16"/>
    <w:rsid w:val="001913D5"/>
    <w:rsid w:val="001A0DEE"/>
    <w:rsid w:val="001A331C"/>
    <w:rsid w:val="001A3B4F"/>
    <w:rsid w:val="001A68DB"/>
    <w:rsid w:val="001B3D1B"/>
    <w:rsid w:val="001B4F62"/>
    <w:rsid w:val="001B5A74"/>
    <w:rsid w:val="001C2E83"/>
    <w:rsid w:val="001C5549"/>
    <w:rsid w:val="001C5FB8"/>
    <w:rsid w:val="001C627B"/>
    <w:rsid w:val="001C6A43"/>
    <w:rsid w:val="001D33CF"/>
    <w:rsid w:val="001D5339"/>
    <w:rsid w:val="001D6D21"/>
    <w:rsid w:val="001E0B5B"/>
    <w:rsid w:val="001E22BC"/>
    <w:rsid w:val="001E4956"/>
    <w:rsid w:val="001E604C"/>
    <w:rsid w:val="001F0C20"/>
    <w:rsid w:val="001F213C"/>
    <w:rsid w:val="001F3442"/>
    <w:rsid w:val="001F3518"/>
    <w:rsid w:val="001F5553"/>
    <w:rsid w:val="001F5D35"/>
    <w:rsid w:val="001F764C"/>
    <w:rsid w:val="00202706"/>
    <w:rsid w:val="00204226"/>
    <w:rsid w:val="00204B97"/>
    <w:rsid w:val="00206557"/>
    <w:rsid w:val="0020785E"/>
    <w:rsid w:val="002115EE"/>
    <w:rsid w:val="00211B89"/>
    <w:rsid w:val="00213777"/>
    <w:rsid w:val="0021550E"/>
    <w:rsid w:val="0021697D"/>
    <w:rsid w:val="0022040D"/>
    <w:rsid w:val="0022092C"/>
    <w:rsid w:val="00222AF4"/>
    <w:rsid w:val="00225324"/>
    <w:rsid w:val="00225C55"/>
    <w:rsid w:val="00226166"/>
    <w:rsid w:val="00227D78"/>
    <w:rsid w:val="0023600D"/>
    <w:rsid w:val="00241D65"/>
    <w:rsid w:val="00244658"/>
    <w:rsid w:val="002464CF"/>
    <w:rsid w:val="002476E6"/>
    <w:rsid w:val="00252AD2"/>
    <w:rsid w:val="00253D3F"/>
    <w:rsid w:val="002544CB"/>
    <w:rsid w:val="00256159"/>
    <w:rsid w:val="0025790A"/>
    <w:rsid w:val="00257D80"/>
    <w:rsid w:val="002632C7"/>
    <w:rsid w:val="00263D71"/>
    <w:rsid w:val="00267780"/>
    <w:rsid w:val="002719C4"/>
    <w:rsid w:val="00276547"/>
    <w:rsid w:val="002819AA"/>
    <w:rsid w:val="00284C82"/>
    <w:rsid w:val="00287678"/>
    <w:rsid w:val="00287D6F"/>
    <w:rsid w:val="00293352"/>
    <w:rsid w:val="00294417"/>
    <w:rsid w:val="002944D4"/>
    <w:rsid w:val="0029567E"/>
    <w:rsid w:val="002A31A8"/>
    <w:rsid w:val="002A571E"/>
    <w:rsid w:val="002A599B"/>
    <w:rsid w:val="002A72B3"/>
    <w:rsid w:val="002B2076"/>
    <w:rsid w:val="002B2E59"/>
    <w:rsid w:val="002B30E7"/>
    <w:rsid w:val="002B3344"/>
    <w:rsid w:val="002B3DF5"/>
    <w:rsid w:val="002B503B"/>
    <w:rsid w:val="002B659B"/>
    <w:rsid w:val="002B661B"/>
    <w:rsid w:val="002C13C1"/>
    <w:rsid w:val="002C27E7"/>
    <w:rsid w:val="002C3012"/>
    <w:rsid w:val="002C7D8E"/>
    <w:rsid w:val="002D0C9D"/>
    <w:rsid w:val="002D121A"/>
    <w:rsid w:val="002D407E"/>
    <w:rsid w:val="002E0226"/>
    <w:rsid w:val="002E2C93"/>
    <w:rsid w:val="002E388A"/>
    <w:rsid w:val="002E5174"/>
    <w:rsid w:val="002E6E2C"/>
    <w:rsid w:val="002F1BB8"/>
    <w:rsid w:val="002F1C19"/>
    <w:rsid w:val="002F228E"/>
    <w:rsid w:val="002F3164"/>
    <w:rsid w:val="002F467D"/>
    <w:rsid w:val="002F5D80"/>
    <w:rsid w:val="002F6D00"/>
    <w:rsid w:val="002F7889"/>
    <w:rsid w:val="003018A8"/>
    <w:rsid w:val="003052A7"/>
    <w:rsid w:val="00306441"/>
    <w:rsid w:val="00317875"/>
    <w:rsid w:val="003178C0"/>
    <w:rsid w:val="003227BA"/>
    <w:rsid w:val="003255D5"/>
    <w:rsid w:val="003307C6"/>
    <w:rsid w:val="00330ABB"/>
    <w:rsid w:val="003311F2"/>
    <w:rsid w:val="00331829"/>
    <w:rsid w:val="0033253B"/>
    <w:rsid w:val="00332928"/>
    <w:rsid w:val="003331E2"/>
    <w:rsid w:val="003408BE"/>
    <w:rsid w:val="003418D3"/>
    <w:rsid w:val="00344E98"/>
    <w:rsid w:val="0034626E"/>
    <w:rsid w:val="0034787C"/>
    <w:rsid w:val="00350783"/>
    <w:rsid w:val="003513BE"/>
    <w:rsid w:val="003523CE"/>
    <w:rsid w:val="0035402A"/>
    <w:rsid w:val="003540B3"/>
    <w:rsid w:val="003606ED"/>
    <w:rsid w:val="00360EE3"/>
    <w:rsid w:val="00363B81"/>
    <w:rsid w:val="00363C20"/>
    <w:rsid w:val="00365749"/>
    <w:rsid w:val="00366930"/>
    <w:rsid w:val="00367846"/>
    <w:rsid w:val="0037284F"/>
    <w:rsid w:val="00373584"/>
    <w:rsid w:val="00376B22"/>
    <w:rsid w:val="003873DE"/>
    <w:rsid w:val="0039060B"/>
    <w:rsid w:val="0039164E"/>
    <w:rsid w:val="00391C13"/>
    <w:rsid w:val="003928B0"/>
    <w:rsid w:val="00395E69"/>
    <w:rsid w:val="0039705F"/>
    <w:rsid w:val="003A2822"/>
    <w:rsid w:val="003B03E1"/>
    <w:rsid w:val="003B465C"/>
    <w:rsid w:val="003B63C9"/>
    <w:rsid w:val="003C216F"/>
    <w:rsid w:val="003C5027"/>
    <w:rsid w:val="003C65EC"/>
    <w:rsid w:val="003D3AA5"/>
    <w:rsid w:val="003D67E3"/>
    <w:rsid w:val="003E05EA"/>
    <w:rsid w:val="003E70F6"/>
    <w:rsid w:val="003E7472"/>
    <w:rsid w:val="003F1181"/>
    <w:rsid w:val="003F29F2"/>
    <w:rsid w:val="003F63CA"/>
    <w:rsid w:val="0040416E"/>
    <w:rsid w:val="0040486B"/>
    <w:rsid w:val="00404F49"/>
    <w:rsid w:val="004067A7"/>
    <w:rsid w:val="00406971"/>
    <w:rsid w:val="004117AA"/>
    <w:rsid w:val="004132EA"/>
    <w:rsid w:val="004134A1"/>
    <w:rsid w:val="00414562"/>
    <w:rsid w:val="0042301D"/>
    <w:rsid w:val="00423612"/>
    <w:rsid w:val="00424866"/>
    <w:rsid w:val="00426FD8"/>
    <w:rsid w:val="00431E1F"/>
    <w:rsid w:val="00435E5C"/>
    <w:rsid w:val="00436CF2"/>
    <w:rsid w:val="00437361"/>
    <w:rsid w:val="00444664"/>
    <w:rsid w:val="00444AD5"/>
    <w:rsid w:val="00444D89"/>
    <w:rsid w:val="00445CFA"/>
    <w:rsid w:val="00446FBB"/>
    <w:rsid w:val="0045304A"/>
    <w:rsid w:val="004530E2"/>
    <w:rsid w:val="0045487E"/>
    <w:rsid w:val="0045508F"/>
    <w:rsid w:val="00460B00"/>
    <w:rsid w:val="00467615"/>
    <w:rsid w:val="004727C4"/>
    <w:rsid w:val="00477E43"/>
    <w:rsid w:val="00481A9B"/>
    <w:rsid w:val="00483EB5"/>
    <w:rsid w:val="004840AC"/>
    <w:rsid w:val="004875C3"/>
    <w:rsid w:val="004918BC"/>
    <w:rsid w:val="00493B96"/>
    <w:rsid w:val="004946EF"/>
    <w:rsid w:val="004973D1"/>
    <w:rsid w:val="004A23D9"/>
    <w:rsid w:val="004A3FA4"/>
    <w:rsid w:val="004A5131"/>
    <w:rsid w:val="004A7454"/>
    <w:rsid w:val="004B03B2"/>
    <w:rsid w:val="004B3210"/>
    <w:rsid w:val="004B3302"/>
    <w:rsid w:val="004B3AF7"/>
    <w:rsid w:val="004B4475"/>
    <w:rsid w:val="004B6C04"/>
    <w:rsid w:val="004C1C32"/>
    <w:rsid w:val="004C23FF"/>
    <w:rsid w:val="004C2E33"/>
    <w:rsid w:val="004C39B2"/>
    <w:rsid w:val="004C3F33"/>
    <w:rsid w:val="004C5C67"/>
    <w:rsid w:val="004E08AE"/>
    <w:rsid w:val="004E3E74"/>
    <w:rsid w:val="004E4588"/>
    <w:rsid w:val="004E61D4"/>
    <w:rsid w:val="004E7FE1"/>
    <w:rsid w:val="004F196B"/>
    <w:rsid w:val="004F546F"/>
    <w:rsid w:val="005000A0"/>
    <w:rsid w:val="005008ED"/>
    <w:rsid w:val="005040A2"/>
    <w:rsid w:val="0051091B"/>
    <w:rsid w:val="00511C5B"/>
    <w:rsid w:val="0051407C"/>
    <w:rsid w:val="00514FAF"/>
    <w:rsid w:val="005174A6"/>
    <w:rsid w:val="00517BD7"/>
    <w:rsid w:val="00520C18"/>
    <w:rsid w:val="00521D76"/>
    <w:rsid w:val="00522DE6"/>
    <w:rsid w:val="005242BD"/>
    <w:rsid w:val="00525E37"/>
    <w:rsid w:val="005325A6"/>
    <w:rsid w:val="00540535"/>
    <w:rsid w:val="00540FCA"/>
    <w:rsid w:val="00542E69"/>
    <w:rsid w:val="005433B6"/>
    <w:rsid w:val="005438DD"/>
    <w:rsid w:val="00547A26"/>
    <w:rsid w:val="00557162"/>
    <w:rsid w:val="0055782A"/>
    <w:rsid w:val="0056024C"/>
    <w:rsid w:val="00560C2F"/>
    <w:rsid w:val="005610A2"/>
    <w:rsid w:val="00566139"/>
    <w:rsid w:val="00571E93"/>
    <w:rsid w:val="00573EE1"/>
    <w:rsid w:val="005743B8"/>
    <w:rsid w:val="005839E8"/>
    <w:rsid w:val="00583A75"/>
    <w:rsid w:val="00584A2A"/>
    <w:rsid w:val="00595C13"/>
    <w:rsid w:val="005A0099"/>
    <w:rsid w:val="005A0C0D"/>
    <w:rsid w:val="005A2993"/>
    <w:rsid w:val="005A41D7"/>
    <w:rsid w:val="005A71D8"/>
    <w:rsid w:val="005A77B4"/>
    <w:rsid w:val="005B585B"/>
    <w:rsid w:val="005B771F"/>
    <w:rsid w:val="005C05AD"/>
    <w:rsid w:val="005C169E"/>
    <w:rsid w:val="005D1511"/>
    <w:rsid w:val="005D17E1"/>
    <w:rsid w:val="005D68E6"/>
    <w:rsid w:val="005D6DFD"/>
    <w:rsid w:val="005E03C1"/>
    <w:rsid w:val="005E2C29"/>
    <w:rsid w:val="005E3D99"/>
    <w:rsid w:val="005E7D8A"/>
    <w:rsid w:val="006001EC"/>
    <w:rsid w:val="00605764"/>
    <w:rsid w:val="00605F23"/>
    <w:rsid w:val="00607C62"/>
    <w:rsid w:val="00613250"/>
    <w:rsid w:val="006206A4"/>
    <w:rsid w:val="0062210C"/>
    <w:rsid w:val="00623E9F"/>
    <w:rsid w:val="006250B0"/>
    <w:rsid w:val="00625409"/>
    <w:rsid w:val="00630C25"/>
    <w:rsid w:val="00630E80"/>
    <w:rsid w:val="006335F7"/>
    <w:rsid w:val="00640E2B"/>
    <w:rsid w:val="006445E5"/>
    <w:rsid w:val="00644D2A"/>
    <w:rsid w:val="00646391"/>
    <w:rsid w:val="00647D06"/>
    <w:rsid w:val="00650549"/>
    <w:rsid w:val="00652745"/>
    <w:rsid w:val="006529C3"/>
    <w:rsid w:val="00652B32"/>
    <w:rsid w:val="006542C9"/>
    <w:rsid w:val="00654B5E"/>
    <w:rsid w:val="00661F3C"/>
    <w:rsid w:val="00662F50"/>
    <w:rsid w:val="00663F53"/>
    <w:rsid w:val="00664946"/>
    <w:rsid w:val="00665990"/>
    <w:rsid w:val="00666D7F"/>
    <w:rsid w:val="00672298"/>
    <w:rsid w:val="00681CD2"/>
    <w:rsid w:val="006855F8"/>
    <w:rsid w:val="0068665E"/>
    <w:rsid w:val="00686C50"/>
    <w:rsid w:val="00687A54"/>
    <w:rsid w:val="0069051A"/>
    <w:rsid w:val="006910D9"/>
    <w:rsid w:val="006914EC"/>
    <w:rsid w:val="0069366D"/>
    <w:rsid w:val="00694FD4"/>
    <w:rsid w:val="006956BC"/>
    <w:rsid w:val="00695A96"/>
    <w:rsid w:val="00697059"/>
    <w:rsid w:val="00697170"/>
    <w:rsid w:val="006A2DAC"/>
    <w:rsid w:val="006A35FB"/>
    <w:rsid w:val="006B0E5E"/>
    <w:rsid w:val="006B121D"/>
    <w:rsid w:val="006B24B2"/>
    <w:rsid w:val="006B32F3"/>
    <w:rsid w:val="006B6758"/>
    <w:rsid w:val="006B7502"/>
    <w:rsid w:val="006C1201"/>
    <w:rsid w:val="006C14BB"/>
    <w:rsid w:val="006C1FF4"/>
    <w:rsid w:val="006C7443"/>
    <w:rsid w:val="006D1109"/>
    <w:rsid w:val="006D42F6"/>
    <w:rsid w:val="006D4A61"/>
    <w:rsid w:val="006D596D"/>
    <w:rsid w:val="006D6CDD"/>
    <w:rsid w:val="006D7EB4"/>
    <w:rsid w:val="006E07CD"/>
    <w:rsid w:val="006E4978"/>
    <w:rsid w:val="006F08E6"/>
    <w:rsid w:val="006F0FA1"/>
    <w:rsid w:val="006F1407"/>
    <w:rsid w:val="006F159D"/>
    <w:rsid w:val="006F3061"/>
    <w:rsid w:val="006F4C91"/>
    <w:rsid w:val="006F6966"/>
    <w:rsid w:val="006F6C9E"/>
    <w:rsid w:val="007003CA"/>
    <w:rsid w:val="00705A9A"/>
    <w:rsid w:val="00705AB8"/>
    <w:rsid w:val="00716497"/>
    <w:rsid w:val="00720B3A"/>
    <w:rsid w:val="007216E0"/>
    <w:rsid w:val="007219F7"/>
    <w:rsid w:val="00726D7A"/>
    <w:rsid w:val="00731391"/>
    <w:rsid w:val="00731CC4"/>
    <w:rsid w:val="00737544"/>
    <w:rsid w:val="00737E91"/>
    <w:rsid w:val="00741156"/>
    <w:rsid w:val="0074401B"/>
    <w:rsid w:val="00744F5D"/>
    <w:rsid w:val="007512CC"/>
    <w:rsid w:val="007567D7"/>
    <w:rsid w:val="00757C87"/>
    <w:rsid w:val="0076256C"/>
    <w:rsid w:val="007628E5"/>
    <w:rsid w:val="00764FE5"/>
    <w:rsid w:val="0076672F"/>
    <w:rsid w:val="00770687"/>
    <w:rsid w:val="00773717"/>
    <w:rsid w:val="00784D9C"/>
    <w:rsid w:val="007856E8"/>
    <w:rsid w:val="00785730"/>
    <w:rsid w:val="00786BEA"/>
    <w:rsid w:val="00786E6B"/>
    <w:rsid w:val="007874E0"/>
    <w:rsid w:val="0079433D"/>
    <w:rsid w:val="00795FAD"/>
    <w:rsid w:val="007968E5"/>
    <w:rsid w:val="007969C4"/>
    <w:rsid w:val="00796FFC"/>
    <w:rsid w:val="00797682"/>
    <w:rsid w:val="007A0DEB"/>
    <w:rsid w:val="007A38CD"/>
    <w:rsid w:val="007A766D"/>
    <w:rsid w:val="007A77DC"/>
    <w:rsid w:val="007B06AA"/>
    <w:rsid w:val="007B1080"/>
    <w:rsid w:val="007B3FDA"/>
    <w:rsid w:val="007B58B4"/>
    <w:rsid w:val="007C0897"/>
    <w:rsid w:val="007C5E99"/>
    <w:rsid w:val="007C6D84"/>
    <w:rsid w:val="007D1828"/>
    <w:rsid w:val="007E0F86"/>
    <w:rsid w:val="007E1220"/>
    <w:rsid w:val="007E32B6"/>
    <w:rsid w:val="007E40AA"/>
    <w:rsid w:val="007E6098"/>
    <w:rsid w:val="007F214F"/>
    <w:rsid w:val="007F66C2"/>
    <w:rsid w:val="007F71C3"/>
    <w:rsid w:val="00802F46"/>
    <w:rsid w:val="0080338A"/>
    <w:rsid w:val="00806156"/>
    <w:rsid w:val="0081194A"/>
    <w:rsid w:val="00816E31"/>
    <w:rsid w:val="0081755C"/>
    <w:rsid w:val="008209BF"/>
    <w:rsid w:val="008235A9"/>
    <w:rsid w:val="0082410A"/>
    <w:rsid w:val="00830913"/>
    <w:rsid w:val="00833DA0"/>
    <w:rsid w:val="00837C61"/>
    <w:rsid w:val="0084117B"/>
    <w:rsid w:val="00842ECC"/>
    <w:rsid w:val="00844C52"/>
    <w:rsid w:val="00844FAC"/>
    <w:rsid w:val="00847D06"/>
    <w:rsid w:val="008526AD"/>
    <w:rsid w:val="00852A74"/>
    <w:rsid w:val="0085467A"/>
    <w:rsid w:val="00855E29"/>
    <w:rsid w:val="00856912"/>
    <w:rsid w:val="00861C4A"/>
    <w:rsid w:val="00862721"/>
    <w:rsid w:val="00863B57"/>
    <w:rsid w:val="00870710"/>
    <w:rsid w:val="00871266"/>
    <w:rsid w:val="00871450"/>
    <w:rsid w:val="008739A5"/>
    <w:rsid w:val="00874462"/>
    <w:rsid w:val="00895391"/>
    <w:rsid w:val="00895DC9"/>
    <w:rsid w:val="008A3830"/>
    <w:rsid w:val="008A5426"/>
    <w:rsid w:val="008B0B17"/>
    <w:rsid w:val="008B1FC9"/>
    <w:rsid w:val="008B20D2"/>
    <w:rsid w:val="008B5D1E"/>
    <w:rsid w:val="008B60CD"/>
    <w:rsid w:val="008B64A4"/>
    <w:rsid w:val="008C1F51"/>
    <w:rsid w:val="008C41BB"/>
    <w:rsid w:val="008C4E5E"/>
    <w:rsid w:val="008C77FD"/>
    <w:rsid w:val="008D0202"/>
    <w:rsid w:val="008D0B1A"/>
    <w:rsid w:val="008D1177"/>
    <w:rsid w:val="008D43FD"/>
    <w:rsid w:val="008E5137"/>
    <w:rsid w:val="008E67DB"/>
    <w:rsid w:val="008E6FBA"/>
    <w:rsid w:val="008F0E09"/>
    <w:rsid w:val="008F14E7"/>
    <w:rsid w:val="008F24C8"/>
    <w:rsid w:val="00905340"/>
    <w:rsid w:val="0090798A"/>
    <w:rsid w:val="00907AEC"/>
    <w:rsid w:val="00911B78"/>
    <w:rsid w:val="009122AA"/>
    <w:rsid w:val="00914791"/>
    <w:rsid w:val="00925A17"/>
    <w:rsid w:val="00927AE1"/>
    <w:rsid w:val="0093239E"/>
    <w:rsid w:val="00933BBA"/>
    <w:rsid w:val="00933D38"/>
    <w:rsid w:val="00944C6F"/>
    <w:rsid w:val="00947DAA"/>
    <w:rsid w:val="0095255D"/>
    <w:rsid w:val="00952B18"/>
    <w:rsid w:val="0095500C"/>
    <w:rsid w:val="0095516F"/>
    <w:rsid w:val="009559AB"/>
    <w:rsid w:val="00961CD3"/>
    <w:rsid w:val="0096677D"/>
    <w:rsid w:val="009703AA"/>
    <w:rsid w:val="0097370D"/>
    <w:rsid w:val="009768D0"/>
    <w:rsid w:val="0097776B"/>
    <w:rsid w:val="00977B2B"/>
    <w:rsid w:val="00977C61"/>
    <w:rsid w:val="00983DF9"/>
    <w:rsid w:val="00987518"/>
    <w:rsid w:val="00993714"/>
    <w:rsid w:val="00994225"/>
    <w:rsid w:val="009969BB"/>
    <w:rsid w:val="009A14A5"/>
    <w:rsid w:val="009A42BC"/>
    <w:rsid w:val="009B0C9E"/>
    <w:rsid w:val="009B1C9C"/>
    <w:rsid w:val="009B2C85"/>
    <w:rsid w:val="009B5BC2"/>
    <w:rsid w:val="009C2069"/>
    <w:rsid w:val="009C521A"/>
    <w:rsid w:val="009C6F8E"/>
    <w:rsid w:val="009D63B0"/>
    <w:rsid w:val="009D7AA0"/>
    <w:rsid w:val="009D7B02"/>
    <w:rsid w:val="009E371D"/>
    <w:rsid w:val="009E4C02"/>
    <w:rsid w:val="009E5E1C"/>
    <w:rsid w:val="009E6DAE"/>
    <w:rsid w:val="009F1537"/>
    <w:rsid w:val="009F29D8"/>
    <w:rsid w:val="009F4C90"/>
    <w:rsid w:val="009F759C"/>
    <w:rsid w:val="009F7CF8"/>
    <w:rsid w:val="00A071FA"/>
    <w:rsid w:val="00A11CB0"/>
    <w:rsid w:val="00A16306"/>
    <w:rsid w:val="00A17171"/>
    <w:rsid w:val="00A21427"/>
    <w:rsid w:val="00A21A6C"/>
    <w:rsid w:val="00A229C4"/>
    <w:rsid w:val="00A25383"/>
    <w:rsid w:val="00A26C04"/>
    <w:rsid w:val="00A34AC8"/>
    <w:rsid w:val="00A401DA"/>
    <w:rsid w:val="00A4447E"/>
    <w:rsid w:val="00A445F8"/>
    <w:rsid w:val="00A4489D"/>
    <w:rsid w:val="00A47545"/>
    <w:rsid w:val="00A4788E"/>
    <w:rsid w:val="00A51A8B"/>
    <w:rsid w:val="00A5445C"/>
    <w:rsid w:val="00A5475A"/>
    <w:rsid w:val="00A5653C"/>
    <w:rsid w:val="00A61009"/>
    <w:rsid w:val="00A61538"/>
    <w:rsid w:val="00A616AA"/>
    <w:rsid w:val="00A63459"/>
    <w:rsid w:val="00A66CFA"/>
    <w:rsid w:val="00A70C4F"/>
    <w:rsid w:val="00A71AA7"/>
    <w:rsid w:val="00A71D6F"/>
    <w:rsid w:val="00A75B30"/>
    <w:rsid w:val="00A76F1E"/>
    <w:rsid w:val="00A81ECE"/>
    <w:rsid w:val="00A84912"/>
    <w:rsid w:val="00A879D0"/>
    <w:rsid w:val="00A87A12"/>
    <w:rsid w:val="00A90521"/>
    <w:rsid w:val="00A90D98"/>
    <w:rsid w:val="00A9773F"/>
    <w:rsid w:val="00A97F9F"/>
    <w:rsid w:val="00AA0BFE"/>
    <w:rsid w:val="00AA2082"/>
    <w:rsid w:val="00AB009C"/>
    <w:rsid w:val="00AB55B1"/>
    <w:rsid w:val="00AB633E"/>
    <w:rsid w:val="00AB7FE4"/>
    <w:rsid w:val="00AC18A8"/>
    <w:rsid w:val="00AC3CEC"/>
    <w:rsid w:val="00AC4A57"/>
    <w:rsid w:val="00AD4F90"/>
    <w:rsid w:val="00AD57C7"/>
    <w:rsid w:val="00AD74DA"/>
    <w:rsid w:val="00AE3332"/>
    <w:rsid w:val="00AE4AC1"/>
    <w:rsid w:val="00AE4D3D"/>
    <w:rsid w:val="00AE6A16"/>
    <w:rsid w:val="00AF2416"/>
    <w:rsid w:val="00AF3E6D"/>
    <w:rsid w:val="00AF40F3"/>
    <w:rsid w:val="00AF5042"/>
    <w:rsid w:val="00AF7D63"/>
    <w:rsid w:val="00B010E6"/>
    <w:rsid w:val="00B01124"/>
    <w:rsid w:val="00B034C7"/>
    <w:rsid w:val="00B123EF"/>
    <w:rsid w:val="00B13299"/>
    <w:rsid w:val="00B13D10"/>
    <w:rsid w:val="00B20BD0"/>
    <w:rsid w:val="00B21F78"/>
    <w:rsid w:val="00B23C21"/>
    <w:rsid w:val="00B24D2D"/>
    <w:rsid w:val="00B340F8"/>
    <w:rsid w:val="00B3762A"/>
    <w:rsid w:val="00B4101D"/>
    <w:rsid w:val="00B41509"/>
    <w:rsid w:val="00B43375"/>
    <w:rsid w:val="00B52FAD"/>
    <w:rsid w:val="00B54660"/>
    <w:rsid w:val="00B56276"/>
    <w:rsid w:val="00B606E5"/>
    <w:rsid w:val="00B606E6"/>
    <w:rsid w:val="00B61A35"/>
    <w:rsid w:val="00B70428"/>
    <w:rsid w:val="00B70DB8"/>
    <w:rsid w:val="00B72632"/>
    <w:rsid w:val="00B73C10"/>
    <w:rsid w:val="00B74A78"/>
    <w:rsid w:val="00B74F12"/>
    <w:rsid w:val="00B75AC5"/>
    <w:rsid w:val="00B76971"/>
    <w:rsid w:val="00B77A5B"/>
    <w:rsid w:val="00B84E80"/>
    <w:rsid w:val="00B85D3C"/>
    <w:rsid w:val="00B85F6B"/>
    <w:rsid w:val="00B92A1E"/>
    <w:rsid w:val="00B93447"/>
    <w:rsid w:val="00B93769"/>
    <w:rsid w:val="00B9604A"/>
    <w:rsid w:val="00B9646A"/>
    <w:rsid w:val="00BA39BA"/>
    <w:rsid w:val="00BA3B89"/>
    <w:rsid w:val="00BA55D3"/>
    <w:rsid w:val="00BA7689"/>
    <w:rsid w:val="00BB49A2"/>
    <w:rsid w:val="00BB521C"/>
    <w:rsid w:val="00BB5E64"/>
    <w:rsid w:val="00BC32EB"/>
    <w:rsid w:val="00BC4611"/>
    <w:rsid w:val="00BC68AA"/>
    <w:rsid w:val="00BD020C"/>
    <w:rsid w:val="00BD0D17"/>
    <w:rsid w:val="00BD4663"/>
    <w:rsid w:val="00BD6425"/>
    <w:rsid w:val="00BF0849"/>
    <w:rsid w:val="00BF33D6"/>
    <w:rsid w:val="00BF3E98"/>
    <w:rsid w:val="00C00374"/>
    <w:rsid w:val="00C02553"/>
    <w:rsid w:val="00C041E1"/>
    <w:rsid w:val="00C07640"/>
    <w:rsid w:val="00C10A0B"/>
    <w:rsid w:val="00C11510"/>
    <w:rsid w:val="00C12A4D"/>
    <w:rsid w:val="00C133AC"/>
    <w:rsid w:val="00C149B9"/>
    <w:rsid w:val="00C16ED4"/>
    <w:rsid w:val="00C17007"/>
    <w:rsid w:val="00C226AB"/>
    <w:rsid w:val="00C266C0"/>
    <w:rsid w:val="00C27750"/>
    <w:rsid w:val="00C320BC"/>
    <w:rsid w:val="00C32A5C"/>
    <w:rsid w:val="00C348DE"/>
    <w:rsid w:val="00C349B7"/>
    <w:rsid w:val="00C3641F"/>
    <w:rsid w:val="00C40580"/>
    <w:rsid w:val="00C4092B"/>
    <w:rsid w:val="00C41A12"/>
    <w:rsid w:val="00C41D76"/>
    <w:rsid w:val="00C46269"/>
    <w:rsid w:val="00C5061E"/>
    <w:rsid w:val="00C51199"/>
    <w:rsid w:val="00C527BF"/>
    <w:rsid w:val="00C550E2"/>
    <w:rsid w:val="00C561B4"/>
    <w:rsid w:val="00C569F3"/>
    <w:rsid w:val="00C57F3A"/>
    <w:rsid w:val="00C6321C"/>
    <w:rsid w:val="00C6524D"/>
    <w:rsid w:val="00C6577D"/>
    <w:rsid w:val="00C66942"/>
    <w:rsid w:val="00C7259B"/>
    <w:rsid w:val="00C80014"/>
    <w:rsid w:val="00C81838"/>
    <w:rsid w:val="00C90BFF"/>
    <w:rsid w:val="00C922DC"/>
    <w:rsid w:val="00C9379A"/>
    <w:rsid w:val="00C97F28"/>
    <w:rsid w:val="00CA42AB"/>
    <w:rsid w:val="00CA504C"/>
    <w:rsid w:val="00CA767B"/>
    <w:rsid w:val="00CA7C02"/>
    <w:rsid w:val="00CB002F"/>
    <w:rsid w:val="00CB118D"/>
    <w:rsid w:val="00CB24A2"/>
    <w:rsid w:val="00CC153D"/>
    <w:rsid w:val="00CC2C20"/>
    <w:rsid w:val="00CC5DA1"/>
    <w:rsid w:val="00CD1A38"/>
    <w:rsid w:val="00CD1ED6"/>
    <w:rsid w:val="00CD4530"/>
    <w:rsid w:val="00CE04EA"/>
    <w:rsid w:val="00CE21A3"/>
    <w:rsid w:val="00CE3D7D"/>
    <w:rsid w:val="00CE5004"/>
    <w:rsid w:val="00CE6ED4"/>
    <w:rsid w:val="00CF07E7"/>
    <w:rsid w:val="00CF20EC"/>
    <w:rsid w:val="00D044FA"/>
    <w:rsid w:val="00D06A40"/>
    <w:rsid w:val="00D07F3D"/>
    <w:rsid w:val="00D11889"/>
    <w:rsid w:val="00D143FA"/>
    <w:rsid w:val="00D14989"/>
    <w:rsid w:val="00D1696F"/>
    <w:rsid w:val="00D246C7"/>
    <w:rsid w:val="00D330E4"/>
    <w:rsid w:val="00D354C6"/>
    <w:rsid w:val="00D4074A"/>
    <w:rsid w:val="00D4395E"/>
    <w:rsid w:val="00D44376"/>
    <w:rsid w:val="00D4445B"/>
    <w:rsid w:val="00D501A2"/>
    <w:rsid w:val="00D50C49"/>
    <w:rsid w:val="00D51521"/>
    <w:rsid w:val="00D515DA"/>
    <w:rsid w:val="00D62BAC"/>
    <w:rsid w:val="00D66F78"/>
    <w:rsid w:val="00D705DA"/>
    <w:rsid w:val="00D77ADC"/>
    <w:rsid w:val="00D77F0D"/>
    <w:rsid w:val="00D8308D"/>
    <w:rsid w:val="00D833EB"/>
    <w:rsid w:val="00D837CC"/>
    <w:rsid w:val="00D91FDD"/>
    <w:rsid w:val="00D92526"/>
    <w:rsid w:val="00D9748A"/>
    <w:rsid w:val="00DA43E0"/>
    <w:rsid w:val="00DA5A27"/>
    <w:rsid w:val="00DA78A9"/>
    <w:rsid w:val="00DA7A2B"/>
    <w:rsid w:val="00DB201C"/>
    <w:rsid w:val="00DB2DB0"/>
    <w:rsid w:val="00DB3857"/>
    <w:rsid w:val="00DB44A2"/>
    <w:rsid w:val="00DB4AA7"/>
    <w:rsid w:val="00DC0F23"/>
    <w:rsid w:val="00DC18EE"/>
    <w:rsid w:val="00DC2771"/>
    <w:rsid w:val="00DC295F"/>
    <w:rsid w:val="00DC3C57"/>
    <w:rsid w:val="00DC40E4"/>
    <w:rsid w:val="00DD2FE5"/>
    <w:rsid w:val="00DD6FE7"/>
    <w:rsid w:val="00DF3437"/>
    <w:rsid w:val="00DF3F05"/>
    <w:rsid w:val="00DF6B27"/>
    <w:rsid w:val="00DF749F"/>
    <w:rsid w:val="00DF7FC5"/>
    <w:rsid w:val="00E03447"/>
    <w:rsid w:val="00E0477B"/>
    <w:rsid w:val="00E072D2"/>
    <w:rsid w:val="00E100FC"/>
    <w:rsid w:val="00E12287"/>
    <w:rsid w:val="00E1770C"/>
    <w:rsid w:val="00E22677"/>
    <w:rsid w:val="00E23CB4"/>
    <w:rsid w:val="00E23CE7"/>
    <w:rsid w:val="00E3045C"/>
    <w:rsid w:val="00E30CD1"/>
    <w:rsid w:val="00E323CD"/>
    <w:rsid w:val="00E34CBA"/>
    <w:rsid w:val="00E36F2B"/>
    <w:rsid w:val="00E37E1A"/>
    <w:rsid w:val="00E40014"/>
    <w:rsid w:val="00E4276E"/>
    <w:rsid w:val="00E44D44"/>
    <w:rsid w:val="00E44FFE"/>
    <w:rsid w:val="00E50662"/>
    <w:rsid w:val="00E51C4F"/>
    <w:rsid w:val="00E54989"/>
    <w:rsid w:val="00E57E75"/>
    <w:rsid w:val="00E650D8"/>
    <w:rsid w:val="00E67AFF"/>
    <w:rsid w:val="00E7480F"/>
    <w:rsid w:val="00E753BD"/>
    <w:rsid w:val="00E774B6"/>
    <w:rsid w:val="00E83E00"/>
    <w:rsid w:val="00E8753A"/>
    <w:rsid w:val="00E90A44"/>
    <w:rsid w:val="00E966A2"/>
    <w:rsid w:val="00EA6CED"/>
    <w:rsid w:val="00EB0C83"/>
    <w:rsid w:val="00EB5E32"/>
    <w:rsid w:val="00EC514B"/>
    <w:rsid w:val="00ED08E0"/>
    <w:rsid w:val="00ED0F4E"/>
    <w:rsid w:val="00ED1DD5"/>
    <w:rsid w:val="00ED2BA5"/>
    <w:rsid w:val="00ED3882"/>
    <w:rsid w:val="00ED3E6B"/>
    <w:rsid w:val="00ED5759"/>
    <w:rsid w:val="00EE1188"/>
    <w:rsid w:val="00EE183A"/>
    <w:rsid w:val="00EE263C"/>
    <w:rsid w:val="00EE3D96"/>
    <w:rsid w:val="00EE7357"/>
    <w:rsid w:val="00EF4162"/>
    <w:rsid w:val="00EF6103"/>
    <w:rsid w:val="00F00C67"/>
    <w:rsid w:val="00F0469D"/>
    <w:rsid w:val="00F046EC"/>
    <w:rsid w:val="00F05739"/>
    <w:rsid w:val="00F0768A"/>
    <w:rsid w:val="00F07962"/>
    <w:rsid w:val="00F104F1"/>
    <w:rsid w:val="00F12096"/>
    <w:rsid w:val="00F12A59"/>
    <w:rsid w:val="00F12E33"/>
    <w:rsid w:val="00F1386E"/>
    <w:rsid w:val="00F14579"/>
    <w:rsid w:val="00F16D1C"/>
    <w:rsid w:val="00F2211E"/>
    <w:rsid w:val="00F23DF7"/>
    <w:rsid w:val="00F243AF"/>
    <w:rsid w:val="00F34661"/>
    <w:rsid w:val="00F34FC2"/>
    <w:rsid w:val="00F3550C"/>
    <w:rsid w:val="00F379C4"/>
    <w:rsid w:val="00F4075D"/>
    <w:rsid w:val="00F43CC2"/>
    <w:rsid w:val="00F45279"/>
    <w:rsid w:val="00F45D4D"/>
    <w:rsid w:val="00F477AD"/>
    <w:rsid w:val="00F4787A"/>
    <w:rsid w:val="00F55612"/>
    <w:rsid w:val="00F611C6"/>
    <w:rsid w:val="00F652FF"/>
    <w:rsid w:val="00F6638A"/>
    <w:rsid w:val="00F6673D"/>
    <w:rsid w:val="00F6765C"/>
    <w:rsid w:val="00F7607C"/>
    <w:rsid w:val="00F84ACA"/>
    <w:rsid w:val="00F865A9"/>
    <w:rsid w:val="00F8733E"/>
    <w:rsid w:val="00F913B7"/>
    <w:rsid w:val="00F91EA4"/>
    <w:rsid w:val="00F92464"/>
    <w:rsid w:val="00FA10AA"/>
    <w:rsid w:val="00FA2F7C"/>
    <w:rsid w:val="00FA3BF1"/>
    <w:rsid w:val="00FB0D3D"/>
    <w:rsid w:val="00FB166A"/>
    <w:rsid w:val="00FB7721"/>
    <w:rsid w:val="00FC64D6"/>
    <w:rsid w:val="00FC6768"/>
    <w:rsid w:val="00FD08DF"/>
    <w:rsid w:val="00FD4E32"/>
    <w:rsid w:val="00FD771E"/>
    <w:rsid w:val="00FD7F16"/>
    <w:rsid w:val="00FE1886"/>
    <w:rsid w:val="00FE2B6B"/>
    <w:rsid w:val="00FE441D"/>
    <w:rsid w:val="00FF46EE"/>
    <w:rsid w:val="02070CCA"/>
    <w:rsid w:val="05F13238"/>
    <w:rsid w:val="08F06232"/>
    <w:rsid w:val="0E0E1E7B"/>
    <w:rsid w:val="104F46BB"/>
    <w:rsid w:val="149E474A"/>
    <w:rsid w:val="154E78BA"/>
    <w:rsid w:val="159E12F7"/>
    <w:rsid w:val="18D640E4"/>
    <w:rsid w:val="19212E29"/>
    <w:rsid w:val="1B5C1CAA"/>
    <w:rsid w:val="1EDA60DE"/>
    <w:rsid w:val="1FAA751D"/>
    <w:rsid w:val="2A1326D5"/>
    <w:rsid w:val="2CA06B43"/>
    <w:rsid w:val="2D6C2D67"/>
    <w:rsid w:val="35C863A1"/>
    <w:rsid w:val="376B32D9"/>
    <w:rsid w:val="3AF25F15"/>
    <w:rsid w:val="3DA161A2"/>
    <w:rsid w:val="3DE71671"/>
    <w:rsid w:val="4009046E"/>
    <w:rsid w:val="4069171A"/>
    <w:rsid w:val="41547945"/>
    <w:rsid w:val="487A428F"/>
    <w:rsid w:val="49DC5E66"/>
    <w:rsid w:val="4C6D505D"/>
    <w:rsid w:val="4F9B33E8"/>
    <w:rsid w:val="557369E7"/>
    <w:rsid w:val="55EB05B0"/>
    <w:rsid w:val="56C22B29"/>
    <w:rsid w:val="5A881237"/>
    <w:rsid w:val="5C090AEC"/>
    <w:rsid w:val="5F0C752A"/>
    <w:rsid w:val="62A54310"/>
    <w:rsid w:val="64DE20E9"/>
    <w:rsid w:val="650E5193"/>
    <w:rsid w:val="657411FF"/>
    <w:rsid w:val="66D80C8D"/>
    <w:rsid w:val="6B364EF9"/>
    <w:rsid w:val="70613554"/>
    <w:rsid w:val="70C82840"/>
    <w:rsid w:val="799202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68"/>
    <w:qFormat/>
    <w:uiPriority w:val="0"/>
    <w:pPr>
      <w:keepNext/>
      <w:keepLines/>
      <w:spacing w:before="120" w:after="120" w:line="360" w:lineRule="auto"/>
      <w:outlineLvl w:val="0"/>
    </w:pPr>
    <w:rPr>
      <w:rFonts w:ascii="宋体"/>
      <w:b/>
      <w:color w:val="000000"/>
      <w:kern w:val="0"/>
      <w:sz w:val="24"/>
    </w:rPr>
  </w:style>
  <w:style w:type="paragraph" w:styleId="3">
    <w:name w:val="heading 2"/>
    <w:basedOn w:val="1"/>
    <w:next w:val="1"/>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64"/>
    <w:qFormat/>
    <w:uiPriority w:val="0"/>
    <w:pPr>
      <w:keepNext/>
      <w:keepLines/>
      <w:spacing w:before="260" w:after="260" w:line="413" w:lineRule="auto"/>
      <w:outlineLvl w:val="2"/>
    </w:pPr>
    <w:rPr>
      <w:b/>
      <w:sz w:val="32"/>
    </w:rPr>
  </w:style>
  <w:style w:type="paragraph" w:styleId="5">
    <w:name w:val="heading 4"/>
    <w:basedOn w:val="1"/>
    <w:next w:val="1"/>
    <w:link w:val="57"/>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firstLineChars="200"/>
    </w:pPr>
  </w:style>
  <w:style w:type="paragraph" w:styleId="7">
    <w:name w:val="Document Map"/>
    <w:basedOn w:val="1"/>
    <w:qFormat/>
    <w:uiPriority w:val="0"/>
    <w:pPr>
      <w:shd w:val="clear" w:color="auto" w:fill="000080"/>
    </w:pPr>
  </w:style>
  <w:style w:type="paragraph" w:styleId="8">
    <w:name w:val="annotation text"/>
    <w:basedOn w:val="1"/>
    <w:link w:val="59"/>
    <w:qFormat/>
    <w:uiPriority w:val="99"/>
    <w:pPr>
      <w:jc w:val="left"/>
    </w:pPr>
  </w:style>
  <w:style w:type="paragraph" w:styleId="9">
    <w:name w:val="Body Text"/>
    <w:basedOn w:val="1"/>
    <w:link w:val="35"/>
    <w:qFormat/>
    <w:uiPriority w:val="0"/>
    <w:pPr>
      <w:autoSpaceDE w:val="0"/>
      <w:autoSpaceDN w:val="0"/>
      <w:adjustRightInd w:val="0"/>
      <w:spacing w:line="360" w:lineRule="auto"/>
      <w:jc w:val="left"/>
    </w:pPr>
    <w:rPr>
      <w:rFonts w:ascii="宋体"/>
      <w:kern w:val="0"/>
    </w:rPr>
  </w:style>
  <w:style w:type="paragraph" w:styleId="10">
    <w:name w:val="toc 3"/>
    <w:basedOn w:val="1"/>
    <w:next w:val="1"/>
    <w:qFormat/>
    <w:uiPriority w:val="39"/>
    <w:pPr>
      <w:ind w:left="840" w:leftChars="400"/>
    </w:pPr>
  </w:style>
  <w:style w:type="paragraph" w:styleId="11">
    <w:name w:val="Plain Text"/>
    <w:basedOn w:val="1"/>
    <w:qFormat/>
    <w:uiPriority w:val="0"/>
    <w:pPr>
      <w:adjustRightInd w:val="0"/>
      <w:spacing w:line="312" w:lineRule="atLeast"/>
      <w:textAlignment w:val="baseline"/>
    </w:pPr>
    <w:rPr>
      <w:rFonts w:ascii="宋体" w:hAnsi="Courier New"/>
      <w:kern w:val="0"/>
    </w:rPr>
  </w:style>
  <w:style w:type="paragraph" w:styleId="12">
    <w:name w:val="Body Text Indent 2"/>
    <w:basedOn w:val="1"/>
    <w:qFormat/>
    <w:uiPriority w:val="0"/>
    <w:pPr>
      <w:spacing w:line="360" w:lineRule="auto"/>
      <w:ind w:firstLine="425"/>
    </w:pPr>
    <w:rPr>
      <w:rFonts w:ascii="仿宋_GB2312" w:eastAsia="仿宋_GB2312"/>
      <w:sz w:val="28"/>
    </w:rPr>
  </w:style>
  <w:style w:type="paragraph" w:styleId="13">
    <w:name w:val="Balloon Text"/>
    <w:basedOn w:val="1"/>
    <w:qFormat/>
    <w:uiPriority w:val="0"/>
    <w:rPr>
      <w:sz w:val="18"/>
    </w:rPr>
  </w:style>
  <w:style w:type="paragraph" w:styleId="14">
    <w:name w:val="footer"/>
    <w:basedOn w:val="1"/>
    <w:link w:val="66"/>
    <w:qFormat/>
    <w:uiPriority w:val="99"/>
    <w:pPr>
      <w:tabs>
        <w:tab w:val="center" w:pos="4153"/>
        <w:tab w:val="right" w:pos="8306"/>
      </w:tabs>
      <w:snapToGrid w:val="0"/>
      <w:jc w:val="left"/>
    </w:pPr>
    <w:rPr>
      <w:sz w:val="18"/>
    </w:rPr>
  </w:style>
  <w:style w:type="paragraph" w:styleId="15">
    <w:name w:val="header"/>
    <w:basedOn w:val="1"/>
    <w:link w:val="36"/>
    <w:qFormat/>
    <w:uiPriority w:val="99"/>
    <w:pPr>
      <w:pBdr>
        <w:bottom w:val="single" w:color="auto" w:sz="6" w:space="1"/>
      </w:pBdr>
      <w:tabs>
        <w:tab w:val="center" w:pos="4153"/>
        <w:tab w:val="right" w:pos="8306"/>
      </w:tabs>
      <w:snapToGrid w:val="0"/>
      <w:jc w:val="center"/>
    </w:pPr>
    <w:rPr>
      <w:sz w:val="18"/>
    </w:rPr>
  </w:style>
  <w:style w:type="paragraph" w:styleId="16">
    <w:name w:val="toc 1"/>
    <w:basedOn w:val="1"/>
    <w:next w:val="1"/>
    <w:qFormat/>
    <w:uiPriority w:val="39"/>
    <w:pPr>
      <w:tabs>
        <w:tab w:val="right" w:leader="dot" w:pos="8296"/>
      </w:tabs>
      <w:spacing w:line="360" w:lineRule="auto"/>
    </w:pPr>
  </w:style>
  <w:style w:type="paragraph" w:styleId="17">
    <w:name w:val="footnote text"/>
    <w:basedOn w:val="1"/>
    <w:qFormat/>
    <w:uiPriority w:val="0"/>
    <w:pPr>
      <w:snapToGrid w:val="0"/>
      <w:jc w:val="left"/>
    </w:pPr>
    <w:rPr>
      <w:sz w:val="18"/>
    </w:rPr>
  </w:style>
  <w:style w:type="paragraph" w:styleId="18">
    <w:name w:val="Body Text Indent 3"/>
    <w:basedOn w:val="1"/>
    <w:qFormat/>
    <w:uiPriority w:val="0"/>
    <w:pPr>
      <w:autoSpaceDE w:val="0"/>
      <w:autoSpaceDN w:val="0"/>
      <w:adjustRightInd w:val="0"/>
      <w:spacing w:line="360" w:lineRule="auto"/>
      <w:ind w:left="420" w:firstLine="435"/>
    </w:pPr>
    <w:rPr>
      <w:color w:val="0000FF"/>
    </w:rPr>
  </w:style>
  <w:style w:type="paragraph" w:styleId="19">
    <w:name w:val="toc 2"/>
    <w:basedOn w:val="1"/>
    <w:next w:val="1"/>
    <w:unhideWhenUsed/>
    <w:qFormat/>
    <w:uiPriority w:val="39"/>
    <w:pPr>
      <w:widowControl/>
      <w:spacing w:after="100" w:line="259" w:lineRule="auto"/>
      <w:ind w:left="220"/>
      <w:jc w:val="left"/>
    </w:pPr>
    <w:rPr>
      <w:rFonts w:asciiTheme="minorHAnsi" w:hAnsiTheme="minorHAnsi" w:eastAsiaTheme="minorEastAsia"/>
      <w:kern w:val="0"/>
      <w:sz w:val="22"/>
      <w:szCs w:val="22"/>
    </w:rPr>
  </w:style>
  <w:style w:type="paragraph" w:styleId="20">
    <w:name w:val="HTML Preformatted"/>
    <w:basedOn w:val="1"/>
    <w:link w:val="65"/>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21">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paragraph" w:styleId="22">
    <w:name w:val="Title"/>
    <w:basedOn w:val="1"/>
    <w:next w:val="1"/>
    <w:link w:val="34"/>
    <w:qFormat/>
    <w:uiPriority w:val="0"/>
    <w:pPr>
      <w:spacing w:before="240" w:after="60"/>
      <w:jc w:val="center"/>
      <w:outlineLvl w:val="0"/>
    </w:pPr>
    <w:rPr>
      <w:rFonts w:ascii="Cambria" w:hAnsi="Cambria"/>
      <w:b/>
      <w:sz w:val="32"/>
    </w:rPr>
  </w:style>
  <w:style w:type="paragraph" w:styleId="23">
    <w:name w:val="annotation subject"/>
    <w:basedOn w:val="8"/>
    <w:next w:val="8"/>
    <w:qFormat/>
    <w:uiPriority w:val="0"/>
    <w:rPr>
      <w:b/>
    </w:r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22"/>
    <w:rPr>
      <w:b/>
      <w:bCs/>
    </w:rPr>
  </w:style>
  <w:style w:type="character" w:styleId="28">
    <w:name w:val="page number"/>
    <w:basedOn w:val="26"/>
    <w:qFormat/>
    <w:uiPriority w:val="0"/>
  </w:style>
  <w:style w:type="character" w:styleId="29">
    <w:name w:val="Hyperlink"/>
    <w:qFormat/>
    <w:uiPriority w:val="99"/>
    <w:rPr>
      <w:color w:val="0000FF"/>
      <w:u w:val="single"/>
    </w:rPr>
  </w:style>
  <w:style w:type="character" w:styleId="30">
    <w:name w:val="annotation reference"/>
    <w:qFormat/>
    <w:uiPriority w:val="99"/>
    <w:rPr>
      <w:sz w:val="21"/>
    </w:rPr>
  </w:style>
  <w:style w:type="character" w:styleId="31">
    <w:name w:val="footnote reference"/>
    <w:qFormat/>
    <w:uiPriority w:val="0"/>
    <w:rPr>
      <w:vertAlign w:val="superscript"/>
    </w:rPr>
  </w:style>
  <w:style w:type="character" w:customStyle="1" w:styleId="32">
    <w:name w:val="unnamed11"/>
    <w:qFormat/>
    <w:uiPriority w:val="0"/>
    <w:rPr>
      <w:rFonts w:hint="eastAsia" w:ascii="宋体" w:hAnsi="宋体" w:eastAsia="宋体"/>
      <w:sz w:val="18"/>
    </w:rPr>
  </w:style>
  <w:style w:type="character" w:customStyle="1" w:styleId="33">
    <w:name w:val="read"/>
    <w:basedOn w:val="26"/>
    <w:qFormat/>
    <w:uiPriority w:val="0"/>
  </w:style>
  <w:style w:type="character" w:customStyle="1" w:styleId="34">
    <w:name w:val="标题 Char"/>
    <w:link w:val="22"/>
    <w:qFormat/>
    <w:uiPriority w:val="0"/>
    <w:rPr>
      <w:rFonts w:ascii="Cambria" w:hAnsi="Cambria"/>
      <w:b/>
      <w:kern w:val="2"/>
      <w:sz w:val="32"/>
    </w:rPr>
  </w:style>
  <w:style w:type="character" w:customStyle="1" w:styleId="35">
    <w:name w:val="正文文本 Char"/>
    <w:link w:val="9"/>
    <w:qFormat/>
    <w:uiPriority w:val="0"/>
    <w:rPr>
      <w:rFonts w:ascii="宋体"/>
      <w:kern w:val="0"/>
    </w:rPr>
  </w:style>
  <w:style w:type="character" w:customStyle="1" w:styleId="36">
    <w:name w:val="页眉 Char"/>
    <w:link w:val="15"/>
    <w:qFormat/>
    <w:uiPriority w:val="99"/>
    <w:rPr>
      <w:kern w:val="2"/>
      <w:sz w:val="18"/>
    </w:rPr>
  </w:style>
  <w:style w:type="paragraph" w:customStyle="1" w:styleId="37">
    <w:name w:val="Char"/>
    <w:basedOn w:val="1"/>
    <w:qFormat/>
    <w:uiPriority w:val="0"/>
  </w:style>
  <w:style w:type="paragraph" w:customStyle="1" w:styleId="38">
    <w:name w:val="Char Char Char Char"/>
    <w:basedOn w:val="1"/>
    <w:qFormat/>
    <w:uiPriority w:val="0"/>
    <w:pPr>
      <w:tabs>
        <w:tab w:val="left" w:pos="360"/>
      </w:tabs>
    </w:pPr>
  </w:style>
  <w:style w:type="paragraph" w:customStyle="1" w:styleId="39">
    <w:name w:val="Char Char1"/>
    <w:basedOn w:val="1"/>
    <w:qFormat/>
    <w:uiPriority w:val="0"/>
  </w:style>
  <w:style w:type="paragraph" w:customStyle="1" w:styleId="40">
    <w:name w:val="unnamed1"/>
    <w:basedOn w:val="1"/>
    <w:qFormat/>
    <w:uiPriority w:val="0"/>
    <w:pPr>
      <w:spacing w:before="60" w:after="60"/>
      <w:ind w:left="15" w:right="15"/>
    </w:pPr>
    <w:rPr>
      <w:rFonts w:hint="eastAsia" w:ascii="宋体" w:hAnsi="宋体"/>
      <w:color w:val="000000"/>
      <w:sz w:val="18"/>
      <w:szCs w:val="18"/>
    </w:rPr>
  </w:style>
  <w:style w:type="paragraph" w:customStyle="1" w:styleId="41">
    <w:name w:val="正文正文"/>
    <w:basedOn w:val="1"/>
    <w:qFormat/>
    <w:uiPriority w:val="0"/>
    <w:pPr>
      <w:spacing w:afterLines="25" w:line="360" w:lineRule="auto"/>
      <w:ind w:firstLine="200" w:firstLineChars="200"/>
    </w:pPr>
    <w:rPr>
      <w:sz w:val="24"/>
    </w:rPr>
  </w:style>
  <w:style w:type="paragraph" w:customStyle="1" w:styleId="42">
    <w:name w:val="Char2"/>
    <w:basedOn w:val="1"/>
    <w:qFormat/>
    <w:uiPriority w:val="0"/>
  </w:style>
  <w:style w:type="paragraph" w:customStyle="1" w:styleId="43">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44">
    <w:name w:val="Char Char"/>
    <w:basedOn w:val="1"/>
    <w:qFormat/>
    <w:uiPriority w:val="0"/>
  </w:style>
  <w:style w:type="paragraph" w:customStyle="1" w:styleId="45">
    <w:name w:val="Char Char Char"/>
    <w:basedOn w:val="1"/>
    <w:qFormat/>
    <w:uiPriority w:val="0"/>
  </w:style>
  <w:style w:type="paragraph" w:customStyle="1" w:styleId="46">
    <w:name w:val="msonormal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7">
    <w:name w:val="List_bullet"/>
    <w:basedOn w:val="1"/>
    <w:qFormat/>
    <w:uiPriority w:val="0"/>
    <w:pPr>
      <w:widowControl/>
      <w:numPr>
        <w:ilvl w:val="0"/>
        <w:numId w:val="1"/>
      </w:numPr>
      <w:jc w:val="left"/>
    </w:pPr>
    <w:rPr>
      <w:kern w:val="0"/>
      <w:sz w:val="24"/>
    </w:rPr>
  </w:style>
  <w:style w:type="paragraph" w:customStyle="1" w:styleId="48">
    <w:name w:val="InfoBlue"/>
    <w:basedOn w:val="1"/>
    <w:next w:val="9"/>
    <w:qFormat/>
    <w:uiPriority w:val="0"/>
    <w:pPr>
      <w:tabs>
        <w:tab w:val="left" w:pos="420"/>
      </w:tabs>
      <w:spacing w:after="120" w:line="240" w:lineRule="atLeast"/>
      <w:ind w:left="420" w:hanging="420"/>
      <w:jc w:val="left"/>
    </w:pPr>
    <w:rPr>
      <w:rFonts w:ascii="宋体" w:hAnsi="宋体"/>
    </w:rPr>
  </w:style>
  <w:style w:type="paragraph" w:customStyle="1" w:styleId="49">
    <w:name w:val="正文所"/>
    <w:basedOn w:val="1"/>
    <w:qFormat/>
    <w:uiPriority w:val="0"/>
    <w:pPr>
      <w:spacing w:line="360" w:lineRule="auto"/>
      <w:ind w:firstLine="420" w:firstLineChars="200"/>
    </w:pPr>
    <w:rPr>
      <w:rFonts w:ascii="宋体"/>
    </w:rPr>
  </w:style>
  <w:style w:type="paragraph" w:customStyle="1" w:styleId="50">
    <w:name w:val="修订1"/>
    <w:hidden/>
    <w:semiHidden/>
    <w:qFormat/>
    <w:uiPriority w:val="99"/>
    <w:rPr>
      <w:rFonts w:ascii="Times New Roman" w:hAnsi="Times New Roman" w:eastAsia="宋体" w:cs="Times New Roman"/>
      <w:kern w:val="2"/>
      <w:sz w:val="21"/>
      <w:lang w:val="en-US" w:eastAsia="zh-CN" w:bidi="ar-SA"/>
    </w:rPr>
  </w:style>
  <w:style w:type="paragraph" w:customStyle="1" w:styleId="51">
    <w:name w:val="Char Char6"/>
    <w:basedOn w:val="1"/>
    <w:qFormat/>
    <w:uiPriority w:val="0"/>
  </w:style>
  <w:style w:type="paragraph" w:customStyle="1" w:styleId="52">
    <w:name w:val="Char Char Char Char1"/>
    <w:basedOn w:val="1"/>
    <w:qFormat/>
    <w:uiPriority w:val="0"/>
    <w:pPr>
      <w:tabs>
        <w:tab w:val="left" w:pos="360"/>
      </w:tabs>
    </w:pPr>
  </w:style>
  <w:style w:type="paragraph" w:customStyle="1" w:styleId="53">
    <w:name w:val="Char Char11"/>
    <w:basedOn w:val="1"/>
    <w:qFormat/>
    <w:uiPriority w:val="0"/>
  </w:style>
  <w:style w:type="paragraph" w:customStyle="1" w:styleId="54">
    <w:name w:val="Char1"/>
    <w:basedOn w:val="1"/>
    <w:qFormat/>
    <w:uiPriority w:val="0"/>
  </w:style>
  <w:style w:type="paragraph" w:customStyle="1" w:styleId="55">
    <w:name w:val="Char Char5"/>
    <w:basedOn w:val="1"/>
    <w:qFormat/>
    <w:uiPriority w:val="0"/>
  </w:style>
  <w:style w:type="paragraph" w:customStyle="1" w:styleId="56">
    <w:name w:val="Char Char Char1"/>
    <w:basedOn w:val="1"/>
    <w:qFormat/>
    <w:uiPriority w:val="0"/>
  </w:style>
  <w:style w:type="character" w:customStyle="1" w:styleId="57">
    <w:name w:val="标题 4 Char"/>
    <w:basedOn w:val="26"/>
    <w:link w:val="5"/>
    <w:semiHidden/>
    <w:qFormat/>
    <w:uiPriority w:val="9"/>
    <w:rPr>
      <w:rFonts w:asciiTheme="majorHAnsi" w:hAnsiTheme="majorHAnsi" w:eastAsiaTheme="majorEastAsia" w:cstheme="majorBidi"/>
      <w:b/>
      <w:bCs/>
      <w:kern w:val="2"/>
      <w:sz w:val="28"/>
      <w:szCs w:val="28"/>
    </w:rPr>
  </w:style>
  <w:style w:type="paragraph" w:styleId="58">
    <w:name w:val="List Paragraph"/>
    <w:basedOn w:val="1"/>
    <w:qFormat/>
    <w:uiPriority w:val="0"/>
    <w:pPr>
      <w:ind w:firstLine="420" w:firstLineChars="200"/>
    </w:pPr>
  </w:style>
  <w:style w:type="character" w:customStyle="1" w:styleId="59">
    <w:name w:val="批注文字 Char1"/>
    <w:basedOn w:val="26"/>
    <w:link w:val="8"/>
    <w:qFormat/>
    <w:uiPriority w:val="0"/>
    <w:rPr>
      <w:kern w:val="2"/>
      <w:sz w:val="21"/>
    </w:rPr>
  </w:style>
  <w:style w:type="paragraph" w:customStyle="1" w:styleId="60">
    <w:name w:val="Char Char4"/>
    <w:basedOn w:val="1"/>
    <w:qFormat/>
    <w:uiPriority w:val="0"/>
  </w:style>
  <w:style w:type="character" w:customStyle="1" w:styleId="61">
    <w:name w:val="批注文字 Char"/>
    <w:qFormat/>
    <w:uiPriority w:val="99"/>
    <w:rPr>
      <w:kern w:val="2"/>
      <w:sz w:val="21"/>
    </w:rPr>
  </w:style>
  <w:style w:type="paragraph" w:customStyle="1" w:styleId="62">
    <w:name w:val="Char Char3"/>
    <w:basedOn w:val="1"/>
    <w:qFormat/>
    <w:uiPriority w:val="0"/>
  </w:style>
  <w:style w:type="paragraph" w:customStyle="1" w:styleId="63">
    <w:name w:val="Char Char2"/>
    <w:basedOn w:val="1"/>
    <w:qFormat/>
    <w:uiPriority w:val="0"/>
  </w:style>
  <w:style w:type="character" w:customStyle="1" w:styleId="64">
    <w:name w:val="标题 3 Char"/>
    <w:basedOn w:val="26"/>
    <w:link w:val="4"/>
    <w:qFormat/>
    <w:uiPriority w:val="0"/>
    <w:rPr>
      <w:b/>
      <w:kern w:val="2"/>
      <w:sz w:val="32"/>
    </w:rPr>
  </w:style>
  <w:style w:type="character" w:customStyle="1" w:styleId="65">
    <w:name w:val="HTML 预设格式 Char"/>
    <w:basedOn w:val="26"/>
    <w:link w:val="20"/>
    <w:qFormat/>
    <w:uiPriority w:val="99"/>
    <w:rPr>
      <w:rFonts w:ascii="宋体" w:hAnsi="宋体" w:cs="宋体"/>
      <w:sz w:val="24"/>
      <w:szCs w:val="24"/>
    </w:rPr>
  </w:style>
  <w:style w:type="character" w:customStyle="1" w:styleId="66">
    <w:name w:val="页脚 Char"/>
    <w:basedOn w:val="26"/>
    <w:link w:val="14"/>
    <w:qFormat/>
    <w:uiPriority w:val="99"/>
    <w:rPr>
      <w:kern w:val="2"/>
      <w:sz w:val="18"/>
    </w:rPr>
  </w:style>
  <w:style w:type="paragraph" w:customStyle="1" w:styleId="67">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character" w:customStyle="1" w:styleId="68">
    <w:name w:val="标题 1 Char"/>
    <w:basedOn w:val="26"/>
    <w:link w:val="2"/>
    <w:qFormat/>
    <w:uiPriority w:val="0"/>
    <w:rPr>
      <w:rFonts w:ascii="宋体"/>
      <w:b/>
      <w:color w:val="000000"/>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860289-4BAA-471A-8980-59AA4D3041F1}">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1529</Words>
  <Characters>8719</Characters>
  <Lines>72</Lines>
  <Paragraphs>20</Paragraphs>
  <TotalTime>33</TotalTime>
  <ScaleCrop>false</ScaleCrop>
  <LinksUpToDate>false</LinksUpToDate>
  <CharactersWithSpaces>10228</CharactersWithSpaces>
  <Application>WPS Office_11.8.2.10164_F1E327BC-269C-435d-A152-05C5408002CA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2024-03-04T03:16:00Z</dcterms:created>
  <dc:creator>Mandy.Z</dc:creator>
  <cp:lastModifiedBy>熊征斯</cp:lastModifiedBy>
  <cp:lastPrinted>2017-10-31T06:33:00Z</cp:lastPrinted>
  <dcterms:modified xsi:type="dcterms:W3CDTF">2025-12-23T05:41:04Z</dcterms:modified>
  <dc:title>___证券投资基金招募说明书1</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2052-11.8.2.10164</vt:lpwstr>
  </property>
  <property fmtid="{D5CDD505-2E9C-101B-9397-08002B2CF9AE}" pid="3" name="ICV">
    <vt:lpwstr>7F764BA8FE1445D395384AAC04665998_13</vt:lpwstr>
  </property>
</Properties>
</file>