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 w:hAnsi="楷体" w:eastAsia="楷体"/>
          <w:b/>
          <w:sz w:val="36"/>
          <w:szCs w:val="36"/>
        </w:rPr>
      </w:pPr>
      <w:r>
        <w:rPr>
          <w:rFonts w:hint="eastAsia" w:ascii="楷体" w:hAnsi="楷体" w:eastAsia="楷体"/>
          <w:b/>
          <w:sz w:val="36"/>
          <w:szCs w:val="36"/>
        </w:rPr>
        <w:t>苏银理财有限责任公司理财产品投资协议书</w:t>
      </w:r>
    </w:p>
    <w:p>
      <w:pPr>
        <w:jc w:val="center"/>
        <w:rPr>
          <w:rFonts w:hint="eastAsia" w:ascii="楷体" w:hAnsi="楷体" w:eastAsia="楷体"/>
          <w:b/>
          <w:sz w:val="28"/>
          <w:szCs w:val="28"/>
        </w:rPr>
      </w:pPr>
      <w:r>
        <w:rPr>
          <w:rFonts w:hint="eastAsia" w:ascii="楷体" w:hAnsi="楷体" w:eastAsia="楷体"/>
          <w:b/>
          <w:sz w:val="28"/>
          <w:szCs w:val="28"/>
        </w:rPr>
        <w:t>理财非存款、产品有风险、投资须谨慎</w:t>
      </w:r>
    </w:p>
    <w:p>
      <w:pPr>
        <w:ind w:firstLine="480" w:firstLineChars="200"/>
        <w:rPr>
          <w:rFonts w:hint="eastAsia" w:ascii="楷体" w:hAnsi="楷体" w:eastAsia="楷体" w:cs="Times New Roman"/>
          <w:b w:val="0"/>
          <w:sz w:val="24"/>
          <w:szCs w:val="24"/>
        </w:rPr>
      </w:pPr>
      <w:r>
        <w:rPr>
          <w:rFonts w:hint="eastAsia" w:ascii="楷体" w:hAnsi="楷体" w:eastAsia="楷体" w:cs="Times New Roman"/>
          <w:sz w:val="24"/>
          <w:szCs w:val="24"/>
        </w:rPr>
        <w:t>经甲方（</w:t>
      </w:r>
      <w:r>
        <w:rPr>
          <w:rFonts w:hint="eastAsia" w:ascii="楷体" w:hAnsi="楷体" w:eastAsia="楷体" w:cs="Times New Roman"/>
          <w:sz w:val="24"/>
          <w:szCs w:val="24"/>
          <w:lang w:val="en-US" w:eastAsia="zh-CN"/>
        </w:rPr>
        <w:t>投资人</w:t>
      </w:r>
      <w:r>
        <w:rPr>
          <w:rFonts w:hint="eastAsia" w:ascii="楷体" w:hAnsi="楷体" w:eastAsia="楷体" w:cs="Times New Roman"/>
          <w:sz w:val="24"/>
          <w:szCs w:val="24"/>
        </w:rPr>
        <w:t>）与乙方（</w:t>
      </w:r>
      <w:r>
        <w:rPr>
          <w:rFonts w:hint="eastAsia" w:ascii="楷体" w:hAnsi="楷体" w:eastAsia="楷体" w:cs="Times New Roman"/>
          <w:sz w:val="24"/>
          <w:szCs w:val="24"/>
          <w:lang w:val="en-US" w:eastAsia="zh-CN"/>
        </w:rPr>
        <w:t>苏银</w:t>
      </w:r>
      <w:r>
        <w:rPr>
          <w:rFonts w:hint="eastAsia" w:ascii="楷体" w:hAnsi="楷体" w:eastAsia="楷体" w:cs="Times New Roman"/>
          <w:sz w:val="24"/>
          <w:szCs w:val="24"/>
        </w:rPr>
        <w:t>理财有限责任公司</w:t>
      </w:r>
      <w:r>
        <w:rPr>
          <w:rFonts w:hint="eastAsia" w:ascii="楷体" w:hAnsi="楷体" w:eastAsia="楷体" w:cs="Times New Roman"/>
          <w:sz w:val="24"/>
          <w:szCs w:val="24"/>
          <w:lang w:eastAsia="zh-CN"/>
        </w:rPr>
        <w:t>，</w:t>
      </w:r>
      <w:r>
        <w:rPr>
          <w:rFonts w:hint="eastAsia" w:ascii="楷体" w:hAnsi="楷体" w:eastAsia="楷体" w:cs="Times New Roman"/>
          <w:sz w:val="24"/>
          <w:szCs w:val="24"/>
          <w:lang w:val="en-US" w:eastAsia="zh-CN"/>
        </w:rPr>
        <w:t>以下简称“苏银理财”</w:t>
      </w:r>
      <w:r>
        <w:rPr>
          <w:rFonts w:hint="eastAsia" w:ascii="楷体" w:hAnsi="楷体" w:eastAsia="楷体" w:cs="Times New Roman"/>
          <w:sz w:val="24"/>
          <w:szCs w:val="24"/>
        </w:rPr>
        <w:t>）协商一致，就甲方向乙方购买理财产品，达成协议如下：</w:t>
      </w:r>
    </w:p>
    <w:p>
      <w:pPr>
        <w:ind w:firstLine="482" w:firstLineChars="200"/>
        <w:rPr>
          <w:rFonts w:hint="eastAsia" w:ascii="楷体" w:hAnsi="楷体" w:eastAsia="楷体"/>
          <w:b/>
          <w:sz w:val="24"/>
          <w:szCs w:val="24"/>
        </w:rPr>
      </w:pPr>
      <w:r>
        <w:rPr>
          <w:rFonts w:hint="eastAsia" w:ascii="楷体" w:hAnsi="楷体" w:eastAsia="楷体"/>
          <w:b/>
          <w:sz w:val="24"/>
          <w:szCs w:val="24"/>
        </w:rPr>
        <w:t>一、重要声明</w:t>
      </w:r>
    </w:p>
    <w:p>
      <w:pPr>
        <w:ind w:firstLine="480" w:firstLineChars="200"/>
        <w:rPr>
          <w:rFonts w:hint="eastAsia" w:ascii="楷体" w:hAnsi="楷体" w:eastAsia="楷体"/>
          <w:sz w:val="24"/>
          <w:szCs w:val="24"/>
        </w:rPr>
      </w:pPr>
      <w:r>
        <w:rPr>
          <w:rFonts w:hint="eastAsia" w:ascii="楷体" w:hAnsi="楷体" w:eastAsia="楷体"/>
          <w:sz w:val="24"/>
          <w:szCs w:val="24"/>
        </w:rPr>
        <w:t>本投资协议书与</w:t>
      </w:r>
      <w:r>
        <w:rPr>
          <w:rFonts w:hint="eastAsia" w:ascii="楷体" w:hAnsi="楷体" w:eastAsia="楷体"/>
          <w:sz w:val="24"/>
          <w:szCs w:val="24"/>
          <w:lang w:val="en-US" w:eastAsia="zh-CN"/>
        </w:rPr>
        <w:t>理财产品（</w:t>
      </w:r>
      <w:r>
        <w:rPr>
          <w:rFonts w:hint="eastAsia" w:ascii="楷体" w:hAnsi="楷体" w:eastAsia="楷体"/>
          <w:sz w:val="24"/>
          <w:szCs w:val="24"/>
        </w:rPr>
        <w:t>代理</w:t>
      </w:r>
      <w:r>
        <w:rPr>
          <w:rFonts w:hint="eastAsia" w:ascii="楷体" w:hAnsi="楷体" w:eastAsia="楷体"/>
          <w:sz w:val="24"/>
          <w:szCs w:val="24"/>
          <w:lang w:eastAsia="zh-CN"/>
        </w:rPr>
        <w:t>）</w:t>
      </w:r>
      <w:r>
        <w:rPr>
          <w:rFonts w:hint="eastAsia" w:ascii="楷体" w:hAnsi="楷体" w:eastAsia="楷体"/>
          <w:sz w:val="24"/>
          <w:szCs w:val="24"/>
        </w:rPr>
        <w:t>销售协议书、理财产品说明书、风险揭示书、投资者权益须知等销售文件构成完整的不可分割的理财产品合同。</w:t>
      </w:r>
      <w:r>
        <w:rPr>
          <w:rFonts w:hint="eastAsia" w:ascii="楷体" w:hAnsi="楷体" w:eastAsia="楷体"/>
          <w:sz w:val="24"/>
          <w:szCs w:val="24"/>
          <w:lang w:val="en-US" w:eastAsia="zh-CN"/>
        </w:rPr>
        <w:t>乙方</w:t>
      </w:r>
      <w:r>
        <w:rPr>
          <w:rFonts w:hint="eastAsia" w:ascii="楷体" w:hAnsi="楷体" w:eastAsia="楷体"/>
          <w:sz w:val="24"/>
          <w:szCs w:val="24"/>
        </w:rPr>
        <w:t>作为理财产品管理人建议投资者在购买对应期次理财产品（以下简称“本理财产品”）前认真阅读相关理财产品合同或咨询专业理财经理。</w:t>
      </w:r>
      <w:r>
        <w:rPr>
          <w:rFonts w:hint="eastAsia" w:ascii="楷体" w:hAnsi="楷体" w:eastAsia="楷体"/>
          <w:sz w:val="24"/>
          <w:szCs w:val="24"/>
          <w:lang w:val="en-US" w:eastAsia="zh-CN"/>
        </w:rPr>
        <w:t>甲方</w:t>
      </w:r>
      <w:r>
        <w:rPr>
          <w:rFonts w:hint="eastAsia" w:ascii="楷体" w:hAnsi="楷体" w:eastAsia="楷体"/>
          <w:sz w:val="24"/>
          <w:szCs w:val="24"/>
        </w:rPr>
        <w:t>签署本投资协议（含电子渠道确认）则被视为已详细阅读过本投资协议及完整理财产品合同，并充分理解合同条款和潜在风险，自愿购买本理财产品，并遵守本理财产品合同中的各项规定。</w:t>
      </w:r>
    </w:p>
    <w:p>
      <w:pPr>
        <w:ind w:firstLine="482" w:firstLineChars="200"/>
        <w:rPr>
          <w:rFonts w:hint="eastAsia" w:ascii="楷体" w:hAnsi="楷体" w:eastAsia="楷体"/>
          <w:b/>
          <w:sz w:val="24"/>
          <w:szCs w:val="24"/>
          <w:u w:val="single"/>
        </w:rPr>
      </w:pPr>
      <w:r>
        <w:rPr>
          <w:rFonts w:hint="eastAsia" w:ascii="楷体" w:hAnsi="楷体" w:eastAsia="楷体"/>
          <w:b/>
          <w:sz w:val="24"/>
          <w:szCs w:val="24"/>
          <w:u w:val="single"/>
        </w:rPr>
        <w:t>本理财产品不保证本金和收益。受各种市场波动因素影响，本理财产品可能存在包括但不限于政策风险、信用风险、市场风险、流动性风险、管理风险、操作风险、产品不成立风险、兑付延期风险、提前终止风险、信息传递风险、代销风险、标的资产的特别投资风险及其他风险，具体风险因素由</w:t>
      </w:r>
      <w:r>
        <w:rPr>
          <w:rFonts w:hint="eastAsia" w:ascii="楷体" w:hAnsi="楷体" w:eastAsia="楷体"/>
          <w:b/>
          <w:sz w:val="24"/>
          <w:szCs w:val="24"/>
          <w:u w:val="single"/>
          <w:lang w:val="en-US" w:eastAsia="zh-CN"/>
        </w:rPr>
        <w:t>乙方</w:t>
      </w:r>
      <w:r>
        <w:rPr>
          <w:rFonts w:hint="eastAsia" w:ascii="楷体" w:hAnsi="楷体" w:eastAsia="楷体"/>
          <w:b/>
          <w:sz w:val="24"/>
          <w:szCs w:val="24"/>
          <w:u w:val="single"/>
        </w:rPr>
        <w:t>在理财产品风险揭示书中揭示。请您充分认识投资风险，谨慎投资。</w:t>
      </w:r>
    </w:p>
    <w:p>
      <w:pPr>
        <w:ind w:firstLine="482" w:firstLineChars="200"/>
        <w:rPr>
          <w:rFonts w:hint="eastAsia" w:ascii="楷体" w:hAnsi="楷体" w:eastAsia="楷体"/>
          <w:b/>
          <w:sz w:val="24"/>
          <w:szCs w:val="24"/>
        </w:rPr>
      </w:pPr>
      <w:r>
        <w:rPr>
          <w:rFonts w:hint="eastAsia" w:ascii="楷体" w:hAnsi="楷体" w:eastAsia="楷体"/>
          <w:b/>
          <w:sz w:val="24"/>
          <w:szCs w:val="24"/>
        </w:rPr>
        <w:t>二、</w:t>
      </w:r>
      <w:r>
        <w:rPr>
          <w:rFonts w:hint="eastAsia" w:ascii="楷体" w:hAnsi="楷体" w:eastAsia="楷体"/>
          <w:b/>
          <w:sz w:val="24"/>
          <w:szCs w:val="24"/>
          <w:lang w:val="en-US" w:eastAsia="zh-CN"/>
        </w:rPr>
        <w:t>甲方</w:t>
      </w:r>
      <w:r>
        <w:rPr>
          <w:rFonts w:hint="eastAsia" w:ascii="楷体" w:hAnsi="楷体" w:eastAsia="楷体"/>
          <w:b/>
          <w:sz w:val="24"/>
          <w:szCs w:val="24"/>
        </w:rPr>
        <w:t>的权利义务</w:t>
      </w:r>
    </w:p>
    <w:p>
      <w:pPr>
        <w:ind w:firstLine="482" w:firstLineChars="200"/>
        <w:rPr>
          <w:rFonts w:hint="eastAsia" w:ascii="楷体" w:hAnsi="楷体" w:eastAsia="楷体" w:cs="Times New Roman"/>
          <w:b/>
          <w:bCs/>
          <w:sz w:val="24"/>
          <w:szCs w:val="24"/>
          <w:lang w:val="en-US" w:eastAsia="zh-CN"/>
        </w:rPr>
      </w:pPr>
      <w:r>
        <w:rPr>
          <w:rFonts w:hint="eastAsia" w:ascii="楷体" w:hAnsi="楷体" w:eastAsia="楷体" w:cs="Times New Roman"/>
          <w:b/>
          <w:bCs/>
          <w:sz w:val="24"/>
          <w:szCs w:val="24"/>
          <w:lang w:val="en-US" w:eastAsia="zh-CN"/>
        </w:rPr>
        <w:t>甲方声明：</w:t>
      </w:r>
    </w:p>
    <w:p>
      <w:pPr>
        <w:numPr>
          <w:ilvl w:val="0"/>
          <w:numId w:val="1"/>
        </w:numPr>
        <w:ind w:firstLine="480" w:firstLineChars="200"/>
        <w:rPr>
          <w:rFonts w:hint="eastAsia" w:ascii="楷体" w:hAnsi="楷体" w:eastAsia="楷体" w:cs="Times New Roman"/>
          <w:sz w:val="24"/>
          <w:szCs w:val="24"/>
        </w:rPr>
      </w:pPr>
      <w:r>
        <w:rPr>
          <w:rFonts w:hint="eastAsia" w:ascii="楷体" w:hAnsi="楷体" w:eastAsia="楷体" w:cs="Times New Roman"/>
          <w:sz w:val="24"/>
          <w:szCs w:val="24"/>
        </w:rPr>
        <w:t>甲方购买理财产品的资金为合法自有资金，不存在使用贷款、发行债券等筹集的非自有资金投资理财产品的情形，甲方承诺投资理财产品使用的资金来源合法合规，并且系为合法之目的投资本理财产品，而非为洗钱等违法犯罪之目的。甲方将配合乙方及销售</w:t>
      </w:r>
      <w:r>
        <w:rPr>
          <w:rFonts w:hint="eastAsia" w:ascii="楷体" w:hAnsi="楷体" w:eastAsia="楷体" w:cs="Times New Roman"/>
          <w:sz w:val="24"/>
          <w:szCs w:val="24"/>
          <w:lang w:val="en-US" w:eastAsia="zh-CN"/>
        </w:rPr>
        <w:t>服务</w:t>
      </w:r>
      <w:r>
        <w:rPr>
          <w:rFonts w:hint="eastAsia" w:ascii="楷体" w:hAnsi="楷体" w:eastAsia="楷体" w:cs="Times New Roman"/>
          <w:sz w:val="24"/>
          <w:szCs w:val="24"/>
        </w:rPr>
        <w:t xml:space="preserve">机构开展反洗钱、反恐怖融资及非居民金融账户涉税信息尽职调查等相关法律法规要求的识别客户身份工作，及时、真实、准确、完整地提供身份信息及资金来源信息。 </w:t>
      </w:r>
    </w:p>
    <w:p>
      <w:pPr>
        <w:ind w:firstLine="480" w:firstLineChars="200"/>
        <w:rPr>
          <w:rFonts w:hint="default" w:ascii="楷体" w:hAnsi="楷体" w:eastAsia="楷体"/>
          <w:sz w:val="24"/>
          <w:szCs w:val="24"/>
          <w:lang w:val="en-US"/>
        </w:rPr>
      </w:pPr>
      <w:r>
        <w:rPr>
          <w:rFonts w:hint="eastAsia" w:ascii="楷体" w:hAnsi="楷体" w:eastAsia="楷体"/>
          <w:sz w:val="24"/>
          <w:szCs w:val="24"/>
          <w:lang w:val="en-US" w:eastAsia="zh-CN"/>
        </w:rPr>
        <w:t xml:space="preserve">2. </w:t>
      </w:r>
      <w:r>
        <w:rPr>
          <w:rFonts w:hint="eastAsia" w:ascii="楷体" w:hAnsi="楷体" w:eastAsia="楷体" w:cs="Times New Roman"/>
          <w:sz w:val="24"/>
          <w:szCs w:val="24"/>
        </w:rPr>
        <w:t>甲方承诺所提供的所有资料真实、完整、合法、有效，如有变更，甲方应及时到</w:t>
      </w:r>
      <w:r>
        <w:rPr>
          <w:rFonts w:hint="eastAsia" w:ascii="楷体" w:hAnsi="楷体" w:eastAsia="楷体" w:cs="Times New Roman"/>
          <w:sz w:val="24"/>
          <w:szCs w:val="24"/>
          <w:lang w:val="en-US" w:eastAsia="zh-CN"/>
        </w:rPr>
        <w:t>乙方或</w:t>
      </w:r>
      <w:r>
        <w:rPr>
          <w:rFonts w:hint="eastAsia" w:ascii="楷体" w:hAnsi="楷体" w:eastAsia="楷体" w:cs="Times New Roman"/>
          <w:sz w:val="24"/>
          <w:szCs w:val="24"/>
        </w:rPr>
        <w:t>销售</w:t>
      </w:r>
      <w:r>
        <w:rPr>
          <w:rFonts w:hint="eastAsia" w:ascii="楷体" w:hAnsi="楷体" w:eastAsia="楷体" w:cs="Times New Roman"/>
          <w:sz w:val="24"/>
          <w:szCs w:val="24"/>
          <w:lang w:val="en-US" w:eastAsia="zh-CN"/>
        </w:rPr>
        <w:t>服务</w:t>
      </w:r>
      <w:r>
        <w:rPr>
          <w:rFonts w:hint="eastAsia" w:ascii="楷体" w:hAnsi="楷体" w:eastAsia="楷体" w:cs="Times New Roman"/>
          <w:sz w:val="24"/>
          <w:szCs w:val="24"/>
        </w:rPr>
        <w:t>机构办理变更手续。若甲方未及时办理相关变更手续，由此导致的一切后果由甲方自行承担，乙方对此不承担任何责任。</w:t>
      </w:r>
    </w:p>
    <w:p>
      <w:pPr>
        <w:ind w:firstLine="480" w:firstLineChars="200"/>
        <w:rPr>
          <w:rFonts w:hint="eastAsia" w:ascii="楷体" w:hAnsi="楷体" w:eastAsia="楷体"/>
          <w:sz w:val="24"/>
          <w:szCs w:val="24"/>
        </w:rPr>
      </w:pPr>
      <w:r>
        <w:rPr>
          <w:rFonts w:hint="eastAsia" w:ascii="楷体" w:hAnsi="楷体" w:eastAsia="楷体"/>
          <w:sz w:val="24"/>
          <w:szCs w:val="24"/>
          <w:lang w:val="en-US" w:eastAsia="zh-CN"/>
        </w:rPr>
        <w:t>3. 甲方</w:t>
      </w:r>
      <w:r>
        <w:rPr>
          <w:rFonts w:hint="eastAsia" w:ascii="楷体" w:hAnsi="楷体" w:eastAsia="楷体"/>
          <w:sz w:val="24"/>
          <w:szCs w:val="24"/>
        </w:rPr>
        <w:t>购买本理财产品的行为即视为对理财产品合同的承认和接受，</w:t>
      </w:r>
      <w:r>
        <w:rPr>
          <w:rFonts w:hint="eastAsia" w:ascii="楷体" w:hAnsi="楷体" w:eastAsia="楷体"/>
          <w:sz w:val="24"/>
          <w:szCs w:val="24"/>
          <w:lang w:val="en-US" w:eastAsia="zh-CN"/>
        </w:rPr>
        <w:t>甲方</w:t>
      </w:r>
      <w:r>
        <w:rPr>
          <w:rFonts w:hint="eastAsia" w:ascii="楷体" w:hAnsi="楷体" w:eastAsia="楷体"/>
          <w:sz w:val="24"/>
          <w:szCs w:val="24"/>
        </w:rPr>
        <w:t>自取得依据理财产品合同发行的理财产品份额，即成为理财产品投资者和理财产品合同当事人。</w:t>
      </w:r>
      <w:r>
        <w:rPr>
          <w:rFonts w:hint="eastAsia" w:ascii="楷体" w:hAnsi="楷体" w:eastAsia="楷体"/>
          <w:sz w:val="24"/>
          <w:szCs w:val="24"/>
          <w:lang w:val="en-US" w:eastAsia="zh-CN"/>
        </w:rPr>
        <w:t>甲方</w:t>
      </w:r>
      <w:r>
        <w:rPr>
          <w:rFonts w:hint="eastAsia" w:ascii="楷体" w:hAnsi="楷体" w:eastAsia="楷体"/>
          <w:sz w:val="24"/>
          <w:szCs w:val="24"/>
        </w:rPr>
        <w:t>作为当事人并不以在理财产品合同上书面签章或签字为必要条件。</w:t>
      </w:r>
    </w:p>
    <w:p>
      <w:pPr>
        <w:numPr>
          <w:ilvl w:val="0"/>
          <w:numId w:val="0"/>
        </w:numPr>
        <w:ind w:firstLine="482" w:firstLineChars="200"/>
        <w:rPr>
          <w:rFonts w:hint="eastAsia" w:ascii="楷体" w:hAnsi="楷体" w:eastAsia="楷体"/>
          <w:b/>
          <w:sz w:val="24"/>
          <w:szCs w:val="24"/>
        </w:rPr>
      </w:pPr>
      <w:r>
        <w:rPr>
          <w:rFonts w:hint="eastAsia" w:ascii="楷体" w:hAnsi="楷体" w:eastAsia="楷体"/>
          <w:b/>
          <w:sz w:val="24"/>
          <w:szCs w:val="24"/>
        </w:rPr>
        <w:t>（一）</w:t>
      </w:r>
      <w:r>
        <w:rPr>
          <w:rFonts w:hint="eastAsia" w:ascii="楷体" w:hAnsi="楷体" w:eastAsia="楷体"/>
          <w:b/>
          <w:sz w:val="24"/>
          <w:szCs w:val="24"/>
          <w:lang w:val="en-US" w:eastAsia="zh-CN"/>
        </w:rPr>
        <w:t>甲方</w:t>
      </w:r>
      <w:r>
        <w:rPr>
          <w:rFonts w:hint="eastAsia" w:ascii="楷体" w:hAnsi="楷体" w:eastAsia="楷体"/>
          <w:b/>
          <w:sz w:val="24"/>
          <w:szCs w:val="24"/>
        </w:rPr>
        <w:t>的权利：</w:t>
      </w:r>
    </w:p>
    <w:p>
      <w:pPr>
        <w:numPr>
          <w:ilvl w:val="0"/>
          <w:numId w:val="0"/>
        </w:numPr>
        <w:ind w:left="480" w:firstLine="0"/>
        <w:rPr>
          <w:rFonts w:hint="eastAsia" w:ascii="楷体" w:hAnsi="楷体" w:eastAsia="楷体"/>
          <w:sz w:val="24"/>
          <w:szCs w:val="24"/>
        </w:rPr>
      </w:pPr>
      <w:r>
        <w:rPr>
          <w:rFonts w:hint="eastAsia" w:ascii="楷体" w:hAnsi="楷体" w:eastAsia="楷体"/>
          <w:sz w:val="24"/>
          <w:szCs w:val="24"/>
          <w:lang w:val="en-US" w:eastAsia="zh-CN"/>
        </w:rPr>
        <w:t xml:space="preserve">1. </w:t>
      </w:r>
      <w:r>
        <w:rPr>
          <w:rFonts w:hint="eastAsia" w:ascii="楷体" w:hAnsi="楷体" w:eastAsia="楷体"/>
          <w:sz w:val="24"/>
          <w:szCs w:val="24"/>
        </w:rPr>
        <w:t>按理财产品合同的约定取得理财收益</w:t>
      </w:r>
      <w:r>
        <w:rPr>
          <w:rFonts w:hint="eastAsia" w:ascii="楷体" w:hAnsi="楷体" w:eastAsia="楷体"/>
          <w:sz w:val="24"/>
          <w:szCs w:val="24"/>
          <w:lang w:eastAsia="zh-CN"/>
        </w:rPr>
        <w:t>（</w:t>
      </w:r>
      <w:r>
        <w:rPr>
          <w:rFonts w:hint="eastAsia" w:ascii="楷体" w:hAnsi="楷体" w:eastAsia="楷体"/>
          <w:sz w:val="24"/>
          <w:szCs w:val="24"/>
          <w:lang w:val="en-US" w:eastAsia="zh-CN"/>
        </w:rPr>
        <w:t>如有</w:t>
      </w:r>
      <w:r>
        <w:rPr>
          <w:rFonts w:hint="eastAsia" w:ascii="楷体" w:hAnsi="楷体" w:eastAsia="楷体"/>
          <w:sz w:val="24"/>
          <w:szCs w:val="24"/>
          <w:lang w:eastAsia="zh-CN"/>
        </w:rPr>
        <w:t>）</w:t>
      </w:r>
      <w:r>
        <w:rPr>
          <w:rFonts w:hint="eastAsia" w:ascii="楷体" w:hAnsi="楷体" w:eastAsia="楷体"/>
          <w:sz w:val="24"/>
          <w:szCs w:val="24"/>
        </w:rPr>
        <w:t>；</w:t>
      </w:r>
    </w:p>
    <w:p>
      <w:pPr>
        <w:numPr>
          <w:ilvl w:val="0"/>
          <w:numId w:val="0"/>
        </w:numPr>
        <w:ind w:left="480" w:firstLine="0"/>
        <w:rPr>
          <w:rFonts w:hint="eastAsia" w:ascii="楷体" w:hAnsi="楷体" w:eastAsia="楷体"/>
          <w:sz w:val="24"/>
          <w:szCs w:val="24"/>
        </w:rPr>
      </w:pPr>
      <w:r>
        <w:rPr>
          <w:rFonts w:hint="eastAsia" w:ascii="楷体" w:hAnsi="楷体" w:eastAsia="楷体"/>
          <w:sz w:val="24"/>
          <w:szCs w:val="24"/>
          <w:lang w:val="en-US" w:eastAsia="zh-CN"/>
        </w:rPr>
        <w:t xml:space="preserve">2. </w:t>
      </w:r>
      <w:r>
        <w:rPr>
          <w:rFonts w:hint="eastAsia" w:ascii="楷体" w:hAnsi="楷体" w:eastAsia="楷体"/>
          <w:sz w:val="24"/>
          <w:szCs w:val="24"/>
        </w:rPr>
        <w:t>按理财产品合同的约定查询获得公开披露的理财产品信息资料；</w:t>
      </w:r>
    </w:p>
    <w:p>
      <w:pPr>
        <w:numPr>
          <w:ilvl w:val="0"/>
          <w:numId w:val="0"/>
        </w:numPr>
        <w:ind w:left="480" w:firstLine="0"/>
        <w:rPr>
          <w:rFonts w:ascii="楷体" w:hAnsi="楷体" w:eastAsia="楷体"/>
          <w:sz w:val="24"/>
          <w:szCs w:val="24"/>
        </w:rPr>
      </w:pPr>
      <w:r>
        <w:rPr>
          <w:rFonts w:hint="eastAsia" w:ascii="楷体" w:hAnsi="楷体" w:eastAsia="楷体"/>
          <w:sz w:val="24"/>
          <w:szCs w:val="24"/>
          <w:lang w:val="en-US" w:eastAsia="zh-CN"/>
        </w:rPr>
        <w:t xml:space="preserve">3. </w:t>
      </w:r>
      <w:r>
        <w:rPr>
          <w:rFonts w:hint="eastAsia" w:ascii="楷体" w:hAnsi="楷体" w:eastAsia="楷体"/>
          <w:sz w:val="24"/>
          <w:szCs w:val="24"/>
        </w:rPr>
        <w:t>产品终止后对清算后的理财产品资产净值按理财产品持有份额比例参与</w:t>
      </w:r>
    </w:p>
    <w:p>
      <w:pPr>
        <w:rPr>
          <w:rFonts w:hint="eastAsia" w:ascii="楷体" w:hAnsi="楷体" w:eastAsia="楷体"/>
          <w:sz w:val="24"/>
          <w:szCs w:val="24"/>
        </w:rPr>
      </w:pPr>
      <w:r>
        <w:rPr>
          <w:rFonts w:hint="eastAsia" w:ascii="楷体" w:hAnsi="楷体" w:eastAsia="楷体"/>
          <w:sz w:val="24"/>
          <w:szCs w:val="24"/>
        </w:rPr>
        <w:t>分配；</w:t>
      </w:r>
    </w:p>
    <w:p>
      <w:pPr>
        <w:numPr>
          <w:ilvl w:val="0"/>
          <w:numId w:val="0"/>
        </w:numPr>
        <w:ind w:left="0"/>
        <w:rPr>
          <w:rFonts w:hint="eastAsia" w:ascii="楷体" w:hAnsi="楷体" w:eastAsia="楷体"/>
          <w:sz w:val="24"/>
          <w:szCs w:val="24"/>
        </w:rPr>
      </w:pPr>
      <w:r>
        <w:rPr>
          <w:rFonts w:hint="eastAsia" w:ascii="楷体" w:hAnsi="楷体" w:eastAsia="楷体"/>
          <w:sz w:val="24"/>
          <w:szCs w:val="24"/>
          <w:lang w:val="en-US" w:eastAsia="zh-CN"/>
        </w:rPr>
        <w:t xml:space="preserve">    4. </w:t>
      </w:r>
      <w:r>
        <w:rPr>
          <w:rFonts w:hint="eastAsia" w:ascii="楷体" w:hAnsi="楷体" w:eastAsia="楷体"/>
          <w:sz w:val="24"/>
          <w:szCs w:val="24"/>
        </w:rPr>
        <w:t>要求</w:t>
      </w:r>
      <w:r>
        <w:rPr>
          <w:rFonts w:hint="eastAsia" w:ascii="楷体" w:hAnsi="楷体" w:eastAsia="楷体"/>
          <w:sz w:val="24"/>
          <w:szCs w:val="24"/>
          <w:lang w:val="en-US" w:eastAsia="zh-CN"/>
        </w:rPr>
        <w:t>乙方</w:t>
      </w:r>
      <w:r>
        <w:rPr>
          <w:rFonts w:hint="eastAsia" w:ascii="楷体" w:hAnsi="楷体" w:eastAsia="楷体"/>
          <w:sz w:val="24"/>
          <w:szCs w:val="24"/>
        </w:rPr>
        <w:t>或理财产品托管人及时</w:t>
      </w:r>
      <w:r>
        <w:rPr>
          <w:rFonts w:hint="eastAsia" w:ascii="楷体" w:hAnsi="楷体" w:eastAsia="楷体"/>
          <w:sz w:val="24"/>
          <w:szCs w:val="24"/>
          <w:lang w:val="en-US" w:eastAsia="zh-CN"/>
        </w:rPr>
        <w:t>履行</w:t>
      </w:r>
      <w:r>
        <w:rPr>
          <w:rFonts w:hint="eastAsia" w:ascii="楷体" w:hAnsi="楷体" w:eastAsia="楷体"/>
          <w:sz w:val="24"/>
          <w:szCs w:val="24"/>
        </w:rPr>
        <w:t>法律法规、理财产品合同所规定的义务；</w:t>
      </w:r>
    </w:p>
    <w:p>
      <w:pPr>
        <w:numPr>
          <w:ilvl w:val="0"/>
          <w:numId w:val="2"/>
        </w:numPr>
        <w:tabs>
          <w:tab w:val="left" w:pos="743"/>
        </w:tabs>
        <w:ind w:left="480" w:firstLine="0" w:firstLineChars="0"/>
        <w:rPr>
          <w:rFonts w:hint="eastAsia" w:ascii="楷体" w:hAnsi="楷体" w:eastAsia="楷体"/>
          <w:sz w:val="24"/>
          <w:szCs w:val="24"/>
        </w:rPr>
      </w:pPr>
      <w:r>
        <w:rPr>
          <w:rFonts w:hint="eastAsia" w:ascii="楷体" w:hAnsi="楷体" w:eastAsia="楷体"/>
          <w:sz w:val="24"/>
          <w:szCs w:val="24"/>
        </w:rPr>
        <w:t>对</w:t>
      </w:r>
      <w:r>
        <w:rPr>
          <w:rFonts w:hint="eastAsia" w:ascii="楷体" w:hAnsi="楷体" w:eastAsia="楷体"/>
          <w:sz w:val="24"/>
          <w:szCs w:val="24"/>
          <w:lang w:val="en-US" w:eastAsia="zh-CN"/>
        </w:rPr>
        <w:t>乙方</w:t>
      </w:r>
      <w:r>
        <w:rPr>
          <w:rFonts w:hint="eastAsia" w:ascii="楷体" w:hAnsi="楷体" w:eastAsia="楷体"/>
          <w:sz w:val="24"/>
          <w:szCs w:val="24"/>
        </w:rPr>
        <w:t>、理财产品托管人损害其合法权益</w:t>
      </w:r>
      <w:r>
        <w:rPr>
          <w:rFonts w:hint="eastAsia" w:ascii="楷体" w:hAnsi="楷体" w:eastAsia="楷体" w:cs="Times New Roman"/>
          <w:sz w:val="24"/>
          <w:szCs w:val="24"/>
          <w:lang w:val="en-US" w:eastAsia="zh-CN"/>
        </w:rPr>
        <w:t>的行为</w:t>
      </w:r>
      <w:r>
        <w:rPr>
          <w:rFonts w:hint="eastAsia" w:ascii="楷体" w:hAnsi="楷体" w:eastAsia="楷体"/>
          <w:sz w:val="24"/>
          <w:szCs w:val="24"/>
        </w:rPr>
        <w:t>而要求予以赔偿；</w:t>
      </w:r>
    </w:p>
    <w:p>
      <w:pPr>
        <w:numPr>
          <w:ilvl w:val="0"/>
          <w:numId w:val="2"/>
        </w:numPr>
        <w:ind w:left="480" w:firstLine="0"/>
        <w:rPr>
          <w:rFonts w:hint="eastAsia" w:ascii="楷体" w:hAnsi="楷体" w:eastAsia="楷体"/>
          <w:sz w:val="24"/>
          <w:szCs w:val="24"/>
        </w:rPr>
      </w:pPr>
      <w:r>
        <w:rPr>
          <w:rFonts w:hint="eastAsia" w:ascii="楷体" w:hAnsi="楷体" w:eastAsia="楷体"/>
          <w:sz w:val="24"/>
          <w:szCs w:val="24"/>
        </w:rPr>
        <w:t>法律法规、理财产品合同规定的其它权利。</w:t>
      </w:r>
    </w:p>
    <w:p>
      <w:pPr>
        <w:ind w:firstLine="482" w:firstLineChars="200"/>
        <w:rPr>
          <w:rFonts w:hint="eastAsia" w:ascii="楷体" w:hAnsi="楷体" w:eastAsia="楷体"/>
          <w:b/>
          <w:sz w:val="24"/>
          <w:szCs w:val="24"/>
        </w:rPr>
      </w:pPr>
      <w:r>
        <w:rPr>
          <w:rFonts w:hint="eastAsia" w:ascii="楷体" w:hAnsi="楷体" w:eastAsia="楷体"/>
          <w:b/>
          <w:sz w:val="24"/>
          <w:szCs w:val="24"/>
        </w:rPr>
        <w:t>（二）</w:t>
      </w:r>
      <w:r>
        <w:rPr>
          <w:rFonts w:hint="eastAsia" w:ascii="楷体" w:hAnsi="楷体" w:eastAsia="楷体"/>
          <w:b/>
          <w:sz w:val="24"/>
          <w:szCs w:val="24"/>
          <w:lang w:val="en-US" w:eastAsia="zh-CN"/>
        </w:rPr>
        <w:t>甲方</w:t>
      </w:r>
      <w:r>
        <w:rPr>
          <w:rFonts w:hint="eastAsia" w:ascii="楷体" w:hAnsi="楷体" w:eastAsia="楷体"/>
          <w:b/>
          <w:sz w:val="24"/>
          <w:szCs w:val="24"/>
        </w:rPr>
        <w:t>的义务：</w:t>
      </w:r>
    </w:p>
    <w:p>
      <w:pPr>
        <w:numPr>
          <w:ilvl w:val="0"/>
          <w:numId w:val="0"/>
        </w:numPr>
        <w:ind w:left="426" w:firstLine="0"/>
        <w:rPr>
          <w:rFonts w:hint="eastAsia" w:ascii="楷体" w:hAnsi="楷体" w:eastAsia="楷体"/>
          <w:sz w:val="24"/>
          <w:szCs w:val="24"/>
        </w:rPr>
      </w:pPr>
      <w:r>
        <w:rPr>
          <w:rFonts w:hint="eastAsia" w:ascii="楷体" w:hAnsi="楷体" w:eastAsia="楷体"/>
          <w:sz w:val="24"/>
          <w:szCs w:val="24"/>
          <w:lang w:val="en-US" w:eastAsia="zh-CN"/>
        </w:rPr>
        <w:t xml:space="preserve">1. </w:t>
      </w:r>
      <w:r>
        <w:rPr>
          <w:rFonts w:hint="eastAsia" w:ascii="楷体" w:hAnsi="楷体" w:eastAsia="楷体"/>
          <w:sz w:val="24"/>
          <w:szCs w:val="24"/>
        </w:rPr>
        <w:t>遵守有关法律法规和理财产品合同的约定；</w:t>
      </w:r>
    </w:p>
    <w:p>
      <w:pPr>
        <w:numPr>
          <w:ilvl w:val="0"/>
          <w:numId w:val="0"/>
        </w:numPr>
        <w:ind w:left="0" w:firstLine="425" w:firstLineChars="0"/>
        <w:rPr>
          <w:rFonts w:hint="eastAsia" w:ascii="楷体" w:hAnsi="楷体" w:eastAsia="楷体"/>
          <w:sz w:val="24"/>
          <w:szCs w:val="24"/>
        </w:rPr>
      </w:pPr>
      <w:r>
        <w:rPr>
          <w:rFonts w:hint="eastAsia" w:ascii="楷体" w:hAnsi="楷体" w:eastAsia="楷体"/>
          <w:sz w:val="24"/>
          <w:szCs w:val="24"/>
          <w:lang w:val="en-US" w:eastAsia="zh-CN"/>
        </w:rPr>
        <w:t xml:space="preserve">2. </w:t>
      </w:r>
      <w:r>
        <w:rPr>
          <w:rFonts w:hint="eastAsia" w:ascii="楷体" w:hAnsi="楷体" w:eastAsia="楷体"/>
          <w:sz w:val="24"/>
          <w:szCs w:val="24"/>
        </w:rPr>
        <w:t>缴纳理财产品认购、申购和赎回等事宜涉及的款项及</w:t>
      </w:r>
      <w:r>
        <w:rPr>
          <w:rFonts w:hint="eastAsia" w:ascii="楷体" w:hAnsi="楷体" w:eastAsia="楷体"/>
          <w:sz w:val="24"/>
          <w:szCs w:val="24"/>
          <w:lang w:val="en-US" w:eastAsia="zh-CN"/>
        </w:rPr>
        <w:t>理财产品合同</w:t>
      </w:r>
      <w:r>
        <w:rPr>
          <w:rFonts w:hint="eastAsia" w:ascii="楷体" w:hAnsi="楷体" w:eastAsia="楷体"/>
          <w:sz w:val="24"/>
          <w:szCs w:val="24"/>
        </w:rPr>
        <w:t>规定的费用；</w:t>
      </w:r>
    </w:p>
    <w:p>
      <w:pPr>
        <w:keepNext w:val="0"/>
        <w:keepLines w:val="0"/>
        <w:pageBreakBefore w:val="0"/>
        <w:widowControl w:val="0"/>
        <w:kinsoku/>
        <w:wordWrap/>
        <w:overflowPunct/>
        <w:topLinePunct w:val="0"/>
        <w:autoSpaceDE/>
        <w:autoSpaceDN/>
        <w:bidi w:val="0"/>
        <w:adjustRightInd/>
        <w:snapToGrid/>
        <w:ind w:firstLine="425" w:firstLineChars="0"/>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 xml:space="preserve">3. </w:t>
      </w:r>
      <w:r>
        <w:rPr>
          <w:rFonts w:hint="eastAsia" w:ascii="楷体" w:hAnsi="楷体" w:eastAsia="楷体" w:cs="楷体"/>
          <w:sz w:val="24"/>
          <w:szCs w:val="24"/>
        </w:rPr>
        <w:t>以其对理财产品的投资额为限承担本理财产品亏损或者终止的有限责任；</w:t>
      </w:r>
    </w:p>
    <w:p>
      <w:pPr>
        <w:numPr>
          <w:ilvl w:val="0"/>
          <w:numId w:val="3"/>
        </w:numPr>
        <w:ind w:left="426" w:firstLine="0"/>
        <w:rPr>
          <w:rFonts w:ascii="楷体" w:hAnsi="楷体" w:eastAsia="楷体"/>
          <w:sz w:val="24"/>
          <w:szCs w:val="24"/>
        </w:rPr>
      </w:pPr>
      <w:r>
        <w:rPr>
          <w:rFonts w:hint="eastAsia" w:ascii="楷体" w:hAnsi="楷体" w:eastAsia="楷体"/>
          <w:sz w:val="24"/>
          <w:szCs w:val="24"/>
        </w:rPr>
        <w:t>不从事任何有损本理财产品及本理财产品其他理财产品合同当事人合法</w:t>
      </w:r>
    </w:p>
    <w:p>
      <w:pPr>
        <w:rPr>
          <w:rFonts w:hint="eastAsia" w:ascii="楷体" w:hAnsi="楷体" w:eastAsia="楷体"/>
          <w:sz w:val="24"/>
          <w:szCs w:val="24"/>
        </w:rPr>
      </w:pPr>
      <w:r>
        <w:rPr>
          <w:rFonts w:hint="eastAsia" w:ascii="楷体" w:hAnsi="楷体" w:eastAsia="楷体"/>
          <w:sz w:val="24"/>
          <w:szCs w:val="24"/>
        </w:rPr>
        <w:t>权益的活动；</w:t>
      </w:r>
    </w:p>
    <w:p>
      <w:pPr>
        <w:numPr>
          <w:ilvl w:val="0"/>
          <w:numId w:val="3"/>
        </w:numPr>
        <w:ind w:left="426" w:firstLine="0"/>
        <w:rPr>
          <w:rFonts w:hint="eastAsia" w:ascii="楷体" w:hAnsi="楷体" w:eastAsia="楷体"/>
          <w:sz w:val="24"/>
          <w:szCs w:val="24"/>
        </w:rPr>
      </w:pPr>
      <w:r>
        <w:rPr>
          <w:rFonts w:hint="eastAsia" w:ascii="楷体" w:hAnsi="楷体" w:eastAsia="楷体"/>
          <w:sz w:val="24"/>
          <w:szCs w:val="24"/>
        </w:rPr>
        <w:t>返还其在理财投资过程中取得的不当得利；</w:t>
      </w:r>
    </w:p>
    <w:p>
      <w:pPr>
        <w:numPr>
          <w:ilvl w:val="0"/>
          <w:numId w:val="3"/>
        </w:numPr>
        <w:ind w:left="426" w:firstLine="0"/>
        <w:rPr>
          <w:rFonts w:hint="eastAsia" w:ascii="楷体" w:hAnsi="楷体" w:eastAsia="楷体"/>
          <w:sz w:val="24"/>
          <w:szCs w:val="24"/>
        </w:rPr>
      </w:pPr>
      <w:r>
        <w:rPr>
          <w:rFonts w:hint="eastAsia" w:ascii="楷体" w:hAnsi="楷体" w:eastAsia="楷体"/>
          <w:sz w:val="24"/>
          <w:szCs w:val="24"/>
        </w:rPr>
        <w:t>法律法规</w:t>
      </w:r>
      <w:r>
        <w:rPr>
          <w:rFonts w:hint="eastAsia" w:ascii="楷体" w:hAnsi="楷体" w:eastAsia="楷体"/>
          <w:sz w:val="24"/>
          <w:szCs w:val="24"/>
          <w:lang w:val="en-US" w:eastAsia="zh-CN"/>
        </w:rPr>
        <w:t>以及</w:t>
      </w:r>
      <w:r>
        <w:rPr>
          <w:rFonts w:hint="eastAsia" w:ascii="楷体" w:hAnsi="楷体" w:eastAsia="楷体"/>
          <w:sz w:val="24"/>
          <w:szCs w:val="24"/>
        </w:rPr>
        <w:t>理财产品合同所规定的其它义务。</w:t>
      </w:r>
    </w:p>
    <w:p>
      <w:pPr>
        <w:ind w:firstLine="482" w:firstLineChars="200"/>
        <w:rPr>
          <w:rFonts w:hint="eastAsia" w:ascii="楷体" w:hAnsi="楷体" w:eastAsia="楷体"/>
          <w:b/>
          <w:sz w:val="24"/>
          <w:szCs w:val="24"/>
        </w:rPr>
      </w:pPr>
      <w:r>
        <w:rPr>
          <w:rFonts w:hint="eastAsia" w:ascii="楷体" w:hAnsi="楷体" w:eastAsia="楷体"/>
          <w:b/>
          <w:sz w:val="24"/>
          <w:szCs w:val="24"/>
        </w:rPr>
        <w:t>三、</w:t>
      </w:r>
      <w:r>
        <w:rPr>
          <w:rFonts w:hint="eastAsia" w:ascii="楷体" w:hAnsi="楷体" w:eastAsia="楷体"/>
          <w:b/>
          <w:sz w:val="24"/>
          <w:szCs w:val="24"/>
          <w:lang w:val="en-US" w:eastAsia="zh-CN"/>
        </w:rPr>
        <w:t>乙方</w:t>
      </w:r>
      <w:r>
        <w:rPr>
          <w:rFonts w:hint="eastAsia" w:ascii="楷体" w:hAnsi="楷体" w:eastAsia="楷体"/>
          <w:b/>
          <w:sz w:val="24"/>
          <w:szCs w:val="24"/>
        </w:rPr>
        <w:t>的权利义务</w:t>
      </w:r>
    </w:p>
    <w:p>
      <w:pPr>
        <w:ind w:firstLine="482" w:firstLineChars="200"/>
        <w:rPr>
          <w:rFonts w:hint="eastAsia" w:ascii="楷体" w:hAnsi="楷体" w:eastAsia="楷体"/>
          <w:b/>
          <w:sz w:val="24"/>
          <w:szCs w:val="24"/>
        </w:rPr>
      </w:pPr>
      <w:r>
        <w:rPr>
          <w:rFonts w:hint="eastAsia" w:ascii="楷体" w:hAnsi="楷体" w:eastAsia="楷体"/>
          <w:b/>
          <w:sz w:val="24"/>
          <w:szCs w:val="24"/>
        </w:rPr>
        <w:t>（一）</w:t>
      </w:r>
      <w:r>
        <w:rPr>
          <w:rFonts w:hint="eastAsia" w:ascii="楷体" w:hAnsi="楷体" w:eastAsia="楷体"/>
          <w:b/>
          <w:sz w:val="24"/>
          <w:szCs w:val="24"/>
          <w:lang w:val="en-US" w:eastAsia="zh-CN"/>
        </w:rPr>
        <w:t>乙方</w:t>
      </w:r>
      <w:r>
        <w:rPr>
          <w:rFonts w:hint="eastAsia" w:ascii="楷体" w:hAnsi="楷体" w:eastAsia="楷体"/>
          <w:b/>
          <w:sz w:val="24"/>
          <w:szCs w:val="24"/>
        </w:rPr>
        <w:t>的权利：</w:t>
      </w:r>
    </w:p>
    <w:p>
      <w:pPr>
        <w:ind w:firstLine="425"/>
        <w:rPr>
          <w:rFonts w:hint="eastAsia" w:ascii="楷体" w:hAnsi="楷体" w:eastAsia="楷体"/>
          <w:sz w:val="24"/>
          <w:szCs w:val="24"/>
        </w:rPr>
      </w:pPr>
      <w:r>
        <w:rPr>
          <w:rFonts w:hint="eastAsia" w:ascii="楷体" w:hAnsi="楷体" w:eastAsia="楷体"/>
          <w:sz w:val="24"/>
          <w:szCs w:val="24"/>
          <w:lang w:val="en-US" w:eastAsia="zh-CN"/>
        </w:rPr>
        <w:t xml:space="preserve">1. </w:t>
      </w:r>
      <w:r>
        <w:rPr>
          <w:rFonts w:hint="eastAsia" w:ascii="楷体" w:hAnsi="楷体" w:eastAsia="楷体"/>
          <w:sz w:val="24"/>
          <w:szCs w:val="24"/>
        </w:rPr>
        <w:t>乙方按照法律法规和《理财产品说明书》及《风险揭示书》的约定，诚实信用、谨慎勤勉地实施投资管理行为，以专业技能管理理财产品资产，依法维护理财产品全体投资者的利益；</w:t>
      </w:r>
    </w:p>
    <w:p>
      <w:pPr>
        <w:numPr>
          <w:ilvl w:val="0"/>
          <w:numId w:val="4"/>
        </w:numPr>
        <w:ind w:left="426" w:firstLine="0"/>
        <w:rPr>
          <w:rFonts w:ascii="楷体" w:hAnsi="楷体" w:eastAsia="楷体"/>
          <w:sz w:val="24"/>
          <w:szCs w:val="24"/>
        </w:rPr>
      </w:pPr>
      <w:r>
        <w:rPr>
          <w:rFonts w:hint="eastAsia" w:ascii="楷体" w:hAnsi="楷体" w:eastAsia="楷体"/>
          <w:sz w:val="24"/>
          <w:szCs w:val="24"/>
        </w:rPr>
        <w:t>根据法律法规和理财产品合同的约定，制订、修改并公布有关理财募集、</w:t>
      </w:r>
    </w:p>
    <w:p>
      <w:pPr>
        <w:rPr>
          <w:rFonts w:hint="eastAsia" w:ascii="楷体" w:hAnsi="楷体" w:eastAsia="楷体"/>
          <w:sz w:val="24"/>
          <w:szCs w:val="24"/>
        </w:rPr>
      </w:pPr>
      <w:r>
        <w:rPr>
          <w:rFonts w:hint="eastAsia" w:ascii="楷体" w:hAnsi="楷体" w:eastAsia="楷体"/>
          <w:sz w:val="24"/>
          <w:szCs w:val="24"/>
        </w:rPr>
        <w:t>认购、申购、赎回、非交易过户、冻结、收益分配等方面的业务规则；</w:t>
      </w:r>
    </w:p>
    <w:p>
      <w:pPr>
        <w:numPr>
          <w:ilvl w:val="0"/>
          <w:numId w:val="4"/>
        </w:numPr>
        <w:ind w:left="426" w:firstLine="0"/>
        <w:rPr>
          <w:rFonts w:ascii="楷体" w:hAnsi="楷体" w:eastAsia="楷体"/>
          <w:sz w:val="24"/>
          <w:szCs w:val="24"/>
        </w:rPr>
      </w:pPr>
      <w:r>
        <w:rPr>
          <w:rFonts w:hint="eastAsia" w:ascii="楷体" w:hAnsi="楷体" w:eastAsia="楷体"/>
          <w:sz w:val="24"/>
          <w:szCs w:val="24"/>
        </w:rPr>
        <w:t>根据法律法规和理财产品合同的约定决定本理财产品的相关费率结构和</w:t>
      </w:r>
    </w:p>
    <w:p>
      <w:pPr>
        <w:rPr>
          <w:rFonts w:hint="eastAsia" w:ascii="楷体" w:hAnsi="楷体" w:eastAsia="楷体"/>
          <w:sz w:val="24"/>
          <w:szCs w:val="24"/>
        </w:rPr>
      </w:pPr>
      <w:r>
        <w:rPr>
          <w:rFonts w:hint="eastAsia" w:ascii="楷体" w:hAnsi="楷体" w:eastAsia="楷体"/>
          <w:sz w:val="24"/>
          <w:szCs w:val="24"/>
        </w:rPr>
        <w:t>收费方式，获得理财产品管理费，收取超额业绩报酬（如有）及其它事先批准或公告的合理费用以及法律法规规定的其它费用；</w:t>
      </w:r>
    </w:p>
    <w:p>
      <w:pPr>
        <w:numPr>
          <w:ilvl w:val="0"/>
          <w:numId w:val="4"/>
        </w:numPr>
        <w:ind w:left="426" w:firstLine="0"/>
        <w:rPr>
          <w:rFonts w:ascii="楷体" w:hAnsi="楷体" w:eastAsia="楷体"/>
          <w:sz w:val="24"/>
          <w:szCs w:val="24"/>
        </w:rPr>
      </w:pPr>
      <w:r>
        <w:rPr>
          <w:rFonts w:hint="eastAsia" w:ascii="楷体" w:hAnsi="楷体" w:eastAsia="楷体"/>
          <w:sz w:val="24"/>
          <w:szCs w:val="24"/>
        </w:rPr>
        <w:t>依据法律法规和理财产品合同的约定监督理财产品托管人，如认为理财</w:t>
      </w:r>
    </w:p>
    <w:p>
      <w:pPr>
        <w:rPr>
          <w:rFonts w:hint="eastAsia" w:ascii="楷体" w:hAnsi="楷体" w:eastAsia="楷体"/>
          <w:sz w:val="24"/>
          <w:szCs w:val="24"/>
        </w:rPr>
      </w:pPr>
      <w:r>
        <w:rPr>
          <w:rFonts w:hint="eastAsia" w:ascii="楷体" w:hAnsi="楷体" w:eastAsia="楷体"/>
          <w:sz w:val="24"/>
          <w:szCs w:val="24"/>
        </w:rPr>
        <w:t>产品托管人违反了法律法规或理财产品合同约定，对理财产品资产、其它理财产品合同当事人的利益造成重大损失的，应及时呈报监管机构，以及采取其它必要措施以保护本理财产品及相关理财产品合同当事人的利益；</w:t>
      </w:r>
    </w:p>
    <w:p>
      <w:pPr>
        <w:numPr>
          <w:ilvl w:val="0"/>
          <w:numId w:val="4"/>
        </w:numPr>
        <w:ind w:left="426" w:firstLine="0"/>
        <w:rPr>
          <w:rFonts w:hint="eastAsia" w:ascii="楷体" w:hAnsi="楷体" w:eastAsia="楷体"/>
          <w:sz w:val="24"/>
          <w:szCs w:val="24"/>
        </w:rPr>
      </w:pPr>
      <w:r>
        <w:rPr>
          <w:rFonts w:hint="eastAsia" w:ascii="楷体" w:hAnsi="楷体" w:eastAsia="楷体"/>
          <w:sz w:val="24"/>
          <w:szCs w:val="24"/>
        </w:rPr>
        <w:t>在法律法规允许的前提下，为理财产品的利益依法为理财产品进行融资；</w:t>
      </w:r>
    </w:p>
    <w:p>
      <w:pPr>
        <w:numPr>
          <w:ilvl w:val="0"/>
          <w:numId w:val="4"/>
        </w:numPr>
        <w:ind w:left="426" w:firstLine="0"/>
        <w:rPr>
          <w:rFonts w:ascii="楷体" w:hAnsi="楷体" w:eastAsia="楷体"/>
          <w:sz w:val="24"/>
          <w:szCs w:val="24"/>
        </w:rPr>
      </w:pPr>
      <w:r>
        <w:rPr>
          <w:rFonts w:hint="eastAsia" w:ascii="楷体" w:hAnsi="楷体" w:eastAsia="楷体"/>
          <w:sz w:val="24"/>
          <w:szCs w:val="24"/>
        </w:rPr>
        <w:t>按照法律法规，代表理财产品对被投资企业行使股东权利，代表理财产</w:t>
      </w:r>
    </w:p>
    <w:p>
      <w:pPr>
        <w:rPr>
          <w:rFonts w:hint="eastAsia" w:ascii="楷体" w:hAnsi="楷体" w:eastAsia="楷体"/>
          <w:sz w:val="24"/>
          <w:szCs w:val="24"/>
        </w:rPr>
      </w:pPr>
      <w:r>
        <w:rPr>
          <w:rFonts w:hint="eastAsia" w:ascii="楷体" w:hAnsi="楷体" w:eastAsia="楷体"/>
          <w:sz w:val="24"/>
          <w:szCs w:val="24"/>
        </w:rPr>
        <w:t>品行使因投资于其它证券所产生的权利；</w:t>
      </w:r>
    </w:p>
    <w:p>
      <w:pPr>
        <w:numPr>
          <w:ilvl w:val="0"/>
          <w:numId w:val="0"/>
        </w:numPr>
        <w:ind w:firstLine="425"/>
        <w:rPr>
          <w:rFonts w:hint="eastAsia" w:ascii="楷体" w:hAnsi="楷体" w:eastAsia="楷体"/>
          <w:sz w:val="24"/>
          <w:szCs w:val="24"/>
        </w:rPr>
      </w:pPr>
      <w:r>
        <w:rPr>
          <w:rFonts w:hint="eastAsia" w:ascii="楷体" w:hAnsi="楷体" w:eastAsia="楷体"/>
          <w:sz w:val="24"/>
          <w:szCs w:val="24"/>
          <w:lang w:val="en-US" w:eastAsia="zh-CN"/>
        </w:rPr>
        <w:t xml:space="preserve">7. </w:t>
      </w:r>
      <w:r>
        <w:rPr>
          <w:rFonts w:hint="eastAsia" w:ascii="楷体" w:hAnsi="楷体" w:eastAsia="楷体"/>
          <w:sz w:val="24"/>
          <w:szCs w:val="24"/>
        </w:rPr>
        <w:t>以</w:t>
      </w:r>
      <w:r>
        <w:rPr>
          <w:rFonts w:hint="eastAsia" w:ascii="楷体" w:hAnsi="楷体" w:eastAsia="楷体"/>
          <w:sz w:val="24"/>
          <w:szCs w:val="24"/>
          <w:lang w:val="en-US" w:eastAsia="zh-CN"/>
        </w:rPr>
        <w:t>乙方</w:t>
      </w:r>
      <w:r>
        <w:rPr>
          <w:rFonts w:hint="eastAsia" w:ascii="楷体" w:hAnsi="楷体" w:eastAsia="楷体"/>
          <w:sz w:val="24"/>
          <w:szCs w:val="24"/>
        </w:rPr>
        <w:t>名义，代表理财份额持有人利益行使诉讼权利或者实施其他法律行为；</w:t>
      </w:r>
    </w:p>
    <w:p>
      <w:pPr>
        <w:numPr>
          <w:ilvl w:val="0"/>
          <w:numId w:val="5"/>
        </w:numPr>
        <w:ind w:left="426" w:firstLine="0"/>
        <w:rPr>
          <w:rFonts w:ascii="楷体" w:hAnsi="楷体" w:eastAsia="楷体"/>
          <w:sz w:val="24"/>
          <w:szCs w:val="24"/>
        </w:rPr>
      </w:pPr>
      <w:r>
        <w:rPr>
          <w:rFonts w:hint="eastAsia" w:ascii="楷体" w:hAnsi="楷体" w:eastAsia="楷体"/>
          <w:sz w:val="24"/>
          <w:szCs w:val="24"/>
        </w:rPr>
        <w:t>选择、更换律师、审计师、证券经纪商或其他为理财产品提供服务的外</w:t>
      </w:r>
    </w:p>
    <w:p>
      <w:pPr>
        <w:rPr>
          <w:rFonts w:hint="eastAsia" w:ascii="楷体" w:hAnsi="楷体" w:eastAsia="楷体"/>
          <w:sz w:val="24"/>
          <w:szCs w:val="24"/>
        </w:rPr>
      </w:pPr>
      <w:r>
        <w:rPr>
          <w:rFonts w:hint="eastAsia" w:ascii="楷体" w:hAnsi="楷体" w:eastAsia="楷体"/>
          <w:sz w:val="24"/>
          <w:szCs w:val="24"/>
        </w:rPr>
        <w:t>部机构并确定有关费率；</w:t>
      </w:r>
    </w:p>
    <w:p>
      <w:pPr>
        <w:numPr>
          <w:ilvl w:val="0"/>
          <w:numId w:val="5"/>
        </w:numPr>
        <w:ind w:left="426" w:firstLine="0"/>
        <w:rPr>
          <w:rFonts w:ascii="楷体" w:hAnsi="楷体" w:eastAsia="楷体"/>
          <w:sz w:val="24"/>
          <w:szCs w:val="24"/>
        </w:rPr>
      </w:pPr>
      <w:r>
        <w:rPr>
          <w:rFonts w:hint="eastAsia" w:ascii="楷体" w:hAnsi="楷体" w:eastAsia="楷体"/>
          <w:sz w:val="24"/>
          <w:szCs w:val="24"/>
        </w:rPr>
        <w:t>法律法规、理财产品合同以及依据理财产品合同制订的其它法律文件所</w:t>
      </w:r>
    </w:p>
    <w:p>
      <w:pPr>
        <w:rPr>
          <w:rFonts w:hint="eastAsia" w:ascii="楷体" w:hAnsi="楷体" w:eastAsia="楷体"/>
          <w:sz w:val="24"/>
          <w:szCs w:val="24"/>
        </w:rPr>
      </w:pPr>
      <w:r>
        <w:rPr>
          <w:rFonts w:hint="eastAsia" w:ascii="楷体" w:hAnsi="楷体" w:eastAsia="楷体"/>
          <w:sz w:val="24"/>
          <w:szCs w:val="24"/>
        </w:rPr>
        <w:t>规定的其它权利。</w:t>
      </w:r>
    </w:p>
    <w:p>
      <w:pPr>
        <w:ind w:firstLine="602" w:firstLineChars="250"/>
        <w:rPr>
          <w:rFonts w:hint="eastAsia" w:ascii="楷体" w:hAnsi="楷体" w:eastAsia="楷体"/>
          <w:b/>
          <w:sz w:val="24"/>
          <w:szCs w:val="24"/>
        </w:rPr>
      </w:pPr>
      <w:r>
        <w:rPr>
          <w:rFonts w:hint="eastAsia" w:ascii="楷体" w:hAnsi="楷体" w:eastAsia="楷体"/>
          <w:b/>
          <w:sz w:val="24"/>
          <w:szCs w:val="24"/>
        </w:rPr>
        <w:t>（二）</w:t>
      </w:r>
      <w:r>
        <w:rPr>
          <w:rFonts w:hint="eastAsia" w:ascii="楷体" w:hAnsi="楷体" w:eastAsia="楷体"/>
          <w:b/>
          <w:sz w:val="24"/>
          <w:szCs w:val="24"/>
          <w:lang w:val="en-US" w:eastAsia="zh-CN"/>
        </w:rPr>
        <w:t>乙方</w:t>
      </w:r>
      <w:r>
        <w:rPr>
          <w:rFonts w:hint="eastAsia" w:ascii="楷体" w:hAnsi="楷体" w:eastAsia="楷体"/>
          <w:b/>
          <w:sz w:val="24"/>
          <w:szCs w:val="24"/>
        </w:rPr>
        <w:t>的义务：</w:t>
      </w:r>
    </w:p>
    <w:p>
      <w:pPr>
        <w:numPr>
          <w:ilvl w:val="0"/>
          <w:numId w:val="0"/>
        </w:numPr>
        <w:ind w:left="0" w:firstLine="425"/>
        <w:rPr>
          <w:rFonts w:hint="eastAsia" w:ascii="楷体" w:hAnsi="楷体" w:eastAsia="楷体"/>
          <w:sz w:val="24"/>
          <w:szCs w:val="24"/>
        </w:rPr>
      </w:pPr>
      <w:r>
        <w:rPr>
          <w:rFonts w:hint="eastAsia" w:ascii="楷体" w:hAnsi="楷体" w:eastAsia="楷体"/>
          <w:sz w:val="24"/>
          <w:szCs w:val="24"/>
          <w:lang w:val="en-US" w:eastAsia="zh-CN"/>
        </w:rPr>
        <w:t xml:space="preserve">1. </w:t>
      </w:r>
      <w:r>
        <w:rPr>
          <w:rFonts w:hint="eastAsia" w:ascii="楷体" w:hAnsi="楷体" w:eastAsia="楷体"/>
          <w:sz w:val="24"/>
          <w:szCs w:val="24"/>
        </w:rPr>
        <w:t>遵守法律法规和理财产品合同的约定；</w:t>
      </w:r>
    </w:p>
    <w:p>
      <w:pPr>
        <w:numPr>
          <w:ilvl w:val="0"/>
          <w:numId w:val="0"/>
        </w:numPr>
        <w:ind w:firstLine="425"/>
        <w:rPr>
          <w:rFonts w:hint="eastAsia" w:ascii="楷体" w:hAnsi="楷体" w:eastAsia="楷体" w:cs="Times New Roman"/>
          <w:sz w:val="24"/>
          <w:szCs w:val="24"/>
        </w:rPr>
      </w:pPr>
      <w:r>
        <w:rPr>
          <w:rFonts w:hint="eastAsia" w:ascii="楷体" w:hAnsi="楷体" w:eastAsia="楷体" w:cs="Times New Roman"/>
          <w:sz w:val="24"/>
          <w:szCs w:val="24"/>
          <w:lang w:val="en-US" w:eastAsia="zh-CN"/>
        </w:rPr>
        <w:t xml:space="preserve">2. </w:t>
      </w:r>
      <w:r>
        <w:rPr>
          <w:rFonts w:hint="eastAsia" w:ascii="楷体" w:hAnsi="楷体" w:eastAsia="楷体" w:cs="Times New Roman"/>
          <w:sz w:val="24"/>
          <w:szCs w:val="24"/>
        </w:rPr>
        <w:t>恪尽职守，依照诚实信用、勤勉尽责的原则，谨慎、有效管理和运用理</w:t>
      </w:r>
      <w:r>
        <w:rPr>
          <w:rFonts w:hint="eastAsia" w:ascii="楷体" w:hAnsi="楷体" w:eastAsia="楷体" w:cs="Times New Roman"/>
          <w:sz w:val="24"/>
          <w:szCs w:val="24"/>
          <w:lang w:val="en-US" w:eastAsia="zh-CN"/>
        </w:rPr>
        <w:t>财</w:t>
      </w:r>
      <w:r>
        <w:rPr>
          <w:rFonts w:hint="eastAsia" w:ascii="楷体" w:hAnsi="楷体" w:eastAsia="楷体" w:cs="Times New Roman"/>
          <w:sz w:val="24"/>
          <w:szCs w:val="24"/>
        </w:rPr>
        <w:t>资产；</w:t>
      </w:r>
    </w:p>
    <w:p>
      <w:pPr>
        <w:numPr>
          <w:ilvl w:val="0"/>
          <w:numId w:val="6"/>
        </w:numPr>
        <w:ind w:left="0" w:firstLine="425"/>
        <w:rPr>
          <w:rFonts w:ascii="楷体" w:hAnsi="楷体" w:eastAsia="楷体"/>
          <w:sz w:val="24"/>
          <w:szCs w:val="24"/>
        </w:rPr>
      </w:pPr>
      <w:r>
        <w:rPr>
          <w:rFonts w:hint="eastAsia" w:ascii="楷体" w:hAnsi="楷体" w:eastAsia="楷体"/>
          <w:sz w:val="24"/>
          <w:szCs w:val="24"/>
        </w:rPr>
        <w:t>充分考虑本理财产品的特点，设置相应的部门并配备足够的具有专业资</w:t>
      </w:r>
    </w:p>
    <w:p>
      <w:pPr>
        <w:ind w:firstLine="0"/>
        <w:rPr>
          <w:rFonts w:ascii="楷体" w:hAnsi="楷体" w:eastAsia="楷体"/>
          <w:sz w:val="24"/>
          <w:szCs w:val="24"/>
        </w:rPr>
      </w:pPr>
      <w:r>
        <w:rPr>
          <w:rFonts w:hint="eastAsia" w:ascii="楷体" w:hAnsi="楷体" w:eastAsia="楷体"/>
          <w:sz w:val="24"/>
          <w:szCs w:val="24"/>
        </w:rPr>
        <w:t>格的人员进行理财投资分析、决策，以专业化的经营方式管理和运作理财资产，防范和减少风险；</w:t>
      </w:r>
    </w:p>
    <w:p>
      <w:pPr>
        <w:numPr>
          <w:ilvl w:val="0"/>
          <w:numId w:val="6"/>
        </w:numPr>
        <w:ind w:left="0" w:firstLine="425"/>
        <w:jc w:val="both"/>
        <w:rPr>
          <w:rFonts w:ascii="楷体" w:hAnsi="楷体" w:eastAsia="楷体"/>
          <w:sz w:val="24"/>
          <w:szCs w:val="24"/>
        </w:rPr>
      </w:pPr>
      <w:r>
        <w:rPr>
          <w:rFonts w:hint="eastAsia" w:ascii="楷体" w:hAnsi="楷体" w:eastAsia="楷体"/>
          <w:sz w:val="24"/>
          <w:szCs w:val="24"/>
        </w:rPr>
        <w:t>按照法律、行政法规、监管规定和理财产品投资协议、销售协议的约定，</w:t>
      </w:r>
    </w:p>
    <w:p>
      <w:pPr>
        <w:jc w:val="both"/>
        <w:rPr>
          <w:rFonts w:hint="eastAsia" w:ascii="楷体" w:hAnsi="楷体" w:eastAsia="楷体"/>
          <w:sz w:val="24"/>
          <w:szCs w:val="24"/>
          <w:lang w:eastAsia="zh-CN"/>
        </w:rPr>
      </w:pPr>
      <w:r>
        <w:rPr>
          <w:rFonts w:hint="eastAsia" w:ascii="楷体" w:hAnsi="楷体" w:eastAsia="楷体"/>
          <w:sz w:val="24"/>
          <w:szCs w:val="24"/>
        </w:rPr>
        <w:t>办理理财产品的认（申）购、赎回，不得擅自拒绝接受投资者的认（申）购、赎回申请。暂停或者开放认（申）购、赎回等业务的，应当按照相关规定和投资协议、销售协议约定说明具体原因和依据</w:t>
      </w:r>
      <w:r>
        <w:rPr>
          <w:rFonts w:hint="eastAsia" w:ascii="楷体" w:hAnsi="楷体" w:eastAsia="楷体"/>
          <w:sz w:val="24"/>
          <w:szCs w:val="24"/>
          <w:lang w:eastAsia="zh-CN"/>
        </w:rPr>
        <w:t>；</w:t>
      </w:r>
    </w:p>
    <w:p>
      <w:pPr>
        <w:numPr>
          <w:ilvl w:val="0"/>
          <w:numId w:val="6"/>
        </w:numPr>
        <w:ind w:left="0" w:firstLine="425"/>
        <w:jc w:val="both"/>
        <w:rPr>
          <w:rFonts w:ascii="楷体" w:hAnsi="楷体" w:eastAsia="楷体"/>
          <w:sz w:val="24"/>
          <w:szCs w:val="24"/>
        </w:rPr>
      </w:pPr>
      <w:r>
        <w:rPr>
          <w:rFonts w:hint="eastAsia" w:ascii="楷体" w:hAnsi="楷体" w:eastAsia="楷体"/>
          <w:sz w:val="24"/>
          <w:szCs w:val="24"/>
        </w:rPr>
        <w:t>按照法律法规、监管规定、理财产品投资协议书、理财产品说明书、理</w:t>
      </w:r>
    </w:p>
    <w:p>
      <w:pPr>
        <w:jc w:val="both"/>
        <w:rPr>
          <w:rFonts w:hint="eastAsia" w:ascii="楷体" w:hAnsi="楷体" w:eastAsia="楷体"/>
          <w:sz w:val="24"/>
          <w:szCs w:val="24"/>
          <w:lang w:eastAsia="zh-CN"/>
        </w:rPr>
      </w:pPr>
      <w:r>
        <w:rPr>
          <w:rFonts w:hint="eastAsia" w:ascii="楷体" w:hAnsi="楷体" w:eastAsia="楷体"/>
          <w:sz w:val="24"/>
          <w:szCs w:val="24"/>
        </w:rPr>
        <w:t>财产品</w:t>
      </w:r>
      <w:r>
        <w:rPr>
          <w:rFonts w:hint="eastAsia" w:ascii="楷体" w:hAnsi="楷体" w:eastAsia="楷体"/>
          <w:sz w:val="24"/>
          <w:szCs w:val="24"/>
          <w:lang w:eastAsia="zh-CN"/>
        </w:rPr>
        <w:t>（</w:t>
      </w:r>
      <w:r>
        <w:rPr>
          <w:rFonts w:hint="eastAsia" w:ascii="楷体" w:hAnsi="楷体" w:eastAsia="楷体"/>
          <w:sz w:val="24"/>
          <w:szCs w:val="24"/>
        </w:rPr>
        <w:t>代理</w:t>
      </w:r>
      <w:r>
        <w:rPr>
          <w:rFonts w:hint="eastAsia" w:ascii="楷体" w:hAnsi="楷体" w:eastAsia="楷体"/>
          <w:sz w:val="24"/>
          <w:szCs w:val="24"/>
          <w:lang w:eastAsia="zh-CN"/>
        </w:rPr>
        <w:t>）</w:t>
      </w:r>
      <w:r>
        <w:rPr>
          <w:rFonts w:hint="eastAsia" w:ascii="楷体" w:hAnsi="楷体" w:eastAsia="楷体"/>
          <w:sz w:val="24"/>
          <w:szCs w:val="24"/>
        </w:rPr>
        <w:t>销售协议书等的约定收取销售费用，并如实核算、记账；未经载明，不得对不同投资者适用不同费率</w:t>
      </w:r>
      <w:r>
        <w:rPr>
          <w:rFonts w:hint="eastAsia" w:ascii="楷体" w:hAnsi="楷体" w:eastAsia="楷体"/>
          <w:sz w:val="24"/>
          <w:szCs w:val="24"/>
          <w:lang w:eastAsia="zh-CN"/>
        </w:rPr>
        <w:t>；</w:t>
      </w:r>
    </w:p>
    <w:p>
      <w:pPr>
        <w:numPr>
          <w:ilvl w:val="0"/>
          <w:numId w:val="6"/>
        </w:numPr>
        <w:ind w:left="0" w:firstLine="425"/>
        <w:jc w:val="both"/>
        <w:rPr>
          <w:rFonts w:hint="eastAsia" w:ascii="楷体" w:hAnsi="楷体" w:eastAsia="楷体"/>
          <w:sz w:val="24"/>
          <w:szCs w:val="24"/>
        </w:rPr>
      </w:pPr>
      <w:r>
        <w:rPr>
          <w:rFonts w:hint="eastAsia" w:ascii="楷体" w:hAnsi="楷体" w:eastAsia="楷体"/>
          <w:sz w:val="24"/>
          <w:szCs w:val="24"/>
        </w:rPr>
        <w:t>建立健全内部控制制度，保证</w:t>
      </w:r>
      <w:r>
        <w:rPr>
          <w:rFonts w:hint="eastAsia" w:ascii="楷体" w:hAnsi="楷体" w:eastAsia="楷体"/>
          <w:sz w:val="24"/>
          <w:szCs w:val="24"/>
          <w:lang w:val="en-US" w:eastAsia="zh-CN"/>
        </w:rPr>
        <w:t>乙方</w:t>
      </w:r>
      <w:r>
        <w:rPr>
          <w:rFonts w:hint="eastAsia" w:ascii="楷体" w:hAnsi="楷体" w:eastAsia="楷体"/>
          <w:sz w:val="24"/>
          <w:szCs w:val="24"/>
        </w:rPr>
        <w:t>的固有财产和理财财产相互独立，对所管理的不同理财财产分别管理、分别记账，进行投资；</w:t>
      </w:r>
    </w:p>
    <w:p>
      <w:pPr>
        <w:numPr>
          <w:ilvl w:val="0"/>
          <w:numId w:val="6"/>
        </w:numPr>
        <w:ind w:firstLine="425"/>
        <w:jc w:val="both"/>
        <w:rPr>
          <w:rFonts w:hint="eastAsia" w:ascii="楷体" w:hAnsi="楷体" w:eastAsia="楷体"/>
          <w:sz w:val="24"/>
          <w:szCs w:val="24"/>
        </w:rPr>
      </w:pPr>
      <w:r>
        <w:rPr>
          <w:rFonts w:hint="eastAsia" w:ascii="楷体" w:hAnsi="楷体" w:eastAsia="楷体"/>
          <w:sz w:val="24"/>
          <w:szCs w:val="24"/>
        </w:rPr>
        <w:t>除依据法律法规和理财产品合同的约定外，不得利用理财资产为</w:t>
      </w:r>
      <w:r>
        <w:rPr>
          <w:rFonts w:hint="eastAsia" w:ascii="楷体" w:hAnsi="楷体" w:eastAsia="楷体"/>
          <w:sz w:val="24"/>
          <w:szCs w:val="24"/>
          <w:lang w:val="en-US" w:eastAsia="zh-CN"/>
        </w:rPr>
        <w:t>乙方</w:t>
      </w:r>
      <w:r>
        <w:rPr>
          <w:rFonts w:hint="eastAsia" w:ascii="楷体" w:hAnsi="楷体" w:eastAsia="楷体"/>
          <w:sz w:val="24"/>
          <w:szCs w:val="24"/>
        </w:rPr>
        <w:t>自身及任何第三方谋取利益；</w:t>
      </w:r>
    </w:p>
    <w:p>
      <w:pPr>
        <w:numPr>
          <w:ilvl w:val="0"/>
          <w:numId w:val="6"/>
        </w:numPr>
        <w:tabs>
          <w:tab w:val="right" w:pos="7881"/>
        </w:tabs>
        <w:ind w:firstLine="425"/>
        <w:jc w:val="both"/>
        <w:rPr>
          <w:rFonts w:hint="eastAsia" w:ascii="楷体" w:hAnsi="楷体" w:eastAsia="楷体"/>
          <w:sz w:val="24"/>
          <w:szCs w:val="24"/>
        </w:rPr>
      </w:pPr>
      <w:r>
        <w:rPr>
          <w:rFonts w:hint="eastAsia" w:ascii="楷体" w:hAnsi="楷体" w:eastAsia="楷体"/>
          <w:sz w:val="24"/>
          <w:szCs w:val="24"/>
        </w:rPr>
        <w:t>除依据法律法规和理财产品合同的约定外，</w:t>
      </w:r>
      <w:r>
        <w:rPr>
          <w:rFonts w:hint="eastAsia" w:ascii="楷体" w:hAnsi="楷体" w:eastAsia="楷体"/>
          <w:sz w:val="24"/>
          <w:szCs w:val="24"/>
          <w:lang w:val="en-US" w:eastAsia="zh-CN"/>
        </w:rPr>
        <w:t>乙方</w:t>
      </w:r>
      <w:r>
        <w:rPr>
          <w:rFonts w:hint="eastAsia" w:ascii="楷体" w:hAnsi="楷体" w:eastAsia="楷体"/>
          <w:sz w:val="24"/>
          <w:szCs w:val="24"/>
        </w:rPr>
        <w:t>不得委托第三人管</w:t>
      </w:r>
      <w:r>
        <w:rPr>
          <w:rFonts w:hint="eastAsia" w:ascii="楷体" w:hAnsi="楷体" w:eastAsia="楷体"/>
          <w:sz w:val="24"/>
          <w:szCs w:val="24"/>
          <w:lang w:eastAsia="zh-CN"/>
        </w:rPr>
        <w:tab/>
      </w:r>
      <w:r>
        <w:rPr>
          <w:rFonts w:hint="eastAsia" w:ascii="楷体" w:hAnsi="楷体" w:eastAsia="楷体"/>
          <w:sz w:val="24"/>
          <w:szCs w:val="24"/>
        </w:rPr>
        <w:t>理、运作理财资产；</w:t>
      </w:r>
    </w:p>
    <w:p>
      <w:pPr>
        <w:numPr>
          <w:ilvl w:val="0"/>
          <w:numId w:val="6"/>
        </w:numPr>
        <w:ind w:left="0" w:firstLine="425"/>
        <w:jc w:val="both"/>
        <w:rPr>
          <w:rFonts w:ascii="楷体" w:hAnsi="楷体" w:eastAsia="楷体"/>
          <w:sz w:val="24"/>
          <w:szCs w:val="24"/>
        </w:rPr>
      </w:pPr>
      <w:r>
        <w:rPr>
          <w:rFonts w:hint="eastAsia" w:ascii="楷体" w:hAnsi="楷体" w:eastAsia="楷体"/>
          <w:sz w:val="24"/>
          <w:szCs w:val="24"/>
        </w:rPr>
        <w:t>依照法律、行政法规、规章规定和理财产品合同约定，接受理财产品托</w:t>
      </w:r>
    </w:p>
    <w:p>
      <w:pPr>
        <w:jc w:val="both"/>
        <w:rPr>
          <w:rFonts w:hint="eastAsia" w:ascii="楷体" w:hAnsi="楷体" w:eastAsia="楷体"/>
          <w:sz w:val="24"/>
          <w:szCs w:val="24"/>
        </w:rPr>
      </w:pPr>
      <w:r>
        <w:rPr>
          <w:rFonts w:hint="eastAsia" w:ascii="楷体" w:hAnsi="楷体" w:eastAsia="楷体"/>
          <w:sz w:val="24"/>
          <w:szCs w:val="24"/>
        </w:rPr>
        <w:t>管人对理财产品投资运作的监督；</w:t>
      </w:r>
    </w:p>
    <w:p>
      <w:pPr>
        <w:numPr>
          <w:ilvl w:val="0"/>
          <w:numId w:val="6"/>
        </w:numPr>
        <w:ind w:left="0" w:firstLine="425" w:firstLineChars="0"/>
        <w:jc w:val="both"/>
        <w:rPr>
          <w:rFonts w:hint="eastAsia" w:ascii="楷体" w:hAnsi="楷体" w:eastAsia="楷体"/>
          <w:sz w:val="24"/>
          <w:szCs w:val="24"/>
        </w:rPr>
      </w:pPr>
      <w:r>
        <w:rPr>
          <w:rFonts w:hint="eastAsia" w:ascii="楷体" w:hAnsi="楷体" w:eastAsia="楷体"/>
          <w:sz w:val="24"/>
          <w:szCs w:val="24"/>
        </w:rPr>
        <w:t>采取所有必要措施对理财产品托管人违反法律法规、理财产品合同和托管协议的行为进行纠正；</w:t>
      </w:r>
    </w:p>
    <w:p>
      <w:pPr>
        <w:numPr>
          <w:ilvl w:val="0"/>
          <w:numId w:val="6"/>
        </w:numPr>
        <w:adjustRightInd w:val="0"/>
        <w:snapToGrid w:val="0"/>
        <w:ind w:firstLine="425" w:firstLineChars="0"/>
        <w:jc w:val="both"/>
        <w:rPr>
          <w:rFonts w:hint="eastAsia" w:ascii="楷体" w:hAnsi="楷体" w:eastAsia="楷体"/>
          <w:sz w:val="24"/>
          <w:szCs w:val="24"/>
        </w:rPr>
      </w:pPr>
      <w:r>
        <w:rPr>
          <w:rFonts w:hint="eastAsia" w:ascii="楷体" w:hAnsi="楷体" w:eastAsia="楷体"/>
          <w:sz w:val="24"/>
          <w:szCs w:val="24"/>
        </w:rPr>
        <w:t>按规定计算并披露理财产品的资产净值和份额净值；</w:t>
      </w:r>
    </w:p>
    <w:p>
      <w:pPr>
        <w:numPr>
          <w:ilvl w:val="0"/>
          <w:numId w:val="6"/>
        </w:numPr>
        <w:tabs>
          <w:tab w:val="left" w:pos="993"/>
        </w:tabs>
        <w:ind w:firstLine="425" w:firstLineChars="0"/>
        <w:jc w:val="both"/>
        <w:rPr>
          <w:rFonts w:hint="eastAsia" w:ascii="楷体" w:hAnsi="楷体" w:eastAsia="楷体"/>
          <w:sz w:val="24"/>
          <w:szCs w:val="24"/>
        </w:rPr>
      </w:pPr>
      <w:r>
        <w:rPr>
          <w:rFonts w:hint="eastAsia" w:ascii="楷体" w:hAnsi="楷体" w:eastAsia="楷体"/>
          <w:sz w:val="24"/>
          <w:szCs w:val="24"/>
        </w:rPr>
        <w:t>严格按照法律法规和理财产品合同的约定履行信息披露及报告义务；</w:t>
      </w:r>
    </w:p>
    <w:p>
      <w:pPr>
        <w:numPr>
          <w:ilvl w:val="0"/>
          <w:numId w:val="6"/>
        </w:numPr>
        <w:tabs>
          <w:tab w:val="left" w:pos="993"/>
        </w:tabs>
        <w:ind w:firstLine="425" w:firstLineChars="0"/>
        <w:jc w:val="both"/>
        <w:rPr>
          <w:rFonts w:ascii="楷体" w:hAnsi="楷体" w:eastAsia="楷体"/>
          <w:sz w:val="24"/>
          <w:szCs w:val="24"/>
        </w:rPr>
      </w:pPr>
      <w:r>
        <w:rPr>
          <w:rFonts w:hint="eastAsia" w:ascii="楷体" w:hAnsi="楷体" w:eastAsia="楷体"/>
          <w:sz w:val="24"/>
          <w:szCs w:val="24"/>
        </w:rPr>
        <w:t>根据相关法律、法规严格履行投资者信息保密责任，除监管机构或司</w:t>
      </w:r>
    </w:p>
    <w:p>
      <w:pPr>
        <w:tabs>
          <w:tab w:val="left" w:pos="993"/>
        </w:tabs>
        <w:jc w:val="both"/>
        <w:rPr>
          <w:rFonts w:hint="eastAsia" w:ascii="楷体" w:hAnsi="楷体" w:eastAsia="楷体" w:cs="楷体"/>
          <w:sz w:val="24"/>
          <w:szCs w:val="24"/>
        </w:rPr>
      </w:pPr>
      <w:r>
        <w:rPr>
          <w:rFonts w:hint="eastAsia" w:ascii="楷体" w:hAnsi="楷体" w:eastAsia="楷体"/>
          <w:sz w:val="24"/>
          <w:szCs w:val="24"/>
        </w:rPr>
        <w:t>法机关等有权机构</w:t>
      </w:r>
      <w:r>
        <w:rPr>
          <w:rFonts w:hint="eastAsia" w:ascii="楷体" w:hAnsi="楷体" w:eastAsia="楷体" w:cs="Times New Roman"/>
          <w:sz w:val="24"/>
          <w:szCs w:val="24"/>
          <w:lang w:val="en-US" w:eastAsia="zh-CN"/>
        </w:rPr>
        <w:t>及本协议另有约定</w:t>
      </w:r>
      <w:r>
        <w:rPr>
          <w:rFonts w:hint="eastAsia" w:ascii="楷体" w:hAnsi="楷体" w:eastAsia="楷体"/>
          <w:sz w:val="24"/>
          <w:szCs w:val="24"/>
        </w:rPr>
        <w:t>外，不得对其他第三方提供任何投资者信息；</w:t>
      </w:r>
      <w:r>
        <w:rPr>
          <w:rFonts w:hint="eastAsia" w:ascii="楷体" w:hAnsi="楷体" w:eastAsia="楷体" w:cs="楷体"/>
          <w:sz w:val="24"/>
          <w:szCs w:val="24"/>
        </w:rPr>
        <w:t>在乙方办理本协议项下相关事项所必需的情况下，甲方同意并授权乙方向乙方或乙方委托的专业咨询机构提供乙方获取的甲方信息。乙方承诺将向有关第三方明确其保护甲方信息的职责并要求第三方承担相应的保密义务。</w:t>
      </w:r>
    </w:p>
    <w:p>
      <w:pPr>
        <w:tabs>
          <w:tab w:val="left" w:pos="993"/>
        </w:tabs>
        <w:jc w:val="both"/>
        <w:rPr>
          <w:rFonts w:hint="eastAsia" w:ascii="楷体" w:hAnsi="楷体" w:eastAsia="楷体" w:cs="楷体"/>
          <w:sz w:val="24"/>
          <w:szCs w:val="24"/>
        </w:rPr>
      </w:pPr>
      <w:r>
        <w:rPr>
          <w:rFonts w:hint="eastAsia" w:ascii="楷体" w:hAnsi="楷体" w:eastAsia="楷体" w:cs="楷体"/>
          <w:sz w:val="24"/>
          <w:szCs w:val="24"/>
        </w:rPr>
        <w:t xml:space="preserve"> </w:t>
      </w:r>
      <w:r>
        <w:rPr>
          <w:rFonts w:hint="eastAsia" w:ascii="楷体" w:hAnsi="楷体" w:eastAsia="楷体" w:cs="楷体"/>
          <w:sz w:val="24"/>
          <w:szCs w:val="24"/>
          <w:lang w:val="en-US" w:eastAsia="zh-CN"/>
        </w:rPr>
        <w:t xml:space="preserve">   </w:t>
      </w:r>
      <w:r>
        <w:rPr>
          <w:rFonts w:hint="eastAsia" w:ascii="楷体" w:hAnsi="楷体" w:eastAsia="楷体" w:cs="楷体"/>
          <w:sz w:val="24"/>
          <w:szCs w:val="24"/>
        </w:rPr>
        <w:t>无论本协议终止还是发生各种突发情况，本协议项下乙方和有关第三方的保密义务并不因此终止或中断</w:t>
      </w:r>
      <w:r>
        <w:rPr>
          <w:rFonts w:hint="eastAsia" w:ascii="楷体" w:hAnsi="楷体" w:eastAsia="楷体" w:cs="楷体"/>
          <w:sz w:val="24"/>
          <w:szCs w:val="24"/>
          <w:lang w:eastAsia="zh-CN"/>
        </w:rPr>
        <w:t>；</w:t>
      </w:r>
    </w:p>
    <w:p>
      <w:pPr>
        <w:numPr>
          <w:ilvl w:val="0"/>
          <w:numId w:val="6"/>
        </w:numPr>
        <w:tabs>
          <w:tab w:val="left" w:pos="993"/>
        </w:tabs>
        <w:ind w:firstLine="425" w:firstLineChars="0"/>
        <w:jc w:val="both"/>
        <w:rPr>
          <w:rFonts w:ascii="楷体" w:hAnsi="楷体" w:eastAsia="楷体"/>
          <w:sz w:val="24"/>
          <w:szCs w:val="24"/>
        </w:rPr>
      </w:pPr>
      <w:r>
        <w:rPr>
          <w:rFonts w:hint="eastAsia" w:ascii="楷体" w:hAnsi="楷体" w:eastAsia="楷体"/>
          <w:sz w:val="24"/>
          <w:szCs w:val="24"/>
        </w:rPr>
        <w:t>依据理财产品合同</w:t>
      </w:r>
      <w:r>
        <w:rPr>
          <w:rFonts w:hint="eastAsia" w:ascii="楷体" w:hAnsi="楷体" w:eastAsia="楷体"/>
          <w:sz w:val="24"/>
          <w:szCs w:val="24"/>
          <w:lang w:val="en-US" w:eastAsia="zh-CN"/>
        </w:rPr>
        <w:t>约定</w:t>
      </w:r>
      <w:r>
        <w:rPr>
          <w:rFonts w:hint="eastAsia" w:ascii="楷体" w:hAnsi="楷体" w:eastAsia="楷体"/>
          <w:sz w:val="24"/>
          <w:szCs w:val="24"/>
        </w:rPr>
        <w:t>制订理财收益分配方案并向本理财产品的理财</w:t>
      </w:r>
    </w:p>
    <w:p>
      <w:pPr>
        <w:tabs>
          <w:tab w:val="left" w:pos="993"/>
        </w:tabs>
        <w:jc w:val="both"/>
        <w:rPr>
          <w:rFonts w:hint="eastAsia" w:ascii="楷体" w:hAnsi="楷体" w:eastAsia="楷体"/>
          <w:sz w:val="24"/>
          <w:szCs w:val="24"/>
        </w:rPr>
      </w:pPr>
      <w:r>
        <w:rPr>
          <w:rFonts w:hint="eastAsia" w:ascii="楷体" w:hAnsi="楷体" w:eastAsia="楷体"/>
          <w:sz w:val="24"/>
          <w:szCs w:val="24"/>
        </w:rPr>
        <w:t>份额持有人分配理财收益</w:t>
      </w:r>
      <w:r>
        <w:rPr>
          <w:rFonts w:hint="eastAsia" w:ascii="楷体" w:hAnsi="楷体" w:eastAsia="楷体"/>
          <w:sz w:val="24"/>
          <w:szCs w:val="24"/>
          <w:lang w:eastAsia="zh-CN"/>
        </w:rPr>
        <w:t>（</w:t>
      </w:r>
      <w:r>
        <w:rPr>
          <w:rFonts w:hint="eastAsia" w:ascii="楷体" w:hAnsi="楷体" w:eastAsia="楷体"/>
          <w:sz w:val="24"/>
          <w:szCs w:val="24"/>
          <w:lang w:val="en-US" w:eastAsia="zh-CN"/>
        </w:rPr>
        <w:t>如有</w:t>
      </w:r>
      <w:r>
        <w:rPr>
          <w:rFonts w:hint="eastAsia" w:ascii="楷体" w:hAnsi="楷体" w:eastAsia="楷体"/>
          <w:sz w:val="24"/>
          <w:szCs w:val="24"/>
          <w:lang w:eastAsia="zh-CN"/>
        </w:rPr>
        <w:t>）</w:t>
      </w:r>
      <w:r>
        <w:rPr>
          <w:rFonts w:hint="eastAsia" w:ascii="楷体" w:hAnsi="楷体" w:eastAsia="楷体"/>
          <w:sz w:val="24"/>
          <w:szCs w:val="24"/>
        </w:rPr>
        <w:t>；</w:t>
      </w:r>
    </w:p>
    <w:p>
      <w:pPr>
        <w:numPr>
          <w:ilvl w:val="0"/>
          <w:numId w:val="6"/>
        </w:numPr>
        <w:tabs>
          <w:tab w:val="left" w:pos="993"/>
        </w:tabs>
        <w:ind w:firstLine="425" w:firstLineChars="0"/>
        <w:jc w:val="both"/>
        <w:rPr>
          <w:rFonts w:hint="eastAsia" w:ascii="楷体" w:hAnsi="楷体" w:eastAsia="楷体"/>
          <w:sz w:val="24"/>
          <w:szCs w:val="24"/>
        </w:rPr>
      </w:pPr>
      <w:r>
        <w:rPr>
          <w:rFonts w:hint="eastAsia" w:ascii="楷体" w:hAnsi="楷体" w:eastAsia="楷体"/>
          <w:sz w:val="24"/>
          <w:szCs w:val="24"/>
        </w:rPr>
        <w:t>监督理财产品托管人按法律法规和理财产品合同</w:t>
      </w:r>
      <w:r>
        <w:rPr>
          <w:rFonts w:hint="eastAsia" w:ascii="楷体" w:hAnsi="楷体" w:eastAsia="楷体"/>
          <w:sz w:val="24"/>
          <w:szCs w:val="24"/>
          <w:lang w:val="en-US" w:eastAsia="zh-CN"/>
        </w:rPr>
        <w:t>约定</w:t>
      </w:r>
      <w:r>
        <w:rPr>
          <w:rFonts w:hint="eastAsia" w:ascii="楷体" w:hAnsi="楷体" w:eastAsia="楷体"/>
          <w:sz w:val="24"/>
          <w:szCs w:val="24"/>
        </w:rPr>
        <w:t>履行自己的义务。理财产品托管人因过错造成理财资产损失时，</w:t>
      </w:r>
      <w:r>
        <w:rPr>
          <w:rFonts w:hint="eastAsia" w:ascii="楷体" w:hAnsi="楷体" w:eastAsia="楷体"/>
          <w:sz w:val="24"/>
          <w:szCs w:val="24"/>
          <w:lang w:val="en-US" w:eastAsia="zh-CN"/>
        </w:rPr>
        <w:t>乙方</w:t>
      </w:r>
      <w:r>
        <w:rPr>
          <w:rFonts w:hint="eastAsia" w:ascii="楷体" w:hAnsi="楷体" w:eastAsia="楷体"/>
          <w:sz w:val="24"/>
          <w:szCs w:val="24"/>
        </w:rPr>
        <w:t>应为理财利益向理财产品托管人追索，除法律法规另有规定外，不承担连带责任；</w:t>
      </w:r>
    </w:p>
    <w:p>
      <w:pPr>
        <w:numPr>
          <w:ilvl w:val="0"/>
          <w:numId w:val="6"/>
        </w:numPr>
        <w:tabs>
          <w:tab w:val="left" w:pos="993"/>
        </w:tabs>
        <w:ind w:left="0" w:leftChars="0" w:firstLine="425" w:firstLineChars="0"/>
        <w:jc w:val="both"/>
        <w:rPr>
          <w:rFonts w:hint="eastAsia" w:ascii="楷体" w:hAnsi="楷体" w:eastAsia="楷体"/>
          <w:sz w:val="24"/>
          <w:szCs w:val="24"/>
        </w:rPr>
      </w:pPr>
      <w:r>
        <w:rPr>
          <w:rFonts w:hint="eastAsia" w:ascii="楷体" w:hAnsi="楷体" w:eastAsia="楷体"/>
          <w:sz w:val="24"/>
          <w:szCs w:val="24"/>
        </w:rPr>
        <w:t>不从事任何有损本理财产品</w:t>
      </w:r>
      <w:r>
        <w:rPr>
          <w:rFonts w:hint="eastAsia" w:ascii="楷体" w:hAnsi="楷体" w:eastAsia="楷体"/>
          <w:sz w:val="24"/>
          <w:szCs w:val="24"/>
          <w:lang w:val="en-US" w:eastAsia="zh-CN"/>
        </w:rPr>
        <w:t>其他</w:t>
      </w:r>
      <w:r>
        <w:rPr>
          <w:rFonts w:hint="eastAsia" w:ascii="楷体" w:hAnsi="楷体" w:eastAsia="楷体"/>
          <w:sz w:val="24"/>
          <w:szCs w:val="24"/>
        </w:rPr>
        <w:t>当事人合法权益的活动。</w:t>
      </w:r>
    </w:p>
    <w:p>
      <w:pPr>
        <w:ind w:firstLine="482" w:firstLineChars="200"/>
        <w:rPr>
          <w:rFonts w:hint="eastAsia" w:ascii="楷体" w:hAnsi="楷体" w:eastAsia="楷体"/>
          <w:b/>
          <w:sz w:val="24"/>
          <w:szCs w:val="24"/>
        </w:rPr>
      </w:pPr>
      <w:r>
        <w:rPr>
          <w:rFonts w:hint="eastAsia" w:ascii="楷体" w:hAnsi="楷体" w:eastAsia="楷体"/>
          <w:b/>
          <w:sz w:val="24"/>
          <w:szCs w:val="24"/>
        </w:rPr>
        <w:t>四、理财产品的投资管理</w:t>
      </w:r>
    </w:p>
    <w:p>
      <w:pPr>
        <w:ind w:firstLine="480" w:firstLineChars="200"/>
        <w:rPr>
          <w:rFonts w:ascii="楷体" w:hAnsi="楷体" w:eastAsia="楷体"/>
          <w:sz w:val="24"/>
          <w:szCs w:val="24"/>
        </w:rPr>
      </w:pPr>
      <w:r>
        <w:rPr>
          <w:rFonts w:hint="eastAsia" w:ascii="楷体" w:hAnsi="楷体" w:eastAsia="楷体"/>
          <w:sz w:val="24"/>
          <w:szCs w:val="24"/>
          <w:lang w:val="en-US" w:eastAsia="zh-CN"/>
        </w:rPr>
        <w:t xml:space="preserve">1. </w:t>
      </w:r>
      <w:r>
        <w:rPr>
          <w:rFonts w:hint="eastAsia" w:ascii="楷体" w:hAnsi="楷体" w:eastAsia="楷体"/>
          <w:sz w:val="24"/>
          <w:szCs w:val="24"/>
        </w:rPr>
        <w:t>本理财产品的产品类型、投资范围、投资比例等产品具体要素和风险信息详见产品说明书、风险揭示书、投资者权益须知等销售文件。</w:t>
      </w:r>
    </w:p>
    <w:p>
      <w:pPr>
        <w:ind w:firstLine="480" w:firstLineChars="200"/>
        <w:rPr>
          <w:rFonts w:ascii="楷体" w:hAnsi="楷体" w:eastAsia="楷体"/>
          <w:sz w:val="24"/>
          <w:szCs w:val="24"/>
        </w:rPr>
      </w:pPr>
      <w:r>
        <w:rPr>
          <w:rFonts w:hint="eastAsia" w:ascii="楷体" w:hAnsi="楷体" w:eastAsia="楷体"/>
          <w:sz w:val="24"/>
          <w:szCs w:val="24"/>
          <w:lang w:val="en-US" w:eastAsia="zh-CN"/>
        </w:rPr>
        <w:t>2. 甲方</w:t>
      </w:r>
      <w:r>
        <w:rPr>
          <w:rFonts w:hint="eastAsia" w:ascii="楷体" w:hAnsi="楷体" w:eastAsia="楷体"/>
          <w:sz w:val="24"/>
          <w:szCs w:val="24"/>
        </w:rPr>
        <w:t>已清楚知悉并同意本协议项下理财产品的投资管理由</w:t>
      </w:r>
      <w:r>
        <w:rPr>
          <w:rFonts w:hint="eastAsia" w:ascii="楷体" w:hAnsi="楷体" w:eastAsia="楷体"/>
          <w:sz w:val="24"/>
          <w:szCs w:val="24"/>
          <w:lang w:val="en-US" w:eastAsia="zh-CN"/>
        </w:rPr>
        <w:t>乙方</w:t>
      </w:r>
      <w:r>
        <w:rPr>
          <w:rFonts w:hint="eastAsia" w:ascii="楷体" w:hAnsi="楷体" w:eastAsia="楷体"/>
          <w:sz w:val="24"/>
          <w:szCs w:val="24"/>
        </w:rPr>
        <w:t>负责实施。</w:t>
      </w:r>
    </w:p>
    <w:p>
      <w:pPr>
        <w:ind w:firstLine="480" w:firstLineChars="200"/>
        <w:rPr>
          <w:rFonts w:ascii="楷体" w:hAnsi="楷体" w:eastAsia="楷体"/>
          <w:sz w:val="24"/>
          <w:szCs w:val="24"/>
        </w:rPr>
      </w:pPr>
      <w:r>
        <w:rPr>
          <w:rFonts w:hint="eastAsia" w:ascii="楷体" w:hAnsi="楷体" w:eastAsia="楷体"/>
          <w:sz w:val="24"/>
          <w:szCs w:val="24"/>
          <w:lang w:val="en-US" w:eastAsia="zh-CN"/>
        </w:rPr>
        <w:t>3. 乙方</w:t>
      </w:r>
      <w:r>
        <w:rPr>
          <w:rFonts w:hint="eastAsia" w:ascii="楷体" w:hAnsi="楷体" w:eastAsia="楷体"/>
          <w:sz w:val="24"/>
          <w:szCs w:val="24"/>
        </w:rPr>
        <w:t>按照法律法规和产品说明书的约定诚实信用、谨慎勤勉地实施投资管理行为，以专业技能管理理财产品资产，依法维护理财产品全体投资者的利益。</w:t>
      </w:r>
    </w:p>
    <w:p>
      <w:pPr>
        <w:ind w:firstLine="482" w:firstLineChars="200"/>
        <w:rPr>
          <w:rFonts w:ascii="楷体" w:hAnsi="楷体" w:eastAsia="楷体"/>
          <w:sz w:val="24"/>
          <w:szCs w:val="24"/>
        </w:rPr>
      </w:pPr>
      <w:r>
        <w:rPr>
          <w:rFonts w:hint="eastAsia" w:ascii="楷体" w:hAnsi="楷体" w:eastAsia="楷体"/>
          <w:b/>
          <w:bCs/>
          <w:sz w:val="24"/>
          <w:szCs w:val="24"/>
          <w:lang w:val="en-US" w:eastAsia="zh-CN"/>
        </w:rPr>
        <w:t>4. 乙方</w:t>
      </w:r>
      <w:r>
        <w:rPr>
          <w:rFonts w:hint="eastAsia" w:ascii="楷体" w:hAnsi="楷体" w:eastAsia="楷体"/>
          <w:b/>
          <w:bCs/>
          <w:sz w:val="24"/>
          <w:szCs w:val="24"/>
        </w:rPr>
        <w:t>不对任何理财产品的本金或收益做出任何承诺或保证。</w:t>
      </w:r>
    </w:p>
    <w:p>
      <w:pPr>
        <w:ind w:firstLine="480" w:firstLineChars="200"/>
        <w:rPr>
          <w:rFonts w:ascii="楷体" w:hAnsi="楷体" w:eastAsia="楷体"/>
          <w:color w:val="auto"/>
          <w:sz w:val="24"/>
          <w:szCs w:val="24"/>
        </w:rPr>
      </w:pPr>
      <w:r>
        <w:rPr>
          <w:rFonts w:hint="eastAsia" w:ascii="楷体" w:hAnsi="楷体" w:eastAsia="楷体"/>
          <w:color w:val="auto"/>
          <w:sz w:val="24"/>
          <w:szCs w:val="24"/>
          <w:lang w:val="en-US" w:eastAsia="zh-CN"/>
        </w:rPr>
        <w:t>5. 乙方</w:t>
      </w:r>
      <w:r>
        <w:rPr>
          <w:rFonts w:hint="eastAsia" w:ascii="楷体" w:hAnsi="楷体" w:eastAsia="楷体"/>
          <w:color w:val="auto"/>
          <w:sz w:val="24"/>
          <w:szCs w:val="24"/>
        </w:rPr>
        <w:t>依照产品说明书载明的投资范围、投资资产种类、投资比例进行投资，在投资管理过程中,遇市场变化</w:t>
      </w:r>
      <w:r>
        <w:rPr>
          <w:rFonts w:hint="eastAsia" w:ascii="楷体" w:hAnsi="楷体" w:eastAsia="楷体"/>
          <w:color w:val="auto"/>
          <w:sz w:val="24"/>
          <w:szCs w:val="24"/>
          <w:lang w:val="en-US" w:eastAsia="zh-CN"/>
        </w:rPr>
        <w:t>或政策调整</w:t>
      </w:r>
      <w:r>
        <w:rPr>
          <w:rFonts w:hint="eastAsia" w:ascii="楷体" w:hAnsi="楷体" w:eastAsia="楷体"/>
          <w:color w:val="auto"/>
          <w:sz w:val="24"/>
          <w:szCs w:val="24"/>
        </w:rPr>
        <w:t>导致产品投资范围、投资资产种类、投资比例</w:t>
      </w:r>
      <w:r>
        <w:rPr>
          <w:rFonts w:hint="eastAsia" w:ascii="楷体" w:hAnsi="楷体" w:eastAsia="楷体"/>
          <w:color w:val="auto"/>
          <w:sz w:val="24"/>
          <w:szCs w:val="24"/>
          <w:lang w:val="en-US" w:eastAsia="zh-CN"/>
        </w:rPr>
        <w:t>等</w:t>
      </w:r>
      <w:r>
        <w:rPr>
          <w:rFonts w:hint="eastAsia" w:ascii="楷体" w:hAnsi="楷体" w:eastAsia="楷体"/>
          <w:color w:val="auto"/>
          <w:sz w:val="24"/>
          <w:szCs w:val="24"/>
        </w:rPr>
        <w:t>暂时超出产品说明书</w:t>
      </w:r>
      <w:r>
        <w:rPr>
          <w:rFonts w:hint="eastAsia" w:ascii="楷体" w:hAnsi="楷体" w:eastAsia="楷体"/>
          <w:color w:val="auto"/>
          <w:sz w:val="24"/>
          <w:szCs w:val="24"/>
          <w:lang w:val="en-US" w:eastAsia="zh-CN"/>
        </w:rPr>
        <w:t>的</w:t>
      </w:r>
      <w:r>
        <w:rPr>
          <w:rFonts w:hint="eastAsia" w:ascii="楷体" w:hAnsi="楷体" w:eastAsia="楷体"/>
          <w:color w:val="auto"/>
          <w:sz w:val="24"/>
          <w:szCs w:val="24"/>
        </w:rPr>
        <w:t>约定且乙方认为可能对投资者收益产生重大影响时，乙方将及时</w:t>
      </w:r>
      <w:r>
        <w:rPr>
          <w:rFonts w:hint="eastAsia" w:ascii="楷体" w:hAnsi="楷体" w:eastAsia="楷体"/>
          <w:color w:val="auto"/>
          <w:sz w:val="24"/>
          <w:szCs w:val="24"/>
          <w:lang w:val="en-US" w:eastAsia="zh-CN"/>
        </w:rPr>
        <w:t>通过产品说明书约定的披露方式和途径进行披露</w:t>
      </w:r>
      <w:r>
        <w:rPr>
          <w:rFonts w:hint="eastAsia" w:ascii="楷体" w:hAnsi="楷体" w:eastAsia="楷体"/>
          <w:color w:val="auto"/>
          <w:sz w:val="24"/>
          <w:szCs w:val="24"/>
        </w:rPr>
        <w:t>。</w:t>
      </w:r>
    </w:p>
    <w:p>
      <w:pPr>
        <w:ind w:firstLine="482" w:firstLineChars="200"/>
        <w:rPr>
          <w:rFonts w:ascii="楷体" w:hAnsi="楷体" w:eastAsia="楷体"/>
          <w:sz w:val="24"/>
          <w:szCs w:val="24"/>
        </w:rPr>
      </w:pPr>
      <w:r>
        <w:rPr>
          <w:rFonts w:hint="eastAsia" w:ascii="楷体" w:hAnsi="楷体" w:eastAsia="楷体"/>
          <w:b/>
          <w:bCs/>
          <w:sz w:val="24"/>
          <w:szCs w:val="24"/>
          <w:lang w:val="en-US" w:eastAsia="zh-CN"/>
        </w:rPr>
        <w:t>6. 甲方</w:t>
      </w:r>
      <w:r>
        <w:rPr>
          <w:rFonts w:hint="eastAsia" w:ascii="楷体" w:hAnsi="楷体" w:eastAsia="楷体"/>
          <w:b/>
          <w:bCs/>
          <w:sz w:val="24"/>
          <w:szCs w:val="24"/>
        </w:rPr>
        <w:t>同意</w:t>
      </w:r>
      <w:r>
        <w:rPr>
          <w:rFonts w:hint="eastAsia" w:ascii="楷体" w:hAnsi="楷体" w:eastAsia="楷体"/>
          <w:b/>
          <w:bCs/>
          <w:sz w:val="24"/>
          <w:szCs w:val="24"/>
          <w:lang w:val="en-US" w:eastAsia="zh-CN"/>
        </w:rPr>
        <w:t>乙方</w:t>
      </w:r>
      <w:r>
        <w:rPr>
          <w:rFonts w:hint="eastAsia" w:ascii="楷体" w:hAnsi="楷体" w:eastAsia="楷体"/>
          <w:b/>
          <w:bCs/>
          <w:sz w:val="24"/>
          <w:szCs w:val="24"/>
        </w:rPr>
        <w:t>依据相关法律法规规定、产品说明书约定或产品投资管理需要选任或委托相关投资管理机构、托管机构等理财投资合作机构；同意</w:t>
      </w:r>
      <w:r>
        <w:rPr>
          <w:rFonts w:hint="eastAsia" w:ascii="楷体" w:hAnsi="楷体" w:eastAsia="楷体"/>
          <w:b/>
          <w:bCs/>
          <w:sz w:val="24"/>
          <w:szCs w:val="24"/>
          <w:lang w:val="en-US" w:eastAsia="zh-CN"/>
        </w:rPr>
        <w:t>乙方</w:t>
      </w:r>
      <w:r>
        <w:rPr>
          <w:rFonts w:hint="eastAsia" w:ascii="楷体" w:hAnsi="楷体" w:eastAsia="楷体"/>
          <w:b/>
          <w:bCs/>
          <w:sz w:val="24"/>
          <w:szCs w:val="24"/>
        </w:rPr>
        <w:t>以自身名义或理财产品名义签署合同/协议等相关文件；承诺承担</w:t>
      </w:r>
      <w:r>
        <w:rPr>
          <w:rFonts w:hint="eastAsia" w:ascii="楷体" w:hAnsi="楷体" w:eastAsia="楷体"/>
          <w:b/>
          <w:bCs/>
          <w:sz w:val="24"/>
          <w:szCs w:val="24"/>
          <w:lang w:val="en-US" w:eastAsia="zh-CN"/>
        </w:rPr>
        <w:t>乙方</w:t>
      </w:r>
      <w:r>
        <w:rPr>
          <w:rFonts w:hint="eastAsia" w:ascii="楷体" w:hAnsi="楷体" w:eastAsia="楷体"/>
          <w:b/>
          <w:bCs/>
          <w:sz w:val="24"/>
          <w:szCs w:val="24"/>
        </w:rPr>
        <w:t>履行合同/协议等相关文件产生的法律后果。</w:t>
      </w:r>
    </w:p>
    <w:p>
      <w:pPr>
        <w:ind w:firstLine="480" w:firstLineChars="200"/>
        <w:rPr>
          <w:rFonts w:ascii="楷体" w:hAnsi="楷体" w:eastAsia="楷体"/>
          <w:sz w:val="24"/>
          <w:szCs w:val="24"/>
        </w:rPr>
      </w:pPr>
      <w:r>
        <w:rPr>
          <w:rFonts w:hint="eastAsia" w:ascii="楷体" w:hAnsi="楷体" w:eastAsia="楷体"/>
          <w:sz w:val="24"/>
          <w:szCs w:val="24"/>
          <w:lang w:val="en-US" w:eastAsia="zh-CN"/>
        </w:rPr>
        <w:t xml:space="preserve">7. </w:t>
      </w:r>
      <w:r>
        <w:rPr>
          <w:rFonts w:hint="eastAsia" w:ascii="楷体" w:hAnsi="楷体" w:eastAsia="楷体"/>
          <w:sz w:val="24"/>
          <w:szCs w:val="24"/>
        </w:rPr>
        <w:t>为实现理财产品的投资目标及/或维护理财产品全体投资者的利益，</w:t>
      </w:r>
      <w:r>
        <w:rPr>
          <w:rFonts w:hint="eastAsia" w:ascii="楷体" w:hAnsi="楷体" w:eastAsia="楷体"/>
          <w:sz w:val="24"/>
          <w:szCs w:val="24"/>
          <w:lang w:val="en-US" w:eastAsia="zh-CN"/>
        </w:rPr>
        <w:t>乙方</w:t>
      </w:r>
      <w:r>
        <w:rPr>
          <w:rFonts w:hint="eastAsia" w:ascii="楷体" w:hAnsi="楷体" w:eastAsia="楷体"/>
          <w:sz w:val="24"/>
          <w:szCs w:val="24"/>
        </w:rPr>
        <w:t>有权行使与投资相关的权利、履行相关义务，有权决定理财产品所投基础资产投资的管理、合同/文件条款变更、赎回、处置与披露等事宜，包括但不限于：有权处理基础资产抵质押、担保/增信等事宜、有权决定基础资产及其底层资产投放的先决条件是否放弃或延后、有权决定基础资产投资的相关罚息/违约金/损害赔偿金的降低或免除、利息的降低或免除、有权决定是否同意基础资产的债务人提前还款或立即还款（含全部及部分）或展期及展期条件、有权决定投后监管的执行等。当理财产品的资产安全受到侵害时或发生本理财产品基础资产项下义务人未按时足额付款等情形，</w:t>
      </w:r>
      <w:r>
        <w:rPr>
          <w:rFonts w:hint="eastAsia" w:ascii="楷体" w:hAnsi="楷体" w:eastAsia="楷体"/>
          <w:sz w:val="24"/>
          <w:szCs w:val="24"/>
          <w:lang w:val="en-US" w:eastAsia="zh-CN"/>
        </w:rPr>
        <w:t>乙方</w:t>
      </w:r>
      <w:r>
        <w:rPr>
          <w:rFonts w:hint="eastAsia" w:ascii="楷体" w:hAnsi="楷体" w:eastAsia="楷体"/>
          <w:sz w:val="24"/>
          <w:szCs w:val="24"/>
        </w:rPr>
        <w:t>有权以自身名义代表理财产品全体投资者采取诉讼或其他权利救济措施。</w:t>
      </w:r>
      <w:r>
        <w:rPr>
          <w:rFonts w:hint="eastAsia" w:ascii="楷体" w:hAnsi="楷体" w:eastAsia="楷体"/>
          <w:sz w:val="24"/>
          <w:szCs w:val="24"/>
          <w:lang w:val="en-US" w:eastAsia="zh-CN"/>
        </w:rPr>
        <w:t>乙方</w:t>
      </w:r>
      <w:r>
        <w:rPr>
          <w:rFonts w:hint="eastAsia" w:ascii="楷体" w:hAnsi="楷体" w:eastAsia="楷体"/>
          <w:sz w:val="24"/>
          <w:szCs w:val="24"/>
        </w:rPr>
        <w:t>采取上述行动所产生的费用（包括但不限于诉讼费、仲裁费、律师费等全部费用）和法律后果由理财产品全体投资者承担，</w:t>
      </w:r>
      <w:r>
        <w:rPr>
          <w:rFonts w:hint="eastAsia" w:ascii="楷体" w:hAnsi="楷体" w:eastAsia="楷体"/>
          <w:sz w:val="24"/>
          <w:szCs w:val="24"/>
          <w:lang w:val="en-US" w:eastAsia="zh-CN"/>
        </w:rPr>
        <w:t>乙方</w:t>
      </w:r>
      <w:r>
        <w:rPr>
          <w:rFonts w:hint="eastAsia" w:ascii="楷体" w:hAnsi="楷体" w:eastAsia="楷体"/>
          <w:sz w:val="24"/>
          <w:szCs w:val="24"/>
        </w:rPr>
        <w:t>有权从追索回来的款项中优先扣除。</w:t>
      </w:r>
    </w:p>
    <w:p>
      <w:pPr>
        <w:ind w:firstLine="480" w:firstLineChars="200"/>
        <w:rPr>
          <w:rFonts w:ascii="楷体" w:hAnsi="楷体" w:eastAsia="楷体"/>
          <w:sz w:val="24"/>
          <w:szCs w:val="24"/>
        </w:rPr>
      </w:pPr>
      <w:r>
        <w:rPr>
          <w:rFonts w:hint="eastAsia" w:ascii="楷体" w:hAnsi="楷体" w:eastAsia="楷体"/>
          <w:sz w:val="24"/>
          <w:szCs w:val="24"/>
          <w:lang w:val="en-US" w:eastAsia="zh-CN"/>
        </w:rPr>
        <w:t>8. 乙方</w:t>
      </w:r>
      <w:r>
        <w:rPr>
          <w:rFonts w:hint="eastAsia" w:ascii="楷体" w:hAnsi="楷体" w:eastAsia="楷体"/>
          <w:sz w:val="24"/>
          <w:szCs w:val="24"/>
        </w:rPr>
        <w:t>有权代表投资者参加会议，对相关事项进行表决；</w:t>
      </w:r>
      <w:r>
        <w:rPr>
          <w:rFonts w:hint="eastAsia" w:ascii="楷体" w:hAnsi="楷体" w:eastAsia="楷体"/>
          <w:sz w:val="24"/>
          <w:szCs w:val="24"/>
          <w:lang w:val="en-US" w:eastAsia="zh-CN"/>
        </w:rPr>
        <w:t>乙方</w:t>
      </w:r>
      <w:r>
        <w:rPr>
          <w:rFonts w:hint="eastAsia" w:ascii="楷体" w:hAnsi="楷体" w:eastAsia="楷体"/>
          <w:sz w:val="24"/>
          <w:szCs w:val="24"/>
        </w:rPr>
        <w:t>有权代表投资者利益，按照法律法规和监管部门相关规定对理财产品投资产生的风险资产进行多种方式的处置，包括但不限于转让、重组、债转股、资产证券化、委外催收、抵债资产收取与处置、破产重整等。</w:t>
      </w:r>
    </w:p>
    <w:p>
      <w:pPr>
        <w:ind w:firstLine="482" w:firstLineChars="200"/>
        <w:rPr>
          <w:rFonts w:ascii="楷体" w:hAnsi="楷体" w:eastAsia="楷体"/>
          <w:sz w:val="24"/>
          <w:szCs w:val="24"/>
        </w:rPr>
      </w:pPr>
      <w:r>
        <w:rPr>
          <w:rFonts w:hint="eastAsia" w:ascii="楷体" w:hAnsi="楷体" w:eastAsia="楷体"/>
          <w:b/>
          <w:bCs/>
          <w:sz w:val="24"/>
          <w:szCs w:val="24"/>
          <w:lang w:val="en-US" w:eastAsia="zh-CN"/>
        </w:rPr>
        <w:t>9. 甲方</w:t>
      </w:r>
      <w:r>
        <w:rPr>
          <w:rFonts w:hint="eastAsia" w:ascii="楷体" w:hAnsi="楷体" w:eastAsia="楷体"/>
          <w:b/>
          <w:bCs/>
          <w:sz w:val="24"/>
          <w:szCs w:val="24"/>
        </w:rPr>
        <w:t>同意</w:t>
      </w:r>
      <w:r>
        <w:rPr>
          <w:rFonts w:hint="eastAsia" w:ascii="楷体" w:hAnsi="楷体" w:eastAsia="楷体"/>
          <w:b/>
          <w:bCs/>
          <w:sz w:val="24"/>
          <w:szCs w:val="24"/>
          <w:lang w:val="en-US" w:eastAsia="zh-CN"/>
        </w:rPr>
        <w:t>乙方</w:t>
      </w:r>
      <w:r>
        <w:rPr>
          <w:rFonts w:hint="eastAsia" w:ascii="楷体" w:hAnsi="楷体" w:eastAsia="楷体"/>
          <w:b/>
          <w:bCs/>
          <w:sz w:val="24"/>
          <w:szCs w:val="24"/>
        </w:rPr>
        <w:t>在产品说明书约定的投资计划（包括但不限于投资范围、投资资产种类、投资比例等内容）内，依据自身的投资决策流程和风险管理机制做出和实施相关投资管理决定。</w:t>
      </w:r>
    </w:p>
    <w:p>
      <w:pPr>
        <w:ind w:firstLine="425" w:firstLineChars="0"/>
        <w:rPr>
          <w:rFonts w:hint="eastAsia" w:ascii="楷体" w:hAnsi="楷体" w:eastAsia="楷体"/>
          <w:sz w:val="24"/>
          <w:szCs w:val="24"/>
        </w:rPr>
      </w:pPr>
      <w:r>
        <w:rPr>
          <w:rFonts w:hint="eastAsia" w:ascii="楷体" w:hAnsi="楷体" w:eastAsia="楷体"/>
          <w:sz w:val="24"/>
          <w:szCs w:val="24"/>
          <w:lang w:val="en-US" w:eastAsia="zh-CN"/>
        </w:rPr>
        <w:t xml:space="preserve">10. </w:t>
      </w:r>
      <w:r>
        <w:rPr>
          <w:rFonts w:hint="eastAsia" w:ascii="楷体" w:hAnsi="楷体" w:eastAsia="楷体"/>
          <w:sz w:val="24"/>
          <w:szCs w:val="24"/>
        </w:rPr>
        <w:t>出现市场情况变化等情况时，</w:t>
      </w:r>
      <w:r>
        <w:rPr>
          <w:rFonts w:hint="eastAsia" w:ascii="楷体" w:hAnsi="楷体" w:eastAsia="楷体"/>
          <w:sz w:val="24"/>
          <w:szCs w:val="24"/>
          <w:lang w:val="en-US" w:eastAsia="zh-CN"/>
        </w:rPr>
        <w:t>乙方</w:t>
      </w:r>
      <w:r>
        <w:rPr>
          <w:rFonts w:hint="eastAsia" w:ascii="楷体" w:hAnsi="楷体" w:eastAsia="楷体"/>
          <w:sz w:val="24"/>
          <w:szCs w:val="24"/>
        </w:rPr>
        <w:t>可根据需要做出调整产品说明书约定投资计划的决定，并通过产品说明书约定的途径与方式进行披露。</w:t>
      </w:r>
      <w:r>
        <w:rPr>
          <w:rFonts w:hint="eastAsia" w:ascii="楷体" w:hAnsi="楷体" w:eastAsia="楷体"/>
          <w:sz w:val="24"/>
          <w:szCs w:val="24"/>
          <w:lang w:val="en-US" w:eastAsia="zh-CN"/>
        </w:rPr>
        <w:t>甲方</w:t>
      </w:r>
      <w:r>
        <w:rPr>
          <w:rFonts w:hint="eastAsia" w:ascii="楷体" w:hAnsi="楷体" w:eastAsia="楷体"/>
          <w:sz w:val="24"/>
          <w:szCs w:val="24"/>
        </w:rPr>
        <w:t>应注意及时就所认购/申购产品的信息进行查询。</w:t>
      </w:r>
      <w:r>
        <w:rPr>
          <w:rFonts w:hint="eastAsia" w:ascii="楷体" w:hAnsi="楷体" w:eastAsia="楷体"/>
          <w:sz w:val="24"/>
          <w:szCs w:val="24"/>
          <w:lang w:val="en-US" w:eastAsia="zh-CN"/>
        </w:rPr>
        <w:t>乙方</w:t>
      </w:r>
      <w:r>
        <w:rPr>
          <w:rFonts w:hint="eastAsia" w:ascii="楷体" w:hAnsi="楷体" w:eastAsia="楷体"/>
          <w:sz w:val="24"/>
          <w:szCs w:val="24"/>
        </w:rPr>
        <w:t>将本着维护理财产品全体投资者利益的原则依据相关法律法规进行投资计划调整。</w:t>
      </w:r>
    </w:p>
    <w:p>
      <w:pPr>
        <w:ind w:firstLine="482" w:firstLineChars="200"/>
        <w:rPr>
          <w:rFonts w:ascii="楷体" w:hAnsi="楷体" w:eastAsia="楷体"/>
          <w:b/>
          <w:sz w:val="24"/>
          <w:szCs w:val="24"/>
        </w:rPr>
      </w:pPr>
      <w:r>
        <w:rPr>
          <w:rFonts w:ascii="楷体" w:hAnsi="楷体" w:eastAsia="楷体"/>
          <w:b/>
          <w:sz w:val="24"/>
          <w:szCs w:val="24"/>
        </w:rPr>
        <w:t>五</w:t>
      </w:r>
      <w:r>
        <w:rPr>
          <w:rFonts w:hint="eastAsia" w:ascii="楷体" w:hAnsi="楷体" w:eastAsia="楷体"/>
          <w:b/>
          <w:sz w:val="24"/>
          <w:szCs w:val="24"/>
        </w:rPr>
        <w:t>、</w:t>
      </w:r>
      <w:r>
        <w:rPr>
          <w:rFonts w:ascii="楷体" w:hAnsi="楷体" w:eastAsia="楷体"/>
          <w:b/>
          <w:sz w:val="24"/>
          <w:szCs w:val="24"/>
        </w:rPr>
        <w:t>违约责任</w:t>
      </w:r>
    </w:p>
    <w:p>
      <w:pPr>
        <w:ind w:firstLine="480" w:firstLineChars="200"/>
        <w:rPr>
          <w:rFonts w:hint="eastAsia" w:ascii="楷体" w:hAnsi="楷体" w:eastAsia="楷体"/>
          <w:sz w:val="24"/>
          <w:szCs w:val="24"/>
        </w:rPr>
      </w:pPr>
      <w:r>
        <w:rPr>
          <w:rFonts w:hint="eastAsia" w:ascii="楷体" w:hAnsi="楷体" w:eastAsia="楷体"/>
          <w:sz w:val="24"/>
          <w:szCs w:val="24"/>
          <w:lang w:val="en-US" w:eastAsia="zh-CN"/>
        </w:rPr>
        <w:t xml:space="preserve">1. </w:t>
      </w:r>
      <w:r>
        <w:rPr>
          <w:rFonts w:hint="eastAsia" w:ascii="楷体" w:hAnsi="楷体" w:eastAsia="楷体"/>
          <w:sz w:val="24"/>
          <w:szCs w:val="24"/>
        </w:rPr>
        <w:t>由于本协议一方当事人的过错，造成本协议不能履行或不能完全履行的，由有过错的一方承担违约责任；如双方同时负有过错，则应由双方各自按照过错程度承担责任。</w:t>
      </w:r>
    </w:p>
    <w:p>
      <w:pPr>
        <w:ind w:firstLine="482" w:firstLineChars="200"/>
        <w:rPr>
          <w:rFonts w:hint="eastAsia" w:ascii="楷体" w:hAnsi="楷体" w:eastAsia="楷体"/>
          <w:sz w:val="24"/>
          <w:szCs w:val="24"/>
        </w:rPr>
      </w:pPr>
      <w:r>
        <w:rPr>
          <w:rFonts w:hint="eastAsia" w:ascii="楷体" w:hAnsi="楷体" w:eastAsia="楷体"/>
          <w:b/>
          <w:sz w:val="24"/>
          <w:szCs w:val="24"/>
          <w:lang w:val="en-US" w:eastAsia="zh-CN"/>
        </w:rPr>
        <w:t xml:space="preserve">2. </w:t>
      </w:r>
      <w:r>
        <w:rPr>
          <w:rFonts w:hint="eastAsia" w:ascii="楷体" w:hAnsi="楷体" w:eastAsia="楷体"/>
          <w:b/>
          <w:sz w:val="24"/>
          <w:szCs w:val="24"/>
        </w:rPr>
        <w:t>双方同意，发生下列情况造成损失时，按以下约定承担责任</w:t>
      </w:r>
      <w:r>
        <w:rPr>
          <w:rFonts w:hint="eastAsia" w:ascii="楷体" w:hAnsi="楷体" w:eastAsia="楷体"/>
          <w:sz w:val="24"/>
          <w:szCs w:val="24"/>
        </w:rPr>
        <w:t>：</w:t>
      </w:r>
    </w:p>
    <w:p>
      <w:pPr>
        <w:ind w:firstLine="480" w:firstLineChars="200"/>
        <w:rPr>
          <w:rFonts w:hint="eastAsia" w:ascii="楷体" w:hAnsi="楷体" w:eastAsia="楷体"/>
          <w:sz w:val="24"/>
          <w:szCs w:val="24"/>
        </w:rPr>
      </w:pPr>
      <w:r>
        <w:rPr>
          <w:rFonts w:hint="eastAsia" w:ascii="楷体" w:hAnsi="楷体" w:eastAsia="楷体"/>
          <w:sz w:val="24"/>
          <w:szCs w:val="24"/>
        </w:rPr>
        <w:t>（1）对由于国家有关法律、法规、规章、政策的变化，监管机构管理规则的修改、紧急措施的出台等原因而导致的相关风险及损失，双方当事人互不承担责任；</w:t>
      </w:r>
    </w:p>
    <w:p>
      <w:pPr>
        <w:ind w:firstLine="480" w:firstLineChars="200"/>
        <w:rPr>
          <w:rFonts w:hint="eastAsia" w:ascii="楷体" w:hAnsi="楷体" w:eastAsia="楷体"/>
          <w:sz w:val="24"/>
          <w:szCs w:val="24"/>
        </w:rPr>
      </w:pPr>
      <w:r>
        <w:rPr>
          <w:rFonts w:hint="eastAsia" w:ascii="楷体" w:hAnsi="楷体" w:eastAsia="楷体"/>
          <w:sz w:val="24"/>
          <w:szCs w:val="24"/>
        </w:rPr>
        <w:t>（2）本协议书中涉及的相关到期日或兑付日如遇节假日，将顺延至下一个工作日，由此产生的风险及损失双方当事人互不承担责任；</w:t>
      </w:r>
    </w:p>
    <w:p>
      <w:pPr>
        <w:ind w:firstLine="480" w:firstLineChars="200"/>
        <w:rPr>
          <w:rFonts w:ascii="楷体" w:hAnsi="楷体" w:eastAsia="楷体"/>
          <w:sz w:val="24"/>
          <w:szCs w:val="24"/>
        </w:rPr>
      </w:pPr>
      <w:r>
        <w:rPr>
          <w:rFonts w:hint="eastAsia" w:ascii="楷体" w:hAnsi="楷体" w:eastAsia="楷体"/>
          <w:sz w:val="24"/>
          <w:szCs w:val="24"/>
        </w:rPr>
        <w:t>（3）</w:t>
      </w:r>
      <w:r>
        <w:rPr>
          <w:rFonts w:hint="eastAsia" w:ascii="楷体" w:hAnsi="楷体" w:eastAsia="楷体"/>
          <w:b/>
          <w:sz w:val="24"/>
          <w:szCs w:val="24"/>
        </w:rPr>
        <w:t>如甲方违反本协议所做的声明和保证，或本产品甲方所涉及的资金被有权机关全部或部分冻结或者扣划</w:t>
      </w:r>
      <w:r>
        <w:rPr>
          <w:rFonts w:hint="eastAsia" w:ascii="楷体" w:hAnsi="楷体" w:eastAsia="楷体" w:cs="Times New Roman"/>
          <w:b/>
          <w:sz w:val="24"/>
          <w:szCs w:val="24"/>
        </w:rPr>
        <w:t>，或乙方发现或有合理理由怀疑甲方或其资金存在洗钱、恐怖融资、逃税等嫌疑</w:t>
      </w:r>
      <w:r>
        <w:rPr>
          <w:rFonts w:hint="eastAsia" w:ascii="楷体" w:hAnsi="楷体" w:eastAsia="楷体" w:cs="Times New Roman"/>
          <w:b/>
          <w:sz w:val="24"/>
          <w:szCs w:val="24"/>
          <w:lang w:eastAsia="zh-CN"/>
        </w:rPr>
        <w:t>，</w:t>
      </w:r>
      <w:r>
        <w:rPr>
          <w:rFonts w:hint="eastAsia" w:ascii="楷体" w:hAnsi="楷体" w:eastAsia="楷体" w:cs="Times New Roman"/>
          <w:b/>
          <w:sz w:val="24"/>
          <w:szCs w:val="24"/>
        </w:rPr>
        <w:t>乙方有权</w:t>
      </w:r>
      <w:r>
        <w:rPr>
          <w:rFonts w:hint="eastAsia" w:ascii="楷体" w:hAnsi="楷体" w:eastAsia="楷体"/>
          <w:b/>
          <w:sz w:val="24"/>
          <w:szCs w:val="24"/>
        </w:rPr>
        <w:t>提前终止本合同，且乙方不承担相应责任，如因此给乙方或产品其他投资者造成损失的，甲方应承担违约责任。</w:t>
      </w:r>
    </w:p>
    <w:p>
      <w:pPr>
        <w:ind w:firstLine="482" w:firstLineChars="200"/>
        <w:rPr>
          <w:rFonts w:hint="eastAsia" w:ascii="楷体" w:hAnsi="楷体" w:eastAsia="楷体"/>
          <w:b/>
          <w:sz w:val="24"/>
          <w:szCs w:val="24"/>
        </w:rPr>
      </w:pPr>
      <w:r>
        <w:rPr>
          <w:rFonts w:hint="eastAsia" w:ascii="楷体" w:hAnsi="楷体" w:eastAsia="楷体"/>
          <w:b/>
          <w:sz w:val="24"/>
          <w:szCs w:val="24"/>
        </w:rPr>
        <w:t>六、免责条款</w:t>
      </w:r>
    </w:p>
    <w:p>
      <w:pPr>
        <w:ind w:firstLine="420"/>
        <w:rPr>
          <w:rFonts w:hint="eastAsia" w:ascii="楷体" w:hAnsi="楷体" w:eastAsia="楷体"/>
          <w:sz w:val="24"/>
          <w:szCs w:val="24"/>
        </w:rPr>
      </w:pPr>
      <w:r>
        <w:rPr>
          <w:rFonts w:hint="eastAsia" w:ascii="楷体" w:hAnsi="楷体" w:eastAsia="楷体"/>
          <w:sz w:val="24"/>
          <w:szCs w:val="24"/>
          <w:lang w:val="en-US" w:eastAsia="zh-CN"/>
        </w:rPr>
        <w:t xml:space="preserve">1. </w:t>
      </w:r>
      <w:r>
        <w:rPr>
          <w:rFonts w:hint="eastAsia" w:ascii="楷体" w:hAnsi="楷体" w:eastAsia="楷体"/>
          <w:sz w:val="24"/>
          <w:szCs w:val="24"/>
        </w:rPr>
        <w:t>由于地震、火灾、战争等不可抗力导致的交易中断、延误等风险及损失，</w:t>
      </w:r>
      <w:r>
        <w:rPr>
          <w:rFonts w:hint="eastAsia" w:ascii="楷体" w:hAnsi="楷体" w:eastAsia="楷体"/>
          <w:sz w:val="24"/>
          <w:szCs w:val="24"/>
          <w:lang w:val="en-US" w:eastAsia="zh-CN"/>
        </w:rPr>
        <w:t>乙方</w:t>
      </w:r>
      <w:r>
        <w:rPr>
          <w:rFonts w:hint="eastAsia" w:ascii="楷体" w:hAnsi="楷体" w:eastAsia="楷体"/>
          <w:sz w:val="24"/>
          <w:szCs w:val="24"/>
        </w:rPr>
        <w:t>不承担责任，但应在条件允许的情况下通知</w:t>
      </w:r>
      <w:r>
        <w:rPr>
          <w:rFonts w:hint="eastAsia" w:ascii="楷体" w:hAnsi="楷体" w:eastAsia="楷体"/>
          <w:sz w:val="24"/>
          <w:szCs w:val="24"/>
          <w:lang w:val="en-US" w:eastAsia="zh-CN"/>
        </w:rPr>
        <w:t>甲方</w:t>
      </w:r>
      <w:r>
        <w:rPr>
          <w:rFonts w:hint="eastAsia" w:ascii="楷体" w:hAnsi="楷体" w:eastAsia="楷体"/>
          <w:sz w:val="24"/>
          <w:szCs w:val="24"/>
        </w:rPr>
        <w:t>，并采取一切必要的补救措施以减小不可抗力造成的损失。</w:t>
      </w:r>
    </w:p>
    <w:p>
      <w:pPr>
        <w:ind w:firstLine="420"/>
        <w:rPr>
          <w:rFonts w:hint="eastAsia" w:ascii="楷体" w:hAnsi="楷体" w:eastAsia="楷体"/>
          <w:sz w:val="24"/>
          <w:szCs w:val="24"/>
        </w:rPr>
      </w:pPr>
      <w:r>
        <w:rPr>
          <w:rFonts w:hint="eastAsia" w:ascii="楷体" w:hAnsi="楷体" w:eastAsia="楷体"/>
          <w:sz w:val="24"/>
          <w:szCs w:val="24"/>
          <w:lang w:val="en-US" w:eastAsia="zh-CN"/>
        </w:rPr>
        <w:t xml:space="preserve">2. </w:t>
      </w:r>
      <w:r>
        <w:rPr>
          <w:rFonts w:hint="eastAsia" w:ascii="楷体" w:hAnsi="楷体" w:eastAsia="楷体"/>
          <w:sz w:val="24"/>
          <w:szCs w:val="24"/>
        </w:rPr>
        <w:t>由于国家的有关法律、法规、规章、政策的改变、紧急措施的出台而导致的风险，</w:t>
      </w:r>
      <w:r>
        <w:rPr>
          <w:rFonts w:hint="eastAsia" w:ascii="楷体" w:hAnsi="楷体" w:eastAsia="楷体"/>
          <w:sz w:val="24"/>
          <w:szCs w:val="24"/>
          <w:lang w:val="en-US" w:eastAsia="zh-CN"/>
        </w:rPr>
        <w:t>乙方</w:t>
      </w:r>
      <w:r>
        <w:rPr>
          <w:rFonts w:hint="eastAsia" w:ascii="楷体" w:hAnsi="楷体" w:eastAsia="楷体"/>
          <w:sz w:val="24"/>
          <w:szCs w:val="24"/>
        </w:rPr>
        <w:t>不承担责任。</w:t>
      </w:r>
    </w:p>
    <w:p>
      <w:pPr>
        <w:ind w:firstLine="420"/>
        <w:rPr>
          <w:rFonts w:ascii="楷体" w:hAnsi="楷体" w:eastAsia="楷体"/>
          <w:sz w:val="24"/>
          <w:szCs w:val="24"/>
        </w:rPr>
      </w:pPr>
      <w:r>
        <w:rPr>
          <w:rFonts w:hint="eastAsia" w:ascii="楷体" w:hAnsi="楷体" w:eastAsia="楷体"/>
          <w:sz w:val="24"/>
          <w:szCs w:val="24"/>
          <w:lang w:val="en-US" w:eastAsia="zh-CN"/>
        </w:rPr>
        <w:t>3. 乙方</w:t>
      </w:r>
      <w:r>
        <w:rPr>
          <w:rFonts w:hint="eastAsia" w:ascii="楷体" w:hAnsi="楷体" w:eastAsia="楷体"/>
          <w:sz w:val="24"/>
          <w:szCs w:val="24"/>
        </w:rPr>
        <w:t>依照恪尽职守、诚实信用、谨慎勤勉的原则管理和运用理财产品财产，</w:t>
      </w:r>
      <w:r>
        <w:rPr>
          <w:rFonts w:hint="eastAsia" w:ascii="楷体" w:hAnsi="楷体" w:eastAsia="楷体"/>
          <w:b/>
          <w:bCs/>
          <w:sz w:val="24"/>
          <w:szCs w:val="24"/>
        </w:rPr>
        <w:t>但不保证理财产品财产中的认（申）购资金本金不受损失，也不保证一定盈利及最低收益。</w:t>
      </w:r>
      <w:r>
        <w:rPr>
          <w:rFonts w:hint="eastAsia" w:ascii="楷体" w:hAnsi="楷体" w:eastAsia="楷体"/>
          <w:sz w:val="24"/>
          <w:szCs w:val="24"/>
        </w:rPr>
        <w:t>本理财产品运作过程中，</w:t>
      </w:r>
      <w:r>
        <w:rPr>
          <w:rFonts w:hint="eastAsia" w:ascii="楷体" w:hAnsi="楷体" w:eastAsia="楷体"/>
          <w:sz w:val="24"/>
          <w:szCs w:val="24"/>
          <w:lang w:val="en-US" w:eastAsia="zh-CN"/>
        </w:rPr>
        <w:t>乙方</w:t>
      </w:r>
      <w:r>
        <w:rPr>
          <w:rFonts w:hint="eastAsia" w:ascii="楷体" w:hAnsi="楷体" w:eastAsia="楷体"/>
          <w:sz w:val="24"/>
          <w:szCs w:val="24"/>
        </w:rPr>
        <w:t>依据产品合同约定管理和运用理财产品财产所产生的风险，由理财产品财产及</w:t>
      </w:r>
      <w:r>
        <w:rPr>
          <w:rFonts w:hint="eastAsia" w:ascii="楷体" w:hAnsi="楷体" w:eastAsia="楷体"/>
          <w:sz w:val="24"/>
          <w:szCs w:val="24"/>
          <w:lang w:val="en-US" w:eastAsia="zh-CN"/>
        </w:rPr>
        <w:t>甲方</w:t>
      </w:r>
      <w:r>
        <w:rPr>
          <w:rFonts w:hint="eastAsia" w:ascii="楷体" w:hAnsi="楷体" w:eastAsia="楷体"/>
          <w:sz w:val="24"/>
          <w:szCs w:val="24"/>
        </w:rPr>
        <w:t>承担。</w:t>
      </w:r>
      <w:r>
        <w:rPr>
          <w:rFonts w:hint="eastAsia" w:ascii="楷体" w:hAnsi="楷体" w:eastAsia="楷体"/>
          <w:sz w:val="24"/>
          <w:szCs w:val="24"/>
          <w:lang w:val="en-US" w:eastAsia="zh-CN"/>
        </w:rPr>
        <w:t>甲方</w:t>
      </w:r>
      <w:r>
        <w:rPr>
          <w:rFonts w:hint="eastAsia" w:ascii="楷体" w:hAnsi="楷体" w:eastAsia="楷体"/>
          <w:sz w:val="24"/>
          <w:szCs w:val="24"/>
        </w:rPr>
        <w:t>应充分知晓投资运营的相关风险，具体风险详见风险揭示书及理财产品说明书的具体约定，其风险应由</w:t>
      </w:r>
      <w:r>
        <w:rPr>
          <w:rFonts w:hint="eastAsia" w:ascii="楷体" w:hAnsi="楷体" w:eastAsia="楷体"/>
          <w:sz w:val="24"/>
          <w:szCs w:val="24"/>
          <w:lang w:val="en-US" w:eastAsia="zh-CN"/>
        </w:rPr>
        <w:t>甲方</w:t>
      </w:r>
      <w:r>
        <w:rPr>
          <w:rFonts w:hint="eastAsia" w:ascii="楷体" w:hAnsi="楷体" w:eastAsia="楷体"/>
          <w:sz w:val="24"/>
          <w:szCs w:val="24"/>
        </w:rPr>
        <w:t>自担。</w:t>
      </w:r>
    </w:p>
    <w:p>
      <w:pPr>
        <w:ind w:firstLine="420"/>
        <w:rPr>
          <w:rFonts w:ascii="楷体" w:hAnsi="楷体" w:eastAsia="楷体"/>
          <w:sz w:val="24"/>
          <w:szCs w:val="24"/>
        </w:rPr>
      </w:pPr>
      <w:r>
        <w:rPr>
          <w:rFonts w:hint="eastAsia" w:ascii="楷体" w:hAnsi="楷体" w:eastAsia="楷体"/>
          <w:sz w:val="24"/>
          <w:szCs w:val="24"/>
          <w:lang w:val="en-US" w:eastAsia="zh-CN"/>
        </w:rPr>
        <w:t xml:space="preserve">4. </w:t>
      </w:r>
      <w:r>
        <w:rPr>
          <w:rFonts w:hint="eastAsia" w:ascii="楷体" w:hAnsi="楷体" w:eastAsia="楷体"/>
          <w:sz w:val="24"/>
          <w:szCs w:val="24"/>
        </w:rPr>
        <w:t>非因</w:t>
      </w:r>
      <w:r>
        <w:rPr>
          <w:rFonts w:hint="eastAsia" w:ascii="楷体" w:hAnsi="楷体" w:eastAsia="楷体"/>
          <w:sz w:val="24"/>
          <w:szCs w:val="24"/>
          <w:lang w:val="en-US" w:eastAsia="zh-CN"/>
        </w:rPr>
        <w:t>乙方</w:t>
      </w:r>
      <w:r>
        <w:rPr>
          <w:rFonts w:hint="eastAsia" w:ascii="楷体" w:hAnsi="楷体" w:eastAsia="楷体"/>
          <w:sz w:val="24"/>
          <w:szCs w:val="24"/>
        </w:rPr>
        <w:t>原因（包括但不限于</w:t>
      </w:r>
      <w:r>
        <w:rPr>
          <w:rFonts w:hint="eastAsia" w:ascii="楷体" w:hAnsi="楷体" w:eastAsia="楷体"/>
          <w:sz w:val="24"/>
          <w:szCs w:val="24"/>
          <w:lang w:val="en-US" w:eastAsia="zh-CN"/>
        </w:rPr>
        <w:t>甲方</w:t>
      </w:r>
      <w:r>
        <w:rPr>
          <w:rFonts w:hint="eastAsia" w:ascii="楷体" w:hAnsi="楷体" w:eastAsia="楷体"/>
          <w:sz w:val="24"/>
          <w:szCs w:val="24"/>
        </w:rPr>
        <w:t>遗失本协议、理财产品合同被盗用、</w:t>
      </w:r>
      <w:r>
        <w:rPr>
          <w:rFonts w:hint="eastAsia" w:ascii="楷体" w:hAnsi="楷体" w:eastAsia="楷体"/>
          <w:sz w:val="24"/>
          <w:szCs w:val="24"/>
          <w:lang w:val="en-US" w:eastAsia="zh-CN"/>
        </w:rPr>
        <w:t>甲方</w:t>
      </w:r>
      <w:r>
        <w:rPr>
          <w:rFonts w:hint="eastAsia" w:ascii="楷体" w:hAnsi="楷体" w:eastAsia="楷体"/>
          <w:sz w:val="24"/>
          <w:szCs w:val="24"/>
        </w:rPr>
        <w:t>资金账户被司法机关等有权部门冻结、扣划及其他投资者自身原因、投资标的固有风险等原因）造成的损失，</w:t>
      </w:r>
      <w:r>
        <w:rPr>
          <w:rFonts w:hint="eastAsia" w:ascii="楷体" w:hAnsi="楷体" w:eastAsia="楷体"/>
          <w:sz w:val="24"/>
          <w:szCs w:val="24"/>
          <w:lang w:val="en-US" w:eastAsia="zh-CN"/>
        </w:rPr>
        <w:t>乙方</w:t>
      </w:r>
      <w:r>
        <w:rPr>
          <w:rFonts w:hint="eastAsia" w:ascii="楷体" w:hAnsi="楷体" w:eastAsia="楷体"/>
          <w:sz w:val="24"/>
          <w:szCs w:val="24"/>
        </w:rPr>
        <w:t>不承担责任。</w:t>
      </w:r>
    </w:p>
    <w:p>
      <w:pPr>
        <w:ind w:firstLine="482" w:firstLineChars="200"/>
        <w:rPr>
          <w:rFonts w:ascii="楷体" w:hAnsi="楷体" w:eastAsia="楷体"/>
          <w:b/>
          <w:sz w:val="24"/>
          <w:szCs w:val="24"/>
        </w:rPr>
      </w:pPr>
      <w:r>
        <w:rPr>
          <w:rFonts w:ascii="楷体" w:hAnsi="楷体" w:eastAsia="楷体"/>
          <w:b/>
          <w:sz w:val="24"/>
          <w:szCs w:val="24"/>
        </w:rPr>
        <w:t>七</w:t>
      </w:r>
      <w:r>
        <w:rPr>
          <w:rFonts w:hint="eastAsia" w:ascii="楷体" w:hAnsi="楷体" w:eastAsia="楷体"/>
          <w:b/>
          <w:sz w:val="24"/>
          <w:szCs w:val="24"/>
        </w:rPr>
        <w:t>、</w:t>
      </w:r>
      <w:r>
        <w:rPr>
          <w:rFonts w:ascii="楷体" w:hAnsi="楷体" w:eastAsia="楷体"/>
          <w:b/>
          <w:sz w:val="24"/>
          <w:szCs w:val="24"/>
        </w:rPr>
        <w:t>信息披露</w:t>
      </w:r>
    </w:p>
    <w:p>
      <w:pPr>
        <w:ind w:firstLine="480" w:firstLineChars="200"/>
        <w:rPr>
          <w:rFonts w:hint="eastAsia" w:ascii="楷体" w:hAnsi="楷体" w:eastAsia="楷体"/>
          <w:sz w:val="24"/>
          <w:szCs w:val="24"/>
        </w:rPr>
      </w:pPr>
      <w:r>
        <w:rPr>
          <w:rFonts w:hint="eastAsia" w:ascii="楷体" w:hAnsi="楷体" w:eastAsia="楷体"/>
          <w:sz w:val="24"/>
          <w:szCs w:val="24"/>
          <w:lang w:val="en-US" w:eastAsia="zh-CN"/>
        </w:rPr>
        <w:t xml:space="preserve">1. </w:t>
      </w:r>
      <w:r>
        <w:rPr>
          <w:rFonts w:hint="eastAsia" w:ascii="楷体" w:hAnsi="楷体" w:eastAsia="楷体"/>
          <w:sz w:val="24"/>
          <w:szCs w:val="24"/>
        </w:rPr>
        <w:t>本产品存续期间，乙方将以苏银理财或销售服务机构的信息披露渠道（包括但不限于苏银理财或代销机构的营业网点、门户网站、电子销售渠道等）作为本理财产品的信息披露渠道，具体信息披露详见《理财产品说明书》。</w:t>
      </w:r>
    </w:p>
    <w:p>
      <w:pPr>
        <w:ind w:firstLine="480" w:firstLineChars="200"/>
        <w:rPr>
          <w:rFonts w:hint="eastAsia" w:ascii="楷体" w:hAnsi="楷体" w:eastAsia="楷体"/>
          <w:sz w:val="24"/>
          <w:szCs w:val="24"/>
        </w:rPr>
      </w:pPr>
      <w:r>
        <w:rPr>
          <w:rFonts w:hint="eastAsia" w:ascii="楷体" w:hAnsi="楷体" w:eastAsia="楷体"/>
          <w:sz w:val="24"/>
          <w:szCs w:val="24"/>
          <w:lang w:val="en-US" w:eastAsia="zh-CN"/>
        </w:rPr>
        <w:t xml:space="preserve">2. </w:t>
      </w:r>
      <w:r>
        <w:rPr>
          <w:rFonts w:hint="eastAsia" w:ascii="楷体" w:hAnsi="楷体" w:eastAsia="楷体"/>
          <w:sz w:val="24"/>
          <w:szCs w:val="24"/>
        </w:rPr>
        <w:t>乙方通过苏银理财或销售服务机构的信息披露渠道发布理财产品有关信息，即视为已适当履行其在本条下的信息披露义务。如乙方或销售服务机构认为需要直接联系甲方的，乙方或销售服务机构将依据本协议书投资者信息中甲方预留的信息进行通知。因甲方原因而导致该等通知失败的，乙方不承担责任。</w:t>
      </w:r>
    </w:p>
    <w:p>
      <w:pPr>
        <w:ind w:firstLine="482" w:firstLineChars="200"/>
        <w:rPr>
          <w:rFonts w:hint="eastAsia" w:ascii="楷体" w:hAnsi="楷体" w:eastAsia="楷体"/>
          <w:b/>
          <w:sz w:val="24"/>
          <w:szCs w:val="24"/>
        </w:rPr>
      </w:pPr>
      <w:r>
        <w:rPr>
          <w:rFonts w:hint="eastAsia" w:ascii="楷体" w:hAnsi="楷体" w:eastAsia="楷体"/>
          <w:b/>
          <w:sz w:val="24"/>
          <w:szCs w:val="24"/>
        </w:rPr>
        <w:t>八、协议的生效、变更及终止</w:t>
      </w:r>
    </w:p>
    <w:p>
      <w:pPr>
        <w:ind w:firstLine="420"/>
        <w:rPr>
          <w:rFonts w:hint="eastAsia" w:ascii="楷体" w:hAnsi="楷体" w:eastAsia="楷体"/>
          <w:sz w:val="24"/>
          <w:szCs w:val="24"/>
        </w:rPr>
      </w:pPr>
      <w:r>
        <w:rPr>
          <w:rFonts w:hint="eastAsia" w:ascii="楷体" w:hAnsi="楷体" w:eastAsia="楷体"/>
          <w:sz w:val="24"/>
          <w:szCs w:val="24"/>
          <w:lang w:val="en-US" w:eastAsia="zh-CN"/>
        </w:rPr>
        <w:t xml:space="preserve">1. </w:t>
      </w:r>
      <w:r>
        <w:rPr>
          <w:rFonts w:hint="eastAsia" w:ascii="楷体" w:hAnsi="楷体" w:eastAsia="楷体"/>
          <w:sz w:val="24"/>
          <w:szCs w:val="24"/>
        </w:rPr>
        <w:t>甲方</w:t>
      </w:r>
      <w:r>
        <w:rPr>
          <w:rFonts w:hint="eastAsia" w:ascii="楷体" w:hAnsi="楷体" w:eastAsia="楷体"/>
          <w:sz w:val="24"/>
          <w:szCs w:val="24"/>
          <w:lang w:val="en-US" w:eastAsia="zh-CN"/>
        </w:rPr>
        <w:t>直接</w:t>
      </w:r>
      <w:r>
        <w:rPr>
          <w:rFonts w:hint="eastAsia" w:ascii="楷体" w:hAnsi="楷体" w:eastAsia="楷体"/>
          <w:sz w:val="24"/>
          <w:szCs w:val="24"/>
        </w:rPr>
        <w:t>通过</w:t>
      </w:r>
      <w:r>
        <w:rPr>
          <w:rFonts w:hint="eastAsia" w:ascii="楷体" w:hAnsi="楷体" w:eastAsia="楷体"/>
          <w:sz w:val="24"/>
          <w:szCs w:val="24"/>
          <w:lang w:val="en-US" w:eastAsia="zh-CN"/>
        </w:rPr>
        <w:t>乙方</w:t>
      </w:r>
      <w:r>
        <w:rPr>
          <w:rFonts w:hint="eastAsia" w:ascii="楷体" w:hAnsi="楷体" w:eastAsia="楷体"/>
          <w:sz w:val="24"/>
          <w:szCs w:val="24"/>
        </w:rPr>
        <w:t>购买本理财产品，本协议经甲方个人客户签字/机构客户法定代表人签字并加盖公章且</w:t>
      </w:r>
      <w:r>
        <w:rPr>
          <w:rFonts w:hint="eastAsia" w:ascii="楷体" w:hAnsi="楷体" w:eastAsia="楷体"/>
          <w:sz w:val="24"/>
          <w:szCs w:val="24"/>
          <w:lang w:val="en-US" w:eastAsia="zh-CN"/>
        </w:rPr>
        <w:t>乙方加盖公章或业务专用章</w:t>
      </w:r>
      <w:r>
        <w:rPr>
          <w:rFonts w:hint="eastAsia" w:ascii="楷体" w:hAnsi="楷体" w:eastAsia="楷体"/>
          <w:sz w:val="24"/>
          <w:szCs w:val="24"/>
        </w:rPr>
        <w:t>后生效。</w:t>
      </w:r>
      <w:r>
        <w:rPr>
          <w:rFonts w:hint="eastAsia" w:ascii="楷体" w:hAnsi="楷体" w:eastAsia="楷体"/>
          <w:sz w:val="24"/>
          <w:szCs w:val="24"/>
          <w:lang w:val="en-US" w:eastAsia="zh-CN"/>
        </w:rPr>
        <w:t>甲方通过</w:t>
      </w:r>
      <w:r>
        <w:rPr>
          <w:rFonts w:hint="eastAsia" w:ascii="楷体" w:hAnsi="楷体" w:eastAsia="楷体"/>
          <w:sz w:val="24"/>
          <w:szCs w:val="24"/>
        </w:rPr>
        <w:t>销售服务机构的网点柜面渠道购买本理财产品</w:t>
      </w:r>
      <w:r>
        <w:rPr>
          <w:rFonts w:hint="eastAsia" w:ascii="楷体" w:hAnsi="楷体" w:eastAsia="楷体"/>
          <w:sz w:val="24"/>
          <w:szCs w:val="24"/>
          <w:lang w:eastAsia="zh-CN"/>
        </w:rPr>
        <w:t>，</w:t>
      </w:r>
      <w:r>
        <w:rPr>
          <w:rFonts w:hint="eastAsia" w:ascii="楷体" w:hAnsi="楷体" w:eastAsia="楷体"/>
          <w:sz w:val="24"/>
          <w:szCs w:val="24"/>
          <w:lang w:val="en-US" w:eastAsia="zh-CN"/>
        </w:rPr>
        <w:t>本协议经</w:t>
      </w:r>
      <w:r>
        <w:rPr>
          <w:rFonts w:hint="eastAsia" w:ascii="楷体" w:hAnsi="楷体" w:eastAsia="楷体"/>
          <w:sz w:val="24"/>
          <w:szCs w:val="24"/>
        </w:rPr>
        <w:t>甲方个人客户签字/机构客户法定代表人签字并加盖公章</w:t>
      </w:r>
      <w:r>
        <w:rPr>
          <w:rFonts w:hint="eastAsia" w:ascii="楷体" w:hAnsi="楷体" w:eastAsia="楷体"/>
          <w:sz w:val="24"/>
          <w:szCs w:val="24"/>
          <w:lang w:val="en-US" w:eastAsia="zh-CN"/>
        </w:rPr>
        <w:t>且</w:t>
      </w:r>
      <w:r>
        <w:rPr>
          <w:rFonts w:hint="eastAsia" w:ascii="楷体" w:hAnsi="楷体" w:eastAsia="楷体"/>
          <w:sz w:val="24"/>
          <w:szCs w:val="24"/>
        </w:rPr>
        <w:t>成功缴纳购买资金并经</w:t>
      </w:r>
      <w:r>
        <w:rPr>
          <w:rFonts w:hint="eastAsia" w:ascii="楷体" w:hAnsi="楷体" w:eastAsia="楷体"/>
          <w:sz w:val="24"/>
          <w:szCs w:val="24"/>
          <w:lang w:val="en-US" w:eastAsia="zh-CN"/>
        </w:rPr>
        <w:t>乙方</w:t>
      </w:r>
      <w:r>
        <w:rPr>
          <w:rFonts w:hint="eastAsia" w:ascii="楷体" w:hAnsi="楷体" w:eastAsia="楷体"/>
          <w:sz w:val="24"/>
          <w:szCs w:val="24"/>
        </w:rPr>
        <w:t>系统确认购买份额后生效</w:t>
      </w:r>
      <w:r>
        <w:rPr>
          <w:rFonts w:hint="eastAsia" w:ascii="楷体" w:hAnsi="楷体" w:eastAsia="楷体"/>
          <w:sz w:val="24"/>
          <w:szCs w:val="24"/>
          <w:lang w:eastAsia="zh-CN"/>
        </w:rPr>
        <w:t>。</w:t>
      </w:r>
      <w:r>
        <w:rPr>
          <w:rFonts w:hint="eastAsia" w:ascii="楷体" w:hAnsi="楷体" w:eastAsia="楷体"/>
          <w:sz w:val="24"/>
          <w:szCs w:val="24"/>
        </w:rPr>
        <w:t>甲方通过</w:t>
      </w:r>
      <w:r>
        <w:rPr>
          <w:rFonts w:hint="eastAsia" w:ascii="楷体" w:hAnsi="楷体" w:eastAsia="楷体"/>
          <w:sz w:val="24"/>
          <w:szCs w:val="24"/>
          <w:lang w:val="en-US" w:eastAsia="zh-CN"/>
        </w:rPr>
        <w:t>乙方或</w:t>
      </w:r>
      <w:r>
        <w:rPr>
          <w:rFonts w:hint="eastAsia" w:ascii="楷体" w:hAnsi="楷体" w:eastAsia="楷体"/>
          <w:sz w:val="24"/>
          <w:szCs w:val="24"/>
        </w:rPr>
        <w:t>销售服务机构电子渠道进行理财交易的，甲方在相应电子页面点击“确定”或“接受”或“已阅读并同意”或“同意”或“提交”或其他同等含义词语，即视为其已签署，表示其同意接受本协议、对应《理财产品说明书》《风险揭示书》和《</w:t>
      </w:r>
      <w:r>
        <w:rPr>
          <w:rFonts w:hint="eastAsia" w:ascii="楷体" w:hAnsi="楷体" w:eastAsia="楷体"/>
          <w:sz w:val="24"/>
          <w:szCs w:val="24"/>
          <w:lang w:val="en-US" w:eastAsia="zh-CN"/>
        </w:rPr>
        <w:t>投资者</w:t>
      </w:r>
      <w:r>
        <w:rPr>
          <w:rFonts w:hint="eastAsia" w:ascii="楷体" w:hAnsi="楷体" w:eastAsia="楷体"/>
          <w:sz w:val="24"/>
          <w:szCs w:val="24"/>
        </w:rPr>
        <w:t>权益须知》等相关销售文件的全部约定内容，认可其法律约束力。协议各方当事人认可电子渠道所产生电子数据的有效性。本协议生效并不代表甲方认</w:t>
      </w:r>
      <w:r>
        <w:rPr>
          <w:rFonts w:hint="eastAsia" w:ascii="楷体" w:hAnsi="楷体" w:eastAsia="楷体"/>
          <w:sz w:val="24"/>
          <w:szCs w:val="24"/>
          <w:lang w:eastAsia="zh-CN"/>
        </w:rPr>
        <w:t>（</w:t>
      </w:r>
      <w:r>
        <w:rPr>
          <w:rFonts w:hint="eastAsia" w:ascii="楷体" w:hAnsi="楷体" w:eastAsia="楷体"/>
          <w:sz w:val="24"/>
          <w:szCs w:val="24"/>
          <w:lang w:val="en-US" w:eastAsia="zh-CN"/>
        </w:rPr>
        <w:t>申</w:t>
      </w:r>
      <w:r>
        <w:rPr>
          <w:rFonts w:hint="eastAsia" w:ascii="楷体" w:hAnsi="楷体" w:eastAsia="楷体"/>
          <w:sz w:val="24"/>
          <w:szCs w:val="24"/>
          <w:lang w:eastAsia="zh-CN"/>
        </w:rPr>
        <w:t>）</w:t>
      </w:r>
      <w:r>
        <w:rPr>
          <w:rFonts w:hint="eastAsia" w:ascii="楷体" w:hAnsi="楷体" w:eastAsia="楷体"/>
          <w:sz w:val="24"/>
          <w:szCs w:val="24"/>
        </w:rPr>
        <w:t>购成功，是否认</w:t>
      </w:r>
      <w:r>
        <w:rPr>
          <w:rFonts w:hint="eastAsia" w:ascii="楷体" w:hAnsi="楷体" w:eastAsia="楷体"/>
          <w:sz w:val="24"/>
          <w:szCs w:val="24"/>
          <w:lang w:eastAsia="zh-CN"/>
        </w:rPr>
        <w:t>（</w:t>
      </w:r>
      <w:r>
        <w:rPr>
          <w:rFonts w:hint="eastAsia" w:ascii="楷体" w:hAnsi="楷体" w:eastAsia="楷体"/>
          <w:sz w:val="24"/>
          <w:szCs w:val="24"/>
          <w:lang w:val="en-US" w:eastAsia="zh-CN"/>
        </w:rPr>
        <w:t>申</w:t>
      </w:r>
      <w:r>
        <w:rPr>
          <w:rFonts w:hint="eastAsia" w:ascii="楷体" w:hAnsi="楷体" w:eastAsia="楷体"/>
          <w:sz w:val="24"/>
          <w:szCs w:val="24"/>
          <w:lang w:eastAsia="zh-CN"/>
        </w:rPr>
        <w:t>）</w:t>
      </w:r>
      <w:r>
        <w:rPr>
          <w:rFonts w:hint="eastAsia" w:ascii="楷体" w:hAnsi="楷体" w:eastAsia="楷体"/>
          <w:sz w:val="24"/>
          <w:szCs w:val="24"/>
        </w:rPr>
        <w:t>购成功以及认</w:t>
      </w:r>
      <w:r>
        <w:rPr>
          <w:rFonts w:hint="eastAsia" w:ascii="楷体" w:hAnsi="楷体" w:eastAsia="楷体"/>
          <w:sz w:val="24"/>
          <w:szCs w:val="24"/>
          <w:lang w:eastAsia="zh-CN"/>
        </w:rPr>
        <w:t>（</w:t>
      </w:r>
      <w:r>
        <w:rPr>
          <w:rFonts w:hint="eastAsia" w:ascii="楷体" w:hAnsi="楷体" w:eastAsia="楷体"/>
          <w:sz w:val="24"/>
          <w:szCs w:val="24"/>
          <w:lang w:val="en-US" w:eastAsia="zh-CN"/>
        </w:rPr>
        <w:t>申</w:t>
      </w:r>
      <w:r>
        <w:rPr>
          <w:rFonts w:hint="eastAsia" w:ascii="楷体" w:hAnsi="楷体" w:eastAsia="楷体"/>
          <w:sz w:val="24"/>
          <w:szCs w:val="24"/>
          <w:lang w:eastAsia="zh-CN"/>
        </w:rPr>
        <w:t>）</w:t>
      </w:r>
      <w:r>
        <w:rPr>
          <w:rFonts w:hint="eastAsia" w:ascii="楷体" w:hAnsi="楷体" w:eastAsia="楷体"/>
          <w:sz w:val="24"/>
          <w:szCs w:val="24"/>
        </w:rPr>
        <w:t>购的具体金额以乙方最终确认为准。</w:t>
      </w:r>
    </w:p>
    <w:p>
      <w:pPr>
        <w:ind w:firstLine="420"/>
        <w:rPr>
          <w:rStyle w:val="19"/>
        </w:rPr>
      </w:pPr>
      <w:r>
        <w:rPr>
          <w:rFonts w:hint="eastAsia" w:ascii="楷体" w:hAnsi="楷体" w:eastAsia="楷体"/>
          <w:sz w:val="24"/>
          <w:szCs w:val="24"/>
          <w:lang w:val="en-US" w:eastAsia="zh-CN"/>
        </w:rPr>
        <w:t>2. 甲方</w:t>
      </w:r>
      <w:r>
        <w:rPr>
          <w:rFonts w:hint="eastAsia" w:ascii="楷体" w:hAnsi="楷体" w:eastAsia="楷体"/>
          <w:sz w:val="24"/>
          <w:szCs w:val="24"/>
        </w:rPr>
        <w:t>在办理理财产品的购买、赎回等交易后，需通过</w:t>
      </w:r>
      <w:r>
        <w:rPr>
          <w:rFonts w:hint="eastAsia" w:ascii="楷体" w:hAnsi="楷体" w:eastAsia="楷体"/>
          <w:sz w:val="24"/>
          <w:szCs w:val="24"/>
          <w:lang w:val="en-US" w:eastAsia="zh-CN"/>
        </w:rPr>
        <w:t>销售</w:t>
      </w:r>
      <w:r>
        <w:rPr>
          <w:rFonts w:hint="eastAsia" w:ascii="楷体" w:hAnsi="楷体" w:eastAsia="楷体"/>
          <w:sz w:val="24"/>
          <w:szCs w:val="24"/>
        </w:rPr>
        <w:t>机构营业网点或网上销售平台查询相关交易的确认情况，最终以</w:t>
      </w:r>
      <w:r>
        <w:rPr>
          <w:rFonts w:hint="eastAsia" w:ascii="楷体" w:hAnsi="楷体" w:eastAsia="楷体"/>
          <w:sz w:val="24"/>
          <w:szCs w:val="24"/>
          <w:lang w:val="en-US" w:eastAsia="zh-CN"/>
        </w:rPr>
        <w:t>乙方</w:t>
      </w:r>
      <w:r>
        <w:rPr>
          <w:rFonts w:hint="eastAsia" w:ascii="楷体" w:hAnsi="楷体" w:eastAsia="楷体"/>
          <w:sz w:val="24"/>
          <w:szCs w:val="24"/>
        </w:rPr>
        <w:t>确认的产品购买金额或赎回份额作为理财产品合同的生效或终止依据。</w:t>
      </w:r>
    </w:p>
    <w:p>
      <w:pPr>
        <w:ind w:firstLine="420"/>
        <w:rPr>
          <w:rFonts w:hint="eastAsia" w:ascii="楷体" w:hAnsi="楷体" w:eastAsia="楷体"/>
          <w:color w:val="0000FF"/>
          <w:sz w:val="24"/>
          <w:szCs w:val="24"/>
        </w:rPr>
      </w:pPr>
      <w:r>
        <w:rPr>
          <w:rFonts w:hint="eastAsia" w:ascii="楷体" w:hAnsi="楷体" w:eastAsia="楷体" w:cs="Times New Roman"/>
          <w:sz w:val="24"/>
          <w:szCs w:val="24"/>
          <w:lang w:val="en-US" w:eastAsia="zh-CN"/>
        </w:rPr>
        <w:t xml:space="preserve">3. </w:t>
      </w:r>
      <w:r>
        <w:rPr>
          <w:rFonts w:hint="eastAsia" w:ascii="楷体" w:hAnsi="楷体" w:eastAsia="楷体" w:cs="Times New Roman"/>
          <w:sz w:val="24"/>
          <w:szCs w:val="24"/>
        </w:rPr>
        <w:t>除按《理财</w:t>
      </w:r>
      <w:r>
        <w:rPr>
          <w:rFonts w:hint="eastAsia" w:ascii="楷体" w:hAnsi="楷体" w:eastAsia="楷体" w:cs="浠垮畫"/>
          <w:color w:val="auto"/>
          <w:kern w:val="0"/>
          <w:sz w:val="24"/>
          <w:szCs w:val="24"/>
        </w:rPr>
        <w:t>产品说明书》约定</w:t>
      </w:r>
      <w:r>
        <w:rPr>
          <w:rFonts w:hint="eastAsia" w:ascii="楷体" w:hAnsi="楷体" w:eastAsia="楷体" w:cs="浠垮畫"/>
          <w:color w:val="auto"/>
          <w:kern w:val="0"/>
          <w:sz w:val="24"/>
          <w:szCs w:val="24"/>
          <w:lang w:val="en-US" w:eastAsia="zh-CN"/>
        </w:rPr>
        <w:t>乙方有权</w:t>
      </w:r>
      <w:r>
        <w:rPr>
          <w:rFonts w:hint="eastAsia" w:ascii="楷体" w:hAnsi="楷体" w:eastAsia="楷体" w:cs="浠垮畫"/>
          <w:color w:val="auto"/>
          <w:kern w:val="0"/>
          <w:sz w:val="24"/>
          <w:szCs w:val="24"/>
        </w:rPr>
        <w:t>提前终止</w:t>
      </w:r>
      <w:r>
        <w:rPr>
          <w:rFonts w:hint="eastAsia" w:ascii="楷体" w:hAnsi="楷体" w:eastAsia="楷体" w:cs="浠垮畫"/>
          <w:color w:val="auto"/>
          <w:kern w:val="0"/>
          <w:sz w:val="24"/>
          <w:szCs w:val="24"/>
          <w:lang w:val="en-US" w:eastAsia="zh-CN"/>
        </w:rPr>
        <w:t>情形</w:t>
      </w:r>
      <w:r>
        <w:rPr>
          <w:rFonts w:hint="eastAsia" w:ascii="楷体" w:hAnsi="楷体" w:eastAsia="楷体" w:cs="浠垮畫"/>
          <w:color w:val="auto"/>
          <w:kern w:val="0"/>
          <w:sz w:val="24"/>
          <w:szCs w:val="24"/>
        </w:rPr>
        <w:t>外，甲方有违约行为或交易资金被国家有权机关采取保全措施时，乙方有权提前终止本协议。</w:t>
      </w:r>
    </w:p>
    <w:p>
      <w:pPr>
        <w:ind w:firstLine="420"/>
        <w:rPr>
          <w:rFonts w:hint="eastAsia" w:ascii="楷体" w:hAnsi="楷体" w:eastAsia="楷体"/>
          <w:sz w:val="24"/>
          <w:szCs w:val="24"/>
        </w:rPr>
      </w:pPr>
      <w:r>
        <w:rPr>
          <w:rFonts w:hint="eastAsia" w:ascii="楷体" w:hAnsi="楷体" w:eastAsia="楷体"/>
          <w:sz w:val="24"/>
          <w:szCs w:val="24"/>
          <w:lang w:val="en-US" w:eastAsia="zh-CN"/>
        </w:rPr>
        <w:t>4. 乙方</w:t>
      </w:r>
      <w:r>
        <w:rPr>
          <w:rFonts w:hint="eastAsia" w:ascii="楷体" w:hAnsi="楷体" w:eastAsia="楷体"/>
          <w:sz w:val="24"/>
          <w:szCs w:val="24"/>
        </w:rPr>
        <w:t>或代销机构发现或有合理理由怀疑</w:t>
      </w:r>
      <w:r>
        <w:rPr>
          <w:rFonts w:hint="eastAsia" w:ascii="楷体" w:hAnsi="楷体" w:eastAsia="楷体"/>
          <w:sz w:val="24"/>
          <w:szCs w:val="24"/>
          <w:lang w:val="en-US" w:eastAsia="zh-CN"/>
        </w:rPr>
        <w:t>甲方</w:t>
      </w:r>
      <w:r>
        <w:rPr>
          <w:rFonts w:hint="eastAsia" w:ascii="楷体" w:hAnsi="楷体" w:eastAsia="楷体"/>
          <w:sz w:val="24"/>
          <w:szCs w:val="24"/>
        </w:rPr>
        <w:t>或其资金存在洗钱、恐怖融资、逃税等嫌疑，</w:t>
      </w:r>
      <w:r>
        <w:rPr>
          <w:rFonts w:hint="eastAsia" w:ascii="楷体" w:hAnsi="楷体" w:eastAsia="楷体"/>
          <w:sz w:val="24"/>
          <w:szCs w:val="24"/>
          <w:lang w:val="en-US" w:eastAsia="zh-CN"/>
        </w:rPr>
        <w:t>乙方</w:t>
      </w:r>
      <w:r>
        <w:rPr>
          <w:rFonts w:hint="eastAsia" w:ascii="楷体" w:hAnsi="楷体" w:eastAsia="楷体"/>
          <w:sz w:val="24"/>
          <w:szCs w:val="24"/>
        </w:rPr>
        <w:t>有权提前终止本协议，造成</w:t>
      </w:r>
      <w:r>
        <w:rPr>
          <w:rFonts w:hint="eastAsia" w:ascii="楷体" w:hAnsi="楷体" w:eastAsia="楷体"/>
          <w:sz w:val="24"/>
          <w:szCs w:val="24"/>
          <w:lang w:val="en-US" w:eastAsia="zh-CN"/>
        </w:rPr>
        <w:t>甲方</w:t>
      </w:r>
      <w:r>
        <w:rPr>
          <w:rFonts w:hint="eastAsia" w:ascii="楷体" w:hAnsi="楷体" w:eastAsia="楷体"/>
          <w:sz w:val="24"/>
          <w:szCs w:val="24"/>
        </w:rPr>
        <w:t>损失的，</w:t>
      </w:r>
      <w:r>
        <w:rPr>
          <w:rFonts w:hint="eastAsia" w:ascii="楷体" w:hAnsi="楷体" w:eastAsia="楷体"/>
          <w:sz w:val="24"/>
          <w:szCs w:val="24"/>
          <w:lang w:val="en-US" w:eastAsia="zh-CN"/>
        </w:rPr>
        <w:t>乙方</w:t>
      </w:r>
      <w:r>
        <w:rPr>
          <w:rFonts w:hint="eastAsia" w:ascii="楷体" w:hAnsi="楷体" w:eastAsia="楷体"/>
          <w:sz w:val="24"/>
          <w:szCs w:val="24"/>
        </w:rPr>
        <w:t>不承担责任。</w:t>
      </w:r>
    </w:p>
    <w:p>
      <w:pPr>
        <w:ind w:firstLine="420"/>
        <w:rPr>
          <w:rFonts w:hint="eastAsia" w:ascii="楷体" w:hAnsi="楷体" w:eastAsia="楷体"/>
          <w:sz w:val="24"/>
          <w:szCs w:val="24"/>
        </w:rPr>
      </w:pPr>
      <w:r>
        <w:rPr>
          <w:rFonts w:hint="eastAsia" w:ascii="楷体" w:hAnsi="楷体" w:eastAsia="楷体"/>
          <w:sz w:val="24"/>
          <w:szCs w:val="24"/>
          <w:lang w:val="en-US" w:eastAsia="zh-CN"/>
        </w:rPr>
        <w:t xml:space="preserve">5. </w:t>
      </w:r>
      <w:r>
        <w:rPr>
          <w:rFonts w:hint="eastAsia" w:ascii="楷体" w:hAnsi="楷体" w:eastAsia="楷体"/>
          <w:sz w:val="24"/>
          <w:szCs w:val="24"/>
        </w:rPr>
        <w:t>本协议及《理财产品说明书》、《理财产品</w:t>
      </w:r>
      <w:r>
        <w:rPr>
          <w:rFonts w:hint="eastAsia" w:ascii="楷体" w:hAnsi="楷体" w:eastAsia="楷体"/>
          <w:sz w:val="24"/>
          <w:szCs w:val="24"/>
          <w:lang w:eastAsia="zh-CN"/>
        </w:rPr>
        <w:t>（</w:t>
      </w:r>
      <w:r>
        <w:rPr>
          <w:rFonts w:hint="eastAsia" w:ascii="楷体" w:hAnsi="楷体" w:eastAsia="楷体"/>
          <w:sz w:val="24"/>
          <w:szCs w:val="24"/>
        </w:rPr>
        <w:t>代理</w:t>
      </w:r>
      <w:r>
        <w:rPr>
          <w:rFonts w:hint="eastAsia" w:ascii="楷体" w:hAnsi="楷体" w:eastAsia="楷体"/>
          <w:sz w:val="24"/>
          <w:szCs w:val="24"/>
          <w:lang w:eastAsia="zh-CN"/>
        </w:rPr>
        <w:t>）</w:t>
      </w:r>
      <w:r>
        <w:rPr>
          <w:rFonts w:hint="eastAsia" w:ascii="楷体" w:hAnsi="楷体" w:eastAsia="楷体"/>
          <w:sz w:val="24"/>
          <w:szCs w:val="24"/>
        </w:rPr>
        <w:t>销售协议书》项下各方权利义务履行完毕之日，本协议自动终止。</w:t>
      </w:r>
    </w:p>
    <w:p>
      <w:pPr>
        <w:ind w:firstLine="420"/>
        <w:rPr>
          <w:rFonts w:ascii="楷体" w:hAnsi="楷体" w:eastAsia="楷体"/>
          <w:b/>
          <w:sz w:val="24"/>
          <w:szCs w:val="24"/>
        </w:rPr>
      </w:pPr>
      <w:r>
        <w:rPr>
          <w:rFonts w:hint="eastAsia" w:ascii="楷体" w:hAnsi="楷体" w:eastAsia="楷体"/>
          <w:b/>
          <w:sz w:val="24"/>
          <w:szCs w:val="24"/>
        </w:rPr>
        <w:t>九、本合同的订立、生效、履行、解释、修改和终止等事项均适用中华人民共和国（不包括香港特别行政区、澳门特别行政区和台湾地区）法律。</w:t>
      </w:r>
    </w:p>
    <w:p>
      <w:pPr>
        <w:ind w:firstLine="420"/>
        <w:rPr>
          <w:rFonts w:ascii="楷体" w:hAnsi="楷体" w:eastAsia="楷体"/>
          <w:sz w:val="24"/>
          <w:szCs w:val="24"/>
        </w:rPr>
      </w:pPr>
      <w:r>
        <w:rPr>
          <w:rFonts w:hint="eastAsia" w:ascii="楷体" w:hAnsi="楷体" w:eastAsia="楷体"/>
          <w:sz w:val="24"/>
          <w:szCs w:val="24"/>
        </w:rPr>
        <w:t>因本合同引起的或与本合同有关的任何争议，应当首先通过双方之间的友好协商解决；协商不成的，双方均有权提交</w:t>
      </w:r>
      <w:r>
        <w:rPr>
          <w:rFonts w:hint="eastAsia" w:ascii="楷体" w:hAnsi="楷体" w:eastAsia="楷体"/>
          <w:sz w:val="24"/>
          <w:szCs w:val="24"/>
          <w:lang w:val="en-US" w:eastAsia="zh-CN"/>
        </w:rPr>
        <w:t>乙方</w:t>
      </w:r>
      <w:r>
        <w:rPr>
          <w:rFonts w:hint="eastAsia" w:ascii="楷体" w:hAnsi="楷体" w:eastAsia="楷体"/>
          <w:sz w:val="24"/>
          <w:szCs w:val="24"/>
        </w:rPr>
        <w:t>所在地有管辖权的人民法院诉讼解决。</w:t>
      </w:r>
    </w:p>
    <w:p>
      <w:pPr>
        <w:ind w:firstLine="420"/>
        <w:rPr>
          <w:rFonts w:ascii="楷体" w:hAnsi="楷体" w:eastAsia="楷体"/>
          <w:b/>
          <w:sz w:val="24"/>
          <w:szCs w:val="24"/>
        </w:rPr>
      </w:pPr>
      <w:r>
        <w:rPr>
          <w:rFonts w:hint="eastAsia" w:ascii="楷体" w:hAnsi="楷体" w:eastAsia="楷体"/>
          <w:b/>
          <w:sz w:val="24"/>
          <w:szCs w:val="24"/>
        </w:rPr>
        <w:t>十、本投资协议书未尽事宜，以理财产品说明书、风险揭示书、</w:t>
      </w:r>
      <w:r>
        <w:rPr>
          <w:rFonts w:hint="eastAsia" w:ascii="楷体" w:hAnsi="楷体" w:eastAsia="楷体"/>
          <w:b/>
          <w:sz w:val="24"/>
          <w:szCs w:val="24"/>
          <w:lang w:val="en-US" w:eastAsia="zh-CN"/>
        </w:rPr>
        <w:t>理财产品（</w:t>
      </w:r>
      <w:r>
        <w:rPr>
          <w:rFonts w:hint="eastAsia" w:ascii="楷体" w:hAnsi="楷体" w:eastAsia="楷体"/>
          <w:b/>
          <w:sz w:val="24"/>
          <w:szCs w:val="24"/>
        </w:rPr>
        <w:t>代理</w:t>
      </w:r>
      <w:r>
        <w:rPr>
          <w:rFonts w:hint="eastAsia" w:ascii="楷体" w:hAnsi="楷体" w:eastAsia="楷体"/>
          <w:b/>
          <w:sz w:val="24"/>
          <w:szCs w:val="24"/>
          <w:lang w:eastAsia="zh-CN"/>
        </w:rPr>
        <w:t>）</w:t>
      </w:r>
      <w:r>
        <w:rPr>
          <w:rFonts w:hint="eastAsia" w:ascii="楷体" w:hAnsi="楷体" w:eastAsia="楷体"/>
          <w:b/>
          <w:sz w:val="24"/>
          <w:szCs w:val="24"/>
        </w:rPr>
        <w:t>销售协议书、投资者权益须知的约定内容为准。</w:t>
      </w:r>
    </w:p>
    <w:p>
      <w:pPr>
        <w:ind w:firstLine="420"/>
        <w:rPr>
          <w:rFonts w:ascii="楷体" w:hAnsi="楷体" w:eastAsia="楷体"/>
          <w:b/>
          <w:sz w:val="24"/>
          <w:szCs w:val="24"/>
        </w:rPr>
      </w:pPr>
    </w:p>
    <w:p>
      <w:pPr>
        <w:ind w:firstLine="420"/>
        <w:rPr>
          <w:rFonts w:ascii="楷体" w:hAnsi="楷体" w:eastAsia="楷体"/>
          <w:b/>
          <w:sz w:val="24"/>
          <w:szCs w:val="24"/>
        </w:rPr>
      </w:pPr>
    </w:p>
    <w:p>
      <w:pPr>
        <w:ind w:firstLine="420"/>
        <w:rPr>
          <w:rFonts w:hint="eastAsia" w:ascii="楷体" w:hAnsi="楷体" w:eastAsia="楷体"/>
          <w:b/>
          <w:sz w:val="24"/>
          <w:szCs w:val="24"/>
        </w:rPr>
      </w:pPr>
    </w:p>
    <w:p>
      <w:pPr>
        <w:ind w:firstLine="420"/>
        <w:rPr>
          <w:rFonts w:hint="eastAsia" w:ascii="楷体" w:hAnsi="楷体" w:eastAsia="楷体"/>
          <w:sz w:val="24"/>
          <w:szCs w:val="24"/>
        </w:rPr>
      </w:pPr>
    </w:p>
    <w:p>
      <w:pPr>
        <w:rPr>
          <w:rFonts w:hint="eastAsia" w:ascii="楷体" w:hAnsi="楷体" w:eastAsia="楷体"/>
          <w:sz w:val="24"/>
          <w:szCs w:val="24"/>
        </w:rPr>
      </w:pPr>
      <w:r>
        <w:rPr>
          <w:rFonts w:ascii="楷体" w:hAnsi="楷体" w:eastAsia="楷体"/>
          <w:sz w:val="24"/>
          <w:szCs w:val="24"/>
        </w:rPr>
        <w:t>甲方</w:t>
      </w:r>
      <w:r>
        <w:rPr>
          <w:rFonts w:hint="eastAsia" w:ascii="楷体" w:hAnsi="楷体" w:eastAsia="楷体"/>
          <w:sz w:val="24"/>
          <w:szCs w:val="24"/>
        </w:rPr>
        <w:t xml:space="preserve">（个人客户签字）：      </w:t>
      </w:r>
      <w:r>
        <w:rPr>
          <w:rFonts w:ascii="楷体" w:hAnsi="楷体" w:eastAsia="楷体"/>
          <w:sz w:val="24"/>
          <w:szCs w:val="24"/>
        </w:rPr>
        <w:t>甲方</w:t>
      </w:r>
      <w:r>
        <w:rPr>
          <w:rFonts w:hint="eastAsia" w:ascii="楷体" w:hAnsi="楷体" w:eastAsia="楷体"/>
          <w:sz w:val="24"/>
          <w:szCs w:val="24"/>
        </w:rPr>
        <w:t>（机构客户盖章）：</w:t>
      </w: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r>
        <w:rPr>
          <w:rFonts w:hint="eastAsia" w:ascii="楷体" w:hAnsi="楷体" w:eastAsia="楷体"/>
        </w:rPr>
        <w:t xml:space="preserve">                               </w:t>
      </w:r>
      <w:r>
        <w:rPr>
          <w:rFonts w:hint="eastAsia" w:ascii="楷体" w:hAnsi="楷体" w:eastAsia="楷体"/>
          <w:sz w:val="24"/>
          <w:szCs w:val="24"/>
        </w:rPr>
        <w:t>机构客户法定代表人或授权代表（签字或盖章）</w:t>
      </w: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rPr>
      </w:pPr>
    </w:p>
    <w:p>
      <w:pPr>
        <w:rPr>
          <w:rFonts w:hint="eastAsia" w:ascii="楷体" w:hAnsi="楷体" w:eastAsia="楷体"/>
          <w:sz w:val="24"/>
          <w:szCs w:val="24"/>
        </w:rPr>
      </w:pPr>
      <w:r>
        <w:rPr>
          <w:rFonts w:ascii="楷体" w:hAnsi="楷体" w:eastAsia="楷体"/>
          <w:sz w:val="24"/>
          <w:szCs w:val="24"/>
        </w:rPr>
        <w:t>乙方</w:t>
      </w:r>
      <w:r>
        <w:rPr>
          <w:rFonts w:hint="eastAsia" w:ascii="楷体" w:hAnsi="楷体" w:eastAsia="楷体"/>
          <w:sz w:val="24"/>
          <w:szCs w:val="24"/>
        </w:rPr>
        <w:t>：苏银</w:t>
      </w:r>
      <w:r>
        <w:rPr>
          <w:rFonts w:ascii="楷体" w:hAnsi="楷体" w:eastAsia="楷体"/>
          <w:sz w:val="24"/>
          <w:szCs w:val="24"/>
        </w:rPr>
        <w:t>理财有限责任公司</w:t>
      </w:r>
    </w:p>
    <w:p>
      <w:pPr>
        <w:rPr>
          <w:rFonts w:hint="eastAsia" w:ascii="楷体" w:hAnsi="楷体" w:eastAsia="楷体"/>
          <w:sz w:val="24"/>
          <w:szCs w:val="24"/>
        </w:rPr>
      </w:pPr>
    </w:p>
    <w:p>
      <w:pPr>
        <w:rPr>
          <w:rFonts w:hint="eastAsia" w:ascii="楷体" w:hAnsi="楷体" w:eastAsia="楷体"/>
        </w:rPr>
      </w:pPr>
    </w:p>
    <w:p>
      <w:pPr>
        <w:rPr>
          <w:rFonts w:hint="eastAsia" w:ascii="楷体" w:hAnsi="楷体" w:eastAsia="楷体"/>
          <w:sz w:val="24"/>
          <w:szCs w:val="24"/>
        </w:rPr>
      </w:pPr>
    </w:p>
    <w:p>
      <w:pPr>
        <w:rPr>
          <w:rFonts w:hint="eastAsia" w:ascii="楷体" w:hAnsi="楷体" w:eastAsia="楷体"/>
          <w:sz w:val="24"/>
          <w:szCs w:val="24"/>
        </w:rPr>
      </w:pPr>
    </w:p>
    <w:p>
      <w:pPr>
        <w:rPr>
          <w:rFonts w:hint="eastAsia" w:ascii="楷体" w:hAnsi="楷体" w:eastAsia="楷体"/>
          <w:sz w:val="24"/>
          <w:szCs w:val="24"/>
        </w:rPr>
      </w:pPr>
    </w:p>
    <w:p>
      <w:pPr>
        <w:autoSpaceDE w:val="0"/>
        <w:autoSpaceDN w:val="0"/>
        <w:adjustRightInd w:val="0"/>
        <w:rPr>
          <w:rFonts w:hint="eastAsia" w:ascii="楷体" w:hAnsi="楷体" w:eastAsia="楷体"/>
          <w:sz w:val="24"/>
          <w:szCs w:val="24"/>
        </w:rPr>
      </w:pPr>
      <w:r>
        <w:rPr>
          <w:rFonts w:ascii="楷体" w:hAnsi="楷体" w:eastAsia="楷体"/>
          <w:sz w:val="24"/>
          <w:szCs w:val="24"/>
        </w:rPr>
        <w:t>签署日期：</w:t>
      </w:r>
      <w:r>
        <w:rPr>
          <w:rFonts w:hint="eastAsia" w:ascii="楷体" w:hAnsi="楷体" w:eastAsia="楷体"/>
          <w:sz w:val="24"/>
          <w:szCs w:val="24"/>
        </w:rPr>
        <w:t xml:space="preserve">      </w:t>
      </w:r>
      <w:r>
        <w:rPr>
          <w:rFonts w:ascii="楷体" w:hAnsi="楷体" w:eastAsia="楷体"/>
          <w:sz w:val="24"/>
          <w:szCs w:val="24"/>
        </w:rPr>
        <w:t>年</w:t>
      </w:r>
      <w:r>
        <w:rPr>
          <w:rFonts w:hint="eastAsia" w:ascii="楷体" w:hAnsi="楷体" w:eastAsia="楷体"/>
          <w:sz w:val="24"/>
          <w:szCs w:val="24"/>
        </w:rPr>
        <w:t xml:space="preserve">      </w:t>
      </w:r>
      <w:r>
        <w:rPr>
          <w:rFonts w:ascii="楷体" w:hAnsi="楷体" w:eastAsia="楷体"/>
          <w:sz w:val="24"/>
          <w:szCs w:val="24"/>
        </w:rPr>
        <w:t>月</w:t>
      </w:r>
      <w:r>
        <w:rPr>
          <w:rFonts w:hint="eastAsia" w:ascii="楷体" w:hAnsi="楷体" w:eastAsia="楷体"/>
          <w:sz w:val="24"/>
          <w:szCs w:val="24"/>
        </w:rPr>
        <w:t xml:space="preserve">     日</w:t>
      </w:r>
    </w:p>
    <w:p>
      <w:pPr>
        <w:jc w:val="both"/>
        <w:rPr>
          <w:rFonts w:hint="eastAsia" w:ascii="楷体" w:hAnsi="楷体" w:eastAsia="楷体"/>
          <w:sz w:val="24"/>
          <w:szCs w:val="24"/>
        </w:rPr>
      </w:pPr>
    </w:p>
    <w:p>
      <w:pPr>
        <w:pStyle w:val="12"/>
        <w:spacing w:before="0" w:beforeAutospacing="0" w:after="0" w:afterAutospacing="0"/>
        <w:jc w:val="center"/>
        <w:rPr>
          <w:rFonts w:ascii="楷体" w:hAnsi="楷体" w:eastAsia="楷体"/>
          <w:b/>
          <w:sz w:val="28"/>
          <w:szCs w:val="28"/>
        </w:rPr>
      </w:pPr>
    </w:p>
    <w:p>
      <w:pPr>
        <w:pStyle w:val="12"/>
        <w:spacing w:before="0" w:beforeAutospacing="0" w:after="0" w:afterAutospacing="0"/>
        <w:jc w:val="center"/>
        <w:rPr>
          <w:rFonts w:ascii="楷体" w:hAnsi="楷体" w:eastAsia="楷体"/>
          <w:b/>
          <w:sz w:val="28"/>
          <w:szCs w:val="28"/>
        </w:rPr>
      </w:pPr>
    </w:p>
    <w:p>
      <w:pPr>
        <w:pStyle w:val="12"/>
        <w:spacing w:before="0" w:beforeAutospacing="0" w:after="0" w:afterAutospacing="0"/>
        <w:jc w:val="center"/>
        <w:rPr>
          <w:rFonts w:ascii="楷体" w:hAnsi="楷体" w:eastAsia="楷体"/>
          <w:b/>
          <w:sz w:val="28"/>
          <w:szCs w:val="28"/>
        </w:rPr>
      </w:pPr>
    </w:p>
    <w:p>
      <w:pPr>
        <w:pStyle w:val="12"/>
        <w:spacing w:before="0" w:beforeAutospacing="0" w:after="0" w:afterAutospacing="0"/>
        <w:jc w:val="center"/>
        <w:rPr>
          <w:rFonts w:ascii="楷体" w:hAnsi="楷体" w:eastAsia="楷体"/>
          <w:b/>
          <w:sz w:val="28"/>
          <w:szCs w:val="28"/>
        </w:rPr>
      </w:pPr>
    </w:p>
    <w:p>
      <w:pPr>
        <w:pStyle w:val="12"/>
        <w:spacing w:before="0" w:beforeAutospacing="0" w:after="0" w:afterAutospacing="0"/>
        <w:jc w:val="center"/>
        <w:rPr>
          <w:rFonts w:ascii="楷体" w:hAnsi="楷体" w:eastAsia="楷体"/>
          <w:b/>
          <w:sz w:val="28"/>
          <w:szCs w:val="28"/>
        </w:rPr>
      </w:pPr>
    </w:p>
    <w:p>
      <w:pPr>
        <w:pStyle w:val="12"/>
        <w:spacing w:before="0" w:beforeAutospacing="0" w:after="0" w:afterAutospacing="0"/>
        <w:jc w:val="center"/>
        <w:rPr>
          <w:rFonts w:ascii="楷体" w:hAnsi="楷体" w:eastAsia="楷体"/>
          <w:b/>
          <w:sz w:val="28"/>
          <w:szCs w:val="28"/>
        </w:rPr>
      </w:pPr>
    </w:p>
    <w:p>
      <w:pPr>
        <w:pStyle w:val="12"/>
        <w:spacing w:before="0" w:beforeAutospacing="0" w:after="0" w:afterAutospacing="0"/>
        <w:jc w:val="center"/>
        <w:rPr>
          <w:rFonts w:ascii="楷体" w:hAnsi="楷体" w:eastAsia="楷体"/>
          <w:b/>
          <w:sz w:val="28"/>
          <w:szCs w:val="28"/>
        </w:rPr>
      </w:pPr>
    </w:p>
    <w:p>
      <w:pPr>
        <w:pStyle w:val="12"/>
        <w:spacing w:before="0" w:beforeAutospacing="0" w:after="0" w:afterAutospacing="0"/>
        <w:jc w:val="center"/>
        <w:rPr>
          <w:rFonts w:ascii="楷体" w:hAnsi="楷体" w:eastAsia="楷体"/>
          <w:b/>
          <w:sz w:val="28"/>
          <w:szCs w:val="28"/>
        </w:rPr>
      </w:pPr>
    </w:p>
    <w:p>
      <w:pPr>
        <w:pStyle w:val="12"/>
        <w:spacing w:before="0" w:beforeAutospacing="0" w:after="0" w:afterAutospacing="0"/>
        <w:jc w:val="center"/>
        <w:rPr>
          <w:rFonts w:ascii="楷体" w:hAnsi="楷体" w:eastAsia="楷体"/>
          <w:b/>
          <w:sz w:val="28"/>
          <w:szCs w:val="28"/>
        </w:rPr>
      </w:pPr>
    </w:p>
    <w:p>
      <w:pPr>
        <w:pStyle w:val="12"/>
        <w:spacing w:before="0" w:beforeAutospacing="0" w:after="0" w:afterAutospacing="0"/>
        <w:jc w:val="center"/>
        <w:rPr>
          <w:rFonts w:ascii="楷体" w:hAnsi="楷体" w:eastAsia="楷体"/>
          <w:b/>
          <w:sz w:val="28"/>
          <w:szCs w:val="28"/>
        </w:rPr>
      </w:pPr>
    </w:p>
    <w:p>
      <w:pPr>
        <w:pStyle w:val="12"/>
        <w:spacing w:before="0" w:beforeAutospacing="0" w:after="0" w:afterAutospacing="0"/>
        <w:jc w:val="center"/>
        <w:rPr>
          <w:rFonts w:ascii="楷体" w:hAnsi="楷体" w:eastAsia="楷体"/>
          <w:b/>
          <w:sz w:val="28"/>
          <w:szCs w:val="28"/>
        </w:rPr>
      </w:pPr>
    </w:p>
    <w:p>
      <w:pPr>
        <w:rPr>
          <w:rFonts w:ascii="楷体" w:hAnsi="楷体" w:eastAsia="楷体"/>
          <w:sz w:val="24"/>
          <w:szCs w:val="24"/>
        </w:rPr>
      </w:pPr>
      <w:bookmarkStart w:id="0" w:name="_GoBack"/>
      <w:bookmarkEnd w:id="0"/>
    </w:p>
    <w:sectPr>
      <w:headerReference r:id="rId5" w:type="first"/>
      <w:headerReference r:id="rId3" w:type="default"/>
      <w:footerReference r:id="rId6" w:type="default"/>
      <w:head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浠垮畫">
    <w:altName w:val="方正仿宋简体"/>
    <w:panose1 w:val="00000000000000000000"/>
    <w:charset w:val="86"/>
    <w:family w:val="auto"/>
    <w:pitch w:val="default"/>
    <w:sig w:usb0="00000000" w:usb1="00000000" w:usb2="00000010" w:usb3="00000000" w:csb0="0004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41</w:t>
    </w:r>
    <w:r>
      <w:rPr>
        <w:b/>
        <w:bCs/>
        <w:sz w:val="24"/>
        <w:szCs w:val="24"/>
      </w:rPr>
      <w:fldChar w:fldCharType="end"/>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insoku w:val="0"/>
      <w:overflowPunct w:val="0"/>
      <w:spacing w:before="0" w:line="320" w:lineRule="exact"/>
      <w:ind w:left="20"/>
      <w:jc w:val="both"/>
      <w:rPr>
        <w:rFonts w:ascii="楷体" w:hAnsi="楷体" w:eastAsia="楷体" w:cs="黑体"/>
        <w:b/>
        <w:spacing w:val="-2"/>
        <w:sz w:val="24"/>
        <w:szCs w:val="24"/>
      </w:rPr>
    </w:pPr>
    <w:r>
      <w:rPr>
        <w:rFonts w:ascii="楷体" w:hAnsi="楷体" w:eastAsia="楷体"/>
        <w:b/>
      </w:rPr>
      <w:pict>
        <v:shape id="WordPictureWatermark367128483" o:spid="_x0000_s2060" o:spt="75" type="#_x0000_t75" style="position:absolute;left:0pt;margin-left:-361pt;margin-top:-83.1pt;height:862.85pt;width:1137.35pt;mso-position-horizontal-relative:margin;mso-position-vertical-relative:margin;z-index:-251655168;mso-width-relative:page;mso-height-relative:page;" filled="f" o:preferrelative="t" stroked="f" coordsize="21600,21600" o:allowincell="f">
          <v:path/>
          <v:fill on="f" focussize="0,0"/>
          <v:stroke on="f" joinstyle="miter"/>
          <v:imagedata r:id="rId1" gain="19661f" blacklevel="22938f" o:title="苏银理财"/>
          <o:lock v:ext="edit" aspectratio="t"/>
        </v:shape>
      </w:pict>
    </w:r>
    <w:r>
      <w:drawing>
        <wp:anchor distT="0" distB="0" distL="114300" distR="114300" simplePos="0" relativeHeight="251662336" behindDoc="0" locked="0" layoutInCell="1" allowOverlap="1">
          <wp:simplePos x="0" y="0"/>
          <wp:positionH relativeFrom="column">
            <wp:posOffset>3923665</wp:posOffset>
          </wp:positionH>
          <wp:positionV relativeFrom="paragraph">
            <wp:posOffset>-95250</wp:posOffset>
          </wp:positionV>
          <wp:extent cx="1325245" cy="424815"/>
          <wp:effectExtent l="0" t="0" r="8255" b="0"/>
          <wp:wrapSquare wrapText="bothSides"/>
          <wp:docPr id="9"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说明: 说明: C:\Users\JSYH\Desktop\苏银理财.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WordPictureWatermark367128482" o:spid="_x0000_s2059" o:spt="75" type="#_x0000_t75" style="position:absolute;left:0pt;height:862.85pt;width:1137.3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苏银理财"/>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WordPictureWatermark367128481" o:spid="_x0000_s2058" o:spt="75" type="#_x0000_t75" style="position:absolute;left:0pt;height:862.85pt;width:1137.3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苏银理财"/>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5D44A"/>
    <w:multiLevelType w:val="singleLevel"/>
    <w:tmpl w:val="9E55D44A"/>
    <w:lvl w:ilvl="0" w:tentative="0">
      <w:start w:val="3"/>
      <w:numFmt w:val="decimal"/>
      <w:suff w:val="space"/>
      <w:lvlText w:val="%1."/>
      <w:lvlJc w:val="left"/>
    </w:lvl>
  </w:abstractNum>
  <w:abstractNum w:abstractNumId="1">
    <w:nsid w:val="D29BAE0D"/>
    <w:multiLevelType w:val="singleLevel"/>
    <w:tmpl w:val="D29BAE0D"/>
    <w:lvl w:ilvl="0" w:tentative="0">
      <w:start w:val="1"/>
      <w:numFmt w:val="decimal"/>
      <w:suff w:val="space"/>
      <w:lvlText w:val="%1."/>
      <w:lvlJc w:val="left"/>
    </w:lvl>
  </w:abstractNum>
  <w:abstractNum w:abstractNumId="2">
    <w:nsid w:val="ED4BC391"/>
    <w:multiLevelType w:val="singleLevel"/>
    <w:tmpl w:val="ED4BC391"/>
    <w:lvl w:ilvl="0" w:tentative="0">
      <w:start w:val="5"/>
      <w:numFmt w:val="decimal"/>
      <w:suff w:val="space"/>
      <w:lvlText w:val="%1."/>
      <w:lvlJc w:val="left"/>
    </w:lvl>
  </w:abstractNum>
  <w:abstractNum w:abstractNumId="3">
    <w:nsid w:val="18278C74"/>
    <w:multiLevelType w:val="singleLevel"/>
    <w:tmpl w:val="18278C74"/>
    <w:lvl w:ilvl="0" w:tentative="0">
      <w:start w:val="2"/>
      <w:numFmt w:val="decimal"/>
      <w:suff w:val="space"/>
      <w:lvlText w:val="%1."/>
      <w:lvlJc w:val="left"/>
    </w:lvl>
  </w:abstractNum>
  <w:abstractNum w:abstractNumId="4">
    <w:nsid w:val="2D3D19BD"/>
    <w:multiLevelType w:val="singleLevel"/>
    <w:tmpl w:val="2D3D19BD"/>
    <w:lvl w:ilvl="0" w:tentative="0">
      <w:start w:val="4"/>
      <w:numFmt w:val="decimal"/>
      <w:suff w:val="space"/>
      <w:lvlText w:val="%1."/>
      <w:lvlJc w:val="left"/>
    </w:lvl>
  </w:abstractNum>
  <w:abstractNum w:abstractNumId="5">
    <w:nsid w:val="767AF553"/>
    <w:multiLevelType w:val="singleLevel"/>
    <w:tmpl w:val="767AF553"/>
    <w:lvl w:ilvl="0" w:tentative="0">
      <w:start w:val="8"/>
      <w:numFmt w:val="decimal"/>
      <w:suff w:val="space"/>
      <w:lvlText w:val="%1."/>
      <w:lvlJc w:val="left"/>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3F7"/>
    <w:rsid w:val="00001531"/>
    <w:rsid w:val="0000191C"/>
    <w:rsid w:val="00001E2F"/>
    <w:rsid w:val="0000233B"/>
    <w:rsid w:val="00002389"/>
    <w:rsid w:val="00003606"/>
    <w:rsid w:val="000048B0"/>
    <w:rsid w:val="00005B01"/>
    <w:rsid w:val="00006EAF"/>
    <w:rsid w:val="000101E4"/>
    <w:rsid w:val="0001103A"/>
    <w:rsid w:val="00011464"/>
    <w:rsid w:val="00012543"/>
    <w:rsid w:val="000131EF"/>
    <w:rsid w:val="00013628"/>
    <w:rsid w:val="00014334"/>
    <w:rsid w:val="00014EC2"/>
    <w:rsid w:val="000158A7"/>
    <w:rsid w:val="00015A92"/>
    <w:rsid w:val="00015D58"/>
    <w:rsid w:val="00016232"/>
    <w:rsid w:val="00017933"/>
    <w:rsid w:val="000202AB"/>
    <w:rsid w:val="0002052D"/>
    <w:rsid w:val="00020A6F"/>
    <w:rsid w:val="00021007"/>
    <w:rsid w:val="00023A4F"/>
    <w:rsid w:val="00023BA8"/>
    <w:rsid w:val="00023E47"/>
    <w:rsid w:val="000247F9"/>
    <w:rsid w:val="00026143"/>
    <w:rsid w:val="000263ED"/>
    <w:rsid w:val="00026D13"/>
    <w:rsid w:val="00027056"/>
    <w:rsid w:val="000279D8"/>
    <w:rsid w:val="00027E61"/>
    <w:rsid w:val="00027F48"/>
    <w:rsid w:val="0003072E"/>
    <w:rsid w:val="00030D69"/>
    <w:rsid w:val="000315E6"/>
    <w:rsid w:val="00031707"/>
    <w:rsid w:val="00031806"/>
    <w:rsid w:val="00031A38"/>
    <w:rsid w:val="00031BAC"/>
    <w:rsid w:val="00031F80"/>
    <w:rsid w:val="00034890"/>
    <w:rsid w:val="00035045"/>
    <w:rsid w:val="00036007"/>
    <w:rsid w:val="000375C2"/>
    <w:rsid w:val="000401BF"/>
    <w:rsid w:val="000405B1"/>
    <w:rsid w:val="00043555"/>
    <w:rsid w:val="00043D5F"/>
    <w:rsid w:val="000462D8"/>
    <w:rsid w:val="000469D0"/>
    <w:rsid w:val="00046AAA"/>
    <w:rsid w:val="0004768E"/>
    <w:rsid w:val="000503FC"/>
    <w:rsid w:val="00050975"/>
    <w:rsid w:val="00051DB3"/>
    <w:rsid w:val="00054158"/>
    <w:rsid w:val="00054854"/>
    <w:rsid w:val="000553A7"/>
    <w:rsid w:val="00057222"/>
    <w:rsid w:val="00057646"/>
    <w:rsid w:val="00057F4B"/>
    <w:rsid w:val="00060571"/>
    <w:rsid w:val="000617D2"/>
    <w:rsid w:val="00061D74"/>
    <w:rsid w:val="00062791"/>
    <w:rsid w:val="00064F2B"/>
    <w:rsid w:val="000661A6"/>
    <w:rsid w:val="00066F56"/>
    <w:rsid w:val="000677EE"/>
    <w:rsid w:val="00071418"/>
    <w:rsid w:val="00071581"/>
    <w:rsid w:val="00072396"/>
    <w:rsid w:val="0007293A"/>
    <w:rsid w:val="00072D1F"/>
    <w:rsid w:val="0007366C"/>
    <w:rsid w:val="00074189"/>
    <w:rsid w:val="00074306"/>
    <w:rsid w:val="000757BB"/>
    <w:rsid w:val="0007693B"/>
    <w:rsid w:val="000804C2"/>
    <w:rsid w:val="00080C2C"/>
    <w:rsid w:val="00081AD6"/>
    <w:rsid w:val="00082051"/>
    <w:rsid w:val="000848C8"/>
    <w:rsid w:val="000849CB"/>
    <w:rsid w:val="000853F6"/>
    <w:rsid w:val="000867A8"/>
    <w:rsid w:val="00087036"/>
    <w:rsid w:val="00087D83"/>
    <w:rsid w:val="00087EDB"/>
    <w:rsid w:val="00091208"/>
    <w:rsid w:val="000913BF"/>
    <w:rsid w:val="00091907"/>
    <w:rsid w:val="00093C11"/>
    <w:rsid w:val="00094613"/>
    <w:rsid w:val="00094631"/>
    <w:rsid w:val="00096382"/>
    <w:rsid w:val="0009795C"/>
    <w:rsid w:val="00097F80"/>
    <w:rsid w:val="000A2D2D"/>
    <w:rsid w:val="000A2E68"/>
    <w:rsid w:val="000A45AB"/>
    <w:rsid w:val="000B0078"/>
    <w:rsid w:val="000B0690"/>
    <w:rsid w:val="000B3B58"/>
    <w:rsid w:val="000B3D2F"/>
    <w:rsid w:val="000B3EFD"/>
    <w:rsid w:val="000B4410"/>
    <w:rsid w:val="000B659B"/>
    <w:rsid w:val="000B6E9F"/>
    <w:rsid w:val="000C3DB1"/>
    <w:rsid w:val="000C54ED"/>
    <w:rsid w:val="000C5C02"/>
    <w:rsid w:val="000C6143"/>
    <w:rsid w:val="000C7382"/>
    <w:rsid w:val="000D1ED6"/>
    <w:rsid w:val="000D35BD"/>
    <w:rsid w:val="000D6E4B"/>
    <w:rsid w:val="000D71CF"/>
    <w:rsid w:val="000D7225"/>
    <w:rsid w:val="000D722C"/>
    <w:rsid w:val="000E0485"/>
    <w:rsid w:val="000E2E7D"/>
    <w:rsid w:val="000E34BA"/>
    <w:rsid w:val="000E34F3"/>
    <w:rsid w:val="000E4205"/>
    <w:rsid w:val="000E72A0"/>
    <w:rsid w:val="000E7CF6"/>
    <w:rsid w:val="000F034D"/>
    <w:rsid w:val="000F0433"/>
    <w:rsid w:val="000F1D3C"/>
    <w:rsid w:val="000F3D5D"/>
    <w:rsid w:val="000F4243"/>
    <w:rsid w:val="000F4811"/>
    <w:rsid w:val="000F4ABF"/>
    <w:rsid w:val="000F4B2B"/>
    <w:rsid w:val="000F5B66"/>
    <w:rsid w:val="000F5FF6"/>
    <w:rsid w:val="000F65C5"/>
    <w:rsid w:val="000F7056"/>
    <w:rsid w:val="000F7D2C"/>
    <w:rsid w:val="00100193"/>
    <w:rsid w:val="00100F0C"/>
    <w:rsid w:val="001025A3"/>
    <w:rsid w:val="001036A0"/>
    <w:rsid w:val="0010457E"/>
    <w:rsid w:val="0010540B"/>
    <w:rsid w:val="001065F5"/>
    <w:rsid w:val="0010678E"/>
    <w:rsid w:val="001074AB"/>
    <w:rsid w:val="00110417"/>
    <w:rsid w:val="00110AB0"/>
    <w:rsid w:val="00111E3E"/>
    <w:rsid w:val="0011258E"/>
    <w:rsid w:val="001126F6"/>
    <w:rsid w:val="00112F03"/>
    <w:rsid w:val="00115E7F"/>
    <w:rsid w:val="0011696D"/>
    <w:rsid w:val="00117CE3"/>
    <w:rsid w:val="00121681"/>
    <w:rsid w:val="00121ED8"/>
    <w:rsid w:val="00122035"/>
    <w:rsid w:val="00122F58"/>
    <w:rsid w:val="0012352A"/>
    <w:rsid w:val="00123BCB"/>
    <w:rsid w:val="0012411A"/>
    <w:rsid w:val="001242DE"/>
    <w:rsid w:val="00124929"/>
    <w:rsid w:val="00125B8C"/>
    <w:rsid w:val="0012647A"/>
    <w:rsid w:val="00127044"/>
    <w:rsid w:val="001303B2"/>
    <w:rsid w:val="00130EED"/>
    <w:rsid w:val="00130F7B"/>
    <w:rsid w:val="00131F1B"/>
    <w:rsid w:val="0013364F"/>
    <w:rsid w:val="001336CE"/>
    <w:rsid w:val="00133AAF"/>
    <w:rsid w:val="00133B98"/>
    <w:rsid w:val="0013472F"/>
    <w:rsid w:val="00134733"/>
    <w:rsid w:val="001359ED"/>
    <w:rsid w:val="00135B61"/>
    <w:rsid w:val="00136797"/>
    <w:rsid w:val="001405C2"/>
    <w:rsid w:val="00140B25"/>
    <w:rsid w:val="00142F4F"/>
    <w:rsid w:val="001450DF"/>
    <w:rsid w:val="0014734D"/>
    <w:rsid w:val="00151CC7"/>
    <w:rsid w:val="00152B36"/>
    <w:rsid w:val="001530B2"/>
    <w:rsid w:val="001543E7"/>
    <w:rsid w:val="00154456"/>
    <w:rsid w:val="00154508"/>
    <w:rsid w:val="00154F7A"/>
    <w:rsid w:val="00155B77"/>
    <w:rsid w:val="00156867"/>
    <w:rsid w:val="00157C4D"/>
    <w:rsid w:val="00160569"/>
    <w:rsid w:val="00160CEC"/>
    <w:rsid w:val="00161E2F"/>
    <w:rsid w:val="001624A3"/>
    <w:rsid w:val="001624DA"/>
    <w:rsid w:val="00162AA1"/>
    <w:rsid w:val="00162BF5"/>
    <w:rsid w:val="00164B60"/>
    <w:rsid w:val="00165862"/>
    <w:rsid w:val="00165E23"/>
    <w:rsid w:val="00166B3A"/>
    <w:rsid w:val="00170099"/>
    <w:rsid w:val="00170194"/>
    <w:rsid w:val="00170927"/>
    <w:rsid w:val="0017092A"/>
    <w:rsid w:val="00170A6E"/>
    <w:rsid w:val="00172B90"/>
    <w:rsid w:val="00173A2B"/>
    <w:rsid w:val="00173CE1"/>
    <w:rsid w:val="00174417"/>
    <w:rsid w:val="001749CF"/>
    <w:rsid w:val="001750FE"/>
    <w:rsid w:val="00175E88"/>
    <w:rsid w:val="00175FA5"/>
    <w:rsid w:val="00176B8E"/>
    <w:rsid w:val="001770F3"/>
    <w:rsid w:val="001774A0"/>
    <w:rsid w:val="00177BCC"/>
    <w:rsid w:val="0018179B"/>
    <w:rsid w:val="0018251A"/>
    <w:rsid w:val="00183463"/>
    <w:rsid w:val="001846FB"/>
    <w:rsid w:val="00184D1D"/>
    <w:rsid w:val="001860DF"/>
    <w:rsid w:val="00191737"/>
    <w:rsid w:val="00194E69"/>
    <w:rsid w:val="001968BC"/>
    <w:rsid w:val="00197DD9"/>
    <w:rsid w:val="001A059E"/>
    <w:rsid w:val="001A05F5"/>
    <w:rsid w:val="001A1C12"/>
    <w:rsid w:val="001A418D"/>
    <w:rsid w:val="001A422B"/>
    <w:rsid w:val="001A502C"/>
    <w:rsid w:val="001A57DB"/>
    <w:rsid w:val="001A586B"/>
    <w:rsid w:val="001A73F1"/>
    <w:rsid w:val="001A77E8"/>
    <w:rsid w:val="001B1360"/>
    <w:rsid w:val="001B1BB1"/>
    <w:rsid w:val="001B1D26"/>
    <w:rsid w:val="001B1D7F"/>
    <w:rsid w:val="001B1E1E"/>
    <w:rsid w:val="001B25A3"/>
    <w:rsid w:val="001B2F76"/>
    <w:rsid w:val="001B2F82"/>
    <w:rsid w:val="001B396B"/>
    <w:rsid w:val="001B44A7"/>
    <w:rsid w:val="001B4B9C"/>
    <w:rsid w:val="001B57A4"/>
    <w:rsid w:val="001B72EB"/>
    <w:rsid w:val="001B7D0D"/>
    <w:rsid w:val="001B7F6F"/>
    <w:rsid w:val="001C13E9"/>
    <w:rsid w:val="001C3886"/>
    <w:rsid w:val="001C4148"/>
    <w:rsid w:val="001C432A"/>
    <w:rsid w:val="001C469F"/>
    <w:rsid w:val="001C6DD2"/>
    <w:rsid w:val="001C78FF"/>
    <w:rsid w:val="001D0B29"/>
    <w:rsid w:val="001D1C27"/>
    <w:rsid w:val="001D2A8B"/>
    <w:rsid w:val="001D3ED4"/>
    <w:rsid w:val="001D48EE"/>
    <w:rsid w:val="001D49AC"/>
    <w:rsid w:val="001D4B2D"/>
    <w:rsid w:val="001D4BC9"/>
    <w:rsid w:val="001D4FE1"/>
    <w:rsid w:val="001D78FF"/>
    <w:rsid w:val="001E0062"/>
    <w:rsid w:val="001E0387"/>
    <w:rsid w:val="001E223F"/>
    <w:rsid w:val="001E4374"/>
    <w:rsid w:val="001E49AE"/>
    <w:rsid w:val="001E4A82"/>
    <w:rsid w:val="001E4C0D"/>
    <w:rsid w:val="001E4E95"/>
    <w:rsid w:val="001E55CB"/>
    <w:rsid w:val="001E631F"/>
    <w:rsid w:val="001E6744"/>
    <w:rsid w:val="001E68EF"/>
    <w:rsid w:val="001F0A69"/>
    <w:rsid w:val="001F1728"/>
    <w:rsid w:val="001F2658"/>
    <w:rsid w:val="001F3AD6"/>
    <w:rsid w:val="001F3C4B"/>
    <w:rsid w:val="001F3CCB"/>
    <w:rsid w:val="001F63BD"/>
    <w:rsid w:val="001F6775"/>
    <w:rsid w:val="001F69BF"/>
    <w:rsid w:val="00200449"/>
    <w:rsid w:val="00200523"/>
    <w:rsid w:val="0020097F"/>
    <w:rsid w:val="00200DF8"/>
    <w:rsid w:val="0020123C"/>
    <w:rsid w:val="0020196F"/>
    <w:rsid w:val="002024E9"/>
    <w:rsid w:val="002026C0"/>
    <w:rsid w:val="002047F3"/>
    <w:rsid w:val="0020590E"/>
    <w:rsid w:val="00205EB2"/>
    <w:rsid w:val="00205FEC"/>
    <w:rsid w:val="0020639A"/>
    <w:rsid w:val="00210857"/>
    <w:rsid w:val="002119A2"/>
    <w:rsid w:val="00211F5B"/>
    <w:rsid w:val="00213632"/>
    <w:rsid w:val="0021388F"/>
    <w:rsid w:val="00215F66"/>
    <w:rsid w:val="0021712C"/>
    <w:rsid w:val="0022162D"/>
    <w:rsid w:val="00221937"/>
    <w:rsid w:val="002222A4"/>
    <w:rsid w:val="00224018"/>
    <w:rsid w:val="0022633B"/>
    <w:rsid w:val="00226F9D"/>
    <w:rsid w:val="00230ED7"/>
    <w:rsid w:val="00230F4A"/>
    <w:rsid w:val="002319B1"/>
    <w:rsid w:val="00231B08"/>
    <w:rsid w:val="00232A54"/>
    <w:rsid w:val="0023376E"/>
    <w:rsid w:val="0023523A"/>
    <w:rsid w:val="00235E45"/>
    <w:rsid w:val="002366EB"/>
    <w:rsid w:val="00236C4F"/>
    <w:rsid w:val="002379DD"/>
    <w:rsid w:val="00237FDB"/>
    <w:rsid w:val="0024053C"/>
    <w:rsid w:val="0024212E"/>
    <w:rsid w:val="002436C1"/>
    <w:rsid w:val="00243DF5"/>
    <w:rsid w:val="00244E6D"/>
    <w:rsid w:val="00245106"/>
    <w:rsid w:val="00245D03"/>
    <w:rsid w:val="0024748B"/>
    <w:rsid w:val="00247A34"/>
    <w:rsid w:val="00247A7D"/>
    <w:rsid w:val="0025150E"/>
    <w:rsid w:val="00252198"/>
    <w:rsid w:val="00252B51"/>
    <w:rsid w:val="00253997"/>
    <w:rsid w:val="0025423C"/>
    <w:rsid w:val="00254A3C"/>
    <w:rsid w:val="00254A8B"/>
    <w:rsid w:val="00256E57"/>
    <w:rsid w:val="0025744E"/>
    <w:rsid w:val="002579CC"/>
    <w:rsid w:val="0026284C"/>
    <w:rsid w:val="002659F1"/>
    <w:rsid w:val="0026641B"/>
    <w:rsid w:val="002672C8"/>
    <w:rsid w:val="00270665"/>
    <w:rsid w:val="00272261"/>
    <w:rsid w:val="00272C53"/>
    <w:rsid w:val="00272E20"/>
    <w:rsid w:val="00273681"/>
    <w:rsid w:val="00273B34"/>
    <w:rsid w:val="00273B74"/>
    <w:rsid w:val="00274D47"/>
    <w:rsid w:val="00274FAF"/>
    <w:rsid w:val="0027510A"/>
    <w:rsid w:val="00276200"/>
    <w:rsid w:val="002765F4"/>
    <w:rsid w:val="00276883"/>
    <w:rsid w:val="00277498"/>
    <w:rsid w:val="00277C1F"/>
    <w:rsid w:val="002808A9"/>
    <w:rsid w:val="002821D7"/>
    <w:rsid w:val="00282F20"/>
    <w:rsid w:val="002872D2"/>
    <w:rsid w:val="0029004F"/>
    <w:rsid w:val="00291B84"/>
    <w:rsid w:val="00292610"/>
    <w:rsid w:val="00292B19"/>
    <w:rsid w:val="00292B5E"/>
    <w:rsid w:val="00292FFC"/>
    <w:rsid w:val="002932FC"/>
    <w:rsid w:val="0029429C"/>
    <w:rsid w:val="00294431"/>
    <w:rsid w:val="00294B49"/>
    <w:rsid w:val="00295538"/>
    <w:rsid w:val="00297034"/>
    <w:rsid w:val="002A046A"/>
    <w:rsid w:val="002A1262"/>
    <w:rsid w:val="002A23E0"/>
    <w:rsid w:val="002A2E20"/>
    <w:rsid w:val="002A32DF"/>
    <w:rsid w:val="002A46D7"/>
    <w:rsid w:val="002A6980"/>
    <w:rsid w:val="002A7DF5"/>
    <w:rsid w:val="002A7E94"/>
    <w:rsid w:val="002B0795"/>
    <w:rsid w:val="002B2620"/>
    <w:rsid w:val="002B3225"/>
    <w:rsid w:val="002B497E"/>
    <w:rsid w:val="002B5694"/>
    <w:rsid w:val="002B605E"/>
    <w:rsid w:val="002B657A"/>
    <w:rsid w:val="002C021F"/>
    <w:rsid w:val="002C1C54"/>
    <w:rsid w:val="002C2056"/>
    <w:rsid w:val="002C23F7"/>
    <w:rsid w:val="002C320F"/>
    <w:rsid w:val="002C3367"/>
    <w:rsid w:val="002C622F"/>
    <w:rsid w:val="002C6D69"/>
    <w:rsid w:val="002C7016"/>
    <w:rsid w:val="002C7117"/>
    <w:rsid w:val="002C7CB4"/>
    <w:rsid w:val="002D0706"/>
    <w:rsid w:val="002D29FD"/>
    <w:rsid w:val="002D2AEC"/>
    <w:rsid w:val="002D2C1F"/>
    <w:rsid w:val="002D3635"/>
    <w:rsid w:val="002D5411"/>
    <w:rsid w:val="002D5589"/>
    <w:rsid w:val="002D727A"/>
    <w:rsid w:val="002E00B8"/>
    <w:rsid w:val="002E0589"/>
    <w:rsid w:val="002E1382"/>
    <w:rsid w:val="002E3A84"/>
    <w:rsid w:val="002E6AD0"/>
    <w:rsid w:val="002E6F55"/>
    <w:rsid w:val="002F0E4E"/>
    <w:rsid w:val="002F2771"/>
    <w:rsid w:val="002F344B"/>
    <w:rsid w:val="002F403C"/>
    <w:rsid w:val="002F561E"/>
    <w:rsid w:val="002F709A"/>
    <w:rsid w:val="002F77A8"/>
    <w:rsid w:val="00301619"/>
    <w:rsid w:val="00301AD3"/>
    <w:rsid w:val="00301E80"/>
    <w:rsid w:val="00302755"/>
    <w:rsid w:val="003039FF"/>
    <w:rsid w:val="00304D18"/>
    <w:rsid w:val="00305A15"/>
    <w:rsid w:val="00306353"/>
    <w:rsid w:val="00306D41"/>
    <w:rsid w:val="00307094"/>
    <w:rsid w:val="00307342"/>
    <w:rsid w:val="00307A5F"/>
    <w:rsid w:val="00310A72"/>
    <w:rsid w:val="0031143A"/>
    <w:rsid w:val="00311C18"/>
    <w:rsid w:val="0031298C"/>
    <w:rsid w:val="00313619"/>
    <w:rsid w:val="00313D52"/>
    <w:rsid w:val="00314235"/>
    <w:rsid w:val="0032098B"/>
    <w:rsid w:val="003222FC"/>
    <w:rsid w:val="003227E7"/>
    <w:rsid w:val="00325D85"/>
    <w:rsid w:val="0032607C"/>
    <w:rsid w:val="00326E7B"/>
    <w:rsid w:val="00327CCE"/>
    <w:rsid w:val="0033166C"/>
    <w:rsid w:val="003324AE"/>
    <w:rsid w:val="00332C6A"/>
    <w:rsid w:val="0033358A"/>
    <w:rsid w:val="00333937"/>
    <w:rsid w:val="003342B8"/>
    <w:rsid w:val="0033504B"/>
    <w:rsid w:val="003362C7"/>
    <w:rsid w:val="00336A5A"/>
    <w:rsid w:val="00337AA0"/>
    <w:rsid w:val="00337DE3"/>
    <w:rsid w:val="00342ADB"/>
    <w:rsid w:val="00343B0F"/>
    <w:rsid w:val="00343D4D"/>
    <w:rsid w:val="00347006"/>
    <w:rsid w:val="00347D0D"/>
    <w:rsid w:val="003503AE"/>
    <w:rsid w:val="00351D8C"/>
    <w:rsid w:val="0035213A"/>
    <w:rsid w:val="00353419"/>
    <w:rsid w:val="00353F27"/>
    <w:rsid w:val="00355D35"/>
    <w:rsid w:val="00356BEA"/>
    <w:rsid w:val="0035741C"/>
    <w:rsid w:val="00360094"/>
    <w:rsid w:val="003627FB"/>
    <w:rsid w:val="00362826"/>
    <w:rsid w:val="00363EEF"/>
    <w:rsid w:val="0036403D"/>
    <w:rsid w:val="0036406A"/>
    <w:rsid w:val="0036455C"/>
    <w:rsid w:val="003656BF"/>
    <w:rsid w:val="00366074"/>
    <w:rsid w:val="003661FF"/>
    <w:rsid w:val="00367122"/>
    <w:rsid w:val="00367428"/>
    <w:rsid w:val="003676E9"/>
    <w:rsid w:val="0037083D"/>
    <w:rsid w:val="00372402"/>
    <w:rsid w:val="003724FE"/>
    <w:rsid w:val="003726C4"/>
    <w:rsid w:val="003732C5"/>
    <w:rsid w:val="00374086"/>
    <w:rsid w:val="00374DFE"/>
    <w:rsid w:val="003758DB"/>
    <w:rsid w:val="00375BEB"/>
    <w:rsid w:val="00375DA9"/>
    <w:rsid w:val="00377518"/>
    <w:rsid w:val="003800B4"/>
    <w:rsid w:val="003809E0"/>
    <w:rsid w:val="003814E2"/>
    <w:rsid w:val="00381E88"/>
    <w:rsid w:val="003821F9"/>
    <w:rsid w:val="003827CD"/>
    <w:rsid w:val="00383A99"/>
    <w:rsid w:val="00383D6D"/>
    <w:rsid w:val="003852EF"/>
    <w:rsid w:val="003870EE"/>
    <w:rsid w:val="0038729B"/>
    <w:rsid w:val="00387A01"/>
    <w:rsid w:val="003926B7"/>
    <w:rsid w:val="00393452"/>
    <w:rsid w:val="00394C2C"/>
    <w:rsid w:val="00395441"/>
    <w:rsid w:val="00396F85"/>
    <w:rsid w:val="0039723A"/>
    <w:rsid w:val="003A1CB9"/>
    <w:rsid w:val="003A27B8"/>
    <w:rsid w:val="003A2B7D"/>
    <w:rsid w:val="003A3D8C"/>
    <w:rsid w:val="003A3E40"/>
    <w:rsid w:val="003A539D"/>
    <w:rsid w:val="003A59F9"/>
    <w:rsid w:val="003A5F79"/>
    <w:rsid w:val="003A5FA1"/>
    <w:rsid w:val="003A6124"/>
    <w:rsid w:val="003A6CA4"/>
    <w:rsid w:val="003A7623"/>
    <w:rsid w:val="003B1725"/>
    <w:rsid w:val="003B242C"/>
    <w:rsid w:val="003B324C"/>
    <w:rsid w:val="003B4CE4"/>
    <w:rsid w:val="003B4D64"/>
    <w:rsid w:val="003B5DFB"/>
    <w:rsid w:val="003B6220"/>
    <w:rsid w:val="003B76DC"/>
    <w:rsid w:val="003C13CA"/>
    <w:rsid w:val="003C1E93"/>
    <w:rsid w:val="003C2161"/>
    <w:rsid w:val="003C31CD"/>
    <w:rsid w:val="003C3D4A"/>
    <w:rsid w:val="003C596C"/>
    <w:rsid w:val="003D03AF"/>
    <w:rsid w:val="003D07CA"/>
    <w:rsid w:val="003D1FE5"/>
    <w:rsid w:val="003D3735"/>
    <w:rsid w:val="003D497A"/>
    <w:rsid w:val="003D5148"/>
    <w:rsid w:val="003D6081"/>
    <w:rsid w:val="003D6720"/>
    <w:rsid w:val="003D6B3F"/>
    <w:rsid w:val="003D7951"/>
    <w:rsid w:val="003E030F"/>
    <w:rsid w:val="003E1EFB"/>
    <w:rsid w:val="003E2B26"/>
    <w:rsid w:val="003E4299"/>
    <w:rsid w:val="003E6D92"/>
    <w:rsid w:val="003E6F85"/>
    <w:rsid w:val="003E70B9"/>
    <w:rsid w:val="003E7812"/>
    <w:rsid w:val="003F2136"/>
    <w:rsid w:val="003F277A"/>
    <w:rsid w:val="003F31E6"/>
    <w:rsid w:val="003F40F9"/>
    <w:rsid w:val="003F4C40"/>
    <w:rsid w:val="003F52FE"/>
    <w:rsid w:val="003F580D"/>
    <w:rsid w:val="003F61D7"/>
    <w:rsid w:val="003F780E"/>
    <w:rsid w:val="00401F3A"/>
    <w:rsid w:val="00402686"/>
    <w:rsid w:val="0040272E"/>
    <w:rsid w:val="00402EA0"/>
    <w:rsid w:val="00403452"/>
    <w:rsid w:val="0040350A"/>
    <w:rsid w:val="00403F44"/>
    <w:rsid w:val="004041C9"/>
    <w:rsid w:val="004062F1"/>
    <w:rsid w:val="0040793A"/>
    <w:rsid w:val="004079CC"/>
    <w:rsid w:val="004106A7"/>
    <w:rsid w:val="00410F85"/>
    <w:rsid w:val="00412823"/>
    <w:rsid w:val="0041382E"/>
    <w:rsid w:val="00413D00"/>
    <w:rsid w:val="00414410"/>
    <w:rsid w:val="0041442A"/>
    <w:rsid w:val="00414992"/>
    <w:rsid w:val="00416ED0"/>
    <w:rsid w:val="004175B0"/>
    <w:rsid w:val="00421C9B"/>
    <w:rsid w:val="004233D8"/>
    <w:rsid w:val="00423C6E"/>
    <w:rsid w:val="00423ED9"/>
    <w:rsid w:val="00425F90"/>
    <w:rsid w:val="00426041"/>
    <w:rsid w:val="00426CBC"/>
    <w:rsid w:val="00427CC0"/>
    <w:rsid w:val="0043002F"/>
    <w:rsid w:val="004303B3"/>
    <w:rsid w:val="004305C9"/>
    <w:rsid w:val="00430927"/>
    <w:rsid w:val="0043097E"/>
    <w:rsid w:val="0043308A"/>
    <w:rsid w:val="00433113"/>
    <w:rsid w:val="00433F87"/>
    <w:rsid w:val="00434262"/>
    <w:rsid w:val="0043673C"/>
    <w:rsid w:val="00436801"/>
    <w:rsid w:val="00437DA0"/>
    <w:rsid w:val="004412CE"/>
    <w:rsid w:val="00441312"/>
    <w:rsid w:val="00441ED0"/>
    <w:rsid w:val="00442603"/>
    <w:rsid w:val="00442BF4"/>
    <w:rsid w:val="00444898"/>
    <w:rsid w:val="004457E4"/>
    <w:rsid w:val="00445E88"/>
    <w:rsid w:val="004506BE"/>
    <w:rsid w:val="004509F6"/>
    <w:rsid w:val="00453254"/>
    <w:rsid w:val="00453540"/>
    <w:rsid w:val="0045366F"/>
    <w:rsid w:val="00453F4D"/>
    <w:rsid w:val="00455C1F"/>
    <w:rsid w:val="00455D49"/>
    <w:rsid w:val="00455DF1"/>
    <w:rsid w:val="00456A0F"/>
    <w:rsid w:val="00460F22"/>
    <w:rsid w:val="00463619"/>
    <w:rsid w:val="0046446A"/>
    <w:rsid w:val="004645D0"/>
    <w:rsid w:val="00464A97"/>
    <w:rsid w:val="00464FA6"/>
    <w:rsid w:val="004651E5"/>
    <w:rsid w:val="004673A5"/>
    <w:rsid w:val="00467543"/>
    <w:rsid w:val="004676E4"/>
    <w:rsid w:val="0046796E"/>
    <w:rsid w:val="00467E09"/>
    <w:rsid w:val="00470519"/>
    <w:rsid w:val="004707EC"/>
    <w:rsid w:val="00470F11"/>
    <w:rsid w:val="0047173F"/>
    <w:rsid w:val="00471A65"/>
    <w:rsid w:val="0047215E"/>
    <w:rsid w:val="004722FE"/>
    <w:rsid w:val="00472764"/>
    <w:rsid w:val="00472A2C"/>
    <w:rsid w:val="004739B2"/>
    <w:rsid w:val="00473ED0"/>
    <w:rsid w:val="00474D99"/>
    <w:rsid w:val="004758B6"/>
    <w:rsid w:val="004761F8"/>
    <w:rsid w:val="0047624F"/>
    <w:rsid w:val="00476551"/>
    <w:rsid w:val="00476764"/>
    <w:rsid w:val="00477506"/>
    <w:rsid w:val="00477994"/>
    <w:rsid w:val="00480ED0"/>
    <w:rsid w:val="00481CB0"/>
    <w:rsid w:val="00482251"/>
    <w:rsid w:val="00482CC2"/>
    <w:rsid w:val="004835E4"/>
    <w:rsid w:val="00483838"/>
    <w:rsid w:val="00483A00"/>
    <w:rsid w:val="00483D82"/>
    <w:rsid w:val="00484CF0"/>
    <w:rsid w:val="00484D6A"/>
    <w:rsid w:val="004856F7"/>
    <w:rsid w:val="00485E98"/>
    <w:rsid w:val="00485EE5"/>
    <w:rsid w:val="00487169"/>
    <w:rsid w:val="00490405"/>
    <w:rsid w:val="00490539"/>
    <w:rsid w:val="004907EE"/>
    <w:rsid w:val="004910C2"/>
    <w:rsid w:val="00491342"/>
    <w:rsid w:val="00491B25"/>
    <w:rsid w:val="004923DC"/>
    <w:rsid w:val="004925DF"/>
    <w:rsid w:val="004929D1"/>
    <w:rsid w:val="004939CA"/>
    <w:rsid w:val="00497D5C"/>
    <w:rsid w:val="004A243A"/>
    <w:rsid w:val="004A2756"/>
    <w:rsid w:val="004A49CD"/>
    <w:rsid w:val="004A4AED"/>
    <w:rsid w:val="004A58D1"/>
    <w:rsid w:val="004A5E88"/>
    <w:rsid w:val="004A65C0"/>
    <w:rsid w:val="004A6C11"/>
    <w:rsid w:val="004A74CE"/>
    <w:rsid w:val="004B1E66"/>
    <w:rsid w:val="004B2EC3"/>
    <w:rsid w:val="004B4001"/>
    <w:rsid w:val="004B4B39"/>
    <w:rsid w:val="004B6EA9"/>
    <w:rsid w:val="004B735F"/>
    <w:rsid w:val="004B77FF"/>
    <w:rsid w:val="004B7F73"/>
    <w:rsid w:val="004C0D55"/>
    <w:rsid w:val="004C0F0C"/>
    <w:rsid w:val="004C187B"/>
    <w:rsid w:val="004C1C90"/>
    <w:rsid w:val="004C49FA"/>
    <w:rsid w:val="004C4C9B"/>
    <w:rsid w:val="004C4EA4"/>
    <w:rsid w:val="004C701F"/>
    <w:rsid w:val="004C7C47"/>
    <w:rsid w:val="004D0388"/>
    <w:rsid w:val="004D0478"/>
    <w:rsid w:val="004D0A93"/>
    <w:rsid w:val="004D20F5"/>
    <w:rsid w:val="004D34DD"/>
    <w:rsid w:val="004D382B"/>
    <w:rsid w:val="004D3B10"/>
    <w:rsid w:val="004D49D8"/>
    <w:rsid w:val="004D6E8F"/>
    <w:rsid w:val="004D73A7"/>
    <w:rsid w:val="004D73BA"/>
    <w:rsid w:val="004D7BA3"/>
    <w:rsid w:val="004E1FFC"/>
    <w:rsid w:val="004E3B6D"/>
    <w:rsid w:val="004E3C6A"/>
    <w:rsid w:val="004E46B0"/>
    <w:rsid w:val="004E594D"/>
    <w:rsid w:val="004E645B"/>
    <w:rsid w:val="004F0A8A"/>
    <w:rsid w:val="004F3425"/>
    <w:rsid w:val="004F369D"/>
    <w:rsid w:val="004F3AC9"/>
    <w:rsid w:val="004F3E2D"/>
    <w:rsid w:val="004F3E60"/>
    <w:rsid w:val="004F46F0"/>
    <w:rsid w:val="004F4F78"/>
    <w:rsid w:val="004F55EC"/>
    <w:rsid w:val="005011AD"/>
    <w:rsid w:val="005013A2"/>
    <w:rsid w:val="005032A0"/>
    <w:rsid w:val="0050386F"/>
    <w:rsid w:val="00503982"/>
    <w:rsid w:val="005041D5"/>
    <w:rsid w:val="00506806"/>
    <w:rsid w:val="005071D2"/>
    <w:rsid w:val="00510526"/>
    <w:rsid w:val="00510823"/>
    <w:rsid w:val="0051208D"/>
    <w:rsid w:val="00512670"/>
    <w:rsid w:val="00512AC8"/>
    <w:rsid w:val="00515789"/>
    <w:rsid w:val="00516DA1"/>
    <w:rsid w:val="005201F1"/>
    <w:rsid w:val="0052073F"/>
    <w:rsid w:val="00520ACC"/>
    <w:rsid w:val="00520B0B"/>
    <w:rsid w:val="005212D4"/>
    <w:rsid w:val="00521859"/>
    <w:rsid w:val="00522AA1"/>
    <w:rsid w:val="0052415B"/>
    <w:rsid w:val="005243E7"/>
    <w:rsid w:val="00526313"/>
    <w:rsid w:val="005266CB"/>
    <w:rsid w:val="00527FBD"/>
    <w:rsid w:val="0053069A"/>
    <w:rsid w:val="005308B0"/>
    <w:rsid w:val="0053444E"/>
    <w:rsid w:val="0053487E"/>
    <w:rsid w:val="0053510C"/>
    <w:rsid w:val="005362B4"/>
    <w:rsid w:val="0053633A"/>
    <w:rsid w:val="00536E3A"/>
    <w:rsid w:val="005400DC"/>
    <w:rsid w:val="00540E77"/>
    <w:rsid w:val="00542940"/>
    <w:rsid w:val="00542A74"/>
    <w:rsid w:val="00542CCA"/>
    <w:rsid w:val="0054309D"/>
    <w:rsid w:val="005436F3"/>
    <w:rsid w:val="00544451"/>
    <w:rsid w:val="005449D5"/>
    <w:rsid w:val="00544A6C"/>
    <w:rsid w:val="00551427"/>
    <w:rsid w:val="00551C0A"/>
    <w:rsid w:val="005532D9"/>
    <w:rsid w:val="005542EF"/>
    <w:rsid w:val="00554430"/>
    <w:rsid w:val="00555F85"/>
    <w:rsid w:val="0055630E"/>
    <w:rsid w:val="005567F7"/>
    <w:rsid w:val="00560551"/>
    <w:rsid w:val="00561FE9"/>
    <w:rsid w:val="00562804"/>
    <w:rsid w:val="00563061"/>
    <w:rsid w:val="00564093"/>
    <w:rsid w:val="00564DFE"/>
    <w:rsid w:val="00564F46"/>
    <w:rsid w:val="005659B2"/>
    <w:rsid w:val="00566CB6"/>
    <w:rsid w:val="00567AAC"/>
    <w:rsid w:val="0057295B"/>
    <w:rsid w:val="00572A2F"/>
    <w:rsid w:val="00572C28"/>
    <w:rsid w:val="00572D91"/>
    <w:rsid w:val="00574893"/>
    <w:rsid w:val="005753ED"/>
    <w:rsid w:val="00575E03"/>
    <w:rsid w:val="00576B32"/>
    <w:rsid w:val="00576B9E"/>
    <w:rsid w:val="00577555"/>
    <w:rsid w:val="005803FA"/>
    <w:rsid w:val="005827DA"/>
    <w:rsid w:val="0058356E"/>
    <w:rsid w:val="00583A5E"/>
    <w:rsid w:val="00585DCB"/>
    <w:rsid w:val="005865C7"/>
    <w:rsid w:val="00590CD8"/>
    <w:rsid w:val="00593310"/>
    <w:rsid w:val="0059593D"/>
    <w:rsid w:val="00595C4D"/>
    <w:rsid w:val="00597498"/>
    <w:rsid w:val="0059767A"/>
    <w:rsid w:val="00597A01"/>
    <w:rsid w:val="00597B28"/>
    <w:rsid w:val="005A0462"/>
    <w:rsid w:val="005A43FC"/>
    <w:rsid w:val="005A588A"/>
    <w:rsid w:val="005A6007"/>
    <w:rsid w:val="005A6752"/>
    <w:rsid w:val="005A6DE4"/>
    <w:rsid w:val="005A7236"/>
    <w:rsid w:val="005A7777"/>
    <w:rsid w:val="005A7842"/>
    <w:rsid w:val="005B08B3"/>
    <w:rsid w:val="005B0F07"/>
    <w:rsid w:val="005B16D7"/>
    <w:rsid w:val="005B1B3D"/>
    <w:rsid w:val="005B1BB5"/>
    <w:rsid w:val="005B37DB"/>
    <w:rsid w:val="005B3AC2"/>
    <w:rsid w:val="005B439F"/>
    <w:rsid w:val="005B4492"/>
    <w:rsid w:val="005B49CC"/>
    <w:rsid w:val="005B62FA"/>
    <w:rsid w:val="005B6576"/>
    <w:rsid w:val="005C09F1"/>
    <w:rsid w:val="005C0B01"/>
    <w:rsid w:val="005C1CF3"/>
    <w:rsid w:val="005C37A8"/>
    <w:rsid w:val="005C3B0D"/>
    <w:rsid w:val="005C4B2D"/>
    <w:rsid w:val="005C5BC2"/>
    <w:rsid w:val="005C72E9"/>
    <w:rsid w:val="005C79F4"/>
    <w:rsid w:val="005D0472"/>
    <w:rsid w:val="005D163E"/>
    <w:rsid w:val="005D33A6"/>
    <w:rsid w:val="005D4199"/>
    <w:rsid w:val="005D4D03"/>
    <w:rsid w:val="005D5292"/>
    <w:rsid w:val="005D5470"/>
    <w:rsid w:val="005D637B"/>
    <w:rsid w:val="005D6B93"/>
    <w:rsid w:val="005E0829"/>
    <w:rsid w:val="005E14F6"/>
    <w:rsid w:val="005E162C"/>
    <w:rsid w:val="005E26A1"/>
    <w:rsid w:val="005E2B12"/>
    <w:rsid w:val="005E2D33"/>
    <w:rsid w:val="005E3651"/>
    <w:rsid w:val="005E43ED"/>
    <w:rsid w:val="005E449C"/>
    <w:rsid w:val="005E494F"/>
    <w:rsid w:val="005E5312"/>
    <w:rsid w:val="005E588E"/>
    <w:rsid w:val="005E5B8D"/>
    <w:rsid w:val="005E5F0F"/>
    <w:rsid w:val="005E695B"/>
    <w:rsid w:val="005F0E22"/>
    <w:rsid w:val="005F1547"/>
    <w:rsid w:val="005F1604"/>
    <w:rsid w:val="005F24F4"/>
    <w:rsid w:val="005F2903"/>
    <w:rsid w:val="005F31D7"/>
    <w:rsid w:val="005F3AA3"/>
    <w:rsid w:val="005F537F"/>
    <w:rsid w:val="005F5931"/>
    <w:rsid w:val="005F7D07"/>
    <w:rsid w:val="0060020D"/>
    <w:rsid w:val="00600CC8"/>
    <w:rsid w:val="00602794"/>
    <w:rsid w:val="00602CF4"/>
    <w:rsid w:val="00604135"/>
    <w:rsid w:val="006058CB"/>
    <w:rsid w:val="00605AFB"/>
    <w:rsid w:val="0060733C"/>
    <w:rsid w:val="00607C36"/>
    <w:rsid w:val="0061140B"/>
    <w:rsid w:val="00613453"/>
    <w:rsid w:val="0061470B"/>
    <w:rsid w:val="00614908"/>
    <w:rsid w:val="00615029"/>
    <w:rsid w:val="00616593"/>
    <w:rsid w:val="00616758"/>
    <w:rsid w:val="00616AE1"/>
    <w:rsid w:val="006179F7"/>
    <w:rsid w:val="00617F6B"/>
    <w:rsid w:val="0062067C"/>
    <w:rsid w:val="006214AD"/>
    <w:rsid w:val="0062541F"/>
    <w:rsid w:val="00625863"/>
    <w:rsid w:val="006260E5"/>
    <w:rsid w:val="0062683F"/>
    <w:rsid w:val="00627B69"/>
    <w:rsid w:val="00633754"/>
    <w:rsid w:val="006348F4"/>
    <w:rsid w:val="006358BE"/>
    <w:rsid w:val="00635B89"/>
    <w:rsid w:val="00635E85"/>
    <w:rsid w:val="00636C4C"/>
    <w:rsid w:val="00636E4B"/>
    <w:rsid w:val="006371FF"/>
    <w:rsid w:val="00643DD9"/>
    <w:rsid w:val="00644A75"/>
    <w:rsid w:val="006452B6"/>
    <w:rsid w:val="00645B41"/>
    <w:rsid w:val="006472A0"/>
    <w:rsid w:val="00651287"/>
    <w:rsid w:val="00651512"/>
    <w:rsid w:val="00653665"/>
    <w:rsid w:val="00653E27"/>
    <w:rsid w:val="00654956"/>
    <w:rsid w:val="00654DE7"/>
    <w:rsid w:val="0065533C"/>
    <w:rsid w:val="00656340"/>
    <w:rsid w:val="00656A9D"/>
    <w:rsid w:val="00656F5E"/>
    <w:rsid w:val="00660D19"/>
    <w:rsid w:val="00662CBC"/>
    <w:rsid w:val="0066449E"/>
    <w:rsid w:val="0067038D"/>
    <w:rsid w:val="00671A6A"/>
    <w:rsid w:val="00673F0C"/>
    <w:rsid w:val="00676223"/>
    <w:rsid w:val="00676A38"/>
    <w:rsid w:val="00680098"/>
    <w:rsid w:val="00680333"/>
    <w:rsid w:val="00680957"/>
    <w:rsid w:val="006821CE"/>
    <w:rsid w:val="00682CFC"/>
    <w:rsid w:val="00683B13"/>
    <w:rsid w:val="00686325"/>
    <w:rsid w:val="00686EC4"/>
    <w:rsid w:val="00687063"/>
    <w:rsid w:val="00687C14"/>
    <w:rsid w:val="00690E37"/>
    <w:rsid w:val="00691425"/>
    <w:rsid w:val="006955A5"/>
    <w:rsid w:val="00695E17"/>
    <w:rsid w:val="00696763"/>
    <w:rsid w:val="0069734A"/>
    <w:rsid w:val="006A139A"/>
    <w:rsid w:val="006A1939"/>
    <w:rsid w:val="006A303A"/>
    <w:rsid w:val="006A45A4"/>
    <w:rsid w:val="006A5C3E"/>
    <w:rsid w:val="006A5CC0"/>
    <w:rsid w:val="006A5DF0"/>
    <w:rsid w:val="006B0367"/>
    <w:rsid w:val="006B06E6"/>
    <w:rsid w:val="006B147C"/>
    <w:rsid w:val="006B1E00"/>
    <w:rsid w:val="006B202A"/>
    <w:rsid w:val="006B3AD9"/>
    <w:rsid w:val="006B3E3B"/>
    <w:rsid w:val="006B4199"/>
    <w:rsid w:val="006B4802"/>
    <w:rsid w:val="006B5097"/>
    <w:rsid w:val="006B5516"/>
    <w:rsid w:val="006B5D36"/>
    <w:rsid w:val="006B7A09"/>
    <w:rsid w:val="006C42CE"/>
    <w:rsid w:val="006C4DE9"/>
    <w:rsid w:val="006C5486"/>
    <w:rsid w:val="006C592D"/>
    <w:rsid w:val="006C5D93"/>
    <w:rsid w:val="006C74B3"/>
    <w:rsid w:val="006D096A"/>
    <w:rsid w:val="006D209C"/>
    <w:rsid w:val="006D3791"/>
    <w:rsid w:val="006D45C7"/>
    <w:rsid w:val="006D465F"/>
    <w:rsid w:val="006D46A6"/>
    <w:rsid w:val="006D4B56"/>
    <w:rsid w:val="006D7209"/>
    <w:rsid w:val="006D7EFF"/>
    <w:rsid w:val="006E11C9"/>
    <w:rsid w:val="006E31AE"/>
    <w:rsid w:val="006E4984"/>
    <w:rsid w:val="006E5E71"/>
    <w:rsid w:val="006E7EFC"/>
    <w:rsid w:val="006F0A6C"/>
    <w:rsid w:val="006F32BF"/>
    <w:rsid w:val="006F3567"/>
    <w:rsid w:val="006F38A2"/>
    <w:rsid w:val="006F38F6"/>
    <w:rsid w:val="006F3989"/>
    <w:rsid w:val="006F4219"/>
    <w:rsid w:val="006F55D6"/>
    <w:rsid w:val="006F575A"/>
    <w:rsid w:val="00700449"/>
    <w:rsid w:val="00700A73"/>
    <w:rsid w:val="00700F46"/>
    <w:rsid w:val="007015E9"/>
    <w:rsid w:val="00702A10"/>
    <w:rsid w:val="0070484E"/>
    <w:rsid w:val="00704ED8"/>
    <w:rsid w:val="0070601C"/>
    <w:rsid w:val="00707008"/>
    <w:rsid w:val="00710993"/>
    <w:rsid w:val="007125C7"/>
    <w:rsid w:val="00712884"/>
    <w:rsid w:val="00713C6D"/>
    <w:rsid w:val="00714D9B"/>
    <w:rsid w:val="00715090"/>
    <w:rsid w:val="00715379"/>
    <w:rsid w:val="0071587A"/>
    <w:rsid w:val="007159EB"/>
    <w:rsid w:val="007160E0"/>
    <w:rsid w:val="00716E3F"/>
    <w:rsid w:val="00717DE7"/>
    <w:rsid w:val="00720629"/>
    <w:rsid w:val="00720B16"/>
    <w:rsid w:val="007219C5"/>
    <w:rsid w:val="00721B5C"/>
    <w:rsid w:val="007223FC"/>
    <w:rsid w:val="00723E51"/>
    <w:rsid w:val="00725B78"/>
    <w:rsid w:val="00725F23"/>
    <w:rsid w:val="007267EB"/>
    <w:rsid w:val="0072737A"/>
    <w:rsid w:val="00730159"/>
    <w:rsid w:val="00730C0D"/>
    <w:rsid w:val="0073129C"/>
    <w:rsid w:val="00731C60"/>
    <w:rsid w:val="00731D68"/>
    <w:rsid w:val="007339DB"/>
    <w:rsid w:val="00735608"/>
    <w:rsid w:val="007356FC"/>
    <w:rsid w:val="00735CE3"/>
    <w:rsid w:val="00736DD5"/>
    <w:rsid w:val="0074101E"/>
    <w:rsid w:val="0074150A"/>
    <w:rsid w:val="00741FEC"/>
    <w:rsid w:val="007433D3"/>
    <w:rsid w:val="00743A86"/>
    <w:rsid w:val="00743F1B"/>
    <w:rsid w:val="00743F6E"/>
    <w:rsid w:val="0074430F"/>
    <w:rsid w:val="007448B9"/>
    <w:rsid w:val="007468E9"/>
    <w:rsid w:val="00746BED"/>
    <w:rsid w:val="00747D71"/>
    <w:rsid w:val="00750288"/>
    <w:rsid w:val="00751BF1"/>
    <w:rsid w:val="007537F1"/>
    <w:rsid w:val="007545CD"/>
    <w:rsid w:val="007549E4"/>
    <w:rsid w:val="00755E18"/>
    <w:rsid w:val="00756643"/>
    <w:rsid w:val="007567FF"/>
    <w:rsid w:val="00756DA9"/>
    <w:rsid w:val="0075794D"/>
    <w:rsid w:val="007608C8"/>
    <w:rsid w:val="00761696"/>
    <w:rsid w:val="007616B5"/>
    <w:rsid w:val="00761834"/>
    <w:rsid w:val="00761D56"/>
    <w:rsid w:val="007620D8"/>
    <w:rsid w:val="007631A8"/>
    <w:rsid w:val="0076420A"/>
    <w:rsid w:val="0076492F"/>
    <w:rsid w:val="0076493D"/>
    <w:rsid w:val="00764D0F"/>
    <w:rsid w:val="00764ED5"/>
    <w:rsid w:val="007665AE"/>
    <w:rsid w:val="007665E7"/>
    <w:rsid w:val="00766AE8"/>
    <w:rsid w:val="00767809"/>
    <w:rsid w:val="00773845"/>
    <w:rsid w:val="007745B6"/>
    <w:rsid w:val="0077605D"/>
    <w:rsid w:val="0077746C"/>
    <w:rsid w:val="007806D6"/>
    <w:rsid w:val="00780896"/>
    <w:rsid w:val="00780E48"/>
    <w:rsid w:val="00780FF2"/>
    <w:rsid w:val="007815A1"/>
    <w:rsid w:val="00783BF6"/>
    <w:rsid w:val="00784BA7"/>
    <w:rsid w:val="0078501F"/>
    <w:rsid w:val="00785229"/>
    <w:rsid w:val="0079186B"/>
    <w:rsid w:val="007919EE"/>
    <w:rsid w:val="0079267C"/>
    <w:rsid w:val="00792A9A"/>
    <w:rsid w:val="00792B29"/>
    <w:rsid w:val="00793312"/>
    <w:rsid w:val="0079391A"/>
    <w:rsid w:val="007943E6"/>
    <w:rsid w:val="00794B5C"/>
    <w:rsid w:val="00794C7A"/>
    <w:rsid w:val="00796A9E"/>
    <w:rsid w:val="00796D05"/>
    <w:rsid w:val="00797687"/>
    <w:rsid w:val="007A0BE3"/>
    <w:rsid w:val="007A25AF"/>
    <w:rsid w:val="007A2AE9"/>
    <w:rsid w:val="007A2DEB"/>
    <w:rsid w:val="007A30A5"/>
    <w:rsid w:val="007A568E"/>
    <w:rsid w:val="007A5FB9"/>
    <w:rsid w:val="007A651C"/>
    <w:rsid w:val="007A664A"/>
    <w:rsid w:val="007A6E4F"/>
    <w:rsid w:val="007A70C6"/>
    <w:rsid w:val="007A7382"/>
    <w:rsid w:val="007A7FF2"/>
    <w:rsid w:val="007B11D0"/>
    <w:rsid w:val="007B189F"/>
    <w:rsid w:val="007B1CB5"/>
    <w:rsid w:val="007B27E9"/>
    <w:rsid w:val="007B2987"/>
    <w:rsid w:val="007B39E1"/>
    <w:rsid w:val="007B6A8F"/>
    <w:rsid w:val="007B70D3"/>
    <w:rsid w:val="007B7D10"/>
    <w:rsid w:val="007C1116"/>
    <w:rsid w:val="007C12D9"/>
    <w:rsid w:val="007C3AA6"/>
    <w:rsid w:val="007C4B93"/>
    <w:rsid w:val="007C4EF2"/>
    <w:rsid w:val="007C55D4"/>
    <w:rsid w:val="007D093F"/>
    <w:rsid w:val="007D0BE8"/>
    <w:rsid w:val="007D0D6D"/>
    <w:rsid w:val="007D283E"/>
    <w:rsid w:val="007D36CA"/>
    <w:rsid w:val="007D4C02"/>
    <w:rsid w:val="007D5920"/>
    <w:rsid w:val="007D6496"/>
    <w:rsid w:val="007D6731"/>
    <w:rsid w:val="007D6837"/>
    <w:rsid w:val="007D7001"/>
    <w:rsid w:val="007D782F"/>
    <w:rsid w:val="007D7E87"/>
    <w:rsid w:val="007E0FEC"/>
    <w:rsid w:val="007E1666"/>
    <w:rsid w:val="007E1ECC"/>
    <w:rsid w:val="007E2A09"/>
    <w:rsid w:val="007E40DD"/>
    <w:rsid w:val="007E4D5F"/>
    <w:rsid w:val="007E52BF"/>
    <w:rsid w:val="007E554E"/>
    <w:rsid w:val="007E594F"/>
    <w:rsid w:val="007E5A59"/>
    <w:rsid w:val="007E71DB"/>
    <w:rsid w:val="007E7C73"/>
    <w:rsid w:val="007F0225"/>
    <w:rsid w:val="007F0AC8"/>
    <w:rsid w:val="007F10CE"/>
    <w:rsid w:val="007F167C"/>
    <w:rsid w:val="007F2066"/>
    <w:rsid w:val="007F2B93"/>
    <w:rsid w:val="007F4005"/>
    <w:rsid w:val="007F64E9"/>
    <w:rsid w:val="007F7D89"/>
    <w:rsid w:val="007F7EFE"/>
    <w:rsid w:val="007F7F51"/>
    <w:rsid w:val="0080100B"/>
    <w:rsid w:val="008014A8"/>
    <w:rsid w:val="00801BBC"/>
    <w:rsid w:val="00802320"/>
    <w:rsid w:val="00802684"/>
    <w:rsid w:val="00804380"/>
    <w:rsid w:val="00804490"/>
    <w:rsid w:val="00806655"/>
    <w:rsid w:val="008066E5"/>
    <w:rsid w:val="00806B2A"/>
    <w:rsid w:val="0080705A"/>
    <w:rsid w:val="008071EA"/>
    <w:rsid w:val="00810DA4"/>
    <w:rsid w:val="00813597"/>
    <w:rsid w:val="00813D3B"/>
    <w:rsid w:val="00814A29"/>
    <w:rsid w:val="00823846"/>
    <w:rsid w:val="008259B8"/>
    <w:rsid w:val="00825ADA"/>
    <w:rsid w:val="00825DEA"/>
    <w:rsid w:val="0082667C"/>
    <w:rsid w:val="008266E5"/>
    <w:rsid w:val="008269BB"/>
    <w:rsid w:val="00827362"/>
    <w:rsid w:val="008279A8"/>
    <w:rsid w:val="00827CE5"/>
    <w:rsid w:val="00827E59"/>
    <w:rsid w:val="0083160C"/>
    <w:rsid w:val="00832029"/>
    <w:rsid w:val="00832787"/>
    <w:rsid w:val="0083338A"/>
    <w:rsid w:val="00833923"/>
    <w:rsid w:val="0083465D"/>
    <w:rsid w:val="00834CDA"/>
    <w:rsid w:val="0083532F"/>
    <w:rsid w:val="008362EF"/>
    <w:rsid w:val="008367C0"/>
    <w:rsid w:val="00840F68"/>
    <w:rsid w:val="00843EBB"/>
    <w:rsid w:val="008443EB"/>
    <w:rsid w:val="00844E1C"/>
    <w:rsid w:val="00845002"/>
    <w:rsid w:val="008465EC"/>
    <w:rsid w:val="00847A9C"/>
    <w:rsid w:val="008528BA"/>
    <w:rsid w:val="00853C7D"/>
    <w:rsid w:val="00854421"/>
    <w:rsid w:val="00855674"/>
    <w:rsid w:val="00855C9D"/>
    <w:rsid w:val="008611EC"/>
    <w:rsid w:val="0086291A"/>
    <w:rsid w:val="00862D4F"/>
    <w:rsid w:val="00867BD0"/>
    <w:rsid w:val="00870112"/>
    <w:rsid w:val="00871456"/>
    <w:rsid w:val="00871856"/>
    <w:rsid w:val="00872ABA"/>
    <w:rsid w:val="00872FCE"/>
    <w:rsid w:val="00873D82"/>
    <w:rsid w:val="00874290"/>
    <w:rsid w:val="00874D57"/>
    <w:rsid w:val="00874EBD"/>
    <w:rsid w:val="008750A3"/>
    <w:rsid w:val="008761FC"/>
    <w:rsid w:val="00877D2F"/>
    <w:rsid w:val="008800C1"/>
    <w:rsid w:val="0088062E"/>
    <w:rsid w:val="00881137"/>
    <w:rsid w:val="00882559"/>
    <w:rsid w:val="00882933"/>
    <w:rsid w:val="00883A75"/>
    <w:rsid w:val="00883F98"/>
    <w:rsid w:val="00884396"/>
    <w:rsid w:val="008843FC"/>
    <w:rsid w:val="00885E0F"/>
    <w:rsid w:val="008862BD"/>
    <w:rsid w:val="008863E8"/>
    <w:rsid w:val="00886400"/>
    <w:rsid w:val="008917E7"/>
    <w:rsid w:val="008941BE"/>
    <w:rsid w:val="008947CF"/>
    <w:rsid w:val="008962E9"/>
    <w:rsid w:val="0089642E"/>
    <w:rsid w:val="0089653C"/>
    <w:rsid w:val="00896CA9"/>
    <w:rsid w:val="008A0D19"/>
    <w:rsid w:val="008A0DE6"/>
    <w:rsid w:val="008A1FF5"/>
    <w:rsid w:val="008A233D"/>
    <w:rsid w:val="008A237E"/>
    <w:rsid w:val="008A3BD1"/>
    <w:rsid w:val="008A447D"/>
    <w:rsid w:val="008A4AF5"/>
    <w:rsid w:val="008A4EFA"/>
    <w:rsid w:val="008A62A5"/>
    <w:rsid w:val="008A791B"/>
    <w:rsid w:val="008A7E2E"/>
    <w:rsid w:val="008B0488"/>
    <w:rsid w:val="008B3124"/>
    <w:rsid w:val="008B3B4B"/>
    <w:rsid w:val="008B5749"/>
    <w:rsid w:val="008B6744"/>
    <w:rsid w:val="008B72A5"/>
    <w:rsid w:val="008B7762"/>
    <w:rsid w:val="008C0421"/>
    <w:rsid w:val="008C0B42"/>
    <w:rsid w:val="008C1918"/>
    <w:rsid w:val="008C1A51"/>
    <w:rsid w:val="008C2A4A"/>
    <w:rsid w:val="008C2F29"/>
    <w:rsid w:val="008C4AD0"/>
    <w:rsid w:val="008C6B30"/>
    <w:rsid w:val="008C7E4D"/>
    <w:rsid w:val="008D087D"/>
    <w:rsid w:val="008D3033"/>
    <w:rsid w:val="008D493B"/>
    <w:rsid w:val="008D4A7C"/>
    <w:rsid w:val="008D51DA"/>
    <w:rsid w:val="008D53A9"/>
    <w:rsid w:val="008D5615"/>
    <w:rsid w:val="008D5F0D"/>
    <w:rsid w:val="008D683A"/>
    <w:rsid w:val="008D6F1D"/>
    <w:rsid w:val="008E0359"/>
    <w:rsid w:val="008E0805"/>
    <w:rsid w:val="008E0FFB"/>
    <w:rsid w:val="008E25B1"/>
    <w:rsid w:val="008E2B4D"/>
    <w:rsid w:val="008E3094"/>
    <w:rsid w:val="008E3295"/>
    <w:rsid w:val="008E55EA"/>
    <w:rsid w:val="008E5926"/>
    <w:rsid w:val="008E75C5"/>
    <w:rsid w:val="008E7887"/>
    <w:rsid w:val="008E7E6E"/>
    <w:rsid w:val="008F1194"/>
    <w:rsid w:val="008F1884"/>
    <w:rsid w:val="008F1AD8"/>
    <w:rsid w:val="008F237A"/>
    <w:rsid w:val="008F2796"/>
    <w:rsid w:val="008F34D3"/>
    <w:rsid w:val="008F63EB"/>
    <w:rsid w:val="008F6A2F"/>
    <w:rsid w:val="008F6B5E"/>
    <w:rsid w:val="008F755E"/>
    <w:rsid w:val="008F79D0"/>
    <w:rsid w:val="009008B1"/>
    <w:rsid w:val="00901DB3"/>
    <w:rsid w:val="00902015"/>
    <w:rsid w:val="00903531"/>
    <w:rsid w:val="00904A65"/>
    <w:rsid w:val="00905793"/>
    <w:rsid w:val="00907263"/>
    <w:rsid w:val="009073CE"/>
    <w:rsid w:val="00910C58"/>
    <w:rsid w:val="0091161D"/>
    <w:rsid w:val="009123F6"/>
    <w:rsid w:val="00913E2A"/>
    <w:rsid w:val="0091468D"/>
    <w:rsid w:val="0091475E"/>
    <w:rsid w:val="00914F38"/>
    <w:rsid w:val="009163B6"/>
    <w:rsid w:val="00916B61"/>
    <w:rsid w:val="00917ED2"/>
    <w:rsid w:val="00917F42"/>
    <w:rsid w:val="009205E3"/>
    <w:rsid w:val="009217A9"/>
    <w:rsid w:val="00922F29"/>
    <w:rsid w:val="009231E6"/>
    <w:rsid w:val="00924303"/>
    <w:rsid w:val="00924926"/>
    <w:rsid w:val="00924ED9"/>
    <w:rsid w:val="0092594C"/>
    <w:rsid w:val="00926954"/>
    <w:rsid w:val="009277E9"/>
    <w:rsid w:val="00927A03"/>
    <w:rsid w:val="0093042C"/>
    <w:rsid w:val="00931316"/>
    <w:rsid w:val="009315B3"/>
    <w:rsid w:val="00933086"/>
    <w:rsid w:val="00933611"/>
    <w:rsid w:val="0093478E"/>
    <w:rsid w:val="00934A0F"/>
    <w:rsid w:val="00934ABD"/>
    <w:rsid w:val="00934FDD"/>
    <w:rsid w:val="009364C0"/>
    <w:rsid w:val="00937ED6"/>
    <w:rsid w:val="00940452"/>
    <w:rsid w:val="009406E7"/>
    <w:rsid w:val="00940B04"/>
    <w:rsid w:val="00944575"/>
    <w:rsid w:val="00944AB3"/>
    <w:rsid w:val="009465F6"/>
    <w:rsid w:val="009469A2"/>
    <w:rsid w:val="00950141"/>
    <w:rsid w:val="00950FC7"/>
    <w:rsid w:val="00951D07"/>
    <w:rsid w:val="00952A3E"/>
    <w:rsid w:val="00953FB3"/>
    <w:rsid w:val="0095455D"/>
    <w:rsid w:val="0095482D"/>
    <w:rsid w:val="009563AA"/>
    <w:rsid w:val="00957BED"/>
    <w:rsid w:val="0096004E"/>
    <w:rsid w:val="009623A4"/>
    <w:rsid w:val="00962AE7"/>
    <w:rsid w:val="00963229"/>
    <w:rsid w:val="0096515A"/>
    <w:rsid w:val="0096573E"/>
    <w:rsid w:val="00965C79"/>
    <w:rsid w:val="009662F5"/>
    <w:rsid w:val="00966601"/>
    <w:rsid w:val="00967094"/>
    <w:rsid w:val="00970079"/>
    <w:rsid w:val="009700A9"/>
    <w:rsid w:val="00970A79"/>
    <w:rsid w:val="00973C9C"/>
    <w:rsid w:val="009752BD"/>
    <w:rsid w:val="009758CF"/>
    <w:rsid w:val="00976C9C"/>
    <w:rsid w:val="00976CF4"/>
    <w:rsid w:val="009835C4"/>
    <w:rsid w:val="00983B0F"/>
    <w:rsid w:val="00984E05"/>
    <w:rsid w:val="00985554"/>
    <w:rsid w:val="00985A65"/>
    <w:rsid w:val="0098672A"/>
    <w:rsid w:val="00987830"/>
    <w:rsid w:val="00990141"/>
    <w:rsid w:val="00990D6F"/>
    <w:rsid w:val="0099131F"/>
    <w:rsid w:val="0099157D"/>
    <w:rsid w:val="00993A67"/>
    <w:rsid w:val="00994D7F"/>
    <w:rsid w:val="009962A0"/>
    <w:rsid w:val="0099644E"/>
    <w:rsid w:val="00996F8C"/>
    <w:rsid w:val="009A0627"/>
    <w:rsid w:val="009A44CB"/>
    <w:rsid w:val="009A454D"/>
    <w:rsid w:val="009A472B"/>
    <w:rsid w:val="009A5C14"/>
    <w:rsid w:val="009A5EC8"/>
    <w:rsid w:val="009A6141"/>
    <w:rsid w:val="009A750A"/>
    <w:rsid w:val="009A7763"/>
    <w:rsid w:val="009A7A9E"/>
    <w:rsid w:val="009A7B95"/>
    <w:rsid w:val="009B05E8"/>
    <w:rsid w:val="009B05F1"/>
    <w:rsid w:val="009B126C"/>
    <w:rsid w:val="009B19B4"/>
    <w:rsid w:val="009B2CF2"/>
    <w:rsid w:val="009B3751"/>
    <w:rsid w:val="009B45E7"/>
    <w:rsid w:val="009B493A"/>
    <w:rsid w:val="009B4DE3"/>
    <w:rsid w:val="009B537A"/>
    <w:rsid w:val="009B62CB"/>
    <w:rsid w:val="009B6612"/>
    <w:rsid w:val="009B6A55"/>
    <w:rsid w:val="009B7481"/>
    <w:rsid w:val="009B751A"/>
    <w:rsid w:val="009C02BD"/>
    <w:rsid w:val="009C158C"/>
    <w:rsid w:val="009C196E"/>
    <w:rsid w:val="009C2F04"/>
    <w:rsid w:val="009C3B52"/>
    <w:rsid w:val="009C4A6F"/>
    <w:rsid w:val="009C55F9"/>
    <w:rsid w:val="009C6025"/>
    <w:rsid w:val="009C7197"/>
    <w:rsid w:val="009D161B"/>
    <w:rsid w:val="009D18A0"/>
    <w:rsid w:val="009D1EF0"/>
    <w:rsid w:val="009D478F"/>
    <w:rsid w:val="009D479C"/>
    <w:rsid w:val="009D5125"/>
    <w:rsid w:val="009D545D"/>
    <w:rsid w:val="009D6126"/>
    <w:rsid w:val="009D705F"/>
    <w:rsid w:val="009D707E"/>
    <w:rsid w:val="009D7772"/>
    <w:rsid w:val="009D7E79"/>
    <w:rsid w:val="009E1143"/>
    <w:rsid w:val="009E165F"/>
    <w:rsid w:val="009E26F3"/>
    <w:rsid w:val="009E2925"/>
    <w:rsid w:val="009E409E"/>
    <w:rsid w:val="009E4C22"/>
    <w:rsid w:val="009E63C4"/>
    <w:rsid w:val="009E7131"/>
    <w:rsid w:val="009F0065"/>
    <w:rsid w:val="009F0651"/>
    <w:rsid w:val="009F0908"/>
    <w:rsid w:val="009F1BCB"/>
    <w:rsid w:val="009F2488"/>
    <w:rsid w:val="009F3305"/>
    <w:rsid w:val="009F3650"/>
    <w:rsid w:val="009F6E81"/>
    <w:rsid w:val="009F7321"/>
    <w:rsid w:val="00A00194"/>
    <w:rsid w:val="00A001C6"/>
    <w:rsid w:val="00A00244"/>
    <w:rsid w:val="00A02BF2"/>
    <w:rsid w:val="00A031F9"/>
    <w:rsid w:val="00A03BD6"/>
    <w:rsid w:val="00A05A0B"/>
    <w:rsid w:val="00A05E0C"/>
    <w:rsid w:val="00A10C32"/>
    <w:rsid w:val="00A12FE6"/>
    <w:rsid w:val="00A14944"/>
    <w:rsid w:val="00A1714E"/>
    <w:rsid w:val="00A2017E"/>
    <w:rsid w:val="00A2337E"/>
    <w:rsid w:val="00A24A28"/>
    <w:rsid w:val="00A24B21"/>
    <w:rsid w:val="00A24FA6"/>
    <w:rsid w:val="00A253E4"/>
    <w:rsid w:val="00A2547A"/>
    <w:rsid w:val="00A261BA"/>
    <w:rsid w:val="00A27C2D"/>
    <w:rsid w:val="00A33A71"/>
    <w:rsid w:val="00A33CBD"/>
    <w:rsid w:val="00A343D4"/>
    <w:rsid w:val="00A403A8"/>
    <w:rsid w:val="00A404B2"/>
    <w:rsid w:val="00A406D2"/>
    <w:rsid w:val="00A41764"/>
    <w:rsid w:val="00A41901"/>
    <w:rsid w:val="00A41B44"/>
    <w:rsid w:val="00A41C86"/>
    <w:rsid w:val="00A428F3"/>
    <w:rsid w:val="00A42F93"/>
    <w:rsid w:val="00A44630"/>
    <w:rsid w:val="00A446D4"/>
    <w:rsid w:val="00A44AC4"/>
    <w:rsid w:val="00A4582E"/>
    <w:rsid w:val="00A466C5"/>
    <w:rsid w:val="00A472C5"/>
    <w:rsid w:val="00A50CD1"/>
    <w:rsid w:val="00A513F1"/>
    <w:rsid w:val="00A528CC"/>
    <w:rsid w:val="00A52EF0"/>
    <w:rsid w:val="00A53DF9"/>
    <w:rsid w:val="00A5472F"/>
    <w:rsid w:val="00A54C4F"/>
    <w:rsid w:val="00A560DE"/>
    <w:rsid w:val="00A565E9"/>
    <w:rsid w:val="00A56F02"/>
    <w:rsid w:val="00A57FD5"/>
    <w:rsid w:val="00A60463"/>
    <w:rsid w:val="00A60D31"/>
    <w:rsid w:val="00A61A8A"/>
    <w:rsid w:val="00A61B87"/>
    <w:rsid w:val="00A62028"/>
    <w:rsid w:val="00A628D7"/>
    <w:rsid w:val="00A6320B"/>
    <w:rsid w:val="00A6444C"/>
    <w:rsid w:val="00A64491"/>
    <w:rsid w:val="00A65141"/>
    <w:rsid w:val="00A66485"/>
    <w:rsid w:val="00A66DA4"/>
    <w:rsid w:val="00A71874"/>
    <w:rsid w:val="00A74126"/>
    <w:rsid w:val="00A7441C"/>
    <w:rsid w:val="00A75036"/>
    <w:rsid w:val="00A7606A"/>
    <w:rsid w:val="00A7702A"/>
    <w:rsid w:val="00A80332"/>
    <w:rsid w:val="00A80AA1"/>
    <w:rsid w:val="00A80D18"/>
    <w:rsid w:val="00A80DE6"/>
    <w:rsid w:val="00A82149"/>
    <w:rsid w:val="00A8228B"/>
    <w:rsid w:val="00A82C28"/>
    <w:rsid w:val="00A84413"/>
    <w:rsid w:val="00A85069"/>
    <w:rsid w:val="00A851D3"/>
    <w:rsid w:val="00A85C99"/>
    <w:rsid w:val="00A85E2E"/>
    <w:rsid w:val="00A86059"/>
    <w:rsid w:val="00A8682A"/>
    <w:rsid w:val="00A87275"/>
    <w:rsid w:val="00A877EA"/>
    <w:rsid w:val="00A90434"/>
    <w:rsid w:val="00A90848"/>
    <w:rsid w:val="00A90ADF"/>
    <w:rsid w:val="00A90D5D"/>
    <w:rsid w:val="00A919A8"/>
    <w:rsid w:val="00A94817"/>
    <w:rsid w:val="00A95E04"/>
    <w:rsid w:val="00A9702D"/>
    <w:rsid w:val="00AA09CE"/>
    <w:rsid w:val="00AA109A"/>
    <w:rsid w:val="00AA184D"/>
    <w:rsid w:val="00AA21D4"/>
    <w:rsid w:val="00AA242A"/>
    <w:rsid w:val="00AA3ADF"/>
    <w:rsid w:val="00AA4945"/>
    <w:rsid w:val="00AA4E30"/>
    <w:rsid w:val="00AA4F18"/>
    <w:rsid w:val="00AA7490"/>
    <w:rsid w:val="00AA7EB9"/>
    <w:rsid w:val="00AB0321"/>
    <w:rsid w:val="00AB21EA"/>
    <w:rsid w:val="00AB29DA"/>
    <w:rsid w:val="00AB2D5C"/>
    <w:rsid w:val="00AB30C4"/>
    <w:rsid w:val="00AB38FC"/>
    <w:rsid w:val="00AB3BFD"/>
    <w:rsid w:val="00AB4582"/>
    <w:rsid w:val="00AB4664"/>
    <w:rsid w:val="00AB51C0"/>
    <w:rsid w:val="00AB538D"/>
    <w:rsid w:val="00AB70F7"/>
    <w:rsid w:val="00AC078F"/>
    <w:rsid w:val="00AC12F5"/>
    <w:rsid w:val="00AC2A9D"/>
    <w:rsid w:val="00AC56CE"/>
    <w:rsid w:val="00AC59CF"/>
    <w:rsid w:val="00AC604F"/>
    <w:rsid w:val="00AC71B2"/>
    <w:rsid w:val="00AC79C0"/>
    <w:rsid w:val="00AC7EE4"/>
    <w:rsid w:val="00AD240B"/>
    <w:rsid w:val="00AD2F15"/>
    <w:rsid w:val="00AD34FD"/>
    <w:rsid w:val="00AD4224"/>
    <w:rsid w:val="00AD4E75"/>
    <w:rsid w:val="00AD5D5A"/>
    <w:rsid w:val="00AD6DC7"/>
    <w:rsid w:val="00AD74C8"/>
    <w:rsid w:val="00AE047F"/>
    <w:rsid w:val="00AE3181"/>
    <w:rsid w:val="00AE357C"/>
    <w:rsid w:val="00AE3F94"/>
    <w:rsid w:val="00AE6795"/>
    <w:rsid w:val="00AE6CB3"/>
    <w:rsid w:val="00AE6ED6"/>
    <w:rsid w:val="00AE7EDF"/>
    <w:rsid w:val="00AF07F9"/>
    <w:rsid w:val="00AF165B"/>
    <w:rsid w:val="00AF16C9"/>
    <w:rsid w:val="00AF3257"/>
    <w:rsid w:val="00AF4186"/>
    <w:rsid w:val="00AF4323"/>
    <w:rsid w:val="00AF4AF8"/>
    <w:rsid w:val="00AF59DA"/>
    <w:rsid w:val="00B006E7"/>
    <w:rsid w:val="00B01969"/>
    <w:rsid w:val="00B02FCB"/>
    <w:rsid w:val="00B04BED"/>
    <w:rsid w:val="00B07347"/>
    <w:rsid w:val="00B10470"/>
    <w:rsid w:val="00B10AEC"/>
    <w:rsid w:val="00B11E89"/>
    <w:rsid w:val="00B12515"/>
    <w:rsid w:val="00B1367C"/>
    <w:rsid w:val="00B14BD4"/>
    <w:rsid w:val="00B16963"/>
    <w:rsid w:val="00B1774E"/>
    <w:rsid w:val="00B2034E"/>
    <w:rsid w:val="00B2044E"/>
    <w:rsid w:val="00B21DE8"/>
    <w:rsid w:val="00B234B3"/>
    <w:rsid w:val="00B24FA2"/>
    <w:rsid w:val="00B25E60"/>
    <w:rsid w:val="00B26121"/>
    <w:rsid w:val="00B27C22"/>
    <w:rsid w:val="00B27D31"/>
    <w:rsid w:val="00B30BB7"/>
    <w:rsid w:val="00B3130A"/>
    <w:rsid w:val="00B320FF"/>
    <w:rsid w:val="00B32385"/>
    <w:rsid w:val="00B32B9E"/>
    <w:rsid w:val="00B32FB1"/>
    <w:rsid w:val="00B350EC"/>
    <w:rsid w:val="00B35AFE"/>
    <w:rsid w:val="00B40329"/>
    <w:rsid w:val="00B40B8D"/>
    <w:rsid w:val="00B4103B"/>
    <w:rsid w:val="00B422E2"/>
    <w:rsid w:val="00B432A2"/>
    <w:rsid w:val="00B4416E"/>
    <w:rsid w:val="00B45440"/>
    <w:rsid w:val="00B4724A"/>
    <w:rsid w:val="00B5219A"/>
    <w:rsid w:val="00B53BE1"/>
    <w:rsid w:val="00B5466A"/>
    <w:rsid w:val="00B546E5"/>
    <w:rsid w:val="00B54E07"/>
    <w:rsid w:val="00B54EBB"/>
    <w:rsid w:val="00B565C8"/>
    <w:rsid w:val="00B575ED"/>
    <w:rsid w:val="00B57F78"/>
    <w:rsid w:val="00B62F9E"/>
    <w:rsid w:val="00B6326B"/>
    <w:rsid w:val="00B652B5"/>
    <w:rsid w:val="00B66F7A"/>
    <w:rsid w:val="00B67C43"/>
    <w:rsid w:val="00B67ED0"/>
    <w:rsid w:val="00B70E53"/>
    <w:rsid w:val="00B71451"/>
    <w:rsid w:val="00B74278"/>
    <w:rsid w:val="00B74705"/>
    <w:rsid w:val="00B74730"/>
    <w:rsid w:val="00B75149"/>
    <w:rsid w:val="00B773C5"/>
    <w:rsid w:val="00B80201"/>
    <w:rsid w:val="00B803D6"/>
    <w:rsid w:val="00B83257"/>
    <w:rsid w:val="00B83A93"/>
    <w:rsid w:val="00B83B89"/>
    <w:rsid w:val="00B903E3"/>
    <w:rsid w:val="00B90D97"/>
    <w:rsid w:val="00B911C2"/>
    <w:rsid w:val="00B91DF8"/>
    <w:rsid w:val="00B93396"/>
    <w:rsid w:val="00B95300"/>
    <w:rsid w:val="00B9543E"/>
    <w:rsid w:val="00B9594C"/>
    <w:rsid w:val="00B969CB"/>
    <w:rsid w:val="00B96F03"/>
    <w:rsid w:val="00B9734C"/>
    <w:rsid w:val="00BA0B05"/>
    <w:rsid w:val="00BA1C6F"/>
    <w:rsid w:val="00BA314C"/>
    <w:rsid w:val="00BA52F8"/>
    <w:rsid w:val="00BA6C1F"/>
    <w:rsid w:val="00BA6D21"/>
    <w:rsid w:val="00BB1BEE"/>
    <w:rsid w:val="00BB1E94"/>
    <w:rsid w:val="00BB57F4"/>
    <w:rsid w:val="00BB64DA"/>
    <w:rsid w:val="00BB667B"/>
    <w:rsid w:val="00BB7712"/>
    <w:rsid w:val="00BC1222"/>
    <w:rsid w:val="00BC177D"/>
    <w:rsid w:val="00BC1947"/>
    <w:rsid w:val="00BC1A41"/>
    <w:rsid w:val="00BC2114"/>
    <w:rsid w:val="00BC240F"/>
    <w:rsid w:val="00BC2908"/>
    <w:rsid w:val="00BC37A5"/>
    <w:rsid w:val="00BC3FC3"/>
    <w:rsid w:val="00BC5224"/>
    <w:rsid w:val="00BC6BAB"/>
    <w:rsid w:val="00BC6FDF"/>
    <w:rsid w:val="00BC7725"/>
    <w:rsid w:val="00BC7AE4"/>
    <w:rsid w:val="00BC7D79"/>
    <w:rsid w:val="00BD0075"/>
    <w:rsid w:val="00BD02DD"/>
    <w:rsid w:val="00BD09E2"/>
    <w:rsid w:val="00BD2C45"/>
    <w:rsid w:val="00BD4A4B"/>
    <w:rsid w:val="00BD4C27"/>
    <w:rsid w:val="00BD626E"/>
    <w:rsid w:val="00BD6ABF"/>
    <w:rsid w:val="00BD6E92"/>
    <w:rsid w:val="00BD74FA"/>
    <w:rsid w:val="00BD7A22"/>
    <w:rsid w:val="00BE05BB"/>
    <w:rsid w:val="00BE0F25"/>
    <w:rsid w:val="00BE207E"/>
    <w:rsid w:val="00BE274E"/>
    <w:rsid w:val="00BE2B1B"/>
    <w:rsid w:val="00BE336C"/>
    <w:rsid w:val="00BE4D2C"/>
    <w:rsid w:val="00BE5835"/>
    <w:rsid w:val="00BE7308"/>
    <w:rsid w:val="00BE74DF"/>
    <w:rsid w:val="00BE7988"/>
    <w:rsid w:val="00BE7F6B"/>
    <w:rsid w:val="00BF0382"/>
    <w:rsid w:val="00BF082E"/>
    <w:rsid w:val="00BF0FC4"/>
    <w:rsid w:val="00BF1E0A"/>
    <w:rsid w:val="00BF27E9"/>
    <w:rsid w:val="00BF4212"/>
    <w:rsid w:val="00BF6F76"/>
    <w:rsid w:val="00C02978"/>
    <w:rsid w:val="00C034A9"/>
    <w:rsid w:val="00C03859"/>
    <w:rsid w:val="00C03DBF"/>
    <w:rsid w:val="00C04FA0"/>
    <w:rsid w:val="00C05E01"/>
    <w:rsid w:val="00C05E42"/>
    <w:rsid w:val="00C06075"/>
    <w:rsid w:val="00C063F1"/>
    <w:rsid w:val="00C078BD"/>
    <w:rsid w:val="00C11AF5"/>
    <w:rsid w:val="00C13805"/>
    <w:rsid w:val="00C15CA6"/>
    <w:rsid w:val="00C16807"/>
    <w:rsid w:val="00C2025F"/>
    <w:rsid w:val="00C214FA"/>
    <w:rsid w:val="00C2167D"/>
    <w:rsid w:val="00C21BCC"/>
    <w:rsid w:val="00C228FA"/>
    <w:rsid w:val="00C23390"/>
    <w:rsid w:val="00C23C07"/>
    <w:rsid w:val="00C2403A"/>
    <w:rsid w:val="00C24CC2"/>
    <w:rsid w:val="00C260F7"/>
    <w:rsid w:val="00C2632E"/>
    <w:rsid w:val="00C266D3"/>
    <w:rsid w:val="00C266DA"/>
    <w:rsid w:val="00C26FE9"/>
    <w:rsid w:val="00C27941"/>
    <w:rsid w:val="00C27BD3"/>
    <w:rsid w:val="00C27D03"/>
    <w:rsid w:val="00C30D8F"/>
    <w:rsid w:val="00C30ECF"/>
    <w:rsid w:val="00C31095"/>
    <w:rsid w:val="00C31607"/>
    <w:rsid w:val="00C32321"/>
    <w:rsid w:val="00C32332"/>
    <w:rsid w:val="00C349F0"/>
    <w:rsid w:val="00C34A1E"/>
    <w:rsid w:val="00C3720B"/>
    <w:rsid w:val="00C41423"/>
    <w:rsid w:val="00C41D5D"/>
    <w:rsid w:val="00C429A1"/>
    <w:rsid w:val="00C43335"/>
    <w:rsid w:val="00C4334F"/>
    <w:rsid w:val="00C4434A"/>
    <w:rsid w:val="00C44974"/>
    <w:rsid w:val="00C44E9E"/>
    <w:rsid w:val="00C46098"/>
    <w:rsid w:val="00C46439"/>
    <w:rsid w:val="00C46B32"/>
    <w:rsid w:val="00C47A26"/>
    <w:rsid w:val="00C50556"/>
    <w:rsid w:val="00C50E1F"/>
    <w:rsid w:val="00C516EC"/>
    <w:rsid w:val="00C53DC9"/>
    <w:rsid w:val="00C55526"/>
    <w:rsid w:val="00C569A6"/>
    <w:rsid w:val="00C571A9"/>
    <w:rsid w:val="00C57A73"/>
    <w:rsid w:val="00C615A7"/>
    <w:rsid w:val="00C616BF"/>
    <w:rsid w:val="00C62C5D"/>
    <w:rsid w:val="00C64873"/>
    <w:rsid w:val="00C65A0A"/>
    <w:rsid w:val="00C66628"/>
    <w:rsid w:val="00C6723F"/>
    <w:rsid w:val="00C67B39"/>
    <w:rsid w:val="00C734C0"/>
    <w:rsid w:val="00C73966"/>
    <w:rsid w:val="00C73C3D"/>
    <w:rsid w:val="00C7422F"/>
    <w:rsid w:val="00C751BF"/>
    <w:rsid w:val="00C7651A"/>
    <w:rsid w:val="00C77280"/>
    <w:rsid w:val="00C7772C"/>
    <w:rsid w:val="00C812AA"/>
    <w:rsid w:val="00C81AD1"/>
    <w:rsid w:val="00C83111"/>
    <w:rsid w:val="00C84265"/>
    <w:rsid w:val="00C84ED5"/>
    <w:rsid w:val="00C87250"/>
    <w:rsid w:val="00C9070B"/>
    <w:rsid w:val="00C941DC"/>
    <w:rsid w:val="00C94791"/>
    <w:rsid w:val="00C96465"/>
    <w:rsid w:val="00C96D0A"/>
    <w:rsid w:val="00C97EDB"/>
    <w:rsid w:val="00CA001B"/>
    <w:rsid w:val="00CA01AD"/>
    <w:rsid w:val="00CA0417"/>
    <w:rsid w:val="00CA0456"/>
    <w:rsid w:val="00CA0D73"/>
    <w:rsid w:val="00CA1A52"/>
    <w:rsid w:val="00CA2625"/>
    <w:rsid w:val="00CA2C90"/>
    <w:rsid w:val="00CA3024"/>
    <w:rsid w:val="00CA3E46"/>
    <w:rsid w:val="00CA485C"/>
    <w:rsid w:val="00CA5403"/>
    <w:rsid w:val="00CA5475"/>
    <w:rsid w:val="00CA69EC"/>
    <w:rsid w:val="00CA6FE3"/>
    <w:rsid w:val="00CA76CF"/>
    <w:rsid w:val="00CA7880"/>
    <w:rsid w:val="00CB1161"/>
    <w:rsid w:val="00CB19DA"/>
    <w:rsid w:val="00CB1BF5"/>
    <w:rsid w:val="00CB3AF4"/>
    <w:rsid w:val="00CB3F45"/>
    <w:rsid w:val="00CB40A0"/>
    <w:rsid w:val="00CB44F6"/>
    <w:rsid w:val="00CB51FF"/>
    <w:rsid w:val="00CB77CB"/>
    <w:rsid w:val="00CC0334"/>
    <w:rsid w:val="00CC1692"/>
    <w:rsid w:val="00CC1B8B"/>
    <w:rsid w:val="00CC1DF5"/>
    <w:rsid w:val="00CC3A59"/>
    <w:rsid w:val="00CC3B45"/>
    <w:rsid w:val="00CC4253"/>
    <w:rsid w:val="00CC444E"/>
    <w:rsid w:val="00CC4804"/>
    <w:rsid w:val="00CC5133"/>
    <w:rsid w:val="00CC5F27"/>
    <w:rsid w:val="00CC63FE"/>
    <w:rsid w:val="00CC7437"/>
    <w:rsid w:val="00CC7752"/>
    <w:rsid w:val="00CD16A3"/>
    <w:rsid w:val="00CD1841"/>
    <w:rsid w:val="00CD20E1"/>
    <w:rsid w:val="00CD3BBB"/>
    <w:rsid w:val="00CD3C54"/>
    <w:rsid w:val="00CD51EC"/>
    <w:rsid w:val="00CD6961"/>
    <w:rsid w:val="00CD7CC7"/>
    <w:rsid w:val="00CE081E"/>
    <w:rsid w:val="00CE08DD"/>
    <w:rsid w:val="00CE09F2"/>
    <w:rsid w:val="00CE2CDA"/>
    <w:rsid w:val="00CE3521"/>
    <w:rsid w:val="00CE3BC2"/>
    <w:rsid w:val="00CE4873"/>
    <w:rsid w:val="00CE5723"/>
    <w:rsid w:val="00CE57FF"/>
    <w:rsid w:val="00CE6ED8"/>
    <w:rsid w:val="00CE74C3"/>
    <w:rsid w:val="00CF0025"/>
    <w:rsid w:val="00CF0EFF"/>
    <w:rsid w:val="00CF1168"/>
    <w:rsid w:val="00CF1C88"/>
    <w:rsid w:val="00CF3FC7"/>
    <w:rsid w:val="00CF4077"/>
    <w:rsid w:val="00CF4841"/>
    <w:rsid w:val="00CF5493"/>
    <w:rsid w:val="00CF67D8"/>
    <w:rsid w:val="00CF694E"/>
    <w:rsid w:val="00CF6BF4"/>
    <w:rsid w:val="00CF77C7"/>
    <w:rsid w:val="00CF7DE9"/>
    <w:rsid w:val="00D01398"/>
    <w:rsid w:val="00D0189D"/>
    <w:rsid w:val="00D03B93"/>
    <w:rsid w:val="00D041B0"/>
    <w:rsid w:val="00D043DC"/>
    <w:rsid w:val="00D04528"/>
    <w:rsid w:val="00D04DD7"/>
    <w:rsid w:val="00D050BA"/>
    <w:rsid w:val="00D05E32"/>
    <w:rsid w:val="00D0640E"/>
    <w:rsid w:val="00D06FC6"/>
    <w:rsid w:val="00D106A3"/>
    <w:rsid w:val="00D11CE7"/>
    <w:rsid w:val="00D12281"/>
    <w:rsid w:val="00D13BE2"/>
    <w:rsid w:val="00D14D03"/>
    <w:rsid w:val="00D174F0"/>
    <w:rsid w:val="00D175B7"/>
    <w:rsid w:val="00D17707"/>
    <w:rsid w:val="00D26679"/>
    <w:rsid w:val="00D2772F"/>
    <w:rsid w:val="00D3020A"/>
    <w:rsid w:val="00D3079F"/>
    <w:rsid w:val="00D30C5E"/>
    <w:rsid w:val="00D3100A"/>
    <w:rsid w:val="00D312EB"/>
    <w:rsid w:val="00D318BF"/>
    <w:rsid w:val="00D3348F"/>
    <w:rsid w:val="00D3413F"/>
    <w:rsid w:val="00D3477D"/>
    <w:rsid w:val="00D3483B"/>
    <w:rsid w:val="00D3497A"/>
    <w:rsid w:val="00D35B95"/>
    <w:rsid w:val="00D36B51"/>
    <w:rsid w:val="00D3705B"/>
    <w:rsid w:val="00D373B0"/>
    <w:rsid w:val="00D403B7"/>
    <w:rsid w:val="00D40C75"/>
    <w:rsid w:val="00D40F22"/>
    <w:rsid w:val="00D4142C"/>
    <w:rsid w:val="00D4229B"/>
    <w:rsid w:val="00D42F0B"/>
    <w:rsid w:val="00D45597"/>
    <w:rsid w:val="00D45823"/>
    <w:rsid w:val="00D45C32"/>
    <w:rsid w:val="00D462AD"/>
    <w:rsid w:val="00D46FF7"/>
    <w:rsid w:val="00D47AD5"/>
    <w:rsid w:val="00D518C3"/>
    <w:rsid w:val="00D51C09"/>
    <w:rsid w:val="00D532C6"/>
    <w:rsid w:val="00D5426B"/>
    <w:rsid w:val="00D54C4D"/>
    <w:rsid w:val="00D5599A"/>
    <w:rsid w:val="00D55B21"/>
    <w:rsid w:val="00D5693C"/>
    <w:rsid w:val="00D569AD"/>
    <w:rsid w:val="00D5793A"/>
    <w:rsid w:val="00D57E52"/>
    <w:rsid w:val="00D605E5"/>
    <w:rsid w:val="00D62A8B"/>
    <w:rsid w:val="00D64868"/>
    <w:rsid w:val="00D6594B"/>
    <w:rsid w:val="00D65F89"/>
    <w:rsid w:val="00D71595"/>
    <w:rsid w:val="00D71B33"/>
    <w:rsid w:val="00D72158"/>
    <w:rsid w:val="00D72E9A"/>
    <w:rsid w:val="00D740F4"/>
    <w:rsid w:val="00D7422C"/>
    <w:rsid w:val="00D802FD"/>
    <w:rsid w:val="00D869C5"/>
    <w:rsid w:val="00D92888"/>
    <w:rsid w:val="00D932E1"/>
    <w:rsid w:val="00D937A6"/>
    <w:rsid w:val="00D94A5A"/>
    <w:rsid w:val="00D97721"/>
    <w:rsid w:val="00DA0427"/>
    <w:rsid w:val="00DA05B7"/>
    <w:rsid w:val="00DA127D"/>
    <w:rsid w:val="00DA266F"/>
    <w:rsid w:val="00DA26A7"/>
    <w:rsid w:val="00DA2928"/>
    <w:rsid w:val="00DA30E8"/>
    <w:rsid w:val="00DA3AE2"/>
    <w:rsid w:val="00DA3B33"/>
    <w:rsid w:val="00DA42A3"/>
    <w:rsid w:val="00DA5B4D"/>
    <w:rsid w:val="00DA7075"/>
    <w:rsid w:val="00DA74A2"/>
    <w:rsid w:val="00DB0842"/>
    <w:rsid w:val="00DB1B33"/>
    <w:rsid w:val="00DB3F35"/>
    <w:rsid w:val="00DB550E"/>
    <w:rsid w:val="00DB6144"/>
    <w:rsid w:val="00DB6664"/>
    <w:rsid w:val="00DB6EAC"/>
    <w:rsid w:val="00DB73FB"/>
    <w:rsid w:val="00DB745E"/>
    <w:rsid w:val="00DB7CD4"/>
    <w:rsid w:val="00DC0DBE"/>
    <w:rsid w:val="00DC217C"/>
    <w:rsid w:val="00DC429D"/>
    <w:rsid w:val="00DC458D"/>
    <w:rsid w:val="00DC62D9"/>
    <w:rsid w:val="00DC6BCD"/>
    <w:rsid w:val="00DC6E17"/>
    <w:rsid w:val="00DC6F8F"/>
    <w:rsid w:val="00DC747D"/>
    <w:rsid w:val="00DD26B7"/>
    <w:rsid w:val="00DD35D4"/>
    <w:rsid w:val="00DD3848"/>
    <w:rsid w:val="00DD4DCA"/>
    <w:rsid w:val="00DD5181"/>
    <w:rsid w:val="00DD569F"/>
    <w:rsid w:val="00DD5B3A"/>
    <w:rsid w:val="00DD5CCB"/>
    <w:rsid w:val="00DD6003"/>
    <w:rsid w:val="00DD7B1D"/>
    <w:rsid w:val="00DE1A4C"/>
    <w:rsid w:val="00DE285A"/>
    <w:rsid w:val="00DE2F3F"/>
    <w:rsid w:val="00DE3E14"/>
    <w:rsid w:val="00DE5417"/>
    <w:rsid w:val="00DE5630"/>
    <w:rsid w:val="00DE5DD0"/>
    <w:rsid w:val="00DE608E"/>
    <w:rsid w:val="00DE7227"/>
    <w:rsid w:val="00DE76FC"/>
    <w:rsid w:val="00DF011C"/>
    <w:rsid w:val="00DF0BB3"/>
    <w:rsid w:val="00DF33A3"/>
    <w:rsid w:val="00DF3789"/>
    <w:rsid w:val="00DF3F22"/>
    <w:rsid w:val="00DF4241"/>
    <w:rsid w:val="00DF45B4"/>
    <w:rsid w:val="00DF4BAB"/>
    <w:rsid w:val="00DF5D14"/>
    <w:rsid w:val="00DF608E"/>
    <w:rsid w:val="00DF6CC5"/>
    <w:rsid w:val="00DF6FF1"/>
    <w:rsid w:val="00DF76E0"/>
    <w:rsid w:val="00E0139A"/>
    <w:rsid w:val="00E015A9"/>
    <w:rsid w:val="00E02883"/>
    <w:rsid w:val="00E04029"/>
    <w:rsid w:val="00E04242"/>
    <w:rsid w:val="00E10861"/>
    <w:rsid w:val="00E120BC"/>
    <w:rsid w:val="00E1376C"/>
    <w:rsid w:val="00E15635"/>
    <w:rsid w:val="00E16BEE"/>
    <w:rsid w:val="00E21B02"/>
    <w:rsid w:val="00E23869"/>
    <w:rsid w:val="00E23EEA"/>
    <w:rsid w:val="00E251B1"/>
    <w:rsid w:val="00E25CA8"/>
    <w:rsid w:val="00E26156"/>
    <w:rsid w:val="00E27323"/>
    <w:rsid w:val="00E3046F"/>
    <w:rsid w:val="00E30962"/>
    <w:rsid w:val="00E3099D"/>
    <w:rsid w:val="00E31CB4"/>
    <w:rsid w:val="00E333FB"/>
    <w:rsid w:val="00E3345C"/>
    <w:rsid w:val="00E36150"/>
    <w:rsid w:val="00E367BF"/>
    <w:rsid w:val="00E36EA0"/>
    <w:rsid w:val="00E36F7B"/>
    <w:rsid w:val="00E379CA"/>
    <w:rsid w:val="00E40778"/>
    <w:rsid w:val="00E41FE9"/>
    <w:rsid w:val="00E4501A"/>
    <w:rsid w:val="00E45135"/>
    <w:rsid w:val="00E4586E"/>
    <w:rsid w:val="00E45DEB"/>
    <w:rsid w:val="00E464B9"/>
    <w:rsid w:val="00E469C1"/>
    <w:rsid w:val="00E46BFA"/>
    <w:rsid w:val="00E477BE"/>
    <w:rsid w:val="00E47B62"/>
    <w:rsid w:val="00E511EA"/>
    <w:rsid w:val="00E51517"/>
    <w:rsid w:val="00E51F74"/>
    <w:rsid w:val="00E54533"/>
    <w:rsid w:val="00E55868"/>
    <w:rsid w:val="00E60C14"/>
    <w:rsid w:val="00E61815"/>
    <w:rsid w:val="00E61B4D"/>
    <w:rsid w:val="00E63806"/>
    <w:rsid w:val="00E65A34"/>
    <w:rsid w:val="00E65D86"/>
    <w:rsid w:val="00E66967"/>
    <w:rsid w:val="00E6717D"/>
    <w:rsid w:val="00E673C6"/>
    <w:rsid w:val="00E6754B"/>
    <w:rsid w:val="00E67E1C"/>
    <w:rsid w:val="00E67F79"/>
    <w:rsid w:val="00E70E2A"/>
    <w:rsid w:val="00E71B63"/>
    <w:rsid w:val="00E71BD4"/>
    <w:rsid w:val="00E72C1A"/>
    <w:rsid w:val="00E74BBE"/>
    <w:rsid w:val="00E763CD"/>
    <w:rsid w:val="00E76A0F"/>
    <w:rsid w:val="00E7711B"/>
    <w:rsid w:val="00E77E51"/>
    <w:rsid w:val="00E807D4"/>
    <w:rsid w:val="00E8114F"/>
    <w:rsid w:val="00E82425"/>
    <w:rsid w:val="00E828F9"/>
    <w:rsid w:val="00E82AF3"/>
    <w:rsid w:val="00E82B64"/>
    <w:rsid w:val="00E83E08"/>
    <w:rsid w:val="00E850A3"/>
    <w:rsid w:val="00E8528B"/>
    <w:rsid w:val="00E859BA"/>
    <w:rsid w:val="00E864F1"/>
    <w:rsid w:val="00E86A15"/>
    <w:rsid w:val="00E87034"/>
    <w:rsid w:val="00E870B0"/>
    <w:rsid w:val="00E90733"/>
    <w:rsid w:val="00E90F26"/>
    <w:rsid w:val="00E931A2"/>
    <w:rsid w:val="00E93D9A"/>
    <w:rsid w:val="00E96340"/>
    <w:rsid w:val="00EA022F"/>
    <w:rsid w:val="00EA26A5"/>
    <w:rsid w:val="00EA2E2E"/>
    <w:rsid w:val="00EA38D5"/>
    <w:rsid w:val="00EA4363"/>
    <w:rsid w:val="00EA5409"/>
    <w:rsid w:val="00EA566B"/>
    <w:rsid w:val="00EA5F10"/>
    <w:rsid w:val="00EA5F30"/>
    <w:rsid w:val="00EA6EA0"/>
    <w:rsid w:val="00EA6F59"/>
    <w:rsid w:val="00EA725B"/>
    <w:rsid w:val="00EA789A"/>
    <w:rsid w:val="00EA7F85"/>
    <w:rsid w:val="00EB219C"/>
    <w:rsid w:val="00EB321E"/>
    <w:rsid w:val="00EB62A2"/>
    <w:rsid w:val="00EB63C2"/>
    <w:rsid w:val="00EB64FC"/>
    <w:rsid w:val="00EB7B3E"/>
    <w:rsid w:val="00EC0FC7"/>
    <w:rsid w:val="00EC3466"/>
    <w:rsid w:val="00EC37C6"/>
    <w:rsid w:val="00EC3CEA"/>
    <w:rsid w:val="00EC3DD6"/>
    <w:rsid w:val="00EC4D48"/>
    <w:rsid w:val="00EC6339"/>
    <w:rsid w:val="00EC744B"/>
    <w:rsid w:val="00EC778D"/>
    <w:rsid w:val="00EC7B5A"/>
    <w:rsid w:val="00ED1573"/>
    <w:rsid w:val="00ED1966"/>
    <w:rsid w:val="00ED3712"/>
    <w:rsid w:val="00ED419B"/>
    <w:rsid w:val="00ED4DA5"/>
    <w:rsid w:val="00ED5AAA"/>
    <w:rsid w:val="00ED5AF3"/>
    <w:rsid w:val="00ED6E55"/>
    <w:rsid w:val="00ED71E9"/>
    <w:rsid w:val="00ED7419"/>
    <w:rsid w:val="00ED7443"/>
    <w:rsid w:val="00EE050F"/>
    <w:rsid w:val="00EE081A"/>
    <w:rsid w:val="00EE1B70"/>
    <w:rsid w:val="00EE1EB5"/>
    <w:rsid w:val="00EE243B"/>
    <w:rsid w:val="00EE5AEA"/>
    <w:rsid w:val="00EE60DB"/>
    <w:rsid w:val="00EE654A"/>
    <w:rsid w:val="00EE7E38"/>
    <w:rsid w:val="00EE7EEA"/>
    <w:rsid w:val="00EF1D7E"/>
    <w:rsid w:val="00EF23FD"/>
    <w:rsid w:val="00EF2D5D"/>
    <w:rsid w:val="00EF39FC"/>
    <w:rsid w:val="00EF449C"/>
    <w:rsid w:val="00EF4CEE"/>
    <w:rsid w:val="00EF53E2"/>
    <w:rsid w:val="00EF5638"/>
    <w:rsid w:val="00EF56DF"/>
    <w:rsid w:val="00EF6801"/>
    <w:rsid w:val="00EF6F0E"/>
    <w:rsid w:val="00EF7F09"/>
    <w:rsid w:val="00F016CA"/>
    <w:rsid w:val="00F01E4F"/>
    <w:rsid w:val="00F04143"/>
    <w:rsid w:val="00F0482C"/>
    <w:rsid w:val="00F05C44"/>
    <w:rsid w:val="00F05E09"/>
    <w:rsid w:val="00F0740D"/>
    <w:rsid w:val="00F07750"/>
    <w:rsid w:val="00F07780"/>
    <w:rsid w:val="00F07DB3"/>
    <w:rsid w:val="00F106C0"/>
    <w:rsid w:val="00F10988"/>
    <w:rsid w:val="00F10A7A"/>
    <w:rsid w:val="00F10A86"/>
    <w:rsid w:val="00F12149"/>
    <w:rsid w:val="00F12E25"/>
    <w:rsid w:val="00F13587"/>
    <w:rsid w:val="00F16387"/>
    <w:rsid w:val="00F173FD"/>
    <w:rsid w:val="00F203C7"/>
    <w:rsid w:val="00F210E0"/>
    <w:rsid w:val="00F21646"/>
    <w:rsid w:val="00F21917"/>
    <w:rsid w:val="00F21C85"/>
    <w:rsid w:val="00F23544"/>
    <w:rsid w:val="00F25ABF"/>
    <w:rsid w:val="00F25BBF"/>
    <w:rsid w:val="00F27A4B"/>
    <w:rsid w:val="00F27BB1"/>
    <w:rsid w:val="00F311E3"/>
    <w:rsid w:val="00F31BEE"/>
    <w:rsid w:val="00F32B0E"/>
    <w:rsid w:val="00F331AF"/>
    <w:rsid w:val="00F33DC4"/>
    <w:rsid w:val="00F35946"/>
    <w:rsid w:val="00F359C0"/>
    <w:rsid w:val="00F37DBE"/>
    <w:rsid w:val="00F40203"/>
    <w:rsid w:val="00F411E2"/>
    <w:rsid w:val="00F4212C"/>
    <w:rsid w:val="00F421EA"/>
    <w:rsid w:val="00F430AC"/>
    <w:rsid w:val="00F44E12"/>
    <w:rsid w:val="00F45308"/>
    <w:rsid w:val="00F462D5"/>
    <w:rsid w:val="00F46975"/>
    <w:rsid w:val="00F477B9"/>
    <w:rsid w:val="00F516B5"/>
    <w:rsid w:val="00F53604"/>
    <w:rsid w:val="00F54A39"/>
    <w:rsid w:val="00F54B2D"/>
    <w:rsid w:val="00F54BBB"/>
    <w:rsid w:val="00F55625"/>
    <w:rsid w:val="00F55FAE"/>
    <w:rsid w:val="00F56422"/>
    <w:rsid w:val="00F60171"/>
    <w:rsid w:val="00F603C9"/>
    <w:rsid w:val="00F607F4"/>
    <w:rsid w:val="00F6086F"/>
    <w:rsid w:val="00F613FA"/>
    <w:rsid w:val="00F61795"/>
    <w:rsid w:val="00F6631F"/>
    <w:rsid w:val="00F67447"/>
    <w:rsid w:val="00F7059C"/>
    <w:rsid w:val="00F72112"/>
    <w:rsid w:val="00F723D6"/>
    <w:rsid w:val="00F724AB"/>
    <w:rsid w:val="00F75018"/>
    <w:rsid w:val="00F764DF"/>
    <w:rsid w:val="00F76942"/>
    <w:rsid w:val="00F77999"/>
    <w:rsid w:val="00F77E87"/>
    <w:rsid w:val="00F806A9"/>
    <w:rsid w:val="00F81390"/>
    <w:rsid w:val="00F81620"/>
    <w:rsid w:val="00F8217F"/>
    <w:rsid w:val="00F8229F"/>
    <w:rsid w:val="00F83113"/>
    <w:rsid w:val="00F83392"/>
    <w:rsid w:val="00F83C22"/>
    <w:rsid w:val="00F83E61"/>
    <w:rsid w:val="00F84521"/>
    <w:rsid w:val="00F8525D"/>
    <w:rsid w:val="00F86CF5"/>
    <w:rsid w:val="00F87451"/>
    <w:rsid w:val="00F906AB"/>
    <w:rsid w:val="00F91766"/>
    <w:rsid w:val="00F91A6E"/>
    <w:rsid w:val="00F9687E"/>
    <w:rsid w:val="00F96B7D"/>
    <w:rsid w:val="00FA0537"/>
    <w:rsid w:val="00FA0852"/>
    <w:rsid w:val="00FA1D08"/>
    <w:rsid w:val="00FA25EA"/>
    <w:rsid w:val="00FA2ECA"/>
    <w:rsid w:val="00FA2FA8"/>
    <w:rsid w:val="00FA3D82"/>
    <w:rsid w:val="00FA5F04"/>
    <w:rsid w:val="00FA65E5"/>
    <w:rsid w:val="00FA6A63"/>
    <w:rsid w:val="00FB1348"/>
    <w:rsid w:val="00FB1EA0"/>
    <w:rsid w:val="00FB2144"/>
    <w:rsid w:val="00FB2DA4"/>
    <w:rsid w:val="00FB45C2"/>
    <w:rsid w:val="00FB6B51"/>
    <w:rsid w:val="00FC2786"/>
    <w:rsid w:val="00FC36CB"/>
    <w:rsid w:val="00FC3779"/>
    <w:rsid w:val="00FC3C59"/>
    <w:rsid w:val="00FC400D"/>
    <w:rsid w:val="00FC58AA"/>
    <w:rsid w:val="00FC5982"/>
    <w:rsid w:val="00FC5AC6"/>
    <w:rsid w:val="00FC6F54"/>
    <w:rsid w:val="00FC7979"/>
    <w:rsid w:val="00FC7CE2"/>
    <w:rsid w:val="00FD1489"/>
    <w:rsid w:val="00FD15A5"/>
    <w:rsid w:val="00FD2169"/>
    <w:rsid w:val="00FD245E"/>
    <w:rsid w:val="00FD24D9"/>
    <w:rsid w:val="00FD2B4A"/>
    <w:rsid w:val="00FD43CA"/>
    <w:rsid w:val="00FD4B6C"/>
    <w:rsid w:val="00FD67DB"/>
    <w:rsid w:val="00FD760A"/>
    <w:rsid w:val="00FD7C6C"/>
    <w:rsid w:val="00FE1B51"/>
    <w:rsid w:val="00FE1CB9"/>
    <w:rsid w:val="00FE54A8"/>
    <w:rsid w:val="00FE66D2"/>
    <w:rsid w:val="00FE6741"/>
    <w:rsid w:val="00FE6B1A"/>
    <w:rsid w:val="00FE730D"/>
    <w:rsid w:val="00FF06F9"/>
    <w:rsid w:val="00FF0FB4"/>
    <w:rsid w:val="00FF1A88"/>
    <w:rsid w:val="00FF2308"/>
    <w:rsid w:val="00FF257F"/>
    <w:rsid w:val="00FF2B2A"/>
    <w:rsid w:val="00FF2B97"/>
    <w:rsid w:val="00FF386C"/>
    <w:rsid w:val="00FF3AAA"/>
    <w:rsid w:val="00FF47D8"/>
    <w:rsid w:val="00FF4EE6"/>
    <w:rsid w:val="00FF683E"/>
    <w:rsid w:val="00FF6A5B"/>
    <w:rsid w:val="00FF7BBC"/>
    <w:rsid w:val="016367A9"/>
    <w:rsid w:val="016875DE"/>
    <w:rsid w:val="01B34A13"/>
    <w:rsid w:val="01D225A9"/>
    <w:rsid w:val="01E812A5"/>
    <w:rsid w:val="02165375"/>
    <w:rsid w:val="02362A34"/>
    <w:rsid w:val="0255131A"/>
    <w:rsid w:val="028669BE"/>
    <w:rsid w:val="028E6154"/>
    <w:rsid w:val="02F91254"/>
    <w:rsid w:val="02FF0E39"/>
    <w:rsid w:val="03040CCD"/>
    <w:rsid w:val="0337506D"/>
    <w:rsid w:val="03404E17"/>
    <w:rsid w:val="036C4C82"/>
    <w:rsid w:val="03C0185E"/>
    <w:rsid w:val="03D84221"/>
    <w:rsid w:val="04114DD0"/>
    <w:rsid w:val="04386532"/>
    <w:rsid w:val="046B703C"/>
    <w:rsid w:val="049F6495"/>
    <w:rsid w:val="04A55DD3"/>
    <w:rsid w:val="04BD2C91"/>
    <w:rsid w:val="05091BBF"/>
    <w:rsid w:val="050D4AAD"/>
    <w:rsid w:val="05293A29"/>
    <w:rsid w:val="056720A5"/>
    <w:rsid w:val="05C24554"/>
    <w:rsid w:val="061239DA"/>
    <w:rsid w:val="06136505"/>
    <w:rsid w:val="062671DC"/>
    <w:rsid w:val="066936FF"/>
    <w:rsid w:val="06C03FCE"/>
    <w:rsid w:val="06F85D5A"/>
    <w:rsid w:val="071378F5"/>
    <w:rsid w:val="076D5427"/>
    <w:rsid w:val="07731EDA"/>
    <w:rsid w:val="07A92931"/>
    <w:rsid w:val="07B97C0C"/>
    <w:rsid w:val="08423CCF"/>
    <w:rsid w:val="085B6E5F"/>
    <w:rsid w:val="08A912EA"/>
    <w:rsid w:val="090B4468"/>
    <w:rsid w:val="09536CE2"/>
    <w:rsid w:val="09587F5E"/>
    <w:rsid w:val="096D30CF"/>
    <w:rsid w:val="097662B8"/>
    <w:rsid w:val="09EC4E9A"/>
    <w:rsid w:val="0A2B3E51"/>
    <w:rsid w:val="0A2B7F73"/>
    <w:rsid w:val="0A327048"/>
    <w:rsid w:val="0A4038E0"/>
    <w:rsid w:val="0A541832"/>
    <w:rsid w:val="0A835F27"/>
    <w:rsid w:val="0A97493E"/>
    <w:rsid w:val="0AB715F7"/>
    <w:rsid w:val="0B0D7FE5"/>
    <w:rsid w:val="0B15387F"/>
    <w:rsid w:val="0BC11263"/>
    <w:rsid w:val="0BD96283"/>
    <w:rsid w:val="0BDC010B"/>
    <w:rsid w:val="0BED7F86"/>
    <w:rsid w:val="0C510802"/>
    <w:rsid w:val="0D1260BC"/>
    <w:rsid w:val="0D3F2706"/>
    <w:rsid w:val="0D542D4A"/>
    <w:rsid w:val="0D6B1BDB"/>
    <w:rsid w:val="0D817E81"/>
    <w:rsid w:val="0D9C032D"/>
    <w:rsid w:val="0DAF4280"/>
    <w:rsid w:val="0DFA753B"/>
    <w:rsid w:val="0E076AE9"/>
    <w:rsid w:val="0E421E9F"/>
    <w:rsid w:val="0E8A38D7"/>
    <w:rsid w:val="0EBD3DC2"/>
    <w:rsid w:val="0EF75F06"/>
    <w:rsid w:val="0F0240D5"/>
    <w:rsid w:val="0F0B4575"/>
    <w:rsid w:val="0F3D22EA"/>
    <w:rsid w:val="0F410888"/>
    <w:rsid w:val="0F4B0B20"/>
    <w:rsid w:val="0F512D6C"/>
    <w:rsid w:val="0F542C0B"/>
    <w:rsid w:val="0FB924B8"/>
    <w:rsid w:val="0FCC1533"/>
    <w:rsid w:val="0FF73288"/>
    <w:rsid w:val="10B81047"/>
    <w:rsid w:val="10E55ACF"/>
    <w:rsid w:val="11025A9A"/>
    <w:rsid w:val="11272C03"/>
    <w:rsid w:val="113611C5"/>
    <w:rsid w:val="11624886"/>
    <w:rsid w:val="11663B15"/>
    <w:rsid w:val="11854C1C"/>
    <w:rsid w:val="11870049"/>
    <w:rsid w:val="11B87EE0"/>
    <w:rsid w:val="11B968D1"/>
    <w:rsid w:val="12176AF0"/>
    <w:rsid w:val="12843EF9"/>
    <w:rsid w:val="12D36D20"/>
    <w:rsid w:val="12D90C47"/>
    <w:rsid w:val="12EA5CBC"/>
    <w:rsid w:val="12F37483"/>
    <w:rsid w:val="13043ED4"/>
    <w:rsid w:val="132052BC"/>
    <w:rsid w:val="132C1521"/>
    <w:rsid w:val="13AE5522"/>
    <w:rsid w:val="13B801BA"/>
    <w:rsid w:val="13BA3578"/>
    <w:rsid w:val="13CF24C7"/>
    <w:rsid w:val="13F21EF0"/>
    <w:rsid w:val="13FB7CB1"/>
    <w:rsid w:val="1403461B"/>
    <w:rsid w:val="142349C8"/>
    <w:rsid w:val="143D6DFB"/>
    <w:rsid w:val="145452E5"/>
    <w:rsid w:val="148B4C81"/>
    <w:rsid w:val="14D230EC"/>
    <w:rsid w:val="14EB1883"/>
    <w:rsid w:val="15372973"/>
    <w:rsid w:val="154272B5"/>
    <w:rsid w:val="159A5456"/>
    <w:rsid w:val="15CF287D"/>
    <w:rsid w:val="15D63BFD"/>
    <w:rsid w:val="15DC5609"/>
    <w:rsid w:val="15EE3AFE"/>
    <w:rsid w:val="15FB56D6"/>
    <w:rsid w:val="163B20BE"/>
    <w:rsid w:val="169C4E56"/>
    <w:rsid w:val="16A950A8"/>
    <w:rsid w:val="16B329A8"/>
    <w:rsid w:val="16B53EAE"/>
    <w:rsid w:val="17095CC7"/>
    <w:rsid w:val="1732467E"/>
    <w:rsid w:val="174258ED"/>
    <w:rsid w:val="175A2E64"/>
    <w:rsid w:val="17896CFA"/>
    <w:rsid w:val="17D45A8C"/>
    <w:rsid w:val="17E21328"/>
    <w:rsid w:val="17FB18BA"/>
    <w:rsid w:val="182D7E75"/>
    <w:rsid w:val="184C55BE"/>
    <w:rsid w:val="189B493E"/>
    <w:rsid w:val="18C156FE"/>
    <w:rsid w:val="18FE1D0C"/>
    <w:rsid w:val="190469FF"/>
    <w:rsid w:val="192B5C72"/>
    <w:rsid w:val="196B5DCD"/>
    <w:rsid w:val="19B74183"/>
    <w:rsid w:val="19F87913"/>
    <w:rsid w:val="1A0B2B00"/>
    <w:rsid w:val="1A464DC4"/>
    <w:rsid w:val="1B101607"/>
    <w:rsid w:val="1B2F60F5"/>
    <w:rsid w:val="1B3E6618"/>
    <w:rsid w:val="1C6108BB"/>
    <w:rsid w:val="1C7E1E02"/>
    <w:rsid w:val="1CA848A1"/>
    <w:rsid w:val="1CAA22AB"/>
    <w:rsid w:val="1CE005C0"/>
    <w:rsid w:val="1CE354ED"/>
    <w:rsid w:val="1CE576F2"/>
    <w:rsid w:val="1CFB75A6"/>
    <w:rsid w:val="1D1C03D7"/>
    <w:rsid w:val="1D4D3358"/>
    <w:rsid w:val="1D581142"/>
    <w:rsid w:val="1D6015F5"/>
    <w:rsid w:val="1D621892"/>
    <w:rsid w:val="1D656F74"/>
    <w:rsid w:val="1D7579CC"/>
    <w:rsid w:val="1D9317B9"/>
    <w:rsid w:val="1D9E6CC4"/>
    <w:rsid w:val="1DD151B5"/>
    <w:rsid w:val="1DE04BB8"/>
    <w:rsid w:val="1E2E61DF"/>
    <w:rsid w:val="1E54580E"/>
    <w:rsid w:val="1E757AD8"/>
    <w:rsid w:val="1F0032CD"/>
    <w:rsid w:val="1F1719EE"/>
    <w:rsid w:val="1F335FF9"/>
    <w:rsid w:val="1F3F0A29"/>
    <w:rsid w:val="1F572B28"/>
    <w:rsid w:val="1F730F71"/>
    <w:rsid w:val="1F7E179E"/>
    <w:rsid w:val="1F964275"/>
    <w:rsid w:val="1FA70684"/>
    <w:rsid w:val="1FC83696"/>
    <w:rsid w:val="1FCC3ECC"/>
    <w:rsid w:val="200377F1"/>
    <w:rsid w:val="20135EB8"/>
    <w:rsid w:val="202B25F8"/>
    <w:rsid w:val="21051386"/>
    <w:rsid w:val="213B421E"/>
    <w:rsid w:val="21630DBA"/>
    <w:rsid w:val="21CC533A"/>
    <w:rsid w:val="21DB2DD3"/>
    <w:rsid w:val="21E51107"/>
    <w:rsid w:val="22082050"/>
    <w:rsid w:val="22506514"/>
    <w:rsid w:val="228E60BF"/>
    <w:rsid w:val="22935B46"/>
    <w:rsid w:val="22961598"/>
    <w:rsid w:val="22D73079"/>
    <w:rsid w:val="22E22C59"/>
    <w:rsid w:val="234D3929"/>
    <w:rsid w:val="23541932"/>
    <w:rsid w:val="23826133"/>
    <w:rsid w:val="23CD30A4"/>
    <w:rsid w:val="23DC536C"/>
    <w:rsid w:val="240D352F"/>
    <w:rsid w:val="24922D42"/>
    <w:rsid w:val="24927187"/>
    <w:rsid w:val="24B41DC8"/>
    <w:rsid w:val="24B527D7"/>
    <w:rsid w:val="24B578FA"/>
    <w:rsid w:val="24D276CB"/>
    <w:rsid w:val="24EC172E"/>
    <w:rsid w:val="2575528E"/>
    <w:rsid w:val="25900048"/>
    <w:rsid w:val="25A45A3C"/>
    <w:rsid w:val="25A4761E"/>
    <w:rsid w:val="25BF622B"/>
    <w:rsid w:val="25E12785"/>
    <w:rsid w:val="2613318A"/>
    <w:rsid w:val="26151600"/>
    <w:rsid w:val="26581E6E"/>
    <w:rsid w:val="26B54B63"/>
    <w:rsid w:val="26CA7391"/>
    <w:rsid w:val="2709690F"/>
    <w:rsid w:val="271946A1"/>
    <w:rsid w:val="271F7879"/>
    <w:rsid w:val="27283F67"/>
    <w:rsid w:val="27393819"/>
    <w:rsid w:val="2739606C"/>
    <w:rsid w:val="273D3222"/>
    <w:rsid w:val="27404151"/>
    <w:rsid w:val="27933B92"/>
    <w:rsid w:val="27B25551"/>
    <w:rsid w:val="27CC1648"/>
    <w:rsid w:val="280129D7"/>
    <w:rsid w:val="280744DD"/>
    <w:rsid w:val="286C493A"/>
    <w:rsid w:val="28A0271E"/>
    <w:rsid w:val="29176FB2"/>
    <w:rsid w:val="292E7DEF"/>
    <w:rsid w:val="29352E54"/>
    <w:rsid w:val="29547BC4"/>
    <w:rsid w:val="296733FA"/>
    <w:rsid w:val="299C6CB5"/>
    <w:rsid w:val="29AC16E3"/>
    <w:rsid w:val="29C3093C"/>
    <w:rsid w:val="29D94976"/>
    <w:rsid w:val="2A223EAC"/>
    <w:rsid w:val="2A474E87"/>
    <w:rsid w:val="2A502E1B"/>
    <w:rsid w:val="2A75021C"/>
    <w:rsid w:val="2AD013C9"/>
    <w:rsid w:val="2AE45309"/>
    <w:rsid w:val="2B4E79D6"/>
    <w:rsid w:val="2B9B4238"/>
    <w:rsid w:val="2C134AEF"/>
    <w:rsid w:val="2C6150EC"/>
    <w:rsid w:val="2C6C1E69"/>
    <w:rsid w:val="2C787A0A"/>
    <w:rsid w:val="2C8D45AA"/>
    <w:rsid w:val="2C920118"/>
    <w:rsid w:val="2CC275EE"/>
    <w:rsid w:val="2CC610BB"/>
    <w:rsid w:val="2CCC7A2F"/>
    <w:rsid w:val="2D21013D"/>
    <w:rsid w:val="2D4E158F"/>
    <w:rsid w:val="2D71574D"/>
    <w:rsid w:val="2DCD08D2"/>
    <w:rsid w:val="2E046913"/>
    <w:rsid w:val="2E4A005C"/>
    <w:rsid w:val="2E8D4481"/>
    <w:rsid w:val="2EC75549"/>
    <w:rsid w:val="2EE029D9"/>
    <w:rsid w:val="2F172EC5"/>
    <w:rsid w:val="2F1C72FC"/>
    <w:rsid w:val="2F8D2746"/>
    <w:rsid w:val="2FA05C1F"/>
    <w:rsid w:val="2FA3501B"/>
    <w:rsid w:val="2FA7374A"/>
    <w:rsid w:val="2FC4512F"/>
    <w:rsid w:val="2FE774D1"/>
    <w:rsid w:val="305F56A6"/>
    <w:rsid w:val="30906EF6"/>
    <w:rsid w:val="30A54307"/>
    <w:rsid w:val="30B63EEC"/>
    <w:rsid w:val="31087BF7"/>
    <w:rsid w:val="3149611E"/>
    <w:rsid w:val="31947902"/>
    <w:rsid w:val="31C70184"/>
    <w:rsid w:val="31D0645F"/>
    <w:rsid w:val="31E43451"/>
    <w:rsid w:val="31E85DFB"/>
    <w:rsid w:val="31F40A62"/>
    <w:rsid w:val="32085EEA"/>
    <w:rsid w:val="320A1B3D"/>
    <w:rsid w:val="326F27DC"/>
    <w:rsid w:val="327A6A63"/>
    <w:rsid w:val="328A6951"/>
    <w:rsid w:val="33C15A9D"/>
    <w:rsid w:val="33CE43C5"/>
    <w:rsid w:val="33E2761E"/>
    <w:rsid w:val="33ED0162"/>
    <w:rsid w:val="340F40E3"/>
    <w:rsid w:val="34AC5E26"/>
    <w:rsid w:val="34D47520"/>
    <w:rsid w:val="350E6DA3"/>
    <w:rsid w:val="35163620"/>
    <w:rsid w:val="35A3323F"/>
    <w:rsid w:val="35A57D75"/>
    <w:rsid w:val="35DC5DA7"/>
    <w:rsid w:val="35EF23E4"/>
    <w:rsid w:val="35FA58A0"/>
    <w:rsid w:val="36255FB7"/>
    <w:rsid w:val="36292D10"/>
    <w:rsid w:val="366F2379"/>
    <w:rsid w:val="367869D2"/>
    <w:rsid w:val="367C1606"/>
    <w:rsid w:val="36B56003"/>
    <w:rsid w:val="36C52477"/>
    <w:rsid w:val="36DC5B61"/>
    <w:rsid w:val="36E35581"/>
    <w:rsid w:val="37482116"/>
    <w:rsid w:val="37704D44"/>
    <w:rsid w:val="37791B81"/>
    <w:rsid w:val="37B56AE5"/>
    <w:rsid w:val="37BD3B90"/>
    <w:rsid w:val="37D231F3"/>
    <w:rsid w:val="38124733"/>
    <w:rsid w:val="38460B75"/>
    <w:rsid w:val="38C04A2B"/>
    <w:rsid w:val="391332E6"/>
    <w:rsid w:val="39420DA8"/>
    <w:rsid w:val="396E7FD8"/>
    <w:rsid w:val="398F4E35"/>
    <w:rsid w:val="399B22FD"/>
    <w:rsid w:val="39AE22AB"/>
    <w:rsid w:val="39B8452F"/>
    <w:rsid w:val="39C51092"/>
    <w:rsid w:val="39D8321D"/>
    <w:rsid w:val="39F6604A"/>
    <w:rsid w:val="3A4B7EC8"/>
    <w:rsid w:val="3A7C7AEB"/>
    <w:rsid w:val="3A8123ED"/>
    <w:rsid w:val="3A847FC8"/>
    <w:rsid w:val="3AB47011"/>
    <w:rsid w:val="3AC457DD"/>
    <w:rsid w:val="3AC93C11"/>
    <w:rsid w:val="3ADC4430"/>
    <w:rsid w:val="3AFA4DFF"/>
    <w:rsid w:val="3B4433D7"/>
    <w:rsid w:val="3B5516BD"/>
    <w:rsid w:val="3B556C7B"/>
    <w:rsid w:val="3B613F8C"/>
    <w:rsid w:val="3B8E47F4"/>
    <w:rsid w:val="3BA21668"/>
    <w:rsid w:val="3C233025"/>
    <w:rsid w:val="3C3F2298"/>
    <w:rsid w:val="3CBF5AFE"/>
    <w:rsid w:val="3CD50896"/>
    <w:rsid w:val="3CDF2D1F"/>
    <w:rsid w:val="3CE10208"/>
    <w:rsid w:val="3CF727B5"/>
    <w:rsid w:val="3D1B482A"/>
    <w:rsid w:val="3D5866E5"/>
    <w:rsid w:val="3D5F768E"/>
    <w:rsid w:val="3D7171BB"/>
    <w:rsid w:val="3D8B00CB"/>
    <w:rsid w:val="3D945D40"/>
    <w:rsid w:val="3DE17755"/>
    <w:rsid w:val="3DE96EC7"/>
    <w:rsid w:val="3E011EC6"/>
    <w:rsid w:val="3E841C59"/>
    <w:rsid w:val="3EAD5C3B"/>
    <w:rsid w:val="3ED56E3D"/>
    <w:rsid w:val="3EF828EF"/>
    <w:rsid w:val="3F116342"/>
    <w:rsid w:val="3F292D30"/>
    <w:rsid w:val="3F2F41CE"/>
    <w:rsid w:val="3F3F4A5A"/>
    <w:rsid w:val="3F830750"/>
    <w:rsid w:val="3F912D81"/>
    <w:rsid w:val="3FB719AB"/>
    <w:rsid w:val="3FC741B0"/>
    <w:rsid w:val="3FD055D7"/>
    <w:rsid w:val="3FDF3D15"/>
    <w:rsid w:val="3FEA00DC"/>
    <w:rsid w:val="40297384"/>
    <w:rsid w:val="40337EAD"/>
    <w:rsid w:val="40442A93"/>
    <w:rsid w:val="404460EA"/>
    <w:rsid w:val="4048144F"/>
    <w:rsid w:val="40542142"/>
    <w:rsid w:val="40564FBC"/>
    <w:rsid w:val="40645CC5"/>
    <w:rsid w:val="407A4354"/>
    <w:rsid w:val="40E8556B"/>
    <w:rsid w:val="416F7CCF"/>
    <w:rsid w:val="41815D2F"/>
    <w:rsid w:val="419747DD"/>
    <w:rsid w:val="41F0685E"/>
    <w:rsid w:val="42137847"/>
    <w:rsid w:val="4248097F"/>
    <w:rsid w:val="4254643D"/>
    <w:rsid w:val="42642DA8"/>
    <w:rsid w:val="42973E05"/>
    <w:rsid w:val="42AC04D0"/>
    <w:rsid w:val="42CF7B25"/>
    <w:rsid w:val="42D00296"/>
    <w:rsid w:val="42FB7EAC"/>
    <w:rsid w:val="43124DB2"/>
    <w:rsid w:val="432043B2"/>
    <w:rsid w:val="438A1CC5"/>
    <w:rsid w:val="439422FD"/>
    <w:rsid w:val="43AD097E"/>
    <w:rsid w:val="43BE3BFD"/>
    <w:rsid w:val="43C425E1"/>
    <w:rsid w:val="440A0AC3"/>
    <w:rsid w:val="44107720"/>
    <w:rsid w:val="4427562F"/>
    <w:rsid w:val="445A306B"/>
    <w:rsid w:val="44673E2A"/>
    <w:rsid w:val="447B1B50"/>
    <w:rsid w:val="44931256"/>
    <w:rsid w:val="45284074"/>
    <w:rsid w:val="453C62BB"/>
    <w:rsid w:val="45642789"/>
    <w:rsid w:val="45792FB7"/>
    <w:rsid w:val="457B724C"/>
    <w:rsid w:val="45CD2D28"/>
    <w:rsid w:val="45F92A29"/>
    <w:rsid w:val="46011FAD"/>
    <w:rsid w:val="462A10E3"/>
    <w:rsid w:val="465B6787"/>
    <w:rsid w:val="46B57E51"/>
    <w:rsid w:val="46C70800"/>
    <w:rsid w:val="46CD39B0"/>
    <w:rsid w:val="46EE3A7C"/>
    <w:rsid w:val="477A1D28"/>
    <w:rsid w:val="47AE02B5"/>
    <w:rsid w:val="47BF466E"/>
    <w:rsid w:val="47C5589D"/>
    <w:rsid w:val="47D472D7"/>
    <w:rsid w:val="481B4DB8"/>
    <w:rsid w:val="48364A31"/>
    <w:rsid w:val="483A7F05"/>
    <w:rsid w:val="48912E94"/>
    <w:rsid w:val="48B71520"/>
    <w:rsid w:val="48D00057"/>
    <w:rsid w:val="48D3260F"/>
    <w:rsid w:val="490E5F3F"/>
    <w:rsid w:val="49E44D8A"/>
    <w:rsid w:val="49EC5FF4"/>
    <w:rsid w:val="4A322099"/>
    <w:rsid w:val="4A4051EF"/>
    <w:rsid w:val="4A495D2D"/>
    <w:rsid w:val="4ABA6D48"/>
    <w:rsid w:val="4AD8290A"/>
    <w:rsid w:val="4ADE1D62"/>
    <w:rsid w:val="4AE73971"/>
    <w:rsid w:val="4AF24623"/>
    <w:rsid w:val="4B0D79C2"/>
    <w:rsid w:val="4B707B5B"/>
    <w:rsid w:val="4B755BA3"/>
    <w:rsid w:val="4B8078D6"/>
    <w:rsid w:val="4B82457B"/>
    <w:rsid w:val="4B9E69A7"/>
    <w:rsid w:val="4BAE1441"/>
    <w:rsid w:val="4BDD6368"/>
    <w:rsid w:val="4BEF5A8E"/>
    <w:rsid w:val="4C1F543B"/>
    <w:rsid w:val="4C245667"/>
    <w:rsid w:val="4C421A8A"/>
    <w:rsid w:val="4C576F06"/>
    <w:rsid w:val="4C6C695F"/>
    <w:rsid w:val="4D247B5D"/>
    <w:rsid w:val="4D6A4931"/>
    <w:rsid w:val="4D6D76B7"/>
    <w:rsid w:val="4D76426C"/>
    <w:rsid w:val="4DA43BD6"/>
    <w:rsid w:val="4DB47654"/>
    <w:rsid w:val="4DC63991"/>
    <w:rsid w:val="4DC73B97"/>
    <w:rsid w:val="4DD5793A"/>
    <w:rsid w:val="4DF34243"/>
    <w:rsid w:val="4E5827B1"/>
    <w:rsid w:val="4E5D6199"/>
    <w:rsid w:val="4E76155D"/>
    <w:rsid w:val="4E833A0E"/>
    <w:rsid w:val="4F2C3E65"/>
    <w:rsid w:val="4F5C5A81"/>
    <w:rsid w:val="4FD97D15"/>
    <w:rsid w:val="501837B0"/>
    <w:rsid w:val="50207E94"/>
    <w:rsid w:val="505165ED"/>
    <w:rsid w:val="519B7108"/>
    <w:rsid w:val="51C43505"/>
    <w:rsid w:val="51D84EF3"/>
    <w:rsid w:val="51DF4501"/>
    <w:rsid w:val="525164E6"/>
    <w:rsid w:val="52617B9A"/>
    <w:rsid w:val="526A0EA3"/>
    <w:rsid w:val="527B3ECE"/>
    <w:rsid w:val="52A56F95"/>
    <w:rsid w:val="52E30177"/>
    <w:rsid w:val="52F05286"/>
    <w:rsid w:val="5306714B"/>
    <w:rsid w:val="531C52ED"/>
    <w:rsid w:val="533E5A53"/>
    <w:rsid w:val="53417F4F"/>
    <w:rsid w:val="535C1CA7"/>
    <w:rsid w:val="536E3862"/>
    <w:rsid w:val="53A4550B"/>
    <w:rsid w:val="53E97734"/>
    <w:rsid w:val="549402BD"/>
    <w:rsid w:val="549A2529"/>
    <w:rsid w:val="54EC2723"/>
    <w:rsid w:val="550C0DEA"/>
    <w:rsid w:val="5514217D"/>
    <w:rsid w:val="555B0AE3"/>
    <w:rsid w:val="55833F56"/>
    <w:rsid w:val="55B151A9"/>
    <w:rsid w:val="55BB0B38"/>
    <w:rsid w:val="55BF0E11"/>
    <w:rsid w:val="55EC2B74"/>
    <w:rsid w:val="55FB6C6E"/>
    <w:rsid w:val="56136CDA"/>
    <w:rsid w:val="56150ED4"/>
    <w:rsid w:val="56182B77"/>
    <w:rsid w:val="563E3517"/>
    <w:rsid w:val="565E5B98"/>
    <w:rsid w:val="56D67B51"/>
    <w:rsid w:val="56D70299"/>
    <w:rsid w:val="56F31AAD"/>
    <w:rsid w:val="575876A2"/>
    <w:rsid w:val="577A118B"/>
    <w:rsid w:val="578431C6"/>
    <w:rsid w:val="579F67E1"/>
    <w:rsid w:val="583C2693"/>
    <w:rsid w:val="58761D2A"/>
    <w:rsid w:val="589255DC"/>
    <w:rsid w:val="58981098"/>
    <w:rsid w:val="5901277B"/>
    <w:rsid w:val="590B1266"/>
    <w:rsid w:val="592525C4"/>
    <w:rsid w:val="59321CCB"/>
    <w:rsid w:val="59753409"/>
    <w:rsid w:val="59A16768"/>
    <w:rsid w:val="59D455F2"/>
    <w:rsid w:val="59E24831"/>
    <w:rsid w:val="5AC45BA6"/>
    <w:rsid w:val="5AE57691"/>
    <w:rsid w:val="5B263A9C"/>
    <w:rsid w:val="5B397FB7"/>
    <w:rsid w:val="5B490CC0"/>
    <w:rsid w:val="5B640683"/>
    <w:rsid w:val="5B7641FB"/>
    <w:rsid w:val="5B775FD2"/>
    <w:rsid w:val="5B7E3700"/>
    <w:rsid w:val="5B8F66C5"/>
    <w:rsid w:val="5C0C6BEE"/>
    <w:rsid w:val="5C0E47B4"/>
    <w:rsid w:val="5C161418"/>
    <w:rsid w:val="5C303836"/>
    <w:rsid w:val="5C3E421A"/>
    <w:rsid w:val="5C50541C"/>
    <w:rsid w:val="5C62269E"/>
    <w:rsid w:val="5C86060B"/>
    <w:rsid w:val="5C993F97"/>
    <w:rsid w:val="5C9D39DA"/>
    <w:rsid w:val="5CB669E4"/>
    <w:rsid w:val="5D070EA5"/>
    <w:rsid w:val="5D090ACA"/>
    <w:rsid w:val="5D226AF7"/>
    <w:rsid w:val="5D3033C6"/>
    <w:rsid w:val="5D433826"/>
    <w:rsid w:val="5D832EEF"/>
    <w:rsid w:val="5E1A7F73"/>
    <w:rsid w:val="5E2C72EB"/>
    <w:rsid w:val="5E390E1F"/>
    <w:rsid w:val="5E4635CA"/>
    <w:rsid w:val="5E51557F"/>
    <w:rsid w:val="5E584923"/>
    <w:rsid w:val="5E6621D5"/>
    <w:rsid w:val="5E8F6FF0"/>
    <w:rsid w:val="5EA12B1C"/>
    <w:rsid w:val="5EA35790"/>
    <w:rsid w:val="5EBF1F9E"/>
    <w:rsid w:val="5ECA3277"/>
    <w:rsid w:val="5EDC5BD0"/>
    <w:rsid w:val="5EDF452C"/>
    <w:rsid w:val="5EEB60D3"/>
    <w:rsid w:val="5F3B1BE0"/>
    <w:rsid w:val="5F3C47F7"/>
    <w:rsid w:val="5F6246BA"/>
    <w:rsid w:val="5F7543A8"/>
    <w:rsid w:val="5F842392"/>
    <w:rsid w:val="5F991715"/>
    <w:rsid w:val="5FA75A48"/>
    <w:rsid w:val="5FBF6B7E"/>
    <w:rsid w:val="5FC265B3"/>
    <w:rsid w:val="5FE4315F"/>
    <w:rsid w:val="600227C8"/>
    <w:rsid w:val="602B2D4A"/>
    <w:rsid w:val="60624BDB"/>
    <w:rsid w:val="60E97765"/>
    <w:rsid w:val="60F82C89"/>
    <w:rsid w:val="60FE2C3F"/>
    <w:rsid w:val="6133546F"/>
    <w:rsid w:val="615146FA"/>
    <w:rsid w:val="61974B16"/>
    <w:rsid w:val="619F5A05"/>
    <w:rsid w:val="61E202A6"/>
    <w:rsid w:val="61E4277E"/>
    <w:rsid w:val="61E63E0C"/>
    <w:rsid w:val="62070FA1"/>
    <w:rsid w:val="62093885"/>
    <w:rsid w:val="621217BE"/>
    <w:rsid w:val="621A6F8F"/>
    <w:rsid w:val="623533CC"/>
    <w:rsid w:val="623B41C7"/>
    <w:rsid w:val="62526D3D"/>
    <w:rsid w:val="62542D9B"/>
    <w:rsid w:val="62833086"/>
    <w:rsid w:val="628C458A"/>
    <w:rsid w:val="62CD2B33"/>
    <w:rsid w:val="632E5C46"/>
    <w:rsid w:val="636859C5"/>
    <w:rsid w:val="637B5628"/>
    <w:rsid w:val="63870B4C"/>
    <w:rsid w:val="63BD39E6"/>
    <w:rsid w:val="63DB479D"/>
    <w:rsid w:val="63EF3EB1"/>
    <w:rsid w:val="6403436A"/>
    <w:rsid w:val="6414480C"/>
    <w:rsid w:val="64472CE4"/>
    <w:rsid w:val="64620820"/>
    <w:rsid w:val="64681E85"/>
    <w:rsid w:val="6558633E"/>
    <w:rsid w:val="65C276F5"/>
    <w:rsid w:val="65EB65E8"/>
    <w:rsid w:val="65EC7B94"/>
    <w:rsid w:val="6619624C"/>
    <w:rsid w:val="66342E08"/>
    <w:rsid w:val="663D6669"/>
    <w:rsid w:val="66497A6B"/>
    <w:rsid w:val="666B0070"/>
    <w:rsid w:val="66B30FDB"/>
    <w:rsid w:val="678302BC"/>
    <w:rsid w:val="67A207DF"/>
    <w:rsid w:val="67A32D76"/>
    <w:rsid w:val="67AA3BE1"/>
    <w:rsid w:val="67BF6715"/>
    <w:rsid w:val="67DE553F"/>
    <w:rsid w:val="67E56BF0"/>
    <w:rsid w:val="67F30E07"/>
    <w:rsid w:val="67FD18C9"/>
    <w:rsid w:val="68176C23"/>
    <w:rsid w:val="681E5F23"/>
    <w:rsid w:val="6838262E"/>
    <w:rsid w:val="68593FE3"/>
    <w:rsid w:val="68957C01"/>
    <w:rsid w:val="68A01520"/>
    <w:rsid w:val="68A32333"/>
    <w:rsid w:val="68C6622F"/>
    <w:rsid w:val="691555DA"/>
    <w:rsid w:val="69517B32"/>
    <w:rsid w:val="696514E4"/>
    <w:rsid w:val="69673443"/>
    <w:rsid w:val="69C04ABB"/>
    <w:rsid w:val="69CA5400"/>
    <w:rsid w:val="69EB7AC5"/>
    <w:rsid w:val="6A276579"/>
    <w:rsid w:val="6A904242"/>
    <w:rsid w:val="6AA0434D"/>
    <w:rsid w:val="6AAE0252"/>
    <w:rsid w:val="6ABF7757"/>
    <w:rsid w:val="6AC65BC7"/>
    <w:rsid w:val="6ACE4D37"/>
    <w:rsid w:val="6AD94EA8"/>
    <w:rsid w:val="6B9C1A1D"/>
    <w:rsid w:val="6C0B3676"/>
    <w:rsid w:val="6C1300A2"/>
    <w:rsid w:val="6C213165"/>
    <w:rsid w:val="6C2D651B"/>
    <w:rsid w:val="6C3D6662"/>
    <w:rsid w:val="6C43610C"/>
    <w:rsid w:val="6C485EB9"/>
    <w:rsid w:val="6CA640CB"/>
    <w:rsid w:val="6CDE057E"/>
    <w:rsid w:val="6D5C20F1"/>
    <w:rsid w:val="6E00025A"/>
    <w:rsid w:val="6E1B40DF"/>
    <w:rsid w:val="6E1B7EB7"/>
    <w:rsid w:val="6E2D6569"/>
    <w:rsid w:val="6E2E148A"/>
    <w:rsid w:val="6E7C4447"/>
    <w:rsid w:val="6EE10409"/>
    <w:rsid w:val="6EF9441A"/>
    <w:rsid w:val="6F03408E"/>
    <w:rsid w:val="6F227649"/>
    <w:rsid w:val="6F461335"/>
    <w:rsid w:val="6F5C6426"/>
    <w:rsid w:val="6F9A78BF"/>
    <w:rsid w:val="6FC21988"/>
    <w:rsid w:val="6FCC0769"/>
    <w:rsid w:val="6FD71E11"/>
    <w:rsid w:val="70347B1B"/>
    <w:rsid w:val="706E0DB9"/>
    <w:rsid w:val="70C7777F"/>
    <w:rsid w:val="70DC0F3A"/>
    <w:rsid w:val="715C6E4A"/>
    <w:rsid w:val="715F7D1F"/>
    <w:rsid w:val="71A71FB4"/>
    <w:rsid w:val="71ED7A78"/>
    <w:rsid w:val="72146FE5"/>
    <w:rsid w:val="721A7D64"/>
    <w:rsid w:val="72282507"/>
    <w:rsid w:val="722F10FA"/>
    <w:rsid w:val="72476A02"/>
    <w:rsid w:val="725E37C6"/>
    <w:rsid w:val="72620D8B"/>
    <w:rsid w:val="7274774E"/>
    <w:rsid w:val="72AA2887"/>
    <w:rsid w:val="72DD7B69"/>
    <w:rsid w:val="730D391B"/>
    <w:rsid w:val="73525B60"/>
    <w:rsid w:val="7396760B"/>
    <w:rsid w:val="73A919D8"/>
    <w:rsid w:val="73B870F9"/>
    <w:rsid w:val="73BC0182"/>
    <w:rsid w:val="73DC2F75"/>
    <w:rsid w:val="74966354"/>
    <w:rsid w:val="74B62F38"/>
    <w:rsid w:val="750263A5"/>
    <w:rsid w:val="752F546D"/>
    <w:rsid w:val="756015F8"/>
    <w:rsid w:val="759D747D"/>
    <w:rsid w:val="75A67A21"/>
    <w:rsid w:val="75B74AA0"/>
    <w:rsid w:val="75E848BC"/>
    <w:rsid w:val="761F029E"/>
    <w:rsid w:val="762D47F8"/>
    <w:rsid w:val="762F4253"/>
    <w:rsid w:val="76355280"/>
    <w:rsid w:val="7655794F"/>
    <w:rsid w:val="76C57D8A"/>
    <w:rsid w:val="76E15DFB"/>
    <w:rsid w:val="7753681B"/>
    <w:rsid w:val="775F5B45"/>
    <w:rsid w:val="77667C2A"/>
    <w:rsid w:val="7768486C"/>
    <w:rsid w:val="777D0E86"/>
    <w:rsid w:val="77820D78"/>
    <w:rsid w:val="779C4B53"/>
    <w:rsid w:val="77B15C8C"/>
    <w:rsid w:val="77B34A1D"/>
    <w:rsid w:val="77B91A0C"/>
    <w:rsid w:val="78431FAF"/>
    <w:rsid w:val="78724A45"/>
    <w:rsid w:val="78823025"/>
    <w:rsid w:val="79153558"/>
    <w:rsid w:val="793D4199"/>
    <w:rsid w:val="79421110"/>
    <w:rsid w:val="797F6542"/>
    <w:rsid w:val="799228EE"/>
    <w:rsid w:val="79CD2757"/>
    <w:rsid w:val="79D07C69"/>
    <w:rsid w:val="7A481C15"/>
    <w:rsid w:val="7A6E4950"/>
    <w:rsid w:val="7A817929"/>
    <w:rsid w:val="7B12208E"/>
    <w:rsid w:val="7B2456A1"/>
    <w:rsid w:val="7B2C1F5B"/>
    <w:rsid w:val="7B550B7A"/>
    <w:rsid w:val="7B5A7743"/>
    <w:rsid w:val="7BCC1A1B"/>
    <w:rsid w:val="7BF66B1F"/>
    <w:rsid w:val="7C27553B"/>
    <w:rsid w:val="7C391D27"/>
    <w:rsid w:val="7C446581"/>
    <w:rsid w:val="7CEC4DD7"/>
    <w:rsid w:val="7D261A42"/>
    <w:rsid w:val="7D312820"/>
    <w:rsid w:val="7D7341DE"/>
    <w:rsid w:val="7D9A7C4B"/>
    <w:rsid w:val="7D9C542E"/>
    <w:rsid w:val="7DA17EF3"/>
    <w:rsid w:val="7DA85D23"/>
    <w:rsid w:val="7DCA0A20"/>
    <w:rsid w:val="7DDF5D95"/>
    <w:rsid w:val="7DE61A73"/>
    <w:rsid w:val="7E397AD8"/>
    <w:rsid w:val="7E597C40"/>
    <w:rsid w:val="7EAA2389"/>
    <w:rsid w:val="7EF40E65"/>
    <w:rsid w:val="7F577381"/>
    <w:rsid w:val="7FCC438E"/>
    <w:rsid w:val="7FCE147D"/>
    <w:rsid w:val="7FEB723C"/>
    <w:rsid w:val="7FEF3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1"/>
    <w:qFormat/>
    <w:uiPriority w:val="1"/>
    <w:pPr>
      <w:autoSpaceDE w:val="0"/>
      <w:autoSpaceDN w:val="0"/>
      <w:adjustRightInd w:val="0"/>
      <w:spacing w:before="17"/>
      <w:ind w:left="1144"/>
      <w:jc w:val="left"/>
      <w:outlineLvl w:val="0"/>
    </w:pPr>
    <w:rPr>
      <w:rFonts w:ascii="黑体" w:eastAsia="黑体"/>
      <w:b/>
      <w:bCs/>
      <w:kern w:val="0"/>
      <w:sz w:val="36"/>
      <w:szCs w:val="36"/>
    </w:rPr>
  </w:style>
  <w:style w:type="paragraph" w:styleId="3">
    <w:name w:val="heading 2"/>
    <w:basedOn w:val="1"/>
    <w:next w:val="1"/>
    <w:link w:val="22"/>
    <w:qFormat/>
    <w:uiPriority w:val="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23"/>
    <w:qFormat/>
    <w:uiPriority w:val="1"/>
    <w:pPr>
      <w:autoSpaceDE w:val="0"/>
      <w:autoSpaceDN w:val="0"/>
      <w:adjustRightInd w:val="0"/>
      <w:spacing w:before="34"/>
      <w:ind w:left="120"/>
      <w:jc w:val="left"/>
      <w:outlineLvl w:val="2"/>
    </w:pPr>
    <w:rPr>
      <w:rFonts w:ascii="宋体"/>
      <w:b/>
      <w:bCs/>
      <w:kern w:val="0"/>
      <w:sz w:val="20"/>
      <w:szCs w:val="21"/>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4"/>
    <w:unhideWhenUsed/>
    <w:qFormat/>
    <w:uiPriority w:val="99"/>
    <w:pPr>
      <w:jc w:val="left"/>
    </w:pPr>
  </w:style>
  <w:style w:type="paragraph" w:styleId="6">
    <w:name w:val="Body Text"/>
    <w:basedOn w:val="1"/>
    <w:link w:val="25"/>
    <w:qFormat/>
    <w:uiPriority w:val="1"/>
    <w:pPr>
      <w:autoSpaceDE w:val="0"/>
      <w:autoSpaceDN w:val="0"/>
      <w:adjustRightInd w:val="0"/>
      <w:spacing w:before="162"/>
      <w:ind w:left="120"/>
      <w:jc w:val="left"/>
    </w:pPr>
    <w:rPr>
      <w:rFonts w:ascii="宋体"/>
      <w:kern w:val="0"/>
      <w:sz w:val="20"/>
      <w:szCs w:val="21"/>
    </w:rPr>
  </w:style>
  <w:style w:type="paragraph" w:styleId="7">
    <w:name w:val="Date"/>
    <w:basedOn w:val="1"/>
    <w:next w:val="1"/>
    <w:link w:val="26"/>
    <w:unhideWhenUsed/>
    <w:qFormat/>
    <w:uiPriority w:val="99"/>
    <w:pPr>
      <w:ind w:left="100" w:leftChars="2500"/>
    </w:pPr>
  </w:style>
  <w:style w:type="paragraph" w:styleId="8">
    <w:name w:val="Balloon Text"/>
    <w:basedOn w:val="1"/>
    <w:link w:val="27"/>
    <w:unhideWhenUsed/>
    <w:qFormat/>
    <w:uiPriority w:val="99"/>
    <w:rPr>
      <w:kern w:val="0"/>
      <w:sz w:val="18"/>
      <w:szCs w:val="18"/>
    </w:rPr>
  </w:style>
  <w:style w:type="paragraph" w:styleId="9">
    <w:name w:val="footer"/>
    <w:basedOn w:val="1"/>
    <w:link w:val="28"/>
    <w:unhideWhenUsed/>
    <w:qFormat/>
    <w:uiPriority w:val="99"/>
    <w:pPr>
      <w:tabs>
        <w:tab w:val="center" w:pos="4153"/>
        <w:tab w:val="right" w:pos="8306"/>
      </w:tabs>
      <w:snapToGrid w:val="0"/>
      <w:jc w:val="left"/>
    </w:pPr>
    <w:rPr>
      <w:kern w:val="0"/>
      <w:sz w:val="18"/>
      <w:szCs w:val="18"/>
    </w:rPr>
  </w:style>
  <w:style w:type="paragraph" w:styleId="10">
    <w:name w:val="header"/>
    <w:basedOn w:val="1"/>
    <w:link w:val="2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1">
    <w:name w:val="footnote text"/>
    <w:basedOn w:val="1"/>
    <w:link w:val="30"/>
    <w:unhideWhenUsed/>
    <w:qFormat/>
    <w:uiPriority w:val="99"/>
    <w:pPr>
      <w:snapToGrid w:val="0"/>
      <w:jc w:val="left"/>
    </w:pPr>
    <w:rPr>
      <w:sz w:val="18"/>
      <w:szCs w:val="18"/>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3">
    <w:name w:val="annotation subject"/>
    <w:basedOn w:val="5"/>
    <w:next w:val="5"/>
    <w:link w:val="31"/>
    <w:unhideWhenUsed/>
    <w:qFormat/>
    <w:uiPriority w:val="99"/>
    <w:rPr>
      <w:b/>
      <w:bCs/>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qFormat/>
    <w:uiPriority w:val="22"/>
    <w:rPr>
      <w:b/>
      <w:bCs/>
    </w:rPr>
  </w:style>
  <w:style w:type="character" w:styleId="18">
    <w:name w:val="Hyperlink"/>
    <w:unhideWhenUsed/>
    <w:qFormat/>
    <w:uiPriority w:val="99"/>
    <w:rPr>
      <w:color w:val="0000FF"/>
      <w:u w:val="single"/>
    </w:rPr>
  </w:style>
  <w:style w:type="character" w:styleId="19">
    <w:name w:val="annotation reference"/>
    <w:unhideWhenUsed/>
    <w:qFormat/>
    <w:uiPriority w:val="99"/>
    <w:rPr>
      <w:sz w:val="21"/>
      <w:szCs w:val="21"/>
    </w:rPr>
  </w:style>
  <w:style w:type="character" w:styleId="20">
    <w:name w:val="footnote reference"/>
    <w:unhideWhenUsed/>
    <w:qFormat/>
    <w:uiPriority w:val="99"/>
    <w:rPr>
      <w:vertAlign w:val="superscript"/>
    </w:rPr>
  </w:style>
  <w:style w:type="character" w:customStyle="1" w:styleId="21">
    <w:name w:val="标题 1 Char"/>
    <w:link w:val="2"/>
    <w:qFormat/>
    <w:uiPriority w:val="1"/>
    <w:rPr>
      <w:rFonts w:ascii="黑体" w:hAnsi="Times New Roman" w:eastAsia="黑体" w:cs="黑体"/>
      <w:b/>
      <w:bCs/>
      <w:kern w:val="0"/>
      <w:sz w:val="36"/>
      <w:szCs w:val="36"/>
    </w:rPr>
  </w:style>
  <w:style w:type="character" w:customStyle="1" w:styleId="22">
    <w:name w:val="标题 2 Char"/>
    <w:link w:val="3"/>
    <w:qFormat/>
    <w:uiPriority w:val="9"/>
    <w:rPr>
      <w:rFonts w:ascii="Cambria" w:hAnsi="Cambria" w:eastAsia="宋体" w:cs="Times New Roman"/>
      <w:b/>
      <w:bCs/>
      <w:sz w:val="32"/>
      <w:szCs w:val="32"/>
    </w:rPr>
  </w:style>
  <w:style w:type="character" w:customStyle="1" w:styleId="23">
    <w:name w:val="标题 3 Char"/>
    <w:link w:val="4"/>
    <w:qFormat/>
    <w:uiPriority w:val="1"/>
    <w:rPr>
      <w:rFonts w:ascii="宋体" w:hAnsi="Times New Roman" w:eastAsia="宋体" w:cs="宋体"/>
      <w:b/>
      <w:bCs/>
      <w:kern w:val="0"/>
      <w:szCs w:val="21"/>
    </w:rPr>
  </w:style>
  <w:style w:type="character" w:customStyle="1" w:styleId="24">
    <w:name w:val="批注文字 Char"/>
    <w:link w:val="5"/>
    <w:qFormat/>
    <w:uiPriority w:val="99"/>
    <w:rPr>
      <w:kern w:val="2"/>
      <w:sz w:val="21"/>
      <w:szCs w:val="22"/>
    </w:rPr>
  </w:style>
  <w:style w:type="character" w:customStyle="1" w:styleId="25">
    <w:name w:val="正文文本 Char"/>
    <w:link w:val="6"/>
    <w:qFormat/>
    <w:uiPriority w:val="1"/>
    <w:rPr>
      <w:rFonts w:ascii="宋体" w:hAnsi="Times New Roman" w:eastAsia="宋体" w:cs="宋体"/>
      <w:kern w:val="0"/>
      <w:szCs w:val="21"/>
    </w:rPr>
  </w:style>
  <w:style w:type="character" w:customStyle="1" w:styleId="26">
    <w:name w:val="日期 Char"/>
    <w:link w:val="7"/>
    <w:semiHidden/>
    <w:qFormat/>
    <w:uiPriority w:val="99"/>
  </w:style>
  <w:style w:type="character" w:customStyle="1" w:styleId="27">
    <w:name w:val="批注框文本 Char"/>
    <w:link w:val="8"/>
    <w:semiHidden/>
    <w:qFormat/>
    <w:uiPriority w:val="99"/>
    <w:rPr>
      <w:sz w:val="18"/>
      <w:szCs w:val="18"/>
    </w:rPr>
  </w:style>
  <w:style w:type="character" w:customStyle="1" w:styleId="28">
    <w:name w:val="页脚 Char"/>
    <w:link w:val="9"/>
    <w:qFormat/>
    <w:uiPriority w:val="99"/>
    <w:rPr>
      <w:sz w:val="18"/>
      <w:szCs w:val="18"/>
    </w:rPr>
  </w:style>
  <w:style w:type="character" w:customStyle="1" w:styleId="29">
    <w:name w:val="页眉 Char"/>
    <w:link w:val="10"/>
    <w:qFormat/>
    <w:uiPriority w:val="99"/>
    <w:rPr>
      <w:sz w:val="18"/>
      <w:szCs w:val="18"/>
    </w:rPr>
  </w:style>
  <w:style w:type="character" w:customStyle="1" w:styleId="30">
    <w:name w:val="脚注文本 Char1"/>
    <w:link w:val="11"/>
    <w:semiHidden/>
    <w:qFormat/>
    <w:uiPriority w:val="99"/>
    <w:rPr>
      <w:kern w:val="2"/>
      <w:sz w:val="18"/>
      <w:szCs w:val="18"/>
    </w:rPr>
  </w:style>
  <w:style w:type="character" w:customStyle="1" w:styleId="31">
    <w:name w:val="批注主题 Char"/>
    <w:link w:val="13"/>
    <w:semiHidden/>
    <w:qFormat/>
    <w:uiPriority w:val="99"/>
    <w:rPr>
      <w:b/>
      <w:bCs/>
      <w:kern w:val="2"/>
      <w:sz w:val="21"/>
      <w:szCs w:val="22"/>
    </w:rPr>
  </w:style>
  <w:style w:type="character" w:customStyle="1" w:styleId="32">
    <w:name w:val="未处理的提及"/>
    <w:unhideWhenUsed/>
    <w:qFormat/>
    <w:uiPriority w:val="99"/>
    <w:rPr>
      <w:color w:val="605E5C"/>
      <w:shd w:val="clear" w:color="auto" w:fill="E1DFDD"/>
    </w:rPr>
  </w:style>
  <w:style w:type="paragraph" w:customStyle="1" w:styleId="33">
    <w:name w:val="Char Char Char Char Char Char Char Char Char Char Char Char"/>
    <w:basedOn w:val="1"/>
    <w:qFormat/>
    <w:uiPriority w:val="0"/>
    <w:pPr>
      <w:widowControl/>
      <w:spacing w:after="160" w:line="240" w:lineRule="exact"/>
      <w:jc w:val="left"/>
    </w:pPr>
    <w:rPr>
      <w:rFonts w:ascii="Tahoma" w:hAnsi="Tahoma" w:cs="Tahoma"/>
      <w:szCs w:val="21"/>
    </w:rPr>
  </w:style>
  <w:style w:type="paragraph" w:customStyle="1" w:styleId="34">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35">
    <w:name w:val="修订1"/>
    <w:semiHidden/>
    <w:qFormat/>
    <w:uiPriority w:val="99"/>
    <w:rPr>
      <w:rFonts w:ascii="Times New Roman" w:hAnsi="Times New Roman" w:eastAsia="宋体" w:cs="Times New Roman"/>
      <w:kern w:val="2"/>
      <w:sz w:val="21"/>
      <w:szCs w:val="22"/>
      <w:lang w:val="en-US" w:eastAsia="zh-CN" w:bidi="ar-SA"/>
    </w:rPr>
  </w:style>
  <w:style w:type="paragraph" w:customStyle="1" w:styleId="36">
    <w:name w:val="Table Paragraph"/>
    <w:basedOn w:val="1"/>
    <w:qFormat/>
    <w:uiPriority w:val="1"/>
    <w:pPr>
      <w:autoSpaceDE w:val="0"/>
      <w:autoSpaceDN w:val="0"/>
      <w:adjustRightInd w:val="0"/>
      <w:jc w:val="left"/>
    </w:pPr>
    <w:rPr>
      <w:kern w:val="0"/>
      <w:sz w:val="24"/>
      <w:szCs w:val="24"/>
    </w:rPr>
  </w:style>
  <w:style w:type="paragraph" w:styleId="37">
    <w:name w:val="List Paragraph"/>
    <w:basedOn w:val="1"/>
    <w:qFormat/>
    <w:uiPriority w:val="72"/>
    <w:pPr>
      <w:ind w:firstLine="420" w:firstLineChars="200"/>
    </w:pPr>
  </w:style>
  <w:style w:type="character" w:customStyle="1" w:styleId="38">
    <w:name w:val="脚注文本 Char"/>
    <w:semiHidden/>
    <w:qFormat/>
    <w:uiPriority w:val="99"/>
    <w:rPr>
      <w:kern w:val="2"/>
      <w:sz w:val="18"/>
      <w:szCs w:val="18"/>
    </w:rPr>
  </w:style>
  <w:style w:type="character" w:customStyle="1" w:styleId="39">
    <w:name w:val="markedcontent"/>
    <w:qFormat/>
    <w:uiPriority w:val="0"/>
  </w:style>
  <w:style w:type="character" w:customStyle="1" w:styleId="40">
    <w:name w:val="fontstyle01"/>
    <w:qFormat/>
    <w:uiPriority w:val="0"/>
    <w:rPr>
      <w:rFonts w:hint="eastAsia" w:ascii="宋体" w:hAnsi="宋体" w:eastAsia="宋体"/>
      <w:color w:val="000000"/>
      <w:sz w:val="22"/>
      <w:szCs w:val="22"/>
    </w:rPr>
  </w:style>
  <w:style w:type="character" w:styleId="41">
    <w:name w:val="Placeholder Text"/>
    <w:basedOn w:val="16"/>
    <w:unhideWhenUsed/>
    <w:qFormat/>
    <w:uiPriority w:val="99"/>
    <w:rPr>
      <w:color w:val="808080"/>
    </w:rPr>
  </w:style>
  <w:style w:type="paragraph" w:customStyle="1" w:styleId="42">
    <w:name w:val="修订2"/>
    <w:hidden/>
    <w:unhideWhenUsed/>
    <w:qFormat/>
    <w:uiPriority w:val="99"/>
    <w:rPr>
      <w:rFonts w:ascii="Times New Roman" w:hAnsi="Times New Roman" w:eastAsia="宋体" w:cs="Times New Roman"/>
      <w:kern w:val="2"/>
      <w:sz w:val="21"/>
      <w:szCs w:val="22"/>
      <w:lang w:val="en-US" w:eastAsia="zh-CN" w:bidi="ar-SA"/>
    </w:rPr>
  </w:style>
  <w:style w:type="paragraph" w:customStyle="1" w:styleId="43">
    <w:name w:val="修订3"/>
    <w:hidden/>
    <w:unhideWhenUsed/>
    <w:qFormat/>
    <w:uiPriority w:val="99"/>
    <w:rPr>
      <w:rFonts w:ascii="Times New Roman" w:hAnsi="Times New Roman" w:eastAsia="宋体" w:cs="Times New Roman"/>
      <w:kern w:val="2"/>
      <w:sz w:val="21"/>
      <w:szCs w:val="22"/>
      <w:lang w:val="en-US" w:eastAsia="zh-CN" w:bidi="ar-SA"/>
    </w:rPr>
  </w:style>
  <w:style w:type="paragraph" w:customStyle="1" w:styleId="44">
    <w:name w:val="修订4"/>
    <w:hidden/>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60"/>
    <customShpInfo spid="_x0000_s2059"/>
    <customShpInfo spid="_x0000_s205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70D1EF-01AF-4534-9965-67245C61A3C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41</Pages>
  <Words>6107</Words>
  <Characters>34815</Characters>
  <Lines>290</Lines>
  <Paragraphs>81</Paragraphs>
  <TotalTime>1</TotalTime>
  <ScaleCrop>false</ScaleCrop>
  <LinksUpToDate>false</LinksUpToDate>
  <CharactersWithSpaces>40841</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2022-11-13T05:12:00Z</dcterms:created>
  <dc:creator>JSYH</dc:creator>
  <cp:lastModifiedBy>刘航宇</cp:lastModifiedBy>
  <cp:lastPrinted>2022-03-04T08:58:00Z</cp:lastPrinted>
  <dcterms:modified xsi:type="dcterms:W3CDTF">2023-04-18T02:50:30Z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y fmtid="{D5CDD505-2E9C-101B-9397-08002B2CF9AE}" pid="3" name="ICV">
    <vt:lpwstr>A30B4F8233A641D28C6BDF6F2DC6A43F</vt:lpwstr>
  </property>
  <property fmtid="{D5CDD505-2E9C-101B-9397-08002B2CF9AE}" pid="4" name="5B77E7CEEC58BC6AFAE8886BEB80DBEB">
    <vt:lpwstr>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</vt:lpwstr>
  </property>
</Properties>
</file>