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pageBreakBefore w:val="0"/>
        <w:spacing w:before="0" w:beforeAutospacing="0" w:after="0" w:afterAutospacing="0" w:line="240" w:lineRule="auto"/>
        <w:jc w:val="center"/>
        <w:rPr>
          <w:rFonts w:hint="eastAsia" w:ascii="楷体" w:hAnsi="楷体" w:eastAsia="楷体" w:cs="楷体"/>
          <w:b/>
          <w:color w:val="auto"/>
          <w:sz w:val="28"/>
          <w:szCs w:val="28"/>
        </w:rPr>
      </w:pPr>
      <w:r>
        <w:rPr>
          <w:rFonts w:ascii="楷体" w:hAnsi="楷体" w:eastAsia="楷体" w:cs="楷体"/>
          <w:b/>
          <w:bCs/>
          <w:color w:val="000000"/>
          <w:sz w:val="28"/>
          <w:szCs w:val="28"/>
        </w:rPr>
        <w:t>“</w:t>
      </w:r>
      <w:r>
        <w:rPr>
          <w:rFonts w:hint="eastAsia" w:ascii="楷体" w:hAnsi="楷体" w:eastAsia="楷体" w:cs="楷体"/>
          <w:b/>
          <w:bCs/>
          <w:color w:val="000000"/>
          <w:sz w:val="28"/>
          <w:szCs w:val="28"/>
        </w:rPr>
        <w:t>苏银理财恒源封闭债权366期”</w:t>
      </w:r>
      <w:r>
        <w:rPr>
          <w:rFonts w:hint="eastAsia" w:ascii="楷体" w:hAnsi="楷体" w:eastAsia="楷体" w:cs="楷体"/>
          <w:b/>
          <w:color w:val="auto"/>
          <w:sz w:val="28"/>
          <w:szCs w:val="28"/>
        </w:rPr>
        <w:t>理财产品风险揭示书</w:t>
      </w:r>
    </w:p>
    <w:p>
      <w:pPr>
        <w:spacing w:line="240" w:lineRule="auto"/>
        <w:jc w:val="center"/>
        <w:rPr>
          <w:rFonts w:hint="eastAsia" w:ascii="楷体" w:hAnsi="楷体" w:eastAsia="楷体" w:cs="楷体"/>
          <w:b/>
          <w:color w:val="auto"/>
          <w:kern w:val="0"/>
          <w:sz w:val="28"/>
          <w:szCs w:val="28"/>
        </w:rPr>
      </w:pPr>
      <w:r>
        <w:rPr>
          <w:rFonts w:hint="eastAsia" w:ascii="楷体" w:hAnsi="楷体" w:eastAsia="楷体" w:cs="楷体"/>
          <w:b/>
          <w:color w:val="auto"/>
          <w:kern w:val="0"/>
          <w:sz w:val="24"/>
          <w:szCs w:val="24"/>
        </w:rPr>
        <w:t>理财非存款、产品有风险、投资须谨慎</w:t>
      </w:r>
    </w:p>
    <w:p>
      <w:pPr>
        <w:pStyle w:val="11"/>
        <w:spacing w:before="0" w:beforeAutospacing="0" w:after="0" w:afterAutospacing="0" w:line="240" w:lineRule="atLeast"/>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尊敬的投资者：</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由于理财资金在管理运用过程中可能面临多种风险因素，根据</w:t>
      </w:r>
      <w:r>
        <w:rPr>
          <w:rFonts w:hint="eastAsia" w:ascii="楷体" w:hAnsi="楷体" w:eastAsia="楷体" w:cs="楷体"/>
          <w:sz w:val="21"/>
          <w:szCs w:val="21"/>
          <w:lang w:val="en-US" w:eastAsia="zh-CN"/>
        </w:rPr>
        <w:t>国家金融监督管理总局（以下简称“金融监管总局”）</w:t>
      </w:r>
      <w:r>
        <w:rPr>
          <w:rFonts w:hint="eastAsia" w:ascii="楷体" w:hAnsi="楷体" w:eastAsia="楷体" w:cs="楷体"/>
          <w:color w:val="auto"/>
          <w:sz w:val="21"/>
          <w:szCs w:val="21"/>
        </w:rPr>
        <w:t>相关监管规定，苏银理财有限责任公司（以下简称“苏银理财”</w:t>
      </w:r>
      <w:r>
        <w:rPr>
          <w:rFonts w:hint="eastAsia" w:ascii="楷体" w:hAnsi="楷体" w:eastAsia="楷体" w:cs="楷体"/>
          <w:color w:val="auto"/>
          <w:sz w:val="21"/>
          <w:szCs w:val="21"/>
          <w:lang w:val="en-US" w:eastAsia="zh-CN"/>
        </w:rPr>
        <w:t>或“管理人”</w:t>
      </w:r>
      <w:r>
        <w:rPr>
          <w:rFonts w:hint="eastAsia" w:ascii="楷体" w:hAnsi="楷体" w:eastAsia="楷体" w:cs="楷体"/>
          <w:color w:val="auto"/>
          <w:sz w:val="21"/>
          <w:szCs w:val="21"/>
        </w:rPr>
        <w:t>）作为本理财产品的产品管理人郑重提示您：在您选择购买理财产品前，请仔细阅读本理财产品</w:t>
      </w:r>
      <w:r>
        <w:rPr>
          <w:rFonts w:hint="eastAsia" w:ascii="楷体" w:hAnsi="楷体" w:eastAsia="楷体" w:cs="楷体"/>
          <w:color w:val="auto"/>
          <w:sz w:val="21"/>
          <w:szCs w:val="21"/>
          <w:lang w:val="en-US" w:eastAsia="zh-CN"/>
        </w:rPr>
        <w:t>完整销售文件</w:t>
      </w:r>
      <w:r>
        <w:rPr>
          <w:rFonts w:hint="eastAsia" w:ascii="楷体" w:hAnsi="楷体" w:eastAsia="楷体" w:cs="楷体"/>
          <w:color w:val="auto"/>
          <w:sz w:val="21"/>
          <w:szCs w:val="21"/>
        </w:rPr>
        <w:t>（包括《风险揭示书》、《理财产品说明书》、《</w:t>
      </w:r>
      <w:r>
        <w:rPr>
          <w:rFonts w:hint="eastAsia" w:ascii="楷体" w:hAnsi="楷体" w:eastAsia="楷体" w:cs="楷体"/>
          <w:color w:val="auto"/>
          <w:sz w:val="21"/>
          <w:szCs w:val="21"/>
          <w:lang w:val="en-US" w:eastAsia="zh-CN"/>
        </w:rPr>
        <w:t>理财</w:t>
      </w:r>
      <w:r>
        <w:rPr>
          <w:rFonts w:hint="eastAsia" w:ascii="楷体" w:hAnsi="楷体" w:eastAsia="楷体" w:cs="楷体"/>
          <w:color w:val="auto"/>
          <w:sz w:val="21"/>
          <w:szCs w:val="21"/>
        </w:rPr>
        <w:t>产品投资协议书》</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《投资者权益须知》</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w:t>
      </w:r>
      <w:r>
        <w:rPr>
          <w:rFonts w:hint="eastAsia" w:ascii="楷体" w:hAnsi="楷体" w:eastAsia="楷体" w:cs="楷体"/>
          <w:color w:val="auto"/>
          <w:sz w:val="21"/>
          <w:szCs w:val="21"/>
          <w:lang w:eastAsia="zh-CN"/>
        </w:rPr>
        <w:t>理财产品（代理）销售协议书</w:t>
      </w:r>
      <w:r>
        <w:rPr>
          <w:rFonts w:hint="eastAsia" w:ascii="楷体" w:hAnsi="楷体" w:eastAsia="楷体" w:cs="楷体"/>
          <w:color w:val="auto"/>
          <w:sz w:val="21"/>
          <w:szCs w:val="21"/>
        </w:rPr>
        <w:t>》），了解理财产品具体情况；在您购买理财产品后，请关注本理财产品的信息披露，及时获取相关信息。</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苏银理财作为本理财产品管理人承诺以诚实信用、勤勉尽责的原则管理和运用理财产品资产，</w:t>
      </w:r>
      <w:r>
        <w:rPr>
          <w:rFonts w:hint="eastAsia" w:ascii="楷体" w:hAnsi="楷体" w:eastAsia="楷体" w:cs="楷体"/>
          <w:b/>
          <w:color w:val="auto"/>
          <w:sz w:val="21"/>
          <w:szCs w:val="21"/>
          <w:u w:val="single"/>
        </w:rPr>
        <w:t>但不保证理财产品一定盈利，也不保证最低收益，极端情况下有可能会损失部分甚至全部本金。</w:t>
      </w:r>
      <w:r>
        <w:rPr>
          <w:rFonts w:hint="eastAsia" w:ascii="楷体" w:hAnsi="楷体" w:eastAsia="楷体" w:cs="楷体"/>
          <w:color w:val="auto"/>
          <w:sz w:val="21"/>
          <w:szCs w:val="21"/>
        </w:rPr>
        <w:t>本风险揭示书旨在揭示本理财产品可能面临的各种风险，请您务必充分认识以下风险。</w:t>
      </w:r>
    </w:p>
    <w:p>
      <w:pPr>
        <w:numPr>
          <w:ilvl w:val="0"/>
          <w:numId w:val="1"/>
        </w:numPr>
        <w:tabs>
          <w:tab w:val="left" w:pos="1134"/>
        </w:tabs>
        <w:spacing w:line="240" w:lineRule="atLeast"/>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风险揭示</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政策风险：</w:t>
      </w:r>
      <w:r>
        <w:rPr>
          <w:rFonts w:hint="eastAsia" w:ascii="楷体" w:hAnsi="楷体" w:eastAsia="楷体" w:cs="楷体"/>
          <w:color w:val="auto"/>
          <w:sz w:val="21"/>
          <w:szCs w:val="21"/>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信用风险：</w:t>
      </w:r>
      <w:r>
        <w:rPr>
          <w:rFonts w:hint="eastAsia" w:ascii="楷体" w:hAnsi="楷体" w:eastAsia="楷体" w:cs="楷体"/>
          <w:color w:val="auto"/>
          <w:sz w:val="21"/>
          <w:szCs w:val="21"/>
        </w:rPr>
        <w:t>本理财产品</w:t>
      </w:r>
      <w:r>
        <w:rPr>
          <w:rFonts w:hint="eastAsia" w:ascii="楷体" w:hAnsi="楷体" w:eastAsia="楷体" w:cs="楷体"/>
          <w:color w:val="auto"/>
          <w:sz w:val="21"/>
          <w:szCs w:val="21"/>
          <w:lang w:val="en-US" w:eastAsia="zh-CN"/>
        </w:rPr>
        <w:t>投资于各类金融</w:t>
      </w:r>
      <w:r>
        <w:rPr>
          <w:rFonts w:hint="eastAsia" w:ascii="楷体" w:hAnsi="楷体" w:eastAsia="楷体" w:cs="楷体"/>
          <w:color w:val="auto"/>
          <w:sz w:val="21"/>
          <w:szCs w:val="21"/>
        </w:rPr>
        <w:t>资产，因此有可能由于发行主体或交易对手信用状况恶化导致交易违约，致使本理财产品到期实际收益不足业绩比较基准，该种情况下，</w:t>
      </w:r>
      <w:r>
        <w:rPr>
          <w:rFonts w:hint="eastAsia" w:ascii="楷体" w:hAnsi="楷体" w:eastAsia="楷体" w:cs="楷体"/>
          <w:color w:val="auto"/>
          <w:sz w:val="21"/>
          <w:szCs w:val="21"/>
          <w:lang w:val="en-US" w:eastAsia="zh-CN"/>
        </w:rPr>
        <w:t>管理人</w:t>
      </w:r>
      <w:r>
        <w:rPr>
          <w:rFonts w:hint="eastAsia" w:ascii="楷体" w:hAnsi="楷体" w:eastAsia="楷体" w:cs="楷体"/>
          <w:color w:val="auto"/>
          <w:sz w:val="21"/>
          <w:szCs w:val="21"/>
        </w:rPr>
        <w:t>将按照投资实际收益情况，并以资产变现实际收到的资金为限支付投资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收益，投资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将自行承担由此而导致本金和收益遭受部分甚至全部损失的风险。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市场风险：</w:t>
      </w:r>
      <w:r>
        <w:rPr>
          <w:rFonts w:hint="eastAsia" w:ascii="楷体" w:hAnsi="楷体" w:eastAsia="楷体" w:cs="楷体"/>
          <w:color w:val="auto"/>
          <w:sz w:val="21"/>
          <w:szCs w:val="21"/>
        </w:rPr>
        <w:t>本理财产品投资</w:t>
      </w:r>
      <w:r>
        <w:rPr>
          <w:rFonts w:hint="eastAsia" w:ascii="楷体" w:hAnsi="楷体" w:eastAsia="楷体" w:cs="楷体"/>
          <w:color w:val="auto"/>
          <w:sz w:val="21"/>
          <w:szCs w:val="21"/>
          <w:lang w:val="en-US" w:eastAsia="zh-CN"/>
        </w:rPr>
        <w:t>的金融</w:t>
      </w:r>
      <w:r>
        <w:rPr>
          <w:rFonts w:hint="eastAsia" w:ascii="楷体" w:hAnsi="楷体" w:eastAsia="楷体" w:cs="楷体"/>
          <w:color w:val="auto"/>
          <w:sz w:val="21"/>
          <w:szCs w:val="21"/>
        </w:rPr>
        <w:t>资产的价格受到经济因素、政治因素、投资心理和交易制度等各种因素的影响，可能导致本理财产品资产收益水平变化，投资者可能面临本金和收益遭受部分甚至全部损失的风险。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流动性风险：</w:t>
      </w:r>
      <w:r>
        <w:rPr>
          <w:rFonts w:hint="eastAsia" w:ascii="楷体" w:hAnsi="楷体" w:eastAsia="楷体" w:cs="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cs="楷体"/>
          <w:b w:val="0"/>
          <w:bCs/>
          <w:color w:val="auto"/>
          <w:sz w:val="21"/>
          <w:szCs w:val="21"/>
          <w:highlight w:val="none"/>
          <w:lang w:val="en-US" w:eastAsia="zh-CN"/>
        </w:rPr>
        <w:t>满足本理财产品履行相关</w:t>
      </w:r>
      <w:r>
        <w:rPr>
          <w:rFonts w:hint="eastAsia" w:ascii="楷体" w:hAnsi="楷体" w:eastAsia="楷体" w:cs="楷体"/>
          <w:b w:val="0"/>
          <w:bCs/>
          <w:color w:val="auto"/>
          <w:sz w:val="21"/>
          <w:szCs w:val="21"/>
          <w:highlight w:val="none"/>
        </w:rPr>
        <w:t>支付义务，带来流动性风险。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管理风险：</w:t>
      </w:r>
      <w:r>
        <w:rPr>
          <w:rFonts w:hint="eastAsia" w:ascii="楷体" w:hAnsi="楷体" w:eastAsia="楷体" w:cs="楷体"/>
          <w:color w:val="auto"/>
          <w:sz w:val="21"/>
          <w:szCs w:val="21"/>
        </w:rPr>
        <w:t>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操作风险：</w:t>
      </w:r>
      <w:r>
        <w:rPr>
          <w:rFonts w:hint="eastAsia" w:ascii="楷体" w:hAnsi="楷体" w:eastAsia="楷体" w:cs="楷体"/>
          <w:color w:val="auto"/>
          <w:sz w:val="21"/>
          <w:szCs w:val="21"/>
        </w:rPr>
        <w:t>如本理财产品管理人由于内部作业、人员管理、系统操作及事务处理不当或失误等，则投资者可能面临本金和收益遭受部分甚至全部损失的风险。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延期兑付风险：</w:t>
      </w:r>
      <w:r>
        <w:rPr>
          <w:rFonts w:hint="eastAsia" w:ascii="楷体" w:hAnsi="楷体" w:eastAsia="楷体" w:cs="楷体"/>
          <w:color w:val="auto"/>
          <w:sz w:val="21"/>
          <w:szCs w:val="21"/>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提前终止风险：</w:t>
      </w:r>
      <w:r>
        <w:rPr>
          <w:rFonts w:hint="eastAsia" w:ascii="楷体" w:hAnsi="楷体" w:eastAsia="楷体" w:cs="楷体"/>
          <w:color w:val="auto"/>
          <w:sz w:val="21"/>
          <w:szCs w:val="21"/>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s="楷体"/>
          <w:color w:val="auto"/>
          <w:sz w:val="21"/>
          <w:szCs w:val="21"/>
          <w:lang w:val="en-US" w:eastAsia="zh-CN"/>
        </w:rPr>
        <w:t>产品销售文件</w:t>
      </w:r>
      <w:r>
        <w:rPr>
          <w:rFonts w:hint="eastAsia" w:ascii="楷体" w:hAnsi="楷体" w:eastAsia="楷体" w:cs="楷体"/>
          <w:color w:val="auto"/>
          <w:sz w:val="21"/>
          <w:szCs w:val="21"/>
        </w:rPr>
        <w:t>的，产品管理人有权提前终止理财产品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信息传递风险：</w:t>
      </w:r>
      <w:r>
        <w:rPr>
          <w:rFonts w:hint="eastAsia" w:ascii="楷体" w:hAnsi="楷体" w:eastAsia="楷体" w:cs="楷体"/>
          <w:color w:val="auto"/>
          <w:sz w:val="21"/>
          <w:szCs w:val="21"/>
        </w:rPr>
        <w:t>产品管理人将按照本理财产品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2"/>
        </w:numPr>
        <w:tabs>
          <w:tab w:val="left" w:pos="993"/>
        </w:tabs>
        <w:spacing w:line="240" w:lineRule="atLeast"/>
        <w:ind w:left="0" w:firstLine="422" w:firstLineChars="200"/>
        <w:rPr>
          <w:rFonts w:hint="eastAsia" w:ascii="楷体" w:hAnsi="楷体" w:eastAsia="楷体" w:cs="楷体"/>
          <w:sz w:val="21"/>
          <w:szCs w:val="21"/>
        </w:rPr>
      </w:pPr>
      <w:r>
        <w:rPr>
          <w:rFonts w:hint="eastAsia" w:ascii="楷体" w:hAnsi="楷体" w:eastAsia="楷体" w:cs="楷体"/>
          <w:b/>
          <w:sz w:val="21"/>
          <w:szCs w:val="21"/>
          <w:highlight w:val="none"/>
        </w:rPr>
        <w:t>代销风险</w:t>
      </w:r>
      <w:r>
        <w:rPr>
          <w:rFonts w:hint="eastAsia" w:ascii="楷体" w:hAnsi="楷体" w:eastAsia="楷体" w:cs="楷体"/>
          <w:b/>
          <w:sz w:val="21"/>
          <w:szCs w:val="21"/>
          <w:highlight w:val="none"/>
          <w:lang w:eastAsia="zh-CN"/>
        </w:rPr>
        <w:t>（</w:t>
      </w:r>
      <w:r>
        <w:rPr>
          <w:rFonts w:hint="eastAsia" w:ascii="楷体" w:hAnsi="楷体" w:eastAsia="楷体" w:cs="楷体"/>
          <w:b/>
          <w:sz w:val="21"/>
          <w:szCs w:val="21"/>
          <w:highlight w:val="none"/>
          <w:lang w:val="en-US" w:eastAsia="zh-CN"/>
        </w:rPr>
        <w:t>如有）</w:t>
      </w:r>
      <w:r>
        <w:rPr>
          <w:rFonts w:hint="eastAsia" w:ascii="楷体" w:hAnsi="楷体" w:eastAsia="楷体" w:cs="楷体"/>
          <w:b/>
          <w:sz w:val="21"/>
          <w:szCs w:val="21"/>
          <w:highlight w:val="none"/>
        </w:rPr>
        <w:t>：</w:t>
      </w:r>
      <w:r>
        <w:rPr>
          <w:rFonts w:hint="eastAsia" w:ascii="楷体" w:hAnsi="楷体" w:eastAsia="楷体" w:cs="楷体"/>
          <w:b w:val="0"/>
          <w:bCs/>
          <w:sz w:val="21"/>
          <w:szCs w:val="21"/>
          <w:highlight w:val="none"/>
          <w:lang w:val="en-US" w:eastAsia="zh-CN"/>
        </w:rPr>
        <w:t>如</w:t>
      </w:r>
      <w:r>
        <w:rPr>
          <w:rFonts w:hint="eastAsia" w:ascii="楷体" w:hAnsi="楷体" w:eastAsia="楷体" w:cs="楷体"/>
          <w:sz w:val="21"/>
          <w:szCs w:val="21"/>
          <w:highlight w:val="none"/>
        </w:rPr>
        <w:t>本产品通过代销渠道（非产品管理人自有渠道）销售，投资者认购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highlight w:val="none"/>
        </w:rPr>
        <w:t>理财产品的资金由代销机构从投资者资金账户扣收；份额赎回时，赎回资金按本理财产品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sz w:val="21"/>
          <w:szCs w:val="21"/>
          <w:highlight w:val="none"/>
        </w:rPr>
        <w:t>约定划付至代销机构清算账户后，由代销机构向投资者划付投资者应得赎回资金。不同代销机构的销售渠道，</w:t>
      </w:r>
      <w:r>
        <w:rPr>
          <w:rFonts w:hint="eastAsia" w:ascii="楷体" w:hAnsi="楷体" w:eastAsia="楷体" w:cs="楷体"/>
          <w:sz w:val="21"/>
          <w:szCs w:val="21"/>
        </w:rPr>
        <w:t>其</w:t>
      </w:r>
      <w:r>
        <w:rPr>
          <w:rFonts w:hint="eastAsia" w:ascii="楷体" w:hAnsi="楷体" w:eastAsia="楷体" w:cs="楷体"/>
          <w:sz w:val="21"/>
          <w:szCs w:val="21"/>
          <w:highlight w:val="none"/>
        </w:rPr>
        <w:t>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b/>
          <w:color w:val="auto"/>
          <w:sz w:val="21"/>
          <w:szCs w:val="21"/>
        </w:rPr>
        <w:t>不可抗力</w:t>
      </w:r>
      <w:r>
        <w:rPr>
          <w:rFonts w:hint="eastAsia" w:ascii="楷体" w:hAnsi="楷体" w:eastAsia="楷体"/>
          <w:b/>
          <w:color w:val="auto"/>
          <w:sz w:val="21"/>
          <w:szCs w:val="21"/>
          <w:lang w:val="en-US" w:eastAsia="zh-CN"/>
        </w:rPr>
        <w:t>及意外事件</w:t>
      </w:r>
      <w:r>
        <w:rPr>
          <w:rFonts w:hint="eastAsia" w:ascii="楷体" w:hAnsi="楷体" w:eastAsia="楷体"/>
          <w:b/>
          <w:color w:val="auto"/>
          <w:sz w:val="21"/>
          <w:szCs w:val="21"/>
        </w:rPr>
        <w:t>风险：</w:t>
      </w:r>
      <w:r>
        <w:rPr>
          <w:rFonts w:hint="eastAsia" w:ascii="楷体" w:hAnsi="楷体" w:eastAsia="楷体"/>
          <w:color w:val="auto"/>
          <w:sz w:val="21"/>
          <w:szCs w:val="21"/>
        </w:rPr>
        <w:t>自然</w:t>
      </w:r>
      <w:r>
        <w:rPr>
          <w:rFonts w:hint="eastAsia" w:ascii="楷体" w:hAnsi="楷体" w:eastAsia="楷体"/>
          <w:color w:val="auto"/>
          <w:sz w:val="21"/>
          <w:szCs w:val="21"/>
          <w:highlight w:val="none"/>
        </w:rPr>
        <w:t>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w:t>
      </w:r>
      <w:r>
        <w:rPr>
          <w:rFonts w:hint="eastAsia" w:ascii="楷体" w:hAnsi="楷体" w:eastAsia="楷体"/>
          <w:color w:val="auto"/>
          <w:sz w:val="21"/>
          <w:szCs w:val="21"/>
        </w:rPr>
        <w:t>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2"/>
        </w:numPr>
        <w:tabs>
          <w:tab w:val="left" w:pos="993"/>
        </w:tabs>
        <w:ind w:left="0" w:firstLine="422" w:firstLineChars="200"/>
        <w:rPr>
          <w:rFonts w:hint="eastAsia" w:ascii="楷体" w:hAnsi="楷体" w:eastAsia="楷体" w:cs="楷体"/>
          <w:color w:val="auto"/>
          <w:sz w:val="21"/>
          <w:szCs w:val="21"/>
        </w:rPr>
      </w:pPr>
      <w:r>
        <w:rPr>
          <w:rFonts w:hint="eastAsia" w:ascii="楷体" w:hAnsi="楷体" w:eastAsia="楷体" w:cs="楷体"/>
          <w:b/>
          <w:bCs/>
          <w:color w:val="auto"/>
          <w:sz w:val="21"/>
          <w:szCs w:val="21"/>
        </w:rPr>
        <w:t>关联关系及关联交易风险</w:t>
      </w:r>
      <w:r>
        <w:rPr>
          <w:rFonts w:hint="eastAsia" w:ascii="楷体" w:hAnsi="楷体" w:eastAsia="楷体" w:cs="楷体"/>
          <w:color w:val="auto"/>
          <w:sz w:val="21"/>
          <w:szCs w:val="21"/>
        </w:rPr>
        <w:t>：本理财产品由</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理财发行并作为管理人，独立履行产品管理职责，</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理财委托销售机构销售理财产品的，可能涉及委托</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银行股份有限公司（以下简称“</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银行”）作为理财产品的销售机构，负责理财产品的代理销售工作。</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理财是</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银行控股的子公司，二者互为关联方，可能出现关联交易行为。</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2"/>
        </w:numPr>
        <w:tabs>
          <w:tab w:val="left" w:pos="993"/>
        </w:tabs>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特定投资标的风险：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1.非标准化债权的特殊风险：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①融资方还款履约能力可能的变化导致的信用风险。②债务人提前还款或逾期还款的风险。③保证人未履行保证义务的风险等。</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2.股票投资的特殊风险：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3.黄金、黄金主题股票、黄金ETF基金等黄金类资产的特殊风险：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影响黄金类资产的价格的主要因素包括但不限于：①黄金的供给与需求；②投资者的黄金交易行为；③外汇汇率；④全球和地区性政治经济环境的变化等。</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4.结构性存款的特殊风险：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5.债券投资的特殊风险：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6.资产管理计划或基金产品的特殊风险：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1"/>
        <w:spacing w:before="0" w:beforeAutospacing="0" w:after="0" w:afterAutospacing="0"/>
        <w:ind w:firstLine="422" w:firstLineChars="200"/>
        <w:jc w:val="both"/>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cs="楷体"/>
          <w:b/>
          <w:color w:val="auto"/>
          <w:sz w:val="21"/>
          <w:szCs w:val="21"/>
          <w:u w:val="single"/>
          <w:lang w:val="en-US" w:eastAsia="zh-CN"/>
        </w:rPr>
        <w:t>独立做出</w:t>
      </w:r>
      <w:r>
        <w:rPr>
          <w:rFonts w:hint="eastAsia" w:ascii="楷体" w:hAnsi="楷体" w:eastAsia="楷体" w:cs="楷体"/>
          <w:b/>
          <w:color w:val="auto"/>
          <w:sz w:val="21"/>
          <w:szCs w:val="21"/>
          <w:u w:val="single"/>
        </w:rPr>
        <w:t>是否认购本理财产品的决定。您签署本理财产品销售文件并将资金委托给苏银理财运作是您真实的意思表示。</w:t>
      </w:r>
    </w:p>
    <w:p>
      <w:pPr>
        <w:numPr>
          <w:ilvl w:val="0"/>
          <w:numId w:val="1"/>
        </w:numPr>
        <w:tabs>
          <w:tab w:val="left" w:pos="1134"/>
        </w:tabs>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投资者提示</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本理财产品不保证本金及收益，您的本金可能因市场变动或者交易违约等事项而蒙受相应损失，</w:t>
      </w:r>
      <w:r>
        <w:rPr>
          <w:rFonts w:hint="eastAsia" w:ascii="楷体" w:hAnsi="楷体" w:eastAsia="楷体" w:cs="楷体"/>
          <w:b/>
          <w:bCs/>
          <w:color w:val="auto"/>
          <w:sz w:val="21"/>
          <w:szCs w:val="21"/>
          <w:u w:val="single"/>
        </w:rPr>
        <w:t>在最不利的情况下甚至可能损失全部本金。</w:t>
      </w:r>
      <w:r>
        <w:rPr>
          <w:rFonts w:hint="eastAsia" w:ascii="楷体" w:hAnsi="楷体" w:eastAsia="楷体" w:cs="楷体"/>
          <w:b/>
          <w:color w:val="auto"/>
          <w:sz w:val="21"/>
          <w:szCs w:val="21"/>
          <w:u w:val="single"/>
        </w:rPr>
        <w:t>投资者应充分认识投资风险，谨慎投资。</w:t>
      </w:r>
    </w:p>
    <w:p>
      <w:pPr>
        <w:numPr>
          <w:ilvl w:val="0"/>
          <w:numId w:val="0"/>
        </w:numPr>
        <w:tabs>
          <w:tab w:val="left" w:pos="74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本理财产品过往业绩不代表其未来表现，不等于理财产品实际收益。理财非存款、产品有风险、投资须谨慎。</w:t>
      </w:r>
    </w:p>
    <w:p>
      <w:pPr>
        <w:numPr>
          <w:ilvl w:val="0"/>
          <w:numId w:val="3"/>
        </w:numPr>
        <w:tabs>
          <w:tab w:val="left" w:pos="742"/>
        </w:tabs>
        <w:ind w:left="0" w:firstLine="420" w:firstLineChars="20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本理财产品类型为</w:t>
      </w:r>
      <w:r>
        <w:rPr>
          <w:rFonts w:ascii="楷体" w:hAnsi="楷体" w:eastAsia="楷体" w:cs="楷体"/>
          <w:b/>
          <w:bCs/>
          <w:color w:val="000000"/>
          <w:sz w:val="21"/>
          <w:szCs w:val="21"/>
          <w:u w:val="single"/>
        </w:rPr>
        <w:t>固定收益类、公募、封闭式</w:t>
      </w:r>
      <w:r>
        <w:rPr>
          <w:rFonts w:hint="eastAsia" w:ascii="楷体" w:hAnsi="楷体" w:eastAsia="楷体" w:cs="楷体"/>
          <w:b/>
          <w:color w:val="auto"/>
          <w:sz w:val="21"/>
          <w:szCs w:val="21"/>
          <w:highlight w:val="none"/>
          <w:u w:val="single"/>
          <w:lang w:val="en-US" w:eastAsia="zh-CN"/>
        </w:rPr>
        <w:t>，计划存续期限为391天。</w:t>
      </w:r>
      <w:r>
        <w:rPr>
          <w:rFonts w:hint="eastAsia" w:ascii="楷体" w:hAnsi="楷体" w:eastAsia="楷体" w:cs="楷体"/>
          <w:color w:val="auto"/>
          <w:sz w:val="21"/>
          <w:szCs w:val="21"/>
          <w:highlight w:val="none"/>
        </w:rPr>
        <w:t>产品管理人对本理财产品的内部风险评级为</w:t>
      </w:r>
      <w:r>
        <w:rPr>
          <w:rFonts w:ascii="楷体" w:hAnsi="楷体" w:eastAsia="楷体" w:cs="楷体"/>
          <w:b/>
          <w:bCs/>
          <w:color w:val="000000"/>
          <w:sz w:val="21"/>
          <w:szCs w:val="21"/>
          <w:u w:val="single"/>
        </w:rPr>
        <w:t>★★二级</w:t>
      </w:r>
      <w:r>
        <w:rPr>
          <w:rFonts w:hint="eastAsia" w:ascii="楷体" w:hAnsi="楷体" w:eastAsia="楷体" w:cs="楷体"/>
          <w:b/>
          <w:color w:val="auto"/>
          <w:sz w:val="21"/>
          <w:szCs w:val="21"/>
          <w:highlight w:val="none"/>
          <w:u w:val="single"/>
        </w:rPr>
        <w:t>，适合</w:t>
      </w:r>
      <w:r>
        <w:rPr>
          <w:rFonts w:ascii="楷体" w:hAnsi="楷体" w:eastAsia="楷体" w:cs="楷体"/>
          <w:b/>
          <w:bCs/>
          <w:color w:val="000000"/>
          <w:sz w:val="21"/>
          <w:szCs w:val="21"/>
          <w:u w:val="single"/>
        </w:rPr>
        <w:t>中低风险型</w:t>
      </w:r>
      <w:r>
        <w:rPr>
          <w:rFonts w:hint="eastAsia" w:ascii="楷体" w:hAnsi="楷体" w:eastAsia="楷体" w:cs="楷体"/>
          <w:b/>
          <w:color w:val="auto"/>
          <w:sz w:val="21"/>
          <w:szCs w:val="21"/>
          <w:highlight w:val="none"/>
          <w:u w:val="single"/>
        </w:rPr>
        <w:t>投资者</w:t>
      </w:r>
      <w:r>
        <w:rPr>
          <w:rFonts w:hint="eastAsia" w:ascii="楷体" w:hAnsi="楷体" w:eastAsia="楷体" w:cs="楷体"/>
          <w:color w:val="auto"/>
          <w:sz w:val="21"/>
          <w:szCs w:val="21"/>
          <w:highlight w:val="none"/>
          <w:u w:val="single"/>
        </w:rPr>
        <w:t>。</w:t>
      </w:r>
      <w:r>
        <w:rPr>
          <w:rFonts w:hint="eastAsia" w:ascii="楷体" w:hAnsi="楷体" w:eastAsia="楷体" w:cs="楷体"/>
          <w:b/>
          <w:color w:val="auto"/>
          <w:sz w:val="21"/>
          <w:szCs w:val="21"/>
          <w:highlight w:val="none"/>
          <w:u w:val="single"/>
        </w:rPr>
        <w:t>如本产品通过代理销售机构渠道销售，理财产品评级以代理销售机构最终披露的评级结果为准。</w:t>
      </w:r>
    </w:p>
    <w:p>
      <w:pPr>
        <w:numPr>
          <w:ilvl w:val="0"/>
          <w:numId w:val="3"/>
        </w:numPr>
        <w:tabs>
          <w:tab w:val="left" w:pos="742"/>
        </w:tabs>
        <w:ind w:left="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11"/>
        <w:numPr>
          <w:ilvl w:val="0"/>
          <w:numId w:val="0"/>
        </w:numPr>
        <w:spacing w:before="0" w:beforeAutospacing="0" w:after="0" w:afterAutospacing="0" w:line="360" w:lineRule="auto"/>
        <w:ind w:left="0" w:firstLine="0"/>
        <w:jc w:val="right"/>
        <w:rPr>
          <w:rFonts w:hint="eastAsia" w:ascii="楷体" w:hAnsi="楷体" w:eastAsia="楷体" w:cs="楷体"/>
          <w:b/>
          <w:color w:val="auto"/>
          <w:sz w:val="21"/>
          <w:szCs w:val="21"/>
        </w:rPr>
      </w:pPr>
      <w:r>
        <w:rPr>
          <w:rFonts w:hint="eastAsia" w:ascii="楷体" w:hAnsi="楷体" w:eastAsia="楷体" w:cs="楷体"/>
          <w:b/>
          <w:color w:val="auto"/>
          <w:sz w:val="21"/>
          <w:szCs w:val="21"/>
        </w:rPr>
        <w:t>风险揭示方：苏银理财有限责任公司</w:t>
      </w:r>
    </w:p>
    <w:p>
      <w:pPr>
        <w:rPr>
          <w:rFonts w:hint="eastAsia" w:ascii="楷体" w:hAnsi="楷体" w:eastAsia="楷体" w:cs="楷体"/>
          <w:b/>
          <w:color w:val="auto"/>
          <w:sz w:val="28"/>
          <w:szCs w:val="28"/>
        </w:rPr>
      </w:pPr>
      <w:r>
        <w:br w:type="page"/>
      </w:r>
    </w:p>
    <w:p>
      <w:pPr>
        <w:pStyle w:val="11"/>
        <w:numPr>
          <w:ilvl w:val="0"/>
          <w:numId w:val="0"/>
        </w:numPr>
        <w:spacing w:before="0" w:beforeAutospacing="0" w:after="0" w:afterAutospacing="0" w:line="360" w:lineRule="auto"/>
        <w:ind w:left="0" w:firstLine="0"/>
        <w:jc w:val="center"/>
        <w:rPr>
          <w:rFonts w:hint="eastAsia" w:ascii="楷体" w:hAnsi="楷体" w:eastAsia="楷体"/>
          <w:b/>
          <w:color w:val="auto"/>
          <w:sz w:val="28"/>
          <w:szCs w:val="28"/>
        </w:rPr>
      </w:pPr>
      <w:r>
        <w:rPr>
          <w:rFonts w:hint="eastAsia" w:ascii="楷体" w:hAnsi="楷体" w:eastAsia="楷体"/>
          <w:b/>
          <w:color w:val="auto"/>
          <w:sz w:val="28"/>
          <w:szCs w:val="28"/>
        </w:rPr>
        <w:t>投资者风险确认函</w:t>
      </w:r>
    </w:p>
    <w:p>
      <w:pPr>
        <w:ind w:firstLine="420" w:firstLineChars="200"/>
        <w:rPr>
          <w:rFonts w:hint="eastAsia" w:ascii="楷体" w:hAnsi="楷体" w:eastAsia="楷体"/>
          <w:color w:val="auto"/>
          <w:sz w:val="21"/>
          <w:szCs w:val="21"/>
        </w:rPr>
      </w:pPr>
      <w:r>
        <w:rPr>
          <w:rFonts w:ascii="楷体" w:hAnsi="楷体" w:eastAsia="楷体"/>
          <w:color w:val="auto"/>
          <w:sz w:val="21"/>
          <w:szCs w:val="21"/>
        </w:rPr>
        <w:t>投资决策系由</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ascii="楷体" w:hAnsi="楷体" w:eastAsia="楷体"/>
          <w:color w:val="auto"/>
          <w:sz w:val="21"/>
          <w:szCs w:val="21"/>
        </w:rPr>
        <w:t>独立、自主、谨慎做出，</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机构确认已经收到本理财产品的风险揭示书，且已经认真阅读本理财产品完整</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全部约定。</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机构确认理解投资本理财产品将涉及的所有风险，并将承担且有能力承担该等风险。</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承诺理财购买资金来源合法合规，</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将配合管理人及销售机构开展反洗钱、反恐怖融资及非居民金融账户涉税信息尽职调查等工作。</w:t>
      </w:r>
    </w:p>
    <w:p>
      <w:pPr>
        <w:ind w:firstLine="420" w:firstLineChars="200"/>
        <w:rPr>
          <w:rFonts w:hint="eastAsia" w:ascii="楷体" w:hAnsi="楷体" w:eastAsia="楷体"/>
          <w:b/>
          <w:color w:val="auto"/>
          <w:sz w:val="21"/>
          <w:szCs w:val="21"/>
        </w:rPr>
      </w:pPr>
      <w:r>
        <w:rPr>
          <w:rFonts w:hint="eastAsia" w:ascii="楷体" w:hAnsi="楷体" w:eastAsia="楷体"/>
          <w:color w:val="auto"/>
          <w:sz w:val="21"/>
          <w:szCs w:val="21"/>
        </w:rPr>
        <w:t>经销售机构评估，本人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rPr>
        <w:t>的风险承受能力评级结果为</w:t>
      </w:r>
      <w:r>
        <w:rPr>
          <w:rFonts w:ascii="楷体" w:hAnsi="楷体" w:eastAsia="楷体"/>
          <w:b/>
          <w:color w:val="auto"/>
          <w:sz w:val="21"/>
          <w:szCs w:val="21"/>
        </w:rPr>
        <w:t>：</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p>
    <w:p>
      <w:pPr>
        <w:ind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rPr>
        <w:t>风险承受能力不低于本理财产品的风险评级，适合购买本理财产</w:t>
      </w:r>
      <w:r>
        <w:rPr>
          <w:rFonts w:hint="eastAsia" w:ascii="楷体" w:hAnsi="楷体" w:eastAsia="楷体"/>
          <w:color w:val="auto"/>
          <w:sz w:val="21"/>
          <w:szCs w:val="21"/>
          <w:highlight w:val="none"/>
        </w:rPr>
        <w:t>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w:t>
      </w:r>
      <w:r>
        <w:rPr>
          <w:rFonts w:hint="eastAsia" w:ascii="楷体" w:hAnsi="楷体" w:eastAsia="楷体"/>
          <w:color w:val="auto"/>
          <w:sz w:val="21"/>
          <w:szCs w:val="21"/>
          <w:highlight w:val="none"/>
        </w:rPr>
        <w:t>本人</w:t>
      </w:r>
      <w:r>
        <w:rPr>
          <w:rFonts w:hint="eastAsia" w:ascii="楷体" w:hAnsi="楷体" w:eastAsia="楷体"/>
          <w:color w:val="auto"/>
          <w:sz w:val="21"/>
          <w:szCs w:val="21"/>
          <w:highlight w:val="none"/>
          <w:lang w:val="en-US" w:eastAsia="zh-CN"/>
        </w:rPr>
        <w:t>/本机构</w:t>
      </w:r>
      <w:r>
        <w:rPr>
          <w:rFonts w:hint="eastAsia" w:ascii="楷体" w:hAnsi="楷体" w:eastAsia="楷体"/>
          <w:color w:val="auto"/>
          <w:sz w:val="21"/>
          <w:szCs w:val="21"/>
          <w:highlight w:val="none"/>
        </w:rPr>
        <w:t>将</w:t>
      </w:r>
      <w:r>
        <w:rPr>
          <w:rFonts w:hint="eastAsia" w:ascii="楷体" w:hAnsi="楷体" w:eastAsia="楷体"/>
          <w:color w:val="auto"/>
          <w:sz w:val="21"/>
          <w:szCs w:val="21"/>
        </w:rPr>
        <w:t>及时完成风险承受能力的重新评估。</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rPr>
        <w:t>须</w:t>
      </w:r>
      <w:r>
        <w:rPr>
          <w:rFonts w:hint="eastAsia" w:ascii="楷体" w:hAnsi="楷体" w:eastAsia="楷体"/>
          <w:b/>
          <w:color w:val="auto"/>
          <w:sz w:val="21"/>
          <w:szCs w:val="21"/>
          <w:u w:val="single"/>
        </w:rPr>
        <w:t>投资者亲笔抄录</w:t>
      </w:r>
      <w:r>
        <w:rPr>
          <w:rFonts w:hint="eastAsia" w:ascii="楷体" w:hAnsi="楷体" w:eastAsia="楷体"/>
          <w:color w:val="auto"/>
          <w:sz w:val="21"/>
          <w:szCs w:val="21"/>
        </w:rPr>
        <w:t>以下内容：</w:t>
      </w:r>
      <w:r>
        <w:rPr>
          <w:rFonts w:hint="eastAsia" w:ascii="楷体" w:hAnsi="楷体" w:eastAsia="楷体"/>
          <w:b/>
          <w:color w:val="auto"/>
          <w:sz w:val="21"/>
          <w:szCs w:val="21"/>
        </w:rPr>
        <w:t>“</w:t>
      </w:r>
      <w:r>
        <w:rPr>
          <w:rFonts w:hint="eastAsia" w:ascii="楷体" w:hAnsi="楷体" w:eastAsia="楷体"/>
          <w:b/>
          <w:color w:val="auto"/>
          <w:sz w:val="21"/>
          <w:szCs w:val="21"/>
          <w:u w:val="single"/>
        </w:rPr>
        <w:t>本人</w:t>
      </w:r>
      <w:r>
        <w:rPr>
          <w:rFonts w:hint="eastAsia" w:ascii="楷体" w:hAnsi="楷体" w:eastAsia="楷体"/>
          <w:b/>
          <w:color w:val="auto"/>
          <w:sz w:val="21"/>
          <w:szCs w:val="21"/>
          <w:u w:val="single"/>
          <w:lang w:val="en-US" w:eastAsia="zh-CN"/>
        </w:rPr>
        <w:t>/本机构</w:t>
      </w:r>
      <w:r>
        <w:rPr>
          <w:rFonts w:hint="eastAsia" w:ascii="楷体" w:hAnsi="楷体" w:eastAsia="楷体"/>
          <w:b/>
          <w:color w:val="auto"/>
          <w:sz w:val="21"/>
          <w:szCs w:val="21"/>
          <w:u w:val="single"/>
        </w:rPr>
        <w:t>已经阅读风险揭示，愿意承担投资风险</w:t>
      </w:r>
      <w:r>
        <w:rPr>
          <w:rFonts w:hint="eastAsia" w:ascii="楷体" w:hAnsi="楷体" w:eastAsia="楷体"/>
          <w:b/>
          <w:color w:val="auto"/>
          <w:sz w:val="21"/>
          <w:szCs w:val="21"/>
        </w:rPr>
        <w:t>”</w:t>
      </w:r>
      <w:r>
        <w:rPr>
          <w:rFonts w:hint="eastAsia" w:ascii="楷体" w:hAnsi="楷体" w:eastAsia="楷体"/>
          <w:color w:val="auto"/>
          <w:sz w:val="21"/>
          <w:szCs w:val="21"/>
        </w:rPr>
        <w:t>。</w:t>
      </w:r>
    </w:p>
    <w:p>
      <w:pPr>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r>
        <w:rPr>
          <w:rFonts w:hint="eastAsia" w:ascii="楷体" w:hAnsi="楷体" w:eastAsia="楷体"/>
          <w:color w:val="auto"/>
          <w:sz w:val="21"/>
          <w:szCs w:val="21"/>
          <w:u w:val="single"/>
        </w:rPr>
        <w:t xml:space="preserve">              </w:t>
      </w:r>
    </w:p>
    <w:p>
      <w:pPr>
        <w:jc w:val="both"/>
        <w:rPr>
          <w:rFonts w:hint="eastAsia" w:ascii="楷体" w:hAnsi="楷体" w:eastAsia="楷体"/>
          <w:color w:val="auto"/>
          <w:sz w:val="21"/>
          <w:szCs w:val="21"/>
        </w:rPr>
      </w:pPr>
      <w:r>
        <w:rPr>
          <w:rFonts w:hint="eastAsia" w:ascii="楷体" w:hAnsi="楷体" w:eastAsia="楷体"/>
          <w:color w:val="auto"/>
          <w:sz w:val="21"/>
          <w:szCs w:val="21"/>
        </w:rPr>
        <w:t>个人投资者签字：</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ind w:firstLine="315" w:firstLineChars="150"/>
        <w:jc w:val="both"/>
        <w:rPr>
          <w:rFonts w:hint="eastAsia" w:ascii="楷体" w:hAnsi="楷体" w:eastAsia="楷体"/>
          <w:color w:val="auto"/>
          <w:sz w:val="21"/>
          <w:szCs w:val="21"/>
        </w:rPr>
      </w:pPr>
    </w:p>
    <w:p>
      <w:pPr>
        <w:ind w:firstLine="315" w:firstLineChars="150"/>
        <w:jc w:val="both"/>
        <w:rPr>
          <w:rFonts w:hint="eastAsia" w:ascii="楷体" w:hAnsi="楷体" w:eastAsia="楷体"/>
          <w:color w:val="auto"/>
          <w:sz w:val="21"/>
          <w:szCs w:val="21"/>
        </w:rPr>
      </w:pPr>
    </w:p>
    <w:p>
      <w:pPr>
        <w:rPr>
          <w:rFonts w:hint="eastAsia" w:ascii="楷体" w:hAnsi="楷体" w:eastAsia="楷体"/>
          <w:color w:val="auto"/>
          <w:sz w:val="21"/>
          <w:szCs w:val="21"/>
        </w:rPr>
      </w:pPr>
      <w:r>
        <w:rPr>
          <w:rFonts w:hint="eastAsia" w:ascii="楷体" w:hAnsi="楷体" w:eastAsia="楷体"/>
          <w:color w:val="auto"/>
          <w:sz w:val="21"/>
          <w:szCs w:val="21"/>
        </w:rPr>
        <w:t>机构投资者（盖章）：</w:t>
      </w:r>
    </w:p>
    <w:p>
      <w:pPr>
        <w:rPr>
          <w:rFonts w:ascii="楷体" w:hAnsi="楷体" w:eastAsia="楷体"/>
          <w:color w:val="auto"/>
          <w:sz w:val="21"/>
          <w:szCs w:val="21"/>
        </w:rPr>
      </w:pPr>
    </w:p>
    <w:p>
      <w:pPr>
        <w:jc w:val="both"/>
        <w:rPr>
          <w:rFonts w:hint="eastAsia" w:ascii="楷体" w:hAnsi="楷体" w:eastAsia="楷体" w:cs="楷体"/>
          <w:color w:val="auto"/>
          <w:sz w:val="21"/>
          <w:szCs w:val="21"/>
        </w:rPr>
      </w:pPr>
      <w:r>
        <w:rPr>
          <w:rFonts w:hint="eastAsia" w:ascii="楷体" w:hAnsi="楷体" w:eastAsia="楷体"/>
          <w:color w:val="auto"/>
          <w:sz w:val="21"/>
          <w:szCs w:val="21"/>
        </w:rPr>
        <w:t>机构投资者法定代表人或授权代表（签字或盖章）</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sectPr>
          <w:headerReference r:id="rId5" w:type="first"/>
          <w:headerReference r:id="rId3" w:type="default"/>
          <w:footerReference r:id="rId6" w:type="default"/>
          <w:headerReference r:id="rId4" w:type="even"/>
          <w:pgSz w:w="11906" w:h="16838"/>
          <w:pgMar w:top="1440" w:right="1134" w:bottom="1440" w:left="1134" w:header="851" w:footer="992" w:gutter="0"/>
          <w:cols w:space="720" w:num="1"/>
          <w:docGrid w:type="lines" w:linePitch="312" w:charSpace="0"/>
        </w:sectPr>
      </w:pPr>
    </w:p>
    <w:p>
      <w:pPr>
        <w:pStyle w:val="11"/>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“苏银理财恒源封闭债权366期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2026年8月版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4"/>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4"/>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苏银理财恒源封闭债权366期</w:t>
      </w:r>
      <w:r>
        <w:rPr>
          <w:rFonts w:hint="eastAsia" w:ascii="楷体" w:hAnsi="楷体" w:eastAsia="楷体"/>
          <w:sz w:val="21"/>
          <w:szCs w:val="21"/>
        </w:rPr>
        <w:t>”理财产品风险揭示书》的“风险揭示”部分。</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4"/>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5"/>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苏银理财恒源封闭债权366期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37"/>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Z7003126000356，投资者可依据该编码在中国理财网www.chinawealth.com.cn查询产品信息。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A份额：苏银理财恒源封闭债权366期13月A/J26421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B份额：苏银理财恒源封闭债权366期13月B/J26422</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C份额：苏银理财恒源封闭债权366期13月C/J26423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D份额：苏银理财恒源封闭债权366期13月D/J26424</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E份额：苏银理财恒源封闭债权366期13月E/J26425</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F份额：苏银理财恒源封闭债权366期13月F/J26426</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G份额：苏银理财恒源封闭债权366期13月G/J26427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I份额：苏银理财恒源封闭债权366期13月I/J26429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J份额：苏银理财恒源封闭债权366期13月J/J26430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K份额：苏银理财恒源封闭债权366期13月K（新客专属）/J26431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M份额：苏银理财恒源封闭债权366期13月M/J26432</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N份额：苏银理财恒源封闭债权366期13月N/J26433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O份额：苏银理财恒源封闭债权366期13月O/J26434</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P份额：苏银理财恒源封闭债权366期13月P/J26435</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Q份额：苏银理财恒源封闭债权366期13月Q/J26436</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R份额：苏银理财恒源封闭债权366期13月R/J26437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S份额：苏银理财恒源封闭债权366期13月S/J26438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U份额：苏银理财恒源封闭债权366期13月U/J26439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V份额：苏银理财恒源封闭债权366期13月V/J26440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W份额：苏银理财恒源封闭债权366期13月W/J26441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JS份额：苏银理财恒源封闭债权366期13月JS鑫福款/J26443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芙蓉锦程·优选份额：苏银理财恒源封闭债权366期13月（芙蓉锦程·优选）/J26445</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Z份额：苏银理财恒源封闭债权366期13月Z/J26446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A份额：面向个人和机构投资者销售；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D份额：面向个人和机构投资者销售；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F份额：面向个人和机构投资者销售；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G份额：面向个人和机构投资者销售；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I份额：面向个人和机构投资者销售；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K份额：面向个人和机构投资者销售；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M份额：面向个人和机构投资者销售；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N份额：面向个人和机构投资者销售；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O份额：面向个人和机构投资者销售；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P份额：面向个人和机构投资者销售；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Q份额：面向个人和机构投资者销售；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R份额：面向个人和机构投资者销售；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S份额：面向个人和机构投资者销售；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U份额：面向个人和机构投资者销售；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V份额：面向个人和机构投资者销售；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JS份额：面向个人和机构投资者销售；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芙蓉锦程·优选份额：面向个人和机构投资者销售；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Z份额：面向个人和机构投资者销售。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E份额：300,000元/10,000元的整数倍；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O份额：1元/1元的整数倍；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R份额：1元/1元的整数倍；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V份额：1元/1元的整数倍；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芙蓉锦程·优选份额：1元/1元的整数倍；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Z份额：1元/1元的整数倍。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2026年8月12日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2026年8月18日</w:t>
            </w:r>
            <w:r>
              <w:rPr>
                <w:rFonts w:hint="eastAsia" w:ascii="楷体" w:hAnsi="楷体" w:eastAsia="楷体" w:cs="宋体"/>
                <w:spacing w:val="-2"/>
                <w:sz w:val="18"/>
                <w:szCs w:val="18"/>
                <w:highlight w:val="none"/>
              </w:rPr>
              <w:t>。</w:t>
            </w:r>
          </w:p>
          <w:p>
            <w:pPr>
              <w:pStyle w:val="37"/>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2026年8月19日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2027年9月14日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391天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1.管理人参考过往投资经验，依据近期货币市场工具、债券、非标准化债权资产投资收益水平，在产品说明书约定的投资范围和投资比例内，综合考虑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2.35%-2.75%；B份额：2.35%-2.75%；C份额：2.45%-2.85%；D份额：2.45%-2.85%；E份额：2.45%-2.85%；F份额：2.40%-2.80%；G份额：2.30%-2.70%；I份额：2.35%-2.75%；J份额：2.30%-2.70%；K份额：2.55%-2.95%；M份额：2.25%-2.65%；N份额：2.35%-2.75%；O份额：2.37%-2.77%；P份额：2.45%-2.85%；Q份额：2.55%-2.95%；R份额：2.60%-3.00%；S份额：2.40%-2.80%；U份额：2.50%-2.90%；V份额：2.45%-2.85%；W份额：2.35%-2.75%；JS份额：2.35%-2.75%；芙蓉锦程·优选份额：2.55%-2.95%；Z份额：2.35%-2.75%。</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本产品费用包括托管费、销售服务费、投资管理费、超额业绩报酬（如有）以及产品运作和清算中产生的其他费用等。</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rPr>
              <w:t>1.托管费率（年化）：</w:t>
            </w:r>
            <w:r>
              <w:rPr>
                <w:rFonts w:hint="eastAsia" w:ascii="楷体" w:hAnsi="楷体" w:eastAsia="楷体" w:cs="宋体"/>
                <w:spacing w:val="-2"/>
                <w:sz w:val="18"/>
                <w:szCs w:val="18"/>
                <w:highlight w:val="none"/>
                <w:lang w:val="en-US" w:eastAsia="zh-CN"/>
              </w:rPr>
              <w:t>0.02%</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2.销售服务费率（年化）：A份额：0.20%；B份额：0.30%；C份额：0.20%；D份额：0.20%；E份额：0.20%；F份额：0.20%；G份额：0.30%；I份额：0.15%；J份额：0.20%；K份额：0.10%；M份额：0.35%；N份额：0.25%；O份额：0.30%；P份额：0.15%；Q份额：0.10%；R份额：0.05%；S份额：0.15%；U份额：0.20%；V份额：0.15%；W份额：0.20%；JS份额：0.20%；芙蓉锦程·优选份额：0.15%；Z份额：0.20%。其中D/K/M份额采用一次性提取模式，其他份额采用每日计提模式</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3.投资管理费率（年化）：A份额：0.20%；B份额：0.10%；C份额：0.10%；D份额：0.10%；E份额：0.10%；F份额：0.15%；G份额：0.15%；I份额：0.25%；J份额：0.25%；K份额：0.10%；M份额：0.15%；N份额：0.15%；O份额：0.08%；P份额：0.15%；Q份额：0.10%；R份额：0.10%；S份额：0.20%；U份额：0.05%；V份额：0.15%；W份额：0.20%；JS份额：0.20%；芙蓉锦程·优选份额：0.05%；Z份额：0.20%</w:t>
            </w:r>
          </w:p>
          <w:p>
            <w:pPr>
              <w:keepNext w:val="0"/>
              <w:keepLines w:val="0"/>
              <w:pageBreakBefore w:val="0"/>
              <w:bidi w:val="0"/>
              <w:spacing w:line="0" w:lineRule="atLeast"/>
              <w:ind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rPr>
              <w:t>4.超额业绩报酬</w:t>
            </w:r>
            <w:r>
              <w:rPr>
                <w:rFonts w:hint="eastAsia" w:ascii="楷体" w:hAnsi="楷体" w:eastAsia="楷体" w:cs="宋体"/>
                <w:color w:val="auto"/>
                <w:spacing w:val="-2"/>
                <w:sz w:val="18"/>
                <w:szCs w:val="18"/>
                <w:highlight w:val="none"/>
                <w:lang w:eastAsia="zh-CN"/>
              </w:rPr>
              <w:t>（</w:t>
            </w:r>
            <w:r>
              <w:rPr>
                <w:rFonts w:hint="eastAsia" w:ascii="楷体" w:hAnsi="楷体" w:eastAsia="楷体" w:cs="宋体"/>
                <w:color w:val="auto"/>
                <w:spacing w:val="-2"/>
                <w:sz w:val="18"/>
                <w:szCs w:val="18"/>
                <w:highlight w:val="none"/>
                <w:lang w:val="en-US" w:eastAsia="zh-CN"/>
              </w:rPr>
              <w:t>如有）</w:t>
            </w:r>
            <w:r>
              <w:rPr>
                <w:rFonts w:hint="eastAsia" w:ascii="楷体" w:hAnsi="楷体" w:eastAsia="楷体" w:cs="宋体"/>
                <w:color w:val="auto"/>
                <w:spacing w:val="-2"/>
                <w:sz w:val="18"/>
                <w:szCs w:val="18"/>
                <w:highlight w:val="none"/>
              </w:rPr>
              <w:t>：</w:t>
            </w:r>
            <w:r>
              <w:rPr>
                <w:rFonts w:hint="eastAsia" w:ascii="楷体" w:hAnsi="楷体" w:eastAsia="楷体" w:cs="宋体"/>
                <w:color w:val="auto"/>
                <w:spacing w:val="-2"/>
                <w:sz w:val="18"/>
                <w:szCs w:val="18"/>
              </w:rPr>
              <w:t>若产品各份额实际投资收益在扣除托管费、销售服务费、投资管理费等费用后超过各份额业绩比较基准下限，产品管理人将按照超出部分的50%收取超额业绩报酬。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color w:val="auto"/>
                <w:spacing w:val="-2"/>
                <w:sz w:val="18"/>
                <w:szCs w:val="18"/>
                <w:lang w:val="en-US" w:eastAsia="zh-CN"/>
              </w:rPr>
              <w:t>收取</w:t>
            </w:r>
            <w:r>
              <w:rPr>
                <w:rFonts w:hint="eastAsia" w:ascii="楷体" w:hAnsi="楷体" w:eastAsia="楷体" w:cs="宋体"/>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cs="Times New Roman"/>
          <w:b/>
          <w:color w:val="auto"/>
          <w:sz w:val="21"/>
          <w:szCs w:val="21"/>
          <w:highlight w:val="none"/>
          <w:lang w:val="en-US" w:eastAsia="zh-CN"/>
        </w:rPr>
      </w:pPr>
      <w:r>
        <w:rPr>
          <w:rFonts w:hint="eastAsia" w:ascii="楷体" w:hAnsi="楷体" w:eastAsia="楷体" w:cs="Times New Roman"/>
          <w:b/>
          <w:color w:val="auto"/>
          <w:sz w:val="21"/>
          <w:szCs w:val="21"/>
          <w:highlight w:val="none"/>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中国工商银行股份有限公司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A份额：江苏常熟农村商业银行股份有限公司/江苏高淳农村商业银行股份有限公司/江苏姜堰农村商业银行股份有限公司/江苏银行股份有限公司/徽商银行股份有限公司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B份额：东莞农村商业银行股份有限公司/晋商银行股份有限公司/齐鲁银行股份有限公司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C份额：江苏银行股份有限公司/宁夏银行股份有限公司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宁波东海银行股份有限公司/武汉农村商业银行股份有限公司/浙江安吉农村商业银行股份有限公司/浙江德清农村商业银行股份有限公司/浙江禾城农村商业银行股份有限公司/浙江嘉善农村商业银行股份有限公司/浙江江山农村商业银行股份有限公司/浙江南浔农村商业银行股份有限公司/浙江平湖农村商业银行股份有限公司/浙江绍兴恒信农村商业银行股份有限公司/浙江绍兴瑞丰农村商业银行股份有限公司/浙江松阳农村商业银行股份有限公司/浙江桐乡农村商业银行股份有限公司/浙江温州瓯海农村商业银行股份有限公司/浙江义乌农村商业银行股份有限公司/浙江舟山定海海洋农村商业银行股份有限公司/浙江诸暨农村商业银行股份有限公司/浙江岱山农村商业银行股份有限公司/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E份额：江苏常熟农村商业银行股份有限公司/江苏宜兴农村商业银行股份有限公司/江苏银行股份有限公司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东营银行股份有限公司/广东华润银行股份有限公司/广州银行股份有限公司/江苏苏州农村商业银行股份有限公司/莱商银行股份有限公司/齐鲁银行股份有限公司/秦皇岛银行股份有限公司/青岛银行股份有限公司/上海银行股份有限公司/威海银行股份有限公司/郑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G份额：北京农村商业银行股份有限公司/江苏常熟农村商业银行股份有限公司/江苏苏州农村商业银行股份有限公司/山西银行股份有限公司/上海农村商业银行股份有限公司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浙江富阳农村商业银行股份有限公司/浙江杭州余杭农村商业银行股份有限公司/浙江建德农村商业银行股份有限公司/浙江临安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苏银理财有限责任公司/浙江富阳农村商业银行股份有限公司/浙江杭州余杭农村商业银行股份有限公司/浙江建德农村商业银行股份有限公司/浙江临安农村商业银行股份有限公司/浙江绍兴恒信农村商业银行股份有限公司/浙江绍兴瑞丰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N份额：青岛银行股份有限公司/兴业银行股份有限公司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O份额：东莞农村商业银行股份有限公司/湖北银行股份有限公司/九江银行股份有限公司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P份额：东营银行股份有限公司/齐鲁银行股份有限公司/上海银行股份有限公司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Q份额：广西北部湾银行股份有限公司/湖州吴兴农村商业银行股份有限公司/莱商银行股份有限公司/齐鲁银行股份有限公司/青岛银行股份有限公司/日照银行股份有限公司/苏银理财有限责任公司/泰安银行股份有限公司/浙江安吉农村商业银行股份有限公司/浙江苍南农村商业银行股份有限公司/浙江长兴农村商业银行股份有限公司/浙江淳安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绍兴瑞丰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R份额：潍坊银行股份有限公司/浙江淳安农村商业银行股份有限公司/浙江海宁农村商业银行股份有限公司/浙江嘉善农村商业银行股份有限公司/浙江青田农村商业银行股份有限公司/浙江永康农村商业银行股份有限公司/浙江岱山农村商业银行股份有限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S份额：湖州吴兴农村商业银行股份有限公司/浙江安吉农村商业银行股份有限公司/浙江苍南农村商业银行股份有限公司/浙江长兴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ind w:firstLine="420" w:firstLineChars="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U份额：嘉兴银行股份有限公司</w:t>
      </w:r>
    </w:p>
    <w:p>
      <w:pPr>
        <w:ind w:firstLine="420" w:firstLineChars="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V份额：齐鲁银行股份有限公司</w:t>
      </w:r>
    </w:p>
    <w:p>
      <w:pPr>
        <w:ind w:firstLine="420" w:firstLineChars="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W份额：浙江绍兴瑞丰农村商业银行股份有限公司/苏银理财有限责任公司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S份额：江苏常熟农村商业银行股份有限公司/江苏大丰农村商业银行股份有限公司/江苏东海农村商业银行股份有限公司/江苏东台农村商业银行股份有限公司/江苏丰县农村商业银行股份有限公司/江苏阜宁农村商业银行股份有限公司/江苏赣榆农村商业银行股份有限公司/江苏高淳农村商业银行股份有限公司/江苏高邮农村商业银行股份有限公司/江苏灌南农村商业银行股份有限公司/江苏灌云农村商业银行股份有限公司/江苏海安农村商业银行股份有限公司/江苏海门农村商业银行股份有限公司/江苏淮安农村商业银行股份有限公司/江苏建湖农村商业银行股份有限公司/江苏姜堰农村商业银行股份有限公司/江苏江都农村商业银行股份有限公司/江苏金湖农村商业银行股份有限公司/江苏靖江农村商业银行股份有限公司/江苏句容农村商业银行股份有限公司/江苏民丰农村商业银行股份有限公司/江苏沛县农村商业银行股份有限公司/江苏启东农村商业银行股份有限公司/江苏如东农村商业银行股份有限公司/江苏如皋农村商业银行股份有限公司/江苏射阳农村商业银行股份有限公司/江苏苏州农村商业银行股份有限公司/江苏泰兴农村商业银行股份有限公司/江苏太仓农村商业银行股份有限公司/江苏响水农村商业银行股份有限公司/江苏新沂农村商业银行股份有限公司/江苏盐城农村商业银行股份有限公司/江苏扬中农村商业银行股份有限公司/江苏扬州农村商业银行股份有限公司/江苏仪征农村商业银行股份有限公司/江苏宜兴农村商业银行股份有限公司/江苏张家港农村商业银行股份有限公司/江苏镇江农村商业银行股份有限公司/江苏紫金农村商业银行股份有限公司/江苏邳州农村商业银行股份有限公司/江苏沭阳农村商业银行股份有限公司/江苏泗洪农村商业银行股份有限公司/江苏泗阳农村商业银行股份有限公司/江苏溧水农村商业银行股份有限公司/江苏睢宁农村商业银行股份有限公司/连云港东方农村商业银行股份有限公司/徐州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default" w:ascii="楷体" w:hAnsi="楷体" w:eastAsia="楷体" w:cs="宋体"/>
          <w:b w:val="0"/>
          <w:bCs w:val="0"/>
          <w:sz w:val="21"/>
          <w:szCs w:val="21"/>
          <w:highlight w:val="none"/>
          <w:u w:val="none"/>
          <w:lang w:val="en-US" w:eastAsia="zh-CN" w:bidi="ar-SA"/>
        </w:rPr>
        <w:t>芙蓉锦程·优选</w:t>
      </w:r>
      <w:r>
        <w:rPr>
          <w:rFonts w:hint="eastAsia" w:ascii="楷体" w:hAnsi="楷体" w:eastAsia="楷体" w:cs="宋体"/>
          <w:b w:val="0"/>
          <w:bCs w:val="0"/>
          <w:sz w:val="21"/>
          <w:szCs w:val="21"/>
          <w:highlight w:val="none"/>
          <w:u w:val="none"/>
          <w:lang w:val="en-US" w:eastAsia="zh-CN" w:bidi="ar-SA"/>
        </w:rPr>
        <w:t>份额：成都银行股份有限公司</w:t>
      </w:r>
    </w:p>
    <w:p>
      <w:pPr>
        <w:ind w:firstLine="420" w:firstLineChars="0"/>
        <w:rPr>
          <w:rFonts w:hint="default"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Z份额：郑州银行股份有限公司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投资管理费、超额业绩报酬、其他费用等）、应付税金及其他应付款项等。</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9"/>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9"/>
        </w:numPr>
        <w:tabs>
          <w:tab w:val="left" w:pos="993"/>
        </w:tabs>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拟投资</w:t>
      </w:r>
      <w:r>
        <w:rPr>
          <w:rFonts w:hint="eastAsia" w:ascii="楷体" w:hAnsi="楷体" w:eastAsia="楷体" w:cs="Calibri"/>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bCs/>
          <w:sz w:val="21"/>
          <w:szCs w:val="21"/>
          <w:highlight w:val="yellow"/>
          <w:u w:val="single"/>
          <w:lang w:val="en-US" w:eastAsia="zh-CN" w:bidi="ar-SA"/>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numPr>
          <w:ilvl w:val="0"/>
          <w:numId w:val="9"/>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①江苏省国际信托有限责任公司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②</w:t>
      </w:r>
      <w:r>
        <w:rPr>
          <w:rFonts w:hint="eastAsia" w:ascii="楷体" w:hAnsi="楷体" w:eastAsia="楷体" w:cs="楷体"/>
          <w:sz w:val="21"/>
          <w:szCs w:val="21"/>
        </w:rPr>
        <w:t>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③华鑫国际信托有限公司</w:t>
      </w:r>
      <w:r>
        <w:rPr>
          <w:rFonts w:hint="eastAsia" w:ascii="楷体" w:hAnsi="楷体" w:eastAsia="楷体" w:cs="楷体"/>
          <w:sz w:val="21"/>
          <w:szCs w:val="21"/>
          <w:lang w:eastAsia="zh-CN"/>
        </w:rPr>
        <w:t>：</w:t>
      </w:r>
      <w:r>
        <w:rPr>
          <w:rFonts w:hint="eastAsia" w:ascii="楷体" w:hAnsi="楷体" w:eastAsia="楷体" w:cs="楷体"/>
          <w:sz w:val="21"/>
          <w:szCs w:val="21"/>
        </w:rPr>
        <w:t>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④中国国际金融股份有限公司</w:t>
      </w:r>
      <w:r>
        <w:rPr>
          <w:rFonts w:hint="eastAsia" w:ascii="楷体" w:hAnsi="楷体" w:eastAsia="楷体" w:cs="楷体"/>
          <w:sz w:val="21"/>
          <w:szCs w:val="21"/>
          <w:lang w:eastAsia="zh-CN"/>
        </w:rPr>
        <w:t>：</w:t>
      </w:r>
      <w:r>
        <w:rPr>
          <w:rFonts w:hint="eastAsia" w:ascii="楷体" w:hAnsi="楷体" w:eastAsia="楷体" w:cs="楷体"/>
          <w:sz w:val="21"/>
          <w:szCs w:val="21"/>
        </w:rPr>
        <w:t>中国国际金融股份有限公司于1995年7月31日成立，实际控制人为中央汇金投资有限责任公司，注册资本4,827,256,868元。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⑤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⑥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rPr>
          <w:rFonts w:hint="eastAsia"/>
          <w:lang w:eastAsia="zh-CN"/>
        </w:rPr>
      </w:pPr>
      <w:r>
        <w:rPr>
          <w:rFonts w:hint="eastAsia" w:ascii="楷体" w:hAnsi="楷体" w:eastAsia="楷体" w:cs="楷体"/>
          <w:sz w:val="21"/>
          <w:szCs w:val="21"/>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r>
        <w:rPr>
          <w:rFonts w:hint="default" w:ascii="Calibri" w:hAnsi="Calibri" w:eastAsia="楷体" w:cs="Calibri"/>
          <w:b w:val="0"/>
          <w:bCs w:val="0"/>
          <w:sz w:val="21"/>
          <w:szCs w:val="21"/>
        </w:rPr>
        <w:t>。</w:t>
      </w:r>
    </w:p>
    <w:p>
      <w:pPr>
        <w:numPr>
          <w:ilvl w:val="0"/>
          <w:numId w:val="9"/>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1.本理财产品投资于单只证券或单只公募证券投资基金的市值不超过本产品净资产的10%。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（五）投资管理调整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11"/>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12"/>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4"/>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p>
      <w:pPr>
        <w:ind w:firstLine="420"/>
        <w:jc w:val="left"/>
        <w:rPr>
          <w:rFonts w:ascii="楷体" w:hAnsi="楷体" w:eastAsia="楷体"/>
        </w:rPr>
      </w:pPr>
      <w:bookmarkStart w:id="0" w:name="_GoBack"/>
      <w:bookmarkEnd w:id="0"/>
    </w:p>
    <w:p>
      <w:pPr>
        <w:ind w:firstLine="420"/>
        <w:jc w:val="left"/>
        <w:rPr>
          <w:rFonts w:ascii="楷体" w:hAnsi="楷体" w:eastAsia="楷体"/>
          <w:kern w:val="0"/>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bidi w:val="0"/>
        <w:spacing w:before="157" w:after="157" w:line="310" w:lineRule="exact"/>
        <w:jc w:val="center"/>
        <w:rPr>
          <w:rFonts w:hint="eastAsia" w:ascii="楷体" w:hAnsi="楷体" w:eastAsia="楷体"/>
          <w:b/>
          <w:kern w:val="0"/>
          <w:szCs w:val="28"/>
        </w:rPr>
      </w:pPr>
      <w:r>
        <w:rPr>
          <w:rFonts w:hint="eastAsia" w:ascii="楷体" w:hAnsi="楷体" w:eastAsia="楷体"/>
          <w:b/>
          <w:kern w:val="0"/>
          <w:szCs w:val="28"/>
        </w:rPr>
        <w:t>苏银理财有限责任公司理财产品投资协议书</w:t>
      </w:r>
    </w:p>
    <w:p>
      <w:pPr>
        <w:keepNext w:val="0"/>
        <w:keepLines w:val="0"/>
        <w:pageBreakBefore w:val="0"/>
        <w:bidi w:val="0"/>
        <w:spacing w:line="310" w:lineRule="exact"/>
        <w:jc w:val="center"/>
        <w:rPr>
          <w:rFonts w:hint="eastAsia" w:ascii="楷体" w:hAnsi="楷体" w:eastAsia="楷体"/>
          <w:b/>
          <w:kern w:val="0"/>
          <w:szCs w:val="28"/>
        </w:rPr>
      </w:pPr>
      <w:r>
        <w:rPr>
          <w:rFonts w:hint="eastAsia" w:ascii="楷体" w:hAnsi="楷体" w:eastAsia="楷体"/>
          <w:b/>
          <w:kern w:val="0"/>
          <w:sz w:val="24"/>
          <w:szCs w:val="24"/>
        </w:rPr>
        <w:t>理财非存款、产品有风险、投资须谨慎</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经甲方（投资者）与乙方（苏银理财有限责任公司，以下简称“苏银理财”）协商一致，就甲方向乙方购买理财产品，达成协议如下：</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一、重要声明</w:t>
      </w:r>
    </w:p>
    <w:p>
      <w:pPr>
        <w:keepNext w:val="0"/>
        <w:keepLines w:val="0"/>
        <w:pageBreakBefore w:val="0"/>
        <w:bidi w:val="0"/>
        <w:spacing w:line="310" w:lineRule="exact"/>
        <w:ind w:firstLine="420"/>
        <w:rPr>
          <w:rFonts w:hint="eastAsia" w:ascii="楷体" w:hAnsi="楷体" w:eastAsia="楷体"/>
          <w:b/>
          <w:kern w:val="0"/>
          <w:sz w:val="21"/>
          <w:szCs w:val="21"/>
          <w:u w:val="single"/>
        </w:rPr>
      </w:pPr>
      <w:r>
        <w:rPr>
          <w:rFonts w:hint="eastAsia" w:ascii="楷体" w:hAnsi="楷体" w:eastAsia="楷体"/>
          <w:kern w:val="0"/>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0"/>
          <w:sz w:val="21"/>
          <w:szCs w:val="21"/>
          <w:u w:val="single"/>
        </w:rPr>
        <w:t>本理财产品不保证本金和收益。受各种市场波动因素影响，本理财产品可能存在包括但不限于政策风险、信用风险、市场风险、流动性风险、管理风险、操作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二、甲方的权利义务</w:t>
      </w:r>
    </w:p>
    <w:p>
      <w:pPr>
        <w:keepNext w:val="0"/>
        <w:keepLines w:val="0"/>
        <w:pageBreakBefore w:val="0"/>
        <w:numPr>
          <w:ilvl w:val="0"/>
          <w:numId w:val="0"/>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（一）甲方的权利：</w:t>
      </w:r>
      <w:r>
        <w:rPr>
          <w:rFonts w:hint="eastAsia" w:ascii="楷体" w:hAnsi="楷体" w:eastAsia="楷体" w:cs="Times New Roman"/>
          <w:kern w:val="0"/>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19"/>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甲方的义务：</w:t>
      </w:r>
      <w:r>
        <w:rPr>
          <w:rFonts w:hint="eastAsia" w:ascii="楷体" w:hAnsi="楷体" w:eastAsia="楷体" w:cs="Times New Roman"/>
          <w:kern w:val="0"/>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三、乙方的权利义务</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（一）乙方的权利：</w:t>
      </w:r>
      <w:r>
        <w:rPr>
          <w:rFonts w:hint="eastAsia" w:ascii="楷体" w:hAnsi="楷体" w:eastAsia="楷体"/>
          <w:kern w:val="0"/>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bidi w:val="0"/>
        <w:spacing w:line="310" w:lineRule="exact"/>
        <w:ind w:left="0" w:firstLine="527"/>
        <w:jc w:val="left"/>
        <w:rPr>
          <w:rFonts w:ascii="楷体" w:hAnsi="楷体" w:eastAsia="楷体"/>
          <w:kern w:val="0"/>
          <w:sz w:val="21"/>
          <w:szCs w:val="21"/>
        </w:rPr>
      </w:pPr>
      <w:r>
        <w:rPr>
          <w:rFonts w:hint="eastAsia" w:ascii="楷体" w:hAnsi="楷体" w:eastAsia="楷体"/>
          <w:b/>
          <w:kern w:val="0"/>
          <w:sz w:val="21"/>
          <w:szCs w:val="21"/>
        </w:rPr>
        <w:t>（二）乙方的义务：</w:t>
      </w:r>
      <w:r>
        <w:rPr>
          <w:rFonts w:hint="eastAsia" w:ascii="楷体" w:hAnsi="楷体" w:eastAsia="楷体"/>
          <w:kern w:val="0"/>
          <w:sz w:val="21"/>
          <w:szCs w:val="21"/>
        </w:rPr>
        <w:t>遵守法律法规和理财产品合同的约定；</w:t>
      </w:r>
      <w:r>
        <w:rPr>
          <w:rFonts w:hint="eastAsia" w:ascii="楷体" w:hAnsi="楷体" w:eastAsia="楷体" w:cs="Times New Roman"/>
          <w:kern w:val="0"/>
          <w:sz w:val="21"/>
          <w:szCs w:val="21"/>
        </w:rPr>
        <w:t>恪尽职守，依照诚实信用、勤勉尽责的原则，谨慎、有效管理和运用理财资产；</w:t>
      </w:r>
      <w:r>
        <w:rPr>
          <w:rFonts w:hint="eastAsia" w:ascii="楷体" w:hAnsi="楷体" w:eastAsia="楷体"/>
          <w:kern w:val="0"/>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0"/>
          <w:sz w:val="21"/>
          <w:szCs w:val="21"/>
        </w:rPr>
        <w:t>约定</w:t>
      </w:r>
      <w:r>
        <w:rPr>
          <w:rFonts w:hint="eastAsia" w:ascii="楷体" w:hAnsi="楷体" w:eastAsia="楷体"/>
          <w:kern w:val="0"/>
          <w:sz w:val="21"/>
          <w:szCs w:val="21"/>
        </w:rPr>
        <w:t>制订理财收益分配方案并向本理财产品的理财份额持有人分配理财收益</w:t>
      </w:r>
      <w:r>
        <w:rPr>
          <w:rFonts w:hint="eastAsia" w:ascii="楷体" w:hAnsi="楷体" w:eastAsia="楷体" w:cs="Times New Roman"/>
          <w:kern w:val="0"/>
          <w:sz w:val="21"/>
          <w:szCs w:val="21"/>
        </w:rPr>
        <w:t>（如有）</w:t>
      </w:r>
      <w:r>
        <w:rPr>
          <w:rFonts w:hint="eastAsia" w:ascii="楷体" w:hAnsi="楷体" w:eastAsia="楷体"/>
          <w:kern w:val="0"/>
          <w:sz w:val="21"/>
          <w:szCs w:val="21"/>
        </w:rPr>
        <w:t>；不从事任何有损本理财产品其他当事人合法权益的活动；法律法规、理财产品合同规定的其它义务。</w:t>
      </w:r>
    </w:p>
    <w:p>
      <w:pPr>
        <w:keepNext w:val="0"/>
        <w:keepLines w:val="0"/>
        <w:pageBreakBefore w:val="0"/>
        <w:bidi w:val="0"/>
        <w:spacing w:line="310" w:lineRule="exact"/>
        <w:ind w:firstLine="422"/>
        <w:rPr>
          <w:rFonts w:ascii="楷体" w:hAnsi="楷体" w:eastAsia="楷体"/>
          <w:b/>
          <w:kern w:val="0"/>
          <w:sz w:val="21"/>
          <w:szCs w:val="21"/>
        </w:rPr>
      </w:pPr>
      <w:r>
        <w:rPr>
          <w:rFonts w:hint="eastAsia" w:ascii="楷体" w:hAnsi="楷体" w:eastAsia="楷体"/>
          <w:b/>
          <w:kern w:val="0"/>
          <w:sz w:val="21"/>
          <w:szCs w:val="21"/>
        </w:rPr>
        <w:t>四、</w:t>
      </w:r>
      <w:r>
        <w:rPr>
          <w:rFonts w:ascii="楷体" w:hAnsi="楷体" w:eastAsia="楷体"/>
          <w:b/>
          <w:kern w:val="0"/>
          <w:sz w:val="21"/>
          <w:szCs w:val="21"/>
        </w:rPr>
        <w:t>违约责任</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2. 双方同意，发生下列情况造成损失时，按以下约定承担责任</w:t>
      </w:r>
      <w:r>
        <w:rPr>
          <w:rFonts w:hint="eastAsia" w:ascii="楷体" w:hAnsi="楷体" w:eastAsia="楷体"/>
          <w:kern w:val="0"/>
          <w:sz w:val="21"/>
          <w:szCs w:val="21"/>
        </w:rPr>
        <w:t>：</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（2）</w:t>
      </w:r>
      <w:r>
        <w:rPr>
          <w:rFonts w:hint="eastAsia" w:ascii="楷体" w:hAnsi="楷体" w:eastAsia="楷体"/>
          <w:b/>
          <w:kern w:val="0"/>
          <w:sz w:val="21"/>
          <w:szCs w:val="21"/>
        </w:rPr>
        <w:t>如甲方违反本协议约定，或本产品甲方所涉及的资金被有权机关全部或部分冻结或者扣划</w:t>
      </w:r>
      <w:r>
        <w:rPr>
          <w:rFonts w:hint="eastAsia" w:ascii="楷体" w:hAnsi="楷体" w:eastAsia="楷体" w:cs="Times New Roman"/>
          <w:b/>
          <w:kern w:val="0"/>
          <w:sz w:val="21"/>
          <w:szCs w:val="21"/>
        </w:rPr>
        <w:t>，或乙方发现或有合理理由怀疑甲方或其资金存在洗钱、恐怖融资、逃税等嫌疑，乙方有权</w:t>
      </w:r>
      <w:r>
        <w:rPr>
          <w:rFonts w:hint="eastAsia" w:ascii="楷体" w:hAnsi="楷体" w:eastAsia="楷体"/>
          <w:b/>
          <w:kern w:val="0"/>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五、免责条款</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2. 由于国家的有关法律、法规、规章、政策的改变、紧急措施的出台而导致的风险，乙方不承担责任。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3. 乙方依照恪尽职守、诚实信用、谨慎勤勉的原则管理和运用理财产品财产，</w:t>
      </w:r>
      <w:r>
        <w:rPr>
          <w:rFonts w:hint="eastAsia" w:ascii="楷体" w:hAnsi="楷体" w:eastAsia="楷体"/>
          <w:b/>
          <w:bCs/>
          <w:kern w:val="0"/>
          <w:sz w:val="21"/>
          <w:szCs w:val="21"/>
        </w:rPr>
        <w:t>但不保证理财产品财产中的认（申）购资金本金不受损失，也不保证一定盈利及最低收益。</w:t>
      </w:r>
      <w:r>
        <w:rPr>
          <w:rFonts w:hint="eastAsia" w:ascii="楷体" w:hAnsi="楷体" w:eastAsia="楷体"/>
          <w:kern w:val="0"/>
          <w:sz w:val="21"/>
          <w:szCs w:val="21"/>
        </w:rPr>
        <w:t>本理财产品运作过程中，乙方依据产品合同约定管理和运用理财产品财产所产生的风险，由理财产品财产及甲方承担。</w:t>
      </w:r>
      <w:r>
        <w:rPr>
          <w:rFonts w:hint="eastAsia" w:ascii="楷体" w:hAnsi="楷体" w:eastAsia="楷体"/>
          <w:b/>
          <w:bCs/>
          <w:kern w:val="0"/>
          <w:sz w:val="21"/>
          <w:szCs w:val="21"/>
        </w:rPr>
        <w:t>甲方应充分知晓投资运营的相关风险，具体风险详见风险揭示书及理财产品说明书的具体约定，其风险应由甲方自担</w:t>
      </w:r>
      <w:r>
        <w:rPr>
          <w:rFonts w:hint="eastAsia" w:ascii="楷体" w:hAnsi="楷体" w:eastAsia="楷体"/>
          <w:kern w:val="0"/>
          <w:sz w:val="21"/>
          <w:szCs w:val="21"/>
        </w:rPr>
        <w:t>。</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六、协议的生效、变更及终止</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kern w:val="0"/>
          <w:sz w:val="21"/>
          <w:szCs w:val="21"/>
        </w:rPr>
        <w:t>1.</w:t>
      </w:r>
      <w:r>
        <w:rPr>
          <w:rFonts w:hint="eastAsia" w:ascii="楷体" w:hAnsi="楷体" w:eastAsia="楷体" w:cs="Times New Roman"/>
          <w:kern w:val="0"/>
          <w:sz w:val="21"/>
          <w:szCs w:val="21"/>
        </w:rPr>
        <w:t>本协议自</w:t>
      </w:r>
      <w:r>
        <w:rPr>
          <w:rFonts w:hint="eastAsia" w:ascii="楷体" w:hAnsi="楷体" w:eastAsia="楷体"/>
          <w:kern w:val="0"/>
          <w:sz w:val="21"/>
          <w:szCs w:val="21"/>
        </w:rPr>
        <w:t>甲方</w:t>
      </w:r>
      <w:r>
        <w:rPr>
          <w:rFonts w:hint="eastAsia" w:ascii="楷体" w:hAnsi="楷体" w:eastAsia="楷体" w:cs="Times New Roman"/>
          <w:kern w:val="0"/>
          <w:sz w:val="21"/>
          <w:szCs w:val="21"/>
        </w:rPr>
        <w:t>成功缴纳全额认（申）购资金并经</w:t>
      </w:r>
      <w:r>
        <w:rPr>
          <w:rFonts w:hint="eastAsia" w:ascii="楷体" w:hAnsi="楷体" w:eastAsia="楷体"/>
          <w:kern w:val="0"/>
          <w:sz w:val="21"/>
          <w:szCs w:val="21"/>
        </w:rPr>
        <w:t>苏银</w:t>
      </w:r>
      <w:r>
        <w:rPr>
          <w:rFonts w:hint="eastAsia" w:ascii="楷体" w:hAnsi="楷体" w:eastAsia="楷体" w:cs="Times New Roman"/>
          <w:kern w:val="0"/>
          <w:sz w:val="21"/>
          <w:szCs w:val="21"/>
        </w:rPr>
        <w:t>理财系统确认购买份额后成立并生效。投资者在办理理财产品认（申）购交易后，需通过销售机构查询</w:t>
      </w:r>
      <w:r>
        <w:rPr>
          <w:rFonts w:hint="eastAsia" w:ascii="楷体" w:hAnsi="楷体" w:eastAsia="楷体"/>
          <w:kern w:val="0"/>
          <w:sz w:val="21"/>
          <w:szCs w:val="21"/>
        </w:rPr>
        <w:t>份额确认情况</w:t>
      </w:r>
      <w:r>
        <w:rPr>
          <w:rFonts w:hint="eastAsia" w:ascii="楷体" w:hAnsi="楷体" w:eastAsia="楷体" w:cs="Times New Roman"/>
          <w:kern w:val="0"/>
          <w:sz w:val="21"/>
          <w:szCs w:val="21"/>
        </w:rPr>
        <w:t>。</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2.本协议及理财产品合同项下各方权利义务履行完毕之日，本协议自动终止。</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七、本合同的订立、生效、履行、解释、修改和终止等事项均适用中华人民共和国（不包括香港特别行政区、澳门特别行政区和台湾地区）法律。</w:t>
      </w:r>
    </w:p>
    <w:p>
      <w:pPr>
        <w:keepNext w:val="0"/>
        <w:keepLines w:val="0"/>
        <w:pageBreakBefore w:val="0"/>
        <w:bidi w:val="0"/>
        <w:spacing w:line="310" w:lineRule="exact"/>
        <w:ind w:left="0" w:firstLine="420"/>
        <w:rPr>
          <w:rFonts w:hint="eastAsia" w:ascii="楷体" w:hAnsi="楷体" w:eastAsia="楷体"/>
          <w:kern w:val="0"/>
          <w:sz w:val="21"/>
          <w:szCs w:val="21"/>
        </w:rPr>
      </w:pPr>
      <w:r>
        <w:rPr>
          <w:rFonts w:hint="eastAsia" w:ascii="楷体" w:hAnsi="楷体" w:eastAsia="楷体"/>
          <w:kern w:val="0"/>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bidi w:val="0"/>
        <w:spacing w:line="310" w:lineRule="exact"/>
        <w:ind w:left="0" w:firstLine="420"/>
        <w:rPr>
          <w:rFonts w:hint="eastAsia" w:ascii="楷体" w:hAnsi="楷体" w:eastAsia="楷体"/>
          <w:kern w:val="0"/>
          <w:sz w:val="21"/>
          <w:szCs w:val="21"/>
        </w:rPr>
      </w:pPr>
      <w:r>
        <w:rPr>
          <w:rFonts w:ascii="楷体" w:hAnsi="楷体" w:eastAsia="楷体"/>
          <w:kern w:val="0"/>
          <w:sz w:val="21"/>
          <w:szCs w:val="21"/>
        </w:rPr>
        <w:t>甲方</w:t>
      </w:r>
      <w:r>
        <w:rPr>
          <w:rFonts w:hint="eastAsia" w:ascii="楷体" w:hAnsi="楷体" w:eastAsia="楷体"/>
          <w:kern w:val="0"/>
          <w:sz w:val="21"/>
          <w:szCs w:val="21"/>
        </w:rPr>
        <w:t xml:space="preserve">（个人客户签字）：      </w:t>
      </w:r>
      <w:r>
        <w:rPr>
          <w:rFonts w:ascii="楷体" w:hAnsi="楷体" w:eastAsia="楷体"/>
          <w:kern w:val="0"/>
          <w:sz w:val="21"/>
          <w:szCs w:val="21"/>
        </w:rPr>
        <w:t>甲方</w:t>
      </w:r>
      <w:r>
        <w:rPr>
          <w:rFonts w:hint="eastAsia" w:ascii="楷体" w:hAnsi="楷体" w:eastAsia="楷体"/>
          <w:kern w:val="0"/>
          <w:sz w:val="21"/>
          <w:szCs w:val="21"/>
        </w:rPr>
        <w:t>（机构客户盖章）：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r>
        <w:rPr>
          <w:rFonts w:hint="eastAsia" w:ascii="楷体" w:hAnsi="楷体" w:eastAsia="楷体"/>
          <w:kern w:val="0"/>
          <w:szCs w:val="21"/>
        </w:rPr>
        <w:t xml:space="preserve">                                    </w:t>
      </w:r>
      <w:r>
        <w:rPr>
          <w:rFonts w:hint="eastAsia" w:ascii="楷体" w:hAnsi="楷体" w:eastAsia="楷体"/>
          <w:kern w:val="0"/>
          <w:sz w:val="21"/>
          <w:szCs w:val="21"/>
        </w:rPr>
        <w:t>机构客户法定代表人或授权代表（签字或盖章）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ind w:firstLine="6090"/>
        <w:jc w:val="left"/>
        <w:rPr>
          <w:rFonts w:hint="eastAsia" w:ascii="楷体" w:hAnsi="楷体" w:eastAsia="楷体"/>
          <w:kern w:val="0"/>
          <w:sz w:val="21"/>
          <w:szCs w:val="21"/>
        </w:rPr>
      </w:pPr>
      <w:r>
        <w:rPr>
          <w:rFonts w:ascii="楷体" w:hAnsi="楷体" w:eastAsia="楷体"/>
          <w:kern w:val="0"/>
          <w:sz w:val="21"/>
          <w:szCs w:val="21"/>
        </w:rPr>
        <w:t>签署日期：</w:t>
      </w:r>
      <w:r>
        <w:rPr>
          <w:rFonts w:hint="eastAsia" w:ascii="楷体" w:hAnsi="楷体" w:eastAsia="楷体"/>
          <w:kern w:val="0"/>
          <w:sz w:val="21"/>
          <w:szCs w:val="21"/>
        </w:rPr>
        <w:t xml:space="preserve">      </w:t>
      </w:r>
      <w:r>
        <w:rPr>
          <w:rFonts w:ascii="楷体" w:hAnsi="楷体" w:eastAsia="楷体"/>
          <w:kern w:val="0"/>
          <w:sz w:val="21"/>
          <w:szCs w:val="21"/>
        </w:rPr>
        <w:t>年</w:t>
      </w:r>
      <w:r>
        <w:rPr>
          <w:rFonts w:hint="eastAsia" w:ascii="楷体" w:hAnsi="楷体" w:eastAsia="楷体"/>
          <w:kern w:val="0"/>
          <w:sz w:val="21"/>
          <w:szCs w:val="21"/>
        </w:rPr>
        <w:t xml:space="preserve">      </w:t>
      </w:r>
      <w:r>
        <w:rPr>
          <w:rFonts w:ascii="楷体" w:hAnsi="楷体" w:eastAsia="楷体"/>
          <w:kern w:val="0"/>
          <w:sz w:val="21"/>
          <w:szCs w:val="21"/>
        </w:rPr>
        <w:t>月</w:t>
      </w:r>
      <w:r>
        <w:rPr>
          <w:rFonts w:hint="eastAsia" w:ascii="楷体" w:hAnsi="楷体" w:eastAsia="楷体"/>
          <w:kern w:val="0"/>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21"/>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pict>
        <v:shape id="WordPictureWatermark1026" o:spid="_x0000_s4098" o:spt="75" type="#_x0000_t75" style="position:absolute;left:0pt;margin-left:-315.7pt;margin-top:-81.05pt;height:862.85pt;width:1137.35pt;mso-position-horizontal-relative:margin;mso-position-vertical-relative:margin;z-index:-251651072;mso-width-relative:page;mso-height-relative:page;" filled="f" o:preferrelative="t" stroked="f" coordsize="21600,21600" o:allowincell="f">
          <v:path/>
          <v:fill on="f" focussize="0,0"/>
          <v:stroke on="f" joinstyle="miter"/>
          <v:imagedata r:id="rId1" gain="19661f" blacklevel="22938f" o:title="苏银理财"/>
          <o:lock v:ext="edit" aspectratio="t"/>
        </v:shape>
      </w:pict>
    </w:r>
    <w:r>
      <w:pict>
        <v:shape id="图片 1" o:spid="_x0000_s4099" o:spt="75" alt="说明: 说明: C:\Users\JSYH\Desktop\苏银理财.png" type="#_x0000_t75" style="position:absolute;left:0pt;margin-left:390.95pt;margin-top:-7.5pt;height:33.45pt;width:104.35pt;mso-wrap-distance-bottom:0pt;mso-wrap-distance-left:9pt;mso-wrap-distance-right:9pt;mso-wrap-distance-top:0pt;z-index:251668480;mso-width-relative:page;mso-height-relative:page;" filled="f" o:preferrelative="t" stroked="f" coordsize="21600,21600">
          <v:path/>
          <v:fill on="f" focussize="0,0"/>
          <v:stroke on="f" joinstyle="miter"/>
          <v:imagedata r:id="rId2" o:title="苏银理财"/>
          <o:lock v:ext="edit" aspectratio="t"/>
          <w10:wrap type="square"/>
        </v:shape>
      </w:pict>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5" o:spid="_x0000_s4100" o:spt="75" type="#_x0000_t75" style="position:absolute;left:0pt;height:862.85pt;width:1137.3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7" o:spid="_x0000_s4097"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7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75"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173"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14444345" cy="10958195"/>
          <wp:effectExtent l="0" t="0" r="0" b="0"/>
          <wp:wrapNone/>
          <wp:docPr id="176"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82"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83"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181"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84"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53208E"/>
    <w:multiLevelType w:val="multilevel"/>
    <w:tmpl w:val="0053208E"/>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0248C179"/>
    <w:multiLevelType w:val="multilevel"/>
    <w:tmpl w:val="0248C179"/>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8EFEC30"/>
    <w:multiLevelType w:val="multilevel"/>
    <w:tmpl w:val="08EFEC30"/>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4D4DC07F"/>
    <w:multiLevelType w:val="multilevel"/>
    <w:tmpl w:val="4D4DC07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59ADCABA"/>
    <w:multiLevelType w:val="multilevel"/>
    <w:tmpl w:val="59ADCAB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A241D34"/>
    <w:multiLevelType w:val="multilevel"/>
    <w:tmpl w:val="5A241D3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258BB0E"/>
    <w:multiLevelType w:val="multilevel"/>
    <w:tmpl w:val="6258BB0E"/>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6">
    <w:nsid w:val="65352937"/>
    <w:multiLevelType w:val="multilevel"/>
    <w:tmpl w:val="65352937"/>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702F9460"/>
    <w:multiLevelType w:val="multilevel"/>
    <w:tmpl w:val="702F9460"/>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17"/>
  </w:num>
  <w:num w:numId="3">
    <w:abstractNumId w:val="16"/>
  </w:num>
  <w:num w:numId="4">
    <w:abstractNumId w:val="6"/>
  </w:num>
  <w:num w:numId="5">
    <w:abstractNumId w:val="4"/>
  </w:num>
  <w:num w:numId="6">
    <w:abstractNumId w:val="13"/>
  </w:num>
  <w:num w:numId="7">
    <w:abstractNumId w:val="2"/>
  </w:num>
  <w:num w:numId="8">
    <w:abstractNumId w:val="1"/>
  </w:num>
  <w:num w:numId="9">
    <w:abstractNumId w:val="8"/>
  </w:num>
  <w:num w:numId="10">
    <w:abstractNumId w:val="10"/>
  </w:num>
  <w:num w:numId="11">
    <w:abstractNumId w:val="18"/>
  </w:num>
  <w:num w:numId="12">
    <w:abstractNumId w:val="7"/>
  </w:num>
  <w:num w:numId="13">
    <w:abstractNumId w:val="0"/>
  </w:num>
  <w:num w:numId="14">
    <w:abstractNumId w:val="11"/>
  </w:num>
  <w:num w:numId="15">
    <w:abstractNumId w:val="14"/>
  </w:num>
  <w:num w:numId="16">
    <w:abstractNumId w:val="3"/>
  </w:num>
  <w:num w:numId="17">
    <w:abstractNumId w:val="12"/>
  </w:num>
  <w:num w:numId="18">
    <w:abstractNumId w:val="5"/>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NotTrackMove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8E92131"/>
    <w:rsid w:val="23340FC5"/>
    <w:rsid w:val="67D95B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宋体"/>
      <w:kern w:val="2"/>
      <w:sz w:val="28"/>
      <w:szCs w:val="22"/>
      <w:lang w:val="en-US" w:eastAsia="zh-CN" w:bidi="ar-SA"/>
    </w:rPr>
  </w:style>
  <w:style w:type="character" w:default="1" w:styleId="14">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autoSpaceDE w:val="0"/>
      <w:autoSpaceDN w:val="0"/>
      <w:adjustRightInd w:val="0"/>
      <w:spacing w:before="162"/>
      <w:ind w:left="120"/>
      <w:jc w:val="left"/>
    </w:pPr>
    <w:rPr>
      <w:rFonts w:ascii="宋体"/>
      <w:kern w:val="0"/>
      <w:sz w:val="20"/>
      <w:szCs w:val="21"/>
    </w:rPr>
  </w:style>
  <w:style w:type="paragraph" w:styleId="6">
    <w:name w:val="Date"/>
    <w:basedOn w:val="1"/>
    <w:next w:val="1"/>
    <w:unhideWhenUsed/>
    <w:qFormat/>
    <w:uiPriority w:val="99"/>
    <w:pPr>
      <w:ind w:left="100" w:leftChars="2500"/>
    </w:pPr>
  </w:style>
  <w:style w:type="paragraph" w:styleId="7">
    <w:name w:val="Balloon Text"/>
    <w:basedOn w:val="1"/>
    <w:unhideWhenUsed/>
    <w:qFormat/>
    <w:uiPriority w:val="99"/>
    <w:rPr>
      <w:kern w:val="0"/>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4"/>
    <w:next w:val="4"/>
    <w:unhideWhenUsed/>
    <w:qFormat/>
    <w:uiPriority w:val="99"/>
    <w:rPr>
      <w:b/>
      <w:bCs/>
    </w:rPr>
  </w:style>
  <w:style w:type="table" w:styleId="13">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rFonts w:ascii="Times New Roman" w:hAnsi="Times New Roman" w:eastAsia="宋体" w:cs="Times New Roman"/>
      <w:b/>
      <w:bCs/>
    </w:rPr>
  </w:style>
  <w:style w:type="character" w:styleId="16">
    <w:name w:val="Hyperlink"/>
    <w:unhideWhenUsed/>
    <w:qFormat/>
    <w:uiPriority w:val="99"/>
    <w:rPr>
      <w:rFonts w:ascii="Times New Roman" w:hAnsi="Times New Roman" w:eastAsia="宋体" w:cs="Times New Roman"/>
      <w:color w:val="0000FF"/>
      <w:u w:val="single"/>
    </w:rPr>
  </w:style>
  <w:style w:type="character" w:styleId="17">
    <w:name w:val="annotation reference"/>
    <w:unhideWhenUsed/>
    <w:qFormat/>
    <w:uiPriority w:val="99"/>
    <w:rPr>
      <w:rFonts w:ascii="Times New Roman" w:hAnsi="Times New Roman" w:eastAsia="宋体" w:cs="Times New Roman"/>
      <w:sz w:val="21"/>
      <w:szCs w:val="21"/>
    </w:rPr>
  </w:style>
  <w:style w:type="paragraph" w:customStyle="1" w:styleId="18">
    <w:name w:val="Heading 1"/>
    <w:basedOn w:val="1"/>
    <w:next w:val="1"/>
    <w:link w:val="41"/>
    <w:qFormat/>
    <w:uiPriority w:val="1"/>
    <w:pPr>
      <w:autoSpaceDE w:val="0"/>
      <w:autoSpaceDN w:val="0"/>
      <w:adjustRightInd w:val="0"/>
      <w:spacing w:before="17"/>
      <w:ind w:left="1144"/>
      <w:jc w:val="left"/>
      <w:outlineLvl w:val="0"/>
    </w:pPr>
    <w:rPr>
      <w:rFonts w:ascii="黑体" w:eastAsia="黑体"/>
      <w:b/>
      <w:bCs/>
      <w:kern w:val="0"/>
      <w:sz w:val="36"/>
      <w:szCs w:val="36"/>
    </w:rPr>
  </w:style>
  <w:style w:type="paragraph" w:customStyle="1" w:styleId="19">
    <w:name w:val="Heading 2"/>
    <w:basedOn w:val="1"/>
    <w:next w:val="1"/>
    <w:link w:val="42"/>
    <w:qFormat/>
    <w:uiPriority w:val="9"/>
    <w:pPr>
      <w:keepNext/>
      <w:keepLines/>
      <w:spacing w:before="260" w:after="260" w:line="416" w:lineRule="auto"/>
      <w:outlineLvl w:val="1"/>
    </w:pPr>
    <w:rPr>
      <w:rFonts w:ascii="Cambria" w:hAnsi="Cambria"/>
      <w:b/>
      <w:bCs/>
      <w:kern w:val="0"/>
      <w:sz w:val="32"/>
      <w:szCs w:val="32"/>
    </w:rPr>
  </w:style>
  <w:style w:type="paragraph" w:customStyle="1" w:styleId="20">
    <w:name w:val="Heading 3"/>
    <w:basedOn w:val="1"/>
    <w:next w:val="1"/>
    <w:link w:val="43"/>
    <w:qFormat/>
    <w:uiPriority w:val="1"/>
    <w:pPr>
      <w:autoSpaceDE w:val="0"/>
      <w:autoSpaceDN w:val="0"/>
      <w:adjustRightInd w:val="0"/>
      <w:spacing w:before="34"/>
      <w:ind w:left="120"/>
      <w:jc w:val="left"/>
      <w:outlineLvl w:val="2"/>
    </w:pPr>
    <w:rPr>
      <w:rFonts w:ascii="宋体"/>
      <w:b/>
      <w:bCs/>
      <w:kern w:val="0"/>
      <w:sz w:val="20"/>
      <w:szCs w:val="21"/>
    </w:rPr>
  </w:style>
  <w:style w:type="paragraph" w:customStyle="1" w:styleId="21">
    <w:name w:val="Footer"/>
    <w:basedOn w:val="1"/>
    <w:unhideWhenUsed/>
    <w:qFormat/>
    <w:uiPriority w:val="99"/>
    <w:pPr>
      <w:tabs>
        <w:tab w:val="center" w:pos="4153"/>
        <w:tab w:val="right" w:pos="8306"/>
      </w:tabs>
      <w:snapToGrid w:val="0"/>
      <w:jc w:val="left"/>
    </w:pPr>
    <w:rPr>
      <w:kern w:val="0"/>
      <w:sz w:val="18"/>
      <w:szCs w:val="18"/>
    </w:rPr>
  </w:style>
  <w:style w:type="paragraph" w:customStyle="1" w:styleId="2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23">
    <w:name w:val="Footnote Text"/>
    <w:basedOn w:val="1"/>
    <w:semiHidden/>
    <w:unhideWhenUsed/>
    <w:qFormat/>
    <w:uiPriority w:val="99"/>
    <w:pPr>
      <w:snapToGrid w:val="0"/>
      <w:jc w:val="left"/>
    </w:pPr>
    <w:rPr>
      <w:sz w:val="18"/>
      <w:szCs w:val="18"/>
    </w:rPr>
  </w:style>
  <w:style w:type="character" w:customStyle="1" w:styleId="24">
    <w:name w:val="Footnote Reference"/>
    <w:semiHidden/>
    <w:unhideWhenUsed/>
    <w:qFormat/>
    <w:uiPriority w:val="99"/>
    <w:rPr>
      <w:rFonts w:ascii="Times New Roman" w:hAnsi="Times New Roman" w:eastAsia="宋体" w:cs="Times New Roman"/>
      <w:vertAlign w:val="superscript"/>
    </w:rPr>
  </w:style>
  <w:style w:type="character" w:customStyle="1" w:styleId="25">
    <w:name w:val="批注文字 字符"/>
    <w:qFormat/>
    <w:uiPriority w:val="99"/>
    <w:rPr>
      <w:rFonts w:ascii="Times New Roman" w:hAnsi="Times New Roman" w:eastAsia="宋体" w:cs="Times New Roman"/>
    </w:rPr>
  </w:style>
  <w:style w:type="character" w:customStyle="1" w:styleId="26">
    <w:name w:val="标题 3 字符"/>
    <w:qFormat/>
    <w:uiPriority w:val="1"/>
    <w:rPr>
      <w:rFonts w:ascii="宋体" w:hAnsi="Times New Roman" w:eastAsia="宋体" w:cs="Times New Roman"/>
      <w:b/>
      <w:bCs/>
      <w:kern w:val="0"/>
      <w:sz w:val="20"/>
      <w:szCs w:val="21"/>
    </w:rPr>
  </w:style>
  <w:style w:type="character" w:customStyle="1" w:styleId="27">
    <w:name w:val="脚注文本 字符1"/>
    <w:semiHidden/>
    <w:qFormat/>
    <w:uiPriority w:val="99"/>
    <w:rPr>
      <w:rFonts w:ascii="Times New Roman" w:hAnsi="Times New Roman" w:eastAsia="宋体" w:cs="Times New Roman"/>
      <w:sz w:val="18"/>
      <w:szCs w:val="18"/>
    </w:rPr>
  </w:style>
  <w:style w:type="character" w:customStyle="1" w:styleId="28">
    <w:name w:val="标题 2 字符"/>
    <w:qFormat/>
    <w:uiPriority w:val="9"/>
    <w:rPr>
      <w:rFonts w:ascii="Cambria" w:hAnsi="Cambria" w:eastAsia="宋体" w:cs="Times New Roman"/>
      <w:b/>
      <w:bCs/>
      <w:kern w:val="0"/>
      <w:sz w:val="32"/>
      <w:szCs w:val="32"/>
    </w:rPr>
  </w:style>
  <w:style w:type="character" w:customStyle="1" w:styleId="29">
    <w:name w:val="正文文本 字符"/>
    <w:qFormat/>
    <w:uiPriority w:val="1"/>
    <w:rPr>
      <w:rFonts w:ascii="宋体" w:hAnsi="Times New Roman" w:eastAsia="宋体" w:cs="Times New Roman"/>
      <w:kern w:val="0"/>
      <w:sz w:val="20"/>
      <w:szCs w:val="21"/>
    </w:rPr>
  </w:style>
  <w:style w:type="character" w:customStyle="1" w:styleId="30">
    <w:name w:val="脚注文本 字符"/>
    <w:semiHidden/>
    <w:qFormat/>
    <w:uiPriority w:val="99"/>
    <w:rPr>
      <w:rFonts w:ascii="Times New Roman" w:hAnsi="Times New Roman" w:eastAsia="宋体" w:cs="Times New Roman"/>
      <w:kern w:val="2"/>
      <w:sz w:val="18"/>
      <w:szCs w:val="18"/>
    </w:rPr>
  </w:style>
  <w:style w:type="character" w:customStyle="1" w:styleId="31">
    <w:name w:val="批注主题 字符"/>
    <w:semiHidden/>
    <w:qFormat/>
    <w:uiPriority w:val="99"/>
    <w:rPr>
      <w:rFonts w:ascii="Times New Roman" w:hAnsi="Times New Roman" w:eastAsia="宋体" w:cs="Times New Roman"/>
      <w:b/>
      <w:bCs/>
    </w:rPr>
  </w:style>
  <w:style w:type="character" w:customStyle="1" w:styleId="32">
    <w:name w:val="日期 字符"/>
    <w:basedOn w:val="14"/>
    <w:semiHidden/>
    <w:qFormat/>
    <w:uiPriority w:val="99"/>
    <w:rPr>
      <w:rFonts w:ascii="Times New Roman" w:hAnsi="Times New Roman" w:eastAsia="宋体" w:cs="Times New Roman"/>
    </w:rPr>
  </w:style>
  <w:style w:type="character" w:customStyle="1" w:styleId="33">
    <w:name w:val="标题 1 字符"/>
    <w:qFormat/>
    <w:uiPriority w:val="1"/>
    <w:rPr>
      <w:rFonts w:ascii="黑体" w:hAnsi="Times New Roman" w:eastAsia="黑体" w:cs="Times New Roman"/>
      <w:b/>
      <w:bCs/>
      <w:kern w:val="0"/>
      <w:sz w:val="36"/>
      <w:szCs w:val="36"/>
    </w:rPr>
  </w:style>
  <w:style w:type="character" w:customStyle="1" w:styleId="34">
    <w:name w:val="页脚 字符"/>
    <w:qFormat/>
    <w:uiPriority w:val="99"/>
    <w:rPr>
      <w:rFonts w:ascii="Times New Roman" w:hAnsi="Times New Roman" w:eastAsia="宋体" w:cs="Times New Roman"/>
      <w:kern w:val="0"/>
      <w:sz w:val="18"/>
      <w:szCs w:val="18"/>
    </w:rPr>
  </w:style>
  <w:style w:type="character" w:customStyle="1" w:styleId="35">
    <w:name w:val="页眉 字符"/>
    <w:qFormat/>
    <w:uiPriority w:val="99"/>
    <w:rPr>
      <w:rFonts w:ascii="Times New Roman" w:hAnsi="Times New Roman" w:eastAsia="宋体" w:cs="Times New Roman"/>
      <w:kern w:val="0"/>
      <w:sz w:val="18"/>
      <w:szCs w:val="18"/>
    </w:rPr>
  </w:style>
  <w:style w:type="character" w:customStyle="1" w:styleId="36">
    <w:name w:val="批注框文本 字符"/>
    <w:semiHidden/>
    <w:qFormat/>
    <w:uiPriority w:val="99"/>
    <w:rPr>
      <w:rFonts w:ascii="Times New Roman" w:hAnsi="Times New Roman" w:eastAsia="宋体" w:cs="Times New Roman"/>
      <w:kern w:val="0"/>
      <w:sz w:val="18"/>
      <w:szCs w:val="18"/>
    </w:rPr>
  </w:style>
  <w:style w:type="paragraph" w:customStyle="1" w:styleId="37">
    <w:name w:val="Table Paragraph"/>
    <w:basedOn w:val="1"/>
    <w:qFormat/>
    <w:uiPriority w:val="1"/>
    <w:pPr>
      <w:autoSpaceDE w:val="0"/>
      <w:autoSpaceDN w:val="0"/>
      <w:adjustRightInd w:val="0"/>
      <w:jc w:val="left"/>
    </w:pPr>
    <w:rPr>
      <w:kern w:val="0"/>
      <w:sz w:val="24"/>
      <w:szCs w:val="24"/>
    </w:rPr>
  </w:style>
  <w:style w:type="paragraph" w:customStyle="1" w:styleId="3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9">
    <w:name w:val="List Paragraph"/>
    <w:basedOn w:val="1"/>
    <w:qFormat/>
    <w:uiPriority w:val="72"/>
    <w:pPr>
      <w:ind w:firstLine="420" w:firstLineChars="200"/>
    </w:pPr>
  </w:style>
  <w:style w:type="paragraph" w:customStyle="1" w:styleId="40">
    <w:name w:val="_Style 36"/>
    <w:semiHidden/>
    <w:qFormat/>
    <w:uiPriority w:val="99"/>
    <w:rPr>
      <w:rFonts w:ascii="Times New Roman" w:hAnsi="Times New Roman" w:eastAsia="宋体" w:cs="Times New Roman"/>
      <w:kern w:val="2"/>
      <w:sz w:val="21"/>
      <w:szCs w:val="22"/>
      <w:lang w:val="en-US" w:eastAsia="zh-CN" w:bidi="ar-SA"/>
    </w:rPr>
  </w:style>
  <w:style w:type="character" w:customStyle="1" w:styleId="41">
    <w:name w:val="标题 1 字符1"/>
    <w:link w:val="18"/>
    <w:qFormat/>
    <w:uiPriority w:val="1"/>
    <w:rPr>
      <w:rFonts w:ascii="黑体" w:hAnsi="Times New Roman" w:eastAsia="黑体" w:cs="黑体"/>
      <w:b/>
      <w:bCs/>
      <w:kern w:val="0"/>
      <w:sz w:val="36"/>
      <w:szCs w:val="36"/>
    </w:rPr>
  </w:style>
  <w:style w:type="character" w:customStyle="1" w:styleId="42">
    <w:name w:val="标题 2 字符1"/>
    <w:link w:val="19"/>
    <w:qFormat/>
    <w:uiPriority w:val="9"/>
    <w:rPr>
      <w:rFonts w:ascii="Cambria" w:hAnsi="Cambria" w:eastAsia="宋体" w:cs="Times New Roman"/>
      <w:b/>
      <w:bCs/>
      <w:sz w:val="32"/>
      <w:szCs w:val="32"/>
    </w:rPr>
  </w:style>
  <w:style w:type="character" w:customStyle="1" w:styleId="43">
    <w:name w:val="标题 3 字符1"/>
    <w:link w:val="20"/>
    <w:qFormat/>
    <w:uiPriority w:val="1"/>
    <w:rPr>
      <w:rFonts w:ascii="宋体" w:hAnsi="Times New Roman" w:eastAsia="宋体" w:cs="宋体"/>
      <w:b/>
      <w:bCs/>
      <w:kern w:val="0"/>
      <w:szCs w:val="21"/>
    </w:rPr>
  </w:style>
  <w:style w:type="character" w:customStyle="1" w:styleId="44">
    <w:name w:val="批注文字 字符1"/>
    <w:qFormat/>
    <w:uiPriority w:val="99"/>
    <w:rPr>
      <w:rFonts w:ascii="Times New Roman" w:hAnsi="Times New Roman" w:eastAsia="宋体" w:cs="Times New Roman"/>
      <w:kern w:val="2"/>
      <w:sz w:val="21"/>
      <w:szCs w:val="22"/>
    </w:rPr>
  </w:style>
  <w:style w:type="character" w:customStyle="1" w:styleId="45">
    <w:name w:val="正文文本 字符1"/>
    <w:qFormat/>
    <w:uiPriority w:val="1"/>
    <w:rPr>
      <w:rFonts w:ascii="宋体" w:hAnsi="Times New Roman" w:eastAsia="宋体" w:cs="宋体"/>
      <w:kern w:val="0"/>
      <w:szCs w:val="21"/>
    </w:rPr>
  </w:style>
  <w:style w:type="character" w:customStyle="1" w:styleId="46">
    <w:name w:val="日期 字符1"/>
    <w:basedOn w:val="14"/>
    <w:semiHidden/>
    <w:qFormat/>
    <w:uiPriority w:val="99"/>
    <w:rPr>
      <w:rFonts w:ascii="Times New Roman" w:hAnsi="Times New Roman" w:eastAsia="宋体" w:cs="Times New Roman"/>
    </w:rPr>
  </w:style>
  <w:style w:type="character" w:customStyle="1" w:styleId="47">
    <w:name w:val="批注框文本 字符1"/>
    <w:semiHidden/>
    <w:qFormat/>
    <w:uiPriority w:val="99"/>
    <w:rPr>
      <w:rFonts w:ascii="Times New Roman" w:hAnsi="Times New Roman" w:eastAsia="宋体" w:cs="Times New Roman"/>
      <w:sz w:val="18"/>
      <w:szCs w:val="18"/>
    </w:rPr>
  </w:style>
  <w:style w:type="character" w:customStyle="1" w:styleId="48">
    <w:name w:val="页脚 字符1"/>
    <w:qFormat/>
    <w:uiPriority w:val="99"/>
    <w:rPr>
      <w:rFonts w:ascii="Times New Roman" w:hAnsi="Times New Roman" w:eastAsia="宋体" w:cs="Times New Roman"/>
      <w:sz w:val="18"/>
      <w:szCs w:val="18"/>
    </w:rPr>
  </w:style>
  <w:style w:type="character" w:customStyle="1" w:styleId="49">
    <w:name w:val="页眉 字符1"/>
    <w:qFormat/>
    <w:uiPriority w:val="99"/>
    <w:rPr>
      <w:rFonts w:ascii="Times New Roman" w:hAnsi="Times New Roman" w:eastAsia="宋体" w:cs="Times New Roman"/>
      <w:sz w:val="18"/>
      <w:szCs w:val="18"/>
    </w:rPr>
  </w:style>
  <w:style w:type="character" w:customStyle="1" w:styleId="50">
    <w:name w:val="脚注文本 字符2"/>
    <w:semiHidden/>
    <w:qFormat/>
    <w:uiPriority w:val="99"/>
    <w:rPr>
      <w:rFonts w:ascii="Times New Roman" w:hAnsi="Times New Roman" w:eastAsia="宋体" w:cs="Times New Roman"/>
      <w:kern w:val="2"/>
      <w:sz w:val="18"/>
      <w:szCs w:val="18"/>
    </w:rPr>
  </w:style>
  <w:style w:type="character" w:customStyle="1" w:styleId="51">
    <w:name w:val="批注主题 字符1"/>
    <w:semiHidden/>
    <w:qFormat/>
    <w:uiPriority w:val="99"/>
    <w:rPr>
      <w:rFonts w:ascii="Times New Roman" w:hAnsi="Times New Roman" w:eastAsia="宋体" w:cs="Times New Roman"/>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9"/>
    <customShpInfo spid="_x0000_s4100"/>
    <customShpInfo spid="_x0000_s4097"/>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3.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4.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ae0397-f59e-462e-9c4b-c622d93c0d62}">
  <ds:schemaRefs/>
</ds:datastoreItem>
</file>

<file path=customXml/itemProps3.xml><?xml version="1.0" encoding="utf-8"?>
<ds:datastoreItem xmlns:ds="http://schemas.openxmlformats.org/officeDocument/2006/customXml" ds:itemID="{04e704c0-b785-4a78-9b49-b2178ee8d087}">
  <ds:schemaRefs/>
</ds:datastoreItem>
</file>

<file path=customXml/itemProps4.xml><?xml version="1.0" encoding="utf-8"?>
<ds:datastoreItem xmlns:ds="http://schemas.openxmlformats.org/officeDocument/2006/customXml" ds:itemID="{afb35b43-037e-4c2d-993f-0934a838dc5c}">
  <ds:schemaRefs/>
</ds:datastoreItem>
</file>

<file path=docProps/app.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cp:lastPrinted>2024-07-15T08:58:00Z</cp:lastPrinted>
  <dcterms:modified xsi:type="dcterms:W3CDTF">2026-08-06T10:08:23Z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